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84" w:rsidRPr="003C5E41" w:rsidRDefault="00416D84" w:rsidP="0090257C">
      <w:pPr>
        <w:spacing w:after="120"/>
        <w:jc w:val="center"/>
        <w:rPr>
          <w:b/>
          <w:sz w:val="22"/>
          <w:szCs w:val="22"/>
        </w:rPr>
      </w:pPr>
      <w:r w:rsidRPr="003C5E41">
        <w:rPr>
          <w:b/>
          <w:sz w:val="22"/>
          <w:szCs w:val="22"/>
        </w:rPr>
        <w:t>EXPLANATORY STATEMENT</w:t>
      </w:r>
    </w:p>
    <w:p w:rsidR="00416D84" w:rsidRPr="003C5E41" w:rsidRDefault="00416D84" w:rsidP="003C5E41">
      <w:pPr>
        <w:spacing w:before="240"/>
        <w:jc w:val="center"/>
        <w:rPr>
          <w:b/>
          <w:i/>
          <w:sz w:val="22"/>
          <w:szCs w:val="22"/>
        </w:rPr>
      </w:pPr>
      <w:r w:rsidRPr="003C5E41">
        <w:rPr>
          <w:b/>
          <w:i/>
          <w:sz w:val="22"/>
          <w:szCs w:val="22"/>
        </w:rPr>
        <w:t>N</w:t>
      </w:r>
      <w:r w:rsidR="00456BFB" w:rsidRPr="003C5E41">
        <w:rPr>
          <w:b/>
          <w:i/>
          <w:sz w:val="22"/>
          <w:szCs w:val="22"/>
        </w:rPr>
        <w:t>ATIONAL HEALTH ACT</w:t>
      </w:r>
      <w:r w:rsidRPr="003C5E41">
        <w:rPr>
          <w:b/>
          <w:i/>
          <w:sz w:val="22"/>
          <w:szCs w:val="22"/>
        </w:rPr>
        <w:t xml:space="preserve"> 1953</w:t>
      </w:r>
    </w:p>
    <w:p w:rsidR="003C1187" w:rsidRPr="003C5E41" w:rsidRDefault="00416D84" w:rsidP="0090257C">
      <w:pPr>
        <w:spacing w:before="240" w:after="120"/>
        <w:jc w:val="center"/>
        <w:rPr>
          <w:b/>
          <w:i/>
          <w:sz w:val="22"/>
          <w:szCs w:val="22"/>
        </w:rPr>
      </w:pPr>
      <w:r w:rsidRPr="003C5E41">
        <w:rPr>
          <w:b/>
          <w:i/>
          <w:sz w:val="22"/>
          <w:szCs w:val="22"/>
        </w:rPr>
        <w:t>N</w:t>
      </w:r>
      <w:r w:rsidR="00456BFB" w:rsidRPr="003C5E41">
        <w:rPr>
          <w:b/>
          <w:i/>
          <w:sz w:val="22"/>
          <w:szCs w:val="22"/>
        </w:rPr>
        <w:t xml:space="preserve">ATIONAL HEALTH (PHARMACEUTICAL BENEFITS – EARLY SUPPLY) </w:t>
      </w:r>
      <w:r w:rsidR="009072BB" w:rsidRPr="003C5E41">
        <w:rPr>
          <w:b/>
          <w:i/>
          <w:sz w:val="22"/>
          <w:szCs w:val="22"/>
        </w:rPr>
        <w:t>AMENDMENT</w:t>
      </w:r>
      <w:r w:rsidR="003C5E41">
        <w:rPr>
          <w:b/>
          <w:i/>
          <w:sz w:val="22"/>
          <w:szCs w:val="22"/>
        </w:rPr>
        <w:t> </w:t>
      </w:r>
      <w:r w:rsidR="009072BB" w:rsidRPr="003C5E41">
        <w:rPr>
          <w:b/>
          <w:i/>
          <w:sz w:val="22"/>
          <w:szCs w:val="22"/>
        </w:rPr>
        <w:t xml:space="preserve">INSTRUMENT </w:t>
      </w:r>
      <w:r w:rsidR="00022B94">
        <w:rPr>
          <w:b/>
          <w:i/>
          <w:sz w:val="22"/>
          <w:szCs w:val="22"/>
        </w:rPr>
        <w:t>2019</w:t>
      </w:r>
      <w:r w:rsidR="009072BB" w:rsidRPr="003C5E41">
        <w:rPr>
          <w:b/>
          <w:i/>
          <w:sz w:val="22"/>
          <w:szCs w:val="22"/>
        </w:rPr>
        <w:t xml:space="preserve"> (</w:t>
      </w:r>
      <w:r w:rsidR="00022B94">
        <w:rPr>
          <w:b/>
          <w:i/>
          <w:sz w:val="22"/>
          <w:szCs w:val="22"/>
        </w:rPr>
        <w:t>No. 1</w:t>
      </w:r>
      <w:r w:rsidR="009072BB" w:rsidRPr="003C5E41">
        <w:rPr>
          <w:b/>
          <w:i/>
          <w:sz w:val="22"/>
          <w:szCs w:val="22"/>
        </w:rPr>
        <w:t>)</w:t>
      </w:r>
    </w:p>
    <w:p w:rsidR="001932D1" w:rsidRPr="003C5E41" w:rsidRDefault="00022B94" w:rsidP="0090257C">
      <w:pPr>
        <w:spacing w:before="120" w:after="120"/>
        <w:jc w:val="center"/>
        <w:rPr>
          <w:b/>
          <w:sz w:val="22"/>
          <w:szCs w:val="22"/>
        </w:rPr>
      </w:pPr>
      <w:r>
        <w:rPr>
          <w:b/>
          <w:sz w:val="22"/>
          <w:szCs w:val="22"/>
        </w:rPr>
        <w:t>PB 2</w:t>
      </w:r>
      <w:r w:rsidR="00416D84" w:rsidRPr="003C5E41">
        <w:rPr>
          <w:b/>
          <w:sz w:val="22"/>
          <w:szCs w:val="22"/>
        </w:rPr>
        <w:t xml:space="preserve"> of </w:t>
      </w:r>
      <w:r>
        <w:rPr>
          <w:b/>
          <w:sz w:val="22"/>
          <w:szCs w:val="22"/>
        </w:rPr>
        <w:t>2019</w:t>
      </w:r>
    </w:p>
    <w:p w:rsidR="00060E04" w:rsidRPr="003C5E41" w:rsidRDefault="00060E04" w:rsidP="003C5E41">
      <w:pPr>
        <w:spacing w:before="120"/>
        <w:rPr>
          <w:sz w:val="22"/>
          <w:szCs w:val="22"/>
        </w:rPr>
      </w:pPr>
    </w:p>
    <w:p w:rsidR="00456BFB" w:rsidRPr="003C5E41" w:rsidRDefault="00456BFB" w:rsidP="003C5E41">
      <w:pPr>
        <w:spacing w:before="120"/>
        <w:rPr>
          <w:b/>
          <w:sz w:val="22"/>
          <w:szCs w:val="22"/>
        </w:rPr>
      </w:pPr>
      <w:r w:rsidRPr="003C5E41">
        <w:rPr>
          <w:b/>
          <w:sz w:val="22"/>
          <w:szCs w:val="22"/>
        </w:rPr>
        <w:t>Purpose</w:t>
      </w:r>
    </w:p>
    <w:p w:rsidR="00B67364" w:rsidRPr="003C5E41" w:rsidRDefault="00456BFB" w:rsidP="0061182A">
      <w:pPr>
        <w:spacing w:before="120"/>
        <w:jc w:val="both"/>
        <w:rPr>
          <w:sz w:val="22"/>
          <w:szCs w:val="22"/>
        </w:rPr>
      </w:pPr>
      <w:r w:rsidRPr="003C5E41">
        <w:rPr>
          <w:sz w:val="22"/>
          <w:szCs w:val="22"/>
        </w:rPr>
        <w:t xml:space="preserve">The purpose of this legislative instrument, made under subsection 84AAA(2) of the </w:t>
      </w:r>
      <w:r w:rsidRPr="003C5E41">
        <w:rPr>
          <w:i/>
          <w:sz w:val="22"/>
          <w:szCs w:val="22"/>
        </w:rPr>
        <w:t>National Health Act 1953</w:t>
      </w:r>
      <w:r w:rsidRPr="003C5E41">
        <w:rPr>
          <w:sz w:val="22"/>
          <w:szCs w:val="22"/>
        </w:rPr>
        <w:t xml:space="preserve"> (the Act) is to amend the </w:t>
      </w:r>
      <w:r w:rsidR="00F055B3" w:rsidRPr="003C5E41">
        <w:rPr>
          <w:i/>
          <w:sz w:val="22"/>
          <w:szCs w:val="22"/>
        </w:rPr>
        <w:t>N</w:t>
      </w:r>
      <w:r w:rsidR="00CB5BEA">
        <w:rPr>
          <w:i/>
          <w:sz w:val="22"/>
          <w:szCs w:val="22"/>
        </w:rPr>
        <w:t>ational Health (Pharmaceutical B</w:t>
      </w:r>
      <w:r w:rsidR="00F055B3" w:rsidRPr="003C5E41">
        <w:rPr>
          <w:i/>
          <w:sz w:val="22"/>
          <w:szCs w:val="22"/>
        </w:rPr>
        <w:t>enefits—early supply) Instrument 2015</w:t>
      </w:r>
      <w:r w:rsidR="00F055B3" w:rsidRPr="003C5E41">
        <w:rPr>
          <w:sz w:val="22"/>
          <w:szCs w:val="22"/>
        </w:rPr>
        <w:t xml:space="preserve"> (PB 120 of 2015</w:t>
      </w:r>
      <w:r w:rsidR="00B6468A" w:rsidRPr="003C5E41">
        <w:rPr>
          <w:sz w:val="22"/>
          <w:szCs w:val="22"/>
        </w:rPr>
        <w:t>)</w:t>
      </w:r>
      <w:r w:rsidR="00D616EB">
        <w:rPr>
          <w:sz w:val="22"/>
          <w:szCs w:val="22"/>
        </w:rPr>
        <w:t xml:space="preserve"> (the Principal Instrument)</w:t>
      </w:r>
      <w:r w:rsidR="005228A4" w:rsidRPr="003C5E41">
        <w:rPr>
          <w:sz w:val="22"/>
          <w:szCs w:val="22"/>
        </w:rPr>
        <w:t>.</w:t>
      </w:r>
    </w:p>
    <w:p w:rsidR="00CC5C8E" w:rsidRPr="003C5E41" w:rsidRDefault="00A26091" w:rsidP="0061182A">
      <w:pPr>
        <w:spacing w:before="120"/>
        <w:jc w:val="both"/>
        <w:rPr>
          <w:sz w:val="22"/>
          <w:szCs w:val="22"/>
        </w:rPr>
      </w:pPr>
      <w:r w:rsidRPr="003C5E41">
        <w:rPr>
          <w:sz w:val="22"/>
          <w:szCs w:val="22"/>
        </w:rPr>
        <w:t xml:space="preserve">PB </w:t>
      </w:r>
      <w:r w:rsidR="00765C22" w:rsidRPr="003C5E41">
        <w:rPr>
          <w:sz w:val="22"/>
          <w:szCs w:val="22"/>
        </w:rPr>
        <w:t>120</w:t>
      </w:r>
      <w:r w:rsidRPr="003C5E41">
        <w:rPr>
          <w:sz w:val="22"/>
          <w:szCs w:val="22"/>
        </w:rPr>
        <w:t xml:space="preserve"> of 20</w:t>
      </w:r>
      <w:r w:rsidR="00765C22" w:rsidRPr="003C5E41">
        <w:rPr>
          <w:sz w:val="22"/>
          <w:szCs w:val="22"/>
        </w:rPr>
        <w:t>15</w:t>
      </w:r>
      <w:r w:rsidRPr="003C5E41">
        <w:rPr>
          <w:sz w:val="22"/>
          <w:szCs w:val="22"/>
        </w:rPr>
        <w:t xml:space="preserve"> specifies</w:t>
      </w:r>
      <w:r w:rsidR="00456BFB" w:rsidRPr="003C5E41">
        <w:rPr>
          <w:sz w:val="22"/>
          <w:szCs w:val="22"/>
        </w:rPr>
        <w:t xml:space="preserve"> the pharmaceutical </w:t>
      </w:r>
      <w:r w:rsidR="00CB05F8" w:rsidRPr="003C5E41">
        <w:rPr>
          <w:sz w:val="22"/>
          <w:szCs w:val="22"/>
        </w:rPr>
        <w:t xml:space="preserve">items that are in pharmaceutical </w:t>
      </w:r>
      <w:r w:rsidR="00456BFB" w:rsidRPr="003C5E41">
        <w:rPr>
          <w:sz w:val="22"/>
          <w:szCs w:val="22"/>
        </w:rPr>
        <w:t>benefits for which Pharma</w:t>
      </w:r>
      <w:r w:rsidR="000A2020" w:rsidRPr="003C5E41">
        <w:rPr>
          <w:sz w:val="22"/>
          <w:szCs w:val="22"/>
        </w:rPr>
        <w:t>ceutical Benefits Scheme (PBS) safety n</w:t>
      </w:r>
      <w:r w:rsidR="00456BFB" w:rsidRPr="003C5E41">
        <w:rPr>
          <w:sz w:val="22"/>
          <w:szCs w:val="22"/>
        </w:rPr>
        <w:t xml:space="preserve">et </w:t>
      </w:r>
      <w:r w:rsidRPr="003C5E41">
        <w:rPr>
          <w:sz w:val="22"/>
          <w:szCs w:val="22"/>
        </w:rPr>
        <w:t xml:space="preserve">entitlements will not apply </w:t>
      </w:r>
      <w:r w:rsidR="00E821C7" w:rsidRPr="003C5E41">
        <w:rPr>
          <w:sz w:val="22"/>
          <w:szCs w:val="22"/>
        </w:rPr>
        <w:t>for early supplies</w:t>
      </w:r>
      <w:r w:rsidR="000A2020" w:rsidRPr="003C5E41">
        <w:rPr>
          <w:sz w:val="22"/>
          <w:szCs w:val="22"/>
        </w:rPr>
        <w:t>, and to specify the period following previous supply.</w:t>
      </w:r>
    </w:p>
    <w:p w:rsidR="00456BFB" w:rsidRPr="003C5E41" w:rsidRDefault="00426774" w:rsidP="0061182A">
      <w:pPr>
        <w:spacing w:before="120"/>
        <w:jc w:val="both"/>
        <w:rPr>
          <w:sz w:val="22"/>
          <w:szCs w:val="22"/>
        </w:rPr>
      </w:pPr>
      <w:r w:rsidRPr="003C5E41">
        <w:rPr>
          <w:sz w:val="22"/>
          <w:szCs w:val="22"/>
        </w:rPr>
        <w:t xml:space="preserve">The amendments made by this Instrument reflect amendments to the </w:t>
      </w:r>
      <w:r w:rsidRPr="003C5E41">
        <w:rPr>
          <w:i/>
          <w:sz w:val="22"/>
          <w:szCs w:val="22"/>
        </w:rPr>
        <w:t>National Health (Listing of Pharmaceutical Benefits) Instrument 2012</w:t>
      </w:r>
      <w:r w:rsidRPr="003C5E41">
        <w:rPr>
          <w:sz w:val="22"/>
          <w:szCs w:val="22"/>
        </w:rPr>
        <w:t xml:space="preserve"> (PB 71 of 2012), which commence on the same day.  The </w:t>
      </w:r>
      <w:r w:rsidRPr="003C5E41">
        <w:rPr>
          <w:i/>
          <w:sz w:val="22"/>
          <w:szCs w:val="22"/>
        </w:rPr>
        <w:t>National Health (Listing of Pharmaceutical Benefits) Instrument 2012</w:t>
      </w:r>
      <w:r w:rsidRPr="003C5E41">
        <w:rPr>
          <w:sz w:val="22"/>
          <w:szCs w:val="22"/>
        </w:rPr>
        <w:t xml:space="preserve"> (PB 71 of 2012) is made under sections 84AF, 84AK, 85, 85A, 88 and 101 of the Act.</w:t>
      </w:r>
    </w:p>
    <w:p w:rsidR="00416D84" w:rsidRPr="003C5E41" w:rsidRDefault="00416D84" w:rsidP="003C5E41">
      <w:pPr>
        <w:spacing w:before="240"/>
        <w:rPr>
          <w:b/>
          <w:sz w:val="22"/>
          <w:szCs w:val="22"/>
        </w:rPr>
      </w:pPr>
      <w:r w:rsidRPr="003C5E41">
        <w:rPr>
          <w:b/>
          <w:sz w:val="22"/>
          <w:szCs w:val="22"/>
        </w:rPr>
        <w:t>Authority</w:t>
      </w:r>
    </w:p>
    <w:p w:rsidR="00A26091" w:rsidRPr="003C5E41" w:rsidRDefault="00A26091" w:rsidP="0061182A">
      <w:pPr>
        <w:spacing w:before="120"/>
        <w:jc w:val="both"/>
        <w:rPr>
          <w:sz w:val="22"/>
          <w:szCs w:val="22"/>
        </w:rPr>
      </w:pPr>
      <w:r w:rsidRPr="003C5E41">
        <w:rPr>
          <w:sz w:val="22"/>
          <w:szCs w:val="22"/>
        </w:rPr>
        <w:t>Subsection 84AAA(1) of the Act provides that a supply of a pharmaceutical benefit</w:t>
      </w:r>
      <w:r w:rsidR="00B25F75" w:rsidRPr="003C5E41">
        <w:rPr>
          <w:sz w:val="22"/>
          <w:szCs w:val="22"/>
        </w:rPr>
        <w:t xml:space="preserve"> (whether or not the supply is of a kind described in paragraph 84C(4A)(a) of the Act)</w:t>
      </w:r>
      <w:r w:rsidRPr="003C5E41">
        <w:rPr>
          <w:sz w:val="22"/>
          <w:szCs w:val="22"/>
        </w:rPr>
        <w:t xml:space="preserve"> to a person is an early supply of a specified pharmaceutical benefit if:</w:t>
      </w:r>
    </w:p>
    <w:p w:rsidR="00E821C7" w:rsidRPr="00ED3A4D" w:rsidRDefault="00A26091" w:rsidP="00F039D8">
      <w:pPr>
        <w:pStyle w:val="ListParagraph"/>
        <w:numPr>
          <w:ilvl w:val="0"/>
          <w:numId w:val="14"/>
        </w:numPr>
        <w:spacing w:before="120"/>
        <w:ind w:left="1134" w:hanging="567"/>
        <w:contextualSpacing w:val="0"/>
        <w:jc w:val="both"/>
        <w:rPr>
          <w:sz w:val="22"/>
          <w:szCs w:val="22"/>
        </w:rPr>
      </w:pPr>
      <w:r w:rsidRPr="00ED3A4D">
        <w:rPr>
          <w:sz w:val="22"/>
          <w:szCs w:val="22"/>
        </w:rPr>
        <w:t>The supply is made within 20 days aft</w:t>
      </w:r>
      <w:r w:rsidR="00C54116" w:rsidRPr="00ED3A4D">
        <w:rPr>
          <w:sz w:val="22"/>
          <w:szCs w:val="22"/>
        </w:rPr>
        <w:t xml:space="preserve">er the day of a previous supply to the person </w:t>
      </w:r>
      <w:r w:rsidRPr="00ED3A4D">
        <w:rPr>
          <w:sz w:val="22"/>
          <w:szCs w:val="22"/>
        </w:rPr>
        <w:t>of</w:t>
      </w:r>
      <w:r w:rsidR="00E821C7" w:rsidRPr="00ED3A4D">
        <w:rPr>
          <w:sz w:val="22"/>
          <w:szCs w:val="22"/>
        </w:rPr>
        <w:t>:</w:t>
      </w:r>
    </w:p>
    <w:p w:rsidR="00E821C7" w:rsidRPr="00ED3A4D" w:rsidRDefault="00A26091" w:rsidP="00F039D8">
      <w:pPr>
        <w:pStyle w:val="ListParagraph"/>
        <w:numPr>
          <w:ilvl w:val="0"/>
          <w:numId w:val="15"/>
        </w:numPr>
        <w:spacing w:before="60"/>
        <w:ind w:left="1701" w:hanging="720"/>
        <w:contextualSpacing w:val="0"/>
        <w:jc w:val="both"/>
        <w:rPr>
          <w:sz w:val="22"/>
          <w:szCs w:val="22"/>
        </w:rPr>
      </w:pPr>
      <w:r w:rsidRPr="00ED3A4D">
        <w:rPr>
          <w:sz w:val="22"/>
          <w:szCs w:val="22"/>
        </w:rPr>
        <w:t>the same pharmaceutical benefit;</w:t>
      </w:r>
      <w:r w:rsidR="00E821C7" w:rsidRPr="00ED3A4D">
        <w:rPr>
          <w:sz w:val="22"/>
          <w:szCs w:val="22"/>
        </w:rPr>
        <w:t xml:space="preserve">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has the same pharmaceutical item as the pharmaceutical benefit;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is Schedule equivalent to the pharmaceutical benefit;</w:t>
      </w:r>
    </w:p>
    <w:p w:rsidR="00E821C7" w:rsidRPr="003C5E41" w:rsidRDefault="00E821C7" w:rsidP="00F039D8">
      <w:pPr>
        <w:spacing w:before="60"/>
        <w:ind w:left="1134"/>
        <w:jc w:val="both"/>
        <w:rPr>
          <w:sz w:val="22"/>
          <w:szCs w:val="22"/>
        </w:rPr>
      </w:pPr>
      <w:r w:rsidRPr="003C5E41">
        <w:rPr>
          <w:sz w:val="22"/>
          <w:szCs w:val="22"/>
        </w:rPr>
        <w:t>whether or not the previous supply is a supply of a kind described in paragraph 84C(4A)(a) of the Act; and</w:t>
      </w:r>
    </w:p>
    <w:p w:rsidR="00EF4C14"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 xml:space="preserve">The pharmaceutical </w:t>
      </w:r>
      <w:r w:rsidR="00CB05F8" w:rsidRPr="00ED3A4D">
        <w:rPr>
          <w:sz w:val="22"/>
          <w:szCs w:val="22"/>
        </w:rPr>
        <w:t xml:space="preserve">item in the pharmaceutical </w:t>
      </w:r>
      <w:r w:rsidRPr="00ED3A4D">
        <w:rPr>
          <w:sz w:val="22"/>
          <w:szCs w:val="22"/>
        </w:rPr>
        <w:t>benefit is specified in an</w:t>
      </w:r>
      <w:r w:rsidR="00EF4C14" w:rsidRPr="00ED3A4D">
        <w:rPr>
          <w:sz w:val="22"/>
          <w:szCs w:val="22"/>
        </w:rPr>
        <w:t xml:space="preserve"> </w:t>
      </w:r>
      <w:r w:rsidRPr="00ED3A4D">
        <w:rPr>
          <w:sz w:val="22"/>
          <w:szCs w:val="22"/>
        </w:rPr>
        <w:t>instrument under subsection 84AAA(2); and</w:t>
      </w:r>
    </w:p>
    <w:p w:rsidR="00A26091"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The supply does not result from a prescription originating from a hospital.</w:t>
      </w:r>
    </w:p>
    <w:p w:rsidR="00ED3A4D" w:rsidRPr="003C5E41" w:rsidRDefault="001F0571" w:rsidP="0061182A">
      <w:pPr>
        <w:spacing w:before="240"/>
        <w:jc w:val="both"/>
        <w:rPr>
          <w:sz w:val="22"/>
          <w:szCs w:val="22"/>
        </w:rPr>
      </w:pPr>
      <w:r w:rsidRPr="003C5E41">
        <w:rPr>
          <w:sz w:val="22"/>
          <w:szCs w:val="22"/>
        </w:rPr>
        <w:t xml:space="preserve">Subsection 84AAA(2) of the Act provides that the Minister may specify, by legislative instrument, pharmaceutical </w:t>
      </w:r>
      <w:r w:rsidR="00CB05F8" w:rsidRPr="003C5E41">
        <w:rPr>
          <w:sz w:val="22"/>
          <w:szCs w:val="22"/>
        </w:rPr>
        <w:t>items</w:t>
      </w:r>
      <w:r w:rsidRPr="003C5E41">
        <w:rPr>
          <w:sz w:val="22"/>
          <w:szCs w:val="22"/>
        </w:rPr>
        <w:t xml:space="preserve"> for the purposes of paragraph 84AAA(1)(b) of the Act.</w:t>
      </w:r>
    </w:p>
    <w:p w:rsidR="00EF4C14" w:rsidRPr="003C5E41" w:rsidRDefault="001F0571" w:rsidP="0061182A">
      <w:pPr>
        <w:spacing w:before="120"/>
        <w:jc w:val="both"/>
        <w:rPr>
          <w:sz w:val="22"/>
          <w:szCs w:val="22"/>
        </w:rPr>
      </w:pPr>
      <w:r w:rsidRPr="003C5E41">
        <w:rPr>
          <w:sz w:val="22"/>
          <w:szCs w:val="22"/>
        </w:rPr>
        <w:t>Subsection 84AAA(3)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rsidR="00416D84" w:rsidRPr="003C5E41" w:rsidRDefault="00EF4C14" w:rsidP="0061182A">
      <w:pPr>
        <w:spacing w:before="120"/>
        <w:jc w:val="both"/>
        <w:rPr>
          <w:sz w:val="22"/>
          <w:szCs w:val="22"/>
        </w:rPr>
      </w:pPr>
      <w:r w:rsidRPr="003C5E41">
        <w:rPr>
          <w:sz w:val="22"/>
          <w:szCs w:val="22"/>
        </w:rPr>
        <w:t>Paragraph 84C(4A) of the Act refers to repatriation pharmaceutical benefits supplied under the scheme</w:t>
      </w:r>
      <w:r w:rsidR="00EA157B" w:rsidRPr="003C5E41">
        <w:rPr>
          <w:sz w:val="22"/>
          <w:szCs w:val="22"/>
        </w:rPr>
        <w:t>s</w:t>
      </w:r>
      <w:r w:rsidRPr="003C5E41">
        <w:rPr>
          <w:sz w:val="22"/>
          <w:szCs w:val="22"/>
        </w:rPr>
        <w:t xml:space="preserve"> established under section 91 of the </w:t>
      </w:r>
      <w:r w:rsidRPr="00ED3A4D">
        <w:rPr>
          <w:i/>
          <w:sz w:val="22"/>
          <w:szCs w:val="22"/>
        </w:rPr>
        <w:t>Veterans</w:t>
      </w:r>
      <w:r w:rsidR="003E6B76" w:rsidRPr="00ED3A4D">
        <w:rPr>
          <w:i/>
          <w:sz w:val="22"/>
          <w:szCs w:val="22"/>
        </w:rPr>
        <w:t>’</w:t>
      </w:r>
      <w:r w:rsidRPr="00ED3A4D">
        <w:rPr>
          <w:i/>
          <w:sz w:val="22"/>
          <w:szCs w:val="22"/>
        </w:rPr>
        <w:t xml:space="preserve"> Entitlements Act 1986</w:t>
      </w:r>
      <w:r w:rsidRPr="003C5E41">
        <w:rPr>
          <w:sz w:val="22"/>
          <w:szCs w:val="22"/>
        </w:rPr>
        <w:t xml:space="preserve"> or </w:t>
      </w:r>
      <w:r w:rsidR="00EA157B" w:rsidRPr="003C5E41">
        <w:rPr>
          <w:sz w:val="22"/>
          <w:szCs w:val="22"/>
        </w:rPr>
        <w:t xml:space="preserve">section 18 of the </w:t>
      </w:r>
      <w:r w:rsidR="00EA157B" w:rsidRPr="00ED3A4D">
        <w:rPr>
          <w:i/>
          <w:sz w:val="22"/>
          <w:szCs w:val="22"/>
        </w:rPr>
        <w:t>Australian Participants in British Nuclear Tests (Treatment) Act 2006</w:t>
      </w:r>
      <w:r w:rsidR="00EA157B" w:rsidRPr="003C5E41">
        <w:rPr>
          <w:sz w:val="22"/>
          <w:szCs w:val="22"/>
        </w:rPr>
        <w:t xml:space="preserve"> or </w:t>
      </w:r>
      <w:r w:rsidRPr="003C5E41">
        <w:rPr>
          <w:sz w:val="22"/>
          <w:szCs w:val="22"/>
        </w:rPr>
        <w:t xml:space="preserve">supplied in accordance with a determination made under paragraph 256(1)(c) of the </w:t>
      </w:r>
      <w:r w:rsidRPr="00ED3A4D">
        <w:rPr>
          <w:i/>
          <w:sz w:val="22"/>
          <w:szCs w:val="22"/>
        </w:rPr>
        <w:t>Military Rehabilitation and Compensation Act</w:t>
      </w:r>
      <w:r w:rsidR="00ED3A4D">
        <w:rPr>
          <w:i/>
          <w:sz w:val="22"/>
          <w:szCs w:val="22"/>
        </w:rPr>
        <w:t> </w:t>
      </w:r>
      <w:r w:rsidRPr="00ED3A4D">
        <w:rPr>
          <w:i/>
          <w:sz w:val="22"/>
          <w:szCs w:val="22"/>
        </w:rPr>
        <w:t>2004</w:t>
      </w:r>
      <w:r w:rsidRPr="003C5E41">
        <w:rPr>
          <w:sz w:val="22"/>
          <w:szCs w:val="22"/>
        </w:rPr>
        <w:t>.</w:t>
      </w:r>
    </w:p>
    <w:p w:rsidR="00CB05F8" w:rsidRPr="003C5E41" w:rsidRDefault="00E821C7" w:rsidP="0061182A">
      <w:pPr>
        <w:spacing w:before="120"/>
        <w:jc w:val="both"/>
        <w:rPr>
          <w:sz w:val="22"/>
          <w:szCs w:val="22"/>
        </w:rPr>
      </w:pPr>
      <w:r w:rsidRPr="003C5E41">
        <w:rPr>
          <w:sz w:val="22"/>
          <w:szCs w:val="22"/>
        </w:rPr>
        <w:lastRenderedPageBreak/>
        <w:t xml:space="preserve">Subsection 101(3AA) </w:t>
      </w:r>
      <w:r w:rsidR="003E6B76" w:rsidRPr="003C5E41">
        <w:rPr>
          <w:sz w:val="22"/>
          <w:szCs w:val="22"/>
        </w:rPr>
        <w:t>of the Act</w:t>
      </w:r>
      <w:r w:rsidR="00A4639D" w:rsidRPr="003C5E41">
        <w:rPr>
          <w:sz w:val="22"/>
          <w:szCs w:val="22"/>
        </w:rPr>
        <w:t xml:space="preserve"> </w:t>
      </w:r>
      <w:r w:rsidR="00CB05F8" w:rsidRPr="003C5E41">
        <w:rPr>
          <w:sz w:val="22"/>
          <w:szCs w:val="22"/>
        </w:rPr>
        <w:t xml:space="preserve">requires </w:t>
      </w:r>
      <w:r w:rsidRPr="003C5E41">
        <w:rPr>
          <w:sz w:val="22"/>
          <w:szCs w:val="22"/>
        </w:rPr>
        <w:t xml:space="preserve">the </w:t>
      </w:r>
      <w:r w:rsidR="001F0571" w:rsidRPr="003C5E41">
        <w:rPr>
          <w:sz w:val="22"/>
          <w:szCs w:val="22"/>
        </w:rPr>
        <w:t>Pharmaceutical Benefits Advisory Committee (PBAC)</w:t>
      </w:r>
      <w:r w:rsidR="00CB05F8" w:rsidRPr="003C5E41">
        <w:rPr>
          <w:sz w:val="22"/>
          <w:szCs w:val="22"/>
        </w:rPr>
        <w:t xml:space="preserve"> to make recommendations</w:t>
      </w:r>
      <w:r w:rsidRPr="003C5E41">
        <w:rPr>
          <w:sz w:val="22"/>
          <w:szCs w:val="22"/>
        </w:rPr>
        <w:t xml:space="preserve"> to the Minister</w:t>
      </w:r>
      <w:r w:rsidR="00CB05F8" w:rsidRPr="003C5E41">
        <w:rPr>
          <w:sz w:val="22"/>
          <w:szCs w:val="22"/>
        </w:rPr>
        <w:t xml:space="preserve"> about what should be specified in the instru</w:t>
      </w:r>
      <w:r w:rsidR="00E546C8" w:rsidRPr="003C5E41">
        <w:rPr>
          <w:sz w:val="22"/>
          <w:szCs w:val="22"/>
        </w:rPr>
        <w:t>ment under subsection 84AAA(2).</w:t>
      </w:r>
    </w:p>
    <w:p w:rsidR="001F0571" w:rsidRPr="002F2A5F" w:rsidRDefault="00CB05F8" w:rsidP="00460EEC">
      <w:pPr>
        <w:spacing w:before="240"/>
        <w:rPr>
          <w:b/>
          <w:sz w:val="22"/>
          <w:szCs w:val="22"/>
        </w:rPr>
      </w:pPr>
      <w:r w:rsidRPr="002F2A5F">
        <w:rPr>
          <w:b/>
          <w:sz w:val="22"/>
          <w:szCs w:val="22"/>
        </w:rPr>
        <w:t xml:space="preserve">Changes to PB </w:t>
      </w:r>
      <w:r w:rsidR="00CA215D" w:rsidRPr="002F2A5F">
        <w:rPr>
          <w:b/>
          <w:sz w:val="22"/>
          <w:szCs w:val="22"/>
        </w:rPr>
        <w:t>12</w:t>
      </w:r>
      <w:r w:rsidRPr="002F2A5F">
        <w:rPr>
          <w:b/>
          <w:sz w:val="22"/>
          <w:szCs w:val="22"/>
        </w:rPr>
        <w:t>0 of 20</w:t>
      </w:r>
      <w:r w:rsidR="00CA215D" w:rsidRPr="002F2A5F">
        <w:rPr>
          <w:b/>
          <w:sz w:val="22"/>
          <w:szCs w:val="22"/>
        </w:rPr>
        <w:t>15</w:t>
      </w:r>
      <w:r w:rsidRPr="002F2A5F">
        <w:rPr>
          <w:b/>
          <w:sz w:val="22"/>
          <w:szCs w:val="22"/>
        </w:rPr>
        <w:t xml:space="preserve"> made by this instrument</w:t>
      </w:r>
    </w:p>
    <w:p w:rsidR="00AA3EF9" w:rsidRPr="00533E41" w:rsidRDefault="002E4060" w:rsidP="00AA3EF9">
      <w:pPr>
        <w:spacing w:before="120"/>
        <w:rPr>
          <w:sz w:val="22"/>
          <w:szCs w:val="22"/>
        </w:rPr>
      </w:pPr>
      <w:r w:rsidRPr="003C5E41">
        <w:rPr>
          <w:sz w:val="22"/>
          <w:szCs w:val="22"/>
        </w:rPr>
        <w:t xml:space="preserve">Schedule 1 </w:t>
      </w:r>
      <w:r w:rsidR="005F6A67" w:rsidRPr="003C5E41">
        <w:rPr>
          <w:sz w:val="22"/>
          <w:szCs w:val="22"/>
        </w:rPr>
        <w:t>to</w:t>
      </w:r>
      <w:r w:rsidRPr="003C5E41">
        <w:rPr>
          <w:sz w:val="22"/>
          <w:szCs w:val="22"/>
        </w:rPr>
        <w:t xml:space="preserve"> the Principal Instrument </w:t>
      </w:r>
      <w:r w:rsidR="00B91FD8" w:rsidRPr="003C5E41">
        <w:rPr>
          <w:sz w:val="22"/>
          <w:szCs w:val="22"/>
        </w:rPr>
        <w:t xml:space="preserve">is amended by </w:t>
      </w:r>
      <w:r w:rsidR="00A54BA8">
        <w:rPr>
          <w:sz w:val="22"/>
          <w:szCs w:val="22"/>
        </w:rPr>
        <w:t xml:space="preserve">the </w:t>
      </w:r>
      <w:r w:rsidR="00A54BA8" w:rsidRPr="00BC5C96">
        <w:rPr>
          <w:sz w:val="22"/>
          <w:szCs w:val="22"/>
        </w:rPr>
        <w:t xml:space="preserve">addition, deletion and </w:t>
      </w:r>
      <w:r w:rsidR="00C432B7">
        <w:rPr>
          <w:sz w:val="22"/>
          <w:szCs w:val="22"/>
        </w:rPr>
        <w:t>alteration</w:t>
      </w:r>
      <w:r w:rsidR="00A54BA8">
        <w:rPr>
          <w:sz w:val="22"/>
          <w:szCs w:val="22"/>
        </w:rPr>
        <w:t xml:space="preserve"> of </w:t>
      </w:r>
      <w:r w:rsidR="00966623">
        <w:rPr>
          <w:sz w:val="22"/>
          <w:szCs w:val="22"/>
        </w:rPr>
        <w:t xml:space="preserve">listed </w:t>
      </w:r>
      <w:r w:rsidR="00A54BA8">
        <w:rPr>
          <w:sz w:val="22"/>
          <w:szCs w:val="22"/>
        </w:rPr>
        <w:t>pharmaceutical items and associated periods and c</w:t>
      </w:r>
      <w:r w:rsidR="00A54BA8" w:rsidRPr="00AD42BB">
        <w:rPr>
          <w:sz w:val="22"/>
          <w:szCs w:val="22"/>
        </w:rPr>
        <w:t>ircumstances</w:t>
      </w:r>
      <w:r w:rsidR="00A54BA8">
        <w:rPr>
          <w:sz w:val="22"/>
          <w:szCs w:val="22"/>
        </w:rPr>
        <w:t>.</w:t>
      </w:r>
      <w:r w:rsidR="00AA3EF9">
        <w:rPr>
          <w:sz w:val="22"/>
          <w:szCs w:val="22"/>
        </w:rPr>
        <w:t xml:space="preserve">  </w:t>
      </w:r>
      <w:r w:rsidR="00AA3EF9" w:rsidRPr="00533E41">
        <w:rPr>
          <w:sz w:val="22"/>
          <w:szCs w:val="22"/>
        </w:rPr>
        <w:t>These changes are summarised, by subject matter, in the Attachment.</w:t>
      </w:r>
    </w:p>
    <w:p w:rsidR="005C091E" w:rsidRPr="003C5E41" w:rsidRDefault="005C091E" w:rsidP="0061182A">
      <w:pPr>
        <w:spacing w:before="120"/>
        <w:jc w:val="both"/>
        <w:rPr>
          <w:sz w:val="22"/>
          <w:szCs w:val="22"/>
        </w:rPr>
      </w:pPr>
      <w:r w:rsidRPr="003C5E41">
        <w:rPr>
          <w:sz w:val="22"/>
          <w:szCs w:val="22"/>
        </w:rPr>
        <w:t>The ‘listed drug’, ‘form’, ‘manner of administration’</w:t>
      </w:r>
      <w:r w:rsidR="003E6B76" w:rsidRPr="003C5E41">
        <w:rPr>
          <w:sz w:val="22"/>
          <w:szCs w:val="22"/>
        </w:rPr>
        <w:t>,</w:t>
      </w:r>
      <w:r w:rsidRPr="003C5E41">
        <w:rPr>
          <w:sz w:val="22"/>
          <w:szCs w:val="22"/>
        </w:rPr>
        <w:t xml:space="preserve"> ‘maximum quantity or number of units’ and ‘maximum number of repeats’ for </w:t>
      </w:r>
      <w:r w:rsidR="003E6B76" w:rsidRPr="003C5E41">
        <w:rPr>
          <w:sz w:val="22"/>
          <w:szCs w:val="22"/>
        </w:rPr>
        <w:t>a</w:t>
      </w:r>
      <w:r w:rsidRPr="003C5E41">
        <w:rPr>
          <w:sz w:val="22"/>
          <w:szCs w:val="22"/>
        </w:rPr>
        <w:t xml:space="preserve"> pharmaceutical item are the same as declared and determined under the Act for pharmaceutical benefits that have </w:t>
      </w:r>
      <w:r w:rsidR="003E6B76" w:rsidRPr="003C5E41">
        <w:rPr>
          <w:sz w:val="22"/>
          <w:szCs w:val="22"/>
        </w:rPr>
        <w:t>a</w:t>
      </w:r>
      <w:r w:rsidRPr="003C5E41">
        <w:rPr>
          <w:sz w:val="22"/>
          <w:szCs w:val="22"/>
        </w:rPr>
        <w:t xml:space="preserve"> pharmaceutical item.</w:t>
      </w:r>
      <w:r w:rsidR="009309EE">
        <w:rPr>
          <w:sz w:val="22"/>
          <w:szCs w:val="22"/>
        </w:rPr>
        <w:t xml:space="preserve"> </w:t>
      </w:r>
      <w:r w:rsidRPr="003C5E41">
        <w:rPr>
          <w:sz w:val="22"/>
          <w:szCs w:val="22"/>
        </w:rPr>
        <w:t xml:space="preserve"> These declarations and determinations are made in the </w:t>
      </w:r>
      <w:r w:rsidRPr="009309EE">
        <w:rPr>
          <w:i/>
          <w:sz w:val="22"/>
          <w:szCs w:val="22"/>
        </w:rPr>
        <w:t>National Health (Listing of Pharmaceutical Benefits) Instrument 201</w:t>
      </w:r>
      <w:r w:rsidR="000B4E79">
        <w:rPr>
          <w:i/>
          <w:sz w:val="22"/>
          <w:szCs w:val="22"/>
        </w:rPr>
        <w:t>2</w:t>
      </w:r>
      <w:r w:rsidR="00D62660" w:rsidRPr="003C5E41">
        <w:rPr>
          <w:sz w:val="22"/>
          <w:szCs w:val="22"/>
        </w:rPr>
        <w:t xml:space="preserve"> (PB</w:t>
      </w:r>
      <w:r w:rsidR="0063774A" w:rsidRPr="003C5E41">
        <w:rPr>
          <w:sz w:val="22"/>
          <w:szCs w:val="22"/>
        </w:rPr>
        <w:t xml:space="preserve"> </w:t>
      </w:r>
      <w:r w:rsidR="000B4E79" w:rsidRPr="000B4E79">
        <w:rPr>
          <w:sz w:val="22"/>
          <w:szCs w:val="22"/>
        </w:rPr>
        <w:t>71 of 2012</w:t>
      </w:r>
      <w:r w:rsidR="00D62660" w:rsidRPr="003C5E41">
        <w:rPr>
          <w:sz w:val="22"/>
          <w:szCs w:val="22"/>
        </w:rPr>
        <w:t>)</w:t>
      </w:r>
      <w:r w:rsidR="00930F20">
        <w:rPr>
          <w:sz w:val="22"/>
          <w:szCs w:val="22"/>
        </w:rPr>
        <w:t>.</w:t>
      </w:r>
    </w:p>
    <w:p w:rsidR="005C091E" w:rsidRPr="003C5E41" w:rsidRDefault="005C091E" w:rsidP="0061182A">
      <w:pPr>
        <w:spacing w:before="120"/>
        <w:jc w:val="both"/>
        <w:rPr>
          <w:sz w:val="22"/>
          <w:szCs w:val="22"/>
        </w:rPr>
      </w:pPr>
      <w:r w:rsidRPr="003C5E41">
        <w:rPr>
          <w:sz w:val="22"/>
          <w:szCs w:val="22"/>
        </w:rPr>
        <w:t>Therefore, a</w:t>
      </w:r>
      <w:r w:rsidR="00F22670" w:rsidRPr="003C5E41">
        <w:rPr>
          <w:sz w:val="22"/>
          <w:szCs w:val="22"/>
        </w:rPr>
        <w:t xml:space="preserve"> supply of a pharmaceutical benefit that has this pharmaceutical item will be an early supply of a specified pharmaceutical benef</w:t>
      </w:r>
      <w:r w:rsidRPr="003C5E41">
        <w:rPr>
          <w:sz w:val="22"/>
          <w:szCs w:val="22"/>
        </w:rPr>
        <w:t>it providing the requirements of subsection 84AAA(1) are met.</w:t>
      </w:r>
    </w:p>
    <w:p w:rsidR="000E4965" w:rsidRPr="00F74B76" w:rsidRDefault="000E4965" w:rsidP="00F74B76">
      <w:pPr>
        <w:spacing w:before="240"/>
        <w:rPr>
          <w:b/>
          <w:sz w:val="22"/>
          <w:szCs w:val="22"/>
        </w:rPr>
      </w:pPr>
      <w:r w:rsidRPr="00F74B76">
        <w:rPr>
          <w:b/>
          <w:sz w:val="22"/>
          <w:szCs w:val="22"/>
        </w:rPr>
        <w:t>Variation and revocation</w:t>
      </w:r>
    </w:p>
    <w:p w:rsidR="000E4965" w:rsidRPr="003C5E41" w:rsidRDefault="000E4965" w:rsidP="0061182A">
      <w:pPr>
        <w:spacing w:before="120"/>
        <w:jc w:val="both"/>
        <w:rPr>
          <w:sz w:val="22"/>
          <w:szCs w:val="22"/>
        </w:rPr>
      </w:pPr>
      <w:r w:rsidRPr="003C5E41">
        <w:rPr>
          <w:sz w:val="22"/>
          <w:szCs w:val="22"/>
        </w:rPr>
        <w:t>Unless there is an express power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Pr="003C5E41">
        <w:rPr>
          <w:sz w:val="22"/>
          <w:szCs w:val="22"/>
        </w:rPr>
        <w:t xml:space="preserve"> cited in this Instrument and explanatory statement, subsection 33(3) of the </w:t>
      </w:r>
      <w:r w:rsidRPr="009309EE">
        <w:rPr>
          <w:i/>
          <w:sz w:val="22"/>
          <w:szCs w:val="22"/>
        </w:rPr>
        <w:t>Acts Interpretation Act 1901</w:t>
      </w:r>
      <w:r w:rsidRPr="003C5E41">
        <w:rPr>
          <w:sz w:val="22"/>
          <w:szCs w:val="22"/>
        </w:rPr>
        <w:t xml:space="preserve"> is relied upon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0063774A" w:rsidRPr="003C5E41">
        <w:rPr>
          <w:sz w:val="22"/>
          <w:szCs w:val="22"/>
        </w:rPr>
        <w:t>.</w:t>
      </w:r>
    </w:p>
    <w:p w:rsidR="00416D84" w:rsidRPr="00F74B76" w:rsidRDefault="00416D84" w:rsidP="00F74B76">
      <w:pPr>
        <w:spacing w:before="240"/>
        <w:rPr>
          <w:b/>
          <w:sz w:val="22"/>
          <w:szCs w:val="22"/>
        </w:rPr>
      </w:pPr>
      <w:r w:rsidRPr="00F74B76">
        <w:rPr>
          <w:b/>
          <w:sz w:val="22"/>
          <w:szCs w:val="22"/>
        </w:rPr>
        <w:t>Consultation</w:t>
      </w:r>
    </w:p>
    <w:p w:rsidR="00E2368B" w:rsidRPr="003C5E41" w:rsidRDefault="00E2368B" w:rsidP="0061182A">
      <w:pPr>
        <w:spacing w:before="120"/>
        <w:jc w:val="both"/>
        <w:rPr>
          <w:sz w:val="22"/>
          <w:szCs w:val="22"/>
        </w:rPr>
      </w:pPr>
      <w:r w:rsidRPr="003C5E41">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3C5E41">
        <w:rPr>
          <w:sz w:val="22"/>
          <w:szCs w:val="22"/>
        </w:rPr>
        <w:t xml:space="preserve">to Australians </w:t>
      </w:r>
      <w:r w:rsidRPr="003C5E41">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3C5E41">
        <w:rPr>
          <w:sz w:val="22"/>
          <w:szCs w:val="22"/>
        </w:rPr>
        <w:t xml:space="preserve">The Committee also includes a pharmaceutical industry nominee.  </w:t>
      </w:r>
      <w:r w:rsidRPr="003C5E41">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3C5E41">
        <w:rPr>
          <w:sz w:val="22"/>
          <w:szCs w:val="22"/>
        </w:rPr>
        <w:t>.</w:t>
      </w:r>
      <w:r w:rsidRPr="003C5E41">
        <w:rPr>
          <w:sz w:val="22"/>
          <w:szCs w:val="22"/>
        </w:rPr>
        <w:t xml:space="preserve">  The PBAC has provided advice regarding what should be specified in this Instrument.</w:t>
      </w:r>
    </w:p>
    <w:p w:rsidR="00FE5124" w:rsidRPr="003C5E41" w:rsidRDefault="005C091E" w:rsidP="0061182A">
      <w:pPr>
        <w:spacing w:before="120"/>
        <w:jc w:val="both"/>
        <w:rPr>
          <w:sz w:val="22"/>
          <w:szCs w:val="22"/>
        </w:rPr>
      </w:pPr>
      <w:r w:rsidRPr="003C5E41">
        <w:rPr>
          <w:sz w:val="22"/>
          <w:szCs w:val="22"/>
        </w:rPr>
        <w:t>This a</w:t>
      </w:r>
      <w:r w:rsidR="00FE5124" w:rsidRPr="003C5E41">
        <w:rPr>
          <w:sz w:val="22"/>
          <w:szCs w:val="22"/>
        </w:rPr>
        <w:t xml:space="preserve">mendment </w:t>
      </w:r>
      <w:r w:rsidRPr="003C5E41">
        <w:rPr>
          <w:sz w:val="22"/>
          <w:szCs w:val="22"/>
        </w:rPr>
        <w:t>is minor and</w:t>
      </w:r>
      <w:r w:rsidR="00FE5124" w:rsidRPr="003C5E41">
        <w:rPr>
          <w:sz w:val="22"/>
          <w:szCs w:val="22"/>
        </w:rPr>
        <w:t xml:space="preserve"> machinery in nature</w:t>
      </w:r>
      <w:r w:rsidR="00EF4C14" w:rsidRPr="003C5E41">
        <w:rPr>
          <w:sz w:val="22"/>
          <w:szCs w:val="22"/>
        </w:rPr>
        <w:t>.</w:t>
      </w:r>
    </w:p>
    <w:p w:rsidR="00FE772D" w:rsidRPr="00F74B76" w:rsidRDefault="005C091E" w:rsidP="00F74B76">
      <w:pPr>
        <w:spacing w:before="240"/>
        <w:rPr>
          <w:b/>
          <w:sz w:val="22"/>
          <w:szCs w:val="22"/>
        </w:rPr>
      </w:pPr>
      <w:r w:rsidRPr="00F74B76">
        <w:rPr>
          <w:b/>
          <w:sz w:val="22"/>
          <w:szCs w:val="22"/>
        </w:rPr>
        <w:t>General</w:t>
      </w:r>
    </w:p>
    <w:p w:rsidR="00416D84" w:rsidRPr="003C5E41" w:rsidRDefault="00416D84" w:rsidP="0061182A">
      <w:pPr>
        <w:spacing w:before="120"/>
        <w:jc w:val="both"/>
        <w:rPr>
          <w:sz w:val="22"/>
          <w:szCs w:val="22"/>
        </w:rPr>
      </w:pPr>
      <w:r w:rsidRPr="003C5E41">
        <w:rPr>
          <w:sz w:val="22"/>
          <w:szCs w:val="22"/>
        </w:rPr>
        <w:t xml:space="preserve">This Instrument commences on </w:t>
      </w:r>
      <w:r w:rsidR="00B74910" w:rsidRPr="003C5E41">
        <w:rPr>
          <w:sz w:val="22"/>
          <w:szCs w:val="22"/>
        </w:rPr>
        <w:t xml:space="preserve">1 </w:t>
      </w:r>
      <w:r w:rsidR="00022B94">
        <w:rPr>
          <w:sz w:val="22"/>
          <w:szCs w:val="22"/>
        </w:rPr>
        <w:t>February</w:t>
      </w:r>
      <w:r w:rsidR="00183C1F" w:rsidRPr="003C5E41">
        <w:rPr>
          <w:sz w:val="22"/>
          <w:szCs w:val="22"/>
        </w:rPr>
        <w:t xml:space="preserve"> </w:t>
      </w:r>
      <w:r w:rsidR="00022B94">
        <w:rPr>
          <w:sz w:val="22"/>
          <w:szCs w:val="22"/>
        </w:rPr>
        <w:t>2019</w:t>
      </w:r>
      <w:r w:rsidRPr="003C5E41">
        <w:rPr>
          <w:sz w:val="22"/>
          <w:szCs w:val="22"/>
        </w:rPr>
        <w:t>.</w:t>
      </w:r>
    </w:p>
    <w:p w:rsidR="003E6B76" w:rsidRPr="003C5E41" w:rsidRDefault="00416D84" w:rsidP="0061182A">
      <w:pPr>
        <w:spacing w:before="120"/>
        <w:jc w:val="both"/>
        <w:rPr>
          <w:sz w:val="22"/>
          <w:szCs w:val="22"/>
        </w:rPr>
      </w:pPr>
      <w:r w:rsidRPr="003C5E41">
        <w:rPr>
          <w:sz w:val="22"/>
          <w:szCs w:val="22"/>
        </w:rPr>
        <w:t xml:space="preserve">This Instrument is a legislative instrument for the purposes of the </w:t>
      </w:r>
      <w:r w:rsidR="00CC1271" w:rsidRPr="00C576F8">
        <w:rPr>
          <w:i/>
          <w:sz w:val="22"/>
          <w:szCs w:val="22"/>
        </w:rPr>
        <w:t>Legislation</w:t>
      </w:r>
      <w:r w:rsidR="0063774A" w:rsidRPr="00C576F8">
        <w:rPr>
          <w:i/>
          <w:sz w:val="22"/>
          <w:szCs w:val="22"/>
        </w:rPr>
        <w:t xml:space="preserve"> Act 2003</w:t>
      </w:r>
      <w:r w:rsidR="00C8515F" w:rsidRPr="003C5E41">
        <w:rPr>
          <w:sz w:val="22"/>
          <w:szCs w:val="22"/>
        </w:rPr>
        <w:t>.</w:t>
      </w:r>
    </w:p>
    <w:p w:rsidR="00BA5E16" w:rsidRDefault="003E6B76" w:rsidP="00CB5BEA">
      <w:pPr>
        <w:spacing w:before="240"/>
        <w:jc w:val="center"/>
        <w:rPr>
          <w:sz w:val="22"/>
          <w:szCs w:val="22"/>
        </w:rPr>
      </w:pPr>
      <w:r w:rsidRPr="003C5E41">
        <w:rPr>
          <w:sz w:val="22"/>
          <w:szCs w:val="22"/>
        </w:rPr>
        <w:br w:type="page"/>
      </w:r>
    </w:p>
    <w:p w:rsidR="00BA5E16" w:rsidRDefault="00BA5E16" w:rsidP="00BA5E16">
      <w:pPr>
        <w:jc w:val="right"/>
        <w:rPr>
          <w:b/>
          <w:sz w:val="22"/>
          <w:szCs w:val="22"/>
        </w:rPr>
      </w:pPr>
      <w:r w:rsidRPr="00BA5E16">
        <w:rPr>
          <w:b/>
          <w:sz w:val="22"/>
          <w:szCs w:val="22"/>
        </w:rPr>
        <w:lastRenderedPageBreak/>
        <w:t>ATTACHMENT</w:t>
      </w:r>
    </w:p>
    <w:p w:rsidR="00BA5E16" w:rsidRPr="00BA5E16" w:rsidRDefault="00BA5E16" w:rsidP="00191DBB">
      <w:pPr>
        <w:spacing w:before="360"/>
        <w:jc w:val="both"/>
        <w:rPr>
          <w:b/>
          <w:sz w:val="22"/>
          <w:szCs w:val="22"/>
        </w:rPr>
      </w:pPr>
      <w:r w:rsidRPr="00BA5E16">
        <w:rPr>
          <w:b/>
          <w:sz w:val="22"/>
          <w:szCs w:val="22"/>
        </w:rPr>
        <w:t xml:space="preserve">PROVISION-BY-PROVISION DESCRIPTION OF </w:t>
      </w:r>
      <w:r w:rsidRPr="003C5E41">
        <w:rPr>
          <w:b/>
          <w:i/>
          <w:sz w:val="22"/>
          <w:szCs w:val="22"/>
        </w:rPr>
        <w:t>NATIONAL HEALTH</w:t>
      </w:r>
      <w:r>
        <w:rPr>
          <w:b/>
          <w:i/>
          <w:sz w:val="22"/>
          <w:szCs w:val="22"/>
        </w:rPr>
        <w:t xml:space="preserve"> </w:t>
      </w:r>
      <w:r w:rsidRPr="003C5E41">
        <w:rPr>
          <w:b/>
          <w:i/>
          <w:sz w:val="22"/>
          <w:szCs w:val="22"/>
        </w:rPr>
        <w:t>(PHARMACEUTICAL BENEFITS – EARLY SUPPLY) AMENDMENT</w:t>
      </w:r>
      <w:r>
        <w:rPr>
          <w:b/>
          <w:i/>
          <w:sz w:val="22"/>
          <w:szCs w:val="22"/>
        </w:rPr>
        <w:t xml:space="preserve"> </w:t>
      </w:r>
      <w:r w:rsidRPr="003C5E41">
        <w:rPr>
          <w:b/>
          <w:i/>
          <w:sz w:val="22"/>
          <w:szCs w:val="22"/>
        </w:rPr>
        <w:t xml:space="preserve">INSTRUMENT </w:t>
      </w:r>
      <w:r w:rsidR="00022B94">
        <w:rPr>
          <w:b/>
          <w:i/>
          <w:sz w:val="22"/>
          <w:szCs w:val="22"/>
        </w:rPr>
        <w:t>2019</w:t>
      </w:r>
      <w:r w:rsidRPr="003C5E41">
        <w:rPr>
          <w:b/>
          <w:i/>
          <w:sz w:val="22"/>
          <w:szCs w:val="22"/>
        </w:rPr>
        <w:t xml:space="preserve"> (</w:t>
      </w:r>
      <w:r w:rsidR="00022B94">
        <w:rPr>
          <w:b/>
          <w:i/>
          <w:sz w:val="22"/>
          <w:szCs w:val="22"/>
        </w:rPr>
        <w:t>No. 1</w:t>
      </w:r>
      <w:r w:rsidRPr="003C5E41">
        <w:rPr>
          <w:b/>
          <w:i/>
          <w:sz w:val="22"/>
          <w:szCs w:val="22"/>
        </w:rPr>
        <w:t>)</w:t>
      </w:r>
    </w:p>
    <w:p w:rsidR="00BA5E16" w:rsidRDefault="00BA5E16" w:rsidP="00BA5E16">
      <w:pPr>
        <w:spacing w:before="240"/>
        <w:jc w:val="both"/>
        <w:rPr>
          <w:b/>
          <w:sz w:val="22"/>
          <w:szCs w:val="22"/>
        </w:rPr>
      </w:pPr>
      <w:r w:rsidRPr="00BA5E16">
        <w:rPr>
          <w:b/>
          <w:sz w:val="22"/>
          <w:szCs w:val="22"/>
        </w:rPr>
        <w:t>Section 1</w:t>
      </w:r>
      <w:r w:rsidRPr="00BA5E16">
        <w:rPr>
          <w:b/>
          <w:sz w:val="22"/>
          <w:szCs w:val="22"/>
        </w:rPr>
        <w:tab/>
        <w:t>Name of Instrument</w:t>
      </w:r>
    </w:p>
    <w:p w:rsidR="00BA5E16" w:rsidRDefault="00BA5E16" w:rsidP="00BA5E16">
      <w:pPr>
        <w:spacing w:before="120"/>
        <w:jc w:val="both"/>
        <w:rPr>
          <w:sz w:val="22"/>
          <w:szCs w:val="22"/>
        </w:rPr>
      </w:pPr>
      <w:r w:rsidRPr="00BA5E16">
        <w:rPr>
          <w:sz w:val="22"/>
          <w:szCs w:val="22"/>
        </w:rPr>
        <w:t xml:space="preserve">This section provides that the Instrument is the </w:t>
      </w:r>
      <w:r w:rsidRPr="00BA5E16">
        <w:rPr>
          <w:i/>
          <w:sz w:val="22"/>
          <w:szCs w:val="22"/>
        </w:rPr>
        <w:t>National Health (Pharmaceutical Benefits</w:t>
      </w:r>
      <w:r w:rsidR="00CE3F94">
        <w:rPr>
          <w:i/>
          <w:sz w:val="22"/>
          <w:szCs w:val="22"/>
        </w:rPr>
        <w:t xml:space="preserve"> – </w:t>
      </w:r>
      <w:r w:rsidR="00C340F1">
        <w:rPr>
          <w:i/>
          <w:sz w:val="22"/>
          <w:szCs w:val="22"/>
        </w:rPr>
        <w:t>e</w:t>
      </w:r>
      <w:r w:rsidR="00CE3F94">
        <w:rPr>
          <w:i/>
          <w:sz w:val="22"/>
          <w:szCs w:val="22"/>
        </w:rPr>
        <w:t xml:space="preserve">arly </w:t>
      </w:r>
      <w:r w:rsidR="00C340F1">
        <w:rPr>
          <w:i/>
          <w:sz w:val="22"/>
          <w:szCs w:val="22"/>
        </w:rPr>
        <w:t>s</w:t>
      </w:r>
      <w:r w:rsidR="00CE3F94">
        <w:rPr>
          <w:i/>
          <w:sz w:val="22"/>
          <w:szCs w:val="22"/>
        </w:rPr>
        <w:t>upply</w:t>
      </w:r>
      <w:r w:rsidRPr="00BA5E16">
        <w:rPr>
          <w:i/>
          <w:sz w:val="22"/>
          <w:szCs w:val="22"/>
        </w:rPr>
        <w:t xml:space="preserve">) Amendment Instrument </w:t>
      </w:r>
      <w:r w:rsidR="00022B94">
        <w:rPr>
          <w:i/>
          <w:sz w:val="22"/>
          <w:szCs w:val="22"/>
        </w:rPr>
        <w:t>2019</w:t>
      </w:r>
      <w:r w:rsidRPr="00BA5E16">
        <w:rPr>
          <w:i/>
          <w:sz w:val="22"/>
          <w:szCs w:val="22"/>
        </w:rPr>
        <w:t xml:space="preserve"> (</w:t>
      </w:r>
      <w:r w:rsidR="00022B94">
        <w:rPr>
          <w:i/>
          <w:sz w:val="22"/>
          <w:szCs w:val="22"/>
        </w:rPr>
        <w:t>No. 1</w:t>
      </w:r>
      <w:r w:rsidRPr="00BA5E16">
        <w:rPr>
          <w:i/>
          <w:sz w:val="22"/>
          <w:szCs w:val="22"/>
        </w:rPr>
        <w:t>)</w:t>
      </w:r>
      <w:r w:rsidR="004830A5">
        <w:rPr>
          <w:sz w:val="22"/>
          <w:szCs w:val="22"/>
        </w:rPr>
        <w:t xml:space="preserve"> and may also be cited as </w:t>
      </w:r>
      <w:r w:rsidR="00022B94">
        <w:rPr>
          <w:sz w:val="22"/>
          <w:szCs w:val="22"/>
        </w:rPr>
        <w:t>PB 2</w:t>
      </w:r>
      <w:r w:rsidRPr="00BA5E16">
        <w:rPr>
          <w:sz w:val="22"/>
          <w:szCs w:val="22"/>
        </w:rPr>
        <w:t xml:space="preserve"> of </w:t>
      </w:r>
      <w:r w:rsidR="00022B94">
        <w:rPr>
          <w:sz w:val="22"/>
          <w:szCs w:val="22"/>
        </w:rPr>
        <w:t>2019</w:t>
      </w:r>
      <w:r w:rsidRPr="00BA5E16">
        <w:rPr>
          <w:sz w:val="22"/>
          <w:szCs w:val="22"/>
        </w:rPr>
        <w:t>.</w:t>
      </w:r>
    </w:p>
    <w:p w:rsidR="00863F04" w:rsidRDefault="00863F04" w:rsidP="00365A29">
      <w:pPr>
        <w:spacing w:before="240"/>
        <w:jc w:val="both"/>
        <w:rPr>
          <w:b/>
          <w:sz w:val="22"/>
          <w:szCs w:val="22"/>
        </w:rPr>
      </w:pPr>
      <w:r w:rsidRPr="00365A29">
        <w:rPr>
          <w:b/>
          <w:sz w:val="22"/>
          <w:szCs w:val="22"/>
        </w:rPr>
        <w:t>Section 2</w:t>
      </w:r>
      <w:r w:rsidRPr="00365A29">
        <w:rPr>
          <w:b/>
          <w:sz w:val="22"/>
          <w:szCs w:val="22"/>
        </w:rPr>
        <w:tab/>
        <w:t>Commencement</w:t>
      </w:r>
    </w:p>
    <w:p w:rsidR="00365A29" w:rsidRDefault="00A540D4" w:rsidP="00365A29">
      <w:pPr>
        <w:spacing w:before="120"/>
        <w:jc w:val="both"/>
        <w:rPr>
          <w:sz w:val="22"/>
          <w:szCs w:val="22"/>
        </w:rPr>
      </w:pPr>
      <w:r>
        <w:rPr>
          <w:sz w:val="22"/>
          <w:szCs w:val="22"/>
        </w:rPr>
        <w:t>This section provides that the</w:t>
      </w:r>
      <w:r w:rsidR="00365A29" w:rsidRPr="00365A29">
        <w:rPr>
          <w:sz w:val="22"/>
          <w:szCs w:val="22"/>
        </w:rPr>
        <w:t xml:space="preserve"> Instrument </w:t>
      </w:r>
      <w:r w:rsidR="004830A5">
        <w:rPr>
          <w:sz w:val="22"/>
          <w:szCs w:val="22"/>
        </w:rPr>
        <w:t xml:space="preserve">commences on 1 </w:t>
      </w:r>
      <w:r w:rsidR="00022B94">
        <w:rPr>
          <w:sz w:val="22"/>
          <w:szCs w:val="22"/>
        </w:rPr>
        <w:t>February</w:t>
      </w:r>
      <w:r w:rsidR="00365A29" w:rsidRPr="00365A29">
        <w:rPr>
          <w:sz w:val="22"/>
          <w:szCs w:val="22"/>
        </w:rPr>
        <w:t xml:space="preserve"> </w:t>
      </w:r>
      <w:r w:rsidR="00022B94">
        <w:rPr>
          <w:sz w:val="22"/>
          <w:szCs w:val="22"/>
        </w:rPr>
        <w:t>2019</w:t>
      </w:r>
      <w:r w:rsidR="00365A29" w:rsidRPr="00365A29">
        <w:rPr>
          <w:sz w:val="22"/>
          <w:szCs w:val="22"/>
        </w:rPr>
        <w:t>.</w:t>
      </w:r>
    </w:p>
    <w:p w:rsidR="00365A29" w:rsidRDefault="00365A29" w:rsidP="00365A29">
      <w:pPr>
        <w:spacing w:before="240"/>
        <w:ind w:left="1418" w:hanging="1418"/>
        <w:jc w:val="both"/>
        <w:rPr>
          <w:b/>
          <w:sz w:val="22"/>
          <w:szCs w:val="22"/>
        </w:rPr>
      </w:pPr>
      <w:r w:rsidRPr="00365A29">
        <w:rPr>
          <w:b/>
          <w:sz w:val="22"/>
          <w:szCs w:val="22"/>
        </w:rPr>
        <w:t>Section 3</w:t>
      </w:r>
      <w:r w:rsidRPr="00365A29">
        <w:rPr>
          <w:b/>
          <w:sz w:val="22"/>
          <w:szCs w:val="22"/>
        </w:rPr>
        <w:tab/>
        <w:t>Amendment of</w:t>
      </w:r>
      <w:r>
        <w:rPr>
          <w:b/>
          <w:sz w:val="22"/>
          <w:szCs w:val="22"/>
        </w:rPr>
        <w:t xml:space="preserve"> </w:t>
      </w:r>
      <w:r w:rsidRPr="00365A29">
        <w:rPr>
          <w:b/>
          <w:i/>
          <w:sz w:val="22"/>
          <w:szCs w:val="22"/>
        </w:rPr>
        <w:t>National Health (Pharmaceutical Benefits—early supply) Instrument 2015</w:t>
      </w:r>
      <w:r w:rsidRPr="00365A29">
        <w:rPr>
          <w:b/>
          <w:sz w:val="22"/>
          <w:szCs w:val="22"/>
        </w:rPr>
        <w:t xml:space="preserve"> (PB 120 of 2015)</w:t>
      </w:r>
    </w:p>
    <w:p w:rsidR="00365A29" w:rsidRDefault="00BC5C96" w:rsidP="00BC5C96">
      <w:pPr>
        <w:spacing w:before="120"/>
        <w:jc w:val="both"/>
        <w:rPr>
          <w:sz w:val="22"/>
          <w:szCs w:val="22"/>
        </w:rPr>
      </w:pPr>
      <w:r w:rsidRPr="00BC5C96">
        <w:rPr>
          <w:sz w:val="22"/>
          <w:szCs w:val="22"/>
        </w:rPr>
        <w:t>This section provides that Schedule 1 amends the</w:t>
      </w:r>
      <w:r>
        <w:rPr>
          <w:sz w:val="22"/>
          <w:szCs w:val="22"/>
        </w:rPr>
        <w:t xml:space="preserve"> </w:t>
      </w:r>
      <w:r w:rsidRPr="00BC5C96">
        <w:rPr>
          <w:i/>
          <w:sz w:val="22"/>
          <w:szCs w:val="22"/>
        </w:rPr>
        <w:t>National Health (Pharmaceutical Benefits—early supply) Instrument 2015</w:t>
      </w:r>
      <w:r w:rsidRPr="00BC5C96">
        <w:rPr>
          <w:sz w:val="22"/>
          <w:szCs w:val="22"/>
        </w:rPr>
        <w:t xml:space="preserve"> (PB 120 of 2015</w:t>
      </w:r>
      <w:r>
        <w:rPr>
          <w:sz w:val="22"/>
          <w:szCs w:val="22"/>
        </w:rPr>
        <w:t>).</w:t>
      </w:r>
    </w:p>
    <w:p w:rsidR="00BC5C96" w:rsidRPr="00BC5C96" w:rsidRDefault="00BC5C96" w:rsidP="00BC5C96">
      <w:pPr>
        <w:spacing w:before="240"/>
        <w:jc w:val="both"/>
        <w:rPr>
          <w:b/>
          <w:sz w:val="22"/>
          <w:szCs w:val="22"/>
        </w:rPr>
      </w:pPr>
      <w:r w:rsidRPr="00BC5C96">
        <w:rPr>
          <w:b/>
          <w:sz w:val="22"/>
          <w:szCs w:val="22"/>
        </w:rPr>
        <w:t>Schedule 1</w:t>
      </w:r>
      <w:r w:rsidRPr="00BC5C96">
        <w:rPr>
          <w:b/>
          <w:sz w:val="22"/>
          <w:szCs w:val="22"/>
        </w:rPr>
        <w:tab/>
        <w:t>Amendments</w:t>
      </w:r>
    </w:p>
    <w:p w:rsidR="00BC5C96" w:rsidRDefault="00BC5C96" w:rsidP="00BC5C96">
      <w:pPr>
        <w:spacing w:before="120"/>
        <w:jc w:val="both"/>
        <w:rPr>
          <w:sz w:val="22"/>
          <w:szCs w:val="22"/>
        </w:rPr>
      </w:pPr>
      <w:r w:rsidRPr="00BC5C96">
        <w:rPr>
          <w:sz w:val="22"/>
          <w:szCs w:val="22"/>
        </w:rPr>
        <w:t>The amendments in Schedule 1 involve additions, deletions and changes to</w:t>
      </w:r>
      <w:r w:rsidR="00DA22E1">
        <w:rPr>
          <w:sz w:val="22"/>
          <w:szCs w:val="22"/>
        </w:rPr>
        <w:t xml:space="preserve"> pharmaceutical items listed in Schedule 1 </w:t>
      </w:r>
      <w:r w:rsidR="00A92F16">
        <w:rPr>
          <w:sz w:val="22"/>
          <w:szCs w:val="22"/>
        </w:rPr>
        <w:t xml:space="preserve">of the Principle Instrument </w:t>
      </w:r>
      <w:r w:rsidR="00AE6DF3">
        <w:rPr>
          <w:sz w:val="22"/>
          <w:szCs w:val="22"/>
        </w:rPr>
        <w:t xml:space="preserve">and </w:t>
      </w:r>
      <w:r w:rsidR="00A540D4">
        <w:rPr>
          <w:sz w:val="22"/>
          <w:szCs w:val="22"/>
        </w:rPr>
        <w:t xml:space="preserve">the </w:t>
      </w:r>
      <w:r w:rsidR="00AE6DF3">
        <w:rPr>
          <w:sz w:val="22"/>
          <w:szCs w:val="22"/>
        </w:rPr>
        <w:t>associated periods (days) and c</w:t>
      </w:r>
      <w:r w:rsidR="00AD42BB" w:rsidRPr="00AD42BB">
        <w:rPr>
          <w:sz w:val="22"/>
          <w:szCs w:val="22"/>
        </w:rPr>
        <w:t>ircumstances</w:t>
      </w:r>
      <w:r w:rsidR="00DA22E1" w:rsidRPr="003F7CA6">
        <w:rPr>
          <w:sz w:val="22"/>
          <w:szCs w:val="22"/>
        </w:rPr>
        <w:t>.</w:t>
      </w:r>
      <w:r w:rsidR="003F7CA6" w:rsidRPr="003F7CA6">
        <w:rPr>
          <w:sz w:val="22"/>
          <w:szCs w:val="22"/>
        </w:rPr>
        <w:t xml:space="preserve">  These changes are summarised below.</w:t>
      </w:r>
    </w:p>
    <w:p w:rsidR="00991086" w:rsidRDefault="00991086" w:rsidP="00AE6DF3">
      <w:pPr>
        <w:jc w:val="both"/>
        <w:rPr>
          <w:sz w:val="22"/>
          <w:szCs w:val="22"/>
        </w:rPr>
      </w:pPr>
    </w:p>
    <w:p w:rsidR="00AE6DF3" w:rsidRPr="00F12CE6" w:rsidRDefault="00AE6DF3" w:rsidP="00191DBB">
      <w:pPr>
        <w:spacing w:before="240"/>
        <w:jc w:val="center"/>
        <w:rPr>
          <w:b/>
          <w:sz w:val="22"/>
          <w:szCs w:val="22"/>
        </w:rPr>
      </w:pPr>
      <w:r w:rsidRPr="00F12CE6">
        <w:rPr>
          <w:b/>
          <w:sz w:val="22"/>
          <w:szCs w:val="22"/>
        </w:rPr>
        <w:t>SUMMARY OF CHANGES</w:t>
      </w:r>
    </w:p>
    <w:p w:rsidR="00022B94" w:rsidRDefault="00022B94" w:rsidP="00860CC6">
      <w:pPr>
        <w:spacing w:before="240"/>
        <w:rPr>
          <w:b/>
          <w:sz w:val="22"/>
          <w:szCs w:val="22"/>
        </w:rPr>
      </w:pPr>
      <w:r>
        <w:rPr>
          <w:b/>
          <w:sz w:val="22"/>
          <w:szCs w:val="22"/>
        </w:rPr>
        <w:t>Listed Drugs Deleted</w:t>
      </w:r>
    </w:p>
    <w:p w:rsidR="00022B94" w:rsidRDefault="00022B94" w:rsidP="00022B94">
      <w:pPr>
        <w:rPr>
          <w:sz w:val="22"/>
          <w:szCs w:val="22"/>
        </w:rPr>
      </w:pPr>
      <w:r w:rsidRPr="00022B94">
        <w:rPr>
          <w:sz w:val="22"/>
          <w:szCs w:val="22"/>
        </w:rPr>
        <w:t>Paritaprevir with ritonavir with ombitasvir and dasabuvir</w:t>
      </w:r>
    </w:p>
    <w:p w:rsidR="00414C4F" w:rsidRPr="00022B94" w:rsidRDefault="00414C4F" w:rsidP="002A5FBA">
      <w:pPr>
        <w:spacing w:before="60"/>
        <w:rPr>
          <w:sz w:val="22"/>
          <w:szCs w:val="22"/>
        </w:rPr>
      </w:pPr>
      <w:r w:rsidRPr="00414C4F">
        <w:rPr>
          <w:sz w:val="22"/>
          <w:szCs w:val="22"/>
        </w:rPr>
        <w:t>Paritaprevir with ritonavir with ombitasvir and dasabuvir and ribavirin</w:t>
      </w:r>
    </w:p>
    <w:p w:rsidR="00860CC6" w:rsidRPr="00F12CE6" w:rsidRDefault="00414C4F" w:rsidP="00860CC6">
      <w:pPr>
        <w:spacing w:before="240"/>
        <w:rPr>
          <w:b/>
          <w:sz w:val="22"/>
          <w:szCs w:val="22"/>
        </w:rPr>
      </w:pPr>
      <w:r>
        <w:rPr>
          <w:b/>
          <w:sz w:val="22"/>
          <w:szCs w:val="22"/>
        </w:rPr>
        <w:t>Forms</w:t>
      </w:r>
      <w:r w:rsidR="00860CC6">
        <w:rPr>
          <w:b/>
          <w:sz w:val="22"/>
          <w:szCs w:val="22"/>
        </w:rPr>
        <w:t xml:space="preserve"> </w:t>
      </w:r>
      <w:r w:rsidR="00022B94">
        <w:rPr>
          <w:b/>
          <w:sz w:val="22"/>
          <w:szCs w:val="22"/>
        </w:rPr>
        <w:t>Deleted</w:t>
      </w:r>
    </w:p>
    <w:tbl>
      <w:tblPr>
        <w:tblW w:w="5419" w:type="pct"/>
        <w:tblLayout w:type="fixed"/>
        <w:tblCellMar>
          <w:top w:w="28" w:type="dxa"/>
          <w:left w:w="28" w:type="dxa"/>
          <w:bottom w:w="28" w:type="dxa"/>
          <w:right w:w="28" w:type="dxa"/>
        </w:tblCellMar>
        <w:tblLook w:val="01E0" w:firstRow="1" w:lastRow="1" w:firstColumn="1" w:lastColumn="1" w:noHBand="0" w:noVBand="0"/>
      </w:tblPr>
      <w:tblGrid>
        <w:gridCol w:w="3130"/>
        <w:gridCol w:w="6585"/>
      </w:tblGrid>
      <w:tr w:rsidR="00A85D4C" w:rsidRPr="001E78EC" w:rsidTr="00022B94">
        <w:tc>
          <w:tcPr>
            <w:tcW w:w="1611" w:type="pct"/>
            <w:shd w:val="clear" w:color="auto" w:fill="auto"/>
          </w:tcPr>
          <w:p w:rsidR="00A85D4C" w:rsidRPr="00A85D4C" w:rsidRDefault="00022B94" w:rsidP="00757A2D">
            <w:pPr>
              <w:spacing w:before="60" w:after="60"/>
              <w:contextualSpacing/>
              <w:rPr>
                <w:sz w:val="22"/>
                <w:szCs w:val="22"/>
              </w:rPr>
            </w:pPr>
            <w:r w:rsidRPr="00022B94">
              <w:rPr>
                <w:sz w:val="22"/>
                <w:szCs w:val="22"/>
              </w:rPr>
              <w:t>Glyceryl trinitrate</w:t>
            </w:r>
          </w:p>
        </w:tc>
        <w:tc>
          <w:tcPr>
            <w:tcW w:w="3389" w:type="pct"/>
            <w:shd w:val="clear" w:color="auto" w:fill="auto"/>
          </w:tcPr>
          <w:p w:rsidR="00A85D4C" w:rsidRPr="00A85D4C" w:rsidRDefault="00022B94" w:rsidP="00757A2D">
            <w:pPr>
              <w:spacing w:before="60" w:after="60"/>
              <w:contextualSpacing/>
              <w:rPr>
                <w:sz w:val="22"/>
                <w:szCs w:val="22"/>
              </w:rPr>
            </w:pPr>
            <w:r w:rsidRPr="00022B94">
              <w:rPr>
                <w:sz w:val="22"/>
                <w:szCs w:val="22"/>
              </w:rPr>
              <w:t>Transdermal patch 40 mg</w:t>
            </w:r>
          </w:p>
        </w:tc>
      </w:tr>
      <w:tr w:rsidR="00AA23F8" w:rsidRPr="001E78EC" w:rsidTr="00022B94">
        <w:tc>
          <w:tcPr>
            <w:tcW w:w="1611" w:type="pct"/>
            <w:shd w:val="clear" w:color="auto" w:fill="auto"/>
          </w:tcPr>
          <w:p w:rsidR="00AA23F8" w:rsidRPr="00AA23F8" w:rsidRDefault="00022B94" w:rsidP="00757A2D">
            <w:pPr>
              <w:spacing w:before="60" w:after="60"/>
              <w:contextualSpacing/>
              <w:rPr>
                <w:sz w:val="22"/>
                <w:szCs w:val="16"/>
              </w:rPr>
            </w:pPr>
            <w:r w:rsidRPr="00022B94">
              <w:rPr>
                <w:sz w:val="22"/>
                <w:szCs w:val="22"/>
              </w:rPr>
              <w:t>Glyceryl trinitrate</w:t>
            </w:r>
          </w:p>
        </w:tc>
        <w:tc>
          <w:tcPr>
            <w:tcW w:w="3389" w:type="pct"/>
            <w:shd w:val="clear" w:color="auto" w:fill="auto"/>
          </w:tcPr>
          <w:p w:rsidR="00AA23F8" w:rsidRPr="00AA23F8" w:rsidRDefault="00022B94" w:rsidP="00757A2D">
            <w:pPr>
              <w:spacing w:before="60" w:after="60"/>
              <w:contextualSpacing/>
              <w:rPr>
                <w:sz w:val="22"/>
                <w:szCs w:val="16"/>
              </w:rPr>
            </w:pPr>
            <w:r>
              <w:rPr>
                <w:sz w:val="22"/>
                <w:szCs w:val="22"/>
              </w:rPr>
              <w:t>Transdermal patch 8</w:t>
            </w:r>
            <w:r w:rsidRPr="00022B94">
              <w:rPr>
                <w:sz w:val="22"/>
                <w:szCs w:val="22"/>
              </w:rPr>
              <w:t>0 mg</w:t>
            </w:r>
          </w:p>
        </w:tc>
      </w:tr>
      <w:tr w:rsidR="00022B94" w:rsidRPr="00826123" w:rsidTr="00022B94">
        <w:tc>
          <w:tcPr>
            <w:tcW w:w="1611" w:type="pct"/>
            <w:shd w:val="clear" w:color="auto" w:fill="auto"/>
          </w:tcPr>
          <w:p w:rsidR="00022B94" w:rsidRPr="00AA23F8" w:rsidRDefault="00022B94" w:rsidP="00757A2D">
            <w:pPr>
              <w:spacing w:before="60" w:after="60"/>
              <w:contextualSpacing/>
              <w:rPr>
                <w:sz w:val="22"/>
                <w:szCs w:val="16"/>
              </w:rPr>
            </w:pPr>
            <w:r w:rsidRPr="00022B94">
              <w:rPr>
                <w:sz w:val="22"/>
                <w:szCs w:val="22"/>
              </w:rPr>
              <w:t>Glyceryl trinitrate</w:t>
            </w:r>
          </w:p>
        </w:tc>
        <w:tc>
          <w:tcPr>
            <w:tcW w:w="3389" w:type="pct"/>
            <w:shd w:val="clear" w:color="auto" w:fill="auto"/>
          </w:tcPr>
          <w:p w:rsidR="00022B94" w:rsidRPr="00AA23F8" w:rsidRDefault="00022B94" w:rsidP="00757A2D">
            <w:pPr>
              <w:spacing w:before="60" w:after="60"/>
              <w:contextualSpacing/>
              <w:rPr>
                <w:sz w:val="22"/>
                <w:szCs w:val="16"/>
              </w:rPr>
            </w:pPr>
            <w:r>
              <w:rPr>
                <w:sz w:val="22"/>
                <w:szCs w:val="22"/>
              </w:rPr>
              <w:t>Transdermal patch 12</w:t>
            </w:r>
            <w:r w:rsidRPr="00022B94">
              <w:rPr>
                <w:sz w:val="22"/>
                <w:szCs w:val="22"/>
              </w:rPr>
              <w:t>0 mg</w:t>
            </w:r>
          </w:p>
        </w:tc>
      </w:tr>
      <w:tr w:rsidR="00022B94" w:rsidRPr="00826123" w:rsidTr="00022B94">
        <w:tc>
          <w:tcPr>
            <w:tcW w:w="1611" w:type="pct"/>
            <w:shd w:val="clear" w:color="auto" w:fill="auto"/>
          </w:tcPr>
          <w:p w:rsidR="00022B94" w:rsidRPr="00AA23F8" w:rsidRDefault="00022B94" w:rsidP="00757A2D">
            <w:pPr>
              <w:spacing w:before="60" w:after="60"/>
              <w:contextualSpacing/>
              <w:rPr>
                <w:sz w:val="22"/>
                <w:szCs w:val="16"/>
              </w:rPr>
            </w:pPr>
          </w:p>
        </w:tc>
        <w:tc>
          <w:tcPr>
            <w:tcW w:w="3389" w:type="pct"/>
            <w:shd w:val="clear" w:color="auto" w:fill="auto"/>
          </w:tcPr>
          <w:p w:rsidR="00022B94" w:rsidRPr="00AA23F8"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AA23F8" w:rsidRDefault="00022B94" w:rsidP="00757A2D">
            <w:pPr>
              <w:spacing w:before="60" w:after="60"/>
              <w:contextualSpacing/>
              <w:rPr>
                <w:sz w:val="22"/>
                <w:szCs w:val="16"/>
              </w:rPr>
            </w:pPr>
          </w:p>
        </w:tc>
        <w:tc>
          <w:tcPr>
            <w:tcW w:w="3389" w:type="pct"/>
            <w:shd w:val="clear" w:color="auto" w:fill="auto"/>
          </w:tcPr>
          <w:p w:rsidR="00022B94" w:rsidRPr="00AA23F8"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AA23F8" w:rsidRDefault="00022B94" w:rsidP="00757A2D">
            <w:pPr>
              <w:spacing w:before="60" w:after="60"/>
              <w:contextualSpacing/>
              <w:rPr>
                <w:sz w:val="22"/>
                <w:szCs w:val="16"/>
              </w:rPr>
            </w:pPr>
          </w:p>
        </w:tc>
        <w:tc>
          <w:tcPr>
            <w:tcW w:w="3389" w:type="pct"/>
            <w:shd w:val="clear" w:color="auto" w:fill="auto"/>
          </w:tcPr>
          <w:p w:rsidR="00022B94" w:rsidRPr="00AA23F8"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AA23F8" w:rsidRDefault="00022B94" w:rsidP="00757A2D">
            <w:pPr>
              <w:spacing w:before="60" w:after="60"/>
              <w:contextualSpacing/>
              <w:rPr>
                <w:sz w:val="22"/>
                <w:szCs w:val="16"/>
              </w:rPr>
            </w:pPr>
          </w:p>
        </w:tc>
        <w:tc>
          <w:tcPr>
            <w:tcW w:w="3389" w:type="pct"/>
            <w:shd w:val="clear" w:color="auto" w:fill="auto"/>
          </w:tcPr>
          <w:p w:rsidR="00022B94" w:rsidRPr="00AA23F8"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AA23F8" w:rsidRDefault="00022B94" w:rsidP="00757A2D">
            <w:pPr>
              <w:spacing w:before="60" w:after="60"/>
              <w:contextualSpacing/>
              <w:rPr>
                <w:sz w:val="22"/>
                <w:szCs w:val="16"/>
              </w:rPr>
            </w:pPr>
          </w:p>
        </w:tc>
        <w:tc>
          <w:tcPr>
            <w:tcW w:w="3389" w:type="pct"/>
            <w:shd w:val="clear" w:color="auto" w:fill="auto"/>
          </w:tcPr>
          <w:p w:rsidR="00022B94" w:rsidRPr="00AA23F8"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AA23F8" w:rsidRDefault="00022B94" w:rsidP="00757A2D">
            <w:pPr>
              <w:spacing w:before="60" w:after="60"/>
              <w:contextualSpacing/>
              <w:rPr>
                <w:sz w:val="22"/>
                <w:szCs w:val="16"/>
              </w:rPr>
            </w:pPr>
          </w:p>
        </w:tc>
        <w:tc>
          <w:tcPr>
            <w:tcW w:w="3389" w:type="pct"/>
            <w:shd w:val="clear" w:color="auto" w:fill="auto"/>
          </w:tcPr>
          <w:p w:rsidR="00022B94" w:rsidRPr="00AA23F8"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4B2399" w:rsidRDefault="00022B94" w:rsidP="00757A2D">
            <w:pPr>
              <w:spacing w:before="60" w:after="60"/>
              <w:contextualSpacing/>
              <w:rPr>
                <w:sz w:val="22"/>
                <w:szCs w:val="16"/>
              </w:rPr>
            </w:pPr>
          </w:p>
        </w:tc>
        <w:tc>
          <w:tcPr>
            <w:tcW w:w="3389" w:type="pct"/>
            <w:shd w:val="clear" w:color="auto" w:fill="auto"/>
          </w:tcPr>
          <w:p w:rsidR="00022B94" w:rsidRPr="004B2399"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4B2399" w:rsidRDefault="00022B94" w:rsidP="00757A2D">
            <w:pPr>
              <w:spacing w:before="60" w:after="60"/>
              <w:contextualSpacing/>
              <w:rPr>
                <w:sz w:val="22"/>
                <w:szCs w:val="16"/>
              </w:rPr>
            </w:pPr>
          </w:p>
        </w:tc>
        <w:tc>
          <w:tcPr>
            <w:tcW w:w="3389" w:type="pct"/>
            <w:shd w:val="clear" w:color="auto" w:fill="auto"/>
          </w:tcPr>
          <w:p w:rsidR="00022B94" w:rsidRPr="004B2399"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4B2399" w:rsidRDefault="00022B94" w:rsidP="00757A2D">
            <w:pPr>
              <w:spacing w:before="60" w:after="60"/>
              <w:contextualSpacing/>
              <w:rPr>
                <w:sz w:val="22"/>
                <w:szCs w:val="16"/>
              </w:rPr>
            </w:pPr>
          </w:p>
        </w:tc>
        <w:tc>
          <w:tcPr>
            <w:tcW w:w="3389" w:type="pct"/>
            <w:shd w:val="clear" w:color="auto" w:fill="auto"/>
          </w:tcPr>
          <w:p w:rsidR="00022B94" w:rsidRPr="004B2399"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4B2399" w:rsidRDefault="00022B94" w:rsidP="00757A2D">
            <w:pPr>
              <w:spacing w:before="60" w:after="60"/>
              <w:contextualSpacing/>
              <w:rPr>
                <w:sz w:val="22"/>
                <w:szCs w:val="16"/>
              </w:rPr>
            </w:pPr>
          </w:p>
        </w:tc>
        <w:tc>
          <w:tcPr>
            <w:tcW w:w="3389" w:type="pct"/>
            <w:shd w:val="clear" w:color="auto" w:fill="auto"/>
          </w:tcPr>
          <w:p w:rsidR="00022B94" w:rsidRPr="004B2399"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4B2399" w:rsidRDefault="00022B94" w:rsidP="00757A2D">
            <w:pPr>
              <w:spacing w:before="60" w:after="60"/>
              <w:contextualSpacing/>
              <w:rPr>
                <w:sz w:val="22"/>
                <w:szCs w:val="16"/>
              </w:rPr>
            </w:pPr>
          </w:p>
        </w:tc>
        <w:tc>
          <w:tcPr>
            <w:tcW w:w="3389" w:type="pct"/>
            <w:shd w:val="clear" w:color="auto" w:fill="auto"/>
          </w:tcPr>
          <w:p w:rsidR="00022B94" w:rsidRPr="004B2399"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4B2399" w:rsidRDefault="00022B94" w:rsidP="00757A2D">
            <w:pPr>
              <w:spacing w:before="60" w:after="60"/>
              <w:contextualSpacing/>
              <w:rPr>
                <w:sz w:val="22"/>
                <w:szCs w:val="16"/>
              </w:rPr>
            </w:pPr>
          </w:p>
        </w:tc>
        <w:tc>
          <w:tcPr>
            <w:tcW w:w="3389" w:type="pct"/>
            <w:shd w:val="clear" w:color="auto" w:fill="auto"/>
          </w:tcPr>
          <w:p w:rsidR="00022B94" w:rsidRPr="004B2399"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4B2399" w:rsidRDefault="00022B94" w:rsidP="00757A2D">
            <w:pPr>
              <w:spacing w:before="60" w:after="60"/>
              <w:contextualSpacing/>
              <w:rPr>
                <w:sz w:val="22"/>
                <w:szCs w:val="16"/>
              </w:rPr>
            </w:pPr>
          </w:p>
        </w:tc>
        <w:tc>
          <w:tcPr>
            <w:tcW w:w="3389" w:type="pct"/>
            <w:shd w:val="clear" w:color="auto" w:fill="auto"/>
          </w:tcPr>
          <w:p w:rsidR="00022B94" w:rsidRPr="004B2399" w:rsidRDefault="00022B94" w:rsidP="00757A2D">
            <w:pPr>
              <w:spacing w:before="60" w:after="60"/>
              <w:contextualSpacing/>
              <w:rPr>
                <w:sz w:val="22"/>
                <w:szCs w:val="16"/>
              </w:rPr>
            </w:pPr>
          </w:p>
        </w:tc>
      </w:tr>
      <w:tr w:rsidR="00022B94" w:rsidRPr="001E78EC" w:rsidTr="00022B94">
        <w:tc>
          <w:tcPr>
            <w:tcW w:w="1611" w:type="pct"/>
            <w:shd w:val="clear" w:color="auto" w:fill="auto"/>
          </w:tcPr>
          <w:p w:rsidR="00022B94" w:rsidRPr="004B2399" w:rsidRDefault="00022B94" w:rsidP="00757A2D">
            <w:pPr>
              <w:spacing w:before="60" w:after="60"/>
              <w:contextualSpacing/>
              <w:rPr>
                <w:sz w:val="22"/>
                <w:szCs w:val="16"/>
              </w:rPr>
            </w:pPr>
          </w:p>
        </w:tc>
        <w:tc>
          <w:tcPr>
            <w:tcW w:w="3389" w:type="pct"/>
            <w:shd w:val="clear" w:color="auto" w:fill="auto"/>
          </w:tcPr>
          <w:p w:rsidR="00022B94" w:rsidRPr="004B2399" w:rsidRDefault="00022B94" w:rsidP="00757A2D">
            <w:pPr>
              <w:spacing w:before="60" w:after="60"/>
              <w:contextualSpacing/>
              <w:rPr>
                <w:sz w:val="22"/>
                <w:szCs w:val="16"/>
              </w:rPr>
            </w:pPr>
          </w:p>
        </w:tc>
      </w:tr>
    </w:tbl>
    <w:p w:rsidR="00DF5C07" w:rsidRDefault="00DF5C07">
      <w:pPr>
        <w:rPr>
          <w:b/>
          <w:sz w:val="26"/>
          <w:szCs w:val="26"/>
        </w:rPr>
      </w:pPr>
      <w:r>
        <w:rPr>
          <w:b/>
          <w:sz w:val="26"/>
          <w:szCs w:val="26"/>
        </w:rPr>
        <w:br w:type="page"/>
      </w:r>
    </w:p>
    <w:p w:rsidR="003E6B76" w:rsidRPr="00CB5BEA" w:rsidRDefault="003E6B76" w:rsidP="00CB5BEA">
      <w:pPr>
        <w:spacing w:before="240"/>
        <w:jc w:val="center"/>
        <w:rPr>
          <w:b/>
          <w:sz w:val="26"/>
          <w:szCs w:val="26"/>
        </w:rPr>
      </w:pPr>
      <w:r w:rsidRPr="00CB5BEA">
        <w:rPr>
          <w:b/>
          <w:sz w:val="26"/>
          <w:szCs w:val="26"/>
        </w:rPr>
        <w:lastRenderedPageBreak/>
        <w:t>Statement of Compatibility with Human Rights</w:t>
      </w:r>
    </w:p>
    <w:p w:rsidR="003E6B76" w:rsidRPr="00CB5BEA" w:rsidRDefault="003E6B76" w:rsidP="00CB5BEA">
      <w:pPr>
        <w:spacing w:before="120"/>
        <w:jc w:val="center"/>
        <w:rPr>
          <w:i/>
          <w:sz w:val="22"/>
          <w:szCs w:val="22"/>
        </w:rPr>
      </w:pPr>
      <w:r w:rsidRPr="00CB5BEA">
        <w:rPr>
          <w:i/>
          <w:sz w:val="22"/>
          <w:szCs w:val="22"/>
        </w:rPr>
        <w:t>Prepared in accordance with Part 3 of the Human Rights (Parliamentary Scrutiny) Act 2011</w:t>
      </w:r>
    </w:p>
    <w:p w:rsidR="00B42D7A" w:rsidRPr="00CB5BEA" w:rsidRDefault="00CA215D" w:rsidP="00CB5BEA">
      <w:pPr>
        <w:spacing w:before="360"/>
        <w:jc w:val="center"/>
        <w:rPr>
          <w:b/>
          <w:i/>
          <w:sz w:val="22"/>
          <w:szCs w:val="22"/>
        </w:rPr>
      </w:pPr>
      <w:r w:rsidRPr="00CB5BEA">
        <w:rPr>
          <w:b/>
          <w:i/>
          <w:sz w:val="22"/>
          <w:szCs w:val="22"/>
        </w:rPr>
        <w:t xml:space="preserve">National Health (Pharmaceutical </w:t>
      </w:r>
      <w:r w:rsidR="00CB5BEA">
        <w:rPr>
          <w:b/>
          <w:i/>
          <w:sz w:val="22"/>
          <w:szCs w:val="22"/>
        </w:rPr>
        <w:t>B</w:t>
      </w:r>
      <w:r w:rsidRPr="00CB5BEA">
        <w:rPr>
          <w:b/>
          <w:i/>
          <w:sz w:val="22"/>
          <w:szCs w:val="22"/>
        </w:rPr>
        <w:t xml:space="preserve">enefits – early supply) Amendment Instrument </w:t>
      </w:r>
      <w:r w:rsidR="00022B94">
        <w:rPr>
          <w:b/>
          <w:i/>
          <w:sz w:val="22"/>
          <w:szCs w:val="22"/>
        </w:rPr>
        <w:t>2019</w:t>
      </w:r>
      <w:r w:rsidRPr="00CB5BEA">
        <w:rPr>
          <w:b/>
          <w:i/>
          <w:sz w:val="22"/>
          <w:szCs w:val="22"/>
        </w:rPr>
        <w:t xml:space="preserve"> (</w:t>
      </w:r>
      <w:r w:rsidR="00022B94">
        <w:rPr>
          <w:b/>
          <w:i/>
          <w:sz w:val="22"/>
          <w:szCs w:val="22"/>
        </w:rPr>
        <w:t>No. 1</w:t>
      </w:r>
      <w:r w:rsidRPr="00CB5BEA">
        <w:rPr>
          <w:b/>
          <w:i/>
          <w:sz w:val="22"/>
          <w:szCs w:val="22"/>
        </w:rPr>
        <w:t>)</w:t>
      </w:r>
    </w:p>
    <w:p w:rsidR="0063774A" w:rsidRPr="00CB5BEA" w:rsidRDefault="002D7210" w:rsidP="00CB5BEA">
      <w:pPr>
        <w:spacing w:before="120"/>
        <w:jc w:val="center"/>
        <w:rPr>
          <w:b/>
          <w:sz w:val="22"/>
          <w:szCs w:val="22"/>
        </w:rPr>
      </w:pPr>
      <w:r w:rsidRPr="00CB5BEA">
        <w:rPr>
          <w:b/>
          <w:sz w:val="22"/>
          <w:szCs w:val="22"/>
        </w:rPr>
        <w:t>(</w:t>
      </w:r>
      <w:r w:rsidR="00022B94">
        <w:rPr>
          <w:b/>
          <w:sz w:val="22"/>
          <w:szCs w:val="22"/>
        </w:rPr>
        <w:t>PB 2</w:t>
      </w:r>
      <w:r w:rsidR="007A4C65">
        <w:rPr>
          <w:b/>
          <w:sz w:val="22"/>
          <w:szCs w:val="22"/>
        </w:rPr>
        <w:t xml:space="preserve"> </w:t>
      </w:r>
      <w:r w:rsidR="0063774A" w:rsidRPr="00CB5BEA">
        <w:rPr>
          <w:b/>
          <w:sz w:val="22"/>
          <w:szCs w:val="22"/>
        </w:rPr>
        <w:t xml:space="preserve">of </w:t>
      </w:r>
      <w:r w:rsidR="00022B94">
        <w:rPr>
          <w:b/>
          <w:sz w:val="22"/>
          <w:szCs w:val="22"/>
        </w:rPr>
        <w:t>2019</w:t>
      </w:r>
      <w:r w:rsidR="0063774A" w:rsidRPr="00CB5BEA">
        <w:rPr>
          <w:b/>
          <w:sz w:val="22"/>
          <w:szCs w:val="22"/>
        </w:rPr>
        <w:t>)</w:t>
      </w:r>
    </w:p>
    <w:p w:rsidR="003E6B76" w:rsidRPr="003C5E41" w:rsidRDefault="003E6B76" w:rsidP="00CB5BEA">
      <w:pPr>
        <w:spacing w:before="360"/>
        <w:jc w:val="both"/>
        <w:rPr>
          <w:sz w:val="22"/>
          <w:szCs w:val="22"/>
        </w:rPr>
      </w:pPr>
      <w:r w:rsidRPr="003C5E41">
        <w:rPr>
          <w:sz w:val="22"/>
          <w:szCs w:val="22"/>
        </w:rPr>
        <w:t xml:space="preserve">This Legislative Instrument is compatible with the human rights and freedoms recognised or declared in the international instruments listed in section 3 of the </w:t>
      </w:r>
      <w:r w:rsidRPr="00CB5BEA">
        <w:rPr>
          <w:i/>
          <w:sz w:val="22"/>
          <w:szCs w:val="22"/>
        </w:rPr>
        <w:t>Human Rights (Parliamentary Scrutiny) Act</w:t>
      </w:r>
      <w:r w:rsidR="00CB5BEA">
        <w:rPr>
          <w:i/>
          <w:sz w:val="22"/>
          <w:szCs w:val="22"/>
        </w:rPr>
        <w:t> </w:t>
      </w:r>
      <w:r w:rsidRPr="00CB5BEA">
        <w:rPr>
          <w:i/>
          <w:sz w:val="22"/>
          <w:szCs w:val="22"/>
        </w:rPr>
        <w:t>2011</w:t>
      </w:r>
      <w:r w:rsidR="00CB5BEA">
        <w:rPr>
          <w:i/>
          <w:sz w:val="22"/>
          <w:szCs w:val="22"/>
        </w:rPr>
        <w:t>.</w:t>
      </w:r>
    </w:p>
    <w:p w:rsidR="003E6B76" w:rsidRPr="00CB5BEA" w:rsidRDefault="003E6B76" w:rsidP="00CB5BEA">
      <w:pPr>
        <w:spacing w:before="240"/>
        <w:rPr>
          <w:b/>
          <w:sz w:val="22"/>
          <w:szCs w:val="22"/>
        </w:rPr>
      </w:pPr>
      <w:r w:rsidRPr="00CB5BEA">
        <w:rPr>
          <w:b/>
          <w:sz w:val="22"/>
          <w:szCs w:val="22"/>
        </w:rPr>
        <w:t>Overview of the Legislative Instrument</w:t>
      </w:r>
    </w:p>
    <w:p w:rsidR="003E6B76" w:rsidRDefault="003E6B76" w:rsidP="00CB5BEA">
      <w:pPr>
        <w:spacing w:before="120"/>
        <w:jc w:val="both"/>
        <w:rPr>
          <w:sz w:val="22"/>
          <w:szCs w:val="22"/>
        </w:rPr>
      </w:pPr>
      <w:r w:rsidRPr="003C5E41">
        <w:rPr>
          <w:sz w:val="22"/>
          <w:szCs w:val="22"/>
        </w:rPr>
        <w:t xml:space="preserve">The </w:t>
      </w:r>
      <w:r w:rsidR="00CA215D" w:rsidRPr="00CB5BEA">
        <w:rPr>
          <w:i/>
          <w:sz w:val="22"/>
          <w:szCs w:val="22"/>
        </w:rPr>
        <w:t>National Health (</w:t>
      </w:r>
      <w:r w:rsidR="00CB5BEA" w:rsidRPr="00CB5BEA">
        <w:rPr>
          <w:i/>
          <w:sz w:val="22"/>
          <w:szCs w:val="22"/>
        </w:rPr>
        <w:t>Pharmaceutical B</w:t>
      </w:r>
      <w:r w:rsidR="00CA215D" w:rsidRPr="00CB5BEA">
        <w:rPr>
          <w:i/>
          <w:sz w:val="22"/>
          <w:szCs w:val="22"/>
        </w:rPr>
        <w:t xml:space="preserve">enefits – early supply) Amendment Instrument </w:t>
      </w:r>
      <w:r w:rsidR="00022B94">
        <w:rPr>
          <w:i/>
          <w:sz w:val="22"/>
          <w:szCs w:val="22"/>
        </w:rPr>
        <w:t>2019</w:t>
      </w:r>
      <w:r w:rsidR="00BD7482" w:rsidRPr="00CB5BEA">
        <w:rPr>
          <w:i/>
          <w:sz w:val="22"/>
          <w:szCs w:val="22"/>
        </w:rPr>
        <w:t xml:space="preserve"> </w:t>
      </w:r>
      <w:r w:rsidR="0040469B">
        <w:rPr>
          <w:i/>
          <w:sz w:val="22"/>
          <w:szCs w:val="22"/>
        </w:rPr>
        <w:t>(</w:t>
      </w:r>
      <w:r w:rsidR="00022B94">
        <w:rPr>
          <w:i/>
          <w:sz w:val="22"/>
          <w:szCs w:val="22"/>
        </w:rPr>
        <w:t>No. 1</w:t>
      </w:r>
      <w:r w:rsidR="00CA215D" w:rsidRPr="00CB5BEA">
        <w:rPr>
          <w:i/>
          <w:sz w:val="22"/>
          <w:szCs w:val="22"/>
        </w:rPr>
        <w:t>)</w:t>
      </w:r>
      <w:r w:rsidRPr="003C5E41">
        <w:rPr>
          <w:sz w:val="22"/>
          <w:szCs w:val="22"/>
        </w:rPr>
        <w:t xml:space="preserve"> amends the </w:t>
      </w:r>
      <w:r w:rsidR="00CA215D" w:rsidRPr="00CB5BEA">
        <w:rPr>
          <w:i/>
          <w:sz w:val="22"/>
          <w:szCs w:val="22"/>
        </w:rPr>
        <w:t>N</w:t>
      </w:r>
      <w:r w:rsidR="00CB5BEA" w:rsidRPr="00CB5BEA">
        <w:rPr>
          <w:i/>
          <w:sz w:val="22"/>
          <w:szCs w:val="22"/>
        </w:rPr>
        <w:t>ational Health (Pharmaceutical B</w:t>
      </w:r>
      <w:r w:rsidR="00CA215D" w:rsidRPr="00CB5BEA">
        <w:rPr>
          <w:i/>
          <w:sz w:val="22"/>
          <w:szCs w:val="22"/>
        </w:rPr>
        <w:t>enefits—early supply) Instrument 2015</w:t>
      </w:r>
      <w:r w:rsidR="00CA215D" w:rsidRPr="003C5E41">
        <w:rPr>
          <w:sz w:val="22"/>
          <w:szCs w:val="22"/>
        </w:rPr>
        <w:t xml:space="preserve"> </w:t>
      </w:r>
      <w:r w:rsidRPr="003C5E41">
        <w:rPr>
          <w:sz w:val="22"/>
          <w:szCs w:val="22"/>
        </w:rPr>
        <w:t>which specifies the pharmaceutical items that are pharmaceutical benefits for which the Pharmaceutical Benefits Scheme (PBS) Safety Net entitlements will not apply for early supplies.</w:t>
      </w:r>
    </w:p>
    <w:p w:rsidR="00A01841" w:rsidRPr="003C5E41" w:rsidRDefault="00A01841" w:rsidP="00CB5BEA">
      <w:pPr>
        <w:spacing w:before="120"/>
        <w:jc w:val="both"/>
        <w:rPr>
          <w:sz w:val="22"/>
          <w:szCs w:val="22"/>
        </w:rPr>
      </w:pPr>
      <w:r w:rsidRPr="003C5E41">
        <w:rPr>
          <w:sz w:val="22"/>
          <w:szCs w:val="22"/>
        </w:rPr>
        <w:t xml:space="preserve">Schedule 1 to the Principal Instrument is amended by </w:t>
      </w:r>
      <w:r>
        <w:rPr>
          <w:sz w:val="22"/>
          <w:szCs w:val="22"/>
        </w:rPr>
        <w:t xml:space="preserve">the </w:t>
      </w:r>
      <w:r w:rsidRPr="00BC5C96">
        <w:rPr>
          <w:sz w:val="22"/>
          <w:szCs w:val="22"/>
        </w:rPr>
        <w:t xml:space="preserve">addition, deletion and </w:t>
      </w:r>
      <w:r>
        <w:rPr>
          <w:sz w:val="22"/>
          <w:szCs w:val="22"/>
        </w:rPr>
        <w:t>alteration of listed pharmaceutical items and associated periods and c</w:t>
      </w:r>
      <w:r w:rsidRPr="00AD42BB">
        <w:rPr>
          <w:sz w:val="22"/>
          <w:szCs w:val="22"/>
        </w:rPr>
        <w:t>ircumstances</w:t>
      </w:r>
      <w:r>
        <w:rPr>
          <w:sz w:val="22"/>
          <w:szCs w:val="22"/>
        </w:rPr>
        <w:t>.</w:t>
      </w:r>
    </w:p>
    <w:p w:rsidR="003E6B76" w:rsidRPr="00CB5BEA" w:rsidRDefault="003E6B76" w:rsidP="00CB5BEA">
      <w:pPr>
        <w:spacing w:before="240"/>
        <w:rPr>
          <w:b/>
          <w:sz w:val="22"/>
          <w:szCs w:val="22"/>
        </w:rPr>
      </w:pPr>
      <w:r w:rsidRPr="00CB5BEA">
        <w:rPr>
          <w:b/>
          <w:sz w:val="22"/>
          <w:szCs w:val="22"/>
        </w:rPr>
        <w:t>Human rights implications</w:t>
      </w:r>
    </w:p>
    <w:p w:rsidR="003E6B76" w:rsidRPr="003C5E41" w:rsidRDefault="00516C3B" w:rsidP="00CB5BEA">
      <w:pPr>
        <w:spacing w:before="120"/>
        <w:jc w:val="both"/>
        <w:rPr>
          <w:sz w:val="22"/>
          <w:szCs w:val="22"/>
        </w:rPr>
      </w:pPr>
      <w:r>
        <w:rPr>
          <w:sz w:val="22"/>
          <w:szCs w:val="22"/>
        </w:rPr>
        <w:t>This Legislative I</w:t>
      </w:r>
      <w:r w:rsidR="003E6B76" w:rsidRPr="003C5E41">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w:t>
      </w:r>
      <w:r w:rsidR="00CB5BEA">
        <w:rPr>
          <w:sz w:val="22"/>
          <w:szCs w:val="22"/>
        </w:rPr>
        <w:t xml:space="preserve"> of physical and mental health.</w:t>
      </w:r>
    </w:p>
    <w:p w:rsidR="003E6B76" w:rsidRPr="003C5E41" w:rsidRDefault="003E6B76" w:rsidP="00CB5BEA">
      <w:pPr>
        <w:spacing w:before="120"/>
        <w:jc w:val="both"/>
        <w:rPr>
          <w:sz w:val="22"/>
          <w:szCs w:val="22"/>
        </w:rPr>
      </w:pPr>
      <w:r w:rsidRPr="003C5E41">
        <w:rPr>
          <w:sz w:val="22"/>
          <w:szCs w:val="22"/>
        </w:rPr>
        <w:t xml:space="preserve">The PBS is a benefit scheme which assists with advancement of this human right by providing for subsidised access by patients to medicines. </w:t>
      </w:r>
      <w:r w:rsidR="000D14CD" w:rsidRPr="003C5E41">
        <w:rPr>
          <w:sz w:val="22"/>
          <w:szCs w:val="22"/>
        </w:rPr>
        <w:t xml:space="preserve"> </w:t>
      </w:r>
      <w:r w:rsidRPr="003C5E41">
        <w:rPr>
          <w:sz w:val="22"/>
          <w:szCs w:val="22"/>
        </w:rPr>
        <w:t>The recommendatory role of the Pharmaceutical Benefits Advisory Committee (PBAC) ensures that decisions about subsidised access to medicines on the PBS are evidence-based.</w:t>
      </w:r>
    </w:p>
    <w:p w:rsidR="003E6B76" w:rsidRPr="00CB5BEA" w:rsidRDefault="003E6B76" w:rsidP="00CB5BEA">
      <w:pPr>
        <w:spacing w:before="240"/>
        <w:rPr>
          <w:b/>
          <w:sz w:val="22"/>
          <w:szCs w:val="22"/>
        </w:rPr>
      </w:pPr>
      <w:r w:rsidRPr="00CB5BEA">
        <w:rPr>
          <w:b/>
          <w:sz w:val="22"/>
          <w:szCs w:val="22"/>
        </w:rPr>
        <w:t>Conclusion</w:t>
      </w:r>
    </w:p>
    <w:p w:rsidR="003E6B76" w:rsidRDefault="003E6B76" w:rsidP="00CB5BEA">
      <w:pPr>
        <w:spacing w:before="120"/>
        <w:jc w:val="both"/>
        <w:rPr>
          <w:sz w:val="22"/>
          <w:szCs w:val="22"/>
        </w:rPr>
      </w:pPr>
      <w:r w:rsidRPr="003C5E41">
        <w:rPr>
          <w:sz w:val="22"/>
          <w:szCs w:val="22"/>
        </w:rPr>
        <w:t>This Legislative Instrument is compatible with human rights because it advances the protection of human rights.</w:t>
      </w: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0041DE" w:rsidRPr="00947763" w:rsidRDefault="00015ECC" w:rsidP="000041DE">
      <w:pPr>
        <w:spacing w:before="240"/>
        <w:jc w:val="center"/>
        <w:rPr>
          <w:b/>
          <w:sz w:val="22"/>
          <w:szCs w:val="22"/>
        </w:rPr>
      </w:pPr>
      <w:r>
        <w:rPr>
          <w:b/>
          <w:sz w:val="22"/>
          <w:szCs w:val="22"/>
        </w:rPr>
        <w:t>Thea Daniel</w:t>
      </w:r>
    </w:p>
    <w:p w:rsidR="000041DE" w:rsidRPr="00947763" w:rsidRDefault="000041DE" w:rsidP="000041DE">
      <w:pPr>
        <w:jc w:val="center"/>
        <w:rPr>
          <w:b/>
          <w:sz w:val="22"/>
          <w:szCs w:val="22"/>
        </w:rPr>
      </w:pPr>
      <w:r w:rsidRPr="00947763">
        <w:rPr>
          <w:b/>
          <w:sz w:val="22"/>
          <w:szCs w:val="22"/>
        </w:rPr>
        <w:t>Assistant Secretary</w:t>
      </w:r>
    </w:p>
    <w:p w:rsidR="00DF06D5" w:rsidRPr="00CB5BEA" w:rsidRDefault="00DF06D5" w:rsidP="00CB5BEA">
      <w:pPr>
        <w:jc w:val="center"/>
        <w:rPr>
          <w:b/>
          <w:sz w:val="22"/>
          <w:szCs w:val="22"/>
        </w:rPr>
      </w:pPr>
      <w:r w:rsidRPr="00CB5BEA">
        <w:rPr>
          <w:b/>
          <w:sz w:val="22"/>
          <w:szCs w:val="22"/>
        </w:rPr>
        <w:t xml:space="preserve">Pricing and </w:t>
      </w:r>
      <w:r w:rsidR="00877A9A" w:rsidRPr="00CB5BEA">
        <w:rPr>
          <w:b/>
          <w:sz w:val="22"/>
          <w:szCs w:val="22"/>
        </w:rPr>
        <w:t xml:space="preserve">PBS </w:t>
      </w:r>
      <w:r w:rsidRPr="00CB5BEA">
        <w:rPr>
          <w:b/>
          <w:sz w:val="22"/>
          <w:szCs w:val="22"/>
        </w:rPr>
        <w:t>Policy Branch</w:t>
      </w:r>
    </w:p>
    <w:p w:rsidR="00B12ED3" w:rsidRPr="00CB5BEA" w:rsidRDefault="00A14203" w:rsidP="00CB5BEA">
      <w:pPr>
        <w:jc w:val="center"/>
        <w:rPr>
          <w:b/>
          <w:sz w:val="22"/>
          <w:szCs w:val="22"/>
        </w:rPr>
      </w:pPr>
      <w:r w:rsidRPr="00CB5BEA">
        <w:rPr>
          <w:b/>
          <w:sz w:val="22"/>
          <w:szCs w:val="22"/>
        </w:rPr>
        <w:t>Technology Assessment and Access Division</w:t>
      </w:r>
    </w:p>
    <w:p w:rsidR="003E6B76" w:rsidRPr="00CB5BEA" w:rsidRDefault="002D7B9E" w:rsidP="00CB5BEA">
      <w:pPr>
        <w:jc w:val="center"/>
        <w:rPr>
          <w:b/>
          <w:sz w:val="22"/>
          <w:szCs w:val="22"/>
        </w:rPr>
      </w:pPr>
      <w:r w:rsidRPr="00CB5BEA">
        <w:rPr>
          <w:b/>
          <w:sz w:val="22"/>
          <w:szCs w:val="22"/>
        </w:rPr>
        <w:t>Department of Health</w:t>
      </w:r>
      <w:bookmarkStart w:id="0" w:name="_GoBack"/>
      <w:bookmarkEnd w:id="0"/>
    </w:p>
    <w:sectPr w:rsidR="003E6B76" w:rsidRPr="00CB5BEA" w:rsidSect="00AA23F8">
      <w:headerReference w:type="even" r:id="rId7"/>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74" w:rsidRDefault="000F0374">
      <w:r>
        <w:separator/>
      </w:r>
    </w:p>
  </w:endnote>
  <w:endnote w:type="continuationSeparator" w:id="0">
    <w:p w:rsidR="000F0374" w:rsidRDefault="000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94307"/>
      <w:docPartObj>
        <w:docPartGallery w:val="Page Numbers (Bottom of Page)"/>
        <w:docPartUnique/>
      </w:docPartObj>
    </w:sdtPr>
    <w:sdtEndPr>
      <w:rPr>
        <w:noProof/>
        <w:sz w:val="20"/>
        <w:szCs w:val="20"/>
      </w:rPr>
    </w:sdtEndPr>
    <w:sdtContent>
      <w:p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015ECC">
          <w:rPr>
            <w:noProof/>
            <w:sz w:val="20"/>
            <w:szCs w:val="20"/>
          </w:rPr>
          <w:t>4</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061091"/>
      <w:docPartObj>
        <w:docPartGallery w:val="Page Numbers (Bottom of Page)"/>
        <w:docPartUnique/>
      </w:docPartObj>
    </w:sdtPr>
    <w:sdtEndPr>
      <w:rPr>
        <w:noProof/>
        <w:sz w:val="20"/>
        <w:szCs w:val="20"/>
      </w:rPr>
    </w:sdtEndPr>
    <w:sdtContent>
      <w:p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015EC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74" w:rsidRDefault="000F0374">
      <w:r>
        <w:separator/>
      </w:r>
    </w:p>
  </w:footnote>
  <w:footnote w:type="continuationSeparator" w:id="0">
    <w:p w:rsidR="000F0374" w:rsidRDefault="000F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AD" w:rsidRDefault="0041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9"/>
  </w:num>
  <w:num w:numId="4">
    <w:abstractNumId w:val="5"/>
  </w:num>
  <w:num w:numId="5">
    <w:abstractNumId w:val="15"/>
  </w:num>
  <w:num w:numId="6">
    <w:abstractNumId w:val="11"/>
  </w:num>
  <w:num w:numId="7">
    <w:abstractNumId w:val="12"/>
  </w:num>
  <w:num w:numId="8">
    <w:abstractNumId w:val="7"/>
  </w:num>
  <w:num w:numId="9">
    <w:abstractNumId w:val="0"/>
  </w:num>
  <w:num w:numId="10">
    <w:abstractNumId w:val="14"/>
  </w:num>
  <w:num w:numId="11">
    <w:abstractNumId w:val="1"/>
  </w:num>
  <w:num w:numId="12">
    <w:abstractNumId w:val="6"/>
  </w:num>
  <w:num w:numId="13">
    <w:abstractNumId w:val="13"/>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4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AE"/>
    <w:rsid w:val="000041DE"/>
    <w:rsid w:val="00013797"/>
    <w:rsid w:val="00015719"/>
    <w:rsid w:val="00015ECC"/>
    <w:rsid w:val="00022B94"/>
    <w:rsid w:val="0002674E"/>
    <w:rsid w:val="000268C5"/>
    <w:rsid w:val="000279E9"/>
    <w:rsid w:val="00030049"/>
    <w:rsid w:val="00040B64"/>
    <w:rsid w:val="00041ECA"/>
    <w:rsid w:val="00042F5D"/>
    <w:rsid w:val="000454A6"/>
    <w:rsid w:val="00045C23"/>
    <w:rsid w:val="00054ABF"/>
    <w:rsid w:val="00055315"/>
    <w:rsid w:val="00057B15"/>
    <w:rsid w:val="00060283"/>
    <w:rsid w:val="00060E04"/>
    <w:rsid w:val="00061015"/>
    <w:rsid w:val="000669D3"/>
    <w:rsid w:val="00072A32"/>
    <w:rsid w:val="0007384D"/>
    <w:rsid w:val="00083E77"/>
    <w:rsid w:val="000856BD"/>
    <w:rsid w:val="00085B7B"/>
    <w:rsid w:val="00086320"/>
    <w:rsid w:val="0008774B"/>
    <w:rsid w:val="00087DA1"/>
    <w:rsid w:val="000945AE"/>
    <w:rsid w:val="00094847"/>
    <w:rsid w:val="000A16E0"/>
    <w:rsid w:val="000A1C40"/>
    <w:rsid w:val="000A2020"/>
    <w:rsid w:val="000A2F98"/>
    <w:rsid w:val="000A61A4"/>
    <w:rsid w:val="000A621A"/>
    <w:rsid w:val="000A6F95"/>
    <w:rsid w:val="000A6FDF"/>
    <w:rsid w:val="000B4E79"/>
    <w:rsid w:val="000B5A7E"/>
    <w:rsid w:val="000D14CD"/>
    <w:rsid w:val="000E2146"/>
    <w:rsid w:val="000E2674"/>
    <w:rsid w:val="000E2BCC"/>
    <w:rsid w:val="000E4965"/>
    <w:rsid w:val="000F0374"/>
    <w:rsid w:val="000F0D91"/>
    <w:rsid w:val="000F3513"/>
    <w:rsid w:val="000F51E7"/>
    <w:rsid w:val="00107878"/>
    <w:rsid w:val="001108D0"/>
    <w:rsid w:val="001138C3"/>
    <w:rsid w:val="001161A1"/>
    <w:rsid w:val="00124178"/>
    <w:rsid w:val="00125B63"/>
    <w:rsid w:val="00130F31"/>
    <w:rsid w:val="0013106F"/>
    <w:rsid w:val="0013311B"/>
    <w:rsid w:val="00140321"/>
    <w:rsid w:val="00142EA2"/>
    <w:rsid w:val="00143679"/>
    <w:rsid w:val="0015149B"/>
    <w:rsid w:val="001528EC"/>
    <w:rsid w:val="00154E79"/>
    <w:rsid w:val="001564FE"/>
    <w:rsid w:val="00161628"/>
    <w:rsid w:val="00163D8A"/>
    <w:rsid w:val="00166957"/>
    <w:rsid w:val="00173E80"/>
    <w:rsid w:val="00175C90"/>
    <w:rsid w:val="00183C1F"/>
    <w:rsid w:val="0019065A"/>
    <w:rsid w:val="00191DBB"/>
    <w:rsid w:val="0019242C"/>
    <w:rsid w:val="001932D1"/>
    <w:rsid w:val="001A4E20"/>
    <w:rsid w:val="001A5BE2"/>
    <w:rsid w:val="001B3041"/>
    <w:rsid w:val="001B6126"/>
    <w:rsid w:val="001C2BA4"/>
    <w:rsid w:val="001C3DDE"/>
    <w:rsid w:val="001C59CC"/>
    <w:rsid w:val="001C7DCE"/>
    <w:rsid w:val="001D48C6"/>
    <w:rsid w:val="001D5454"/>
    <w:rsid w:val="001E78EC"/>
    <w:rsid w:val="001F0571"/>
    <w:rsid w:val="001F3396"/>
    <w:rsid w:val="001F4F44"/>
    <w:rsid w:val="001F5349"/>
    <w:rsid w:val="001F6EA4"/>
    <w:rsid w:val="001F7076"/>
    <w:rsid w:val="002047CB"/>
    <w:rsid w:val="0020788E"/>
    <w:rsid w:val="002111AF"/>
    <w:rsid w:val="00216A25"/>
    <w:rsid w:val="00224CA7"/>
    <w:rsid w:val="002366C1"/>
    <w:rsid w:val="00237097"/>
    <w:rsid w:val="002370C6"/>
    <w:rsid w:val="00256323"/>
    <w:rsid w:val="002575AB"/>
    <w:rsid w:val="0026103E"/>
    <w:rsid w:val="00264EBD"/>
    <w:rsid w:val="00271750"/>
    <w:rsid w:val="00274D37"/>
    <w:rsid w:val="0027560C"/>
    <w:rsid w:val="00276EC6"/>
    <w:rsid w:val="00277F43"/>
    <w:rsid w:val="002863FA"/>
    <w:rsid w:val="002930F6"/>
    <w:rsid w:val="00294BFA"/>
    <w:rsid w:val="002A4CAD"/>
    <w:rsid w:val="002A5FBA"/>
    <w:rsid w:val="002B0A75"/>
    <w:rsid w:val="002C19E9"/>
    <w:rsid w:val="002C1EAE"/>
    <w:rsid w:val="002C271B"/>
    <w:rsid w:val="002C27F5"/>
    <w:rsid w:val="002D1C01"/>
    <w:rsid w:val="002D7210"/>
    <w:rsid w:val="002D7825"/>
    <w:rsid w:val="002D7B9E"/>
    <w:rsid w:val="002E4060"/>
    <w:rsid w:val="002E6976"/>
    <w:rsid w:val="002F03DE"/>
    <w:rsid w:val="002F2A5F"/>
    <w:rsid w:val="00301AFB"/>
    <w:rsid w:val="003020D0"/>
    <w:rsid w:val="003031D5"/>
    <w:rsid w:val="00307DDC"/>
    <w:rsid w:val="00307FD0"/>
    <w:rsid w:val="003123CD"/>
    <w:rsid w:val="00316B52"/>
    <w:rsid w:val="00326A95"/>
    <w:rsid w:val="00326D7F"/>
    <w:rsid w:val="003277C4"/>
    <w:rsid w:val="00327EF5"/>
    <w:rsid w:val="00330F68"/>
    <w:rsid w:val="00331AA4"/>
    <w:rsid w:val="003329D0"/>
    <w:rsid w:val="00334205"/>
    <w:rsid w:val="00334A77"/>
    <w:rsid w:val="00341639"/>
    <w:rsid w:val="00341CAD"/>
    <w:rsid w:val="0035071A"/>
    <w:rsid w:val="003512C3"/>
    <w:rsid w:val="003530E6"/>
    <w:rsid w:val="00355092"/>
    <w:rsid w:val="003654EF"/>
    <w:rsid w:val="00365A29"/>
    <w:rsid w:val="00372518"/>
    <w:rsid w:val="00375ADC"/>
    <w:rsid w:val="003764DB"/>
    <w:rsid w:val="00377060"/>
    <w:rsid w:val="00384F10"/>
    <w:rsid w:val="00386838"/>
    <w:rsid w:val="00387644"/>
    <w:rsid w:val="00395DF3"/>
    <w:rsid w:val="00395E5E"/>
    <w:rsid w:val="00395FF7"/>
    <w:rsid w:val="0039790B"/>
    <w:rsid w:val="00397D28"/>
    <w:rsid w:val="003A19D4"/>
    <w:rsid w:val="003A244B"/>
    <w:rsid w:val="003A2CCB"/>
    <w:rsid w:val="003B4E0D"/>
    <w:rsid w:val="003B56A2"/>
    <w:rsid w:val="003C1187"/>
    <w:rsid w:val="003C1AB7"/>
    <w:rsid w:val="003C2DA7"/>
    <w:rsid w:val="003C5E41"/>
    <w:rsid w:val="003D0592"/>
    <w:rsid w:val="003E2EB3"/>
    <w:rsid w:val="003E3560"/>
    <w:rsid w:val="003E6B76"/>
    <w:rsid w:val="003F7CA6"/>
    <w:rsid w:val="0040185A"/>
    <w:rsid w:val="004042BC"/>
    <w:rsid w:val="0040469B"/>
    <w:rsid w:val="00405DA9"/>
    <w:rsid w:val="004119BD"/>
    <w:rsid w:val="00411FB9"/>
    <w:rsid w:val="004147AD"/>
    <w:rsid w:val="0041485B"/>
    <w:rsid w:val="00414C4F"/>
    <w:rsid w:val="0041535D"/>
    <w:rsid w:val="00416D84"/>
    <w:rsid w:val="0042108A"/>
    <w:rsid w:val="00426774"/>
    <w:rsid w:val="00433CD8"/>
    <w:rsid w:val="00442149"/>
    <w:rsid w:val="00443865"/>
    <w:rsid w:val="00456BFB"/>
    <w:rsid w:val="00460EEC"/>
    <w:rsid w:val="00464F96"/>
    <w:rsid w:val="0047545B"/>
    <w:rsid w:val="0047602D"/>
    <w:rsid w:val="00476155"/>
    <w:rsid w:val="00477AF5"/>
    <w:rsid w:val="004830A5"/>
    <w:rsid w:val="0048433A"/>
    <w:rsid w:val="00491F2A"/>
    <w:rsid w:val="00492CAC"/>
    <w:rsid w:val="00495267"/>
    <w:rsid w:val="004A0D19"/>
    <w:rsid w:val="004A26C9"/>
    <w:rsid w:val="004A4B29"/>
    <w:rsid w:val="004A4EF8"/>
    <w:rsid w:val="004A61D8"/>
    <w:rsid w:val="004A76DC"/>
    <w:rsid w:val="004B0878"/>
    <w:rsid w:val="004B2399"/>
    <w:rsid w:val="004B418C"/>
    <w:rsid w:val="004B701D"/>
    <w:rsid w:val="004B790C"/>
    <w:rsid w:val="004C1E1D"/>
    <w:rsid w:val="004C5F3A"/>
    <w:rsid w:val="004D1765"/>
    <w:rsid w:val="004D535D"/>
    <w:rsid w:val="004F4671"/>
    <w:rsid w:val="004F611D"/>
    <w:rsid w:val="0050368D"/>
    <w:rsid w:val="005100D0"/>
    <w:rsid w:val="00511BFC"/>
    <w:rsid w:val="00512724"/>
    <w:rsid w:val="00514F77"/>
    <w:rsid w:val="00516C3B"/>
    <w:rsid w:val="005228A4"/>
    <w:rsid w:val="0052345D"/>
    <w:rsid w:val="0053108F"/>
    <w:rsid w:val="00533474"/>
    <w:rsid w:val="005345F7"/>
    <w:rsid w:val="00535E74"/>
    <w:rsid w:val="005364F3"/>
    <w:rsid w:val="00543E2D"/>
    <w:rsid w:val="00551D3B"/>
    <w:rsid w:val="0055361F"/>
    <w:rsid w:val="00571E2C"/>
    <w:rsid w:val="005722FC"/>
    <w:rsid w:val="005832F5"/>
    <w:rsid w:val="00583BA7"/>
    <w:rsid w:val="00593779"/>
    <w:rsid w:val="00594134"/>
    <w:rsid w:val="00596379"/>
    <w:rsid w:val="005A3B10"/>
    <w:rsid w:val="005B1F1C"/>
    <w:rsid w:val="005B59FF"/>
    <w:rsid w:val="005C091E"/>
    <w:rsid w:val="005C7092"/>
    <w:rsid w:val="005D17E7"/>
    <w:rsid w:val="005D492D"/>
    <w:rsid w:val="005D775F"/>
    <w:rsid w:val="005D7F6F"/>
    <w:rsid w:val="005E01AE"/>
    <w:rsid w:val="005E3B70"/>
    <w:rsid w:val="005E43DE"/>
    <w:rsid w:val="005E58DC"/>
    <w:rsid w:val="005F1818"/>
    <w:rsid w:val="005F1D84"/>
    <w:rsid w:val="005F1D92"/>
    <w:rsid w:val="005F2EC5"/>
    <w:rsid w:val="005F34A7"/>
    <w:rsid w:val="005F6A67"/>
    <w:rsid w:val="00602919"/>
    <w:rsid w:val="0060581E"/>
    <w:rsid w:val="00605C2B"/>
    <w:rsid w:val="006103B7"/>
    <w:rsid w:val="006106A6"/>
    <w:rsid w:val="0061182A"/>
    <w:rsid w:val="00617BB8"/>
    <w:rsid w:val="006226AE"/>
    <w:rsid w:val="00624916"/>
    <w:rsid w:val="006268A8"/>
    <w:rsid w:val="006273C2"/>
    <w:rsid w:val="006306CC"/>
    <w:rsid w:val="00632870"/>
    <w:rsid w:val="00633F95"/>
    <w:rsid w:val="0063406D"/>
    <w:rsid w:val="00635AB6"/>
    <w:rsid w:val="00635D3A"/>
    <w:rsid w:val="00637262"/>
    <w:rsid w:val="0063774A"/>
    <w:rsid w:val="00640A27"/>
    <w:rsid w:val="00641C69"/>
    <w:rsid w:val="00642A51"/>
    <w:rsid w:val="00645060"/>
    <w:rsid w:val="0064562D"/>
    <w:rsid w:val="00651E8E"/>
    <w:rsid w:val="00666B4B"/>
    <w:rsid w:val="00666BA6"/>
    <w:rsid w:val="006675EB"/>
    <w:rsid w:val="00674A88"/>
    <w:rsid w:val="00677DD3"/>
    <w:rsid w:val="00681581"/>
    <w:rsid w:val="006848CE"/>
    <w:rsid w:val="006861E7"/>
    <w:rsid w:val="006923A5"/>
    <w:rsid w:val="00693E47"/>
    <w:rsid w:val="0069498B"/>
    <w:rsid w:val="00696637"/>
    <w:rsid w:val="006A3BCD"/>
    <w:rsid w:val="006A4359"/>
    <w:rsid w:val="006A6A80"/>
    <w:rsid w:val="006A75F4"/>
    <w:rsid w:val="006A7945"/>
    <w:rsid w:val="006B2EB3"/>
    <w:rsid w:val="006B430C"/>
    <w:rsid w:val="006B4990"/>
    <w:rsid w:val="006B4D9A"/>
    <w:rsid w:val="006B6C91"/>
    <w:rsid w:val="006C27B2"/>
    <w:rsid w:val="006C41FC"/>
    <w:rsid w:val="006C4B62"/>
    <w:rsid w:val="006D04FB"/>
    <w:rsid w:val="006D1FB2"/>
    <w:rsid w:val="006D23D0"/>
    <w:rsid w:val="006D7230"/>
    <w:rsid w:val="006E0BFE"/>
    <w:rsid w:val="006E374E"/>
    <w:rsid w:val="006E3971"/>
    <w:rsid w:val="006E671E"/>
    <w:rsid w:val="006F0640"/>
    <w:rsid w:val="006F076A"/>
    <w:rsid w:val="006F0DE3"/>
    <w:rsid w:val="006F2F5C"/>
    <w:rsid w:val="006F512A"/>
    <w:rsid w:val="006F5D48"/>
    <w:rsid w:val="0070098A"/>
    <w:rsid w:val="007058F7"/>
    <w:rsid w:val="0071003B"/>
    <w:rsid w:val="00711242"/>
    <w:rsid w:val="00713BA2"/>
    <w:rsid w:val="00714316"/>
    <w:rsid w:val="00714E3B"/>
    <w:rsid w:val="00716B7B"/>
    <w:rsid w:val="007174B3"/>
    <w:rsid w:val="00723C08"/>
    <w:rsid w:val="007253ED"/>
    <w:rsid w:val="00733A83"/>
    <w:rsid w:val="00733F4B"/>
    <w:rsid w:val="00734216"/>
    <w:rsid w:val="0073641E"/>
    <w:rsid w:val="00743105"/>
    <w:rsid w:val="00743AFA"/>
    <w:rsid w:val="007563A6"/>
    <w:rsid w:val="007569E3"/>
    <w:rsid w:val="00757A2D"/>
    <w:rsid w:val="00757C5B"/>
    <w:rsid w:val="00765C22"/>
    <w:rsid w:val="007663DC"/>
    <w:rsid w:val="00767582"/>
    <w:rsid w:val="0077125E"/>
    <w:rsid w:val="00781511"/>
    <w:rsid w:val="007842C1"/>
    <w:rsid w:val="007850CD"/>
    <w:rsid w:val="0078530E"/>
    <w:rsid w:val="0079374F"/>
    <w:rsid w:val="007A0DDF"/>
    <w:rsid w:val="007A3061"/>
    <w:rsid w:val="007A4C65"/>
    <w:rsid w:val="007A54FE"/>
    <w:rsid w:val="007A7943"/>
    <w:rsid w:val="007B1F6F"/>
    <w:rsid w:val="007B37CD"/>
    <w:rsid w:val="007B4A45"/>
    <w:rsid w:val="007B5CE0"/>
    <w:rsid w:val="007B67B1"/>
    <w:rsid w:val="007C1E86"/>
    <w:rsid w:val="007D1FFE"/>
    <w:rsid w:val="007F2851"/>
    <w:rsid w:val="007F4D08"/>
    <w:rsid w:val="007F7BC7"/>
    <w:rsid w:val="008111F5"/>
    <w:rsid w:val="008111F9"/>
    <w:rsid w:val="00812161"/>
    <w:rsid w:val="00812DA0"/>
    <w:rsid w:val="008208C4"/>
    <w:rsid w:val="00824DB1"/>
    <w:rsid w:val="00827B44"/>
    <w:rsid w:val="00827BF9"/>
    <w:rsid w:val="00832285"/>
    <w:rsid w:val="008417BD"/>
    <w:rsid w:val="00842D5B"/>
    <w:rsid w:val="008444A9"/>
    <w:rsid w:val="00846ABA"/>
    <w:rsid w:val="00847CF9"/>
    <w:rsid w:val="00856E71"/>
    <w:rsid w:val="00857096"/>
    <w:rsid w:val="00860CC6"/>
    <w:rsid w:val="00863F04"/>
    <w:rsid w:val="0087308E"/>
    <w:rsid w:val="0087382A"/>
    <w:rsid w:val="008753A6"/>
    <w:rsid w:val="00877A9A"/>
    <w:rsid w:val="00881568"/>
    <w:rsid w:val="00887536"/>
    <w:rsid w:val="00890AF2"/>
    <w:rsid w:val="00890CA6"/>
    <w:rsid w:val="00890FF8"/>
    <w:rsid w:val="008A2141"/>
    <w:rsid w:val="008A4108"/>
    <w:rsid w:val="008B2BC1"/>
    <w:rsid w:val="008B3F11"/>
    <w:rsid w:val="008C2226"/>
    <w:rsid w:val="008C4131"/>
    <w:rsid w:val="008C5944"/>
    <w:rsid w:val="008D0FD1"/>
    <w:rsid w:val="008D518C"/>
    <w:rsid w:val="008D5849"/>
    <w:rsid w:val="008D6FCD"/>
    <w:rsid w:val="008E3F43"/>
    <w:rsid w:val="0090257C"/>
    <w:rsid w:val="009047CF"/>
    <w:rsid w:val="00906A7F"/>
    <w:rsid w:val="009072BB"/>
    <w:rsid w:val="0090764C"/>
    <w:rsid w:val="00907BE4"/>
    <w:rsid w:val="00910FC1"/>
    <w:rsid w:val="00917AA8"/>
    <w:rsid w:val="0092062E"/>
    <w:rsid w:val="00920B38"/>
    <w:rsid w:val="00921BEE"/>
    <w:rsid w:val="009223C2"/>
    <w:rsid w:val="00923A84"/>
    <w:rsid w:val="009301B8"/>
    <w:rsid w:val="009309EE"/>
    <w:rsid w:val="00930F20"/>
    <w:rsid w:val="00937B5B"/>
    <w:rsid w:val="00941FC3"/>
    <w:rsid w:val="009476F6"/>
    <w:rsid w:val="009530B4"/>
    <w:rsid w:val="00953A35"/>
    <w:rsid w:val="00954ED4"/>
    <w:rsid w:val="00955A43"/>
    <w:rsid w:val="00955FC2"/>
    <w:rsid w:val="00957079"/>
    <w:rsid w:val="00960FF7"/>
    <w:rsid w:val="00966623"/>
    <w:rsid w:val="00975E9D"/>
    <w:rsid w:val="00983A90"/>
    <w:rsid w:val="00986C26"/>
    <w:rsid w:val="00991086"/>
    <w:rsid w:val="00992CC3"/>
    <w:rsid w:val="00994B51"/>
    <w:rsid w:val="00997D36"/>
    <w:rsid w:val="009A019C"/>
    <w:rsid w:val="009A1A87"/>
    <w:rsid w:val="009A46FC"/>
    <w:rsid w:val="009B0B59"/>
    <w:rsid w:val="009B19BD"/>
    <w:rsid w:val="009B3EBD"/>
    <w:rsid w:val="009B7692"/>
    <w:rsid w:val="009C28AF"/>
    <w:rsid w:val="009C28CE"/>
    <w:rsid w:val="009C592F"/>
    <w:rsid w:val="009D3459"/>
    <w:rsid w:val="009E46C6"/>
    <w:rsid w:val="009F5415"/>
    <w:rsid w:val="00A01841"/>
    <w:rsid w:val="00A0619A"/>
    <w:rsid w:val="00A12FDD"/>
    <w:rsid w:val="00A14203"/>
    <w:rsid w:val="00A25B28"/>
    <w:rsid w:val="00A26091"/>
    <w:rsid w:val="00A27E80"/>
    <w:rsid w:val="00A30795"/>
    <w:rsid w:val="00A30802"/>
    <w:rsid w:val="00A30F7E"/>
    <w:rsid w:val="00A4038A"/>
    <w:rsid w:val="00A4586F"/>
    <w:rsid w:val="00A4639D"/>
    <w:rsid w:val="00A5005A"/>
    <w:rsid w:val="00A51640"/>
    <w:rsid w:val="00A52C3C"/>
    <w:rsid w:val="00A52E35"/>
    <w:rsid w:val="00A540D4"/>
    <w:rsid w:val="00A54BA8"/>
    <w:rsid w:val="00A55C34"/>
    <w:rsid w:val="00A56F79"/>
    <w:rsid w:val="00A60C83"/>
    <w:rsid w:val="00A61367"/>
    <w:rsid w:val="00A637B4"/>
    <w:rsid w:val="00A656DD"/>
    <w:rsid w:val="00A66E0D"/>
    <w:rsid w:val="00A727D9"/>
    <w:rsid w:val="00A74CF3"/>
    <w:rsid w:val="00A807C3"/>
    <w:rsid w:val="00A838EB"/>
    <w:rsid w:val="00A854EE"/>
    <w:rsid w:val="00A85D4C"/>
    <w:rsid w:val="00A914A8"/>
    <w:rsid w:val="00A92F16"/>
    <w:rsid w:val="00A93519"/>
    <w:rsid w:val="00A93682"/>
    <w:rsid w:val="00AA23F8"/>
    <w:rsid w:val="00AA3EF9"/>
    <w:rsid w:val="00AB29E9"/>
    <w:rsid w:val="00AB33EC"/>
    <w:rsid w:val="00AB484A"/>
    <w:rsid w:val="00AB7263"/>
    <w:rsid w:val="00AC16A4"/>
    <w:rsid w:val="00AC4C18"/>
    <w:rsid w:val="00AC63ED"/>
    <w:rsid w:val="00AC7BCC"/>
    <w:rsid w:val="00AD3C13"/>
    <w:rsid w:val="00AD42BB"/>
    <w:rsid w:val="00AD6681"/>
    <w:rsid w:val="00AE45FC"/>
    <w:rsid w:val="00AE6DF3"/>
    <w:rsid w:val="00AF04AA"/>
    <w:rsid w:val="00B05145"/>
    <w:rsid w:val="00B06694"/>
    <w:rsid w:val="00B07513"/>
    <w:rsid w:val="00B12026"/>
    <w:rsid w:val="00B12A02"/>
    <w:rsid w:val="00B12ED3"/>
    <w:rsid w:val="00B13A36"/>
    <w:rsid w:val="00B151DB"/>
    <w:rsid w:val="00B204CB"/>
    <w:rsid w:val="00B230C1"/>
    <w:rsid w:val="00B25F75"/>
    <w:rsid w:val="00B42D7A"/>
    <w:rsid w:val="00B44072"/>
    <w:rsid w:val="00B56463"/>
    <w:rsid w:val="00B57CFC"/>
    <w:rsid w:val="00B62ADF"/>
    <w:rsid w:val="00B6468A"/>
    <w:rsid w:val="00B67364"/>
    <w:rsid w:val="00B73FB0"/>
    <w:rsid w:val="00B74910"/>
    <w:rsid w:val="00B7633F"/>
    <w:rsid w:val="00B81360"/>
    <w:rsid w:val="00B819C3"/>
    <w:rsid w:val="00B85B4E"/>
    <w:rsid w:val="00B87986"/>
    <w:rsid w:val="00B91698"/>
    <w:rsid w:val="00B91861"/>
    <w:rsid w:val="00B91FD8"/>
    <w:rsid w:val="00B94021"/>
    <w:rsid w:val="00BA246B"/>
    <w:rsid w:val="00BA24F5"/>
    <w:rsid w:val="00BA5E16"/>
    <w:rsid w:val="00BA765D"/>
    <w:rsid w:val="00BB0CE9"/>
    <w:rsid w:val="00BB3790"/>
    <w:rsid w:val="00BC0039"/>
    <w:rsid w:val="00BC3232"/>
    <w:rsid w:val="00BC4658"/>
    <w:rsid w:val="00BC5C96"/>
    <w:rsid w:val="00BC6E5C"/>
    <w:rsid w:val="00BD0058"/>
    <w:rsid w:val="00BD0061"/>
    <w:rsid w:val="00BD346F"/>
    <w:rsid w:val="00BD7482"/>
    <w:rsid w:val="00BE4999"/>
    <w:rsid w:val="00BE5A4B"/>
    <w:rsid w:val="00BE6F73"/>
    <w:rsid w:val="00BF143A"/>
    <w:rsid w:val="00BF4224"/>
    <w:rsid w:val="00BF6D60"/>
    <w:rsid w:val="00C03798"/>
    <w:rsid w:val="00C03F1F"/>
    <w:rsid w:val="00C04BB5"/>
    <w:rsid w:val="00C06CBE"/>
    <w:rsid w:val="00C340F1"/>
    <w:rsid w:val="00C378A0"/>
    <w:rsid w:val="00C432B7"/>
    <w:rsid w:val="00C47665"/>
    <w:rsid w:val="00C50AB8"/>
    <w:rsid w:val="00C51609"/>
    <w:rsid w:val="00C52A83"/>
    <w:rsid w:val="00C54116"/>
    <w:rsid w:val="00C55261"/>
    <w:rsid w:val="00C56878"/>
    <w:rsid w:val="00C576F8"/>
    <w:rsid w:val="00C662BA"/>
    <w:rsid w:val="00C71C2D"/>
    <w:rsid w:val="00C756A3"/>
    <w:rsid w:val="00C76258"/>
    <w:rsid w:val="00C8515F"/>
    <w:rsid w:val="00C866FE"/>
    <w:rsid w:val="00C87FCC"/>
    <w:rsid w:val="00C95550"/>
    <w:rsid w:val="00C95B12"/>
    <w:rsid w:val="00C96EE3"/>
    <w:rsid w:val="00C96F38"/>
    <w:rsid w:val="00CA0332"/>
    <w:rsid w:val="00CA0E35"/>
    <w:rsid w:val="00CA215D"/>
    <w:rsid w:val="00CA68BE"/>
    <w:rsid w:val="00CB05F8"/>
    <w:rsid w:val="00CB2C17"/>
    <w:rsid w:val="00CB3317"/>
    <w:rsid w:val="00CB5BEA"/>
    <w:rsid w:val="00CB6912"/>
    <w:rsid w:val="00CC1271"/>
    <w:rsid w:val="00CC195F"/>
    <w:rsid w:val="00CC29A4"/>
    <w:rsid w:val="00CC5C8E"/>
    <w:rsid w:val="00CD09DA"/>
    <w:rsid w:val="00CD0ADE"/>
    <w:rsid w:val="00CD176D"/>
    <w:rsid w:val="00CD220A"/>
    <w:rsid w:val="00CD4547"/>
    <w:rsid w:val="00CD669A"/>
    <w:rsid w:val="00CE3851"/>
    <w:rsid w:val="00CE3F94"/>
    <w:rsid w:val="00CF15F0"/>
    <w:rsid w:val="00CF44C6"/>
    <w:rsid w:val="00CF4982"/>
    <w:rsid w:val="00CF5CF1"/>
    <w:rsid w:val="00CF745B"/>
    <w:rsid w:val="00D0024C"/>
    <w:rsid w:val="00D05BB3"/>
    <w:rsid w:val="00D06C5C"/>
    <w:rsid w:val="00D1516C"/>
    <w:rsid w:val="00D179DC"/>
    <w:rsid w:val="00D21191"/>
    <w:rsid w:val="00D25916"/>
    <w:rsid w:val="00D30495"/>
    <w:rsid w:val="00D321C3"/>
    <w:rsid w:val="00D363AD"/>
    <w:rsid w:val="00D36575"/>
    <w:rsid w:val="00D368D6"/>
    <w:rsid w:val="00D36C43"/>
    <w:rsid w:val="00D42901"/>
    <w:rsid w:val="00D44B11"/>
    <w:rsid w:val="00D45464"/>
    <w:rsid w:val="00D459F2"/>
    <w:rsid w:val="00D51E76"/>
    <w:rsid w:val="00D521ED"/>
    <w:rsid w:val="00D52335"/>
    <w:rsid w:val="00D5434E"/>
    <w:rsid w:val="00D56867"/>
    <w:rsid w:val="00D568FA"/>
    <w:rsid w:val="00D615F4"/>
    <w:rsid w:val="00D616EB"/>
    <w:rsid w:val="00D62660"/>
    <w:rsid w:val="00D6356C"/>
    <w:rsid w:val="00D65A3F"/>
    <w:rsid w:val="00D755E2"/>
    <w:rsid w:val="00D851CD"/>
    <w:rsid w:val="00D8675C"/>
    <w:rsid w:val="00D86F8C"/>
    <w:rsid w:val="00D93727"/>
    <w:rsid w:val="00D93ED2"/>
    <w:rsid w:val="00D94934"/>
    <w:rsid w:val="00D958D7"/>
    <w:rsid w:val="00DA22E1"/>
    <w:rsid w:val="00DA7AA6"/>
    <w:rsid w:val="00DA7BEE"/>
    <w:rsid w:val="00DB19EA"/>
    <w:rsid w:val="00DB276E"/>
    <w:rsid w:val="00DB3CF0"/>
    <w:rsid w:val="00DB40A2"/>
    <w:rsid w:val="00DB5DC3"/>
    <w:rsid w:val="00DC2163"/>
    <w:rsid w:val="00DC4A71"/>
    <w:rsid w:val="00DD4BE3"/>
    <w:rsid w:val="00DD53E1"/>
    <w:rsid w:val="00DD5F2F"/>
    <w:rsid w:val="00DE1D91"/>
    <w:rsid w:val="00DF06D5"/>
    <w:rsid w:val="00DF08CC"/>
    <w:rsid w:val="00DF0C31"/>
    <w:rsid w:val="00DF4E11"/>
    <w:rsid w:val="00DF5C07"/>
    <w:rsid w:val="00DF79AD"/>
    <w:rsid w:val="00E004E1"/>
    <w:rsid w:val="00E045FC"/>
    <w:rsid w:val="00E053ED"/>
    <w:rsid w:val="00E05868"/>
    <w:rsid w:val="00E073D2"/>
    <w:rsid w:val="00E138CD"/>
    <w:rsid w:val="00E234DF"/>
    <w:rsid w:val="00E2368B"/>
    <w:rsid w:val="00E346B0"/>
    <w:rsid w:val="00E35385"/>
    <w:rsid w:val="00E3565D"/>
    <w:rsid w:val="00E42708"/>
    <w:rsid w:val="00E45EFA"/>
    <w:rsid w:val="00E516E4"/>
    <w:rsid w:val="00E51F54"/>
    <w:rsid w:val="00E546C8"/>
    <w:rsid w:val="00E70034"/>
    <w:rsid w:val="00E71A73"/>
    <w:rsid w:val="00E71DAB"/>
    <w:rsid w:val="00E74A03"/>
    <w:rsid w:val="00E76D09"/>
    <w:rsid w:val="00E81650"/>
    <w:rsid w:val="00E821C7"/>
    <w:rsid w:val="00E838DC"/>
    <w:rsid w:val="00EA157B"/>
    <w:rsid w:val="00EA2578"/>
    <w:rsid w:val="00EB461F"/>
    <w:rsid w:val="00EC41F2"/>
    <w:rsid w:val="00EC556B"/>
    <w:rsid w:val="00ED0EAC"/>
    <w:rsid w:val="00ED3A4D"/>
    <w:rsid w:val="00EE105E"/>
    <w:rsid w:val="00EE6B88"/>
    <w:rsid w:val="00EE7C89"/>
    <w:rsid w:val="00EF4C14"/>
    <w:rsid w:val="00F01A5D"/>
    <w:rsid w:val="00F039D8"/>
    <w:rsid w:val="00F05248"/>
    <w:rsid w:val="00F055B3"/>
    <w:rsid w:val="00F10D1E"/>
    <w:rsid w:val="00F166CB"/>
    <w:rsid w:val="00F17D15"/>
    <w:rsid w:val="00F22670"/>
    <w:rsid w:val="00F25944"/>
    <w:rsid w:val="00F267D7"/>
    <w:rsid w:val="00F26D73"/>
    <w:rsid w:val="00F27E7A"/>
    <w:rsid w:val="00F3330E"/>
    <w:rsid w:val="00F334CC"/>
    <w:rsid w:val="00F3481F"/>
    <w:rsid w:val="00F36F9A"/>
    <w:rsid w:val="00F404E4"/>
    <w:rsid w:val="00F43A2A"/>
    <w:rsid w:val="00F532EF"/>
    <w:rsid w:val="00F548AE"/>
    <w:rsid w:val="00F54BC3"/>
    <w:rsid w:val="00F570D7"/>
    <w:rsid w:val="00F62699"/>
    <w:rsid w:val="00F6567A"/>
    <w:rsid w:val="00F74B76"/>
    <w:rsid w:val="00F760E2"/>
    <w:rsid w:val="00F7610C"/>
    <w:rsid w:val="00F80EEF"/>
    <w:rsid w:val="00F86257"/>
    <w:rsid w:val="00F86973"/>
    <w:rsid w:val="00F90266"/>
    <w:rsid w:val="00F905F9"/>
    <w:rsid w:val="00F94D6B"/>
    <w:rsid w:val="00FA132F"/>
    <w:rsid w:val="00FA20F0"/>
    <w:rsid w:val="00FA2652"/>
    <w:rsid w:val="00FA4A47"/>
    <w:rsid w:val="00FB1679"/>
    <w:rsid w:val="00FB4513"/>
    <w:rsid w:val="00FC0966"/>
    <w:rsid w:val="00FC345E"/>
    <w:rsid w:val="00FC4601"/>
    <w:rsid w:val="00FD06F9"/>
    <w:rsid w:val="00FD4951"/>
    <w:rsid w:val="00FD7130"/>
    <w:rsid w:val="00FE001F"/>
    <w:rsid w:val="00FE3B4D"/>
    <w:rsid w:val="00FE5124"/>
    <w:rsid w:val="00FE772D"/>
    <w:rsid w:val="00FF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49"/>
    <o:shapelayout v:ext="edit">
      <o:idmap v:ext="edit" data="1"/>
    </o:shapelayout>
  </w:shapeDefaults>
  <w:decimalSymbol w:val="."/>
  <w:listSeparator w:val=","/>
  <w14:docId w14:val="0BE8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basedOn w:val="Normal"/>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2019-01-15T22:24:00Z</dcterms:created>
  <dcterms:modified xsi:type="dcterms:W3CDTF">2019-01-25T00:55:00Z</dcterms:modified>
</cp:coreProperties>
</file>