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AE5A" w14:textId="77777777" w:rsidR="00E72460" w:rsidRPr="0063545B" w:rsidRDefault="00E72460" w:rsidP="00300A24">
      <w:pPr>
        <w:pStyle w:val="Heading1"/>
        <w:spacing w:line="360" w:lineRule="auto"/>
      </w:pPr>
      <w:r w:rsidRPr="0063545B">
        <w:t>EXPLANATORY STATEMENT</w:t>
      </w:r>
    </w:p>
    <w:p w14:paraId="5CDB8BDC" w14:textId="77777777" w:rsidR="00E72460" w:rsidRPr="0063545B" w:rsidRDefault="00466B2F" w:rsidP="00300A24">
      <w:pPr>
        <w:pStyle w:val="Heading2"/>
        <w:spacing w:before="120" w:after="360" w:line="360" w:lineRule="auto"/>
        <w:ind w:left="0" w:firstLine="0"/>
      </w:pPr>
      <w:r>
        <w:rPr>
          <w:i/>
        </w:rPr>
        <w:t xml:space="preserve">Australian </w:t>
      </w:r>
      <w:r w:rsidR="00E72460" w:rsidRPr="0063545B">
        <w:rPr>
          <w:i/>
        </w:rPr>
        <w:t>Citizenship Act 2007</w:t>
      </w:r>
    </w:p>
    <w:p w14:paraId="6D91569A" w14:textId="1833D79E" w:rsidR="00466B2F" w:rsidRPr="00466B2F" w:rsidRDefault="00466B2F" w:rsidP="00466B2F">
      <w:pPr>
        <w:spacing w:after="120" w:line="360" w:lineRule="auto"/>
        <w:ind w:hanging="23"/>
        <w:jc w:val="center"/>
        <w:rPr>
          <w:b/>
          <w:sz w:val="24"/>
        </w:rPr>
      </w:pPr>
      <w:r w:rsidRPr="00466B2F">
        <w:rPr>
          <w:b/>
          <w:sz w:val="24"/>
        </w:rPr>
        <w:t>Australian Citizenship</w:t>
      </w:r>
      <w:r w:rsidRPr="00466B2F">
        <w:rPr>
          <w:b/>
          <w:i/>
          <w:sz w:val="24"/>
        </w:rPr>
        <w:t xml:space="preserve"> </w:t>
      </w:r>
      <w:r w:rsidRPr="00466B2F">
        <w:rPr>
          <w:b/>
          <w:sz w:val="24"/>
        </w:rPr>
        <w:t xml:space="preserve">(LIN </w:t>
      </w:r>
      <w:r w:rsidR="00A87ABB">
        <w:rPr>
          <w:b/>
          <w:sz w:val="24"/>
        </w:rPr>
        <w:t>19</w:t>
      </w:r>
      <w:r w:rsidRPr="00466B2F">
        <w:rPr>
          <w:b/>
          <w:sz w:val="24"/>
        </w:rPr>
        <w:t>/</w:t>
      </w:r>
      <w:r w:rsidR="00A87ABB">
        <w:rPr>
          <w:b/>
          <w:sz w:val="24"/>
        </w:rPr>
        <w:t>066</w:t>
      </w:r>
      <w:r w:rsidRPr="00466B2F">
        <w:rPr>
          <w:b/>
          <w:sz w:val="24"/>
        </w:rPr>
        <w:t xml:space="preserve">: Persons Who May Receive </w:t>
      </w:r>
      <w:r w:rsidR="00B30A35">
        <w:rPr>
          <w:b/>
          <w:sz w:val="24"/>
        </w:rPr>
        <w:t xml:space="preserve">a </w:t>
      </w:r>
      <w:r w:rsidRPr="00466B2F">
        <w:rPr>
          <w:b/>
          <w:sz w:val="24"/>
        </w:rPr>
        <w:t xml:space="preserve">Pledge of </w:t>
      </w:r>
      <w:r w:rsidR="00097841">
        <w:rPr>
          <w:b/>
          <w:sz w:val="24"/>
        </w:rPr>
        <w:t>C</w:t>
      </w:r>
      <w:r w:rsidR="00097841" w:rsidRPr="00466B2F">
        <w:rPr>
          <w:b/>
          <w:sz w:val="24"/>
        </w:rPr>
        <w:t>ommitment</w:t>
      </w:r>
      <w:r w:rsidR="00AE70EA">
        <w:rPr>
          <w:b/>
          <w:sz w:val="24"/>
        </w:rPr>
        <w:t>) Authorisation 2019</w:t>
      </w:r>
    </w:p>
    <w:p w14:paraId="4F7E3073" w14:textId="53529420" w:rsidR="00E72460" w:rsidRPr="0063545B" w:rsidRDefault="00E72460" w:rsidP="00300A24">
      <w:pPr>
        <w:spacing w:after="360" w:line="360" w:lineRule="auto"/>
        <w:ind w:hanging="23"/>
        <w:jc w:val="center"/>
        <w:rPr>
          <w:i/>
          <w:sz w:val="24"/>
          <w:highlight w:val="yellow"/>
        </w:rPr>
      </w:pPr>
      <w:r w:rsidRPr="0063545B">
        <w:rPr>
          <w:i/>
          <w:sz w:val="24"/>
        </w:rPr>
        <w:t>(Subsection</w:t>
      </w:r>
      <w:r w:rsidR="00D074FB">
        <w:rPr>
          <w:i/>
          <w:sz w:val="24"/>
        </w:rPr>
        <w:t>s</w:t>
      </w:r>
      <w:r w:rsidRPr="0063545B">
        <w:rPr>
          <w:i/>
          <w:sz w:val="24"/>
        </w:rPr>
        <w:t xml:space="preserve"> 27</w:t>
      </w:r>
      <w:r w:rsidR="00D074FB">
        <w:rPr>
          <w:i/>
          <w:sz w:val="24"/>
        </w:rPr>
        <w:t>(4) and 27</w:t>
      </w:r>
      <w:r w:rsidRPr="0063545B">
        <w:rPr>
          <w:i/>
          <w:sz w:val="24"/>
        </w:rPr>
        <w:t>(5))</w:t>
      </w:r>
    </w:p>
    <w:p w14:paraId="3715974D" w14:textId="5BA1B36D" w:rsidR="00E72460" w:rsidRPr="0063545B" w:rsidRDefault="00466B2F" w:rsidP="003E4BE8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The i</w:t>
      </w:r>
      <w:r w:rsidR="00E72460" w:rsidRPr="0063545B">
        <w:rPr>
          <w:sz w:val="24"/>
        </w:rPr>
        <w:t>nstrument</w:t>
      </w:r>
      <w:r>
        <w:rPr>
          <w:sz w:val="24"/>
        </w:rPr>
        <w:t xml:space="preserve">, </w:t>
      </w:r>
      <w:r w:rsidR="00A87ABB">
        <w:rPr>
          <w:sz w:val="24"/>
        </w:rPr>
        <w:t>LIN 19/066</w:t>
      </w:r>
      <w:r>
        <w:rPr>
          <w:sz w:val="24"/>
        </w:rPr>
        <w:t>,</w:t>
      </w:r>
      <w:r w:rsidR="00E72460" w:rsidRPr="0063545B">
        <w:rPr>
          <w:sz w:val="24"/>
        </w:rPr>
        <w:t xml:space="preserve"> is made under</w:t>
      </w:r>
      <w:r w:rsidR="00E72460" w:rsidRPr="0063545B">
        <w:t xml:space="preserve"> </w:t>
      </w:r>
      <w:r w:rsidR="00E72460" w:rsidRPr="0063545B">
        <w:rPr>
          <w:sz w:val="24"/>
        </w:rPr>
        <w:t>subsection</w:t>
      </w:r>
      <w:r w:rsidR="00241FEB">
        <w:rPr>
          <w:sz w:val="24"/>
        </w:rPr>
        <w:t>s 27(4) and</w:t>
      </w:r>
      <w:r w:rsidR="00E72460" w:rsidRPr="0063545B">
        <w:rPr>
          <w:sz w:val="24"/>
        </w:rPr>
        <w:t xml:space="preserve"> 27(5) of the </w:t>
      </w:r>
      <w:r w:rsidRPr="00097841">
        <w:rPr>
          <w:i/>
          <w:sz w:val="24"/>
        </w:rPr>
        <w:t>Australian</w:t>
      </w:r>
      <w:r>
        <w:rPr>
          <w:sz w:val="24"/>
        </w:rPr>
        <w:t xml:space="preserve"> </w:t>
      </w:r>
      <w:r w:rsidR="00E72460" w:rsidRPr="00097841">
        <w:rPr>
          <w:i/>
          <w:sz w:val="24"/>
        </w:rPr>
        <w:t xml:space="preserve">Citizenship </w:t>
      </w:r>
      <w:r w:rsidR="00E72460" w:rsidRPr="00AE06FE">
        <w:rPr>
          <w:i/>
          <w:sz w:val="24"/>
        </w:rPr>
        <w:t>Act 2007</w:t>
      </w:r>
      <w:r w:rsidR="00E72460" w:rsidRPr="0063545B">
        <w:rPr>
          <w:sz w:val="24"/>
        </w:rPr>
        <w:t xml:space="preserve"> (‘the Act’).</w:t>
      </w:r>
    </w:p>
    <w:p w14:paraId="525A318C" w14:textId="1CE4DEC3" w:rsidR="00E72460" w:rsidRPr="0063545B" w:rsidRDefault="00E72460" w:rsidP="003E4BE8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</w:rPr>
      </w:pPr>
      <w:r w:rsidRPr="0063545B">
        <w:rPr>
          <w:sz w:val="24"/>
        </w:rPr>
        <w:t xml:space="preserve">The instrument </w:t>
      </w:r>
      <w:r w:rsidR="00BD11E6">
        <w:rPr>
          <w:sz w:val="24"/>
        </w:rPr>
        <w:t>revokes</w:t>
      </w:r>
      <w:r w:rsidRPr="0063545B">
        <w:rPr>
          <w:sz w:val="24"/>
        </w:rPr>
        <w:t xml:space="preserve"> IMMI 17/098 (</w:t>
      </w:r>
      <w:r w:rsidRPr="0063545B">
        <w:rPr>
          <w:rStyle w:val="legsubtitle1"/>
          <w:b w:val="0"/>
          <w:sz w:val="24"/>
          <w:szCs w:val="24"/>
        </w:rPr>
        <w:t>F2017L01044</w:t>
      </w:r>
      <w:r w:rsidRPr="0063545B">
        <w:rPr>
          <w:sz w:val="24"/>
        </w:rPr>
        <w:t xml:space="preserve">) </w:t>
      </w:r>
      <w:r w:rsidR="00DA2056">
        <w:rPr>
          <w:sz w:val="24"/>
        </w:rPr>
        <w:t xml:space="preserve">and IMMI 09/129 (Instrument of Authorisation) </w:t>
      </w:r>
      <w:r w:rsidRPr="0063545B">
        <w:rPr>
          <w:sz w:val="24"/>
        </w:rPr>
        <w:t xml:space="preserve">in accordance with </w:t>
      </w:r>
      <w:r w:rsidRPr="0063545B">
        <w:rPr>
          <w:sz w:val="24"/>
          <w:szCs w:val="24"/>
        </w:rPr>
        <w:t xml:space="preserve">subsection 33(3) of the </w:t>
      </w:r>
      <w:r w:rsidRPr="0063545B">
        <w:rPr>
          <w:i/>
          <w:sz w:val="24"/>
          <w:szCs w:val="24"/>
        </w:rPr>
        <w:t xml:space="preserve">Acts Interpretation Act </w:t>
      </w:r>
      <w:r w:rsidR="00BD11E6">
        <w:rPr>
          <w:i/>
          <w:sz w:val="24"/>
          <w:szCs w:val="24"/>
        </w:rPr>
        <w:t>1901</w:t>
      </w:r>
      <w:r w:rsidR="00D074FB" w:rsidRPr="003E4791">
        <w:rPr>
          <w:sz w:val="24"/>
          <w:szCs w:val="24"/>
        </w:rPr>
        <w:t>,</w:t>
      </w:r>
      <w:r w:rsidR="00BA3A94">
        <w:rPr>
          <w:sz w:val="24"/>
          <w:szCs w:val="24"/>
        </w:rPr>
        <w:t xml:space="preserve"> </w:t>
      </w:r>
      <w:r w:rsidR="00097841">
        <w:rPr>
          <w:sz w:val="24"/>
          <w:szCs w:val="24"/>
        </w:rPr>
        <w:t>which</w:t>
      </w:r>
      <w:r w:rsidR="00097841" w:rsidRPr="0063545B">
        <w:rPr>
          <w:sz w:val="24"/>
          <w:szCs w:val="24"/>
        </w:rPr>
        <w:t xml:space="preserve"> states</w:t>
      </w:r>
      <w:r w:rsidRPr="0063545B">
        <w:rPr>
          <w:sz w:val="24"/>
          <w:szCs w:val="24"/>
        </w:rPr>
        <w:t xml:space="preserve"> </w:t>
      </w:r>
      <w:r w:rsidR="00B30A35">
        <w:rPr>
          <w:sz w:val="24"/>
          <w:szCs w:val="24"/>
        </w:rPr>
        <w:t xml:space="preserve">that </w:t>
      </w:r>
      <w:r w:rsidRPr="0063545B">
        <w:rPr>
          <w:sz w:val="24"/>
          <w:szCs w:val="24"/>
        </w:rPr>
        <w:t>where an Act confers a power to make, grant or issue any instrument of a legislative or administrative character, the power shall be construed as including a power exercisable in the like manner and subject to the like conditions (if any) to repeal, rescind, revoke, amend, or vary any such instrument.</w:t>
      </w:r>
    </w:p>
    <w:p w14:paraId="692BBA1F" w14:textId="1E8C67AB" w:rsidR="00E72460" w:rsidRPr="0063545B" w:rsidRDefault="00E72460" w:rsidP="003E4BE8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</w:rPr>
      </w:pPr>
      <w:r w:rsidRPr="0063545B">
        <w:rPr>
          <w:sz w:val="24"/>
        </w:rPr>
        <w:t xml:space="preserve">The instrument </w:t>
      </w:r>
      <w:r w:rsidR="00162B15">
        <w:rPr>
          <w:sz w:val="24"/>
        </w:rPr>
        <w:t xml:space="preserve">operates </w:t>
      </w:r>
      <w:r w:rsidR="00162B15" w:rsidRPr="0063545B">
        <w:rPr>
          <w:sz w:val="24"/>
        </w:rPr>
        <w:t>to</w:t>
      </w:r>
      <w:r w:rsidR="00BD11E6">
        <w:rPr>
          <w:sz w:val="24"/>
        </w:rPr>
        <w:t xml:space="preserve"> authorise</w:t>
      </w:r>
      <w:r w:rsidR="005D698D">
        <w:rPr>
          <w:sz w:val="24"/>
        </w:rPr>
        <w:t xml:space="preserve"> persons and</w:t>
      </w:r>
      <w:r w:rsidR="00BD11E6">
        <w:rPr>
          <w:sz w:val="24"/>
        </w:rPr>
        <w:t xml:space="preserve"> </w:t>
      </w:r>
      <w:r w:rsidR="00E65D87">
        <w:rPr>
          <w:sz w:val="24"/>
        </w:rPr>
        <w:t>the</w:t>
      </w:r>
      <w:r w:rsidR="005D698D">
        <w:rPr>
          <w:sz w:val="24"/>
        </w:rPr>
        <w:t xml:space="preserve"> different</w:t>
      </w:r>
      <w:r w:rsidR="00E65D87">
        <w:rPr>
          <w:sz w:val="24"/>
        </w:rPr>
        <w:t xml:space="preserve"> </w:t>
      </w:r>
      <w:r w:rsidR="00BD11E6">
        <w:rPr>
          <w:sz w:val="24"/>
        </w:rPr>
        <w:t>class</w:t>
      </w:r>
      <w:r w:rsidRPr="0063545B">
        <w:rPr>
          <w:sz w:val="24"/>
        </w:rPr>
        <w:t xml:space="preserve"> of persons </w:t>
      </w:r>
      <w:r w:rsidR="00E65D87">
        <w:rPr>
          <w:sz w:val="24"/>
        </w:rPr>
        <w:t xml:space="preserve">able </w:t>
      </w:r>
      <w:r w:rsidRPr="0063545B">
        <w:rPr>
          <w:sz w:val="24"/>
        </w:rPr>
        <w:t>to receive the pledge of commitment</w:t>
      </w:r>
      <w:r w:rsidR="00C03128">
        <w:rPr>
          <w:sz w:val="24"/>
        </w:rPr>
        <w:t xml:space="preserve"> of Australian citizenship</w:t>
      </w:r>
      <w:r w:rsidRPr="0063545B">
        <w:rPr>
          <w:sz w:val="24"/>
        </w:rPr>
        <w:t>. Subsection 26(1) of the Act requires that a person must make a pledge of commitment</w:t>
      </w:r>
      <w:r w:rsidR="00C03128">
        <w:rPr>
          <w:sz w:val="24"/>
        </w:rPr>
        <w:t xml:space="preserve"> to Australia</w:t>
      </w:r>
      <w:r w:rsidRPr="0063545B">
        <w:rPr>
          <w:sz w:val="24"/>
        </w:rPr>
        <w:t xml:space="preserve"> to become an Australian citizen unless they meet the requirements set out in paragraphs 26(1</w:t>
      </w:r>
      <w:proofErr w:type="gramStart"/>
      <w:r w:rsidRPr="0063545B">
        <w:rPr>
          <w:sz w:val="24"/>
        </w:rPr>
        <w:t>)(</w:t>
      </w:r>
      <w:proofErr w:type="gramEnd"/>
      <w:r w:rsidRPr="0063545B">
        <w:rPr>
          <w:sz w:val="24"/>
        </w:rPr>
        <w:t>a)</w:t>
      </w:r>
      <w:r w:rsidR="00C03128">
        <w:rPr>
          <w:sz w:val="24"/>
        </w:rPr>
        <w:t xml:space="preserve"> to</w:t>
      </w:r>
      <w:r w:rsidRPr="0063545B">
        <w:rPr>
          <w:sz w:val="24"/>
        </w:rPr>
        <w:t xml:space="preserve"> (c). A person required to make a pledge of commitment becomes an Australian citizen on the day on which the pledge of commitment is made.</w:t>
      </w:r>
    </w:p>
    <w:p w14:paraId="2549848C" w14:textId="4ED2759A" w:rsidR="0053040E" w:rsidRPr="0053040E" w:rsidRDefault="00E72460" w:rsidP="0053040E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  <w:szCs w:val="24"/>
          <w:lang w:val="en-US"/>
        </w:rPr>
      </w:pPr>
      <w:r w:rsidRPr="0063545B">
        <w:rPr>
          <w:sz w:val="24"/>
        </w:rPr>
        <w:t>The p</w:t>
      </w:r>
      <w:r w:rsidR="00CF6725" w:rsidRPr="0063545B">
        <w:rPr>
          <w:sz w:val="24"/>
        </w:rPr>
        <w:t xml:space="preserve">urpose of the instrument </w:t>
      </w:r>
      <w:r w:rsidR="00BA3A94">
        <w:rPr>
          <w:sz w:val="24"/>
        </w:rPr>
        <w:t>LIN</w:t>
      </w:r>
      <w:r w:rsidR="00BA3A94" w:rsidRPr="0063545B">
        <w:rPr>
          <w:sz w:val="24"/>
        </w:rPr>
        <w:t xml:space="preserve"> </w:t>
      </w:r>
      <w:r w:rsidR="00A87ABB">
        <w:rPr>
          <w:sz w:val="24"/>
        </w:rPr>
        <w:t>19/066</w:t>
      </w:r>
      <w:r w:rsidR="00CF6725" w:rsidRPr="0063545B">
        <w:rPr>
          <w:sz w:val="24"/>
        </w:rPr>
        <w:t xml:space="preserve"> </w:t>
      </w:r>
      <w:r w:rsidRPr="0063545B">
        <w:rPr>
          <w:sz w:val="24"/>
        </w:rPr>
        <w:t>is to update the persons and classes of persons authorised to receive a pledge of commitment. In particular, this instrument</w:t>
      </w:r>
      <w:r w:rsidR="00CF6725" w:rsidRPr="0063545B">
        <w:rPr>
          <w:sz w:val="24"/>
        </w:rPr>
        <w:t>, in section 5 of Schedule 1,</w:t>
      </w:r>
      <w:r w:rsidRPr="0063545B">
        <w:rPr>
          <w:sz w:val="24"/>
        </w:rPr>
        <w:t xml:space="preserve"> </w:t>
      </w:r>
      <w:r w:rsidR="00B95EA5" w:rsidRPr="0063545B">
        <w:rPr>
          <w:sz w:val="24"/>
        </w:rPr>
        <w:t>specifies</w:t>
      </w:r>
      <w:r w:rsidR="00CF6725" w:rsidRPr="0063545B">
        <w:rPr>
          <w:sz w:val="24"/>
        </w:rPr>
        <w:t xml:space="preserve"> the new </w:t>
      </w:r>
      <w:r w:rsidR="006D795C" w:rsidRPr="0063545B">
        <w:rPr>
          <w:sz w:val="24"/>
        </w:rPr>
        <w:t xml:space="preserve">names of the </w:t>
      </w:r>
      <w:r w:rsidR="00CF6725" w:rsidRPr="0063545B">
        <w:rPr>
          <w:sz w:val="24"/>
        </w:rPr>
        <w:t>divisions, branch</w:t>
      </w:r>
      <w:r w:rsidR="00B95EA5" w:rsidRPr="0063545B">
        <w:rPr>
          <w:sz w:val="24"/>
        </w:rPr>
        <w:t>es</w:t>
      </w:r>
      <w:r w:rsidR="00CF6725" w:rsidRPr="0063545B">
        <w:rPr>
          <w:sz w:val="24"/>
        </w:rPr>
        <w:t xml:space="preserve"> and section</w:t>
      </w:r>
      <w:r w:rsidR="00B95EA5" w:rsidRPr="0063545B">
        <w:rPr>
          <w:sz w:val="24"/>
        </w:rPr>
        <w:t>s</w:t>
      </w:r>
      <w:r w:rsidR="00CF6725" w:rsidRPr="0063545B">
        <w:rPr>
          <w:sz w:val="24"/>
        </w:rPr>
        <w:t xml:space="preserve"> </w:t>
      </w:r>
      <w:r w:rsidR="00B95EA5" w:rsidRPr="0063545B">
        <w:rPr>
          <w:sz w:val="24"/>
        </w:rPr>
        <w:t>of</w:t>
      </w:r>
      <w:r w:rsidR="00CF6725" w:rsidRPr="0063545B">
        <w:rPr>
          <w:sz w:val="24"/>
        </w:rPr>
        <w:t xml:space="preserve"> </w:t>
      </w:r>
      <w:r w:rsidR="00B95EA5" w:rsidRPr="0063545B">
        <w:rPr>
          <w:sz w:val="24"/>
        </w:rPr>
        <w:t>entrusted</w:t>
      </w:r>
      <w:r w:rsidR="00CF6725" w:rsidRPr="0063545B">
        <w:rPr>
          <w:sz w:val="24"/>
        </w:rPr>
        <w:t xml:space="preserve"> person</w:t>
      </w:r>
      <w:r w:rsidR="00B95EA5" w:rsidRPr="0063545B">
        <w:rPr>
          <w:sz w:val="24"/>
        </w:rPr>
        <w:t xml:space="preserve">s of the Department </w:t>
      </w:r>
      <w:r w:rsidR="00B77CD0">
        <w:rPr>
          <w:sz w:val="24"/>
        </w:rPr>
        <w:t>of Home Affairs</w:t>
      </w:r>
      <w:r w:rsidR="00D074FB">
        <w:rPr>
          <w:sz w:val="24"/>
        </w:rPr>
        <w:t>,</w:t>
      </w:r>
      <w:r w:rsidR="00B77CD0">
        <w:rPr>
          <w:sz w:val="24"/>
        </w:rPr>
        <w:t xml:space="preserve"> </w:t>
      </w:r>
      <w:r w:rsidR="00AA1983" w:rsidRPr="0063545B">
        <w:rPr>
          <w:sz w:val="24"/>
        </w:rPr>
        <w:t>which have changed as</w:t>
      </w:r>
      <w:r w:rsidR="00B95EA5" w:rsidRPr="0063545B">
        <w:rPr>
          <w:sz w:val="24"/>
          <w:szCs w:val="24"/>
        </w:rPr>
        <w:t xml:space="preserve"> a result of </w:t>
      </w:r>
      <w:r w:rsidR="00BD11E6">
        <w:rPr>
          <w:sz w:val="24"/>
          <w:szCs w:val="24"/>
        </w:rPr>
        <w:t xml:space="preserve">recent </w:t>
      </w:r>
      <w:r w:rsidR="00B95EA5" w:rsidRPr="0063545B">
        <w:rPr>
          <w:sz w:val="24"/>
          <w:szCs w:val="24"/>
        </w:rPr>
        <w:t>Machinery of Government</w:t>
      </w:r>
      <w:r w:rsidR="00C03128">
        <w:rPr>
          <w:sz w:val="24"/>
          <w:szCs w:val="24"/>
        </w:rPr>
        <w:t xml:space="preserve"> changes</w:t>
      </w:r>
      <w:r w:rsidR="00B95EA5" w:rsidRPr="0063545B">
        <w:rPr>
          <w:sz w:val="24"/>
          <w:szCs w:val="24"/>
        </w:rPr>
        <w:t>.</w:t>
      </w:r>
      <w:r w:rsidR="0053040E">
        <w:rPr>
          <w:sz w:val="24"/>
          <w:szCs w:val="24"/>
        </w:rPr>
        <w:t xml:space="preserve">  </w:t>
      </w:r>
    </w:p>
    <w:p w14:paraId="53B49920" w14:textId="7BB6052A" w:rsidR="00E72460" w:rsidRDefault="00E72460" w:rsidP="003E4BE8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</w:rPr>
      </w:pPr>
      <w:r w:rsidRPr="0063545B">
        <w:rPr>
          <w:sz w:val="24"/>
        </w:rPr>
        <w:t xml:space="preserve">In accordance with paragraph </w:t>
      </w:r>
      <w:proofErr w:type="gramStart"/>
      <w:r w:rsidRPr="0063545B">
        <w:rPr>
          <w:sz w:val="24"/>
        </w:rPr>
        <w:t>15J(</w:t>
      </w:r>
      <w:proofErr w:type="gramEnd"/>
      <w:r w:rsidRPr="0063545B">
        <w:rPr>
          <w:sz w:val="24"/>
        </w:rPr>
        <w:t xml:space="preserve">2)(e) of the </w:t>
      </w:r>
      <w:r w:rsidRPr="00AE06FE">
        <w:rPr>
          <w:i/>
          <w:sz w:val="24"/>
        </w:rPr>
        <w:t>Legislation Act 2003</w:t>
      </w:r>
      <w:r w:rsidR="00C03128">
        <w:rPr>
          <w:sz w:val="24"/>
        </w:rPr>
        <w:t>,</w:t>
      </w:r>
      <w:r w:rsidRPr="0063545B">
        <w:rPr>
          <w:sz w:val="24"/>
        </w:rPr>
        <w:t xml:space="preserve"> consultation </w:t>
      </w:r>
      <w:r w:rsidR="001833A7">
        <w:rPr>
          <w:sz w:val="24"/>
        </w:rPr>
        <w:t>in</w:t>
      </w:r>
      <w:r w:rsidR="00EB3A07">
        <w:rPr>
          <w:sz w:val="24"/>
        </w:rPr>
        <w:t xml:space="preserve"> relation to updating the titles of classes of persons authorised </w:t>
      </w:r>
      <w:r w:rsidRPr="0063545B">
        <w:rPr>
          <w:sz w:val="24"/>
        </w:rPr>
        <w:t xml:space="preserve">was not </w:t>
      </w:r>
      <w:r w:rsidR="00BD11E6">
        <w:rPr>
          <w:sz w:val="24"/>
        </w:rPr>
        <w:t xml:space="preserve">considered </w:t>
      </w:r>
      <w:r w:rsidRPr="0063545B">
        <w:rPr>
          <w:sz w:val="24"/>
        </w:rPr>
        <w:t>necessary. Th</w:t>
      </w:r>
      <w:r w:rsidR="00BD11E6">
        <w:rPr>
          <w:sz w:val="24"/>
        </w:rPr>
        <w:t>ose</w:t>
      </w:r>
      <w:r w:rsidR="001833A7">
        <w:rPr>
          <w:sz w:val="24"/>
        </w:rPr>
        <w:t xml:space="preserve"> </w:t>
      </w:r>
      <w:r w:rsidR="00BD11E6">
        <w:rPr>
          <w:sz w:val="24"/>
        </w:rPr>
        <w:t>amendments</w:t>
      </w:r>
      <w:r w:rsidR="00EB3A07">
        <w:rPr>
          <w:sz w:val="24"/>
        </w:rPr>
        <w:t xml:space="preserve"> to </w:t>
      </w:r>
      <w:r w:rsidR="001833A7">
        <w:rPr>
          <w:sz w:val="24"/>
        </w:rPr>
        <w:t>the</w:t>
      </w:r>
      <w:r w:rsidRPr="0063545B">
        <w:rPr>
          <w:sz w:val="24"/>
        </w:rPr>
        <w:t xml:space="preserve"> instrument </w:t>
      </w:r>
      <w:r w:rsidR="00BD11E6">
        <w:rPr>
          <w:sz w:val="24"/>
        </w:rPr>
        <w:t>are</w:t>
      </w:r>
      <w:r w:rsidRPr="0063545B">
        <w:rPr>
          <w:sz w:val="24"/>
        </w:rPr>
        <w:t xml:space="preserve"> minor </w:t>
      </w:r>
      <w:r w:rsidR="00400B4F">
        <w:rPr>
          <w:sz w:val="24"/>
        </w:rPr>
        <w:t>and</w:t>
      </w:r>
      <w:r w:rsidR="00400B4F" w:rsidRPr="0063545B">
        <w:rPr>
          <w:sz w:val="24"/>
        </w:rPr>
        <w:t xml:space="preserve"> </w:t>
      </w:r>
      <w:r w:rsidRPr="0063545B">
        <w:rPr>
          <w:sz w:val="24"/>
        </w:rPr>
        <w:t xml:space="preserve">machinery </w:t>
      </w:r>
      <w:r w:rsidR="003F447E">
        <w:rPr>
          <w:sz w:val="24"/>
        </w:rPr>
        <w:t xml:space="preserve">in </w:t>
      </w:r>
      <w:r w:rsidRPr="0063545B">
        <w:rPr>
          <w:sz w:val="24"/>
        </w:rPr>
        <w:t>nature and do not substantially alter existing arrangements.</w:t>
      </w:r>
    </w:p>
    <w:p w14:paraId="52634F38" w14:textId="19AC220D" w:rsidR="00E72460" w:rsidRPr="0063545B" w:rsidRDefault="00E72460" w:rsidP="00C03128">
      <w:pPr>
        <w:numPr>
          <w:ilvl w:val="0"/>
          <w:numId w:val="1"/>
        </w:numPr>
        <w:spacing w:before="240" w:line="360" w:lineRule="auto"/>
        <w:ind w:left="540" w:hanging="540"/>
        <w:jc w:val="both"/>
        <w:rPr>
          <w:sz w:val="24"/>
        </w:rPr>
      </w:pPr>
      <w:r w:rsidRPr="0063545B">
        <w:rPr>
          <w:sz w:val="24"/>
        </w:rPr>
        <w:lastRenderedPageBreak/>
        <w:t>The Office of Best Practice Regulation (OBPR) has been consulted (OBPR reference</w:t>
      </w:r>
      <w:r w:rsidR="0020338F">
        <w:rPr>
          <w:sz w:val="24"/>
        </w:rPr>
        <w:t>:</w:t>
      </w:r>
      <w:r w:rsidRPr="0063545B">
        <w:rPr>
          <w:sz w:val="24"/>
        </w:rPr>
        <w:t xml:space="preserve"> </w:t>
      </w:r>
      <w:r w:rsidR="000876B0" w:rsidRPr="000876B0">
        <w:rPr>
          <w:sz w:val="24"/>
        </w:rPr>
        <w:t>24029</w:t>
      </w:r>
      <w:r w:rsidR="000876B0">
        <w:rPr>
          <w:sz w:val="24"/>
        </w:rPr>
        <w:t>).</w:t>
      </w:r>
    </w:p>
    <w:p w14:paraId="46E2F514" w14:textId="77777777" w:rsidR="00E72460" w:rsidRPr="0063545B" w:rsidRDefault="00E72460" w:rsidP="003E4BE8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</w:rPr>
      </w:pPr>
      <w:r w:rsidRPr="0063545B">
        <w:rPr>
          <w:sz w:val="24"/>
        </w:rPr>
        <w:t xml:space="preserve">Under section 42 of the </w:t>
      </w:r>
      <w:r w:rsidRPr="00AE06FE">
        <w:rPr>
          <w:i/>
          <w:sz w:val="24"/>
        </w:rPr>
        <w:t>Legislation Act 2003</w:t>
      </w:r>
      <w:r w:rsidRPr="0063545B">
        <w:rPr>
          <w:sz w:val="24"/>
        </w:rPr>
        <w:t>, the instrument is subject to disallowance and therefore a Statement of Compatibility with Human Rights has been provided.</w:t>
      </w:r>
    </w:p>
    <w:p w14:paraId="0BE0E306" w14:textId="71579A10" w:rsidR="00E72460" w:rsidRPr="0063545B" w:rsidRDefault="00E72460" w:rsidP="003E4BE8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</w:rPr>
      </w:pPr>
      <w:r w:rsidRPr="0063545B">
        <w:rPr>
          <w:sz w:val="24"/>
        </w:rPr>
        <w:t>The instrument commences on the day after registration on the Federal Register of Legislation.</w:t>
      </w:r>
    </w:p>
    <w:p w14:paraId="4D722017" w14:textId="77777777" w:rsidR="0063545B" w:rsidRPr="0063545B" w:rsidRDefault="0063545B" w:rsidP="003E4BE8">
      <w:pPr>
        <w:spacing w:before="360" w:line="360" w:lineRule="auto"/>
        <w:ind w:left="567"/>
        <w:jc w:val="both"/>
        <w:rPr>
          <w:sz w:val="24"/>
        </w:rPr>
        <w:sectPr w:rsidR="0063545B" w:rsidRPr="0063545B" w:rsidSect="00EC6CE6">
          <w:headerReference w:type="default" r:id="rId8"/>
          <w:pgSz w:w="11906" w:h="16838"/>
          <w:pgMar w:top="1560" w:right="1416" w:bottom="1134" w:left="1418" w:header="426" w:footer="862" w:gutter="0"/>
          <w:cols w:space="720"/>
          <w:titlePg/>
          <w:docGrid w:linePitch="272"/>
        </w:sectPr>
      </w:pPr>
    </w:p>
    <w:p w14:paraId="6F7CADC5" w14:textId="77777777" w:rsidR="00241E16" w:rsidRPr="00AE06FE" w:rsidRDefault="00241E16" w:rsidP="00241E16">
      <w:pPr>
        <w:pStyle w:val="Heading2"/>
        <w:rPr>
          <w:b/>
        </w:rPr>
      </w:pPr>
      <w:r w:rsidRPr="00AE06FE">
        <w:rPr>
          <w:b/>
        </w:rPr>
        <w:lastRenderedPageBreak/>
        <w:t>Statement of Compatibility with Human Rights</w:t>
      </w:r>
    </w:p>
    <w:p w14:paraId="1D2360CB" w14:textId="77777777" w:rsidR="00241E16" w:rsidRPr="0063545B" w:rsidRDefault="00241E16" w:rsidP="00241E16">
      <w:pPr>
        <w:spacing w:before="120" w:after="120"/>
        <w:jc w:val="center"/>
        <w:rPr>
          <w:sz w:val="24"/>
          <w:szCs w:val="24"/>
        </w:rPr>
      </w:pPr>
      <w:r w:rsidRPr="0063545B">
        <w:rPr>
          <w:i/>
          <w:sz w:val="24"/>
          <w:szCs w:val="24"/>
        </w:rPr>
        <w:t>Prepared in accordance with Part 3 of the Human Rights (Parliamentary Scrutiny) Act 2011</w:t>
      </w:r>
    </w:p>
    <w:p w14:paraId="714519E5" w14:textId="191DC010" w:rsidR="00241E16" w:rsidRPr="00C03128" w:rsidRDefault="00241E16" w:rsidP="00241E16">
      <w:pPr>
        <w:spacing w:before="360" w:after="120" w:line="276" w:lineRule="auto"/>
        <w:jc w:val="center"/>
        <w:rPr>
          <w:sz w:val="24"/>
          <w:szCs w:val="24"/>
        </w:rPr>
      </w:pPr>
      <w:r w:rsidRPr="00C03128">
        <w:rPr>
          <w:b/>
          <w:sz w:val="24"/>
          <w:szCs w:val="24"/>
        </w:rPr>
        <w:t xml:space="preserve">Australian Citizenship (LIN </w:t>
      </w:r>
      <w:r w:rsidR="00A87ABB">
        <w:rPr>
          <w:b/>
          <w:sz w:val="24"/>
          <w:szCs w:val="24"/>
        </w:rPr>
        <w:t>19/066</w:t>
      </w:r>
      <w:r w:rsidRPr="00C03128">
        <w:rPr>
          <w:b/>
          <w:sz w:val="24"/>
          <w:szCs w:val="24"/>
        </w:rPr>
        <w:t>: Persons Who May Receive a Pledge o</w:t>
      </w:r>
      <w:r w:rsidR="00AE70EA">
        <w:rPr>
          <w:b/>
          <w:sz w:val="24"/>
          <w:szCs w:val="24"/>
        </w:rPr>
        <w:t>f Commitment) Authorisation 2019</w:t>
      </w:r>
    </w:p>
    <w:p w14:paraId="02FF5158" w14:textId="00849F49" w:rsidR="00241E16" w:rsidRPr="00C03128" w:rsidRDefault="00241E16" w:rsidP="00241E1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B31520">
        <w:rPr>
          <w:sz w:val="24"/>
          <w:szCs w:val="24"/>
        </w:rPr>
        <w:t>Disallowable legislative i</w:t>
      </w:r>
      <w:r w:rsidRPr="00C03128">
        <w:rPr>
          <w:sz w:val="24"/>
          <w:szCs w:val="24"/>
        </w:rPr>
        <w:t xml:space="preserve">nstrument is compatible with the human rights and freedoms recognised or declared in the international instruments listed in section 3 of the </w:t>
      </w:r>
      <w:r w:rsidRPr="00C03128">
        <w:rPr>
          <w:i/>
          <w:sz w:val="24"/>
          <w:szCs w:val="24"/>
        </w:rPr>
        <w:t>Human Rights (Parliamentary Scrutiny) Act 2011</w:t>
      </w:r>
      <w:r w:rsidRPr="00C03128">
        <w:rPr>
          <w:sz w:val="24"/>
          <w:szCs w:val="24"/>
        </w:rPr>
        <w:t>.</w:t>
      </w:r>
    </w:p>
    <w:p w14:paraId="17E046DB" w14:textId="77777777" w:rsidR="00241E16" w:rsidRPr="00C03128" w:rsidRDefault="00241E16" w:rsidP="00241E16">
      <w:pPr>
        <w:pStyle w:val="Heading3"/>
        <w:spacing w:before="24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C03128">
        <w:rPr>
          <w:rFonts w:ascii="Times New Roman" w:hAnsi="Times New Roman" w:cs="Times New Roman"/>
          <w:b/>
          <w:color w:val="auto"/>
        </w:rPr>
        <w:t>Overview of the Disallowable Legislative Instrument</w:t>
      </w:r>
    </w:p>
    <w:p w14:paraId="120B07A5" w14:textId="2EC45D55" w:rsidR="00241E16" w:rsidRPr="00C03128" w:rsidRDefault="00241E16" w:rsidP="00241E16">
      <w:pPr>
        <w:spacing w:before="120" w:after="120" w:line="276" w:lineRule="auto"/>
        <w:jc w:val="both"/>
        <w:rPr>
          <w:sz w:val="24"/>
          <w:szCs w:val="24"/>
        </w:rPr>
      </w:pPr>
      <w:r w:rsidRPr="00C03128">
        <w:rPr>
          <w:sz w:val="24"/>
          <w:szCs w:val="24"/>
        </w:rPr>
        <w:t xml:space="preserve">Instrument LIN </w:t>
      </w:r>
      <w:r w:rsidR="00A87ABB">
        <w:rPr>
          <w:sz w:val="24"/>
          <w:szCs w:val="24"/>
        </w:rPr>
        <w:t>19/066</w:t>
      </w:r>
      <w:r w:rsidRPr="00C03128">
        <w:rPr>
          <w:sz w:val="24"/>
          <w:szCs w:val="24"/>
        </w:rPr>
        <w:t xml:space="preserve"> is made under subsection</w:t>
      </w:r>
      <w:r w:rsidR="00B07EA8">
        <w:rPr>
          <w:sz w:val="24"/>
          <w:szCs w:val="24"/>
        </w:rPr>
        <w:t>s</w:t>
      </w:r>
      <w:r w:rsidRPr="00C03128">
        <w:rPr>
          <w:sz w:val="24"/>
          <w:szCs w:val="24"/>
        </w:rPr>
        <w:t xml:space="preserve"> 27</w:t>
      </w:r>
      <w:r w:rsidR="00B07EA8">
        <w:rPr>
          <w:sz w:val="24"/>
          <w:szCs w:val="24"/>
        </w:rPr>
        <w:t>(4) and 27</w:t>
      </w:r>
      <w:r w:rsidRPr="00C03128">
        <w:rPr>
          <w:sz w:val="24"/>
          <w:szCs w:val="24"/>
        </w:rPr>
        <w:t xml:space="preserve">(5) of the </w:t>
      </w:r>
      <w:r w:rsidRPr="00C03128">
        <w:rPr>
          <w:i/>
          <w:sz w:val="24"/>
          <w:szCs w:val="24"/>
        </w:rPr>
        <w:t>Citizenship Act 2007</w:t>
      </w:r>
      <w:r>
        <w:rPr>
          <w:sz w:val="24"/>
          <w:szCs w:val="24"/>
        </w:rPr>
        <w:t xml:space="preserve"> (</w:t>
      </w:r>
      <w:r w:rsidRPr="00C03128">
        <w:rPr>
          <w:sz w:val="24"/>
          <w:szCs w:val="24"/>
        </w:rPr>
        <w:t xml:space="preserve">the Act).  The instrument repeals the </w:t>
      </w:r>
      <w:r w:rsidRPr="00C03128">
        <w:rPr>
          <w:i/>
          <w:sz w:val="24"/>
          <w:szCs w:val="24"/>
        </w:rPr>
        <w:t>Citizenship (Authorisation) Revocation and Authorisation Instrument 2017</w:t>
      </w:r>
      <w:r w:rsidRPr="00C03128">
        <w:rPr>
          <w:sz w:val="24"/>
          <w:szCs w:val="24"/>
        </w:rPr>
        <w:t xml:space="preserve">, IMMI 17/098 (F2017L01044) in accordance with subsection 33(3) of the </w:t>
      </w:r>
      <w:r w:rsidRPr="00C03128">
        <w:rPr>
          <w:i/>
          <w:sz w:val="24"/>
          <w:szCs w:val="24"/>
        </w:rPr>
        <w:t>Acts Interpretation Act 1901</w:t>
      </w:r>
      <w:r w:rsidRPr="00C03128">
        <w:rPr>
          <w:sz w:val="24"/>
          <w:szCs w:val="24"/>
        </w:rPr>
        <w:t xml:space="preserve">. </w:t>
      </w:r>
    </w:p>
    <w:p w14:paraId="4C310561" w14:textId="77777777" w:rsidR="00241E16" w:rsidRPr="00C03128" w:rsidRDefault="00241E16" w:rsidP="00241E16">
      <w:pPr>
        <w:spacing w:before="120" w:after="120" w:line="276" w:lineRule="auto"/>
        <w:jc w:val="both"/>
        <w:rPr>
          <w:sz w:val="24"/>
          <w:szCs w:val="24"/>
        </w:rPr>
      </w:pPr>
      <w:r w:rsidRPr="00C03128">
        <w:rPr>
          <w:sz w:val="24"/>
          <w:szCs w:val="24"/>
        </w:rPr>
        <w:t>The operation of this instrument is to authorise persons or classes of persons to receive the pledge of commitment. Subsection 26(1) of the Act requires that a person must make a pledge of commitment to become an Australian citizen unless they meet the requirements set</w:t>
      </w:r>
      <w:r>
        <w:rPr>
          <w:sz w:val="24"/>
          <w:szCs w:val="24"/>
        </w:rPr>
        <w:t xml:space="preserve"> out in paragraphs 26(1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 xml:space="preserve">a), </w:t>
      </w:r>
      <w:r w:rsidRPr="00C03128">
        <w:rPr>
          <w:sz w:val="24"/>
          <w:szCs w:val="24"/>
        </w:rPr>
        <w:t>26(1)(b) or 26(1)(c). A person required to make a pledge of commitment becomes an Australian citizen on the day on which the pledge of commitment is made.</w:t>
      </w:r>
    </w:p>
    <w:p w14:paraId="0FA83C2C" w14:textId="50BC67FA" w:rsidR="00241E16" w:rsidRPr="00C03128" w:rsidRDefault="00241E16" w:rsidP="00241E16">
      <w:pPr>
        <w:spacing w:before="120" w:after="120" w:line="276" w:lineRule="auto"/>
        <w:jc w:val="both"/>
        <w:rPr>
          <w:sz w:val="24"/>
          <w:szCs w:val="24"/>
        </w:rPr>
      </w:pPr>
      <w:r w:rsidRPr="00C03128">
        <w:rPr>
          <w:sz w:val="24"/>
          <w:szCs w:val="24"/>
        </w:rPr>
        <w:t xml:space="preserve">The purpose of the instrument LIN </w:t>
      </w:r>
      <w:r w:rsidR="00A87ABB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>,</w:t>
      </w:r>
      <w:r w:rsidRPr="00C03128">
        <w:rPr>
          <w:sz w:val="24"/>
          <w:szCs w:val="24"/>
        </w:rPr>
        <w:t xml:space="preserve"> is to update the persons and classes of persons authorised to receive a pledge of commitment. In particular, this instrument, in section 5 of Schedule 1, specifies the new names of the divisions, branches and sections of entrusted persons of the Department of Home Affairs which have been changed as a result of the Machinery of Government Change that occurred in April 2018.</w:t>
      </w:r>
    </w:p>
    <w:p w14:paraId="41F5CDBB" w14:textId="77777777" w:rsidR="003F447E" w:rsidRPr="004B217E" w:rsidRDefault="003F447E" w:rsidP="003F447E">
      <w:pPr>
        <w:spacing w:before="120" w:after="120"/>
        <w:rPr>
          <w:b/>
          <w:sz w:val="24"/>
          <w:szCs w:val="24"/>
        </w:rPr>
      </w:pPr>
      <w:r w:rsidRPr="004B217E">
        <w:rPr>
          <w:b/>
          <w:sz w:val="24"/>
          <w:szCs w:val="24"/>
        </w:rPr>
        <w:t xml:space="preserve">This instrument does not substantially alter existing arrangements; as such changes are considered to be minor or machinery in nature. In accordance with paragraph </w:t>
      </w:r>
      <w:proofErr w:type="gramStart"/>
      <w:r w:rsidRPr="004B217E">
        <w:rPr>
          <w:b/>
          <w:sz w:val="24"/>
          <w:szCs w:val="24"/>
        </w:rPr>
        <w:t>15J(</w:t>
      </w:r>
      <w:proofErr w:type="gramEnd"/>
      <w:r w:rsidRPr="004B217E">
        <w:rPr>
          <w:b/>
          <w:sz w:val="24"/>
          <w:szCs w:val="24"/>
        </w:rPr>
        <w:t xml:space="preserve">2)(e) of the </w:t>
      </w:r>
      <w:r w:rsidRPr="003C5C5B">
        <w:rPr>
          <w:b/>
          <w:i/>
          <w:sz w:val="24"/>
          <w:szCs w:val="24"/>
        </w:rPr>
        <w:t>Legislation Act 2003</w:t>
      </w:r>
      <w:r w:rsidRPr="004B217E">
        <w:rPr>
          <w:b/>
          <w:sz w:val="24"/>
          <w:szCs w:val="24"/>
        </w:rPr>
        <w:t xml:space="preserve"> consultation was deemed not necessary.  The changes made relate to name changes of the relevant section/branch/division/group, and the change in name from the Department of Immigration and Border Protection, to the Department of Home Affairs.  </w:t>
      </w:r>
    </w:p>
    <w:p w14:paraId="12C1E5DD" w14:textId="77777777" w:rsidR="00241E16" w:rsidRPr="00C03128" w:rsidRDefault="00241E16" w:rsidP="00241E16">
      <w:pPr>
        <w:pStyle w:val="Heading3"/>
        <w:spacing w:before="24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C03128">
        <w:rPr>
          <w:rFonts w:ascii="Times New Roman" w:hAnsi="Times New Roman" w:cs="Times New Roman"/>
          <w:b/>
          <w:color w:val="auto"/>
        </w:rPr>
        <w:t>Human rights implications</w:t>
      </w:r>
    </w:p>
    <w:p w14:paraId="2C4E3B24" w14:textId="20E4B251" w:rsidR="00241E16" w:rsidRPr="00EC564A" w:rsidRDefault="00241E16" w:rsidP="003E4791">
      <w:pPr>
        <w:pStyle w:val="ReportBulletPoint"/>
        <w:numPr>
          <w:ilvl w:val="0"/>
          <w:numId w:val="0"/>
        </w:numPr>
      </w:pPr>
      <w:r w:rsidRPr="005B6930">
        <w:rPr>
          <w:rFonts w:ascii="Times New Roman" w:hAnsi="Times New Roman"/>
          <w:sz w:val="24"/>
          <w:szCs w:val="24"/>
        </w:rPr>
        <w:t xml:space="preserve">This legislative instrument has been considered against </w:t>
      </w:r>
      <w:r>
        <w:rPr>
          <w:rFonts w:ascii="Times New Roman" w:hAnsi="Times New Roman"/>
          <w:sz w:val="24"/>
          <w:szCs w:val="24"/>
        </w:rPr>
        <w:t>the seven core human rights conventions</w:t>
      </w:r>
      <w:r w:rsidRPr="005B6930">
        <w:rPr>
          <w:rFonts w:ascii="Times New Roman" w:hAnsi="Times New Roman"/>
          <w:sz w:val="24"/>
          <w:szCs w:val="24"/>
        </w:rPr>
        <w:t>, in particular the following Convention articles.</w:t>
      </w:r>
    </w:p>
    <w:p w14:paraId="788BB102" w14:textId="77777777" w:rsidR="00241E16" w:rsidRPr="00C03128" w:rsidRDefault="00241E16" w:rsidP="00241E16">
      <w:pPr>
        <w:pStyle w:val="Heading3"/>
        <w:spacing w:before="24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C03128">
        <w:rPr>
          <w:rFonts w:ascii="Times New Roman" w:hAnsi="Times New Roman" w:cs="Times New Roman"/>
          <w:b/>
          <w:color w:val="auto"/>
        </w:rPr>
        <w:t>Conclusion</w:t>
      </w:r>
    </w:p>
    <w:p w14:paraId="22128BB2" w14:textId="77777777" w:rsidR="00241E16" w:rsidRDefault="00241E16" w:rsidP="00241E16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Legislative Instrument </w:t>
      </w:r>
      <w:r w:rsidRPr="00D664E6">
        <w:rPr>
          <w:sz w:val="24"/>
          <w:szCs w:val="24"/>
        </w:rPr>
        <w:t>is compat</w:t>
      </w:r>
      <w:r>
        <w:rPr>
          <w:sz w:val="24"/>
          <w:szCs w:val="24"/>
        </w:rPr>
        <w:t xml:space="preserve">ible with human rights because, </w:t>
      </w:r>
      <w:r w:rsidRPr="00D664E6">
        <w:rPr>
          <w:sz w:val="24"/>
          <w:szCs w:val="24"/>
          <w:lang w:val="en-GB"/>
        </w:rPr>
        <w:t>to the extent that it may limit human rights</w:t>
      </w:r>
      <w:r>
        <w:rPr>
          <w:sz w:val="24"/>
          <w:szCs w:val="24"/>
          <w:lang w:val="en-GB"/>
        </w:rPr>
        <w:t xml:space="preserve"> </w:t>
      </w:r>
      <w:r w:rsidRPr="00D664E6">
        <w:rPr>
          <w:sz w:val="24"/>
          <w:szCs w:val="24"/>
          <w:lang w:val="en-GB"/>
        </w:rPr>
        <w:t xml:space="preserve">those limitations are reasonable, necessary and </w:t>
      </w:r>
      <w:r>
        <w:rPr>
          <w:sz w:val="24"/>
          <w:szCs w:val="24"/>
        </w:rPr>
        <w:t>proportionate.</w:t>
      </w:r>
    </w:p>
    <w:p w14:paraId="3C85E9C8" w14:textId="77777777" w:rsidR="00241E16" w:rsidRDefault="00241E16" w:rsidP="00241E16">
      <w:pPr>
        <w:spacing w:before="120" w:after="120" w:line="276" w:lineRule="auto"/>
        <w:jc w:val="both"/>
        <w:rPr>
          <w:sz w:val="24"/>
          <w:szCs w:val="24"/>
        </w:rPr>
      </w:pPr>
    </w:p>
    <w:p w14:paraId="78666762" w14:textId="77777777" w:rsidR="00241E16" w:rsidRDefault="00241E16" w:rsidP="00241E16">
      <w:pPr>
        <w:spacing w:before="120" w:after="120" w:line="276" w:lineRule="auto"/>
        <w:jc w:val="both"/>
        <w:rPr>
          <w:sz w:val="24"/>
          <w:szCs w:val="24"/>
        </w:rPr>
      </w:pPr>
    </w:p>
    <w:p w14:paraId="0B99109E" w14:textId="77777777" w:rsidR="00241E16" w:rsidRPr="001262E8" w:rsidRDefault="00241E16" w:rsidP="00241E16">
      <w:pPr>
        <w:spacing w:before="120" w:after="120" w:line="276" w:lineRule="auto"/>
        <w:jc w:val="center"/>
        <w:rPr>
          <w:b/>
          <w:sz w:val="24"/>
          <w:szCs w:val="24"/>
        </w:rPr>
      </w:pPr>
      <w:r w:rsidRPr="001262E8">
        <w:rPr>
          <w:b/>
          <w:sz w:val="24"/>
          <w:szCs w:val="24"/>
        </w:rPr>
        <w:t>The Hon David Coleman MP</w:t>
      </w:r>
    </w:p>
    <w:p w14:paraId="0A21F234" w14:textId="44800CFF" w:rsidR="0070187D" w:rsidRPr="0063545B" w:rsidRDefault="00241E16" w:rsidP="003E4791">
      <w:pPr>
        <w:spacing w:before="120" w:after="120" w:line="276" w:lineRule="auto"/>
        <w:jc w:val="center"/>
      </w:pPr>
      <w:r w:rsidRPr="001262E8">
        <w:rPr>
          <w:b/>
          <w:sz w:val="24"/>
          <w:szCs w:val="24"/>
        </w:rPr>
        <w:t>Minister for Immigration, Citizenship and Multicultural Affairs</w:t>
      </w:r>
    </w:p>
    <w:sectPr w:rsidR="0070187D" w:rsidRPr="0063545B" w:rsidSect="00C24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D0B65" w14:textId="77777777" w:rsidR="00E72460" w:rsidRDefault="00E72460" w:rsidP="00E72460">
      <w:r>
        <w:separator/>
      </w:r>
    </w:p>
  </w:endnote>
  <w:endnote w:type="continuationSeparator" w:id="0">
    <w:p w14:paraId="54C3B840" w14:textId="77777777" w:rsidR="00E72460" w:rsidRDefault="00E72460" w:rsidP="00E7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D0067" w14:textId="77777777" w:rsidR="00280235" w:rsidRDefault="00AE7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42FC" w14:textId="77777777" w:rsidR="00280235" w:rsidRDefault="00AE7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87172" w14:textId="77777777" w:rsidR="00280235" w:rsidRDefault="00AE7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3AB81" w14:textId="77777777" w:rsidR="00E72460" w:rsidRDefault="00E72460" w:rsidP="00E72460">
      <w:r>
        <w:separator/>
      </w:r>
    </w:p>
  </w:footnote>
  <w:footnote w:type="continuationSeparator" w:id="0">
    <w:p w14:paraId="0F66FE2C" w14:textId="77777777" w:rsidR="00E72460" w:rsidRDefault="00E72460" w:rsidP="00E7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A50D9" w14:textId="74386C76" w:rsidR="00546F77" w:rsidRDefault="00466B2F" w:rsidP="00C85D16">
    <w:pPr>
      <w:pStyle w:val="Header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LIN</w:t>
    </w:r>
    <w:r w:rsidRPr="00466B2F">
      <w:rPr>
        <w:rFonts w:ascii="Times New Roman" w:hAnsi="Times New Roman"/>
        <w:i/>
        <w:sz w:val="22"/>
        <w:szCs w:val="22"/>
      </w:rPr>
      <w:t xml:space="preserve"> </w:t>
    </w:r>
    <w:r w:rsidR="00A87ABB">
      <w:rPr>
        <w:rFonts w:ascii="Times New Roman" w:hAnsi="Times New Roman"/>
        <w:i/>
        <w:sz w:val="22"/>
        <w:szCs w:val="22"/>
      </w:rPr>
      <w:t>19/066</w:t>
    </w:r>
  </w:p>
  <w:p w14:paraId="33A5DF02" w14:textId="77777777" w:rsidR="00A87ABB" w:rsidRPr="00466B2F" w:rsidRDefault="00A87ABB" w:rsidP="00C85D16">
    <w:pPr>
      <w:pStyle w:val="Header"/>
      <w:jc w:val="right"/>
      <w:rPr>
        <w:rFonts w:ascii="Times New Roman" w:hAnsi="Times New Roman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59D0" w14:textId="3F335C7D" w:rsidR="00280235" w:rsidRDefault="00AE7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5D4EC" w14:textId="306FF928" w:rsidR="00280235" w:rsidRDefault="00AE70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96EDD" w14:textId="7D8A56DD" w:rsidR="00280235" w:rsidRDefault="00AE7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044"/>
    <w:multiLevelType w:val="hybridMultilevel"/>
    <w:tmpl w:val="A02C4C02"/>
    <w:lvl w:ilvl="0" w:tplc="EEB6804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778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15">
      <w:start w:val="1"/>
      <w:numFmt w:val="upperLetter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52448"/>
    <w:multiLevelType w:val="hybridMultilevel"/>
    <w:tmpl w:val="600E8D20"/>
    <w:lvl w:ilvl="0" w:tplc="A74C9F36">
      <w:start w:val="1"/>
      <w:numFmt w:val="bullet"/>
      <w:pStyle w:val="Report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15A8A"/>
    <w:multiLevelType w:val="hybridMultilevel"/>
    <w:tmpl w:val="03ECEFBA"/>
    <w:lvl w:ilvl="0" w:tplc="BD78376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0"/>
    <w:rsid w:val="00002DEB"/>
    <w:rsid w:val="00014159"/>
    <w:rsid w:val="000876B0"/>
    <w:rsid w:val="00097841"/>
    <w:rsid w:val="000A7357"/>
    <w:rsid w:val="000B5C15"/>
    <w:rsid w:val="00162B15"/>
    <w:rsid w:val="001831D3"/>
    <w:rsid w:val="001833A7"/>
    <w:rsid w:val="00194103"/>
    <w:rsid w:val="0020338F"/>
    <w:rsid w:val="00241E16"/>
    <w:rsid w:val="00241FEB"/>
    <w:rsid w:val="00300A24"/>
    <w:rsid w:val="003C28D4"/>
    <w:rsid w:val="003E4791"/>
    <w:rsid w:val="003E4BE8"/>
    <w:rsid w:val="003F447E"/>
    <w:rsid w:val="00400B4F"/>
    <w:rsid w:val="004401F5"/>
    <w:rsid w:val="00466B2F"/>
    <w:rsid w:val="004F553E"/>
    <w:rsid w:val="0053040E"/>
    <w:rsid w:val="00576F74"/>
    <w:rsid w:val="0058464B"/>
    <w:rsid w:val="005D698D"/>
    <w:rsid w:val="00621893"/>
    <w:rsid w:val="0063545B"/>
    <w:rsid w:val="00644881"/>
    <w:rsid w:val="00651604"/>
    <w:rsid w:val="006D795C"/>
    <w:rsid w:val="006E3CFA"/>
    <w:rsid w:val="006E4988"/>
    <w:rsid w:val="008131E6"/>
    <w:rsid w:val="00842311"/>
    <w:rsid w:val="008B2F73"/>
    <w:rsid w:val="009106B5"/>
    <w:rsid w:val="009978A0"/>
    <w:rsid w:val="009B72B6"/>
    <w:rsid w:val="00A45C49"/>
    <w:rsid w:val="00A5204F"/>
    <w:rsid w:val="00A551D7"/>
    <w:rsid w:val="00A87ABB"/>
    <w:rsid w:val="00AA1983"/>
    <w:rsid w:val="00AC2838"/>
    <w:rsid w:val="00AE06FE"/>
    <w:rsid w:val="00AE70EA"/>
    <w:rsid w:val="00B07EA8"/>
    <w:rsid w:val="00B10274"/>
    <w:rsid w:val="00B30A35"/>
    <w:rsid w:val="00B31520"/>
    <w:rsid w:val="00B66197"/>
    <w:rsid w:val="00B77CD0"/>
    <w:rsid w:val="00B95EA5"/>
    <w:rsid w:val="00BA3A94"/>
    <w:rsid w:val="00BC5400"/>
    <w:rsid w:val="00BD11E6"/>
    <w:rsid w:val="00C03128"/>
    <w:rsid w:val="00C32837"/>
    <w:rsid w:val="00CF6725"/>
    <w:rsid w:val="00D074FB"/>
    <w:rsid w:val="00DA2056"/>
    <w:rsid w:val="00E555A4"/>
    <w:rsid w:val="00E65D87"/>
    <w:rsid w:val="00E72460"/>
    <w:rsid w:val="00EB3A07"/>
    <w:rsid w:val="00E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1768EA"/>
  <w15:chartTrackingRefBased/>
  <w15:docId w15:val="{69F068F6-D8BB-48B3-87B8-481B8876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E72460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E72460"/>
    <w:pPr>
      <w:keepNext/>
      <w:ind w:left="1440" w:hanging="144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4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2460"/>
    <w:rPr>
      <w:rFonts w:ascii="Times New Roman" w:eastAsia="Times New Roman" w:hAnsi="Times New Roman" w:cs="Times New Roman"/>
      <w:b/>
      <w:sz w:val="24"/>
      <w:szCs w:val="20"/>
      <w:u w:val="single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E72460"/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E72460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72460"/>
    <w:rPr>
      <w:rFonts w:ascii="Arial" w:eastAsia="Times New Roman" w:hAnsi="Arial" w:cs="Times New Roman"/>
      <w:sz w:val="24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E724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460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legsubtitle1">
    <w:name w:val="legsubtitle1"/>
    <w:rsid w:val="00E72460"/>
    <w:rPr>
      <w:b/>
      <w:bCs/>
    </w:rPr>
  </w:style>
  <w:style w:type="paragraph" w:styleId="ListParagraph">
    <w:name w:val="List Paragraph"/>
    <w:basedOn w:val="Normal"/>
    <w:uiPriority w:val="34"/>
    <w:qFormat/>
    <w:rsid w:val="00E724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4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A24"/>
    <w:rPr>
      <w:rFonts w:ascii="Segoe UI" w:eastAsia="Times New Roman" w:hAnsi="Segoe UI" w:cs="Segoe UI"/>
      <w:sz w:val="18"/>
      <w:szCs w:val="1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14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1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159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159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customStyle="1" w:styleId="ReportBulletPoint">
    <w:name w:val="Report Bullet Point"/>
    <w:basedOn w:val="Normal"/>
    <w:next w:val="Normal"/>
    <w:link w:val="ReportBulletPointChar"/>
    <w:qFormat/>
    <w:rsid w:val="00241E16"/>
    <w:pPr>
      <w:numPr>
        <w:numId w:val="3"/>
      </w:numPr>
      <w:spacing w:before="80" w:after="80"/>
    </w:pPr>
    <w:rPr>
      <w:rFonts w:ascii="Calibri" w:hAnsi="Calibri"/>
      <w:lang w:eastAsia="en-US"/>
    </w:rPr>
  </w:style>
  <w:style w:type="character" w:customStyle="1" w:styleId="ReportBulletPointChar">
    <w:name w:val="Report Bullet Point Char"/>
    <w:basedOn w:val="DefaultParagraphFont"/>
    <w:link w:val="ReportBulletPoint"/>
    <w:rsid w:val="00241E16"/>
    <w:rPr>
      <w:rFonts w:ascii="Calibri" w:eastAsia="Times New Roman" w:hAnsi="Calibri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241E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9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8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2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30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7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9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8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5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8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3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9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4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41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D563-7AE6-4DB8-BA23-C3E0A775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DWYER</dc:creator>
  <cp:keywords/>
  <dc:description/>
  <cp:lastModifiedBy>Anastasia TZOTZIS</cp:lastModifiedBy>
  <cp:revision>2</cp:revision>
  <dcterms:created xsi:type="dcterms:W3CDTF">2019-01-17T00:36:00Z</dcterms:created>
  <dcterms:modified xsi:type="dcterms:W3CDTF">2019-01-17T00:36:00Z</dcterms:modified>
</cp:coreProperties>
</file>