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108A9" w14:textId="77777777" w:rsidR="00D56574" w:rsidRPr="00C0014E" w:rsidRDefault="00D56574" w:rsidP="00D56574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23E108D9" wp14:editId="23E108DA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08AA" w14:textId="77777777" w:rsidR="00D56574" w:rsidRPr="006153A1" w:rsidRDefault="00D56574" w:rsidP="00D56574">
      <w:pPr>
        <w:pBdr>
          <w:bottom w:val="single" w:sz="4" w:space="1" w:color="auto"/>
        </w:pBdr>
        <w:rPr>
          <w:b/>
          <w:bCs/>
        </w:rPr>
      </w:pPr>
    </w:p>
    <w:p w14:paraId="23E108AB" w14:textId="77777777" w:rsidR="00D56574" w:rsidRDefault="00D56574" w:rsidP="00D56574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>
        <w:rPr>
          <w:b/>
          <w:sz w:val="20"/>
        </w:rPr>
        <w:t>Application A1157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>Enzymatic production of R</w:t>
      </w:r>
      <w:r w:rsidRPr="00772624">
        <w:rPr>
          <w:b/>
          <w:sz w:val="20"/>
        </w:rPr>
        <w:t xml:space="preserve">ebaudioside </w:t>
      </w:r>
      <w:r>
        <w:rPr>
          <w:b/>
          <w:sz w:val="20"/>
        </w:rPr>
        <w:t>M)</w:t>
      </w:r>
      <w:r w:rsidRPr="00C0014E">
        <w:rPr>
          <w:b/>
          <w:sz w:val="20"/>
        </w:rPr>
        <w:t xml:space="preserve"> Variation</w:t>
      </w:r>
    </w:p>
    <w:p w14:paraId="23E108AC" w14:textId="77777777" w:rsidR="00D56574" w:rsidRDefault="00D56574" w:rsidP="00D56574">
      <w:pPr>
        <w:pBdr>
          <w:bottom w:val="single" w:sz="4" w:space="1" w:color="auto"/>
        </w:pBdr>
        <w:rPr>
          <w:b/>
          <w:sz w:val="20"/>
        </w:rPr>
      </w:pPr>
    </w:p>
    <w:p w14:paraId="23E108AD" w14:textId="77777777" w:rsidR="00D56574" w:rsidRPr="008F2616" w:rsidRDefault="00D56574" w:rsidP="00D56574">
      <w:pPr>
        <w:rPr>
          <w:sz w:val="20"/>
        </w:rPr>
      </w:pPr>
    </w:p>
    <w:p w14:paraId="23E108AE" w14:textId="77777777" w:rsidR="00D56574" w:rsidRPr="008F2616" w:rsidRDefault="00D56574" w:rsidP="00D56574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>
        <w:rPr>
          <w:sz w:val="20"/>
        </w:rPr>
        <w:t xml:space="preserve">. </w:t>
      </w:r>
      <w:r w:rsidRPr="008F2616">
        <w:rPr>
          <w:sz w:val="20"/>
        </w:rPr>
        <w:t xml:space="preserve">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23E108AF" w14:textId="77777777" w:rsidR="00D56574" w:rsidRPr="008F2616" w:rsidRDefault="00D56574" w:rsidP="00D56574">
      <w:pPr>
        <w:rPr>
          <w:sz w:val="20"/>
        </w:rPr>
      </w:pPr>
    </w:p>
    <w:p w14:paraId="23E108B0" w14:textId="1818105B" w:rsidR="00D56574" w:rsidRPr="008F2616" w:rsidRDefault="00D56574" w:rsidP="00D56574">
      <w:pPr>
        <w:rPr>
          <w:sz w:val="20"/>
        </w:rPr>
      </w:pPr>
      <w:r w:rsidRPr="008F2616">
        <w:rPr>
          <w:sz w:val="20"/>
        </w:rPr>
        <w:t xml:space="preserve">Dated </w:t>
      </w:r>
      <w:r w:rsidR="00BC6F88">
        <w:rPr>
          <w:sz w:val="20"/>
        </w:rPr>
        <w:t>10</w:t>
      </w:r>
      <w:r w:rsidR="00DD630A">
        <w:rPr>
          <w:sz w:val="20"/>
        </w:rPr>
        <w:t xml:space="preserve"> January 2019</w:t>
      </w:r>
    </w:p>
    <w:p w14:paraId="23E108B3" w14:textId="1A688935" w:rsidR="00D56574" w:rsidRDefault="00BC6F88" w:rsidP="00D56574">
      <w:pPr>
        <w:rPr>
          <w:sz w:val="20"/>
        </w:rPr>
      </w:pPr>
      <w:r>
        <w:rPr>
          <w:noProof/>
          <w:sz w:val="20"/>
          <w:lang w:eastAsia="en-GB" w:bidi="ar-SA"/>
        </w:rPr>
        <w:drawing>
          <wp:inline distT="0" distB="0" distL="0" distR="0" wp14:anchorId="37648574" wp14:editId="72D5CF78">
            <wp:extent cx="902113" cy="1284056"/>
            <wp:effectExtent l="0" t="63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3797" cy="130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4EB46" w14:textId="59B499FF" w:rsidR="00DD630A" w:rsidRDefault="00DD630A" w:rsidP="00D56574">
      <w:pPr>
        <w:rPr>
          <w:sz w:val="20"/>
        </w:rPr>
      </w:pPr>
    </w:p>
    <w:p w14:paraId="23E108B6" w14:textId="2DDF50F3" w:rsidR="00D56574" w:rsidRPr="00AE63B4" w:rsidRDefault="00DD630A" w:rsidP="00D56574">
      <w:pPr>
        <w:rPr>
          <w:sz w:val="20"/>
        </w:rPr>
      </w:pPr>
      <w:r>
        <w:rPr>
          <w:sz w:val="20"/>
        </w:rPr>
        <w:t>Standards Management Officer</w:t>
      </w:r>
    </w:p>
    <w:p w14:paraId="23E108B7" w14:textId="77777777" w:rsidR="00D56574" w:rsidRPr="008F2616" w:rsidRDefault="00D56574" w:rsidP="00D56574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23E108B8" w14:textId="77777777" w:rsidR="00D56574" w:rsidRDefault="00D56574" w:rsidP="00D56574">
      <w:pPr>
        <w:rPr>
          <w:sz w:val="20"/>
        </w:rPr>
      </w:pPr>
    </w:p>
    <w:p w14:paraId="23E108BC" w14:textId="77777777" w:rsidR="00D56574" w:rsidRDefault="00D56574" w:rsidP="00D56574">
      <w:pPr>
        <w:rPr>
          <w:sz w:val="20"/>
        </w:rPr>
      </w:pPr>
      <w:bookmarkStart w:id="0" w:name="_GoBack"/>
      <w:bookmarkEnd w:id="0"/>
    </w:p>
    <w:p w14:paraId="23E108BD" w14:textId="77777777" w:rsidR="00D56574" w:rsidRPr="00360C8F" w:rsidRDefault="00D56574" w:rsidP="00D56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23E108BE" w14:textId="77777777" w:rsidR="00D56574" w:rsidRPr="00360C8F" w:rsidRDefault="00D56574" w:rsidP="00D56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23E108BF" w14:textId="29088CFB" w:rsidR="00D56574" w:rsidRPr="00DD630A" w:rsidRDefault="00D56574" w:rsidP="00D56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No. </w:t>
      </w:r>
      <w:r w:rsidRPr="00DD630A">
        <w:rPr>
          <w:sz w:val="20"/>
          <w:lang w:val="en-AU"/>
        </w:rPr>
        <w:t xml:space="preserve">FSC </w:t>
      </w:r>
      <w:r w:rsidR="00DD630A" w:rsidRPr="00DD630A">
        <w:rPr>
          <w:sz w:val="20"/>
          <w:lang w:val="en-AU"/>
        </w:rPr>
        <w:t xml:space="preserve">124 </w:t>
      </w:r>
      <w:r w:rsidRPr="00DD630A">
        <w:rPr>
          <w:sz w:val="20"/>
          <w:lang w:val="en-AU"/>
        </w:rPr>
        <w:t xml:space="preserve">on </w:t>
      </w:r>
      <w:r w:rsidR="00DD630A" w:rsidRPr="00DD630A">
        <w:rPr>
          <w:sz w:val="20"/>
          <w:lang w:val="en-AU"/>
        </w:rPr>
        <w:t>23 January 2019</w:t>
      </w:r>
      <w:r w:rsidRPr="00DD630A">
        <w:rPr>
          <w:sz w:val="20"/>
          <w:lang w:val="en-AU"/>
        </w:rPr>
        <w:t xml:space="preserve"> This means that this date is the gazettal date for the purposes of clause 3 of the variation. </w:t>
      </w:r>
    </w:p>
    <w:p w14:paraId="23E108C0" w14:textId="77777777" w:rsidR="00D56574" w:rsidRPr="00DD630A" w:rsidRDefault="00D56574" w:rsidP="00D56574">
      <w:pPr>
        <w:widowControl/>
        <w:rPr>
          <w:sz w:val="20"/>
        </w:rPr>
      </w:pPr>
      <w:r w:rsidRPr="00DD630A">
        <w:rPr>
          <w:sz w:val="20"/>
        </w:rPr>
        <w:br w:type="page"/>
      </w:r>
    </w:p>
    <w:p w14:paraId="23E108C1" w14:textId="77777777" w:rsidR="00D56574" w:rsidRPr="005F585D" w:rsidRDefault="00D56574" w:rsidP="00D56574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23E108C2" w14:textId="77777777" w:rsidR="00D56574" w:rsidRPr="00772624" w:rsidRDefault="00D56574" w:rsidP="00D56574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 xml:space="preserve">Food Standards </w:t>
      </w:r>
      <w:r w:rsidRPr="00772624">
        <w:t>(</w:t>
      </w:r>
      <w:r w:rsidRPr="002C6B95">
        <w:rPr>
          <w:i/>
        </w:rPr>
        <w:t>Application A1157 – Enzymatic production of Rebaudioside M) Variation</w:t>
      </w:r>
      <w:r w:rsidRPr="00772624">
        <w:t>.</w:t>
      </w:r>
    </w:p>
    <w:p w14:paraId="23E108C3" w14:textId="77777777" w:rsidR="00D56574" w:rsidRPr="00D433B1" w:rsidRDefault="00D56574" w:rsidP="00D56574">
      <w:pPr>
        <w:pStyle w:val="FSCDraftingitemheading"/>
      </w:pPr>
      <w:r w:rsidRPr="00D433B1">
        <w:t>2</w:t>
      </w:r>
      <w:r w:rsidRPr="00D433B1">
        <w:tab/>
        <w:t xml:space="preserve">Variation </w:t>
      </w:r>
      <w:r>
        <w:t xml:space="preserve">to </w:t>
      </w:r>
      <w:r w:rsidRPr="00772624">
        <w:t xml:space="preserve">standards </w:t>
      </w:r>
      <w:r w:rsidRPr="00D433B1">
        <w:t xml:space="preserve">in the </w:t>
      </w:r>
      <w:r w:rsidRPr="00C51355">
        <w:rPr>
          <w:i/>
        </w:rPr>
        <w:t>Australia New Zealand Food Standards Code</w:t>
      </w:r>
    </w:p>
    <w:p w14:paraId="23E108C4" w14:textId="77777777" w:rsidR="00D56574" w:rsidRDefault="00D56574" w:rsidP="00D56574">
      <w:pPr>
        <w:pStyle w:val="FSCDraftingitem"/>
      </w:pPr>
      <w:r>
        <w:t xml:space="preserve">The Schedule varies </w:t>
      </w:r>
      <w:r w:rsidRPr="00772624">
        <w:t xml:space="preserve">Standards </w:t>
      </w:r>
      <w:r>
        <w:t xml:space="preserve">in the </w:t>
      </w:r>
      <w:r w:rsidRPr="00792F7C">
        <w:rPr>
          <w:i/>
        </w:rPr>
        <w:t>Australia New Zealand Food Standards Code</w:t>
      </w:r>
      <w:r>
        <w:t>.</w:t>
      </w:r>
    </w:p>
    <w:p w14:paraId="23E108C5" w14:textId="77777777" w:rsidR="00D56574" w:rsidRPr="00D433B1" w:rsidRDefault="00D56574" w:rsidP="00D56574">
      <w:pPr>
        <w:pStyle w:val="FSCDraftingitemheading"/>
      </w:pPr>
      <w:r w:rsidRPr="00D433B1">
        <w:t>3</w:t>
      </w:r>
      <w:r w:rsidRPr="00D433B1">
        <w:tab/>
        <w:t>Commencement</w:t>
      </w:r>
    </w:p>
    <w:p w14:paraId="23E108C6" w14:textId="77777777" w:rsidR="00D56574" w:rsidRDefault="00D56574" w:rsidP="00D56574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23E108C7" w14:textId="77777777" w:rsidR="00D56574" w:rsidRPr="00D433B1" w:rsidRDefault="00D56574" w:rsidP="00D56574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23E108C8" w14:textId="77777777" w:rsidR="00D56574" w:rsidRPr="00772624" w:rsidRDefault="00D56574" w:rsidP="00D56574">
      <w:pPr>
        <w:pStyle w:val="FSCDraftingitem"/>
        <w:rPr>
          <w:rFonts w:eastAsia="Calibri"/>
          <w:iCs/>
        </w:rPr>
      </w:pPr>
      <w:r w:rsidRPr="00772624">
        <w:rPr>
          <w:b/>
          <w:lang w:bidi="en-US"/>
        </w:rPr>
        <w:t>[1]</w:t>
      </w:r>
      <w:r w:rsidRPr="00772624">
        <w:rPr>
          <w:b/>
          <w:lang w:bidi="en-US"/>
        </w:rPr>
        <w:tab/>
        <w:t>Schedule 3</w:t>
      </w:r>
      <w:r w:rsidRPr="00772624">
        <w:rPr>
          <w:lang w:bidi="en-US"/>
        </w:rPr>
        <w:t xml:space="preserve"> is varied by</w:t>
      </w:r>
      <w:r>
        <w:rPr>
          <w:lang w:bidi="en-US"/>
        </w:rPr>
        <w:t xml:space="preserve"> </w:t>
      </w:r>
      <w:r w:rsidRPr="00772624">
        <w:rPr>
          <w:rFonts w:eastAsia="Calibri"/>
          <w:iCs/>
        </w:rPr>
        <w:t>omitting subsection S3—35(2), substituting</w:t>
      </w:r>
    </w:p>
    <w:p w14:paraId="23E108C9" w14:textId="77777777" w:rsidR="00D56574" w:rsidRPr="00772624" w:rsidRDefault="00D56574" w:rsidP="00D56574">
      <w:pPr>
        <w:widowControl/>
        <w:tabs>
          <w:tab w:val="left" w:pos="1530"/>
        </w:tabs>
        <w:rPr>
          <w:rFonts w:eastAsia="Calibri"/>
          <w:iCs/>
          <w:sz w:val="18"/>
          <w:szCs w:val="18"/>
        </w:rPr>
      </w:pPr>
    </w:p>
    <w:p w14:paraId="23E108CA" w14:textId="77777777" w:rsidR="00D56574" w:rsidRDefault="00D56574" w:rsidP="00D56574">
      <w:pPr>
        <w:widowControl/>
        <w:tabs>
          <w:tab w:val="left" w:pos="1134"/>
        </w:tabs>
        <w:spacing w:before="120" w:after="120"/>
        <w:ind w:left="1701" w:hanging="1701"/>
        <w:rPr>
          <w:rFonts w:eastAsia="Calibri"/>
          <w:iCs/>
          <w:sz w:val="20"/>
        </w:rPr>
      </w:pPr>
      <w:r w:rsidRPr="002C6B95">
        <w:rPr>
          <w:rFonts w:eastAsia="Calibri"/>
          <w:iCs/>
          <w:sz w:val="20"/>
        </w:rPr>
        <w:tab/>
        <w:t xml:space="preserve">(2)     The preparation must be obtained from the leaves of the </w:t>
      </w:r>
      <w:r w:rsidRPr="002C6B95">
        <w:rPr>
          <w:rFonts w:eastAsia="Calibri"/>
          <w:i/>
          <w:sz w:val="20"/>
        </w:rPr>
        <w:t>Stevia rebaudiana</w:t>
      </w:r>
      <w:r w:rsidRPr="002C6B95">
        <w:rPr>
          <w:rFonts w:eastAsia="Calibri"/>
          <w:iCs/>
          <w:sz w:val="20"/>
        </w:rPr>
        <w:t xml:space="preserve"> Bertoni plant by using one of the following processes</w:t>
      </w:r>
      <w:r>
        <w:rPr>
          <w:rFonts w:eastAsia="Calibri"/>
          <w:iCs/>
          <w:sz w:val="20"/>
        </w:rPr>
        <w:t>:</w:t>
      </w:r>
    </w:p>
    <w:p w14:paraId="23E108CB" w14:textId="77777777" w:rsidR="00D56574" w:rsidRPr="002C6B95" w:rsidRDefault="00D56574" w:rsidP="00D56574">
      <w:pPr>
        <w:pStyle w:val="FSCtPara"/>
        <w:numPr>
          <w:ilvl w:val="0"/>
          <w:numId w:val="14"/>
        </w:numPr>
        <w:ind w:left="2268" w:hanging="573"/>
        <w:rPr>
          <w:rFonts w:eastAsia="Calibri"/>
          <w:szCs w:val="20"/>
        </w:rPr>
      </w:pPr>
      <w:r>
        <w:rPr>
          <w:rFonts w:eastAsia="Calibri"/>
          <w:szCs w:val="20"/>
        </w:rPr>
        <w:t>t</w:t>
      </w:r>
      <w:r w:rsidRPr="002C6B95">
        <w:rPr>
          <w:rFonts w:eastAsia="Calibri"/>
          <w:szCs w:val="20"/>
        </w:rPr>
        <w:t>he leaves are extracted with hot water and the extracts are purified using ion-exchange resins followed by recrystallisation from methanol or aqueous ethanol</w:t>
      </w:r>
      <w:r>
        <w:rPr>
          <w:rFonts w:eastAsia="Calibri"/>
          <w:szCs w:val="20"/>
        </w:rPr>
        <w:t>;</w:t>
      </w:r>
    </w:p>
    <w:p w14:paraId="23E108CC" w14:textId="77777777" w:rsidR="00D56574" w:rsidRDefault="00D56574" w:rsidP="00D56574">
      <w:pPr>
        <w:pStyle w:val="FSCtPara"/>
        <w:numPr>
          <w:ilvl w:val="0"/>
          <w:numId w:val="14"/>
        </w:numPr>
        <w:ind w:left="2268" w:hanging="573"/>
        <w:rPr>
          <w:rFonts w:eastAsia="Calibri"/>
          <w:szCs w:val="20"/>
        </w:rPr>
      </w:pPr>
      <w:r>
        <w:rPr>
          <w:rFonts w:eastAsia="Calibri"/>
          <w:szCs w:val="20"/>
        </w:rPr>
        <w:t>by</w:t>
      </w:r>
      <w:r w:rsidRPr="002C6B95">
        <w:rPr>
          <w:rFonts w:eastAsia="Calibri"/>
          <w:szCs w:val="20"/>
        </w:rPr>
        <w:t xml:space="preserve"> enzymatic conversion of purified stevia leaf extract to produce rebaudioside M using protein engineered enzymes </w:t>
      </w:r>
      <w:r>
        <w:rPr>
          <w:rFonts w:eastAsia="Calibri"/>
          <w:szCs w:val="20"/>
        </w:rPr>
        <w:t>that:</w:t>
      </w:r>
    </w:p>
    <w:p w14:paraId="23E108CD" w14:textId="77777777" w:rsidR="00D56574" w:rsidRPr="00E01A15" w:rsidRDefault="00D56574" w:rsidP="00D56574">
      <w:pPr>
        <w:pStyle w:val="FSCtPara"/>
        <w:numPr>
          <w:ilvl w:val="0"/>
          <w:numId w:val="15"/>
        </w:numPr>
        <w:rPr>
          <w:rFonts w:eastAsia="Calibri"/>
          <w:szCs w:val="20"/>
        </w:rPr>
      </w:pPr>
      <w:r>
        <w:rPr>
          <w:rFonts w:eastAsia="Calibri"/>
          <w:szCs w:val="20"/>
        </w:rPr>
        <w:t>contain</w:t>
      </w:r>
      <w:r w:rsidRPr="002C6B95">
        <w:rPr>
          <w:rFonts w:eastAsia="Calibri"/>
          <w:szCs w:val="20"/>
        </w:rPr>
        <w:t xml:space="preserve"> both UDP</w:t>
      </w:r>
      <w:r w:rsidRPr="002C6B95">
        <w:rPr>
          <w:rFonts w:eastAsia="Calibri"/>
          <w:szCs w:val="20"/>
        </w:rPr>
        <w:noBreakHyphen/>
        <w:t>glucosyltransferase (EC 2.4.1.17) and sucrose synthase (EC 2.4.1.13) components</w:t>
      </w:r>
      <w:r>
        <w:rPr>
          <w:rFonts w:eastAsia="Calibri"/>
          <w:szCs w:val="20"/>
        </w:rPr>
        <w:t>;</w:t>
      </w:r>
      <w:r>
        <w:rPr>
          <w:szCs w:val="20"/>
        </w:rPr>
        <w:t xml:space="preserve"> and </w:t>
      </w:r>
    </w:p>
    <w:p w14:paraId="23E108CE" w14:textId="77777777" w:rsidR="00D56574" w:rsidRPr="00024C61" w:rsidRDefault="00D56574" w:rsidP="00D56574">
      <w:pPr>
        <w:widowControl/>
        <w:numPr>
          <w:ilvl w:val="0"/>
          <w:numId w:val="15"/>
        </w:numPr>
        <w:rPr>
          <w:rFonts w:cs="Arial"/>
          <w:sz w:val="20"/>
          <w:szCs w:val="20"/>
        </w:rPr>
      </w:pPr>
      <w:r w:rsidRPr="00024C61">
        <w:rPr>
          <w:rFonts w:cs="Arial"/>
          <w:sz w:val="20"/>
          <w:szCs w:val="20"/>
          <w:lang w:val="en-US"/>
        </w:rPr>
        <w:t xml:space="preserve">are sourced from </w:t>
      </w:r>
      <w:r w:rsidRPr="00024C61">
        <w:rPr>
          <w:rFonts w:cs="Arial"/>
          <w:bCs/>
          <w:sz w:val="20"/>
          <w:szCs w:val="20"/>
          <w:lang w:val="en-US"/>
        </w:rPr>
        <w:t>both</w:t>
      </w:r>
      <w:r w:rsidRPr="00024C61">
        <w:rPr>
          <w:rFonts w:cs="Arial"/>
          <w:sz w:val="20"/>
          <w:szCs w:val="20"/>
          <w:lang w:val="en-US"/>
        </w:rPr>
        <w:t xml:space="preserve"> of the following</w:t>
      </w:r>
      <w:r w:rsidRPr="00024C61">
        <w:rPr>
          <w:rFonts w:cs="Arial"/>
          <w:sz w:val="20"/>
          <w:szCs w:val="20"/>
          <w:lang w:val="en-US"/>
        </w:rPr>
        <w:br/>
        <w:t xml:space="preserve">(a) a </w:t>
      </w:r>
      <w:r w:rsidRPr="00024C61">
        <w:rPr>
          <w:rFonts w:cs="Arial"/>
          <w:i/>
          <w:iCs/>
          <w:sz w:val="20"/>
          <w:szCs w:val="20"/>
          <w:lang w:val="en-US"/>
        </w:rPr>
        <w:t xml:space="preserve">Pichia pastoris </w:t>
      </w:r>
      <w:r w:rsidRPr="00024C61">
        <w:rPr>
          <w:rFonts w:cs="Arial"/>
          <w:sz w:val="20"/>
          <w:szCs w:val="20"/>
          <w:lang w:val="en-US"/>
        </w:rPr>
        <w:t xml:space="preserve">strain expressing UGT-A; </w:t>
      </w:r>
    </w:p>
    <w:p w14:paraId="23E108CF" w14:textId="77777777" w:rsidR="00D56574" w:rsidRPr="00024C61" w:rsidRDefault="00D56574" w:rsidP="00D56574">
      <w:pPr>
        <w:ind w:left="3402" w:hanging="436"/>
        <w:rPr>
          <w:rFonts w:cs="Arial"/>
          <w:sz w:val="20"/>
          <w:szCs w:val="20"/>
        </w:rPr>
      </w:pPr>
      <w:r w:rsidRPr="00024C61">
        <w:rPr>
          <w:rFonts w:cs="Arial"/>
          <w:sz w:val="20"/>
          <w:szCs w:val="20"/>
        </w:rPr>
        <w:t xml:space="preserve">(b) </w:t>
      </w:r>
      <w:r w:rsidRPr="00024C61">
        <w:rPr>
          <w:rFonts w:cs="Arial"/>
          <w:sz w:val="20"/>
          <w:szCs w:val="20"/>
          <w:lang w:val="en-US"/>
        </w:rPr>
        <w:t xml:space="preserve">a </w:t>
      </w:r>
      <w:r w:rsidRPr="00024C61">
        <w:rPr>
          <w:rFonts w:cs="Arial"/>
          <w:i/>
          <w:iCs/>
          <w:sz w:val="20"/>
          <w:szCs w:val="20"/>
          <w:lang w:val="en-US"/>
        </w:rPr>
        <w:t xml:space="preserve">Pichia pastoris </w:t>
      </w:r>
      <w:r w:rsidRPr="00024C61">
        <w:rPr>
          <w:rFonts w:cs="Arial"/>
          <w:sz w:val="20"/>
          <w:szCs w:val="20"/>
          <w:lang w:val="en-US"/>
        </w:rPr>
        <w:t xml:space="preserve">strain expressing </w:t>
      </w:r>
      <w:r w:rsidRPr="00024C61">
        <w:rPr>
          <w:rFonts w:cs="Arial"/>
          <w:bCs/>
          <w:sz w:val="20"/>
          <w:szCs w:val="20"/>
          <w:lang w:val="en-US"/>
        </w:rPr>
        <w:t>both</w:t>
      </w:r>
      <w:r w:rsidRPr="00024C61">
        <w:rPr>
          <w:rFonts w:cs="Arial"/>
          <w:sz w:val="20"/>
          <w:szCs w:val="20"/>
          <w:lang w:val="en-US"/>
        </w:rPr>
        <w:t xml:space="preserve"> UGT-B1 and UGT-B2</w:t>
      </w:r>
    </w:p>
    <w:p w14:paraId="23E108D0" w14:textId="77777777" w:rsidR="00D56574" w:rsidRPr="00C42566" w:rsidRDefault="00D56574" w:rsidP="00D56574">
      <w:pPr>
        <w:widowControl/>
        <w:tabs>
          <w:tab w:val="left" w:pos="1134"/>
        </w:tabs>
        <w:spacing w:before="120" w:after="120"/>
        <w:rPr>
          <w:rFonts w:eastAsia="Calibri"/>
          <w:iCs/>
          <w:sz w:val="20"/>
        </w:rPr>
      </w:pPr>
      <w:r w:rsidRPr="00C42566">
        <w:rPr>
          <w:rFonts w:eastAsia="Calibri"/>
          <w:iCs/>
          <w:sz w:val="20"/>
        </w:rPr>
        <w:tab/>
        <w:t>(2A)</w:t>
      </w:r>
      <w:r>
        <w:rPr>
          <w:rFonts w:eastAsia="Calibri"/>
          <w:iCs/>
          <w:sz w:val="20"/>
        </w:rPr>
        <w:tab/>
      </w:r>
      <w:r w:rsidRPr="002C6B95">
        <w:rPr>
          <w:rFonts w:eastAsia="Calibri"/>
          <w:iCs/>
          <w:sz w:val="20"/>
        </w:rPr>
        <w:t>The final product may be spray dried</w:t>
      </w:r>
      <w:r>
        <w:rPr>
          <w:rFonts w:eastAsia="Calibri"/>
          <w:iCs/>
          <w:sz w:val="20"/>
        </w:rPr>
        <w:t>.</w:t>
      </w:r>
    </w:p>
    <w:p w14:paraId="23E108D1" w14:textId="77777777" w:rsidR="00D56574" w:rsidRPr="00FC34FA" w:rsidRDefault="00D56574" w:rsidP="00D56574">
      <w:pPr>
        <w:pStyle w:val="FSCDraftingitem"/>
        <w:ind w:left="851" w:hanging="851"/>
      </w:pPr>
    </w:p>
    <w:p w14:paraId="23E108D2" w14:textId="77777777" w:rsidR="00D56574" w:rsidRDefault="00D56574" w:rsidP="00D56574">
      <w:pPr>
        <w:pStyle w:val="FSCDraftingitem"/>
        <w:rPr>
          <w:rFonts w:eastAsia="Calibri"/>
          <w:iCs/>
        </w:rPr>
      </w:pPr>
      <w:r w:rsidRPr="00C42566">
        <w:rPr>
          <w:b/>
        </w:rPr>
        <w:t>[2]</w:t>
      </w:r>
      <w:r w:rsidRPr="00772624">
        <w:tab/>
      </w:r>
      <w:r w:rsidRPr="00772624">
        <w:rPr>
          <w:b/>
          <w:lang w:bidi="en-US"/>
        </w:rPr>
        <w:t>Schedule 18</w:t>
      </w:r>
      <w:r w:rsidRPr="00772624">
        <w:rPr>
          <w:lang w:bidi="en-US"/>
        </w:rPr>
        <w:t xml:space="preserve"> is varied b</w:t>
      </w:r>
      <w:r>
        <w:rPr>
          <w:lang w:bidi="en-US"/>
        </w:rPr>
        <w:t xml:space="preserve">y inserting in the table to subsection </w:t>
      </w:r>
      <w:r w:rsidRPr="00772624">
        <w:rPr>
          <w:rFonts w:eastAsia="Calibri"/>
          <w:iCs/>
        </w:rPr>
        <w:t>S</w:t>
      </w:r>
      <w:r>
        <w:rPr>
          <w:rFonts w:eastAsia="Calibri"/>
          <w:iCs/>
        </w:rPr>
        <w:t>18—9(3</w:t>
      </w:r>
      <w:r w:rsidRPr="00772624">
        <w:rPr>
          <w:rFonts w:eastAsia="Calibri"/>
          <w:iCs/>
        </w:rPr>
        <w:t>),</w:t>
      </w:r>
      <w:r>
        <w:rPr>
          <w:rFonts w:eastAsia="Calibri"/>
          <w:iCs/>
        </w:rPr>
        <w:t xml:space="preserve"> in alphabetical order</w:t>
      </w:r>
    </w:p>
    <w:p w14:paraId="23E108D3" w14:textId="77777777" w:rsidR="00D56574" w:rsidRPr="0048700A" w:rsidRDefault="00D56574" w:rsidP="00D56574">
      <w:pPr>
        <w:pStyle w:val="FSCDraftingitem"/>
        <w:rPr>
          <w:rFonts w:eastAsia="Calibri" w:cs="Arial"/>
          <w:iCs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Variation to Schedule 18"/>
      </w:tblPr>
      <w:tblGrid>
        <w:gridCol w:w="3120"/>
        <w:gridCol w:w="3603"/>
        <w:gridCol w:w="2349"/>
      </w:tblGrid>
      <w:tr w:rsidR="00D56574" w:rsidRPr="0048700A" w14:paraId="23E108D7" w14:textId="77777777" w:rsidTr="00565894">
        <w:trPr>
          <w:cantSplit/>
          <w:tblHeader/>
          <w:jc w:val="center"/>
        </w:trPr>
        <w:tc>
          <w:tcPr>
            <w:tcW w:w="3120" w:type="dxa"/>
          </w:tcPr>
          <w:p w14:paraId="23E108D4" w14:textId="77777777" w:rsidR="00D56574" w:rsidRPr="0048700A" w:rsidRDefault="00D56574" w:rsidP="00565894">
            <w:pPr>
              <w:pStyle w:val="FSCtblMain"/>
              <w:rPr>
                <w:rFonts w:ascii="Arial" w:hAnsi="Arial"/>
                <w:sz w:val="20"/>
              </w:rPr>
            </w:pPr>
            <w:r w:rsidRPr="0048700A">
              <w:rPr>
                <w:rFonts w:ascii="Arial" w:hAnsi="Arial"/>
                <w:sz w:val="20"/>
              </w:rPr>
              <w:t xml:space="preserve">Protein engineered enzymes that: contain both UDP-glucosyltransferase (EC 2.4.1.17) and sucrose synthase (EC 2.4.1.13) components; and are sourced from both of the following; a </w:t>
            </w:r>
            <w:r w:rsidRPr="0048700A">
              <w:rPr>
                <w:rFonts w:ascii="Arial" w:hAnsi="Arial"/>
                <w:i/>
                <w:sz w:val="20"/>
              </w:rPr>
              <w:t>Pichia pastoris</w:t>
            </w:r>
            <w:r w:rsidRPr="0048700A">
              <w:rPr>
                <w:rFonts w:ascii="Arial" w:hAnsi="Arial"/>
                <w:sz w:val="20"/>
              </w:rPr>
              <w:t xml:space="preserve"> strain expressing UGT-A, and a </w:t>
            </w:r>
            <w:r w:rsidRPr="0048700A">
              <w:rPr>
                <w:rFonts w:ascii="Arial" w:hAnsi="Arial"/>
                <w:i/>
                <w:sz w:val="20"/>
              </w:rPr>
              <w:t>Pichia pastoris</w:t>
            </w:r>
            <w:r w:rsidRPr="0048700A">
              <w:rPr>
                <w:rFonts w:ascii="Arial" w:hAnsi="Arial"/>
                <w:sz w:val="20"/>
              </w:rPr>
              <w:t xml:space="preserve"> strain expressing both UGT-B1 and UGT-B2.</w:t>
            </w:r>
          </w:p>
        </w:tc>
        <w:tc>
          <w:tcPr>
            <w:tcW w:w="3603" w:type="dxa"/>
          </w:tcPr>
          <w:p w14:paraId="23E108D5" w14:textId="77777777" w:rsidR="00D56574" w:rsidRPr="0048700A" w:rsidRDefault="00D56574" w:rsidP="00565894">
            <w:pPr>
              <w:pStyle w:val="FSCtblMain"/>
              <w:rPr>
                <w:rFonts w:ascii="Arial" w:hAnsi="Arial"/>
                <w:sz w:val="20"/>
              </w:rPr>
            </w:pPr>
            <w:r w:rsidRPr="0048700A">
              <w:rPr>
                <w:rFonts w:ascii="Arial" w:hAnsi="Arial"/>
                <w:sz w:val="20"/>
              </w:rPr>
              <w:t xml:space="preserve">For the conversion of </w:t>
            </w:r>
            <w:r w:rsidRPr="0048700A">
              <w:rPr>
                <w:rFonts w:ascii="Arial" w:hAnsi="Arial"/>
                <w:iCs/>
                <w:sz w:val="20"/>
              </w:rPr>
              <w:t>purified stevia leaf extract to produce rebaudioside M</w:t>
            </w:r>
          </w:p>
        </w:tc>
        <w:tc>
          <w:tcPr>
            <w:tcW w:w="2349" w:type="dxa"/>
          </w:tcPr>
          <w:p w14:paraId="23E108D6" w14:textId="77777777" w:rsidR="00D56574" w:rsidRPr="0048700A" w:rsidRDefault="00D56574" w:rsidP="00565894">
            <w:pPr>
              <w:pStyle w:val="FSCtblMain"/>
              <w:rPr>
                <w:rFonts w:ascii="Arial" w:hAnsi="Arial"/>
                <w:sz w:val="20"/>
              </w:rPr>
            </w:pPr>
            <w:r w:rsidRPr="0048700A">
              <w:rPr>
                <w:rFonts w:ascii="Arial" w:hAnsi="Arial"/>
                <w:sz w:val="20"/>
              </w:rPr>
              <w:t>GMP</w:t>
            </w:r>
          </w:p>
        </w:tc>
      </w:tr>
    </w:tbl>
    <w:p w14:paraId="23E108D8" w14:textId="77777777" w:rsidR="00D5526B" w:rsidRPr="003A01FB" w:rsidRDefault="00D5526B" w:rsidP="003A01FB"/>
    <w:sectPr w:rsidR="00D5526B" w:rsidRPr="003A01FB" w:rsidSect="008E2339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108DD" w14:textId="77777777" w:rsidR="0048187E" w:rsidRDefault="0048187E" w:rsidP="00D56574">
      <w:r>
        <w:separator/>
      </w:r>
    </w:p>
  </w:endnote>
  <w:endnote w:type="continuationSeparator" w:id="0">
    <w:p w14:paraId="23E108DE" w14:textId="77777777" w:rsidR="0048187E" w:rsidRDefault="0048187E" w:rsidP="00D5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89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2704C" w14:textId="1E1A0711" w:rsidR="00BC6F88" w:rsidRDefault="00BC6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9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686422" w14:textId="77777777" w:rsidR="00BC6F88" w:rsidRDefault="00BC6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108DB" w14:textId="77777777" w:rsidR="0048187E" w:rsidRDefault="0048187E" w:rsidP="00D56574">
      <w:r>
        <w:separator/>
      </w:r>
    </w:p>
  </w:footnote>
  <w:footnote w:type="continuationSeparator" w:id="0">
    <w:p w14:paraId="23E108DC" w14:textId="77777777" w:rsidR="0048187E" w:rsidRDefault="0048187E" w:rsidP="00D5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511"/>
    <w:multiLevelType w:val="hybridMultilevel"/>
    <w:tmpl w:val="CB949BA4"/>
    <w:lvl w:ilvl="0" w:tplc="A5DA09EA">
      <w:start w:val="1"/>
      <w:numFmt w:val="lowerLetter"/>
      <w:lvlText w:val="(%1)"/>
      <w:lvlJc w:val="left"/>
      <w:pPr>
        <w:ind w:left="2555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E1566"/>
    <w:multiLevelType w:val="hybridMultilevel"/>
    <w:tmpl w:val="5352FF7E"/>
    <w:lvl w:ilvl="0" w:tplc="2416BA16">
      <w:start w:val="1"/>
      <w:numFmt w:val="lowerRoman"/>
      <w:lvlText w:val="(%1)"/>
      <w:lvlJc w:val="left"/>
      <w:pPr>
        <w:ind w:left="29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5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74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975E5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51445"/>
    <w:rsid w:val="0048187E"/>
    <w:rsid w:val="00486619"/>
    <w:rsid w:val="0048700A"/>
    <w:rsid w:val="004D3868"/>
    <w:rsid w:val="004E5E1C"/>
    <w:rsid w:val="004E6694"/>
    <w:rsid w:val="0054036E"/>
    <w:rsid w:val="005B578D"/>
    <w:rsid w:val="005C1996"/>
    <w:rsid w:val="006B6900"/>
    <w:rsid w:val="006D473E"/>
    <w:rsid w:val="007201F8"/>
    <w:rsid w:val="00741965"/>
    <w:rsid w:val="00793DE6"/>
    <w:rsid w:val="007C7E9B"/>
    <w:rsid w:val="007F4C73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C6F88"/>
    <w:rsid w:val="00BE4F3A"/>
    <w:rsid w:val="00C019A6"/>
    <w:rsid w:val="00C572A2"/>
    <w:rsid w:val="00CB4489"/>
    <w:rsid w:val="00D5526B"/>
    <w:rsid w:val="00D56574"/>
    <w:rsid w:val="00D66962"/>
    <w:rsid w:val="00D87D9C"/>
    <w:rsid w:val="00D92B3B"/>
    <w:rsid w:val="00DA7DED"/>
    <w:rsid w:val="00DD630A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E108A9"/>
  <w15:chartTrackingRefBased/>
  <w15:docId w15:val="{482D2F76-8143-4962-A023-0CD5625F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D56574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rsid w:val="00D56574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locked/>
    <w:rsid w:val="00D56574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locked/>
    <w:rsid w:val="00D56574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Para">
    <w:name w:val="FSC_t_Para"/>
    <w:basedOn w:val="Normal"/>
    <w:qFormat/>
    <w:locked/>
    <w:rsid w:val="00D56574"/>
    <w:pPr>
      <w:tabs>
        <w:tab w:val="left" w:pos="1701"/>
      </w:tabs>
      <w:spacing w:before="60" w:after="60"/>
      <w:ind w:left="2268" w:hanging="2268"/>
    </w:pPr>
    <w:rPr>
      <w:rFonts w:cs="Arial"/>
      <w:iCs/>
      <w:sz w:val="20"/>
      <w:szCs w:val="22"/>
      <w:lang w:eastAsia="en-AU" w:bidi="ar-SA"/>
    </w:rPr>
  </w:style>
  <w:style w:type="paragraph" w:customStyle="1" w:styleId="FSCtblMain">
    <w:name w:val="FSC_tbl_Main"/>
    <w:basedOn w:val="Normal"/>
    <w:locked/>
    <w:rsid w:val="00D56574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X3VAMR3A5FUY-552-7154</_dlc_DocId>
    <_dlc_DocIdUrl xmlns="ff5de93e-c5e8-4efc-a1bd-21450292fcfe">
      <Url>http://teams/Sections/RAP/_layouts/15/DocIdRedir.aspx?ID=X3VAMR3A5FUY-552-7154</Url>
      <Description>X3VAMR3A5FUY-552-7154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FCD4-42DB-4DFA-9E84-09B4F2C35D4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C8C88B6-4E95-4967-A343-07A1D9B17583}">
  <ds:schemaRefs>
    <ds:schemaRef ds:uri="ec50576e-4a27-4780-a1e1-e59563bc70b8"/>
    <ds:schemaRef ds:uri="http://www.w3.org/XML/1998/namespace"/>
    <ds:schemaRef ds:uri="ff5de93e-c5e8-4efc-a1bd-21450292fcf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A74A0F-F628-44BA-937A-2BD6F516A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E04AB-FA83-49C6-A5C7-9A3A6330A9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127119-B7D6-4B0C-B7D7-D65CC198C21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9BE60CA-CE26-421C-B1CA-C79730CA9C19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21421A98-5DA9-4253-A4C5-FC4FE3CF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Coughlan</dc:creator>
  <cp:keywords/>
  <dc:description/>
  <cp:lastModifiedBy>Joanna Richards</cp:lastModifiedBy>
  <cp:revision>2</cp:revision>
  <dcterms:created xsi:type="dcterms:W3CDTF">2019-01-09T22:55:00Z</dcterms:created>
  <dcterms:modified xsi:type="dcterms:W3CDTF">2019-01-09T22:55:00Z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31781a4c-5734-4f46-96f9-dc9b8343a95f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f295f858-bd09-4c27-ad48-7e611171ba7f</vt:lpwstr>
  </property>
  <property fmtid="{D5CDD505-2E9C-101B-9397-08002B2CF9AE}" pid="6" name="DisposalClass">
    <vt:lpwstr/>
  </property>
  <property fmtid="{D5CDD505-2E9C-101B-9397-08002B2CF9AE}" pid="7" name="BCS_">
    <vt:lpwstr>846;#FOOD STANDARDS:Instruments|4a8ff5e5-1f0e-4751-ab44-bc0d33b46a80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uid="a68a5297-83bb-4ba8-a7cd-4b62d6981a77" value="" /&gt;&lt;/sisl&gt;</vt:lpwstr>
  </property>
  <property fmtid="{D5CDD505-2E9C-101B-9397-08002B2CF9AE}" pid="10" name="bjDocumentSecurityLabel">
    <vt:lpwstr>OFFICIAL:Sensitive</vt:lpwstr>
  </property>
</Properties>
</file>