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095DC" w14:textId="77777777" w:rsidR="00DF2D89" w:rsidRDefault="00DF2D89" w:rsidP="00DF2D89">
      <w:pPr>
        <w:jc w:val="center"/>
        <w:rPr>
          <w:b/>
          <w:sz w:val="28"/>
          <w:szCs w:val="28"/>
        </w:rPr>
      </w:pPr>
    </w:p>
    <w:p w14:paraId="7A51E7AB" w14:textId="77777777" w:rsidR="00DF2D89" w:rsidRPr="001C532A" w:rsidRDefault="00DF2D89" w:rsidP="00DF2D89">
      <w:pPr>
        <w:jc w:val="center"/>
        <w:rPr>
          <w:b/>
          <w:sz w:val="28"/>
          <w:szCs w:val="28"/>
        </w:rPr>
      </w:pPr>
      <w:r w:rsidRPr="001C532A">
        <w:rPr>
          <w:b/>
          <w:sz w:val="28"/>
          <w:szCs w:val="28"/>
        </w:rPr>
        <w:t>COMPETITION AND CONSUMER ACT 2010</w:t>
      </w:r>
    </w:p>
    <w:p w14:paraId="333187A7" w14:textId="77777777" w:rsidR="00DF2D89" w:rsidRDefault="00DF2D89" w:rsidP="00DF2D89"/>
    <w:p w14:paraId="0E2DE750" w14:textId="01AD255E" w:rsidR="00DF2D89" w:rsidRDefault="001F162D" w:rsidP="00DF2D89">
      <w:pPr>
        <w:jc w:val="center"/>
        <w:rPr>
          <w:b/>
          <w:sz w:val="28"/>
          <w:szCs w:val="28"/>
        </w:rPr>
      </w:pPr>
      <w:r w:rsidRPr="001F162D">
        <w:rPr>
          <w:b/>
          <w:sz w:val="28"/>
          <w:szCs w:val="28"/>
        </w:rPr>
        <w:t>Competition and Consumer (FTAS Declaration) Extension 2018</w:t>
      </w:r>
    </w:p>
    <w:p w14:paraId="120FB325" w14:textId="77777777" w:rsidR="00DF2D89" w:rsidRDefault="00DF2D89" w:rsidP="00DF2D89"/>
    <w:p w14:paraId="7F584610" w14:textId="344AA642" w:rsidR="00DF2D89" w:rsidRDefault="00DF2D89" w:rsidP="00DF2D89">
      <w:pPr>
        <w:pStyle w:val="ListParagraph"/>
        <w:numPr>
          <w:ilvl w:val="0"/>
          <w:numId w:val="1"/>
        </w:numPr>
      </w:pPr>
      <w:r>
        <w:t xml:space="preserve">Pursuant to section 152ALA(4) of </w:t>
      </w:r>
      <w:bookmarkStart w:id="0" w:name="_GoBack"/>
      <w:bookmarkEnd w:id="0"/>
      <w:r>
        <w:t xml:space="preserve">the </w:t>
      </w:r>
      <w:r w:rsidRPr="00B67209">
        <w:rPr>
          <w:i/>
        </w:rPr>
        <w:t>Competition and Consumer Act 2010</w:t>
      </w:r>
      <w:r w:rsidR="00816FE5">
        <w:rPr>
          <w:i/>
        </w:rPr>
        <w:t xml:space="preserve"> </w:t>
      </w:r>
      <w:r w:rsidR="00816FE5" w:rsidRPr="00B33F79">
        <w:t>(</w:t>
      </w:r>
      <w:r w:rsidR="00B33F79" w:rsidRPr="00B33F79">
        <w:t xml:space="preserve">the </w:t>
      </w:r>
      <w:r w:rsidR="00816FE5" w:rsidRPr="00B33F79">
        <w:t>Act)</w:t>
      </w:r>
      <w:r>
        <w:t>, the Australian Competitio</w:t>
      </w:r>
      <w:r w:rsidR="00816FE5">
        <w:t>n and Consumer Commission</w:t>
      </w:r>
      <w:r>
        <w:t xml:space="preserve"> extends the expiry date for the </w:t>
      </w:r>
      <w:r w:rsidR="00580805">
        <w:t xml:space="preserve">Fixed Terminating Access Service (FTAS) </w:t>
      </w:r>
      <w:r>
        <w:t xml:space="preserve">declaration to </w:t>
      </w:r>
      <w:r w:rsidR="00043600">
        <w:t>30 June 2024.</w:t>
      </w:r>
      <w:r>
        <w:t xml:space="preserve"> </w:t>
      </w:r>
    </w:p>
    <w:p w14:paraId="7884D9C8" w14:textId="77777777" w:rsidR="00DF2D89" w:rsidRDefault="00DF2D89" w:rsidP="00DF2D89"/>
    <w:p w14:paraId="1BA3C52B" w14:textId="77777777" w:rsidR="00DF2D89" w:rsidRDefault="00DF2D89" w:rsidP="00DF2D89">
      <w:pPr>
        <w:ind w:firstLine="720"/>
      </w:pPr>
      <w:r>
        <w:t xml:space="preserve">Note: the previous expiry date was 31 July </w:t>
      </w:r>
      <w:r w:rsidR="00043600">
        <w:t>2019</w:t>
      </w:r>
      <w:r>
        <w:t xml:space="preserve">. </w:t>
      </w:r>
    </w:p>
    <w:p w14:paraId="74CFD1AB" w14:textId="77777777" w:rsidR="00043600" w:rsidRDefault="00043600" w:rsidP="00043600">
      <w:pPr>
        <w:pStyle w:val="ListParagraph"/>
        <w:ind w:left="720"/>
      </w:pPr>
    </w:p>
    <w:p w14:paraId="63AB7F29" w14:textId="064F34C2" w:rsidR="00DF2D89" w:rsidRDefault="00DF2D89" w:rsidP="00DF2D89">
      <w:pPr>
        <w:pStyle w:val="ListParagraph"/>
        <w:numPr>
          <w:ilvl w:val="0"/>
          <w:numId w:val="1"/>
        </w:numPr>
      </w:pPr>
      <w:r>
        <w:t xml:space="preserve">The </w:t>
      </w:r>
      <w:r w:rsidR="00580805">
        <w:t>FTAS</w:t>
      </w:r>
      <w:r>
        <w:t xml:space="preserve"> is described in Annexure 1 to this instrument. </w:t>
      </w:r>
    </w:p>
    <w:p w14:paraId="453A336B" w14:textId="77777777" w:rsidR="00DF2D89" w:rsidRDefault="00DF2D89" w:rsidP="00DF2D89"/>
    <w:p w14:paraId="64D35C72" w14:textId="77777777" w:rsidR="00DF2D89" w:rsidRDefault="00DF2D89" w:rsidP="00DF2D89"/>
    <w:p w14:paraId="4DFEA7DB" w14:textId="77777777" w:rsidR="003757A8" w:rsidRDefault="003757A8" w:rsidP="003757A8"/>
    <w:p w14:paraId="3D7A61B6" w14:textId="77777777" w:rsidR="003757A8" w:rsidRDefault="003757A8" w:rsidP="003757A8">
      <w:r w:rsidRPr="0004360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9302D" wp14:editId="457A196C">
                <wp:simplePos x="0" y="0"/>
                <wp:positionH relativeFrom="column">
                  <wp:posOffset>-8890</wp:posOffset>
                </wp:positionH>
                <wp:positionV relativeFrom="paragraph">
                  <wp:posOffset>260985</wp:posOffset>
                </wp:positionV>
                <wp:extent cx="1849120" cy="10160"/>
                <wp:effectExtent l="0" t="0" r="3683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912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314A4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0.55pt" to="144.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" strokecolor="#4d4d4d [3209]"/>
            </w:pict>
          </mc:Fallback>
        </mc:AlternateContent>
      </w:r>
    </w:p>
    <w:p w14:paraId="1B036533" w14:textId="77777777" w:rsidR="003757A8" w:rsidRDefault="003757A8" w:rsidP="003757A8">
      <w:pPr>
        <w:rPr>
          <w:noProof/>
          <w:lang w:eastAsia="en-AU"/>
        </w:rPr>
      </w:pPr>
      <w:r>
        <w:rPr>
          <w:noProof/>
          <w:lang w:eastAsia="en-AU"/>
        </w:rPr>
        <w:t xml:space="preserve">Rodney Graham Sims </w:t>
      </w:r>
    </w:p>
    <w:p w14:paraId="6C4E2673" w14:textId="77777777" w:rsidR="003757A8" w:rsidRDefault="003757A8" w:rsidP="003757A8">
      <w:pPr>
        <w:rPr>
          <w:noProof/>
          <w:lang w:eastAsia="en-AU"/>
        </w:rPr>
      </w:pPr>
      <w:r>
        <w:rPr>
          <w:noProof/>
          <w:lang w:eastAsia="en-AU"/>
        </w:rPr>
        <w:t>Chair</w:t>
      </w:r>
    </w:p>
    <w:p w14:paraId="0D25EA37" w14:textId="77777777" w:rsidR="003757A8" w:rsidRPr="00731151" w:rsidRDefault="003757A8" w:rsidP="003757A8">
      <w:pPr>
        <w:rPr>
          <w:noProof/>
          <w:lang w:eastAsia="en-AU"/>
        </w:rPr>
      </w:pPr>
      <w:r>
        <w:rPr>
          <w:noProof/>
          <w:lang w:eastAsia="en-AU"/>
        </w:rPr>
        <w:t>Australian Competition and Consumer Commission</w:t>
      </w:r>
    </w:p>
    <w:p w14:paraId="0296EAC5" w14:textId="77777777" w:rsidR="003757A8" w:rsidRPr="00BE1F1B" w:rsidRDefault="003757A8" w:rsidP="003757A8">
      <w:r>
        <w:rPr>
          <w:noProof/>
          <w:lang w:eastAsia="en-AU"/>
        </w:rPr>
        <w:t>Dated:</w:t>
      </w:r>
      <w:r w:rsidRPr="003D1515">
        <w:rPr>
          <w:noProof/>
          <w:lang w:eastAsia="en-AU"/>
        </w:rPr>
        <w:t xml:space="preserve">  </w:t>
      </w:r>
      <w:r>
        <w:rPr>
          <w:noProof/>
          <w:lang w:eastAsia="en-AU"/>
        </w:rPr>
        <w:t>23</w:t>
      </w:r>
      <w:r w:rsidRPr="003D1515">
        <w:rPr>
          <w:noProof/>
          <w:lang w:eastAsia="en-AU"/>
        </w:rPr>
        <w:t xml:space="preserve"> November 201</w:t>
      </w:r>
      <w:r>
        <w:rPr>
          <w:noProof/>
          <w:lang w:eastAsia="en-AU"/>
        </w:rPr>
        <w:t>8</w:t>
      </w:r>
    </w:p>
    <w:p w14:paraId="37F1A7B1" w14:textId="77777777" w:rsidR="00043600" w:rsidRDefault="00043600" w:rsidP="00DF2D89">
      <w:pPr>
        <w:rPr>
          <w:b/>
          <w:sz w:val="24"/>
          <w:szCs w:val="24"/>
          <w:lang w:eastAsia="en-AU"/>
        </w:rPr>
      </w:pPr>
    </w:p>
    <w:p w14:paraId="4CBB1122" w14:textId="77777777" w:rsidR="003D1515" w:rsidRDefault="003D1515" w:rsidP="00DF2D89">
      <w:pPr>
        <w:rPr>
          <w:b/>
          <w:sz w:val="24"/>
          <w:szCs w:val="24"/>
          <w:lang w:eastAsia="en-AU"/>
        </w:rPr>
      </w:pPr>
    </w:p>
    <w:p w14:paraId="3F8D2B67" w14:textId="77777777" w:rsidR="003D1515" w:rsidRDefault="003D1515" w:rsidP="00DF2D89">
      <w:pPr>
        <w:rPr>
          <w:b/>
          <w:sz w:val="24"/>
          <w:szCs w:val="24"/>
          <w:lang w:eastAsia="en-AU"/>
        </w:rPr>
      </w:pPr>
    </w:p>
    <w:p w14:paraId="25C6F765" w14:textId="44C147D1" w:rsidR="00DF2D89" w:rsidRPr="00D068A1" w:rsidRDefault="00DF2D89" w:rsidP="00DF2D89">
      <w:pPr>
        <w:rPr>
          <w:b/>
          <w:sz w:val="24"/>
          <w:szCs w:val="24"/>
          <w:lang w:eastAsia="en-AU"/>
        </w:rPr>
      </w:pPr>
      <w:r w:rsidRPr="00631286">
        <w:rPr>
          <w:b/>
          <w:sz w:val="24"/>
          <w:szCs w:val="24"/>
          <w:lang w:eastAsia="en-AU"/>
        </w:rPr>
        <w:t xml:space="preserve">Annexure 1: </w:t>
      </w:r>
      <w:r>
        <w:rPr>
          <w:b/>
          <w:sz w:val="24"/>
          <w:szCs w:val="24"/>
          <w:lang w:eastAsia="en-AU"/>
        </w:rPr>
        <w:t xml:space="preserve">Service Description for the </w:t>
      </w:r>
      <w:r w:rsidR="00580805">
        <w:rPr>
          <w:b/>
          <w:sz w:val="24"/>
          <w:szCs w:val="24"/>
          <w:lang w:eastAsia="en-AU"/>
        </w:rPr>
        <w:t>FTAS</w:t>
      </w:r>
      <w:r w:rsidRPr="00631286">
        <w:rPr>
          <w:b/>
          <w:sz w:val="24"/>
          <w:szCs w:val="24"/>
          <w:lang w:eastAsia="en-AU"/>
        </w:rPr>
        <w:t xml:space="preserve"> </w:t>
      </w:r>
    </w:p>
    <w:p w14:paraId="5D0DA386" w14:textId="77777777" w:rsidR="00DF2D89" w:rsidRPr="00B67209" w:rsidRDefault="00DF2D89" w:rsidP="00DF2D89">
      <w:pPr>
        <w:rPr>
          <w:b/>
          <w:lang w:eastAsia="en-AU"/>
        </w:rPr>
      </w:pPr>
      <w:r w:rsidRPr="00B67209">
        <w:rPr>
          <w:b/>
          <w:lang w:eastAsia="en-AU"/>
        </w:rPr>
        <w:t xml:space="preserve">Service description </w:t>
      </w:r>
    </w:p>
    <w:p w14:paraId="62CD626C" w14:textId="77777777" w:rsidR="00580805" w:rsidRDefault="00580805" w:rsidP="00DF2D89">
      <w:r>
        <w:t xml:space="preserve">An access service for the carriage of telephone calls (i.e. voice, data over the voice band) from a POI to end-customer assigned numbers from the geographic number ranges of the Australian Numbering Plan and directly connected to the access provider’s network. </w:t>
      </w:r>
    </w:p>
    <w:p w14:paraId="16BBDF82" w14:textId="77777777" w:rsidR="00580805" w:rsidRDefault="00580805" w:rsidP="00DF2D89">
      <w:r>
        <w:t xml:space="preserve">For the avoidance of doubt, the service also includes a service for the carriage of telephone calls from a POI, or potential POI, located at or associated with a local switch and located on the incoming trunk side of the switch to customer equipment at an end-user’s premises. </w:t>
      </w:r>
    </w:p>
    <w:p w14:paraId="2C6405F5" w14:textId="77777777" w:rsidR="00580805" w:rsidRPr="00D74B3E" w:rsidRDefault="00580805" w:rsidP="001F162D">
      <w:pPr>
        <w:keepNext/>
        <w:rPr>
          <w:b/>
        </w:rPr>
      </w:pPr>
      <w:r w:rsidRPr="00D74B3E">
        <w:rPr>
          <w:b/>
        </w:rPr>
        <w:t xml:space="preserve">Channel Capacity </w:t>
      </w:r>
    </w:p>
    <w:p w14:paraId="447CB081" w14:textId="77777777" w:rsidR="00580805" w:rsidRDefault="00580805" w:rsidP="00DF2D89">
      <w:r>
        <w:lastRenderedPageBreak/>
        <w:t xml:space="preserve">The service will establish a connection for the purposes of voice communication with the standard bandwidth of 3.1kHz. </w:t>
      </w:r>
    </w:p>
    <w:p w14:paraId="5F40BF8C" w14:textId="77777777" w:rsidR="00580805" w:rsidRPr="00D74B3E" w:rsidRDefault="00580805" w:rsidP="00DF2D89">
      <w:pPr>
        <w:rPr>
          <w:b/>
        </w:rPr>
      </w:pPr>
      <w:r w:rsidRPr="00D74B3E">
        <w:rPr>
          <w:b/>
        </w:rPr>
        <w:t xml:space="preserve">Services </w:t>
      </w:r>
    </w:p>
    <w:p w14:paraId="57D3EC87" w14:textId="77777777" w:rsidR="00580805" w:rsidRDefault="00580805" w:rsidP="00DF2D89">
      <w:r>
        <w:t xml:space="preserve">The service is provided on a call that is handed over for termination to a customer directly connected to the access provider's network with numbering in accordance with the Australian Numbering Plan. </w:t>
      </w:r>
    </w:p>
    <w:p w14:paraId="13E51E26" w14:textId="57C2661B" w:rsidR="00580805" w:rsidRPr="00D74B3E" w:rsidRDefault="00580805" w:rsidP="00DF2D89">
      <w:pPr>
        <w:rPr>
          <w:b/>
        </w:rPr>
      </w:pPr>
      <w:r w:rsidRPr="00D74B3E">
        <w:rPr>
          <w:b/>
        </w:rPr>
        <w:t xml:space="preserve">Signalling </w:t>
      </w:r>
    </w:p>
    <w:p w14:paraId="60D91C98" w14:textId="77777777" w:rsidR="00580805" w:rsidRDefault="00580805" w:rsidP="00DF2D89">
      <w:r>
        <w:t xml:space="preserve">Signals for this service will use CCS#7 signalling. Unless otherwise agreed, this CCS#7 signalling will be in accordance with the </w:t>
      </w:r>
      <w:proofErr w:type="spellStart"/>
      <w:r>
        <w:t>NIIF</w:t>
      </w:r>
      <w:proofErr w:type="spellEnd"/>
      <w:r>
        <w:t>/</w:t>
      </w:r>
      <w:proofErr w:type="spellStart"/>
      <w:r>
        <w:t>ACIF</w:t>
      </w:r>
      <w:proofErr w:type="spellEnd"/>
      <w:r>
        <w:t xml:space="preserve"> Interconnection-</w:t>
      </w:r>
      <w:proofErr w:type="spellStart"/>
      <w:r>
        <w:t>ISUP</w:t>
      </w:r>
      <w:proofErr w:type="spellEnd"/>
      <w:r>
        <w:t xml:space="preserve"> specification. </w:t>
      </w:r>
    </w:p>
    <w:p w14:paraId="7D7BD6E8" w14:textId="77777777" w:rsidR="00580805" w:rsidRPr="00D74B3E" w:rsidRDefault="00580805" w:rsidP="00DF2D89">
      <w:pPr>
        <w:rPr>
          <w:b/>
        </w:rPr>
      </w:pPr>
      <w:r w:rsidRPr="00D74B3E">
        <w:rPr>
          <w:b/>
        </w:rPr>
        <w:t xml:space="preserve">Nature of </w:t>
      </w:r>
      <w:proofErr w:type="spellStart"/>
      <w:r w:rsidRPr="00D74B3E">
        <w:rPr>
          <w:b/>
        </w:rPr>
        <w:t>switchports</w:t>
      </w:r>
      <w:proofErr w:type="spellEnd"/>
      <w:r w:rsidRPr="00D74B3E">
        <w:rPr>
          <w:b/>
        </w:rPr>
        <w:t xml:space="preserve"> </w:t>
      </w:r>
    </w:p>
    <w:p w14:paraId="2CA00544" w14:textId="77777777" w:rsidR="00580805" w:rsidRDefault="00580805" w:rsidP="00DF2D89">
      <w:r>
        <w:t xml:space="preserve">At </w:t>
      </w:r>
      <w:proofErr w:type="spellStart"/>
      <w:r>
        <w:t>POIs</w:t>
      </w:r>
      <w:proofErr w:type="spellEnd"/>
      <w:r>
        <w:t xml:space="preserve"> the calls will be delivered to the access seeker at 2.048Mbit/sec </w:t>
      </w:r>
      <w:proofErr w:type="spellStart"/>
      <w:r>
        <w:t>Switchports</w:t>
      </w:r>
      <w:proofErr w:type="spellEnd"/>
      <w:r>
        <w:t xml:space="preserve">. The </w:t>
      </w:r>
      <w:proofErr w:type="spellStart"/>
      <w:r>
        <w:t>switchports</w:t>
      </w:r>
      <w:proofErr w:type="spellEnd"/>
      <w:r>
        <w:t xml:space="preserve"> will operate at 2.048Mbit/sec in accordance with the </w:t>
      </w:r>
      <w:proofErr w:type="spellStart"/>
      <w:r>
        <w:t>ITU</w:t>
      </w:r>
      <w:proofErr w:type="spellEnd"/>
      <w:r>
        <w:t xml:space="preserve"> Recommendations G.703, G. 704 and G.732 (Blue Book)</w:t>
      </w:r>
    </w:p>
    <w:p w14:paraId="19209DDA" w14:textId="12F06D5B" w:rsidR="00DF2D89" w:rsidRPr="00E642A9" w:rsidRDefault="00DF2D89" w:rsidP="00DF2D89">
      <w:pPr>
        <w:rPr>
          <w:b/>
          <w:lang w:eastAsia="en-AU"/>
        </w:rPr>
      </w:pPr>
      <w:r w:rsidRPr="00E642A9">
        <w:rPr>
          <w:b/>
          <w:lang w:eastAsia="en-AU"/>
        </w:rPr>
        <w:t>Definitions</w:t>
      </w:r>
    </w:p>
    <w:p w14:paraId="13546B45" w14:textId="77777777" w:rsidR="001318CD" w:rsidRDefault="001318CD" w:rsidP="00DF2D89">
      <w:r>
        <w:t xml:space="preserve">Where words or phrases used in this declaration are defined in the Act or the Telecommunications Act 1997, they have the same meaning given in the relevant Act. </w:t>
      </w:r>
    </w:p>
    <w:p w14:paraId="28A3FCF3" w14:textId="77777777" w:rsidR="00DF2D89" w:rsidRPr="00E642A9" w:rsidRDefault="00DF2D89" w:rsidP="00DF2D89">
      <w:pPr>
        <w:rPr>
          <w:lang w:eastAsia="en-AU"/>
        </w:rPr>
      </w:pPr>
      <w:r w:rsidRPr="00E642A9">
        <w:rPr>
          <w:lang w:eastAsia="en-AU"/>
        </w:rPr>
        <w:t>In this Appendix:</w:t>
      </w:r>
    </w:p>
    <w:p w14:paraId="433AB8BC" w14:textId="00104472" w:rsidR="00580805" w:rsidRDefault="00580805" w:rsidP="00580805">
      <w:pPr>
        <w:rPr>
          <w:b/>
          <w:lang w:eastAsia="en-AU"/>
        </w:rPr>
      </w:pPr>
      <w:proofErr w:type="spellStart"/>
      <w:r w:rsidRPr="00580805">
        <w:rPr>
          <w:b/>
        </w:rPr>
        <w:t>NBN</w:t>
      </w:r>
      <w:proofErr w:type="spellEnd"/>
      <w:r w:rsidRPr="00580805">
        <w:rPr>
          <w:b/>
        </w:rPr>
        <w:t xml:space="preserve"> corporation</w:t>
      </w:r>
      <w:r>
        <w:t xml:space="preserve"> has the same meaning as in the National Broadband Network Companies Act 2011.</w:t>
      </w:r>
    </w:p>
    <w:p w14:paraId="674DC34F" w14:textId="77777777" w:rsidR="00580805" w:rsidRDefault="00580805" w:rsidP="00DF2D89">
      <w:r w:rsidRPr="00580805">
        <w:rPr>
          <w:b/>
        </w:rPr>
        <w:t>point of Interconnection</w:t>
      </w:r>
      <w:r>
        <w:t xml:space="preserve"> or </w:t>
      </w:r>
      <w:r w:rsidRPr="00580805">
        <w:rPr>
          <w:b/>
        </w:rPr>
        <w:t>POI</w:t>
      </w:r>
      <w:r>
        <w:t xml:space="preserve"> means an agreed location which:</w:t>
      </w:r>
    </w:p>
    <w:p w14:paraId="224F4780" w14:textId="7B9849BB" w:rsidR="00580805" w:rsidRDefault="00580805" w:rsidP="00580805">
      <w:pPr>
        <w:pStyle w:val="NoSpacing"/>
        <w:ind w:left="720"/>
      </w:pPr>
      <w:r>
        <w:sym w:font="Symbol" w:char="F0B7"/>
      </w:r>
      <w:r>
        <w:t xml:space="preserve"> is a physical point of demarcation between the networks nominated by the access seeker and the access provider; and</w:t>
      </w:r>
    </w:p>
    <w:p w14:paraId="362BC9AC" w14:textId="4A0D4EE3" w:rsidR="00DF2D89" w:rsidRPr="00E642A9" w:rsidRDefault="00580805" w:rsidP="00580805">
      <w:pPr>
        <w:pStyle w:val="NoSpacing"/>
        <w:ind w:left="720"/>
        <w:rPr>
          <w:lang w:eastAsia="en-AU"/>
        </w:rPr>
      </w:pPr>
      <w:r>
        <w:sym w:font="Symbol" w:char="F0B7"/>
      </w:r>
      <w:r>
        <w:t xml:space="preserve"> is associated (but not necessarily co-located with) with one or more gateway exchanges of each of the networks nominated by the access seeker and the access provider in respect of the </w:t>
      </w:r>
      <w:proofErr w:type="spellStart"/>
      <w:r>
        <w:t>POIs</w:t>
      </w:r>
      <w:proofErr w:type="spellEnd"/>
      <w:r>
        <w:t xml:space="preserve"> nominated by the access provider.</w:t>
      </w:r>
    </w:p>
    <w:p w14:paraId="70CB2EE5" w14:textId="1C83B03E" w:rsidR="004B2753" w:rsidRPr="001F162D" w:rsidRDefault="001F162D" w:rsidP="001F162D">
      <w:pPr>
        <w:widowControl w:val="0"/>
        <w:spacing w:before="3600" w:after="0"/>
        <w:ind w:left="510" w:hanging="510"/>
        <w:rPr>
          <w:rFonts w:ascii="Times New Roman" w:hAnsi="Times New Roman" w:cs="Times New Roman"/>
          <w:sz w:val="18"/>
          <w:szCs w:val="18"/>
        </w:rPr>
      </w:pPr>
      <w:r w:rsidRPr="000A2467">
        <w:rPr>
          <w:rFonts w:ascii="Times New Roman" w:hAnsi="Times New Roman" w:cs="Times New Roman"/>
          <w:sz w:val="18"/>
          <w:szCs w:val="18"/>
        </w:rPr>
        <w:t>Note:</w:t>
      </w:r>
      <w:r w:rsidRPr="000A2467">
        <w:rPr>
          <w:rFonts w:ascii="Times New Roman" w:hAnsi="Times New Roman" w:cs="Times New Roman"/>
          <w:sz w:val="18"/>
          <w:szCs w:val="18"/>
        </w:rPr>
        <w:tab/>
        <w:t xml:space="preserve">The name of this instrument was amended on registration as the instrument as lodged did not have a unique name (see subsection 10(2), </w:t>
      </w:r>
      <w:r w:rsidRPr="000A2467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0A2467">
        <w:rPr>
          <w:rFonts w:ascii="Times New Roman" w:hAnsi="Times New Roman" w:cs="Times New Roman"/>
          <w:sz w:val="18"/>
          <w:szCs w:val="18"/>
        </w:rPr>
        <w:t>).</w:t>
      </w:r>
    </w:p>
    <w:sectPr w:rsidR="004B2753" w:rsidRPr="001F162D" w:rsidSect="008E4F6C"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E9FB8" w14:textId="77777777" w:rsidR="00F23531" w:rsidRDefault="00F23531" w:rsidP="003A707F">
      <w:pPr>
        <w:spacing w:after="0" w:line="240" w:lineRule="auto"/>
      </w:pPr>
      <w:r>
        <w:separator/>
      </w:r>
    </w:p>
  </w:endnote>
  <w:endnote w:type="continuationSeparator" w:id="0">
    <w:p w14:paraId="61612FF2" w14:textId="77777777" w:rsidR="00F23531" w:rsidRDefault="00F2353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E1B90" w14:textId="77777777" w:rsidR="00F23531" w:rsidRDefault="00F23531" w:rsidP="003A707F">
      <w:pPr>
        <w:spacing w:after="0" w:line="240" w:lineRule="auto"/>
      </w:pPr>
      <w:r>
        <w:separator/>
      </w:r>
    </w:p>
  </w:footnote>
  <w:footnote w:type="continuationSeparator" w:id="0">
    <w:p w14:paraId="1AE08208" w14:textId="77777777" w:rsidR="00F23531" w:rsidRDefault="00F23531" w:rsidP="003A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7B46"/>
    <w:multiLevelType w:val="hybridMultilevel"/>
    <w:tmpl w:val="88C45F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Documents and Settings\miphe\Local Settings\Temporary Internet Files\Content.IE5\5M8FKZUS\Gazette Template[2].docx"/>
  </w:docVars>
  <w:rsids>
    <w:rsidRoot w:val="008E4F6C"/>
    <w:rsid w:val="00043600"/>
    <w:rsid w:val="000E1F2B"/>
    <w:rsid w:val="001318CD"/>
    <w:rsid w:val="00195F08"/>
    <w:rsid w:val="001C2AAD"/>
    <w:rsid w:val="001F162D"/>
    <w:rsid w:val="001F6E54"/>
    <w:rsid w:val="00280BCD"/>
    <w:rsid w:val="003757A8"/>
    <w:rsid w:val="003A707F"/>
    <w:rsid w:val="003B0EC1"/>
    <w:rsid w:val="003B573B"/>
    <w:rsid w:val="003D1515"/>
    <w:rsid w:val="003F2CBD"/>
    <w:rsid w:val="00424B97"/>
    <w:rsid w:val="004B2753"/>
    <w:rsid w:val="00520873"/>
    <w:rsid w:val="00573D44"/>
    <w:rsid w:val="00580805"/>
    <w:rsid w:val="006454F5"/>
    <w:rsid w:val="007D1404"/>
    <w:rsid w:val="00816FE5"/>
    <w:rsid w:val="00840A06"/>
    <w:rsid w:val="008439B7"/>
    <w:rsid w:val="0087253F"/>
    <w:rsid w:val="008968CF"/>
    <w:rsid w:val="008E4F6C"/>
    <w:rsid w:val="009539C7"/>
    <w:rsid w:val="00993D9C"/>
    <w:rsid w:val="00A00F21"/>
    <w:rsid w:val="00B33F79"/>
    <w:rsid w:val="00B84226"/>
    <w:rsid w:val="00C26DE8"/>
    <w:rsid w:val="00C63C4E"/>
    <w:rsid w:val="00D068A1"/>
    <w:rsid w:val="00D74B3E"/>
    <w:rsid w:val="00D77A88"/>
    <w:rsid w:val="00DF2D89"/>
    <w:rsid w:val="00F23531"/>
    <w:rsid w:val="00F40885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7D3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DF2D89"/>
    <w:pPr>
      <w:spacing w:before="120" w:after="0" w:line="240" w:lineRule="auto"/>
      <w:ind w:left="357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8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18CD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580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DF2D89"/>
    <w:pPr>
      <w:spacing w:before="120" w:after="0" w:line="240" w:lineRule="auto"/>
      <w:ind w:left="357"/>
      <w:contextualSpacing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3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8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18CD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580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51B3-9708-4EAD-8B4D-1DB30619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2411</Characters>
  <Application>Microsoft Office Word</Application>
  <DocSecurity>0</DocSecurity>
  <Lines>92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Conduit, Nikki</cp:lastModifiedBy>
  <cp:revision>3</cp:revision>
  <cp:lastPrinted>2013-06-24T01:35:00Z</cp:lastPrinted>
  <dcterms:created xsi:type="dcterms:W3CDTF">2018-12-10T22:50:00Z</dcterms:created>
  <dcterms:modified xsi:type="dcterms:W3CDTF">2018-12-10T22:52:00Z</dcterms:modified>
</cp:coreProperties>
</file>