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01FCE73" wp14:editId="4F3FD7D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E500D4" w:rsidRDefault="00715914" w:rsidP="00715914">
      <w:pPr>
        <w:rPr>
          <w:sz w:val="19"/>
        </w:rPr>
      </w:pPr>
    </w:p>
    <w:p w:rsidR="00554826" w:rsidRPr="00E500D4" w:rsidRDefault="00897225" w:rsidP="00554826">
      <w:pPr>
        <w:pStyle w:val="ShortT"/>
      </w:pPr>
      <w:r>
        <w:t>Therapeutic Goods</w:t>
      </w:r>
      <w:r w:rsidR="00554826" w:rsidRPr="00DA182D">
        <w:t xml:space="preserve"> </w:t>
      </w:r>
      <w:r w:rsidR="00554826">
        <w:t>(</w:t>
      </w:r>
      <w:r>
        <w:t>Overseas Regulators</w:t>
      </w:r>
      <w:r w:rsidR="00554826">
        <w:t xml:space="preserve">) </w:t>
      </w:r>
      <w:r w:rsidR="00123398">
        <w:t>Determination 2018</w:t>
      </w:r>
    </w:p>
    <w:p w:rsidR="00554826" w:rsidRPr="00DA182D" w:rsidRDefault="00554826" w:rsidP="00F63BA0">
      <w:pPr>
        <w:pStyle w:val="SignCoverPageStart"/>
        <w:spacing w:before="240"/>
        <w:ind w:right="91"/>
        <w:jc w:val="left"/>
        <w:rPr>
          <w:szCs w:val="22"/>
        </w:rPr>
      </w:pPr>
      <w:r w:rsidRPr="00DA182D">
        <w:rPr>
          <w:szCs w:val="22"/>
        </w:rPr>
        <w:t xml:space="preserve">I, </w:t>
      </w:r>
      <w:r w:rsidR="00BF2EB8" w:rsidRPr="00EF528D">
        <w:rPr>
          <w:szCs w:val="22"/>
        </w:rPr>
        <w:t>Hongxia Jin</w:t>
      </w:r>
      <w:r w:rsidR="007F1935" w:rsidRPr="00EF528D">
        <w:rPr>
          <w:szCs w:val="22"/>
        </w:rPr>
        <w:t>, A</w:t>
      </w:r>
      <w:r w:rsidR="00193427" w:rsidRPr="00EF528D">
        <w:rPr>
          <w:szCs w:val="22"/>
        </w:rPr>
        <w:t>ctin</w:t>
      </w:r>
      <w:r w:rsidR="007F1935" w:rsidRPr="00EF528D">
        <w:rPr>
          <w:szCs w:val="22"/>
        </w:rPr>
        <w:t xml:space="preserve">g </w:t>
      </w:r>
      <w:r w:rsidR="00BE52CB" w:rsidRPr="00EF528D">
        <w:rPr>
          <w:szCs w:val="22"/>
        </w:rPr>
        <w:t>Assistant Secretary</w:t>
      </w:r>
      <w:r w:rsidR="00BE52CB">
        <w:rPr>
          <w:szCs w:val="22"/>
        </w:rPr>
        <w:t xml:space="preserve">, Medical Devices </w:t>
      </w:r>
      <w:r w:rsidR="00AF2A6C">
        <w:rPr>
          <w:szCs w:val="22"/>
        </w:rPr>
        <w:t>Branch</w:t>
      </w:r>
      <w:r w:rsidRPr="00DA182D">
        <w:rPr>
          <w:szCs w:val="22"/>
        </w:rPr>
        <w:t xml:space="preserve">, </w:t>
      </w:r>
      <w:r w:rsidR="00897225">
        <w:rPr>
          <w:szCs w:val="22"/>
        </w:rPr>
        <w:t>a delegate of the Secretary of the Department of Health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5737CD">
        <w:rPr>
          <w:szCs w:val="22"/>
        </w:rPr>
        <w:t>d</w:t>
      </w:r>
      <w:r w:rsidR="00897225">
        <w:rPr>
          <w:szCs w:val="22"/>
        </w:rPr>
        <w:t>etermination</w:t>
      </w:r>
      <w:r w:rsidRPr="00DA182D">
        <w:rPr>
          <w:szCs w:val="22"/>
        </w:rPr>
        <w:t>.</w:t>
      </w:r>
    </w:p>
    <w:p w:rsidR="00554826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926F1B">
        <w:rPr>
          <w:szCs w:val="22"/>
        </w:rPr>
        <w:t xml:space="preserve"> 10 </w:t>
      </w:r>
      <w:r w:rsidR="002B523D">
        <w:rPr>
          <w:szCs w:val="22"/>
        </w:rPr>
        <w:t xml:space="preserve">September </w:t>
      </w:r>
      <w:r w:rsidR="00123398">
        <w:rPr>
          <w:szCs w:val="22"/>
        </w:rPr>
        <w:t>2018</w:t>
      </w:r>
    </w:p>
    <w:p w:rsidR="00926F1B" w:rsidRDefault="00926F1B" w:rsidP="00926F1B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(Signed by)</w:t>
      </w:r>
    </w:p>
    <w:p w:rsidR="00554826" w:rsidRDefault="00BF2EB8" w:rsidP="00926F1B">
      <w:pPr>
        <w:keepNext/>
        <w:spacing w:before="300" w:line="240" w:lineRule="atLeast"/>
        <w:ind w:right="397"/>
        <w:jc w:val="both"/>
        <w:rPr>
          <w:b/>
          <w:szCs w:val="22"/>
        </w:rPr>
      </w:pPr>
      <w:r w:rsidRPr="00EF528D">
        <w:rPr>
          <w:szCs w:val="22"/>
        </w:rPr>
        <w:t>HONGXIA JIN</w:t>
      </w:r>
    </w:p>
    <w:p w:rsidR="00554826" w:rsidRPr="008E0027" w:rsidRDefault="00897225" w:rsidP="00554826">
      <w:pPr>
        <w:pStyle w:val="SignCoverPageEnd"/>
        <w:ind w:right="91"/>
        <w:rPr>
          <w:sz w:val="22"/>
        </w:rPr>
      </w:pPr>
      <w:r>
        <w:rPr>
          <w:sz w:val="22"/>
        </w:rPr>
        <w:t>Delegate of the Secretary of the Department of Health</w:t>
      </w:r>
    </w:p>
    <w:p w:rsidR="00554826" w:rsidRDefault="00554826" w:rsidP="00554826"/>
    <w:p w:rsidR="00554826" w:rsidRPr="00ED79B6" w:rsidRDefault="00554826" w:rsidP="00554826"/>
    <w:p w:rsidR="00F6696E" w:rsidRDefault="00F6696E" w:rsidP="00F6696E"/>
    <w:p w:rsidR="00F6696E" w:rsidRDefault="00F6696E" w:rsidP="00F6696E">
      <w:pPr>
        <w:sectPr w:rsidR="00F6696E" w:rsidSect="00F6696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:rsidR="00554826" w:rsidRPr="00554826" w:rsidRDefault="00554826" w:rsidP="00554826">
      <w:pPr>
        <w:pStyle w:val="ActHead5"/>
      </w:pPr>
      <w:bookmarkStart w:id="0" w:name="_Toc454512513"/>
      <w:proofErr w:type="gramStart"/>
      <w:r w:rsidRPr="00554826">
        <w:lastRenderedPageBreak/>
        <w:t>1  Name</w:t>
      </w:r>
      <w:bookmarkEnd w:id="0"/>
      <w:proofErr w:type="gramEnd"/>
    </w:p>
    <w:p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1" w:name="BKCheck15B_3"/>
      <w:bookmarkEnd w:id="1"/>
      <w:r w:rsidR="00C91FAF" w:rsidRPr="00C91FAF">
        <w:rPr>
          <w:i/>
        </w:rPr>
        <w:t>Therapeutic Goods (Overseas Regulators) Determination</w:t>
      </w:r>
      <w:r w:rsidR="00331071">
        <w:rPr>
          <w:i/>
        </w:rPr>
        <w:t> </w:t>
      </w:r>
      <w:r w:rsidR="00C91FAF" w:rsidRPr="00C91FAF">
        <w:rPr>
          <w:i/>
        </w:rPr>
        <w:t>201</w:t>
      </w:r>
      <w:r w:rsidR="00123398">
        <w:rPr>
          <w:i/>
        </w:rPr>
        <w:t>8</w:t>
      </w:r>
      <w:r w:rsidRPr="009C2562">
        <w:t>.</w:t>
      </w:r>
    </w:p>
    <w:p w:rsidR="00554826" w:rsidRDefault="00554826" w:rsidP="00A913E3">
      <w:pPr>
        <w:pStyle w:val="ActHead5"/>
      </w:pPr>
      <w:bookmarkStart w:id="2" w:name="_Toc454512514"/>
      <w:proofErr w:type="gramStart"/>
      <w:r w:rsidRPr="00554826">
        <w:t>2  Commencement</w:t>
      </w:r>
      <w:bookmarkEnd w:id="2"/>
      <w:proofErr w:type="gramEnd"/>
    </w:p>
    <w:tbl>
      <w:tblPr>
        <w:tblW w:w="882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9"/>
        <w:gridCol w:w="1570"/>
        <w:gridCol w:w="892"/>
        <w:gridCol w:w="2701"/>
        <w:gridCol w:w="235"/>
        <w:gridCol w:w="1582"/>
        <w:gridCol w:w="164"/>
        <w:gridCol w:w="720"/>
      </w:tblGrid>
      <w:tr w:rsidR="002B523D" w:rsidRPr="005B0D0F" w:rsidTr="00A913E3">
        <w:trPr>
          <w:gridAfter w:val="1"/>
          <w:wAfter w:w="720" w:type="dxa"/>
          <w:trHeight w:val="88"/>
        </w:trPr>
        <w:tc>
          <w:tcPr>
            <w:tcW w:w="8103" w:type="dxa"/>
            <w:gridSpan w:val="8"/>
          </w:tcPr>
          <w:p w:rsidR="002B523D" w:rsidRPr="00A913E3" w:rsidRDefault="002B523D" w:rsidP="00A913E3">
            <w:pPr>
              <w:pStyle w:val="subsection"/>
              <w:ind w:hanging="283"/>
            </w:pPr>
            <w:r w:rsidRPr="001526D6">
              <w:t xml:space="preserve">(1) Each provision of this instrument specified in column 1 of the table </w:t>
            </w:r>
            <w:bookmarkStart w:id="3" w:name="_GoBack"/>
            <w:bookmarkEnd w:id="3"/>
            <w:r w:rsidRPr="001526D6">
              <w:t xml:space="preserve">commences, or is taken to have commenced, in accordance with column 2 of the table. Any other statement in column 2 has effect according to its terms. </w:t>
            </w:r>
          </w:p>
        </w:tc>
      </w:tr>
      <w:tr w:rsidR="002B523D" w:rsidTr="00A913E3">
        <w:trPr>
          <w:gridBefore w:val="1"/>
          <w:wBefore w:w="720" w:type="dxa"/>
          <w:trHeight w:val="88"/>
        </w:trPr>
        <w:tc>
          <w:tcPr>
            <w:tcW w:w="2701" w:type="dxa"/>
            <w:gridSpan w:val="3"/>
          </w:tcPr>
          <w:p w:rsidR="002B523D" w:rsidRDefault="002B523D" w:rsidP="00A913E3">
            <w:pPr>
              <w:pStyle w:val="Default"/>
              <w:ind w:left="23"/>
              <w:rPr>
                <w:sz w:val="20"/>
                <w:szCs w:val="20"/>
              </w:rPr>
            </w:pPr>
          </w:p>
        </w:tc>
        <w:tc>
          <w:tcPr>
            <w:tcW w:w="2701" w:type="dxa"/>
          </w:tcPr>
          <w:p w:rsidR="002B523D" w:rsidRDefault="002B523D" w:rsidP="00A913E3">
            <w:pPr>
              <w:pStyle w:val="Default"/>
              <w:ind w:left="23"/>
              <w:rPr>
                <w:sz w:val="20"/>
                <w:szCs w:val="20"/>
              </w:rPr>
            </w:pPr>
          </w:p>
        </w:tc>
        <w:tc>
          <w:tcPr>
            <w:tcW w:w="2701" w:type="dxa"/>
            <w:gridSpan w:val="4"/>
          </w:tcPr>
          <w:p w:rsidR="002B523D" w:rsidRDefault="002B523D" w:rsidP="00A913E3">
            <w:pPr>
              <w:pStyle w:val="Default"/>
              <w:ind w:left="23"/>
              <w:rPr>
                <w:sz w:val="20"/>
                <w:szCs w:val="20"/>
              </w:rPr>
            </w:pPr>
          </w:p>
        </w:tc>
      </w:tr>
      <w:tr w:rsidR="002B523D" w:rsidRPr="00274759" w:rsidTr="00A913E3">
        <w:tblPrEx>
          <w:tblBorders>
            <w:top w:val="single" w:sz="4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4" w:space="0" w:color="auto"/>
          </w:tblBorders>
          <w:tblCellMar>
            <w:left w:w="107" w:type="dxa"/>
            <w:right w:w="107" w:type="dxa"/>
          </w:tblCellMar>
        </w:tblPrEx>
        <w:trPr>
          <w:gridBefore w:val="2"/>
          <w:gridAfter w:val="2"/>
          <w:wBefore w:w="959" w:type="dxa"/>
          <w:wAfter w:w="884" w:type="dxa"/>
          <w:tblHeader/>
        </w:trPr>
        <w:tc>
          <w:tcPr>
            <w:tcW w:w="6980" w:type="dxa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B523D" w:rsidRPr="00274759" w:rsidRDefault="002B523D" w:rsidP="00A913E3">
            <w:pPr>
              <w:pStyle w:val="TableHeading"/>
              <w:ind w:left="23"/>
            </w:pPr>
            <w:r w:rsidRPr="00274759">
              <w:t>Commencement information</w:t>
            </w:r>
          </w:p>
        </w:tc>
      </w:tr>
      <w:tr w:rsidR="002B523D" w:rsidRPr="00274759" w:rsidTr="00A913E3">
        <w:tblPrEx>
          <w:tblBorders>
            <w:top w:val="single" w:sz="4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4" w:space="0" w:color="auto"/>
          </w:tblBorders>
          <w:tblCellMar>
            <w:left w:w="107" w:type="dxa"/>
            <w:right w:w="107" w:type="dxa"/>
          </w:tblCellMar>
        </w:tblPrEx>
        <w:trPr>
          <w:gridBefore w:val="2"/>
          <w:gridAfter w:val="2"/>
          <w:wBefore w:w="959" w:type="dxa"/>
          <w:wAfter w:w="884" w:type="dxa"/>
          <w:tblHeader/>
        </w:trPr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B523D" w:rsidRPr="00274759" w:rsidRDefault="002B523D" w:rsidP="00A913E3">
            <w:pPr>
              <w:pStyle w:val="TableHeading"/>
              <w:ind w:left="23"/>
            </w:pPr>
            <w:r w:rsidRPr="00274759">
              <w:t>Column 1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B523D" w:rsidRPr="00274759" w:rsidRDefault="002B523D" w:rsidP="00A913E3">
            <w:pPr>
              <w:pStyle w:val="TableHeading"/>
              <w:ind w:left="23"/>
            </w:pPr>
            <w:r w:rsidRPr="00274759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B523D" w:rsidRPr="00274759" w:rsidRDefault="002B523D" w:rsidP="00A913E3">
            <w:pPr>
              <w:pStyle w:val="TableHeading"/>
              <w:ind w:left="23"/>
            </w:pPr>
            <w:r w:rsidRPr="00274759">
              <w:t>Column 3</w:t>
            </w:r>
          </w:p>
        </w:tc>
      </w:tr>
      <w:tr w:rsidR="002B523D" w:rsidRPr="00274759" w:rsidTr="00A913E3">
        <w:tblPrEx>
          <w:tblBorders>
            <w:top w:val="single" w:sz="4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4" w:space="0" w:color="auto"/>
          </w:tblBorders>
          <w:tblCellMar>
            <w:left w:w="107" w:type="dxa"/>
            <w:right w:w="107" w:type="dxa"/>
          </w:tblCellMar>
        </w:tblPrEx>
        <w:trPr>
          <w:gridBefore w:val="2"/>
          <w:gridAfter w:val="2"/>
          <w:wBefore w:w="959" w:type="dxa"/>
          <w:wAfter w:w="884" w:type="dxa"/>
          <w:tblHeader/>
        </w:trPr>
        <w:tc>
          <w:tcPr>
            <w:tcW w:w="15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B523D" w:rsidRPr="00274759" w:rsidRDefault="002B523D" w:rsidP="00A913E3">
            <w:pPr>
              <w:pStyle w:val="TableHeading"/>
              <w:ind w:left="23"/>
            </w:pPr>
            <w:r w:rsidRPr="00274759">
              <w:t>Provisions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B523D" w:rsidRPr="00274759" w:rsidRDefault="002B523D" w:rsidP="00A913E3">
            <w:pPr>
              <w:pStyle w:val="TableHeading"/>
              <w:ind w:left="23"/>
            </w:pPr>
            <w:r w:rsidRPr="00274759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B523D" w:rsidRPr="00274759" w:rsidRDefault="002B523D" w:rsidP="00A913E3">
            <w:pPr>
              <w:pStyle w:val="TableHeading"/>
              <w:ind w:left="23"/>
            </w:pPr>
            <w:r w:rsidRPr="00274759">
              <w:t>Date/Details</w:t>
            </w:r>
          </w:p>
        </w:tc>
      </w:tr>
      <w:tr w:rsidR="002B523D" w:rsidRPr="00274759" w:rsidTr="00A913E3">
        <w:tblPrEx>
          <w:tblBorders>
            <w:top w:val="single" w:sz="4" w:space="0" w:color="auto"/>
            <w:left w:val="none" w:sz="0" w:space="0" w:color="auto"/>
            <w:bottom w:val="single" w:sz="2" w:space="0" w:color="auto"/>
            <w:right w:val="none" w:sz="0" w:space="0" w:color="auto"/>
            <w:insideH w:val="single" w:sz="4" w:space="0" w:color="auto"/>
          </w:tblBorders>
          <w:tblCellMar>
            <w:left w:w="107" w:type="dxa"/>
            <w:right w:w="107" w:type="dxa"/>
          </w:tblCellMar>
        </w:tblPrEx>
        <w:trPr>
          <w:gridBefore w:val="2"/>
          <w:gridAfter w:val="2"/>
          <w:wBefore w:w="959" w:type="dxa"/>
          <w:wAfter w:w="884" w:type="dxa"/>
        </w:trPr>
        <w:tc>
          <w:tcPr>
            <w:tcW w:w="1570" w:type="dxa"/>
            <w:tcBorders>
              <w:top w:val="single" w:sz="12" w:space="0" w:color="auto"/>
            </w:tcBorders>
            <w:shd w:val="clear" w:color="auto" w:fill="auto"/>
          </w:tcPr>
          <w:p w:rsidR="002B523D" w:rsidRPr="00274759" w:rsidRDefault="005B0D0F" w:rsidP="00A913E3">
            <w:pPr>
              <w:pStyle w:val="Tabletext"/>
              <w:ind w:left="23"/>
            </w:pPr>
            <w:r>
              <w:t>The whole of this instrument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2B523D" w:rsidRPr="00274759" w:rsidRDefault="005B0D0F" w:rsidP="00A913E3">
            <w:pPr>
              <w:ind w:left="23"/>
            </w:pPr>
            <w:r>
              <w:rPr>
                <w:sz w:val="20"/>
              </w:rPr>
              <w:t>The day after this instrument is registered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2B523D" w:rsidRPr="00274759" w:rsidRDefault="002B523D" w:rsidP="00A913E3">
            <w:pPr>
              <w:pStyle w:val="Tabletext"/>
              <w:ind w:left="23"/>
            </w:pPr>
          </w:p>
        </w:tc>
      </w:tr>
    </w:tbl>
    <w:p w:rsidR="00B15305" w:rsidRDefault="00B15305" w:rsidP="00A913E3">
      <w:pPr>
        <w:pStyle w:val="subsection"/>
        <w:tabs>
          <w:tab w:val="clear" w:pos="1021"/>
          <w:tab w:val="right" w:pos="1843"/>
        </w:tabs>
        <w:ind w:left="1843" w:hanging="567"/>
      </w:pPr>
      <w:r>
        <w:rPr>
          <w:sz w:val="18"/>
          <w:szCs w:val="18"/>
        </w:rPr>
        <w:t xml:space="preserve">Note: </w:t>
      </w:r>
      <w:r>
        <w:rPr>
          <w:sz w:val="18"/>
          <w:szCs w:val="18"/>
        </w:rPr>
        <w:tab/>
        <w:t xml:space="preserve">  This table relates only to the provisions of this instrument as originally made. It will not be amended to deal with any later amendments of this instrument</w:t>
      </w:r>
    </w:p>
    <w:p w:rsidR="002B523D" w:rsidRDefault="005B0D0F" w:rsidP="00A913E3">
      <w:pPr>
        <w:pStyle w:val="subsection"/>
        <w:ind w:hanging="283"/>
      </w:pPr>
      <w:r w:rsidRPr="001526D6">
        <w:t>(2) Any information in column 3 of the table is not part of this instrument. Information may be inserted in this column, or information in it may be edited, in any published version of this instrument.</w:t>
      </w:r>
    </w:p>
    <w:p w:rsidR="005737CD" w:rsidRPr="00554826" w:rsidRDefault="005737CD" w:rsidP="005737CD">
      <w:pPr>
        <w:pStyle w:val="ActHead5"/>
      </w:pPr>
      <w:bookmarkStart w:id="4" w:name="_Toc454512516"/>
      <w:proofErr w:type="gramStart"/>
      <w:r>
        <w:t>3</w:t>
      </w:r>
      <w:r w:rsidRPr="00554826">
        <w:t xml:space="preserve">  </w:t>
      </w:r>
      <w:r>
        <w:t>Authority</w:t>
      </w:r>
      <w:proofErr w:type="gramEnd"/>
    </w:p>
    <w:p w:rsidR="005737CD" w:rsidRPr="00232984" w:rsidRDefault="005737CD" w:rsidP="005737CD">
      <w:pPr>
        <w:pStyle w:val="subsection"/>
      </w:pPr>
      <w:r>
        <w:tab/>
      </w:r>
      <w:r>
        <w:tab/>
        <w:t xml:space="preserve">This instrument is made under subsection </w:t>
      </w:r>
      <w:proofErr w:type="gramStart"/>
      <w:r>
        <w:t>41BIB(</w:t>
      </w:r>
      <w:proofErr w:type="gramEnd"/>
      <w:r>
        <w:t xml:space="preserve">2) of the </w:t>
      </w:r>
      <w:r w:rsidR="008335B8">
        <w:t>Act</w:t>
      </w:r>
      <w:r>
        <w:t>.</w:t>
      </w:r>
    </w:p>
    <w:p w:rsidR="00554826" w:rsidRPr="00554826" w:rsidRDefault="005737CD" w:rsidP="00554826">
      <w:pPr>
        <w:pStyle w:val="ActHead5"/>
      </w:pPr>
      <w:proofErr w:type="gramStart"/>
      <w:r>
        <w:t>4</w:t>
      </w:r>
      <w:r w:rsidR="00554826" w:rsidRPr="00554826">
        <w:t xml:space="preserve">  Definitions</w:t>
      </w:r>
      <w:bookmarkEnd w:id="4"/>
      <w:proofErr w:type="gramEnd"/>
    </w:p>
    <w:p w:rsidR="003658EA" w:rsidRPr="00A913E3" w:rsidRDefault="003658EA" w:rsidP="00A913E3">
      <w:pPr>
        <w:pStyle w:val="Definition"/>
        <w:ind w:left="1843" w:hanging="709"/>
        <w:rPr>
          <w:sz w:val="18"/>
          <w:szCs w:val="18"/>
        </w:rPr>
      </w:pPr>
      <w:r w:rsidRPr="00A913E3">
        <w:rPr>
          <w:sz w:val="18"/>
          <w:szCs w:val="18"/>
        </w:rPr>
        <w:t xml:space="preserve">Note: </w:t>
      </w:r>
      <w:r w:rsidRPr="00A913E3">
        <w:rPr>
          <w:sz w:val="18"/>
          <w:szCs w:val="18"/>
        </w:rPr>
        <w:tab/>
        <w:t xml:space="preserve">A number of expressions used in this instrument are defined in the Act, including the following: </w:t>
      </w:r>
    </w:p>
    <w:p w:rsidR="001453EC" w:rsidRPr="00A913E3" w:rsidRDefault="001453EC" w:rsidP="00A913E3">
      <w:pPr>
        <w:pStyle w:val="Definition"/>
        <w:numPr>
          <w:ilvl w:val="0"/>
          <w:numId w:val="18"/>
        </w:numPr>
        <w:rPr>
          <w:sz w:val="18"/>
          <w:szCs w:val="18"/>
        </w:rPr>
      </w:pPr>
      <w:r w:rsidRPr="00A913E3">
        <w:rPr>
          <w:sz w:val="18"/>
          <w:szCs w:val="18"/>
        </w:rPr>
        <w:t>overseas regulator; and</w:t>
      </w:r>
    </w:p>
    <w:p w:rsidR="003658EA" w:rsidRPr="00A913E3" w:rsidRDefault="003658EA" w:rsidP="00A913E3">
      <w:pPr>
        <w:pStyle w:val="Definition"/>
        <w:numPr>
          <w:ilvl w:val="0"/>
          <w:numId w:val="18"/>
        </w:numPr>
        <w:rPr>
          <w:sz w:val="18"/>
          <w:szCs w:val="18"/>
        </w:rPr>
      </w:pPr>
      <w:proofErr w:type="gramStart"/>
      <w:r w:rsidRPr="00A913E3">
        <w:rPr>
          <w:sz w:val="18"/>
          <w:szCs w:val="18"/>
        </w:rPr>
        <w:t>medical</w:t>
      </w:r>
      <w:proofErr w:type="gramEnd"/>
      <w:r w:rsidRPr="00A913E3">
        <w:rPr>
          <w:sz w:val="18"/>
          <w:szCs w:val="18"/>
        </w:rPr>
        <w:t xml:space="preserve"> device</w:t>
      </w:r>
      <w:r w:rsidR="001453EC" w:rsidRPr="00A913E3">
        <w:rPr>
          <w:sz w:val="18"/>
          <w:szCs w:val="18"/>
        </w:rPr>
        <w:t>.</w:t>
      </w:r>
    </w:p>
    <w:p w:rsidR="00554826" w:rsidRPr="00EE6C1E" w:rsidRDefault="00554826" w:rsidP="00EE6C1E">
      <w:pPr>
        <w:pStyle w:val="Definition"/>
      </w:pPr>
      <w:r w:rsidRPr="00EE6C1E">
        <w:t>In this instrument:</w:t>
      </w:r>
    </w:p>
    <w:p w:rsidR="00C43007" w:rsidRDefault="00C43007" w:rsidP="00C43007">
      <w:pPr>
        <w:pStyle w:val="Definition"/>
        <w:ind w:left="1440"/>
      </w:pPr>
      <w:r w:rsidRPr="009C2562">
        <w:rPr>
          <w:b/>
          <w:i/>
        </w:rPr>
        <w:t>Act</w:t>
      </w:r>
      <w:r w:rsidRPr="009C2562">
        <w:t xml:space="preserve"> means </w:t>
      </w:r>
      <w:r>
        <w:rPr>
          <w:i/>
        </w:rPr>
        <w:t>Therapeutic Goods Act 1989</w:t>
      </w:r>
      <w:r>
        <w:t>.</w:t>
      </w:r>
    </w:p>
    <w:p w:rsidR="00C43007" w:rsidRPr="00C43007" w:rsidRDefault="00C43007" w:rsidP="00A913E3">
      <w:pPr>
        <w:pStyle w:val="Definition"/>
        <w:ind w:left="1440"/>
      </w:pPr>
      <w:proofErr w:type="gramStart"/>
      <w:r w:rsidRPr="00A913E3">
        <w:rPr>
          <w:b/>
          <w:i/>
        </w:rPr>
        <w:t>active</w:t>
      </w:r>
      <w:proofErr w:type="gramEnd"/>
      <w:r w:rsidRPr="00A913E3">
        <w:rPr>
          <w:b/>
          <w:i/>
        </w:rPr>
        <w:t xml:space="preserve"> implantable medical device </w:t>
      </w:r>
      <w:r w:rsidRPr="000302D5">
        <w:t xml:space="preserve">has the same meaning as in the </w:t>
      </w:r>
      <w:r w:rsidRPr="00C43007">
        <w:t>Regulations.</w:t>
      </w:r>
    </w:p>
    <w:p w:rsidR="00C43007" w:rsidRPr="002F4FDF" w:rsidRDefault="00C43007" w:rsidP="00C43007">
      <w:pPr>
        <w:pStyle w:val="Definition"/>
        <w:ind w:left="1440"/>
      </w:pPr>
      <w:proofErr w:type="gramStart"/>
      <w:r>
        <w:rPr>
          <w:b/>
          <w:i/>
        </w:rPr>
        <w:t>in</w:t>
      </w:r>
      <w:proofErr w:type="gramEnd"/>
      <w:r>
        <w:rPr>
          <w:b/>
          <w:i/>
        </w:rPr>
        <w:t xml:space="preserve"> vitro diagnostic medical device</w:t>
      </w:r>
      <w:r w:rsidRPr="00A913E3">
        <w:rPr>
          <w:b/>
          <w:i/>
        </w:rPr>
        <w:t xml:space="preserve"> </w:t>
      </w:r>
      <w:r w:rsidRPr="002F4FDF">
        <w:t>has the same meaning as in the Regulations.</w:t>
      </w:r>
    </w:p>
    <w:p w:rsidR="00C43007" w:rsidRPr="00A913E3" w:rsidRDefault="00133730" w:rsidP="00C43007">
      <w:pPr>
        <w:pStyle w:val="Definition"/>
        <w:ind w:left="1440"/>
        <w:rPr>
          <w:b/>
          <w:i/>
        </w:rPr>
      </w:pPr>
      <w:proofErr w:type="gramStart"/>
      <w:r>
        <w:rPr>
          <w:b/>
          <w:i/>
        </w:rPr>
        <w:t>n</w:t>
      </w:r>
      <w:r w:rsidR="002965FD">
        <w:rPr>
          <w:b/>
          <w:i/>
        </w:rPr>
        <w:t>otified</w:t>
      </w:r>
      <w:proofErr w:type="gramEnd"/>
      <w:r w:rsidR="002965FD">
        <w:rPr>
          <w:b/>
          <w:i/>
        </w:rPr>
        <w:t xml:space="preserve"> body</w:t>
      </w:r>
      <w:r w:rsidR="00C43007" w:rsidRPr="00A913E3">
        <w:rPr>
          <w:b/>
          <w:i/>
        </w:rPr>
        <w:t xml:space="preserve"> </w:t>
      </w:r>
      <w:r w:rsidR="00C43007" w:rsidRPr="000302D5">
        <w:t xml:space="preserve">means </w:t>
      </w:r>
      <w:r w:rsidR="002965FD">
        <w:t>a body that has been designated by a member state of the</w:t>
      </w:r>
      <w:r w:rsidR="001453EC">
        <w:t> </w:t>
      </w:r>
      <w:r w:rsidR="002965FD">
        <w:t xml:space="preserve">European Union, and notified to the European Commission, to assess the conformity of medical devices, including </w:t>
      </w:r>
      <w:r w:rsidR="002965FD" w:rsidRPr="00FD1CF0">
        <w:rPr>
          <w:i/>
        </w:rPr>
        <w:t>in vitro</w:t>
      </w:r>
      <w:r w:rsidR="002965FD">
        <w:t xml:space="preserve"> diagnostic medical devices</w:t>
      </w:r>
      <w:r w:rsidR="002965FD" w:rsidRPr="0040112A">
        <w:t xml:space="preserve"> </w:t>
      </w:r>
      <w:r w:rsidR="002965FD">
        <w:t>and active implantable medical devices.</w:t>
      </w:r>
    </w:p>
    <w:p w:rsidR="003658EA" w:rsidRPr="00A913E3" w:rsidRDefault="003658EA">
      <w:pPr>
        <w:pStyle w:val="Definition"/>
        <w:ind w:left="1440"/>
      </w:pPr>
      <w:r>
        <w:rPr>
          <w:b/>
          <w:i/>
        </w:rPr>
        <w:lastRenderedPageBreak/>
        <w:t xml:space="preserve">recognised auditing organisation </w:t>
      </w:r>
      <w:r w:rsidRPr="00A913E3">
        <w:t>means</w:t>
      </w:r>
      <w:r>
        <w:rPr>
          <w:b/>
        </w:rPr>
        <w:t xml:space="preserve"> </w:t>
      </w:r>
      <w:r w:rsidRPr="00A913E3">
        <w:t>an</w:t>
      </w:r>
      <w:r>
        <w:rPr>
          <w:b/>
        </w:rPr>
        <w:t xml:space="preserve"> </w:t>
      </w:r>
      <w:r w:rsidRPr="00A913E3">
        <w:t>organisation authorised to perform audits under the Medical Device Single Audit Program by the Regulatory Authority Council</w:t>
      </w:r>
      <w:r w:rsidR="001453EC">
        <w:t>,</w:t>
      </w:r>
      <w:r w:rsidRPr="00A913E3">
        <w:t xml:space="preserve"> </w:t>
      </w:r>
      <w:r w:rsidR="001453EC">
        <w:t xml:space="preserve">in relation to that program, </w:t>
      </w:r>
      <w:r w:rsidRPr="00A913E3">
        <w:t>compris</w:t>
      </w:r>
      <w:r w:rsidR="001453EC">
        <w:t xml:space="preserve">ing </w:t>
      </w:r>
      <w:r w:rsidRPr="00A913E3">
        <w:t xml:space="preserve">the Australian Therapeutic Goods Administration, the United States Food and Drug Administration, the Brazilian </w:t>
      </w:r>
      <w:proofErr w:type="spellStart"/>
      <w:r w:rsidRPr="00A913E3">
        <w:t>Agência</w:t>
      </w:r>
      <w:proofErr w:type="spellEnd"/>
      <w:r w:rsidRPr="00A913E3">
        <w:t xml:space="preserve"> Nacional de </w:t>
      </w:r>
      <w:proofErr w:type="spellStart"/>
      <w:r w:rsidRPr="00A913E3">
        <w:t>Vigilância</w:t>
      </w:r>
      <w:proofErr w:type="spellEnd"/>
      <w:r w:rsidRPr="00A913E3">
        <w:t xml:space="preserve"> </w:t>
      </w:r>
      <w:proofErr w:type="spellStart"/>
      <w:r w:rsidRPr="00A913E3">
        <w:t>Sanitária</w:t>
      </w:r>
      <w:proofErr w:type="spellEnd"/>
      <w:r w:rsidRPr="00A913E3">
        <w:t>, Health Canada, and Japan’s Ministry of Health, Labour and Welfare and the Japanese Pharmaceuti</w:t>
      </w:r>
      <w:r w:rsidR="008E2A28">
        <w:t>cals and Medical Devices Agency.</w:t>
      </w:r>
    </w:p>
    <w:p w:rsidR="00C43007" w:rsidRPr="00A913E3" w:rsidRDefault="00C43007" w:rsidP="00C43007">
      <w:pPr>
        <w:pStyle w:val="Definition"/>
        <w:ind w:left="1440"/>
        <w:rPr>
          <w:i/>
        </w:rPr>
      </w:pPr>
      <w:proofErr w:type="gramStart"/>
      <w:r w:rsidRPr="00C43007">
        <w:rPr>
          <w:b/>
          <w:i/>
        </w:rPr>
        <w:t>Regulations</w:t>
      </w:r>
      <w:r>
        <w:rPr>
          <w:b/>
          <w:i/>
        </w:rPr>
        <w:t xml:space="preserve"> </w:t>
      </w:r>
      <w:r w:rsidRPr="00A913E3">
        <w:t>means</w:t>
      </w:r>
      <w:proofErr w:type="gramEnd"/>
      <w:r w:rsidRPr="00A913E3">
        <w:t xml:space="preserve"> the</w:t>
      </w:r>
      <w:r w:rsidRPr="00C43007">
        <w:rPr>
          <w:b/>
          <w:i/>
        </w:rPr>
        <w:t xml:space="preserve"> </w:t>
      </w:r>
      <w:r w:rsidRPr="00A913E3">
        <w:rPr>
          <w:i/>
        </w:rPr>
        <w:t>Therapeutic Goods (Medical Devices) Regulations 2002.</w:t>
      </w:r>
    </w:p>
    <w:p w:rsidR="00554826" w:rsidRPr="00E20EFC" w:rsidRDefault="005737CD" w:rsidP="00554826">
      <w:pPr>
        <w:pStyle w:val="ActHead5"/>
      </w:pPr>
      <w:bookmarkStart w:id="5" w:name="_Toc454512517"/>
      <w:proofErr w:type="gramStart"/>
      <w:r>
        <w:t>5</w:t>
      </w:r>
      <w:r w:rsidR="00554826" w:rsidRPr="00E20EFC">
        <w:t xml:space="preserve">  </w:t>
      </w:r>
      <w:bookmarkEnd w:id="5"/>
      <w:r w:rsidR="003D53AE" w:rsidRPr="00E20EFC">
        <w:t>Overseas</w:t>
      </w:r>
      <w:proofErr w:type="gramEnd"/>
      <w:r w:rsidR="003D53AE" w:rsidRPr="00E20EFC">
        <w:t xml:space="preserve"> regulators</w:t>
      </w:r>
    </w:p>
    <w:p w:rsidR="003D53AE" w:rsidRPr="00E20EFC" w:rsidRDefault="00122DBE" w:rsidP="000A5BA3">
      <w:pPr>
        <w:pStyle w:val="subsection"/>
        <w:ind w:firstLine="0"/>
      </w:pPr>
      <w:r>
        <w:t>Each of t</w:t>
      </w:r>
      <w:r w:rsidR="003D53AE" w:rsidRPr="00E20EFC">
        <w:t xml:space="preserve">he following </w:t>
      </w:r>
      <w:r>
        <w:t>is</w:t>
      </w:r>
      <w:r w:rsidRPr="00E20EFC">
        <w:t xml:space="preserve"> </w:t>
      </w:r>
      <w:r w:rsidR="0012141E">
        <w:t xml:space="preserve">determined </w:t>
      </w:r>
      <w:r>
        <w:t>to be</w:t>
      </w:r>
      <w:r w:rsidR="0012141E">
        <w:t xml:space="preserve"> </w:t>
      </w:r>
      <w:r>
        <w:t xml:space="preserve">an </w:t>
      </w:r>
      <w:r w:rsidR="003D53AE" w:rsidRPr="00E20EFC">
        <w:t>overseas regulator</w:t>
      </w:r>
      <w:r w:rsidR="0012141E">
        <w:t xml:space="preserve"> for the purposes of subsection </w:t>
      </w:r>
      <w:proofErr w:type="gramStart"/>
      <w:r w:rsidR="0012141E">
        <w:t>41BIB(</w:t>
      </w:r>
      <w:proofErr w:type="gramEnd"/>
      <w:r w:rsidR="0012141E">
        <w:t>1) of the Act</w:t>
      </w:r>
      <w:r w:rsidR="003D53AE" w:rsidRPr="00E20EFC">
        <w:t>:</w:t>
      </w:r>
    </w:p>
    <w:p w:rsidR="003D53AE" w:rsidRPr="00E20EFC" w:rsidRDefault="003D53AE" w:rsidP="00A913E3">
      <w:pPr>
        <w:pStyle w:val="paragraph"/>
        <w:spacing w:before="120"/>
      </w:pPr>
      <w:r w:rsidRPr="00E20EFC">
        <w:tab/>
        <w:t>(a)</w:t>
      </w:r>
      <w:r w:rsidRPr="00E20EFC">
        <w:tab/>
      </w:r>
      <w:proofErr w:type="gramStart"/>
      <w:r w:rsidR="001453EC" w:rsidRPr="00E20EFC">
        <w:t>a</w:t>
      </w:r>
      <w:proofErr w:type="gramEnd"/>
      <w:r w:rsidR="001453EC">
        <w:t xml:space="preserve"> notified</w:t>
      </w:r>
      <w:r w:rsidR="001453EC" w:rsidRPr="00E20EFC">
        <w:t xml:space="preserve"> body</w:t>
      </w:r>
      <w:r w:rsidR="00DF7865" w:rsidRPr="00E20EFC">
        <w:t>;</w:t>
      </w:r>
    </w:p>
    <w:p w:rsidR="003D53AE" w:rsidRPr="00E20EFC" w:rsidRDefault="003D53AE" w:rsidP="00A913E3">
      <w:pPr>
        <w:pStyle w:val="paragraph"/>
        <w:spacing w:before="120"/>
      </w:pPr>
      <w:r w:rsidRPr="00E20EFC">
        <w:tab/>
        <w:t>(b)</w:t>
      </w:r>
      <w:r w:rsidRPr="00E20EFC">
        <w:tab/>
      </w:r>
      <w:proofErr w:type="gramStart"/>
      <w:r w:rsidR="001453EC" w:rsidRPr="00E20EFC">
        <w:t>a</w:t>
      </w:r>
      <w:proofErr w:type="gramEnd"/>
      <w:r w:rsidR="001453EC" w:rsidRPr="00E20EFC">
        <w:t xml:space="preserve"> </w:t>
      </w:r>
      <w:r w:rsidR="001453EC">
        <w:t>recognised auditing organisation</w:t>
      </w:r>
      <w:r w:rsidRPr="00E20EFC">
        <w:t>;</w:t>
      </w:r>
    </w:p>
    <w:p w:rsidR="00122DBE" w:rsidRDefault="003D53AE" w:rsidP="00A913E3">
      <w:pPr>
        <w:pStyle w:val="paragraph"/>
        <w:spacing w:before="120"/>
      </w:pPr>
      <w:r w:rsidRPr="00E20EFC">
        <w:tab/>
        <w:t>(c)</w:t>
      </w:r>
      <w:r w:rsidRPr="00E20EFC">
        <w:tab/>
      </w:r>
      <w:r w:rsidR="001453EC" w:rsidRPr="00E20EFC">
        <w:t>Health Canada</w:t>
      </w:r>
      <w:r w:rsidR="00122DBE">
        <w:t>;</w:t>
      </w:r>
      <w:r w:rsidR="005110AB" w:rsidRPr="0040112A">
        <w:t xml:space="preserve"> </w:t>
      </w:r>
    </w:p>
    <w:p w:rsidR="006847CD" w:rsidRPr="00E20EFC" w:rsidRDefault="00122DBE" w:rsidP="00A913E3">
      <w:pPr>
        <w:pStyle w:val="paragraph"/>
        <w:spacing w:before="120"/>
      </w:pPr>
      <w:r>
        <w:tab/>
        <w:t>(d)</w:t>
      </w:r>
      <w:r>
        <w:tab/>
      </w:r>
      <w:r w:rsidR="001453EC">
        <w:t>Japan’s</w:t>
      </w:r>
      <w:r w:rsidR="001453EC" w:rsidRPr="00E20EFC">
        <w:t xml:space="preserve"> </w:t>
      </w:r>
      <w:r w:rsidR="001453EC" w:rsidRPr="0040112A">
        <w:t>Ministry of Health, Labour and Welfare</w:t>
      </w:r>
      <w:r w:rsidR="006847CD" w:rsidRPr="00E20EFC">
        <w:t>;</w:t>
      </w:r>
    </w:p>
    <w:p w:rsidR="007F1935" w:rsidRDefault="006847CD" w:rsidP="00A913E3">
      <w:pPr>
        <w:pStyle w:val="paragraph"/>
        <w:spacing w:before="120"/>
      </w:pPr>
      <w:r w:rsidRPr="00E20EFC">
        <w:tab/>
        <w:t>(</w:t>
      </w:r>
      <w:r w:rsidR="00122DBE">
        <w:t>e</w:t>
      </w:r>
      <w:r w:rsidRPr="00E20EFC">
        <w:t>)</w:t>
      </w:r>
      <w:r w:rsidRPr="00E20EFC">
        <w:tab/>
      </w:r>
      <w:proofErr w:type="gramStart"/>
      <w:r w:rsidR="001453EC">
        <w:t>the</w:t>
      </w:r>
      <w:proofErr w:type="gramEnd"/>
      <w:r w:rsidR="001453EC">
        <w:t xml:space="preserve"> Japanese </w:t>
      </w:r>
      <w:r w:rsidR="001453EC" w:rsidRPr="00E20EFC">
        <w:t>Pharmaceutical</w:t>
      </w:r>
      <w:r w:rsidR="001453EC">
        <w:t>s</w:t>
      </w:r>
      <w:r w:rsidR="001453EC" w:rsidRPr="00E20EFC">
        <w:t xml:space="preserve"> and Medical Devices Agency</w:t>
      </w:r>
      <w:r w:rsidR="00EE6C1E">
        <w:t>;</w:t>
      </w:r>
      <w:r w:rsidR="001453EC">
        <w:t xml:space="preserve"> and</w:t>
      </w:r>
    </w:p>
    <w:p w:rsidR="007F1935" w:rsidRDefault="007F1935" w:rsidP="00A913E3">
      <w:pPr>
        <w:pStyle w:val="paragraph"/>
        <w:spacing w:before="120"/>
      </w:pPr>
      <w:r>
        <w:tab/>
        <w:t>(</w:t>
      </w:r>
      <w:r w:rsidR="00122DBE">
        <w:t>f</w:t>
      </w:r>
      <w:r>
        <w:t>)</w:t>
      </w:r>
      <w:r>
        <w:tab/>
      </w:r>
      <w:proofErr w:type="gramStart"/>
      <w:r w:rsidR="001453EC" w:rsidRPr="00E20EFC">
        <w:t>the</w:t>
      </w:r>
      <w:proofErr w:type="gramEnd"/>
      <w:r w:rsidR="001453EC" w:rsidRPr="00E20EFC">
        <w:t xml:space="preserve"> United States Food and Drug Administration</w:t>
      </w:r>
      <w:r>
        <w:t>.</w:t>
      </w:r>
    </w:p>
    <w:p w:rsidR="00554826" w:rsidRPr="00E20EFC" w:rsidRDefault="00554826" w:rsidP="0040112A">
      <w:pPr>
        <w:pStyle w:val="notetext"/>
      </w:pPr>
    </w:p>
    <w:sectPr w:rsidR="00554826" w:rsidRPr="00E20EFC" w:rsidSect="008C2EAC">
      <w:headerReference w:type="even" r:id="rId16"/>
      <w:headerReference w:type="default" r:id="rId17"/>
      <w:footerReference w:type="even" r:id="rId18"/>
      <w:footerReference w:type="default" r:id="rId19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45C" w:rsidRDefault="0003345C" w:rsidP="00715914">
      <w:pPr>
        <w:spacing w:line="240" w:lineRule="auto"/>
      </w:pPr>
      <w:r>
        <w:separator/>
      </w:r>
    </w:p>
  </w:endnote>
  <w:endnote w:type="continuationSeparator" w:id="0">
    <w:p w:rsidR="0003345C" w:rsidRDefault="0003345C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A6484">
            <w:rPr>
              <w:i/>
              <w:noProof/>
              <w:sz w:val="18"/>
            </w:rPr>
            <w:t>Therapeutic Goods (Overseas Regulators)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2147A" w:rsidRDefault="0072147A" w:rsidP="00A369E3">
          <w:pPr>
            <w:jc w:val="right"/>
            <w:rPr>
              <w:sz w:val="18"/>
            </w:rPr>
          </w:pPr>
        </w:p>
      </w:tc>
    </w:tr>
  </w:tbl>
  <w:p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A6484">
            <w:rPr>
              <w:i/>
              <w:noProof/>
              <w:sz w:val="18"/>
            </w:rPr>
            <w:t>Therapeutic Goods (Overseas Regulators)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2147A" w:rsidRDefault="0072147A" w:rsidP="00A369E3">
          <w:pPr>
            <w:rPr>
              <w:sz w:val="18"/>
            </w:rPr>
          </w:pPr>
        </w:p>
      </w:tc>
    </w:tr>
  </w:tbl>
  <w:p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19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7014"/>
      <w:gridCol w:w="1245"/>
    </w:tblGrid>
    <w:tr w:rsidR="008C2EAC" w:rsidTr="00A913E3">
      <w:tc>
        <w:tcPr>
          <w:tcW w:w="342" w:type="pct"/>
        </w:tcPr>
        <w:p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F384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956" w:type="pct"/>
        </w:tcPr>
        <w:p w:rsidR="008C2EAC" w:rsidRDefault="008C2E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F384B">
            <w:rPr>
              <w:i/>
              <w:noProof/>
              <w:sz w:val="18"/>
            </w:rPr>
            <w:t>Therapeutic Goods (Overseas Regulators)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2" w:type="pct"/>
        </w:tcPr>
        <w:p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:rsidTr="00A913E3">
      <w:tc>
        <w:tcPr>
          <w:tcW w:w="5000" w:type="pct"/>
          <w:gridSpan w:val="3"/>
        </w:tcPr>
        <w:p w:rsidR="008C2EAC" w:rsidRDefault="008C2EAC" w:rsidP="00A913E3">
          <w:pPr>
            <w:jc w:val="center"/>
            <w:rPr>
              <w:sz w:val="18"/>
            </w:rPr>
          </w:pPr>
        </w:p>
      </w:tc>
    </w:tr>
  </w:tbl>
  <w:p w:rsidR="008C2EAC" w:rsidRPr="00ED79B6" w:rsidRDefault="008C2EAC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62"/>
      <w:gridCol w:w="6555"/>
      <w:gridCol w:w="612"/>
    </w:tblGrid>
    <w:tr w:rsidR="008C2EAC" w:rsidTr="00A913E3">
      <w:tc>
        <w:tcPr>
          <w:tcW w:w="798" w:type="pct"/>
        </w:tcPr>
        <w:p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843" w:type="pct"/>
        </w:tcPr>
        <w:p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F384B">
            <w:rPr>
              <w:i/>
              <w:noProof/>
              <w:sz w:val="18"/>
            </w:rPr>
            <w:t>Therapeutic Goods (Overseas Regulators)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59" w:type="pct"/>
        </w:tcPr>
        <w:p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F384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:rsidTr="00A913E3">
      <w:tc>
        <w:tcPr>
          <w:tcW w:w="5000" w:type="pct"/>
          <w:gridSpan w:val="3"/>
        </w:tcPr>
        <w:p w:rsidR="008C2EAC" w:rsidRDefault="008C2EAC" w:rsidP="000850AC">
          <w:pPr>
            <w:rPr>
              <w:sz w:val="18"/>
            </w:rPr>
          </w:pPr>
        </w:p>
      </w:tc>
    </w:tr>
  </w:tbl>
  <w:p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45C" w:rsidRDefault="0003345C" w:rsidP="00715914">
      <w:pPr>
        <w:spacing w:line="240" w:lineRule="auto"/>
      </w:pPr>
      <w:r>
        <w:separator/>
      </w:r>
    </w:p>
  </w:footnote>
  <w:footnote w:type="continuationSeparator" w:id="0">
    <w:p w:rsidR="0003345C" w:rsidRDefault="0003345C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6F0" w:rsidRDefault="00AA26F0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307" w:rsidRDefault="004E1307" w:rsidP="00715914">
    <w:pPr>
      <w:rPr>
        <w:sz w:val="20"/>
      </w:rPr>
    </w:pPr>
  </w:p>
  <w:p w:rsidR="004E1307" w:rsidRDefault="004E1307" w:rsidP="00715914">
    <w:pPr>
      <w:rPr>
        <w:sz w:val="20"/>
      </w:rPr>
    </w:pPr>
  </w:p>
  <w:p w:rsidR="004E1307" w:rsidRPr="007A1328" w:rsidRDefault="004E1307" w:rsidP="00715914">
    <w:pPr>
      <w:rPr>
        <w:sz w:val="20"/>
      </w:rPr>
    </w:pPr>
  </w:p>
  <w:p w:rsidR="004E1307" w:rsidRPr="007A1328" w:rsidRDefault="004E1307" w:rsidP="00715914">
    <w:pPr>
      <w:rPr>
        <w:b/>
        <w:sz w:val="24"/>
      </w:rPr>
    </w:pPr>
  </w:p>
  <w:p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sz w:val="20"/>
      </w:rPr>
    </w:pPr>
  </w:p>
  <w:p w:rsidR="004E1307" w:rsidRPr="007A1328" w:rsidRDefault="004E1307" w:rsidP="00715914">
    <w:pPr>
      <w:jc w:val="right"/>
      <w:rPr>
        <w:b/>
        <w:sz w:val="24"/>
      </w:rPr>
    </w:pPr>
  </w:p>
  <w:p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D26215D"/>
    <w:multiLevelType w:val="hybridMultilevel"/>
    <w:tmpl w:val="31F6FDCE"/>
    <w:lvl w:ilvl="0" w:tplc="AA9E1DC6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>
    <w:nsid w:val="3BB24DD0"/>
    <w:multiLevelType w:val="hybridMultilevel"/>
    <w:tmpl w:val="AABEB2D8"/>
    <w:lvl w:ilvl="0" w:tplc="AA9E1DC6">
      <w:start w:val="1"/>
      <w:numFmt w:val="lowerRoman"/>
      <w:lvlText w:val="(%1)"/>
      <w:lvlJc w:val="left"/>
      <w:pPr>
        <w:ind w:left="249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50" w:hanging="360"/>
      </w:pPr>
    </w:lvl>
    <w:lvl w:ilvl="2" w:tplc="0C09001B" w:tentative="1">
      <w:start w:val="1"/>
      <w:numFmt w:val="lowerRoman"/>
      <w:lvlText w:val="%3."/>
      <w:lvlJc w:val="right"/>
      <w:pPr>
        <w:ind w:left="3570" w:hanging="180"/>
      </w:pPr>
    </w:lvl>
    <w:lvl w:ilvl="3" w:tplc="0C09000F" w:tentative="1">
      <w:start w:val="1"/>
      <w:numFmt w:val="decimal"/>
      <w:lvlText w:val="%4."/>
      <w:lvlJc w:val="left"/>
      <w:pPr>
        <w:ind w:left="4290" w:hanging="360"/>
      </w:pPr>
    </w:lvl>
    <w:lvl w:ilvl="4" w:tplc="0C090019" w:tentative="1">
      <w:start w:val="1"/>
      <w:numFmt w:val="lowerLetter"/>
      <w:lvlText w:val="%5."/>
      <w:lvlJc w:val="left"/>
      <w:pPr>
        <w:ind w:left="5010" w:hanging="360"/>
      </w:pPr>
    </w:lvl>
    <w:lvl w:ilvl="5" w:tplc="0C09001B" w:tentative="1">
      <w:start w:val="1"/>
      <w:numFmt w:val="lowerRoman"/>
      <w:lvlText w:val="%6."/>
      <w:lvlJc w:val="right"/>
      <w:pPr>
        <w:ind w:left="5730" w:hanging="180"/>
      </w:pPr>
    </w:lvl>
    <w:lvl w:ilvl="6" w:tplc="0C09000F" w:tentative="1">
      <w:start w:val="1"/>
      <w:numFmt w:val="decimal"/>
      <w:lvlText w:val="%7."/>
      <w:lvlJc w:val="left"/>
      <w:pPr>
        <w:ind w:left="6450" w:hanging="360"/>
      </w:pPr>
    </w:lvl>
    <w:lvl w:ilvl="7" w:tplc="0C090019" w:tentative="1">
      <w:start w:val="1"/>
      <w:numFmt w:val="lowerLetter"/>
      <w:lvlText w:val="%8."/>
      <w:lvlJc w:val="left"/>
      <w:pPr>
        <w:ind w:left="7170" w:hanging="360"/>
      </w:pPr>
    </w:lvl>
    <w:lvl w:ilvl="8" w:tplc="0C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5">
    <w:nsid w:val="5C7F2B3A"/>
    <w:multiLevelType w:val="hybridMultilevel"/>
    <w:tmpl w:val="61DCC9A6"/>
    <w:lvl w:ilvl="0" w:tplc="E55CB9E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62B75B85"/>
    <w:multiLevelType w:val="hybridMultilevel"/>
    <w:tmpl w:val="ACB2DF2A"/>
    <w:lvl w:ilvl="0" w:tplc="B56EBA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441B05"/>
    <w:multiLevelType w:val="multilevel"/>
    <w:tmpl w:val="79A4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7"/>
  </w:num>
  <w:num w:numId="15">
    <w:abstractNumId w:val="16"/>
  </w:num>
  <w:num w:numId="16">
    <w:abstractNumId w:val="14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044ED213-B59D-4AA2-B3E0-FE3C4A441330}"/>
    <w:docVar w:name="dgnword-eventsink" w:val="479383944"/>
  </w:docVars>
  <w:rsids>
    <w:rsidRoot w:val="00B96CF4"/>
    <w:rsid w:val="00004174"/>
    <w:rsid w:val="00004470"/>
    <w:rsid w:val="000136AF"/>
    <w:rsid w:val="000258B1"/>
    <w:rsid w:val="000302D5"/>
    <w:rsid w:val="0003345C"/>
    <w:rsid w:val="00040A89"/>
    <w:rsid w:val="000437C1"/>
    <w:rsid w:val="0004455A"/>
    <w:rsid w:val="0005365D"/>
    <w:rsid w:val="000614BF"/>
    <w:rsid w:val="0006709C"/>
    <w:rsid w:val="00067839"/>
    <w:rsid w:val="00074376"/>
    <w:rsid w:val="00082938"/>
    <w:rsid w:val="000978F5"/>
    <w:rsid w:val="000A5BA3"/>
    <w:rsid w:val="000B15CD"/>
    <w:rsid w:val="000B35EB"/>
    <w:rsid w:val="000B67E0"/>
    <w:rsid w:val="000D05EF"/>
    <w:rsid w:val="000E2261"/>
    <w:rsid w:val="000E32D3"/>
    <w:rsid w:val="000E78B7"/>
    <w:rsid w:val="000F21C1"/>
    <w:rsid w:val="0010745C"/>
    <w:rsid w:val="001109E6"/>
    <w:rsid w:val="0012141E"/>
    <w:rsid w:val="00122DBE"/>
    <w:rsid w:val="00123398"/>
    <w:rsid w:val="00132B8D"/>
    <w:rsid w:val="00132CEB"/>
    <w:rsid w:val="00133730"/>
    <w:rsid w:val="001339B0"/>
    <w:rsid w:val="00134505"/>
    <w:rsid w:val="00142B62"/>
    <w:rsid w:val="001441B7"/>
    <w:rsid w:val="001453EC"/>
    <w:rsid w:val="001516CB"/>
    <w:rsid w:val="00152336"/>
    <w:rsid w:val="001526D6"/>
    <w:rsid w:val="00157B8B"/>
    <w:rsid w:val="00166C2F"/>
    <w:rsid w:val="001809D7"/>
    <w:rsid w:val="00193427"/>
    <w:rsid w:val="001939E1"/>
    <w:rsid w:val="00194C3E"/>
    <w:rsid w:val="00195382"/>
    <w:rsid w:val="001A15DB"/>
    <w:rsid w:val="001A48A3"/>
    <w:rsid w:val="001B2CB6"/>
    <w:rsid w:val="001B51E2"/>
    <w:rsid w:val="001C61C5"/>
    <w:rsid w:val="001C69C4"/>
    <w:rsid w:val="001C78EC"/>
    <w:rsid w:val="001D37EF"/>
    <w:rsid w:val="001E3590"/>
    <w:rsid w:val="001E7407"/>
    <w:rsid w:val="001F5D5E"/>
    <w:rsid w:val="001F6219"/>
    <w:rsid w:val="001F6CD4"/>
    <w:rsid w:val="00206C4D"/>
    <w:rsid w:val="00215AF1"/>
    <w:rsid w:val="00230CF7"/>
    <w:rsid w:val="002321E8"/>
    <w:rsid w:val="00232984"/>
    <w:rsid w:val="0024010F"/>
    <w:rsid w:val="00240749"/>
    <w:rsid w:val="00243018"/>
    <w:rsid w:val="002564A4"/>
    <w:rsid w:val="0026736C"/>
    <w:rsid w:val="00274230"/>
    <w:rsid w:val="002811C6"/>
    <w:rsid w:val="00281308"/>
    <w:rsid w:val="002824D9"/>
    <w:rsid w:val="00284719"/>
    <w:rsid w:val="00290845"/>
    <w:rsid w:val="00292958"/>
    <w:rsid w:val="002965FD"/>
    <w:rsid w:val="00297ECB"/>
    <w:rsid w:val="002A7BCF"/>
    <w:rsid w:val="002B523D"/>
    <w:rsid w:val="002C3FD1"/>
    <w:rsid w:val="002C63D1"/>
    <w:rsid w:val="002D043A"/>
    <w:rsid w:val="002D266B"/>
    <w:rsid w:val="002D6224"/>
    <w:rsid w:val="00304F8B"/>
    <w:rsid w:val="003116D3"/>
    <w:rsid w:val="00331071"/>
    <w:rsid w:val="00335BC6"/>
    <w:rsid w:val="003415D3"/>
    <w:rsid w:val="00344338"/>
    <w:rsid w:val="00344701"/>
    <w:rsid w:val="003521C4"/>
    <w:rsid w:val="00352B0F"/>
    <w:rsid w:val="00353D8B"/>
    <w:rsid w:val="00353FDB"/>
    <w:rsid w:val="00360459"/>
    <w:rsid w:val="003658EA"/>
    <w:rsid w:val="0038049F"/>
    <w:rsid w:val="003A004D"/>
    <w:rsid w:val="003C6231"/>
    <w:rsid w:val="003D0BFE"/>
    <w:rsid w:val="003D53AE"/>
    <w:rsid w:val="003D5700"/>
    <w:rsid w:val="003E341B"/>
    <w:rsid w:val="003E4D00"/>
    <w:rsid w:val="003E64F9"/>
    <w:rsid w:val="0040112A"/>
    <w:rsid w:val="004116CD"/>
    <w:rsid w:val="00417EB9"/>
    <w:rsid w:val="00421AD0"/>
    <w:rsid w:val="00424CA9"/>
    <w:rsid w:val="004276DF"/>
    <w:rsid w:val="00431E9B"/>
    <w:rsid w:val="004354F7"/>
    <w:rsid w:val="004379E3"/>
    <w:rsid w:val="0044015E"/>
    <w:rsid w:val="0044291A"/>
    <w:rsid w:val="0046402B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E063A"/>
    <w:rsid w:val="004E0B1B"/>
    <w:rsid w:val="004E1307"/>
    <w:rsid w:val="004E7BEC"/>
    <w:rsid w:val="00505D3D"/>
    <w:rsid w:val="00506AF6"/>
    <w:rsid w:val="005110AB"/>
    <w:rsid w:val="00513149"/>
    <w:rsid w:val="00513A0A"/>
    <w:rsid w:val="00516B8D"/>
    <w:rsid w:val="005303C8"/>
    <w:rsid w:val="00537FBC"/>
    <w:rsid w:val="00554826"/>
    <w:rsid w:val="00562877"/>
    <w:rsid w:val="005737CD"/>
    <w:rsid w:val="00584811"/>
    <w:rsid w:val="00585784"/>
    <w:rsid w:val="00593AA6"/>
    <w:rsid w:val="00594161"/>
    <w:rsid w:val="00594749"/>
    <w:rsid w:val="005A65D5"/>
    <w:rsid w:val="005B0D0F"/>
    <w:rsid w:val="005B4067"/>
    <w:rsid w:val="005C3F41"/>
    <w:rsid w:val="005D1D92"/>
    <w:rsid w:val="005D2D09"/>
    <w:rsid w:val="00600219"/>
    <w:rsid w:val="00604F2A"/>
    <w:rsid w:val="00606CED"/>
    <w:rsid w:val="00620076"/>
    <w:rsid w:val="00627B58"/>
    <w:rsid w:val="00627E0A"/>
    <w:rsid w:val="006402A3"/>
    <w:rsid w:val="0065488B"/>
    <w:rsid w:val="00670EA1"/>
    <w:rsid w:val="00677CC2"/>
    <w:rsid w:val="006847CD"/>
    <w:rsid w:val="0068744B"/>
    <w:rsid w:val="006905DE"/>
    <w:rsid w:val="0069207B"/>
    <w:rsid w:val="006A154F"/>
    <w:rsid w:val="006A3DDB"/>
    <w:rsid w:val="006A437B"/>
    <w:rsid w:val="006B5789"/>
    <w:rsid w:val="006C30C5"/>
    <w:rsid w:val="006C7F8C"/>
    <w:rsid w:val="006E1DEB"/>
    <w:rsid w:val="006E2E1C"/>
    <w:rsid w:val="006E4B1A"/>
    <w:rsid w:val="006E6246"/>
    <w:rsid w:val="006E69C2"/>
    <w:rsid w:val="006E6DCC"/>
    <w:rsid w:val="006F318F"/>
    <w:rsid w:val="0070017E"/>
    <w:rsid w:val="00700B2C"/>
    <w:rsid w:val="00702FA7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44BE1"/>
    <w:rsid w:val="007500C8"/>
    <w:rsid w:val="00756272"/>
    <w:rsid w:val="00757BC4"/>
    <w:rsid w:val="00762D38"/>
    <w:rsid w:val="007715C9"/>
    <w:rsid w:val="00771613"/>
    <w:rsid w:val="00774EDD"/>
    <w:rsid w:val="007757EC"/>
    <w:rsid w:val="00783E89"/>
    <w:rsid w:val="00793915"/>
    <w:rsid w:val="007B667F"/>
    <w:rsid w:val="007C2253"/>
    <w:rsid w:val="007D7911"/>
    <w:rsid w:val="007E163D"/>
    <w:rsid w:val="007E667A"/>
    <w:rsid w:val="007F1935"/>
    <w:rsid w:val="007F28C9"/>
    <w:rsid w:val="007F384B"/>
    <w:rsid w:val="007F51B2"/>
    <w:rsid w:val="008040DD"/>
    <w:rsid w:val="008117E9"/>
    <w:rsid w:val="00824498"/>
    <w:rsid w:val="00826BD1"/>
    <w:rsid w:val="008335B8"/>
    <w:rsid w:val="00834F7D"/>
    <w:rsid w:val="00854D0B"/>
    <w:rsid w:val="008567B8"/>
    <w:rsid w:val="00856A31"/>
    <w:rsid w:val="00860B4E"/>
    <w:rsid w:val="008648A5"/>
    <w:rsid w:val="00867B37"/>
    <w:rsid w:val="008754D0"/>
    <w:rsid w:val="00875D13"/>
    <w:rsid w:val="008855C9"/>
    <w:rsid w:val="00886456"/>
    <w:rsid w:val="00896176"/>
    <w:rsid w:val="00897225"/>
    <w:rsid w:val="008A46E1"/>
    <w:rsid w:val="008A4F43"/>
    <w:rsid w:val="008B2706"/>
    <w:rsid w:val="008C2EAC"/>
    <w:rsid w:val="008D0EE0"/>
    <w:rsid w:val="008E0027"/>
    <w:rsid w:val="008E2A28"/>
    <w:rsid w:val="008E6067"/>
    <w:rsid w:val="008F54E7"/>
    <w:rsid w:val="00903422"/>
    <w:rsid w:val="0092124D"/>
    <w:rsid w:val="009254C3"/>
    <w:rsid w:val="00926F1B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C3413"/>
    <w:rsid w:val="00A0441E"/>
    <w:rsid w:val="00A12128"/>
    <w:rsid w:val="00A22C98"/>
    <w:rsid w:val="00A231E2"/>
    <w:rsid w:val="00A3693D"/>
    <w:rsid w:val="00A369E3"/>
    <w:rsid w:val="00A57600"/>
    <w:rsid w:val="00A64912"/>
    <w:rsid w:val="00A70A74"/>
    <w:rsid w:val="00A74C5B"/>
    <w:rsid w:val="00A75FE9"/>
    <w:rsid w:val="00A913E3"/>
    <w:rsid w:val="00AA26F0"/>
    <w:rsid w:val="00AD53CC"/>
    <w:rsid w:val="00AD5641"/>
    <w:rsid w:val="00AF06CF"/>
    <w:rsid w:val="00AF2A6C"/>
    <w:rsid w:val="00AF4C7E"/>
    <w:rsid w:val="00B07CDB"/>
    <w:rsid w:val="00B15305"/>
    <w:rsid w:val="00B16A31"/>
    <w:rsid w:val="00B17DFD"/>
    <w:rsid w:val="00B2272A"/>
    <w:rsid w:val="00B25306"/>
    <w:rsid w:val="00B27831"/>
    <w:rsid w:val="00B308FE"/>
    <w:rsid w:val="00B33709"/>
    <w:rsid w:val="00B33B3C"/>
    <w:rsid w:val="00B36392"/>
    <w:rsid w:val="00B37148"/>
    <w:rsid w:val="00B418CB"/>
    <w:rsid w:val="00B47444"/>
    <w:rsid w:val="00B50ADC"/>
    <w:rsid w:val="00B566B1"/>
    <w:rsid w:val="00B63834"/>
    <w:rsid w:val="00B80199"/>
    <w:rsid w:val="00B83204"/>
    <w:rsid w:val="00B84168"/>
    <w:rsid w:val="00B856E7"/>
    <w:rsid w:val="00B96CF4"/>
    <w:rsid w:val="00BA220B"/>
    <w:rsid w:val="00BA3A57"/>
    <w:rsid w:val="00BA6484"/>
    <w:rsid w:val="00BB1533"/>
    <w:rsid w:val="00BB4E1A"/>
    <w:rsid w:val="00BC015E"/>
    <w:rsid w:val="00BC76AC"/>
    <w:rsid w:val="00BD0ECB"/>
    <w:rsid w:val="00BD4F34"/>
    <w:rsid w:val="00BE2155"/>
    <w:rsid w:val="00BE52CB"/>
    <w:rsid w:val="00BE719A"/>
    <w:rsid w:val="00BE720A"/>
    <w:rsid w:val="00BF0D73"/>
    <w:rsid w:val="00BF2465"/>
    <w:rsid w:val="00BF2EB8"/>
    <w:rsid w:val="00C0575A"/>
    <w:rsid w:val="00C16022"/>
    <w:rsid w:val="00C16619"/>
    <w:rsid w:val="00C25E7F"/>
    <w:rsid w:val="00C2746F"/>
    <w:rsid w:val="00C323D6"/>
    <w:rsid w:val="00C324A0"/>
    <w:rsid w:val="00C42BF8"/>
    <w:rsid w:val="00C43007"/>
    <w:rsid w:val="00C50043"/>
    <w:rsid w:val="00C7573B"/>
    <w:rsid w:val="00C91FAF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21673"/>
    <w:rsid w:val="00D31668"/>
    <w:rsid w:val="00D52DC2"/>
    <w:rsid w:val="00D53BCC"/>
    <w:rsid w:val="00D54C9E"/>
    <w:rsid w:val="00D56344"/>
    <w:rsid w:val="00D6537E"/>
    <w:rsid w:val="00D70DFB"/>
    <w:rsid w:val="00D73948"/>
    <w:rsid w:val="00D766DF"/>
    <w:rsid w:val="00D8129C"/>
    <w:rsid w:val="00D8206C"/>
    <w:rsid w:val="00D91F10"/>
    <w:rsid w:val="00DA186E"/>
    <w:rsid w:val="00DA1A98"/>
    <w:rsid w:val="00DA4116"/>
    <w:rsid w:val="00DB251C"/>
    <w:rsid w:val="00DB4630"/>
    <w:rsid w:val="00DC4F88"/>
    <w:rsid w:val="00DE107C"/>
    <w:rsid w:val="00DF2388"/>
    <w:rsid w:val="00DF2E9A"/>
    <w:rsid w:val="00DF7865"/>
    <w:rsid w:val="00E05704"/>
    <w:rsid w:val="00E0794B"/>
    <w:rsid w:val="00E20EFC"/>
    <w:rsid w:val="00E338EF"/>
    <w:rsid w:val="00E544BB"/>
    <w:rsid w:val="00E74DC7"/>
    <w:rsid w:val="00E75F67"/>
    <w:rsid w:val="00E8075A"/>
    <w:rsid w:val="00E940D8"/>
    <w:rsid w:val="00E94D5E"/>
    <w:rsid w:val="00EA7100"/>
    <w:rsid w:val="00EA7F9F"/>
    <w:rsid w:val="00EB1274"/>
    <w:rsid w:val="00EC0D7F"/>
    <w:rsid w:val="00ED2BB6"/>
    <w:rsid w:val="00ED34E1"/>
    <w:rsid w:val="00ED3B8D"/>
    <w:rsid w:val="00EE5E36"/>
    <w:rsid w:val="00EE6C1E"/>
    <w:rsid w:val="00EF2E3A"/>
    <w:rsid w:val="00EF528D"/>
    <w:rsid w:val="00F02C7C"/>
    <w:rsid w:val="00F0547C"/>
    <w:rsid w:val="00F072A7"/>
    <w:rsid w:val="00F078DC"/>
    <w:rsid w:val="00F1674B"/>
    <w:rsid w:val="00F32BA8"/>
    <w:rsid w:val="00F32EE0"/>
    <w:rsid w:val="00F349F1"/>
    <w:rsid w:val="00F4350D"/>
    <w:rsid w:val="00F479C4"/>
    <w:rsid w:val="00F567F7"/>
    <w:rsid w:val="00F63BA0"/>
    <w:rsid w:val="00F6696E"/>
    <w:rsid w:val="00F73BD6"/>
    <w:rsid w:val="00F83989"/>
    <w:rsid w:val="00F85099"/>
    <w:rsid w:val="00F9379C"/>
    <w:rsid w:val="00F9632C"/>
    <w:rsid w:val="00FA1E52"/>
    <w:rsid w:val="00FB2482"/>
    <w:rsid w:val="00FB5A08"/>
    <w:rsid w:val="00FC6A80"/>
    <w:rsid w:val="00FD1CF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t1">
    <w:name w:val="st1"/>
    <w:basedOn w:val="DefaultParagraphFont"/>
    <w:rsid w:val="0040112A"/>
  </w:style>
  <w:style w:type="character" w:styleId="Hyperlink">
    <w:name w:val="Hyperlink"/>
    <w:basedOn w:val="DefaultParagraphFont"/>
    <w:uiPriority w:val="99"/>
    <w:semiHidden/>
    <w:unhideWhenUsed/>
    <w:rsid w:val="0040112A"/>
    <w:rPr>
      <w:strike w:val="0"/>
      <w:dstrike w:val="0"/>
      <w:color w:val="347C98"/>
      <w:u w:val="singl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079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94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94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94B"/>
    <w:rPr>
      <w:b/>
      <w:bCs/>
    </w:rPr>
  </w:style>
  <w:style w:type="paragraph" w:customStyle="1" w:styleId="Default">
    <w:name w:val="Default"/>
    <w:rsid w:val="002B523D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t1">
    <w:name w:val="st1"/>
    <w:basedOn w:val="DefaultParagraphFont"/>
    <w:rsid w:val="0040112A"/>
  </w:style>
  <w:style w:type="character" w:styleId="Hyperlink">
    <w:name w:val="Hyperlink"/>
    <w:basedOn w:val="DefaultParagraphFont"/>
    <w:uiPriority w:val="99"/>
    <w:semiHidden/>
    <w:unhideWhenUsed/>
    <w:rsid w:val="0040112A"/>
    <w:rPr>
      <w:strike w:val="0"/>
      <w:dstrike w:val="0"/>
      <w:color w:val="347C98"/>
      <w:u w:val="singl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079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94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94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94B"/>
    <w:rPr>
      <w:b/>
      <w:bCs/>
    </w:rPr>
  </w:style>
  <w:style w:type="paragraph" w:customStyle="1" w:styleId="Default">
    <w:name w:val="Default"/>
    <w:rsid w:val="002B523D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8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62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2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795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5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6AE3F-279F-45ED-A018-19E6590C8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Therapeutic Goods Administration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SANT, Chris</dc:creator>
  <cp:lastModifiedBy>CARTER, Bless</cp:lastModifiedBy>
  <cp:revision>2</cp:revision>
  <cp:lastPrinted>2018-09-10T04:12:00Z</cp:lastPrinted>
  <dcterms:created xsi:type="dcterms:W3CDTF">2018-09-10T06:20:00Z</dcterms:created>
  <dcterms:modified xsi:type="dcterms:W3CDTF">2018-09-10T06:20:00Z</dcterms:modified>
</cp:coreProperties>
</file>