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A39C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E9A5CF" wp14:editId="728AEF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A609" w14:textId="77777777" w:rsidR="00715914" w:rsidRPr="00E500D4" w:rsidRDefault="00715914" w:rsidP="00715914">
      <w:pPr>
        <w:rPr>
          <w:sz w:val="19"/>
        </w:rPr>
      </w:pPr>
    </w:p>
    <w:p w14:paraId="5FBC89F3" w14:textId="350C9479" w:rsidR="00554826" w:rsidRPr="00DB5243" w:rsidRDefault="000E7044" w:rsidP="00554826">
      <w:pPr>
        <w:pStyle w:val="ShortT"/>
      </w:pPr>
      <w:r w:rsidRPr="00DB5243">
        <w:t>Parliamentary Business Resources</w:t>
      </w:r>
      <w:r w:rsidR="00554826" w:rsidRPr="00DB5243">
        <w:t xml:space="preserve"> (</w:t>
      </w:r>
      <w:r w:rsidRPr="00DB5243">
        <w:t>Preferred Providers</w:t>
      </w:r>
      <w:r w:rsidR="00554826" w:rsidRPr="00DB5243">
        <w:t xml:space="preserve">) </w:t>
      </w:r>
      <w:r w:rsidRPr="00DB5243">
        <w:t>Determination 2017</w:t>
      </w:r>
    </w:p>
    <w:p w14:paraId="5F051195" w14:textId="4350ABF9" w:rsidR="00554826" w:rsidRPr="00DB5243" w:rsidRDefault="00554826" w:rsidP="00554826">
      <w:pPr>
        <w:pStyle w:val="SignCoverPageStart"/>
        <w:spacing w:before="240"/>
        <w:ind w:right="91"/>
        <w:rPr>
          <w:szCs w:val="22"/>
        </w:rPr>
      </w:pPr>
      <w:r w:rsidRPr="00DB5243">
        <w:rPr>
          <w:szCs w:val="22"/>
        </w:rPr>
        <w:t xml:space="preserve">I, </w:t>
      </w:r>
      <w:r w:rsidR="004D77D3">
        <w:rPr>
          <w:szCs w:val="22"/>
        </w:rPr>
        <w:t xml:space="preserve">Mathias </w:t>
      </w:r>
      <w:proofErr w:type="spellStart"/>
      <w:r w:rsidR="004D77D3">
        <w:rPr>
          <w:szCs w:val="22"/>
        </w:rPr>
        <w:t>Cormann</w:t>
      </w:r>
      <w:proofErr w:type="spellEnd"/>
      <w:r w:rsidRPr="00DB5243">
        <w:rPr>
          <w:szCs w:val="22"/>
        </w:rPr>
        <w:t xml:space="preserve">, </w:t>
      </w:r>
      <w:r w:rsidR="004D77D3">
        <w:rPr>
          <w:szCs w:val="22"/>
        </w:rPr>
        <w:t>Minister for Finance</w:t>
      </w:r>
      <w:r w:rsidRPr="00DB5243">
        <w:rPr>
          <w:szCs w:val="22"/>
        </w:rPr>
        <w:t xml:space="preserve">, make the following </w:t>
      </w:r>
      <w:r w:rsidR="00130DE8" w:rsidRPr="00DB5243">
        <w:rPr>
          <w:szCs w:val="22"/>
        </w:rPr>
        <w:t>d</w:t>
      </w:r>
      <w:r w:rsidR="000E7044" w:rsidRPr="00DB5243">
        <w:rPr>
          <w:szCs w:val="22"/>
        </w:rPr>
        <w:t>etermination</w:t>
      </w:r>
      <w:r w:rsidRPr="00DB5243">
        <w:rPr>
          <w:szCs w:val="22"/>
        </w:rPr>
        <w:t>.</w:t>
      </w:r>
    </w:p>
    <w:p w14:paraId="608066F4" w14:textId="67946378" w:rsidR="00554826" w:rsidRPr="00DB5243" w:rsidRDefault="00C610E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  <w:t>14</w:t>
      </w:r>
      <w:r w:rsidRPr="00C610E6">
        <w:rPr>
          <w:szCs w:val="22"/>
          <w:vertAlign w:val="superscript"/>
        </w:rPr>
        <w:t>th</w:t>
      </w:r>
      <w:r>
        <w:rPr>
          <w:szCs w:val="22"/>
        </w:rPr>
        <w:t xml:space="preserve"> December 2017</w:t>
      </w:r>
      <w:bookmarkStart w:id="0" w:name="_GoBack"/>
      <w:bookmarkEnd w:id="0"/>
    </w:p>
    <w:p w14:paraId="38FA9913" w14:textId="13BB198F" w:rsidR="00554826" w:rsidRDefault="00E4597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Mathias </w:t>
      </w:r>
      <w:proofErr w:type="spellStart"/>
      <w:r>
        <w:rPr>
          <w:szCs w:val="22"/>
        </w:rPr>
        <w:t>Cormann</w:t>
      </w:r>
      <w:proofErr w:type="spellEnd"/>
    </w:p>
    <w:p w14:paraId="00CF401A" w14:textId="6C8755C1" w:rsidR="00554826" w:rsidRPr="008E0027" w:rsidRDefault="00E45973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Finance</w:t>
      </w:r>
    </w:p>
    <w:p w14:paraId="29DAE2E3" w14:textId="77777777" w:rsidR="00554826" w:rsidRDefault="00554826" w:rsidP="00554826"/>
    <w:p w14:paraId="4D3EF635" w14:textId="77777777" w:rsidR="00554826" w:rsidRPr="00ED79B6" w:rsidRDefault="00554826" w:rsidP="00554826"/>
    <w:p w14:paraId="03782922" w14:textId="77777777" w:rsidR="00F6696E" w:rsidRDefault="00F6696E" w:rsidP="00F6696E"/>
    <w:p w14:paraId="33CEBF4A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D8D4DB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AF82AE2" w14:textId="6A25540D" w:rsidR="00A01004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964">
        <w:fldChar w:fldCharType="begin"/>
      </w:r>
      <w:r w:rsidRPr="003B1964">
        <w:instrText xml:space="preserve"> TOC \o "1-9" </w:instrText>
      </w:r>
      <w:r w:rsidRPr="003B1964">
        <w:fldChar w:fldCharType="separate"/>
      </w:r>
      <w:r w:rsidR="00A01004">
        <w:rPr>
          <w:noProof/>
        </w:rPr>
        <w:t>1  Name</w:t>
      </w:r>
      <w:r w:rsidR="00A01004">
        <w:rPr>
          <w:noProof/>
        </w:rPr>
        <w:tab/>
      </w:r>
      <w:r w:rsidR="00A01004">
        <w:rPr>
          <w:noProof/>
        </w:rPr>
        <w:fldChar w:fldCharType="begin"/>
      </w:r>
      <w:r w:rsidR="00A01004">
        <w:rPr>
          <w:noProof/>
        </w:rPr>
        <w:instrText xml:space="preserve"> PAGEREF _Toc500498887 \h </w:instrText>
      </w:r>
      <w:r w:rsidR="00A01004">
        <w:rPr>
          <w:noProof/>
        </w:rPr>
      </w:r>
      <w:r w:rsidR="00A01004">
        <w:rPr>
          <w:noProof/>
        </w:rPr>
        <w:fldChar w:fldCharType="separate"/>
      </w:r>
      <w:r w:rsidR="00A01004">
        <w:rPr>
          <w:noProof/>
        </w:rPr>
        <w:t>1</w:t>
      </w:r>
      <w:r w:rsidR="00A01004">
        <w:rPr>
          <w:noProof/>
        </w:rPr>
        <w:fldChar w:fldCharType="end"/>
      </w:r>
    </w:p>
    <w:p w14:paraId="4D9210A5" w14:textId="1414A033" w:rsidR="00A01004" w:rsidRDefault="00A01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_Toc500498888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955D2F" w14:textId="24B560F2" w:rsidR="00A01004" w:rsidRDefault="00A01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_Toc500498889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24CCB6" w14:textId="7D1D6832" w:rsidR="00A01004" w:rsidRDefault="00A01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_Toc500498890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CE26AC" w14:textId="79482E8F" w:rsidR="00A01004" w:rsidRDefault="00A01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Preferred providers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_Toc500498891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B260426" w14:textId="1AC0D930" w:rsidR="00F6696E" w:rsidRDefault="00B418CB" w:rsidP="00F6696E">
      <w:pPr>
        <w:outlineLvl w:val="0"/>
      </w:pPr>
      <w:r w:rsidRPr="003B1964">
        <w:fldChar w:fldCharType="end"/>
      </w:r>
    </w:p>
    <w:p w14:paraId="6C79FF57" w14:textId="77777777" w:rsidR="00F6696E" w:rsidRPr="00A802BC" w:rsidRDefault="00F6696E" w:rsidP="00F6696E">
      <w:pPr>
        <w:outlineLvl w:val="0"/>
        <w:rPr>
          <w:sz w:val="20"/>
        </w:rPr>
      </w:pPr>
    </w:p>
    <w:p w14:paraId="1F45AF22" w14:textId="77777777" w:rsidR="00F6696E" w:rsidRDefault="00F6696E" w:rsidP="00F6696E">
      <w:pPr>
        <w:sectPr w:rsidR="00F6696E" w:rsidSect="00CB2F0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5C6F03" w14:textId="77777777" w:rsidR="00554826" w:rsidRPr="00DB5243" w:rsidRDefault="00554826" w:rsidP="00554826">
      <w:pPr>
        <w:pStyle w:val="ActHead5"/>
      </w:pPr>
      <w:bookmarkStart w:id="1" w:name="_Toc500498887"/>
      <w:proofErr w:type="gramStart"/>
      <w:r w:rsidRPr="00DB5243">
        <w:lastRenderedPageBreak/>
        <w:t>1  Name</w:t>
      </w:r>
      <w:bookmarkEnd w:id="1"/>
      <w:proofErr w:type="gramEnd"/>
    </w:p>
    <w:p w14:paraId="281BA0C1" w14:textId="22F9596D" w:rsidR="00554826" w:rsidRPr="00DB5243" w:rsidRDefault="00237936" w:rsidP="00E73C9D">
      <w:pPr>
        <w:pStyle w:val="subsection"/>
        <w:ind w:left="720" w:firstLine="0"/>
      </w:pPr>
      <w:r>
        <w:tab/>
      </w:r>
      <w:r w:rsidR="00554826" w:rsidRPr="00DB5243">
        <w:t xml:space="preserve">This </w:t>
      </w:r>
      <w:r w:rsidR="00030746">
        <w:t>determination</w:t>
      </w:r>
      <w:r w:rsidR="00030746" w:rsidRPr="00DB5243">
        <w:t xml:space="preserve"> </w:t>
      </w:r>
      <w:r w:rsidR="00554826" w:rsidRPr="00DB5243">
        <w:t xml:space="preserve">is the </w:t>
      </w:r>
      <w:bookmarkStart w:id="2" w:name="BKCheck15B_3"/>
      <w:bookmarkEnd w:id="2"/>
      <w:r w:rsidR="00CB1A1C" w:rsidRPr="00DB5243">
        <w:rPr>
          <w:i/>
        </w:rPr>
        <w:t>Parliamentary Business Resources (Preferred Providers) Determination 2017</w:t>
      </w:r>
      <w:r w:rsidR="00CB1A1C" w:rsidRPr="00DB5243">
        <w:t>.</w:t>
      </w:r>
    </w:p>
    <w:p w14:paraId="46F2DDB6" w14:textId="77777777" w:rsidR="00554826" w:rsidRPr="00DB5243" w:rsidRDefault="00554826" w:rsidP="00554826">
      <w:pPr>
        <w:pStyle w:val="ActHead5"/>
      </w:pPr>
      <w:bookmarkStart w:id="3" w:name="_Toc500498888"/>
      <w:proofErr w:type="gramStart"/>
      <w:r w:rsidRPr="00DB5243">
        <w:t>2  Commencement</w:t>
      </w:r>
      <w:bookmarkEnd w:id="3"/>
      <w:proofErr w:type="gramEnd"/>
    </w:p>
    <w:p w14:paraId="6E306189" w14:textId="66D1D470" w:rsidR="00554826" w:rsidRPr="00DB5243" w:rsidRDefault="00237936" w:rsidP="00E73C9D">
      <w:pPr>
        <w:pStyle w:val="subsection"/>
        <w:ind w:left="720" w:firstLine="0"/>
      </w:pPr>
      <w:r>
        <w:tab/>
      </w:r>
      <w:r w:rsidR="00554826" w:rsidRPr="00DB5243">
        <w:t xml:space="preserve">This </w:t>
      </w:r>
      <w:r w:rsidR="00030746">
        <w:t>determination</w:t>
      </w:r>
      <w:r w:rsidR="00030746" w:rsidRPr="00DB5243">
        <w:t xml:space="preserve"> </w:t>
      </w:r>
      <w:r w:rsidR="00554826" w:rsidRPr="00DB5243">
        <w:t>commences</w:t>
      </w:r>
      <w:r w:rsidR="00130DE8" w:rsidRPr="00DB5243">
        <w:t xml:space="preserve"> at the same time as the </w:t>
      </w:r>
      <w:r w:rsidR="00130DE8" w:rsidRPr="00DB5243">
        <w:rPr>
          <w:i/>
        </w:rPr>
        <w:t>Parliamentary Business Resources Regulations 2017</w:t>
      </w:r>
      <w:r w:rsidR="00130DE8" w:rsidRPr="00DB5243">
        <w:t>.</w:t>
      </w:r>
    </w:p>
    <w:p w14:paraId="511ABD7A" w14:textId="0485EE4D" w:rsidR="00554826" w:rsidRPr="00DB5243" w:rsidRDefault="00554826" w:rsidP="00554826">
      <w:pPr>
        <w:pStyle w:val="ActHead5"/>
      </w:pPr>
      <w:bookmarkStart w:id="4" w:name="_Toc500498889"/>
      <w:proofErr w:type="gramStart"/>
      <w:r w:rsidRPr="00DB5243">
        <w:t>3  Authority</w:t>
      </w:r>
      <w:bookmarkEnd w:id="4"/>
      <w:proofErr w:type="gramEnd"/>
    </w:p>
    <w:p w14:paraId="09E3E324" w14:textId="1EF1AFB9" w:rsidR="00554826" w:rsidRPr="00DB5243" w:rsidRDefault="00237936" w:rsidP="00E73C9D">
      <w:pPr>
        <w:pStyle w:val="subsection"/>
        <w:ind w:left="720" w:firstLine="0"/>
      </w:pPr>
      <w:r>
        <w:tab/>
      </w:r>
      <w:r w:rsidR="00554826" w:rsidRPr="00DB5243">
        <w:t xml:space="preserve">This </w:t>
      </w:r>
      <w:r w:rsidR="00030746">
        <w:t>determination</w:t>
      </w:r>
      <w:r w:rsidR="00030746" w:rsidRPr="00DB5243">
        <w:t xml:space="preserve"> </w:t>
      </w:r>
      <w:r w:rsidR="00554826" w:rsidRPr="00DB5243">
        <w:t xml:space="preserve">is made under </w:t>
      </w:r>
      <w:r w:rsidR="00130DE8" w:rsidRPr="00DB5243">
        <w:t xml:space="preserve">section </w:t>
      </w:r>
      <w:r w:rsidR="00CB2F05">
        <w:t>100</w:t>
      </w:r>
      <w:r w:rsidR="00CB2F05" w:rsidRPr="00DB5243">
        <w:t xml:space="preserve"> </w:t>
      </w:r>
      <w:r w:rsidR="00130DE8" w:rsidRPr="00DB5243">
        <w:t xml:space="preserve">of the </w:t>
      </w:r>
      <w:r w:rsidR="00130DE8" w:rsidRPr="00DB5243">
        <w:rPr>
          <w:i/>
        </w:rPr>
        <w:t>Parliamentary Business Resources Regulations 2017</w:t>
      </w:r>
      <w:r w:rsidR="00130DE8" w:rsidRPr="00DB5243">
        <w:t>.</w:t>
      </w:r>
    </w:p>
    <w:p w14:paraId="068D8C30" w14:textId="77777777" w:rsidR="00554826" w:rsidRPr="00554826" w:rsidRDefault="00554826" w:rsidP="00554826">
      <w:pPr>
        <w:pStyle w:val="ActHead5"/>
      </w:pPr>
      <w:bookmarkStart w:id="5" w:name="_Toc500498890"/>
      <w:proofErr w:type="gramStart"/>
      <w:r w:rsidRPr="00DB5243">
        <w:t>4  Definitions</w:t>
      </w:r>
      <w:bookmarkEnd w:id="5"/>
      <w:proofErr w:type="gramEnd"/>
    </w:p>
    <w:p w14:paraId="7F47B213" w14:textId="1F193B71" w:rsidR="00554826" w:rsidRPr="009C2562" w:rsidRDefault="00554826" w:rsidP="00E73C9D">
      <w:pPr>
        <w:pStyle w:val="notetext"/>
        <w:ind w:left="1571"/>
      </w:pPr>
      <w:r w:rsidRPr="009C2562">
        <w:t>Note:</w:t>
      </w:r>
      <w:r w:rsidRPr="009C2562">
        <w:tab/>
        <w:t xml:space="preserve">A number of expressions used in this </w:t>
      </w:r>
      <w:r w:rsidR="00030746">
        <w:t>determination</w:t>
      </w:r>
      <w:r w:rsidR="00030746" w:rsidRPr="009C2562">
        <w:t xml:space="preserve"> </w:t>
      </w:r>
      <w:r w:rsidRPr="009C2562">
        <w:t xml:space="preserve">are defined in </w:t>
      </w:r>
      <w:r>
        <w:t>the Act</w:t>
      </w:r>
      <w:r w:rsidRPr="009C2562">
        <w:t>,</w:t>
      </w:r>
      <w:r w:rsidR="004E53B9">
        <w:t xml:space="preserve"> or the Regulations,</w:t>
      </w:r>
      <w:r w:rsidRPr="009C2562">
        <w:t xml:space="preserve"> including the following:</w:t>
      </w:r>
    </w:p>
    <w:p w14:paraId="7C877C48" w14:textId="4284790E" w:rsidR="00554826" w:rsidRPr="009C2562" w:rsidRDefault="00554826" w:rsidP="00E73C9D">
      <w:pPr>
        <w:pStyle w:val="notepara"/>
        <w:ind w:left="1940"/>
      </w:pPr>
      <w:r w:rsidRPr="009C2562">
        <w:t>(a)</w:t>
      </w:r>
      <w:r w:rsidRPr="009C2562">
        <w:tab/>
      </w:r>
      <w:r w:rsidR="004E53B9">
        <w:t>Administrator</w:t>
      </w:r>
      <w:r w:rsidR="003B1964">
        <w:t>;</w:t>
      </w:r>
    </w:p>
    <w:p w14:paraId="1365AACA" w14:textId="25C56B46" w:rsidR="005E1649" w:rsidRDefault="005E1649" w:rsidP="00E73C9D">
      <w:pPr>
        <w:pStyle w:val="notepara"/>
        <w:ind w:left="1940"/>
      </w:pPr>
      <w:r w:rsidRPr="009C2562">
        <w:t>(b)</w:t>
      </w:r>
      <w:r w:rsidRPr="009C2562">
        <w:tab/>
      </w:r>
      <w:proofErr w:type="gramStart"/>
      <w:r>
        <w:t>member</w:t>
      </w:r>
      <w:proofErr w:type="gramEnd"/>
      <w:r>
        <w:t>;</w:t>
      </w:r>
      <w:r w:rsidR="005D7B9D">
        <w:t xml:space="preserve"> and</w:t>
      </w:r>
    </w:p>
    <w:p w14:paraId="0D802CDF" w14:textId="415027C2" w:rsidR="005E1649" w:rsidRDefault="005E1649" w:rsidP="00E73C9D">
      <w:pPr>
        <w:pStyle w:val="notepara"/>
        <w:ind w:left="1940"/>
      </w:pPr>
      <w:r>
        <w:t>(c</w:t>
      </w:r>
      <w:r w:rsidRPr="009C2562">
        <w:t>)</w:t>
      </w:r>
      <w:r w:rsidRPr="009C2562">
        <w:tab/>
      </w:r>
      <w:proofErr w:type="gramStart"/>
      <w:r>
        <w:t>scheduled</w:t>
      </w:r>
      <w:proofErr w:type="gramEnd"/>
      <w:r>
        <w:t xml:space="preserve"> commercial transport</w:t>
      </w:r>
      <w:r w:rsidR="005D7B9D">
        <w:t>.</w:t>
      </w:r>
    </w:p>
    <w:p w14:paraId="74B7E03F" w14:textId="6C86E3C9" w:rsidR="00554826" w:rsidRPr="009C2562" w:rsidRDefault="00554826" w:rsidP="00E73C9D">
      <w:pPr>
        <w:pStyle w:val="notepara"/>
        <w:ind w:left="1940"/>
      </w:pPr>
    </w:p>
    <w:p w14:paraId="4D22C819" w14:textId="696298B2" w:rsidR="00554826" w:rsidRPr="009C2562" w:rsidRDefault="00554826" w:rsidP="00E73C9D">
      <w:pPr>
        <w:pStyle w:val="subsection"/>
        <w:ind w:left="720"/>
      </w:pPr>
      <w:r w:rsidRPr="009C2562">
        <w:tab/>
      </w:r>
      <w:r w:rsidRPr="009C2562">
        <w:tab/>
        <w:t xml:space="preserve">In this </w:t>
      </w:r>
      <w:r w:rsidR="00030746">
        <w:t>determination</w:t>
      </w:r>
      <w:r w:rsidRPr="009C2562">
        <w:t>:</w:t>
      </w:r>
    </w:p>
    <w:p w14:paraId="61821C70" w14:textId="2F924BDD" w:rsidR="004E53B9" w:rsidRPr="004E53B9" w:rsidRDefault="00554826" w:rsidP="00E73C9D">
      <w:pPr>
        <w:pStyle w:val="Definition"/>
        <w:ind w:left="720"/>
      </w:pPr>
      <w:r w:rsidRPr="009C2562">
        <w:rPr>
          <w:b/>
          <w:i/>
        </w:rPr>
        <w:t>Act</w:t>
      </w:r>
      <w:r w:rsidRPr="009C2562">
        <w:t xml:space="preserve"> means the </w:t>
      </w:r>
      <w:r w:rsidR="00237DCF">
        <w:rPr>
          <w:i/>
        </w:rPr>
        <w:t>Parliamentary Business Resources Act 2017</w:t>
      </w:r>
      <w:r>
        <w:t>.</w:t>
      </w:r>
    </w:p>
    <w:p w14:paraId="5CB2EFEC" w14:textId="36F148C9" w:rsidR="00554826" w:rsidRDefault="00237DCF" w:rsidP="00E73C9D">
      <w:pPr>
        <w:pStyle w:val="Definition"/>
        <w:ind w:left="720"/>
      </w:pPr>
      <w:r w:rsidRPr="003764C1">
        <w:rPr>
          <w:b/>
          <w:i/>
        </w:rPr>
        <w:t>Regulations</w:t>
      </w:r>
      <w:r w:rsidR="00554826" w:rsidRPr="003764C1">
        <w:rPr>
          <w:b/>
          <w:i/>
        </w:rPr>
        <w:t xml:space="preserve"> </w:t>
      </w:r>
      <w:r w:rsidR="00554826" w:rsidRPr="003764C1">
        <w:t>means</w:t>
      </w:r>
      <w:r w:rsidR="00554826">
        <w:t xml:space="preserve"> </w:t>
      </w:r>
      <w:r>
        <w:t xml:space="preserve">the </w:t>
      </w:r>
      <w:r>
        <w:rPr>
          <w:i/>
        </w:rPr>
        <w:t>Parliamentary Business Resources Regulations 2017</w:t>
      </w:r>
      <w:r w:rsidR="00554826">
        <w:t>.</w:t>
      </w:r>
    </w:p>
    <w:p w14:paraId="09BB53DE" w14:textId="0634268B" w:rsidR="00554826" w:rsidRPr="005E1649" w:rsidRDefault="00A01004" w:rsidP="00554826">
      <w:pPr>
        <w:pStyle w:val="ActHead5"/>
      </w:pPr>
      <w:bookmarkStart w:id="6" w:name="_Toc500498891"/>
      <w:proofErr w:type="gramStart"/>
      <w:r>
        <w:t>5</w:t>
      </w:r>
      <w:r w:rsidRPr="005E1649">
        <w:t xml:space="preserve">  </w:t>
      </w:r>
      <w:r w:rsidR="00DB5243" w:rsidRPr="005E1649">
        <w:t>Preferred</w:t>
      </w:r>
      <w:proofErr w:type="gramEnd"/>
      <w:r w:rsidR="00DB5243" w:rsidRPr="005E1649">
        <w:t xml:space="preserve"> providers</w:t>
      </w:r>
      <w:bookmarkEnd w:id="6"/>
    </w:p>
    <w:p w14:paraId="60DA9E9F" w14:textId="7E4348F2" w:rsidR="00552E50" w:rsidRPr="005E1649" w:rsidRDefault="00DB5243" w:rsidP="005E1649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5E1649">
        <w:t xml:space="preserve">For the purposes of subsection </w:t>
      </w:r>
      <w:r w:rsidR="00CB2F05">
        <w:t>100</w:t>
      </w:r>
      <w:r w:rsidRPr="005E1649">
        <w:t xml:space="preserve">(1) of the Regulations, the </w:t>
      </w:r>
      <w:r w:rsidR="00552E50" w:rsidRPr="005E1649">
        <w:t>p</w:t>
      </w:r>
      <w:r w:rsidRPr="005E1649">
        <w:t xml:space="preserve">roviders specified in column 2 of the table are prescribed </w:t>
      </w:r>
      <w:r w:rsidR="004E53B9" w:rsidRPr="005E1649">
        <w:t xml:space="preserve">for </w:t>
      </w:r>
      <w:r w:rsidR="0078706F">
        <w:t>providing or arranging for the provision of</w:t>
      </w:r>
      <w:r w:rsidR="008B17C9">
        <w:t xml:space="preserve"> (as the case may be)</w:t>
      </w:r>
      <w:r w:rsidR="0078706F">
        <w:t xml:space="preserve"> the </w:t>
      </w:r>
      <w:r w:rsidRPr="005E1649">
        <w:t xml:space="preserve">public resources specified in column 1 of the table. </w:t>
      </w:r>
    </w:p>
    <w:p w14:paraId="6F8691F2" w14:textId="77777777" w:rsidR="00552E50" w:rsidRDefault="00552E50" w:rsidP="00552E50">
      <w:pPr>
        <w:pStyle w:val="subsection"/>
        <w:ind w:left="1140" w:firstLine="0"/>
        <w:rPr>
          <w:highlight w:val="yellow"/>
        </w:rPr>
      </w:pP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4334"/>
      </w:tblGrid>
      <w:tr w:rsidR="00552E50" w:rsidRPr="00552E50" w14:paraId="76DF1008" w14:textId="77777777" w:rsidTr="008F1136">
        <w:tc>
          <w:tcPr>
            <w:tcW w:w="8308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6BD8CA8A" w14:textId="73F5EA68" w:rsidR="00552E50" w:rsidRPr="00552E50" w:rsidRDefault="00552E50" w:rsidP="00552E50">
            <w:pPr>
              <w:pStyle w:val="subsection"/>
              <w:ind w:left="0" w:firstLine="0"/>
              <w:rPr>
                <w:b/>
              </w:rPr>
            </w:pPr>
            <w:r w:rsidRPr="00552E50">
              <w:rPr>
                <w:b/>
              </w:rPr>
              <w:t>Preferred providers</w:t>
            </w:r>
          </w:p>
        </w:tc>
      </w:tr>
      <w:tr w:rsidR="00552E50" w:rsidRPr="00552E50" w14:paraId="4D45C63B" w14:textId="77777777" w:rsidTr="008F1136"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</w:tcPr>
          <w:p w14:paraId="66770581" w14:textId="4869D74F" w:rsidR="00552E50" w:rsidRPr="00552E50" w:rsidRDefault="00552E50" w:rsidP="00552E50">
            <w:pPr>
              <w:pStyle w:val="subsection"/>
              <w:ind w:left="0" w:firstLine="0"/>
              <w:rPr>
                <w:b/>
              </w:rPr>
            </w:pPr>
            <w:r w:rsidRPr="00552E50">
              <w:rPr>
                <w:b/>
              </w:rPr>
              <w:t>Column 1</w:t>
            </w:r>
          </w:p>
        </w:tc>
        <w:tc>
          <w:tcPr>
            <w:tcW w:w="4334" w:type="dxa"/>
            <w:tcBorders>
              <w:top w:val="single" w:sz="2" w:space="0" w:color="auto"/>
              <w:bottom w:val="single" w:sz="12" w:space="0" w:color="auto"/>
            </w:tcBorders>
          </w:tcPr>
          <w:p w14:paraId="7F1B16C7" w14:textId="4F9339E0" w:rsidR="00552E50" w:rsidRPr="00552E50" w:rsidRDefault="00552E50" w:rsidP="00552E50">
            <w:pPr>
              <w:pStyle w:val="subsection"/>
              <w:ind w:left="0" w:firstLine="0"/>
              <w:rPr>
                <w:b/>
              </w:rPr>
            </w:pPr>
            <w:r w:rsidRPr="00552E50">
              <w:rPr>
                <w:b/>
              </w:rPr>
              <w:t>Column 2</w:t>
            </w:r>
          </w:p>
        </w:tc>
      </w:tr>
      <w:tr w:rsidR="00552E50" w:rsidRPr="00552E50" w14:paraId="48D06E15" w14:textId="77777777" w:rsidTr="004E53B9"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08D29BAE" w14:textId="4010FE92" w:rsidR="00552E50" w:rsidRPr="00552E50" w:rsidRDefault="00336E93" w:rsidP="008B17C9">
            <w:pPr>
              <w:pStyle w:val="subsection"/>
              <w:numPr>
                <w:ilvl w:val="0"/>
                <w:numId w:val="16"/>
              </w:numPr>
            </w:pPr>
            <w:r>
              <w:t xml:space="preserve">Arranging for the provision of </w:t>
            </w:r>
            <w:r w:rsidR="008B17C9">
              <w:t xml:space="preserve">air transport that is </w:t>
            </w:r>
            <w:r>
              <w:t>s</w:t>
            </w:r>
            <w:r w:rsidR="00CB218E">
              <w:t xml:space="preserve">cheduled commercial transport </w:t>
            </w:r>
            <w:r>
              <w:t xml:space="preserve">prescribed </w:t>
            </w:r>
            <w:r w:rsidR="00CB218E">
              <w:t>under Division 1</w:t>
            </w:r>
            <w:r w:rsidR="007263CD">
              <w:t>, 2</w:t>
            </w:r>
            <w:r w:rsidR="00CB218E">
              <w:t xml:space="preserve"> or </w:t>
            </w:r>
            <w:r w:rsidR="007263CD">
              <w:t>4</w:t>
            </w:r>
            <w:r w:rsidR="005E1649">
              <w:t>,</w:t>
            </w:r>
            <w:r w:rsidR="00CB218E">
              <w:t xml:space="preserve"> of Part 2 of the Regulations</w:t>
            </w:r>
            <w:r w:rsidR="005E1649">
              <w:t>.</w:t>
            </w:r>
          </w:p>
        </w:tc>
        <w:tc>
          <w:tcPr>
            <w:tcW w:w="4334" w:type="dxa"/>
            <w:tcBorders>
              <w:top w:val="single" w:sz="12" w:space="0" w:color="auto"/>
              <w:bottom w:val="single" w:sz="4" w:space="0" w:color="auto"/>
            </w:tcBorders>
          </w:tcPr>
          <w:p w14:paraId="12AB1850" w14:textId="3F92E3D3" w:rsidR="00552E50" w:rsidRPr="00552E50" w:rsidRDefault="00354516" w:rsidP="00494442">
            <w:pPr>
              <w:pStyle w:val="subsection"/>
              <w:ind w:left="0" w:firstLine="0"/>
            </w:pPr>
            <w:r>
              <w:t xml:space="preserve">The service provider contracted by the Commonwealth of Australia to </w:t>
            </w:r>
            <w:r w:rsidR="004E53B9">
              <w:t xml:space="preserve">arrange </w:t>
            </w:r>
            <w:r w:rsidR="008B17C9">
              <w:t xml:space="preserve">air transport for the purposes of the Commonwealth paying the travel expenses of members </w:t>
            </w:r>
            <w:r w:rsidR="004E53B9">
              <w:t>trave</w:t>
            </w:r>
            <w:r w:rsidR="00A01004">
              <w:t>l</w:t>
            </w:r>
            <w:r w:rsidR="004E53B9">
              <w:t>l</w:t>
            </w:r>
            <w:r w:rsidR="008B17C9">
              <w:t>ing</w:t>
            </w:r>
            <w:r w:rsidR="004E53B9">
              <w:t xml:space="preserve"> </w:t>
            </w:r>
            <w:r w:rsidR="008B17C9">
              <w:t>in accordance with</w:t>
            </w:r>
            <w:r w:rsidR="004E53B9">
              <w:t xml:space="preserve"> Division 1</w:t>
            </w:r>
            <w:r w:rsidR="00494442">
              <w:t xml:space="preserve">, </w:t>
            </w:r>
            <w:r w:rsidR="004E53B9">
              <w:t xml:space="preserve">2 </w:t>
            </w:r>
            <w:r w:rsidR="00494442">
              <w:t xml:space="preserve">or 4, </w:t>
            </w:r>
            <w:r w:rsidR="004E53B9">
              <w:t>of Part 2 of the Regulations.</w:t>
            </w:r>
          </w:p>
        </w:tc>
      </w:tr>
      <w:tr w:rsidR="004E53B9" w:rsidRPr="00552E50" w14:paraId="41405AD0" w14:textId="77777777" w:rsidTr="00CB2F05"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</w:tcPr>
          <w:p w14:paraId="35AD221A" w14:textId="5B7118EE" w:rsidR="004E53B9" w:rsidRPr="00552E50" w:rsidRDefault="00336E93" w:rsidP="00FD17B0">
            <w:pPr>
              <w:pStyle w:val="subsection"/>
              <w:numPr>
                <w:ilvl w:val="0"/>
                <w:numId w:val="16"/>
              </w:numPr>
              <w:rPr>
                <w:b/>
              </w:rPr>
            </w:pPr>
            <w:r>
              <w:lastRenderedPageBreak/>
              <w:t>Provision of c</w:t>
            </w:r>
            <w:r w:rsidR="004E53B9">
              <w:t>onstituent management software prescribed under paragraph 6</w:t>
            </w:r>
            <w:r w:rsidR="00FD17B0">
              <w:t>6</w:t>
            </w:r>
            <w:r w:rsidR="004E53B9">
              <w:t>(1</w:t>
            </w:r>
            <w:proofErr w:type="gramStart"/>
            <w:r w:rsidR="004E53B9">
              <w:t>)(</w:t>
            </w:r>
            <w:proofErr w:type="gramEnd"/>
            <w:r w:rsidR="004E53B9">
              <w:t>l) of the Regulations, for a member of the Government or the Opposition.</w:t>
            </w:r>
          </w:p>
        </w:tc>
        <w:tc>
          <w:tcPr>
            <w:tcW w:w="4334" w:type="dxa"/>
            <w:tcBorders>
              <w:top w:val="single" w:sz="2" w:space="0" w:color="auto"/>
              <w:bottom w:val="single" w:sz="12" w:space="0" w:color="auto"/>
            </w:tcBorders>
          </w:tcPr>
          <w:p w14:paraId="4E021730" w14:textId="11E7055C" w:rsidR="004E53B9" w:rsidRPr="004E53B9" w:rsidRDefault="00FF2AB9" w:rsidP="0020448A">
            <w:pPr>
              <w:pStyle w:val="subsection"/>
              <w:ind w:left="0" w:firstLine="0"/>
            </w:pPr>
            <w:r>
              <w:t>The</w:t>
            </w:r>
            <w:r w:rsidR="00D67116">
              <w:t xml:space="preserve"> s</w:t>
            </w:r>
            <w:r w:rsidR="00635B7F">
              <w:t>ervice provider</w:t>
            </w:r>
            <w:r w:rsidR="00D67116">
              <w:t xml:space="preserve"> nominated</w:t>
            </w:r>
            <w:r>
              <w:t xml:space="preserve"> by </w:t>
            </w:r>
            <w:r w:rsidR="008B17C9">
              <w:t>t</w:t>
            </w:r>
            <w:r w:rsidR="00686199">
              <w:t>he member’s</w:t>
            </w:r>
            <w:r w:rsidR="008B17C9">
              <w:t xml:space="preserve"> party</w:t>
            </w:r>
            <w:r w:rsidR="00170456">
              <w:t xml:space="preserve"> </w:t>
            </w:r>
            <w:r w:rsidR="00D67116">
              <w:t>to</w:t>
            </w:r>
            <w:r w:rsidR="00686199">
              <w:t xml:space="preserve">, </w:t>
            </w:r>
            <w:r w:rsidR="00686199" w:rsidRPr="0020448A">
              <w:t>and approved by,</w:t>
            </w:r>
            <w:r w:rsidR="00D67116">
              <w:t xml:space="preserve"> the </w:t>
            </w:r>
            <w:r w:rsidR="00CE5710">
              <w:t>Special Minister of State</w:t>
            </w:r>
            <w:r w:rsidR="00D67116">
              <w:t>.</w:t>
            </w:r>
          </w:p>
        </w:tc>
      </w:tr>
    </w:tbl>
    <w:p w14:paraId="1DB60FC9" w14:textId="48CBED80" w:rsidR="00552E50" w:rsidRPr="00552E50" w:rsidRDefault="00552E50" w:rsidP="00552E50">
      <w:pPr>
        <w:shd w:val="clear" w:color="auto" w:fill="FFFFFF"/>
        <w:spacing w:before="100" w:beforeAutospacing="1" w:after="100" w:afterAutospacing="1" w:line="240" w:lineRule="auto"/>
        <w:ind w:left="1440" w:hanging="720"/>
        <w:rPr>
          <w:rFonts w:eastAsia="Times New Roman" w:cs="Times New Roman"/>
          <w:sz w:val="19"/>
          <w:szCs w:val="19"/>
          <w:lang w:val="en-US" w:eastAsia="en-AU"/>
        </w:rPr>
      </w:pPr>
      <w:r>
        <w:rPr>
          <w:rFonts w:eastAsia="Times New Roman" w:cs="Times New Roman"/>
          <w:sz w:val="19"/>
          <w:szCs w:val="19"/>
          <w:lang w:eastAsia="en-AU"/>
        </w:rPr>
        <w:t>Note:</w:t>
      </w:r>
      <w:r>
        <w:rPr>
          <w:rFonts w:eastAsia="Times New Roman" w:cs="Times New Roman"/>
          <w:sz w:val="19"/>
          <w:szCs w:val="19"/>
          <w:lang w:eastAsia="en-AU"/>
        </w:rPr>
        <w:tab/>
      </w:r>
      <w:r w:rsidR="00C96CCC">
        <w:rPr>
          <w:rFonts w:eastAsia="Times New Roman" w:cs="Times New Roman"/>
          <w:sz w:val="19"/>
          <w:szCs w:val="19"/>
          <w:lang w:eastAsia="en-AU"/>
        </w:rPr>
        <w:t>W</w:t>
      </w:r>
      <w:r w:rsidR="004E53B9">
        <w:rPr>
          <w:rFonts w:eastAsia="Times New Roman" w:cs="Times New Roman"/>
          <w:sz w:val="19"/>
          <w:szCs w:val="19"/>
          <w:lang w:eastAsia="en-AU"/>
        </w:rPr>
        <w:t xml:space="preserve">here a member accesses resources </w:t>
      </w:r>
      <w:r w:rsidR="00686199">
        <w:rPr>
          <w:rFonts w:eastAsia="Times New Roman" w:cs="Times New Roman"/>
          <w:sz w:val="19"/>
          <w:szCs w:val="19"/>
          <w:lang w:eastAsia="en-AU"/>
        </w:rPr>
        <w:t xml:space="preserve">as described in </w:t>
      </w:r>
      <w:r w:rsidR="004E53B9">
        <w:rPr>
          <w:rFonts w:eastAsia="Times New Roman" w:cs="Times New Roman"/>
          <w:sz w:val="19"/>
          <w:szCs w:val="19"/>
          <w:lang w:eastAsia="en-AU"/>
        </w:rPr>
        <w:t xml:space="preserve">column 1, but does not use the provider listed in column 2, the Commonwealth will not be liable </w:t>
      </w:r>
      <w:r w:rsidR="00686199">
        <w:rPr>
          <w:rFonts w:eastAsia="Times New Roman" w:cs="Times New Roman"/>
          <w:sz w:val="19"/>
          <w:szCs w:val="19"/>
          <w:lang w:eastAsia="en-AU"/>
        </w:rPr>
        <w:t xml:space="preserve">to pay </w:t>
      </w:r>
      <w:r w:rsidR="004E53B9">
        <w:rPr>
          <w:rFonts w:eastAsia="Times New Roman" w:cs="Times New Roman"/>
          <w:sz w:val="19"/>
          <w:szCs w:val="19"/>
          <w:lang w:eastAsia="en-AU"/>
        </w:rPr>
        <w:t>the costs incurred by the member</w:t>
      </w:r>
      <w:r w:rsidR="003764C1">
        <w:rPr>
          <w:rFonts w:eastAsia="Times New Roman" w:cs="Times New Roman"/>
          <w:sz w:val="19"/>
          <w:szCs w:val="19"/>
          <w:lang w:eastAsia="en-AU"/>
        </w:rPr>
        <w:t xml:space="preserve"> for those resources</w:t>
      </w:r>
      <w:r w:rsidR="004E53B9">
        <w:rPr>
          <w:rFonts w:eastAsia="Times New Roman" w:cs="Times New Roman"/>
          <w:sz w:val="19"/>
          <w:szCs w:val="19"/>
          <w:lang w:eastAsia="en-AU"/>
        </w:rPr>
        <w:t>, unless the Administrator considers it appropriate to do so in the circumstances</w:t>
      </w:r>
      <w:r w:rsidR="00C96CCC">
        <w:rPr>
          <w:rFonts w:eastAsia="Times New Roman" w:cs="Times New Roman"/>
          <w:sz w:val="19"/>
          <w:szCs w:val="19"/>
          <w:lang w:eastAsia="en-AU"/>
        </w:rPr>
        <w:t xml:space="preserve"> (see subsection </w:t>
      </w:r>
      <w:r w:rsidR="00FD17B0">
        <w:rPr>
          <w:rFonts w:eastAsia="Times New Roman" w:cs="Times New Roman"/>
          <w:sz w:val="19"/>
          <w:szCs w:val="19"/>
          <w:lang w:eastAsia="en-AU"/>
        </w:rPr>
        <w:t>100</w:t>
      </w:r>
      <w:r w:rsidR="00C96CCC">
        <w:rPr>
          <w:rFonts w:eastAsia="Times New Roman" w:cs="Times New Roman"/>
          <w:sz w:val="19"/>
          <w:szCs w:val="19"/>
          <w:lang w:eastAsia="en-AU"/>
        </w:rPr>
        <w:t>(2) of the Regulations).</w:t>
      </w:r>
      <w:r w:rsidR="005E1649">
        <w:rPr>
          <w:rFonts w:eastAsia="Times New Roman" w:cs="Times New Roman"/>
          <w:sz w:val="19"/>
          <w:szCs w:val="19"/>
          <w:lang w:eastAsia="en-AU"/>
        </w:rPr>
        <w:t xml:space="preserve"> </w:t>
      </w:r>
    </w:p>
    <w:p w14:paraId="73357580" w14:textId="5C4780FA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6837" w14:textId="77777777" w:rsidR="00CB2F05" w:rsidRDefault="00CB2F05" w:rsidP="00715914">
      <w:pPr>
        <w:spacing w:line="240" w:lineRule="auto"/>
      </w:pPr>
      <w:r>
        <w:separator/>
      </w:r>
    </w:p>
  </w:endnote>
  <w:endnote w:type="continuationSeparator" w:id="0">
    <w:p w14:paraId="2D7BD6CB" w14:textId="77777777" w:rsidR="00CB2F05" w:rsidRDefault="00CB2F0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FDE8" w14:textId="77777777" w:rsidR="00CB2F05" w:rsidRPr="00E33C1C" w:rsidRDefault="00CB2F0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2F05" w14:paraId="273DC1F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0DAD1B" w14:textId="77777777" w:rsidR="00CB2F05" w:rsidRDefault="00CB2F0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B6E083" w14:textId="77777777" w:rsidR="00CB2F05" w:rsidRPr="004E1307" w:rsidRDefault="00CB2F0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CFFD85" w14:textId="77777777" w:rsidR="00CB2F05" w:rsidRDefault="00CB2F0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CB2F05" w14:paraId="2383D4C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46003D" w14:textId="77777777" w:rsidR="00CB2F05" w:rsidRDefault="00CB2F05" w:rsidP="00A369E3">
          <w:pPr>
            <w:jc w:val="right"/>
            <w:rPr>
              <w:sz w:val="18"/>
            </w:rPr>
          </w:pPr>
        </w:p>
      </w:tc>
    </w:tr>
  </w:tbl>
  <w:p w14:paraId="13871ECE" w14:textId="77777777" w:rsidR="00CB2F05" w:rsidRPr="00ED79B6" w:rsidRDefault="00CB2F0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E214" w14:textId="77777777" w:rsidR="00CB2F05" w:rsidRPr="00E33C1C" w:rsidRDefault="00CB2F0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2F05" w14:paraId="3B787FB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B9F7C0" w14:textId="77777777" w:rsidR="00CB2F05" w:rsidRDefault="00CB2F0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625C76" w14:textId="77777777" w:rsidR="00CB2F05" w:rsidRDefault="00CB2F0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82014B" w14:textId="77777777" w:rsidR="00CB2F05" w:rsidRDefault="00CB2F0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B2F05" w14:paraId="44280D3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C7CD9F" w14:textId="77777777" w:rsidR="00CB2F05" w:rsidRDefault="00CB2F05" w:rsidP="00A369E3">
          <w:pPr>
            <w:rPr>
              <w:sz w:val="18"/>
            </w:rPr>
          </w:pPr>
        </w:p>
      </w:tc>
    </w:tr>
  </w:tbl>
  <w:p w14:paraId="4F8F3F75" w14:textId="77777777" w:rsidR="00CB2F05" w:rsidRPr="00ED79B6" w:rsidRDefault="00CB2F0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17DF" w14:textId="77777777" w:rsidR="00CB2F05" w:rsidRPr="00E33C1C" w:rsidRDefault="00CB2F0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CB2F05" w14:paraId="6662E11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E69656" w14:textId="77777777" w:rsidR="00CB2F05" w:rsidRDefault="00CB2F0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22304A" w14:textId="77777777" w:rsidR="00CB2F05" w:rsidRDefault="00CB2F0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A378ED" w14:textId="77777777" w:rsidR="00CB2F05" w:rsidRDefault="00CB2F0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A62ADCF" w14:textId="77777777" w:rsidR="00CB2F05" w:rsidRPr="00ED79B6" w:rsidRDefault="00CB2F0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78D7" w14:textId="77777777" w:rsidR="00CB2F05" w:rsidRPr="002B0EA5" w:rsidRDefault="00CB2F05" w:rsidP="00CB2F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B2F05" w14:paraId="589796E9" w14:textId="77777777" w:rsidTr="00CB2F05">
      <w:tc>
        <w:tcPr>
          <w:tcW w:w="365" w:type="pct"/>
        </w:tcPr>
        <w:p w14:paraId="35BEA78C" w14:textId="77777777" w:rsidR="00CB2F05" w:rsidRDefault="00CB2F05" w:rsidP="00CB2F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E2E7EB9" w14:textId="77777777" w:rsidR="00CB2F05" w:rsidRDefault="00CB2F05" w:rsidP="00CB2F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C06962" w14:textId="77777777" w:rsidR="00CB2F05" w:rsidRDefault="00CB2F05" w:rsidP="00CB2F05">
          <w:pPr>
            <w:spacing w:line="0" w:lineRule="atLeast"/>
            <w:jc w:val="right"/>
            <w:rPr>
              <w:sz w:val="18"/>
            </w:rPr>
          </w:pPr>
        </w:p>
      </w:tc>
    </w:tr>
    <w:tr w:rsidR="00CB2F05" w14:paraId="79A70EED" w14:textId="77777777" w:rsidTr="00CB2F05">
      <w:tc>
        <w:tcPr>
          <w:tcW w:w="5000" w:type="pct"/>
          <w:gridSpan w:val="3"/>
        </w:tcPr>
        <w:p w14:paraId="4A855F55" w14:textId="77777777" w:rsidR="00CB2F05" w:rsidRDefault="00CB2F05" w:rsidP="00CB2F05">
          <w:pPr>
            <w:jc w:val="right"/>
            <w:rPr>
              <w:sz w:val="18"/>
            </w:rPr>
          </w:pPr>
        </w:p>
      </w:tc>
    </w:tr>
  </w:tbl>
  <w:p w14:paraId="18F48C24" w14:textId="77777777" w:rsidR="00CB2F05" w:rsidRPr="00ED79B6" w:rsidRDefault="00CB2F05" w:rsidP="00CB2F0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1EBD" w14:textId="77777777" w:rsidR="00CB2F05" w:rsidRPr="002B0EA5" w:rsidRDefault="00CB2F05" w:rsidP="00CB2F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B2F05" w14:paraId="1828F2CB" w14:textId="77777777" w:rsidTr="00CB2F05">
      <w:tc>
        <w:tcPr>
          <w:tcW w:w="947" w:type="pct"/>
        </w:tcPr>
        <w:p w14:paraId="222D04B7" w14:textId="77777777" w:rsidR="00CB2F05" w:rsidRDefault="00CB2F05" w:rsidP="00CB2F0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41AA1F8" w14:textId="0B4878A3" w:rsidR="00CB2F05" w:rsidRDefault="00CB2F05" w:rsidP="00CB2F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610E6">
            <w:rPr>
              <w:i/>
              <w:noProof/>
              <w:sz w:val="18"/>
            </w:rPr>
            <w:t>Parliamentary Business Resources (Preferred Providers)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CC4777D" w14:textId="61045766" w:rsidR="00CB2F05" w:rsidRDefault="00CB2F05" w:rsidP="00CB2F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0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B2F05" w14:paraId="242BFEB9" w14:textId="77777777" w:rsidTr="00CB2F05">
      <w:tc>
        <w:tcPr>
          <w:tcW w:w="5000" w:type="pct"/>
          <w:gridSpan w:val="3"/>
        </w:tcPr>
        <w:p w14:paraId="75F71D4D" w14:textId="77777777" w:rsidR="00CB2F05" w:rsidRDefault="00CB2F05" w:rsidP="00CB2F05">
          <w:pPr>
            <w:rPr>
              <w:sz w:val="18"/>
            </w:rPr>
          </w:pPr>
        </w:p>
      </w:tc>
    </w:tr>
  </w:tbl>
  <w:p w14:paraId="46D7BA7A" w14:textId="77777777" w:rsidR="00CB2F05" w:rsidRPr="00ED79B6" w:rsidRDefault="00CB2F05" w:rsidP="00CB2F0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10CF" w14:textId="77777777" w:rsidR="00CB2F05" w:rsidRPr="002B0EA5" w:rsidRDefault="00CB2F05" w:rsidP="00CB2F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B2F05" w14:paraId="2D25A6A2" w14:textId="77777777" w:rsidTr="00CB2F05">
      <w:tc>
        <w:tcPr>
          <w:tcW w:w="365" w:type="pct"/>
        </w:tcPr>
        <w:p w14:paraId="18A2BACE" w14:textId="71BFAA30" w:rsidR="00CB2F05" w:rsidRDefault="00CB2F05" w:rsidP="00CB2F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0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E53000" w14:textId="15F0B5A4" w:rsidR="00CB2F05" w:rsidRDefault="00CB2F05" w:rsidP="00CB2F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610E6">
            <w:rPr>
              <w:i/>
              <w:noProof/>
              <w:sz w:val="18"/>
            </w:rPr>
            <w:t>Parliamentary Business Resources (Preferred Providers)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46F4E8F" w14:textId="77777777" w:rsidR="00CB2F05" w:rsidRDefault="00CB2F05" w:rsidP="00CB2F05">
          <w:pPr>
            <w:spacing w:line="0" w:lineRule="atLeast"/>
            <w:jc w:val="right"/>
            <w:rPr>
              <w:sz w:val="18"/>
            </w:rPr>
          </w:pPr>
        </w:p>
      </w:tc>
    </w:tr>
    <w:tr w:rsidR="00CB2F05" w14:paraId="0E066194" w14:textId="77777777" w:rsidTr="00CB2F05">
      <w:tc>
        <w:tcPr>
          <w:tcW w:w="5000" w:type="pct"/>
          <w:gridSpan w:val="3"/>
        </w:tcPr>
        <w:p w14:paraId="187650CC" w14:textId="77777777" w:rsidR="00CB2F05" w:rsidRDefault="00CB2F05" w:rsidP="00CB2F05">
          <w:pPr>
            <w:jc w:val="right"/>
            <w:rPr>
              <w:sz w:val="18"/>
            </w:rPr>
          </w:pPr>
        </w:p>
      </w:tc>
    </w:tr>
  </w:tbl>
  <w:p w14:paraId="25DA1879" w14:textId="77777777" w:rsidR="00CB2F05" w:rsidRPr="00ED79B6" w:rsidRDefault="00CB2F05" w:rsidP="00CB2F0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37F9" w14:textId="77777777" w:rsidR="00CB2F05" w:rsidRPr="002B0EA5" w:rsidRDefault="00CB2F05" w:rsidP="00CB2F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B2F05" w14:paraId="2FAA9069" w14:textId="77777777" w:rsidTr="00CB2F05">
      <w:tc>
        <w:tcPr>
          <w:tcW w:w="947" w:type="pct"/>
        </w:tcPr>
        <w:p w14:paraId="52362333" w14:textId="77777777" w:rsidR="00CB2F05" w:rsidRDefault="00CB2F05" w:rsidP="00CB2F0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1F129E8" w14:textId="5AE754C2" w:rsidR="00CB2F05" w:rsidRDefault="00CB2F05" w:rsidP="00CB2F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610E6">
            <w:rPr>
              <w:i/>
              <w:noProof/>
              <w:sz w:val="18"/>
            </w:rPr>
            <w:t>Parliamentary Business Resources (Preferred Providers)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BE15C9C" w14:textId="0BC08E65" w:rsidR="00CB2F05" w:rsidRDefault="00CB2F05" w:rsidP="00CB2F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0E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B2F05" w14:paraId="7ACB7347" w14:textId="77777777" w:rsidTr="00CB2F05">
      <w:tc>
        <w:tcPr>
          <w:tcW w:w="5000" w:type="pct"/>
          <w:gridSpan w:val="3"/>
        </w:tcPr>
        <w:p w14:paraId="3D72DE6B" w14:textId="77777777" w:rsidR="00CB2F05" w:rsidRDefault="00CB2F05" w:rsidP="00CB2F05">
          <w:pPr>
            <w:rPr>
              <w:sz w:val="18"/>
            </w:rPr>
          </w:pPr>
        </w:p>
      </w:tc>
    </w:tr>
  </w:tbl>
  <w:p w14:paraId="6A1264C6" w14:textId="77777777" w:rsidR="00CB2F05" w:rsidRPr="00ED79B6" w:rsidRDefault="00CB2F05" w:rsidP="00CB2F0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5964" w14:textId="77777777" w:rsidR="00CB2F05" w:rsidRDefault="00CB2F05" w:rsidP="00715914">
      <w:pPr>
        <w:spacing w:line="240" w:lineRule="auto"/>
      </w:pPr>
      <w:r>
        <w:separator/>
      </w:r>
    </w:p>
  </w:footnote>
  <w:footnote w:type="continuationSeparator" w:id="0">
    <w:p w14:paraId="1586FA26" w14:textId="77777777" w:rsidR="00CB2F05" w:rsidRDefault="00CB2F0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2DB4B" w14:textId="77777777" w:rsidR="00CB2F05" w:rsidRPr="005F1388" w:rsidRDefault="00CB2F0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9C89" w14:textId="77777777" w:rsidR="00CB2F05" w:rsidRPr="005F1388" w:rsidRDefault="00CB2F0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070FF" w14:textId="77777777" w:rsidR="00CB2F05" w:rsidRPr="00ED79B6" w:rsidRDefault="00CB2F05" w:rsidP="00CB2F05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A618" w14:textId="77777777" w:rsidR="00CB2F05" w:rsidRPr="00ED79B6" w:rsidRDefault="00CB2F05" w:rsidP="00CB2F0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70FE8" w14:textId="77777777" w:rsidR="00CB2F05" w:rsidRPr="00ED79B6" w:rsidRDefault="00CB2F05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916F3" w14:textId="77777777" w:rsidR="00CB2F05" w:rsidRDefault="00CB2F05" w:rsidP="00715914">
    <w:pPr>
      <w:rPr>
        <w:sz w:val="20"/>
      </w:rPr>
    </w:pPr>
  </w:p>
  <w:p w14:paraId="25C2134A" w14:textId="77777777" w:rsidR="00CB2F05" w:rsidRDefault="00CB2F05" w:rsidP="00715914">
    <w:pPr>
      <w:rPr>
        <w:sz w:val="20"/>
      </w:rPr>
    </w:pPr>
  </w:p>
  <w:p w14:paraId="216ABB67" w14:textId="77777777" w:rsidR="00CB2F05" w:rsidRPr="007A1328" w:rsidRDefault="00CB2F05" w:rsidP="00715914">
    <w:pPr>
      <w:rPr>
        <w:sz w:val="20"/>
      </w:rPr>
    </w:pPr>
  </w:p>
  <w:p w14:paraId="16A416C4" w14:textId="77777777" w:rsidR="00CB2F05" w:rsidRPr="007A1328" w:rsidRDefault="00CB2F05" w:rsidP="00715914">
    <w:pPr>
      <w:rPr>
        <w:b/>
        <w:sz w:val="24"/>
      </w:rPr>
    </w:pPr>
  </w:p>
  <w:p w14:paraId="300A2775" w14:textId="77777777" w:rsidR="00CB2F05" w:rsidRPr="007A1328" w:rsidRDefault="00CB2F0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DA41" w14:textId="77777777" w:rsidR="00CB2F05" w:rsidRPr="007A1328" w:rsidRDefault="00CB2F05" w:rsidP="00715914">
    <w:pPr>
      <w:jc w:val="right"/>
      <w:rPr>
        <w:sz w:val="20"/>
      </w:rPr>
    </w:pPr>
  </w:p>
  <w:p w14:paraId="7570BCA3" w14:textId="77777777" w:rsidR="00CB2F05" w:rsidRPr="007A1328" w:rsidRDefault="00CB2F05" w:rsidP="00715914">
    <w:pPr>
      <w:jc w:val="right"/>
      <w:rPr>
        <w:sz w:val="20"/>
      </w:rPr>
    </w:pPr>
  </w:p>
  <w:p w14:paraId="0101AEEE" w14:textId="77777777" w:rsidR="00CB2F05" w:rsidRPr="007A1328" w:rsidRDefault="00CB2F05" w:rsidP="00715914">
    <w:pPr>
      <w:jc w:val="right"/>
      <w:rPr>
        <w:sz w:val="20"/>
      </w:rPr>
    </w:pPr>
  </w:p>
  <w:p w14:paraId="38A0A1B9" w14:textId="77777777" w:rsidR="00CB2F05" w:rsidRPr="007A1328" w:rsidRDefault="00CB2F05" w:rsidP="00715914">
    <w:pPr>
      <w:jc w:val="right"/>
      <w:rPr>
        <w:b/>
        <w:sz w:val="24"/>
      </w:rPr>
    </w:pPr>
  </w:p>
  <w:p w14:paraId="05691812" w14:textId="77777777" w:rsidR="00CB2F05" w:rsidRPr="007A1328" w:rsidRDefault="00CB2F0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754BC"/>
    <w:multiLevelType w:val="hybridMultilevel"/>
    <w:tmpl w:val="739A75B0"/>
    <w:lvl w:ilvl="0" w:tplc="7E3E8DE8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C82D97"/>
    <w:multiLevelType w:val="hybridMultilevel"/>
    <w:tmpl w:val="81E223FE"/>
    <w:lvl w:ilvl="0" w:tplc="E4BC8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E183C76"/>
    <w:multiLevelType w:val="hybridMultilevel"/>
    <w:tmpl w:val="B30457DE"/>
    <w:lvl w:ilvl="0" w:tplc="32428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C63714"/>
    <w:multiLevelType w:val="hybridMultilevel"/>
    <w:tmpl w:val="DF80D7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A3A1A"/>
    <w:multiLevelType w:val="hybridMultilevel"/>
    <w:tmpl w:val="81E223FE"/>
    <w:lvl w:ilvl="0" w:tplc="E4BC8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6B69"/>
    <w:multiLevelType w:val="hybridMultilevel"/>
    <w:tmpl w:val="2376B24C"/>
    <w:lvl w:ilvl="0" w:tplc="E4BC8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16"/>
  </w:num>
  <w:num w:numId="16">
    <w:abstractNumId w:val="15"/>
  </w:num>
  <w:num w:numId="17">
    <w:abstractNumId w:val="13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2"/>
    <w:rsid w:val="00004174"/>
    <w:rsid w:val="00004346"/>
    <w:rsid w:val="00004470"/>
    <w:rsid w:val="000136AF"/>
    <w:rsid w:val="000258B1"/>
    <w:rsid w:val="00026F35"/>
    <w:rsid w:val="00030746"/>
    <w:rsid w:val="00040A89"/>
    <w:rsid w:val="000437C1"/>
    <w:rsid w:val="0004455A"/>
    <w:rsid w:val="00052661"/>
    <w:rsid w:val="0005365D"/>
    <w:rsid w:val="000614BF"/>
    <w:rsid w:val="00064321"/>
    <w:rsid w:val="0006709C"/>
    <w:rsid w:val="00074376"/>
    <w:rsid w:val="00085152"/>
    <w:rsid w:val="000978F5"/>
    <w:rsid w:val="000B15CD"/>
    <w:rsid w:val="000B35EB"/>
    <w:rsid w:val="000D05EF"/>
    <w:rsid w:val="000D0A56"/>
    <w:rsid w:val="000E2261"/>
    <w:rsid w:val="000E7044"/>
    <w:rsid w:val="000E78B7"/>
    <w:rsid w:val="000F21C1"/>
    <w:rsid w:val="0010745C"/>
    <w:rsid w:val="00130DE8"/>
    <w:rsid w:val="00132CEB"/>
    <w:rsid w:val="001339B0"/>
    <w:rsid w:val="00142B62"/>
    <w:rsid w:val="001441B7"/>
    <w:rsid w:val="001516CB"/>
    <w:rsid w:val="00152336"/>
    <w:rsid w:val="00157B8B"/>
    <w:rsid w:val="00166C2F"/>
    <w:rsid w:val="00170456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448A"/>
    <w:rsid w:val="00206C4D"/>
    <w:rsid w:val="00215AF1"/>
    <w:rsid w:val="002321E8"/>
    <w:rsid w:val="00232984"/>
    <w:rsid w:val="00237936"/>
    <w:rsid w:val="00237DCF"/>
    <w:rsid w:val="0024010F"/>
    <w:rsid w:val="00240749"/>
    <w:rsid w:val="00243018"/>
    <w:rsid w:val="002564A4"/>
    <w:rsid w:val="002564D9"/>
    <w:rsid w:val="0026736C"/>
    <w:rsid w:val="00281308"/>
    <w:rsid w:val="00284719"/>
    <w:rsid w:val="00294DDC"/>
    <w:rsid w:val="00297ECB"/>
    <w:rsid w:val="002A7BCF"/>
    <w:rsid w:val="002C3FD1"/>
    <w:rsid w:val="002D043A"/>
    <w:rsid w:val="002D266B"/>
    <w:rsid w:val="002D6224"/>
    <w:rsid w:val="00304F8B"/>
    <w:rsid w:val="00335BC6"/>
    <w:rsid w:val="00336E93"/>
    <w:rsid w:val="003415D3"/>
    <w:rsid w:val="00344338"/>
    <w:rsid w:val="00344701"/>
    <w:rsid w:val="00352B0F"/>
    <w:rsid w:val="00354516"/>
    <w:rsid w:val="00360459"/>
    <w:rsid w:val="00362B89"/>
    <w:rsid w:val="003764C1"/>
    <w:rsid w:val="0038049F"/>
    <w:rsid w:val="003B1964"/>
    <w:rsid w:val="003B1991"/>
    <w:rsid w:val="003C6231"/>
    <w:rsid w:val="003D0BFE"/>
    <w:rsid w:val="003D5700"/>
    <w:rsid w:val="003E330D"/>
    <w:rsid w:val="003E341B"/>
    <w:rsid w:val="003E4D00"/>
    <w:rsid w:val="004116CD"/>
    <w:rsid w:val="00417EB9"/>
    <w:rsid w:val="004243E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4442"/>
    <w:rsid w:val="00496F97"/>
    <w:rsid w:val="004B6C48"/>
    <w:rsid w:val="004C4E59"/>
    <w:rsid w:val="004C6809"/>
    <w:rsid w:val="004D77D3"/>
    <w:rsid w:val="004E063A"/>
    <w:rsid w:val="004E1307"/>
    <w:rsid w:val="004E53B9"/>
    <w:rsid w:val="004E7BEC"/>
    <w:rsid w:val="00505D3D"/>
    <w:rsid w:val="00506AF6"/>
    <w:rsid w:val="00516B8D"/>
    <w:rsid w:val="005303C8"/>
    <w:rsid w:val="00537633"/>
    <w:rsid w:val="00537FBC"/>
    <w:rsid w:val="00552E50"/>
    <w:rsid w:val="00554826"/>
    <w:rsid w:val="00562877"/>
    <w:rsid w:val="00584811"/>
    <w:rsid w:val="00585784"/>
    <w:rsid w:val="00593AA6"/>
    <w:rsid w:val="00594161"/>
    <w:rsid w:val="00594749"/>
    <w:rsid w:val="005A65D5"/>
    <w:rsid w:val="005B3E7B"/>
    <w:rsid w:val="005B4067"/>
    <w:rsid w:val="005C3F41"/>
    <w:rsid w:val="005D1D92"/>
    <w:rsid w:val="005D2D09"/>
    <w:rsid w:val="005D7B9D"/>
    <w:rsid w:val="005E1649"/>
    <w:rsid w:val="00600219"/>
    <w:rsid w:val="00600CE5"/>
    <w:rsid w:val="00604F2A"/>
    <w:rsid w:val="00620076"/>
    <w:rsid w:val="00627E0A"/>
    <w:rsid w:val="00633AA3"/>
    <w:rsid w:val="00635B7F"/>
    <w:rsid w:val="00646A1D"/>
    <w:rsid w:val="0065488B"/>
    <w:rsid w:val="00670EA1"/>
    <w:rsid w:val="00677CC2"/>
    <w:rsid w:val="00686199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4454"/>
    <w:rsid w:val="006E6246"/>
    <w:rsid w:val="006E69C2"/>
    <w:rsid w:val="006E6DCC"/>
    <w:rsid w:val="006F318F"/>
    <w:rsid w:val="0070017E"/>
    <w:rsid w:val="00700B2C"/>
    <w:rsid w:val="00702709"/>
    <w:rsid w:val="007050A2"/>
    <w:rsid w:val="00713084"/>
    <w:rsid w:val="00714F20"/>
    <w:rsid w:val="0071590F"/>
    <w:rsid w:val="00715914"/>
    <w:rsid w:val="0072147A"/>
    <w:rsid w:val="00723791"/>
    <w:rsid w:val="007263CD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8706F"/>
    <w:rsid w:val="00793915"/>
    <w:rsid w:val="007A0D06"/>
    <w:rsid w:val="007C2253"/>
    <w:rsid w:val="007D224C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264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A5366"/>
    <w:rsid w:val="008B17C9"/>
    <w:rsid w:val="008B2706"/>
    <w:rsid w:val="008C2EAC"/>
    <w:rsid w:val="008D0EE0"/>
    <w:rsid w:val="008E0027"/>
    <w:rsid w:val="008E6067"/>
    <w:rsid w:val="008F1136"/>
    <w:rsid w:val="008F51CC"/>
    <w:rsid w:val="008F54E7"/>
    <w:rsid w:val="008F793E"/>
    <w:rsid w:val="00903422"/>
    <w:rsid w:val="009254C3"/>
    <w:rsid w:val="00932377"/>
    <w:rsid w:val="00941236"/>
    <w:rsid w:val="00943F8C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1004"/>
    <w:rsid w:val="00A0441E"/>
    <w:rsid w:val="00A12128"/>
    <w:rsid w:val="00A13F28"/>
    <w:rsid w:val="00A22C98"/>
    <w:rsid w:val="00A231E2"/>
    <w:rsid w:val="00A369E3"/>
    <w:rsid w:val="00A57600"/>
    <w:rsid w:val="00A64912"/>
    <w:rsid w:val="00A70A74"/>
    <w:rsid w:val="00A75FE9"/>
    <w:rsid w:val="00A905A3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305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BD2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610E6"/>
    <w:rsid w:val="00C6317E"/>
    <w:rsid w:val="00C72ECC"/>
    <w:rsid w:val="00C73334"/>
    <w:rsid w:val="00C7573B"/>
    <w:rsid w:val="00C96CCC"/>
    <w:rsid w:val="00C97A54"/>
    <w:rsid w:val="00CA5B23"/>
    <w:rsid w:val="00CB1A1C"/>
    <w:rsid w:val="00CB218E"/>
    <w:rsid w:val="00CB2B6B"/>
    <w:rsid w:val="00CB2F05"/>
    <w:rsid w:val="00CB602E"/>
    <w:rsid w:val="00CB7E90"/>
    <w:rsid w:val="00CE051D"/>
    <w:rsid w:val="00CE1335"/>
    <w:rsid w:val="00CE493D"/>
    <w:rsid w:val="00CE5710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67116"/>
    <w:rsid w:val="00D70DFB"/>
    <w:rsid w:val="00D766DF"/>
    <w:rsid w:val="00D8206C"/>
    <w:rsid w:val="00D91F10"/>
    <w:rsid w:val="00DA186E"/>
    <w:rsid w:val="00DA4116"/>
    <w:rsid w:val="00DB251C"/>
    <w:rsid w:val="00DB4630"/>
    <w:rsid w:val="00DB5243"/>
    <w:rsid w:val="00DC4F88"/>
    <w:rsid w:val="00DE107C"/>
    <w:rsid w:val="00DE25EE"/>
    <w:rsid w:val="00DF2388"/>
    <w:rsid w:val="00E05704"/>
    <w:rsid w:val="00E338EF"/>
    <w:rsid w:val="00E45973"/>
    <w:rsid w:val="00E544BB"/>
    <w:rsid w:val="00E54612"/>
    <w:rsid w:val="00E73C9D"/>
    <w:rsid w:val="00E74DC7"/>
    <w:rsid w:val="00E76400"/>
    <w:rsid w:val="00E8075A"/>
    <w:rsid w:val="00E90D14"/>
    <w:rsid w:val="00E940D8"/>
    <w:rsid w:val="00E94D5E"/>
    <w:rsid w:val="00EA53C2"/>
    <w:rsid w:val="00EA7100"/>
    <w:rsid w:val="00EA7F9F"/>
    <w:rsid w:val="00EB1274"/>
    <w:rsid w:val="00ED2BB6"/>
    <w:rsid w:val="00ED34E1"/>
    <w:rsid w:val="00ED3B8D"/>
    <w:rsid w:val="00EE5E36"/>
    <w:rsid w:val="00EE6E70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4CA8"/>
    <w:rsid w:val="00F6696E"/>
    <w:rsid w:val="00F73BD6"/>
    <w:rsid w:val="00F83989"/>
    <w:rsid w:val="00F84FD2"/>
    <w:rsid w:val="00F85099"/>
    <w:rsid w:val="00F9379C"/>
    <w:rsid w:val="00F9632C"/>
    <w:rsid w:val="00FA1E52"/>
    <w:rsid w:val="00FB5A08"/>
    <w:rsid w:val="00FC6A80"/>
    <w:rsid w:val="00FD17B0"/>
    <w:rsid w:val="00FD7106"/>
    <w:rsid w:val="00FE4688"/>
    <w:rsid w:val="00FF2AB9"/>
    <w:rsid w:val="00FF570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3A46E41"/>
  <w15:docId w15:val="{85782C73-8C72-4246-A37A-73065182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B1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A1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A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A1C"/>
    <w:rPr>
      <w:b/>
      <w:bCs/>
    </w:rPr>
  </w:style>
  <w:style w:type="paragraph" w:customStyle="1" w:styleId="tabletext0">
    <w:name w:val="tabletext"/>
    <w:basedOn w:val="Normal"/>
    <w:rsid w:val="00552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552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552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5630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63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26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0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75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emm\AppData\Local\Microsoft\Windows\INetCache\IE\REMJKULE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aec612-449c-4f02-bff7-1edcfe83088c" xsi:nil="true"/>
    <_dlc_DocIdUrl xmlns="9eaec612-449c-4f02-bff7-1edcfe83088c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0A135BD6BD54A93935DADA31908F7" ma:contentTypeVersion="0" ma:contentTypeDescription="Create a new document." ma:contentTypeScope="" ma:versionID="ab662c1382ebb80f8d23f29d746ff765">
  <xsd:schema xmlns:xsd="http://www.w3.org/2001/XMLSchema" xmlns:xs="http://www.w3.org/2001/XMLSchema" xmlns:p="http://schemas.microsoft.com/office/2006/metadata/properties" xmlns:ns2="9eaec612-449c-4f02-bff7-1edcfe83088c" targetNamespace="http://schemas.microsoft.com/office/2006/metadata/properties" ma:root="true" ma:fieldsID="0e01d582d6862c0acd0e12312a779835" ns2:_="">
    <xsd:import namespace="9eaec612-449c-4f02-bff7-1edcfe8308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c612-449c-4f02-bff7-1edcfe8308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96A2-233B-4D1B-968D-09284913B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A95D9-A648-4D8C-B61C-764B0A5101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eaec612-449c-4f02-bff7-1edcfe8308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0AA022-4451-489E-A2AE-296E6D522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ec612-449c-4f02-bff7-1edcfe830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C788F-70F3-4211-A754-6F7B949873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79627B-400A-4B24-86D1-FC5CEC3A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</Template>
  <TotalTime>0</TotalTime>
  <Pages>6</Pages>
  <Words>389</Words>
  <Characters>2117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Lindfield, Emma</dc:creator>
  <cp:lastModifiedBy>Whitton, Keven</cp:lastModifiedBy>
  <cp:revision>2</cp:revision>
  <dcterms:created xsi:type="dcterms:W3CDTF">2017-12-20T22:33:00Z</dcterms:created>
  <dcterms:modified xsi:type="dcterms:W3CDTF">2017-12-20T22:33:00Z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0x0101006220A135BD6BD54A93935DADA31908F7</vt:lpwstr>
  </property>
  <property fmtid="{D5CDD505-2E9C-101B-9397-08002B2CF9AE}" pid="3" name="_dlc_DocIdItemGuid">
    <vt:lpwstr>67c2dc5d-663e-4498-a710-09bc3bb619a8</vt:lpwstr>
  </property>
</Properties>
</file>