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B04C7" w14:textId="77777777" w:rsidR="00210A30" w:rsidRDefault="00210A30" w:rsidP="00210A30">
      <w:pPr>
        <w:pStyle w:val="BlockText-Plain"/>
      </w:pPr>
      <w:bookmarkStart w:id="0" w:name="_Toc459458316"/>
      <w:bookmarkStart w:id="1" w:name="_Toc459459619"/>
      <w:bookmarkStart w:id="2" w:name="_Toc459459691"/>
      <w:bookmarkStart w:id="3" w:name="_Toc459459754"/>
      <w:bookmarkStart w:id="4" w:name="citation"/>
      <w:r>
        <w:rPr>
          <w:noProof/>
        </w:rPr>
        <w:drawing>
          <wp:inline distT="0" distB="0" distL="0" distR="0" wp14:anchorId="2C3EC1B9" wp14:editId="7E9A9A8A">
            <wp:extent cx="146685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1D4A" w14:textId="31CC7D46" w:rsidR="00837D7F" w:rsidRPr="00837D7F" w:rsidRDefault="00837D7F" w:rsidP="00837D7F">
      <w:pPr>
        <w:pStyle w:val="ShortT"/>
      </w:pPr>
      <w:r w:rsidRPr="00F53C3B">
        <w:t xml:space="preserve">Defence </w:t>
      </w:r>
      <w:r>
        <w:t>Determination</w:t>
      </w:r>
      <w:r w:rsidR="00670294">
        <w:t>, Conditions of Service Amendment</w:t>
      </w:r>
      <w:r w:rsidRPr="00F53C3B">
        <w:t xml:space="preserve"> (</w:t>
      </w:r>
      <w:r w:rsidR="00DA46BF">
        <w:t>Salary non-reduction</w:t>
      </w:r>
      <w:r>
        <w:t>)</w:t>
      </w:r>
      <w:r w:rsidR="00670294">
        <w:t xml:space="preserve"> Determination</w:t>
      </w:r>
      <w:r>
        <w:t xml:space="preserve"> 2018 </w:t>
      </w:r>
      <w:r w:rsidRPr="000B2A09">
        <w:t>(No. </w:t>
      </w:r>
      <w:r w:rsidR="00117AA0">
        <w:t>42</w:t>
      </w:r>
      <w:r w:rsidRPr="000B2A09">
        <w:t>)</w:t>
      </w:r>
    </w:p>
    <w:p w14:paraId="12874EF1" w14:textId="77777777" w:rsidR="00B51D41" w:rsidRPr="00D91C18" w:rsidRDefault="00B51D41" w:rsidP="00B51D41">
      <w:pPr>
        <w:pStyle w:val="SignCoverPageStart"/>
        <w:spacing w:before="240"/>
        <w:ind w:right="91"/>
        <w:rPr>
          <w:i/>
          <w:szCs w:val="22"/>
        </w:rPr>
      </w:pPr>
      <w:r w:rsidRPr="00DA182D">
        <w:rPr>
          <w:szCs w:val="22"/>
        </w:rPr>
        <w:t xml:space="preserve">I, </w:t>
      </w:r>
      <w:r w:rsidR="00AF21B6">
        <w:rPr>
          <w:szCs w:val="22"/>
        </w:rPr>
        <w:t>FIONA LOUISE McSPEERIN, Assistant Secretary</w:t>
      </w:r>
      <w:r>
        <w:rPr>
          <w:szCs w:val="22"/>
        </w:rPr>
        <w:t xml:space="preserve">, People Policy and Employment Conditions, make the following Determination under section 58B of the </w:t>
      </w:r>
      <w:r>
        <w:rPr>
          <w:i/>
          <w:szCs w:val="22"/>
        </w:rPr>
        <w:t>Defence Act 1903.</w:t>
      </w:r>
    </w:p>
    <w:p w14:paraId="6BEC29B9" w14:textId="4739CCF8" w:rsidR="00B51D41" w:rsidRPr="00B924FB" w:rsidRDefault="00DA64AA" w:rsidP="00B51D41">
      <w:pPr>
        <w:keepNext/>
        <w:spacing w:before="300" w:line="240" w:lineRule="atLeast"/>
        <w:ind w:right="39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Dated</w:t>
      </w:r>
      <w:r>
        <w:rPr>
          <w:rFonts w:ascii="Times New Roman" w:hAnsi="Times New Roman"/>
          <w:szCs w:val="22"/>
        </w:rPr>
        <w:tab/>
        <w:t xml:space="preserve">17 </w:t>
      </w:r>
      <w:r w:rsidR="00E85877">
        <w:rPr>
          <w:rFonts w:ascii="Times New Roman" w:hAnsi="Times New Roman"/>
          <w:szCs w:val="22"/>
        </w:rPr>
        <w:t>Dec</w:t>
      </w:r>
      <w:r w:rsidR="00DA46BF">
        <w:rPr>
          <w:rFonts w:ascii="Times New Roman" w:hAnsi="Times New Roman"/>
          <w:szCs w:val="22"/>
        </w:rPr>
        <w:t>ember</w:t>
      </w:r>
      <w:r w:rsidR="00B51D41" w:rsidRPr="00B924FB">
        <w:rPr>
          <w:rFonts w:ascii="Times New Roman" w:hAnsi="Times New Roman"/>
          <w:szCs w:val="22"/>
        </w:rPr>
        <w:t xml:space="preserve"> 201</w:t>
      </w:r>
      <w:r w:rsidR="00837D7F">
        <w:rPr>
          <w:rFonts w:ascii="Times New Roman" w:hAnsi="Times New Roman"/>
          <w:szCs w:val="22"/>
        </w:rPr>
        <w:t>8</w:t>
      </w:r>
    </w:p>
    <w:p w14:paraId="5E099262" w14:textId="14862CCF" w:rsidR="00B51D41" w:rsidRPr="00AB45C7" w:rsidRDefault="00DA64AA" w:rsidP="00B51D41">
      <w:pPr>
        <w:pStyle w:val="SignCoverPageEnd"/>
        <w:spacing w:before="1440"/>
        <w:ind w:right="91"/>
        <w:rPr>
          <w:sz w:val="22"/>
        </w:rPr>
      </w:pPr>
      <w:r>
        <w:rPr>
          <w:sz w:val="22"/>
        </w:rPr>
        <w:t>F L McSPEERIN</w:t>
      </w:r>
    </w:p>
    <w:p w14:paraId="304198B0" w14:textId="77777777" w:rsidR="00B51D41" w:rsidRPr="00AB45C7" w:rsidRDefault="00B51D41" w:rsidP="00B51D41">
      <w:pPr>
        <w:pStyle w:val="SignCoverPageEnd"/>
        <w:ind w:right="91"/>
        <w:rPr>
          <w:sz w:val="22"/>
        </w:rPr>
      </w:pPr>
      <w:r>
        <w:rPr>
          <w:sz w:val="22"/>
        </w:rPr>
        <w:t>Assistant Secretary</w:t>
      </w:r>
      <w:r>
        <w:rPr>
          <w:sz w:val="22"/>
        </w:rPr>
        <w:br/>
        <w:t>People Policy and Employment Conditions</w:t>
      </w:r>
      <w:r>
        <w:rPr>
          <w:sz w:val="22"/>
        </w:rPr>
        <w:br/>
        <w:t>Defence People Group</w:t>
      </w:r>
    </w:p>
    <w:p w14:paraId="5F8B5EAB" w14:textId="77777777" w:rsidR="00B51D41" w:rsidRDefault="00B51D41" w:rsidP="00B51D41"/>
    <w:bookmarkEnd w:id="0"/>
    <w:bookmarkEnd w:id="1"/>
    <w:bookmarkEnd w:id="2"/>
    <w:bookmarkEnd w:id="3"/>
    <w:bookmarkEnd w:id="4"/>
    <w:p w14:paraId="00BBB1F2" w14:textId="77777777" w:rsidR="00210A30" w:rsidRDefault="00210A30" w:rsidP="00210A30">
      <w:pPr>
        <w:pStyle w:val="BlockText-Plain"/>
      </w:pPr>
    </w:p>
    <w:p w14:paraId="3BA65300" w14:textId="77777777" w:rsidR="00210A30" w:rsidRDefault="00210A30" w:rsidP="00210A30">
      <w:pPr>
        <w:pStyle w:val="BlockText-Plain"/>
      </w:pPr>
    </w:p>
    <w:p w14:paraId="76CB08C8" w14:textId="77777777" w:rsidR="00210A30" w:rsidRDefault="00210A30" w:rsidP="00210A30">
      <w:pPr>
        <w:pStyle w:val="BlockText-Plain"/>
        <w:sectPr w:rsidR="00210A30" w:rsidSect="00080EFF">
          <w:headerReference w:type="default" r:id="rId9"/>
          <w:headerReference w:type="first" r:id="rId10"/>
          <w:footerReference w:type="first" r:id="rId11"/>
          <w:pgSz w:w="11906" w:h="16838" w:code="9"/>
          <w:pgMar w:top="1134" w:right="1134" w:bottom="992" w:left="1418" w:header="720" w:footer="720" w:gutter="0"/>
          <w:cols w:space="720"/>
          <w:titlePg/>
        </w:sectPr>
      </w:pPr>
    </w:p>
    <w:p w14:paraId="661CC788" w14:textId="77777777" w:rsidR="00102EEE" w:rsidRPr="00102EEE" w:rsidRDefault="00102EEE" w:rsidP="00102EEE">
      <w:pPr>
        <w:outlineLvl w:val="0"/>
        <w:rPr>
          <w:rFonts w:ascii="Times New Roman" w:hAnsi="Times New Roman"/>
          <w:sz w:val="36"/>
        </w:rPr>
      </w:pPr>
      <w:r w:rsidRPr="00102EEE">
        <w:rPr>
          <w:rFonts w:ascii="Times New Roman" w:hAnsi="Times New Roman"/>
          <w:sz w:val="36"/>
        </w:rPr>
        <w:lastRenderedPageBreak/>
        <w:t>Contents</w:t>
      </w:r>
    </w:p>
    <w:bookmarkStart w:id="5" w:name="BKCheck15B_2"/>
    <w:bookmarkEnd w:id="5"/>
    <w:p w14:paraId="791F9561" w14:textId="77777777" w:rsidR="00102EEE" w:rsidRDefault="00102EEE" w:rsidP="00102E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5E317F">
        <w:rPr>
          <w:noProof/>
          <w:sz w:val="20"/>
        </w:rPr>
        <w:tab/>
      </w:r>
      <w:r w:rsidR="00D46E7C">
        <w:rPr>
          <w:noProof/>
          <w:sz w:val="20"/>
        </w:rPr>
        <w:t>2</w:t>
      </w:r>
    </w:p>
    <w:p w14:paraId="4BB2966F" w14:textId="77777777" w:rsidR="00102EEE" w:rsidRDefault="00102EEE" w:rsidP="00102E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5E317F">
        <w:rPr>
          <w:noProof/>
          <w:sz w:val="20"/>
        </w:rPr>
        <w:tab/>
      </w:r>
      <w:r w:rsidR="00D46E7C">
        <w:rPr>
          <w:noProof/>
          <w:sz w:val="20"/>
        </w:rPr>
        <w:t>2</w:t>
      </w:r>
    </w:p>
    <w:p w14:paraId="1D420541" w14:textId="77777777" w:rsidR="00102EEE" w:rsidRDefault="00102EEE" w:rsidP="00102E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5E317F">
        <w:rPr>
          <w:noProof/>
          <w:sz w:val="20"/>
        </w:rPr>
        <w:tab/>
      </w:r>
      <w:r w:rsidR="00D46E7C">
        <w:rPr>
          <w:noProof/>
          <w:sz w:val="20"/>
        </w:rPr>
        <w:t>2</w:t>
      </w:r>
    </w:p>
    <w:p w14:paraId="08D05BCB" w14:textId="77777777" w:rsidR="00102EEE" w:rsidRDefault="00102EEE" w:rsidP="00102E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5E317F">
        <w:rPr>
          <w:noProof/>
          <w:sz w:val="20"/>
        </w:rPr>
        <w:tab/>
      </w:r>
      <w:r w:rsidR="00D46E7C">
        <w:rPr>
          <w:noProof/>
          <w:sz w:val="20"/>
        </w:rPr>
        <w:t>2</w:t>
      </w:r>
    </w:p>
    <w:p w14:paraId="3C5E31AB" w14:textId="77777777" w:rsidR="00102EEE" w:rsidRDefault="00930B58" w:rsidP="00102EE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1—Salary non-reduction a</w:t>
      </w:r>
      <w:r w:rsidR="00102EEE">
        <w:rPr>
          <w:noProof/>
        </w:rPr>
        <w:t>mendments</w:t>
      </w:r>
      <w:r w:rsidR="00102EEE" w:rsidRPr="005E317F">
        <w:rPr>
          <w:b w:val="0"/>
          <w:noProof/>
          <w:sz w:val="20"/>
        </w:rPr>
        <w:tab/>
      </w:r>
      <w:r w:rsidR="00D46E7C">
        <w:rPr>
          <w:b w:val="0"/>
          <w:noProof/>
          <w:sz w:val="20"/>
        </w:rPr>
        <w:t>3</w:t>
      </w:r>
    </w:p>
    <w:p w14:paraId="04A44C6F" w14:textId="77777777" w:rsidR="00102EEE" w:rsidRDefault="00DA46BF" w:rsidP="00102EE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Defence Determination 2016/19, Conditions of service</w:t>
      </w:r>
      <w:r w:rsidR="00102EEE" w:rsidRPr="005E317F">
        <w:rPr>
          <w:i w:val="0"/>
          <w:noProof/>
        </w:rPr>
        <w:tab/>
      </w:r>
    </w:p>
    <w:p w14:paraId="2E14F39A" w14:textId="77777777" w:rsidR="00210A30" w:rsidRPr="00DB5C86" w:rsidRDefault="00102EEE" w:rsidP="00102EEE">
      <w:pPr>
        <w:pStyle w:val="BlockText-Plain"/>
        <w:rPr>
          <w:rFonts w:ascii="Arial (W1)" w:hAnsi="Arial (W1)"/>
          <w:vanish/>
        </w:rPr>
      </w:pPr>
      <w:r w:rsidRPr="005E317F">
        <w:fldChar w:fldCharType="end"/>
      </w:r>
    </w:p>
    <w:p w14:paraId="74D2140A" w14:textId="178B5881" w:rsidR="00930B58" w:rsidRDefault="00E85877" w:rsidP="00930B5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</w:t>
      </w:r>
      <w:r w:rsidR="00930B58">
        <w:rPr>
          <w:noProof/>
        </w:rPr>
        <w:t>—Salary non-reduction transitional provision</w:t>
      </w:r>
      <w:r w:rsidR="00930B58" w:rsidRPr="005E317F">
        <w:rPr>
          <w:b w:val="0"/>
          <w:noProof/>
          <w:sz w:val="20"/>
        </w:rPr>
        <w:tab/>
      </w:r>
      <w:r>
        <w:rPr>
          <w:b w:val="0"/>
          <w:noProof/>
          <w:sz w:val="20"/>
        </w:rPr>
        <w:t>6</w:t>
      </w:r>
    </w:p>
    <w:p w14:paraId="3A57AD35" w14:textId="77777777" w:rsidR="00930B58" w:rsidRDefault="00930B58" w:rsidP="00930B5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Defence Determination 2016/19, Conditions of service</w:t>
      </w:r>
      <w:r w:rsidRPr="005E317F">
        <w:rPr>
          <w:i w:val="0"/>
          <w:noProof/>
        </w:rPr>
        <w:tab/>
      </w:r>
    </w:p>
    <w:p w14:paraId="509CA18B" w14:textId="77777777" w:rsidR="00210A30" w:rsidRDefault="00210A30" w:rsidP="00210A30">
      <w:pPr>
        <w:pStyle w:val="BlockText-Plain"/>
        <w:sectPr w:rsidR="00210A30" w:rsidSect="00080EFF">
          <w:footerReference w:type="first" r:id="rId12"/>
          <w:pgSz w:w="11906" w:h="16838" w:code="9"/>
          <w:pgMar w:top="1134" w:right="1134" w:bottom="992" w:left="1418" w:header="720" w:footer="720" w:gutter="0"/>
          <w:cols w:space="720"/>
        </w:sectPr>
      </w:pPr>
    </w:p>
    <w:p w14:paraId="23EE42CA" w14:textId="77777777" w:rsidR="00210A30" w:rsidRDefault="00210A30" w:rsidP="00210A30">
      <w:pPr>
        <w:pStyle w:val="BlockText-Plain"/>
      </w:pPr>
    </w:p>
    <w:p w14:paraId="06850B70" w14:textId="77777777" w:rsidR="00B51D41" w:rsidRPr="009C2562" w:rsidRDefault="00B51D41" w:rsidP="00B51D41">
      <w:pPr>
        <w:pStyle w:val="ActHead5"/>
      </w:pPr>
      <w:bookmarkStart w:id="6" w:name="_Toc478567687"/>
      <w:r w:rsidRPr="009C2562">
        <w:rPr>
          <w:rStyle w:val="CharSectno"/>
        </w:rPr>
        <w:t>1</w:t>
      </w:r>
      <w:r w:rsidRPr="009C2562">
        <w:t xml:space="preserve">  Name</w:t>
      </w:r>
      <w:bookmarkEnd w:id="6"/>
    </w:p>
    <w:p w14:paraId="3914892D" w14:textId="0FF95F90" w:rsidR="00B51D41" w:rsidRDefault="00B51D41" w:rsidP="00B51D41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</w:t>
      </w:r>
      <w:r w:rsidR="00623B17" w:rsidRPr="003262B9">
        <w:rPr>
          <w:i/>
        </w:rPr>
        <w:t>Defence Determination, Conditions of Service Amendment</w:t>
      </w:r>
      <w:r w:rsidR="00623B17" w:rsidRPr="00F53C3B">
        <w:t xml:space="preserve"> </w:t>
      </w:r>
      <w:r w:rsidR="00623B17" w:rsidRPr="00CF4B33">
        <w:rPr>
          <w:i/>
        </w:rPr>
        <w:t>(</w:t>
      </w:r>
      <w:r w:rsidR="00DA46BF" w:rsidRPr="00C64CA2">
        <w:rPr>
          <w:i/>
        </w:rPr>
        <w:t>Salary non-reduction</w:t>
      </w:r>
      <w:r w:rsidR="00623B17" w:rsidRPr="00997B86">
        <w:rPr>
          <w:i/>
        </w:rPr>
        <w:t xml:space="preserve">) </w:t>
      </w:r>
      <w:r w:rsidR="00623B17">
        <w:rPr>
          <w:i/>
        </w:rPr>
        <w:t xml:space="preserve">Determination </w:t>
      </w:r>
      <w:r w:rsidR="00623B17" w:rsidRPr="00997B86">
        <w:rPr>
          <w:i/>
        </w:rPr>
        <w:t xml:space="preserve">2018 (No. </w:t>
      </w:r>
      <w:r w:rsidR="00117AA0">
        <w:rPr>
          <w:i/>
        </w:rPr>
        <w:t>42</w:t>
      </w:r>
      <w:r w:rsidR="00623B17" w:rsidRPr="00997B86">
        <w:rPr>
          <w:i/>
        </w:rPr>
        <w:t>)</w:t>
      </w:r>
      <w:r w:rsidRPr="009C2562">
        <w:t>.</w:t>
      </w:r>
    </w:p>
    <w:p w14:paraId="63DF53BE" w14:textId="77777777" w:rsidR="00B51D41" w:rsidRDefault="00B51D41" w:rsidP="00B51D41">
      <w:pPr>
        <w:pStyle w:val="ActHead5"/>
      </w:pPr>
      <w:bookmarkStart w:id="7" w:name="_Toc478567688"/>
      <w:r w:rsidRPr="009C2562">
        <w:rPr>
          <w:rStyle w:val="CharSectno"/>
        </w:rPr>
        <w:t>2</w:t>
      </w:r>
      <w:r w:rsidRPr="009C2562">
        <w:t xml:space="preserve">  Commencement</w:t>
      </w:r>
      <w:bookmarkEnd w:id="7"/>
    </w:p>
    <w:p w14:paraId="099C9C68" w14:textId="3FAE2276" w:rsidR="00B51D41" w:rsidRPr="00232984" w:rsidRDefault="00B51D41" w:rsidP="00B51D41">
      <w:pPr>
        <w:pStyle w:val="subsection"/>
      </w:pPr>
      <w:r>
        <w:tab/>
      </w:r>
      <w:r>
        <w:tab/>
        <w:t>This instrument commences</w:t>
      </w:r>
      <w:r w:rsidR="00623B17">
        <w:t xml:space="preserve"> on</w:t>
      </w:r>
      <w:r w:rsidR="00D0788C">
        <w:t xml:space="preserve"> </w:t>
      </w:r>
      <w:r w:rsidR="008E2F6C">
        <w:t>27</w:t>
      </w:r>
      <w:r w:rsidR="00E85877">
        <w:t xml:space="preserve"> Dec</w:t>
      </w:r>
      <w:r w:rsidR="00D0788C">
        <w:t>ember 2018</w:t>
      </w:r>
      <w:r>
        <w:t>.</w:t>
      </w:r>
    </w:p>
    <w:p w14:paraId="58290956" w14:textId="77777777" w:rsidR="00B51D41" w:rsidRPr="009C2562" w:rsidRDefault="00B51D41" w:rsidP="00B51D41">
      <w:pPr>
        <w:pStyle w:val="ActHead5"/>
      </w:pPr>
      <w:bookmarkStart w:id="8" w:name="_Toc478567689"/>
      <w:r w:rsidRPr="009C2562">
        <w:rPr>
          <w:rStyle w:val="CharSectno"/>
        </w:rPr>
        <w:t>3</w:t>
      </w:r>
      <w:r w:rsidRPr="009C2562">
        <w:t xml:space="preserve">  Authority</w:t>
      </w:r>
      <w:bookmarkEnd w:id="8"/>
    </w:p>
    <w:p w14:paraId="395813FD" w14:textId="77777777" w:rsidR="00B51D41" w:rsidRPr="009C2562" w:rsidRDefault="00B51D41" w:rsidP="00B51D41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1D6EA5">
        <w:rPr>
          <w:szCs w:val="22"/>
        </w:rPr>
        <w:t xml:space="preserve">section 58B of the </w:t>
      </w:r>
      <w:r w:rsidR="001D6EA5">
        <w:rPr>
          <w:i/>
          <w:szCs w:val="22"/>
        </w:rPr>
        <w:t>Defence Act 1903</w:t>
      </w:r>
      <w:r w:rsidR="0050658F">
        <w:rPr>
          <w:i/>
          <w:szCs w:val="22"/>
        </w:rPr>
        <w:t>.</w:t>
      </w:r>
    </w:p>
    <w:p w14:paraId="0303B265" w14:textId="77777777" w:rsidR="00B51D41" w:rsidRPr="006065DA" w:rsidRDefault="00B51D41" w:rsidP="00B51D41">
      <w:pPr>
        <w:pStyle w:val="ActHead5"/>
      </w:pPr>
      <w:bookmarkStart w:id="9" w:name="_Toc478567690"/>
      <w:r w:rsidRPr="006065DA">
        <w:t>4  Schedules</w:t>
      </w:r>
      <w:bookmarkEnd w:id="9"/>
    </w:p>
    <w:p w14:paraId="3FDF8C3B" w14:textId="77777777" w:rsidR="00B51D41" w:rsidRDefault="00B51D41" w:rsidP="00B51D41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E138E78" w14:textId="77777777" w:rsidR="00210A30" w:rsidRDefault="00210A30" w:rsidP="00210A30"/>
    <w:p w14:paraId="4F4D9D09" w14:textId="77777777" w:rsidR="00210A30" w:rsidRDefault="00210A30" w:rsidP="00210A30">
      <w:pPr>
        <w:sectPr w:rsidR="00210A30" w:rsidSect="00080EFF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134" w:bottom="992" w:left="1418" w:header="720" w:footer="720" w:gutter="0"/>
          <w:pgNumType w:start="2"/>
          <w:cols w:space="720"/>
        </w:sectPr>
      </w:pPr>
    </w:p>
    <w:p w14:paraId="44E6A3EB" w14:textId="77777777" w:rsidR="001209B8" w:rsidRPr="00355EFE" w:rsidRDefault="001209B8" w:rsidP="001209B8">
      <w:pPr>
        <w:pStyle w:val="acthead6"/>
        <w:keepNext/>
        <w:shd w:val="clear" w:color="auto" w:fill="FFFFFF"/>
        <w:spacing w:before="0" w:beforeAutospacing="0" w:after="0" w:afterAutospacing="0" w:line="360" w:lineRule="atLeast"/>
        <w:rPr>
          <w:rStyle w:val="charamschtext"/>
          <w:rFonts w:ascii="Arial" w:hAnsi="Arial" w:cs="Arial"/>
          <w:b/>
          <w:bCs/>
          <w:sz w:val="32"/>
          <w:szCs w:val="32"/>
        </w:rPr>
      </w:pPr>
      <w:r w:rsidRPr="00355EFE">
        <w:rPr>
          <w:rStyle w:val="charamschno"/>
          <w:rFonts w:ascii="Arial" w:hAnsi="Arial" w:cs="Arial"/>
          <w:b/>
          <w:bCs/>
          <w:sz w:val="32"/>
          <w:szCs w:val="32"/>
        </w:rPr>
        <w:lastRenderedPageBreak/>
        <w:t>Schedule 1</w:t>
      </w:r>
      <w:r w:rsidRPr="00355EFE">
        <w:rPr>
          <w:rFonts w:ascii="Arial" w:hAnsi="Arial" w:cs="Arial"/>
          <w:b/>
          <w:bCs/>
          <w:sz w:val="32"/>
          <w:szCs w:val="32"/>
        </w:rPr>
        <w:t>—</w:t>
      </w:r>
      <w:r w:rsidRPr="00DA46BF">
        <w:rPr>
          <w:rFonts w:ascii="Arial" w:hAnsi="Arial"/>
          <w:sz w:val="22"/>
          <w:szCs w:val="20"/>
        </w:rPr>
        <w:t xml:space="preserve"> </w:t>
      </w:r>
      <w:r w:rsidRPr="00DA46BF">
        <w:rPr>
          <w:rFonts w:ascii="Arial" w:hAnsi="Arial" w:cs="Arial"/>
          <w:b/>
          <w:bCs/>
          <w:sz w:val="32"/>
          <w:szCs w:val="32"/>
        </w:rPr>
        <w:t>Salary non-reduction</w:t>
      </w:r>
      <w:r>
        <w:rPr>
          <w:rFonts w:ascii="Arial" w:hAnsi="Arial" w:cs="Arial"/>
          <w:b/>
          <w:bCs/>
          <w:sz w:val="32"/>
          <w:szCs w:val="32"/>
        </w:rPr>
        <w:t xml:space="preserve"> amendments</w:t>
      </w:r>
    </w:p>
    <w:p w14:paraId="5F2B3AA6" w14:textId="77777777" w:rsidR="001209B8" w:rsidRDefault="001209B8" w:rsidP="001209B8">
      <w:pPr>
        <w:pStyle w:val="BlockTextArial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Defence Determination 2016/19, Conditions of service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992"/>
        <w:gridCol w:w="8367"/>
      </w:tblGrid>
      <w:tr w:rsidR="001209B8" w14:paraId="39FD1FF4" w14:textId="77777777" w:rsidTr="002E5B3F">
        <w:tc>
          <w:tcPr>
            <w:tcW w:w="992" w:type="dxa"/>
          </w:tcPr>
          <w:p w14:paraId="1875C8B3" w14:textId="77777777" w:rsidR="001209B8" w:rsidRDefault="001209B8" w:rsidP="002E5B3F">
            <w:pPr>
              <w:pStyle w:val="Heading5"/>
            </w:pPr>
            <w:r>
              <w:t>1</w:t>
            </w:r>
          </w:p>
        </w:tc>
        <w:tc>
          <w:tcPr>
            <w:tcW w:w="8367" w:type="dxa"/>
          </w:tcPr>
          <w:p w14:paraId="79A13F0F" w14:textId="77777777" w:rsidR="001209B8" w:rsidRDefault="001209B8" w:rsidP="002E5B3F">
            <w:pPr>
              <w:pStyle w:val="Heading5"/>
            </w:pPr>
            <w:r>
              <w:rPr>
                <w:rFonts w:cs="Arial"/>
              </w:rPr>
              <w:t>Annex 3.2.B (Salary non-reduction – members with the rank of Warrant Officer Class 1 or lower), Part 1: Members with the rank of Warrant Officer Class 1, table item 6</w:t>
            </w:r>
          </w:p>
        </w:tc>
      </w:tr>
      <w:tr w:rsidR="001209B8" w14:paraId="16618375" w14:textId="77777777" w:rsidTr="002E5B3F">
        <w:tc>
          <w:tcPr>
            <w:tcW w:w="992" w:type="dxa"/>
          </w:tcPr>
          <w:p w14:paraId="3EBFB712" w14:textId="77777777" w:rsidR="001209B8" w:rsidRDefault="001209B8" w:rsidP="002E5B3F">
            <w:pPr>
              <w:pStyle w:val="BlockText-Plain"/>
              <w:jc w:val="center"/>
            </w:pPr>
          </w:p>
        </w:tc>
        <w:tc>
          <w:tcPr>
            <w:tcW w:w="8367" w:type="dxa"/>
          </w:tcPr>
          <w:p w14:paraId="5BDF08CD" w14:textId="77777777" w:rsidR="001209B8" w:rsidRPr="004B0C48" w:rsidRDefault="001209B8" w:rsidP="002E5B3F">
            <w:pPr>
              <w:pStyle w:val="BlockText-Plain"/>
            </w:pPr>
            <w:r>
              <w:rPr>
                <w:iCs/>
              </w:rPr>
              <w:t>Omit the table item, substitute:</w:t>
            </w:r>
          </w:p>
        </w:tc>
      </w:tr>
    </w:tbl>
    <w:p w14:paraId="35FCD0F5" w14:textId="77777777" w:rsidR="001209B8" w:rsidRPr="00745ED6" w:rsidRDefault="001209B8" w:rsidP="001209B8">
      <w:pPr>
        <w:rPr>
          <w:bCs/>
          <w:iCs/>
          <w:color w:val="000000"/>
          <w:sz w:val="20"/>
        </w:rPr>
      </w:pPr>
    </w:p>
    <w:tbl>
      <w:tblPr>
        <w:tblW w:w="95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2693"/>
        <w:gridCol w:w="2977"/>
        <w:gridCol w:w="3054"/>
      </w:tblGrid>
      <w:tr w:rsidR="001209B8" w:rsidRPr="00325E4A" w14:paraId="022C8CE8" w14:textId="77777777" w:rsidTr="002E5B3F">
        <w:trPr>
          <w:trHeight w:val="234"/>
          <w:jc w:val="center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91C59" w14:textId="77777777" w:rsidR="001209B8" w:rsidRPr="00325E4A" w:rsidRDefault="001209B8" w:rsidP="002E5B3F">
            <w:pPr>
              <w:spacing w:beforeLines="20" w:before="48" w:after="120"/>
              <w:jc w:val="center"/>
              <w:rPr>
                <w:rFonts w:cs="Arial"/>
                <w:bCs/>
                <w:sz w:val="20"/>
              </w:rPr>
            </w:pPr>
            <w:r w:rsidRPr="00325E4A">
              <w:rPr>
                <w:color w:val="000000"/>
                <w:sz w:val="20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57E7" w14:textId="7386FAE9" w:rsidR="001209B8" w:rsidRPr="00325E4A" w:rsidRDefault="001209B8" w:rsidP="002E5B3F">
            <w:pPr>
              <w:spacing w:after="120"/>
              <w:rPr>
                <w:bCs/>
                <w:sz w:val="20"/>
              </w:rPr>
            </w:pPr>
            <w:r w:rsidRPr="00325E4A">
              <w:rPr>
                <w:bCs/>
                <w:sz w:val="20"/>
              </w:rPr>
              <w:t>Manager Surveillance Target Acquisition</w:t>
            </w:r>
            <w:r>
              <w:rPr>
                <w:bCs/>
                <w:sz w:val="20"/>
              </w:rPr>
              <w:t xml:space="preserve"> (Reserve</w:t>
            </w:r>
            <w:r w:rsidR="003641DF">
              <w:rPr>
                <w:bCs/>
                <w:sz w:val="20"/>
              </w:rPr>
              <w:t>s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FD07" w14:textId="1E534E5B" w:rsidR="001209B8" w:rsidRPr="00325E4A" w:rsidRDefault="008E2F6C" w:rsidP="002E5B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27</w:t>
            </w:r>
            <w:r w:rsidR="001209B8">
              <w:rPr>
                <w:sz w:val="20"/>
              </w:rPr>
              <w:t xml:space="preserve"> December 2018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D3A8" w14:textId="77777777" w:rsidR="001209B8" w:rsidRPr="00325E4A" w:rsidRDefault="001209B8" w:rsidP="002E5B3F">
            <w:pPr>
              <w:spacing w:after="120"/>
              <w:rPr>
                <w:sz w:val="20"/>
              </w:rPr>
            </w:pPr>
            <w:r w:rsidRPr="00325E4A">
              <w:rPr>
                <w:sz w:val="20"/>
              </w:rPr>
              <w:t>31</w:t>
            </w:r>
            <w:r>
              <w:rPr>
                <w:sz w:val="20"/>
              </w:rPr>
              <w:t xml:space="preserve"> December 2020</w:t>
            </w:r>
            <w:r w:rsidRPr="00325E4A">
              <w:rPr>
                <w:sz w:val="20"/>
              </w:rPr>
              <w:t>.</w:t>
            </w:r>
          </w:p>
        </w:tc>
      </w:tr>
    </w:tbl>
    <w:p w14:paraId="02264E97" w14:textId="77777777" w:rsidR="001209B8" w:rsidRDefault="001209B8" w:rsidP="001209B8">
      <w:pPr>
        <w:rPr>
          <w:bCs/>
          <w:iCs/>
          <w:color w:val="000000"/>
          <w:sz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992"/>
        <w:gridCol w:w="8367"/>
      </w:tblGrid>
      <w:tr w:rsidR="001209B8" w14:paraId="13231AB6" w14:textId="77777777" w:rsidTr="002E5B3F">
        <w:tc>
          <w:tcPr>
            <w:tcW w:w="992" w:type="dxa"/>
          </w:tcPr>
          <w:p w14:paraId="12A1B414" w14:textId="77777777" w:rsidR="001209B8" w:rsidRDefault="001209B8" w:rsidP="002E5B3F">
            <w:pPr>
              <w:pStyle w:val="Heading5"/>
            </w:pPr>
            <w:r>
              <w:t>2</w:t>
            </w:r>
          </w:p>
        </w:tc>
        <w:tc>
          <w:tcPr>
            <w:tcW w:w="8367" w:type="dxa"/>
          </w:tcPr>
          <w:p w14:paraId="608616BC" w14:textId="77777777" w:rsidR="001209B8" w:rsidRDefault="001209B8" w:rsidP="002E5B3F">
            <w:pPr>
              <w:pStyle w:val="Heading5"/>
            </w:pPr>
            <w:r>
              <w:rPr>
                <w:rFonts w:cs="Arial"/>
              </w:rPr>
              <w:t>Annex 3.2.B (Salary non-reduction – members with the rank of Warrant Officer Class 1 or lower), Part 1: Members with the rank of Warrant Officer Class 1, table item 10</w:t>
            </w:r>
          </w:p>
        </w:tc>
      </w:tr>
      <w:tr w:rsidR="001209B8" w14:paraId="03EC6EE6" w14:textId="77777777" w:rsidTr="002E5B3F">
        <w:tc>
          <w:tcPr>
            <w:tcW w:w="992" w:type="dxa"/>
          </w:tcPr>
          <w:p w14:paraId="44C47569" w14:textId="77777777" w:rsidR="001209B8" w:rsidRDefault="001209B8" w:rsidP="002E5B3F">
            <w:pPr>
              <w:pStyle w:val="BlockText-Plain"/>
              <w:jc w:val="center"/>
            </w:pPr>
          </w:p>
        </w:tc>
        <w:tc>
          <w:tcPr>
            <w:tcW w:w="8367" w:type="dxa"/>
          </w:tcPr>
          <w:p w14:paraId="3FD906F3" w14:textId="77777777" w:rsidR="001209B8" w:rsidRPr="004B0C48" w:rsidRDefault="001209B8" w:rsidP="002E5B3F">
            <w:pPr>
              <w:pStyle w:val="BlockText-Plain"/>
            </w:pPr>
            <w:r>
              <w:rPr>
                <w:iCs/>
              </w:rPr>
              <w:t>Omit the table item, substitute:</w:t>
            </w:r>
          </w:p>
        </w:tc>
      </w:tr>
    </w:tbl>
    <w:p w14:paraId="20672022" w14:textId="77777777" w:rsidR="001209B8" w:rsidRPr="00745ED6" w:rsidRDefault="001209B8" w:rsidP="001209B8">
      <w:pPr>
        <w:rPr>
          <w:bCs/>
          <w:iCs/>
          <w:color w:val="000000"/>
          <w:sz w:val="20"/>
        </w:rPr>
      </w:pPr>
    </w:p>
    <w:tbl>
      <w:tblPr>
        <w:tblW w:w="95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2693"/>
        <w:gridCol w:w="2977"/>
        <w:gridCol w:w="3054"/>
      </w:tblGrid>
      <w:tr w:rsidR="001209B8" w:rsidRPr="00325E4A" w14:paraId="2FBC469C" w14:textId="77777777" w:rsidTr="002E5B3F">
        <w:trPr>
          <w:trHeight w:val="234"/>
          <w:jc w:val="center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88322" w14:textId="77777777" w:rsidR="001209B8" w:rsidRPr="00325E4A" w:rsidRDefault="001209B8" w:rsidP="002E5B3F">
            <w:pPr>
              <w:spacing w:beforeLines="20" w:before="48" w:after="120"/>
              <w:jc w:val="center"/>
              <w:rPr>
                <w:rFonts w:cs="Arial"/>
                <w:bCs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325E4A">
              <w:rPr>
                <w:color w:val="000000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6D78" w14:textId="38AB8D6B" w:rsidR="001209B8" w:rsidRPr="00325E4A" w:rsidRDefault="001209B8" w:rsidP="002E5B3F">
            <w:pPr>
              <w:spacing w:after="120"/>
              <w:rPr>
                <w:bCs/>
                <w:sz w:val="20"/>
              </w:rPr>
            </w:pPr>
            <w:r w:rsidRPr="00325E4A">
              <w:rPr>
                <w:bCs/>
                <w:sz w:val="20"/>
              </w:rPr>
              <w:t>Manager Surveillance Target Acquisition</w:t>
            </w:r>
            <w:r>
              <w:rPr>
                <w:bCs/>
                <w:sz w:val="20"/>
              </w:rPr>
              <w:t xml:space="preserve"> (Reserve</w:t>
            </w:r>
            <w:r w:rsidR="00416098">
              <w:rPr>
                <w:bCs/>
                <w:sz w:val="20"/>
              </w:rPr>
              <w:t>s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5E52" w14:textId="0933B831" w:rsidR="001209B8" w:rsidRPr="00325E4A" w:rsidRDefault="008E2F6C" w:rsidP="002E5B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27</w:t>
            </w:r>
            <w:r w:rsidR="001209B8">
              <w:rPr>
                <w:sz w:val="20"/>
              </w:rPr>
              <w:t xml:space="preserve"> December 2018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65CE" w14:textId="77777777" w:rsidR="001209B8" w:rsidRPr="00325E4A" w:rsidRDefault="001209B8" w:rsidP="002E5B3F">
            <w:pPr>
              <w:spacing w:after="120"/>
              <w:rPr>
                <w:sz w:val="20"/>
              </w:rPr>
            </w:pPr>
            <w:r w:rsidRPr="00325E4A">
              <w:rPr>
                <w:sz w:val="20"/>
              </w:rPr>
              <w:t>31</w:t>
            </w:r>
            <w:r>
              <w:rPr>
                <w:sz w:val="20"/>
              </w:rPr>
              <w:t xml:space="preserve"> December 2020</w:t>
            </w:r>
            <w:r w:rsidRPr="00325E4A">
              <w:rPr>
                <w:sz w:val="20"/>
              </w:rPr>
              <w:t>.</w:t>
            </w:r>
          </w:p>
        </w:tc>
      </w:tr>
    </w:tbl>
    <w:p w14:paraId="64EDA00B" w14:textId="77777777" w:rsidR="001209B8" w:rsidRDefault="001209B8" w:rsidP="001209B8">
      <w:pPr>
        <w:rPr>
          <w:bCs/>
          <w:iCs/>
          <w:color w:val="000000"/>
          <w:sz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992"/>
        <w:gridCol w:w="8367"/>
      </w:tblGrid>
      <w:tr w:rsidR="001209B8" w14:paraId="0DC17740" w14:textId="77777777" w:rsidTr="002E5B3F">
        <w:tc>
          <w:tcPr>
            <w:tcW w:w="992" w:type="dxa"/>
          </w:tcPr>
          <w:p w14:paraId="0B21A9E1" w14:textId="77777777" w:rsidR="001209B8" w:rsidRDefault="001209B8" w:rsidP="002E5B3F">
            <w:pPr>
              <w:pStyle w:val="Heading5"/>
            </w:pPr>
            <w:r>
              <w:t>3</w:t>
            </w:r>
          </w:p>
        </w:tc>
        <w:tc>
          <w:tcPr>
            <w:tcW w:w="8367" w:type="dxa"/>
          </w:tcPr>
          <w:p w14:paraId="257ED516" w14:textId="77777777" w:rsidR="001209B8" w:rsidRDefault="001209B8" w:rsidP="002E5B3F">
            <w:pPr>
              <w:pStyle w:val="Heading5"/>
            </w:pPr>
            <w:r>
              <w:rPr>
                <w:rFonts w:cs="Arial"/>
              </w:rPr>
              <w:t>Annex 3.2.B (Salary non-reduction – members with the rank of Warrant Officer Class 1 or lower), Part 1: Members with the rank of Warrant Officer Class 1, table item 14</w:t>
            </w:r>
          </w:p>
        </w:tc>
      </w:tr>
      <w:tr w:rsidR="001209B8" w14:paraId="3BD91B96" w14:textId="77777777" w:rsidTr="002E5B3F">
        <w:tc>
          <w:tcPr>
            <w:tcW w:w="992" w:type="dxa"/>
          </w:tcPr>
          <w:p w14:paraId="520885F3" w14:textId="77777777" w:rsidR="001209B8" w:rsidRDefault="001209B8" w:rsidP="002E5B3F">
            <w:pPr>
              <w:pStyle w:val="BlockText-Plain"/>
              <w:jc w:val="center"/>
            </w:pPr>
          </w:p>
        </w:tc>
        <w:tc>
          <w:tcPr>
            <w:tcW w:w="8367" w:type="dxa"/>
          </w:tcPr>
          <w:p w14:paraId="2C07A1DB" w14:textId="77777777" w:rsidR="001209B8" w:rsidRPr="004B0C48" w:rsidRDefault="001209B8" w:rsidP="002E5B3F">
            <w:pPr>
              <w:pStyle w:val="BlockText-Plain"/>
            </w:pPr>
            <w:r>
              <w:rPr>
                <w:iCs/>
              </w:rPr>
              <w:t>Omit the table item, substitute:</w:t>
            </w:r>
          </w:p>
        </w:tc>
      </w:tr>
    </w:tbl>
    <w:p w14:paraId="130418D8" w14:textId="77777777" w:rsidR="001209B8" w:rsidRPr="00745ED6" w:rsidRDefault="001209B8" w:rsidP="001209B8">
      <w:pPr>
        <w:rPr>
          <w:bCs/>
          <w:iCs/>
          <w:color w:val="000000"/>
          <w:sz w:val="20"/>
        </w:rPr>
      </w:pPr>
    </w:p>
    <w:tbl>
      <w:tblPr>
        <w:tblW w:w="95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2693"/>
        <w:gridCol w:w="2977"/>
        <w:gridCol w:w="3054"/>
      </w:tblGrid>
      <w:tr w:rsidR="001209B8" w:rsidRPr="00325E4A" w14:paraId="02FC7FCC" w14:textId="77777777" w:rsidTr="002E5B3F">
        <w:trPr>
          <w:trHeight w:val="234"/>
          <w:jc w:val="center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9D7A9" w14:textId="77777777" w:rsidR="001209B8" w:rsidRPr="00325E4A" w:rsidRDefault="001209B8" w:rsidP="002E5B3F">
            <w:pPr>
              <w:spacing w:beforeLines="20" w:before="48" w:after="120"/>
              <w:jc w:val="center"/>
              <w:rPr>
                <w:rFonts w:cs="Arial"/>
                <w:bCs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Pr="00325E4A">
              <w:rPr>
                <w:color w:val="000000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22EC" w14:textId="1F6A1AD2" w:rsidR="001209B8" w:rsidRPr="00325E4A" w:rsidRDefault="001209B8" w:rsidP="002E5B3F">
            <w:pPr>
              <w:spacing w:after="120"/>
              <w:rPr>
                <w:bCs/>
                <w:sz w:val="20"/>
              </w:rPr>
            </w:pPr>
            <w:r w:rsidRPr="00325E4A">
              <w:rPr>
                <w:bCs/>
                <w:sz w:val="20"/>
              </w:rPr>
              <w:t>Manager Surveillance Target Acquisition</w:t>
            </w:r>
            <w:r>
              <w:rPr>
                <w:bCs/>
                <w:sz w:val="20"/>
              </w:rPr>
              <w:t xml:space="preserve"> (Reserve</w:t>
            </w:r>
            <w:r w:rsidR="00416098">
              <w:rPr>
                <w:bCs/>
                <w:sz w:val="20"/>
              </w:rPr>
              <w:t>s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77E0" w14:textId="48B61516" w:rsidR="001209B8" w:rsidRPr="00325E4A" w:rsidRDefault="008E2F6C" w:rsidP="002E5B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27</w:t>
            </w:r>
            <w:r w:rsidR="001209B8">
              <w:rPr>
                <w:sz w:val="20"/>
              </w:rPr>
              <w:t xml:space="preserve"> December 2018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926F" w14:textId="77777777" w:rsidR="001209B8" w:rsidRPr="00325E4A" w:rsidRDefault="001209B8" w:rsidP="002E5B3F">
            <w:pPr>
              <w:spacing w:after="120"/>
              <w:rPr>
                <w:sz w:val="20"/>
              </w:rPr>
            </w:pPr>
            <w:r w:rsidRPr="00325E4A">
              <w:rPr>
                <w:sz w:val="20"/>
              </w:rPr>
              <w:t>31</w:t>
            </w:r>
            <w:r>
              <w:rPr>
                <w:sz w:val="20"/>
              </w:rPr>
              <w:t xml:space="preserve"> December 2020</w:t>
            </w:r>
            <w:r w:rsidRPr="00325E4A">
              <w:rPr>
                <w:sz w:val="20"/>
              </w:rPr>
              <w:t>.</w:t>
            </w:r>
          </w:p>
        </w:tc>
      </w:tr>
    </w:tbl>
    <w:p w14:paraId="2BBF75ED" w14:textId="77777777" w:rsidR="001209B8" w:rsidRDefault="001209B8" w:rsidP="001209B8">
      <w:pPr>
        <w:rPr>
          <w:bCs/>
          <w:iCs/>
          <w:color w:val="000000"/>
          <w:sz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992"/>
        <w:gridCol w:w="8367"/>
      </w:tblGrid>
      <w:tr w:rsidR="001209B8" w14:paraId="44C3B312" w14:textId="77777777" w:rsidTr="002E5B3F">
        <w:tc>
          <w:tcPr>
            <w:tcW w:w="992" w:type="dxa"/>
          </w:tcPr>
          <w:p w14:paraId="6B1BBD25" w14:textId="77777777" w:rsidR="001209B8" w:rsidRDefault="001209B8" w:rsidP="002E5B3F">
            <w:pPr>
              <w:pStyle w:val="Heading5"/>
            </w:pPr>
            <w:r>
              <w:t>4</w:t>
            </w:r>
          </w:p>
        </w:tc>
        <w:tc>
          <w:tcPr>
            <w:tcW w:w="8367" w:type="dxa"/>
          </w:tcPr>
          <w:p w14:paraId="22342031" w14:textId="77777777" w:rsidR="001209B8" w:rsidRDefault="001209B8" w:rsidP="002E5B3F">
            <w:pPr>
              <w:pStyle w:val="Heading5"/>
            </w:pPr>
            <w:r>
              <w:rPr>
                <w:rFonts w:cs="Arial"/>
              </w:rPr>
              <w:t>Annex 3.2.B (Salary non-reduction – members with the rank of Warrant Officer Class 1 or lower), Part 2: Members with the rank of Warrant Officer Class 2 or lower, table item 10, column 3</w:t>
            </w:r>
          </w:p>
        </w:tc>
      </w:tr>
      <w:tr w:rsidR="001209B8" w14:paraId="6254A113" w14:textId="77777777" w:rsidTr="002E5B3F">
        <w:tc>
          <w:tcPr>
            <w:tcW w:w="992" w:type="dxa"/>
          </w:tcPr>
          <w:p w14:paraId="22B98704" w14:textId="77777777" w:rsidR="001209B8" w:rsidRDefault="001209B8" w:rsidP="002E5B3F">
            <w:pPr>
              <w:pStyle w:val="BlockText-Plain"/>
              <w:jc w:val="center"/>
            </w:pPr>
          </w:p>
        </w:tc>
        <w:tc>
          <w:tcPr>
            <w:tcW w:w="8367" w:type="dxa"/>
          </w:tcPr>
          <w:p w14:paraId="427D7740" w14:textId="77777777" w:rsidR="001209B8" w:rsidRPr="004B0C48" w:rsidRDefault="001209B8" w:rsidP="002E5B3F">
            <w:pPr>
              <w:pStyle w:val="BlockText-Plain"/>
            </w:pPr>
            <w:r>
              <w:rPr>
                <w:iCs/>
              </w:rPr>
              <w:t>Omit "2018", substitute "2020".</w:t>
            </w:r>
          </w:p>
        </w:tc>
      </w:tr>
      <w:tr w:rsidR="001209B8" w14:paraId="6E69823D" w14:textId="77777777" w:rsidTr="002E5B3F">
        <w:tc>
          <w:tcPr>
            <w:tcW w:w="992" w:type="dxa"/>
          </w:tcPr>
          <w:p w14:paraId="63B43309" w14:textId="77777777" w:rsidR="001209B8" w:rsidRDefault="001209B8" w:rsidP="002E5B3F">
            <w:pPr>
              <w:pStyle w:val="Heading5"/>
            </w:pPr>
            <w:r>
              <w:t>5</w:t>
            </w:r>
          </w:p>
        </w:tc>
        <w:tc>
          <w:tcPr>
            <w:tcW w:w="8367" w:type="dxa"/>
          </w:tcPr>
          <w:p w14:paraId="1316D802" w14:textId="77777777" w:rsidR="001209B8" w:rsidRDefault="001209B8" w:rsidP="002E5B3F">
            <w:pPr>
              <w:pStyle w:val="Heading5"/>
            </w:pPr>
            <w:r>
              <w:rPr>
                <w:rFonts w:cs="Arial"/>
              </w:rPr>
              <w:t>Annex 3.2.B (Salary non-reduction – members with the rank of Warrant Officer Class 1 or lower), Part 2: Members with the rank of Warrant Officer Class 2 or lower, table item 17, column 3</w:t>
            </w:r>
          </w:p>
        </w:tc>
      </w:tr>
      <w:tr w:rsidR="001209B8" w14:paraId="20F32FCA" w14:textId="77777777" w:rsidTr="002E5B3F">
        <w:tc>
          <w:tcPr>
            <w:tcW w:w="992" w:type="dxa"/>
          </w:tcPr>
          <w:p w14:paraId="60B6633B" w14:textId="77777777" w:rsidR="001209B8" w:rsidRDefault="001209B8" w:rsidP="002E5B3F">
            <w:pPr>
              <w:pStyle w:val="BlockText-Plain"/>
              <w:jc w:val="center"/>
            </w:pPr>
          </w:p>
        </w:tc>
        <w:tc>
          <w:tcPr>
            <w:tcW w:w="8367" w:type="dxa"/>
          </w:tcPr>
          <w:p w14:paraId="5009BF0D" w14:textId="77777777" w:rsidR="001209B8" w:rsidRPr="004B0C48" w:rsidRDefault="001209B8" w:rsidP="002E5B3F">
            <w:pPr>
              <w:pStyle w:val="BlockText-Plain"/>
            </w:pPr>
            <w:r>
              <w:rPr>
                <w:iCs/>
              </w:rPr>
              <w:t>Omit "2018", substitute "2020".</w:t>
            </w:r>
          </w:p>
        </w:tc>
      </w:tr>
    </w:tbl>
    <w:p w14:paraId="2C7D1899" w14:textId="77777777" w:rsidR="001209B8" w:rsidRDefault="001209B8" w:rsidP="001209B8">
      <w:pPr>
        <w:rPr>
          <w:bCs/>
          <w:iCs/>
          <w:color w:val="000000"/>
          <w:sz w:val="20"/>
        </w:rPr>
      </w:pPr>
    </w:p>
    <w:p w14:paraId="5625729B" w14:textId="77777777" w:rsidR="001209B8" w:rsidRDefault="001209B8" w:rsidP="001209B8">
      <w:pPr>
        <w:rPr>
          <w:bCs/>
          <w:iCs/>
          <w:color w:val="000000"/>
          <w:sz w:val="20"/>
        </w:rPr>
      </w:pPr>
      <w:r>
        <w:rPr>
          <w:bCs/>
          <w:iCs/>
          <w:color w:val="000000"/>
          <w:sz w:val="20"/>
        </w:rPr>
        <w:br w:type="page"/>
      </w:r>
    </w:p>
    <w:p w14:paraId="75AA9A05" w14:textId="77777777" w:rsidR="001209B8" w:rsidRDefault="001209B8" w:rsidP="001209B8">
      <w:pPr>
        <w:rPr>
          <w:bCs/>
          <w:iCs/>
          <w:color w:val="000000"/>
          <w:sz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992"/>
        <w:gridCol w:w="8367"/>
      </w:tblGrid>
      <w:tr w:rsidR="001209B8" w14:paraId="614BAD83" w14:textId="77777777" w:rsidTr="002E5B3F">
        <w:tc>
          <w:tcPr>
            <w:tcW w:w="992" w:type="dxa"/>
          </w:tcPr>
          <w:p w14:paraId="2CE3995E" w14:textId="77777777" w:rsidR="001209B8" w:rsidRDefault="001209B8" w:rsidP="002E5B3F">
            <w:pPr>
              <w:pStyle w:val="Heading5"/>
            </w:pPr>
            <w:r>
              <w:t>6</w:t>
            </w:r>
          </w:p>
        </w:tc>
        <w:tc>
          <w:tcPr>
            <w:tcW w:w="8367" w:type="dxa"/>
          </w:tcPr>
          <w:p w14:paraId="327F8630" w14:textId="77777777" w:rsidR="001209B8" w:rsidRDefault="001209B8" w:rsidP="002E5B3F">
            <w:pPr>
              <w:pStyle w:val="Heading5"/>
            </w:pPr>
            <w:r>
              <w:rPr>
                <w:rFonts w:cs="Arial"/>
              </w:rPr>
              <w:t>Annex 3.2.B (Salary non-reduction – members with the rank of Warrant Officer Class 1 or lower), Part 2: Members with the rank of Warrant Officer Class 2 or lower, table item 18, column 3</w:t>
            </w:r>
          </w:p>
        </w:tc>
      </w:tr>
      <w:tr w:rsidR="001209B8" w14:paraId="691F2226" w14:textId="77777777" w:rsidTr="002E5B3F">
        <w:tc>
          <w:tcPr>
            <w:tcW w:w="992" w:type="dxa"/>
          </w:tcPr>
          <w:p w14:paraId="2F4C5EC5" w14:textId="77777777" w:rsidR="001209B8" w:rsidRDefault="001209B8" w:rsidP="002E5B3F">
            <w:pPr>
              <w:pStyle w:val="BlockText-Plain"/>
              <w:jc w:val="center"/>
            </w:pPr>
          </w:p>
        </w:tc>
        <w:tc>
          <w:tcPr>
            <w:tcW w:w="8367" w:type="dxa"/>
          </w:tcPr>
          <w:p w14:paraId="1FDC7FCA" w14:textId="77777777" w:rsidR="001209B8" w:rsidRPr="004B0C48" w:rsidRDefault="001209B8" w:rsidP="002E5B3F">
            <w:pPr>
              <w:pStyle w:val="BlockText-Plain"/>
            </w:pPr>
            <w:r>
              <w:rPr>
                <w:iCs/>
              </w:rPr>
              <w:t>Omit "2018", substitute "2020".</w:t>
            </w:r>
          </w:p>
        </w:tc>
      </w:tr>
      <w:tr w:rsidR="001209B8" w14:paraId="0CEAF7EF" w14:textId="77777777" w:rsidTr="002E5B3F">
        <w:tc>
          <w:tcPr>
            <w:tcW w:w="992" w:type="dxa"/>
          </w:tcPr>
          <w:p w14:paraId="6A6E0DBA" w14:textId="77777777" w:rsidR="001209B8" w:rsidRDefault="001209B8" w:rsidP="002E5B3F">
            <w:pPr>
              <w:pStyle w:val="Heading5"/>
            </w:pPr>
            <w:r>
              <w:t>7</w:t>
            </w:r>
          </w:p>
        </w:tc>
        <w:tc>
          <w:tcPr>
            <w:tcW w:w="8367" w:type="dxa"/>
          </w:tcPr>
          <w:p w14:paraId="1B11976D" w14:textId="77777777" w:rsidR="001209B8" w:rsidRDefault="001209B8" w:rsidP="002E5B3F">
            <w:pPr>
              <w:pStyle w:val="Heading5"/>
            </w:pPr>
            <w:r>
              <w:rPr>
                <w:rFonts w:cs="Arial"/>
              </w:rPr>
              <w:t>Annex 3.2.B (Salary non-reduction – members with the rank of Warrant Officer Class 1 or lower), Part 2: Members with the rank of Warrant Officer Class 2 or lower, table item 19, column 3</w:t>
            </w:r>
          </w:p>
        </w:tc>
      </w:tr>
      <w:tr w:rsidR="001209B8" w14:paraId="629A8DB4" w14:textId="77777777" w:rsidTr="002E5B3F">
        <w:tc>
          <w:tcPr>
            <w:tcW w:w="992" w:type="dxa"/>
          </w:tcPr>
          <w:p w14:paraId="2D363C4E" w14:textId="77777777" w:rsidR="001209B8" w:rsidRDefault="001209B8" w:rsidP="002E5B3F">
            <w:pPr>
              <w:pStyle w:val="BlockText-Plain"/>
              <w:jc w:val="center"/>
            </w:pPr>
          </w:p>
        </w:tc>
        <w:tc>
          <w:tcPr>
            <w:tcW w:w="8367" w:type="dxa"/>
          </w:tcPr>
          <w:p w14:paraId="14B443D2" w14:textId="77777777" w:rsidR="001209B8" w:rsidRPr="004B0C48" w:rsidRDefault="001209B8" w:rsidP="002E5B3F">
            <w:pPr>
              <w:pStyle w:val="BlockText-Plain"/>
            </w:pPr>
            <w:r>
              <w:rPr>
                <w:iCs/>
              </w:rPr>
              <w:t>Omit "2018", substitute "2020".</w:t>
            </w:r>
          </w:p>
        </w:tc>
      </w:tr>
      <w:tr w:rsidR="001209B8" w14:paraId="526CA708" w14:textId="77777777" w:rsidTr="002E5B3F">
        <w:tc>
          <w:tcPr>
            <w:tcW w:w="992" w:type="dxa"/>
          </w:tcPr>
          <w:p w14:paraId="5E3B17FE" w14:textId="77777777" w:rsidR="001209B8" w:rsidRDefault="001209B8" w:rsidP="002E5B3F">
            <w:pPr>
              <w:pStyle w:val="Heading5"/>
            </w:pPr>
            <w:r>
              <w:t>8</w:t>
            </w:r>
          </w:p>
        </w:tc>
        <w:tc>
          <w:tcPr>
            <w:tcW w:w="8367" w:type="dxa"/>
          </w:tcPr>
          <w:p w14:paraId="1C1450CE" w14:textId="77777777" w:rsidR="001209B8" w:rsidRDefault="001209B8" w:rsidP="002E5B3F">
            <w:pPr>
              <w:pStyle w:val="Heading5"/>
            </w:pPr>
            <w:r>
              <w:rPr>
                <w:rFonts w:cs="Arial"/>
              </w:rPr>
              <w:t>Annex 3.2.B (Salary non-reduction – members with the rank of Warrant Officer Class 1 or lower), Part 2: Members with the rank of Warrant Officer Class 2 or lower, table item 24, column 3</w:t>
            </w:r>
          </w:p>
        </w:tc>
      </w:tr>
      <w:tr w:rsidR="001209B8" w14:paraId="28D2A3F0" w14:textId="77777777" w:rsidTr="002E5B3F">
        <w:tc>
          <w:tcPr>
            <w:tcW w:w="992" w:type="dxa"/>
          </w:tcPr>
          <w:p w14:paraId="2D50C097" w14:textId="77777777" w:rsidR="001209B8" w:rsidRDefault="001209B8" w:rsidP="002E5B3F">
            <w:pPr>
              <w:pStyle w:val="BlockText-Plain"/>
              <w:jc w:val="center"/>
            </w:pPr>
          </w:p>
        </w:tc>
        <w:tc>
          <w:tcPr>
            <w:tcW w:w="8367" w:type="dxa"/>
          </w:tcPr>
          <w:p w14:paraId="0DF91CCD" w14:textId="77777777" w:rsidR="001209B8" w:rsidRPr="004B0C48" w:rsidRDefault="001209B8" w:rsidP="002E5B3F">
            <w:pPr>
              <w:pStyle w:val="BlockText-Plain"/>
            </w:pPr>
            <w:r>
              <w:rPr>
                <w:iCs/>
              </w:rPr>
              <w:t>Omit "2018", substitute "2020".</w:t>
            </w:r>
          </w:p>
        </w:tc>
      </w:tr>
      <w:tr w:rsidR="001209B8" w14:paraId="59FB2BCA" w14:textId="77777777" w:rsidTr="002E5B3F">
        <w:tc>
          <w:tcPr>
            <w:tcW w:w="992" w:type="dxa"/>
          </w:tcPr>
          <w:p w14:paraId="33E80242" w14:textId="77777777" w:rsidR="001209B8" w:rsidRDefault="001209B8" w:rsidP="002E5B3F">
            <w:pPr>
              <w:pStyle w:val="Heading5"/>
            </w:pPr>
            <w:r>
              <w:t>9</w:t>
            </w:r>
          </w:p>
        </w:tc>
        <w:tc>
          <w:tcPr>
            <w:tcW w:w="8367" w:type="dxa"/>
          </w:tcPr>
          <w:p w14:paraId="66AB702C" w14:textId="77777777" w:rsidR="001209B8" w:rsidRDefault="001209B8" w:rsidP="002E5B3F">
            <w:pPr>
              <w:pStyle w:val="Heading5"/>
            </w:pPr>
            <w:r>
              <w:rPr>
                <w:rFonts w:cs="Arial"/>
              </w:rPr>
              <w:t>Annex 3.2.B (Salary non-reduction – members with the rank of Warrant Officer Class 1 or lower), Part 2: Members with the rank of Warrant Officer Class 2 or lower, table item 25, column 3</w:t>
            </w:r>
          </w:p>
        </w:tc>
      </w:tr>
      <w:tr w:rsidR="001209B8" w14:paraId="461067B0" w14:textId="77777777" w:rsidTr="002E5B3F">
        <w:tc>
          <w:tcPr>
            <w:tcW w:w="992" w:type="dxa"/>
          </w:tcPr>
          <w:p w14:paraId="13CBBC20" w14:textId="77777777" w:rsidR="001209B8" w:rsidRDefault="001209B8" w:rsidP="002E5B3F">
            <w:pPr>
              <w:pStyle w:val="BlockText-Plain"/>
              <w:jc w:val="center"/>
            </w:pPr>
          </w:p>
        </w:tc>
        <w:tc>
          <w:tcPr>
            <w:tcW w:w="8367" w:type="dxa"/>
          </w:tcPr>
          <w:p w14:paraId="09FCE601" w14:textId="77777777" w:rsidR="001209B8" w:rsidRPr="004B0C48" w:rsidRDefault="001209B8" w:rsidP="002E5B3F">
            <w:pPr>
              <w:pStyle w:val="BlockText-Plain"/>
            </w:pPr>
            <w:r>
              <w:rPr>
                <w:iCs/>
              </w:rPr>
              <w:t>Omit "2018", substitute "2020".</w:t>
            </w:r>
          </w:p>
        </w:tc>
      </w:tr>
      <w:tr w:rsidR="001209B8" w14:paraId="293B9A78" w14:textId="77777777" w:rsidTr="002E5B3F">
        <w:tc>
          <w:tcPr>
            <w:tcW w:w="992" w:type="dxa"/>
          </w:tcPr>
          <w:p w14:paraId="7E66B508" w14:textId="77777777" w:rsidR="001209B8" w:rsidRDefault="001209B8" w:rsidP="002E5B3F">
            <w:pPr>
              <w:pStyle w:val="Heading5"/>
            </w:pPr>
            <w:r>
              <w:t>10</w:t>
            </w:r>
          </w:p>
        </w:tc>
        <w:tc>
          <w:tcPr>
            <w:tcW w:w="8367" w:type="dxa"/>
          </w:tcPr>
          <w:p w14:paraId="453BFBE7" w14:textId="77777777" w:rsidR="001209B8" w:rsidRDefault="001209B8" w:rsidP="002E5B3F">
            <w:pPr>
              <w:pStyle w:val="Heading5"/>
            </w:pPr>
            <w:r>
              <w:rPr>
                <w:rFonts w:cs="Arial"/>
              </w:rPr>
              <w:t>Annex 3.2.B (Salary non-reduction – members with the rank of Warrant Officer Class 1 or lower), Part 2: Members with the rank of Warrant Officer Class 2 or lower, table item 31, column 3</w:t>
            </w:r>
          </w:p>
        </w:tc>
      </w:tr>
      <w:tr w:rsidR="001209B8" w14:paraId="2BA1AC36" w14:textId="77777777" w:rsidTr="002E5B3F">
        <w:tc>
          <w:tcPr>
            <w:tcW w:w="992" w:type="dxa"/>
          </w:tcPr>
          <w:p w14:paraId="6EA1C75B" w14:textId="77777777" w:rsidR="001209B8" w:rsidRDefault="001209B8" w:rsidP="002E5B3F">
            <w:pPr>
              <w:pStyle w:val="BlockText-Plain"/>
              <w:jc w:val="center"/>
            </w:pPr>
          </w:p>
        </w:tc>
        <w:tc>
          <w:tcPr>
            <w:tcW w:w="8367" w:type="dxa"/>
          </w:tcPr>
          <w:p w14:paraId="4F69DF20" w14:textId="77777777" w:rsidR="001209B8" w:rsidRPr="004B0C48" w:rsidRDefault="001209B8" w:rsidP="002E5B3F">
            <w:pPr>
              <w:pStyle w:val="BlockText-Plain"/>
            </w:pPr>
            <w:r>
              <w:rPr>
                <w:iCs/>
              </w:rPr>
              <w:t>Omit "2018", substitute "2020".</w:t>
            </w:r>
          </w:p>
        </w:tc>
      </w:tr>
      <w:tr w:rsidR="001209B8" w14:paraId="0EEF2824" w14:textId="77777777" w:rsidTr="002E5B3F">
        <w:tc>
          <w:tcPr>
            <w:tcW w:w="992" w:type="dxa"/>
          </w:tcPr>
          <w:p w14:paraId="7458686F" w14:textId="77777777" w:rsidR="001209B8" w:rsidRDefault="001209B8" w:rsidP="002E5B3F">
            <w:pPr>
              <w:pStyle w:val="Heading5"/>
            </w:pPr>
            <w:r>
              <w:t>11</w:t>
            </w:r>
          </w:p>
        </w:tc>
        <w:tc>
          <w:tcPr>
            <w:tcW w:w="8367" w:type="dxa"/>
          </w:tcPr>
          <w:p w14:paraId="7EAB5BD6" w14:textId="77777777" w:rsidR="001209B8" w:rsidRDefault="001209B8" w:rsidP="002E5B3F">
            <w:pPr>
              <w:pStyle w:val="Heading5"/>
            </w:pPr>
            <w:r>
              <w:rPr>
                <w:rFonts w:cs="Arial"/>
              </w:rPr>
              <w:t>Annex 3.2.B (Salary non-reduction – members with the rank of Warrant Officer Class 1 or lower), Part 2: Members with the rank of Warrant Officer Class 2 or lower, table item 32, column 3</w:t>
            </w:r>
          </w:p>
        </w:tc>
      </w:tr>
      <w:tr w:rsidR="001209B8" w14:paraId="1CF06DAF" w14:textId="77777777" w:rsidTr="002E5B3F">
        <w:tc>
          <w:tcPr>
            <w:tcW w:w="992" w:type="dxa"/>
          </w:tcPr>
          <w:p w14:paraId="07E3A940" w14:textId="77777777" w:rsidR="001209B8" w:rsidRDefault="001209B8" w:rsidP="002E5B3F">
            <w:pPr>
              <w:pStyle w:val="BlockText-Plain"/>
              <w:jc w:val="center"/>
            </w:pPr>
          </w:p>
        </w:tc>
        <w:tc>
          <w:tcPr>
            <w:tcW w:w="8367" w:type="dxa"/>
          </w:tcPr>
          <w:p w14:paraId="43E0AA42" w14:textId="77777777" w:rsidR="001209B8" w:rsidRPr="004B0C48" w:rsidRDefault="001209B8" w:rsidP="002E5B3F">
            <w:pPr>
              <w:pStyle w:val="BlockText-Plain"/>
            </w:pPr>
            <w:r>
              <w:rPr>
                <w:iCs/>
              </w:rPr>
              <w:t>Omit "2018", substitute "2020".</w:t>
            </w:r>
          </w:p>
        </w:tc>
      </w:tr>
    </w:tbl>
    <w:p w14:paraId="4EACA5E5" w14:textId="77777777" w:rsidR="001209B8" w:rsidRDefault="001209B8" w:rsidP="001209B8">
      <w:pPr>
        <w:rPr>
          <w:b/>
        </w:rPr>
      </w:pPr>
    </w:p>
    <w:p w14:paraId="50651B6E" w14:textId="77777777" w:rsidR="001209B8" w:rsidRDefault="001209B8" w:rsidP="001209B8">
      <w:r>
        <w:rPr>
          <w:b/>
        </w:rPr>
        <w:br w:type="page"/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992"/>
        <w:gridCol w:w="8367"/>
      </w:tblGrid>
      <w:tr w:rsidR="001209B8" w14:paraId="46428622" w14:textId="77777777" w:rsidTr="002E5B3F">
        <w:tc>
          <w:tcPr>
            <w:tcW w:w="992" w:type="dxa"/>
          </w:tcPr>
          <w:p w14:paraId="51DA319D" w14:textId="77777777" w:rsidR="001209B8" w:rsidRDefault="001209B8" w:rsidP="002E5B3F">
            <w:pPr>
              <w:pStyle w:val="Heading5"/>
            </w:pPr>
            <w:r>
              <w:lastRenderedPageBreak/>
              <w:t>12</w:t>
            </w:r>
          </w:p>
        </w:tc>
        <w:tc>
          <w:tcPr>
            <w:tcW w:w="8367" w:type="dxa"/>
          </w:tcPr>
          <w:p w14:paraId="3AAE2808" w14:textId="77777777" w:rsidR="001209B8" w:rsidRDefault="001209B8" w:rsidP="002E5B3F">
            <w:pPr>
              <w:pStyle w:val="Heading5"/>
            </w:pPr>
            <w:r>
              <w:rPr>
                <w:rFonts w:cs="Arial"/>
              </w:rPr>
              <w:t>Annex 3.2.B (Salary non-reduction – members with the rank of Warrant Officer Class 1 or lower), Part 2: Members with the rank of Warrant Officer Class 2 or lower, table item 36</w:t>
            </w:r>
          </w:p>
        </w:tc>
      </w:tr>
      <w:tr w:rsidR="001209B8" w14:paraId="43FB43CB" w14:textId="77777777" w:rsidTr="002E5B3F">
        <w:tc>
          <w:tcPr>
            <w:tcW w:w="992" w:type="dxa"/>
          </w:tcPr>
          <w:p w14:paraId="0120AE48" w14:textId="77777777" w:rsidR="001209B8" w:rsidRDefault="001209B8" w:rsidP="002E5B3F">
            <w:pPr>
              <w:pStyle w:val="BlockText-Plain"/>
              <w:jc w:val="center"/>
            </w:pPr>
          </w:p>
        </w:tc>
        <w:tc>
          <w:tcPr>
            <w:tcW w:w="8367" w:type="dxa"/>
          </w:tcPr>
          <w:p w14:paraId="5DCAB128" w14:textId="77777777" w:rsidR="001209B8" w:rsidRPr="004B0C48" w:rsidRDefault="001209B8" w:rsidP="002E5B3F">
            <w:pPr>
              <w:pStyle w:val="BlockText-Plain"/>
            </w:pPr>
            <w:r>
              <w:rPr>
                <w:iCs/>
              </w:rPr>
              <w:t>Omit the table item, substitute:</w:t>
            </w:r>
          </w:p>
        </w:tc>
      </w:tr>
    </w:tbl>
    <w:p w14:paraId="19649625" w14:textId="77777777" w:rsidR="001209B8" w:rsidRDefault="001209B8" w:rsidP="001209B8"/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977"/>
        <w:gridCol w:w="2977"/>
      </w:tblGrid>
      <w:tr w:rsidR="001209B8" w:rsidRPr="00325E4A" w14:paraId="741899FD" w14:textId="77777777" w:rsidTr="002E5B3F">
        <w:trPr>
          <w:trHeight w:val="87"/>
        </w:trPr>
        <w:tc>
          <w:tcPr>
            <w:tcW w:w="709" w:type="dxa"/>
            <w:shd w:val="clear" w:color="auto" w:fill="auto"/>
          </w:tcPr>
          <w:p w14:paraId="42E0C349" w14:textId="77777777" w:rsidR="001209B8" w:rsidRPr="006B3F31" w:rsidRDefault="001209B8" w:rsidP="002E5B3F">
            <w:pPr>
              <w:spacing w:beforeLines="20" w:before="48" w:after="120"/>
              <w:jc w:val="center"/>
              <w:rPr>
                <w:rFonts w:cs="Arial"/>
                <w:sz w:val="20"/>
              </w:rPr>
            </w:pPr>
            <w:r w:rsidRPr="006B3F31">
              <w:rPr>
                <w:rFonts w:cs="Arial"/>
                <w:sz w:val="20"/>
              </w:rPr>
              <w:t>36.</w:t>
            </w:r>
          </w:p>
        </w:tc>
        <w:tc>
          <w:tcPr>
            <w:tcW w:w="2835" w:type="dxa"/>
            <w:shd w:val="clear" w:color="auto" w:fill="auto"/>
          </w:tcPr>
          <w:p w14:paraId="43B0AA0D" w14:textId="7C3A532C" w:rsidR="001209B8" w:rsidRPr="006B3F31" w:rsidRDefault="001209B8" w:rsidP="00416098">
            <w:pPr>
              <w:spacing w:after="120"/>
              <w:rPr>
                <w:rFonts w:cs="Arial"/>
                <w:sz w:val="20"/>
              </w:rPr>
            </w:pPr>
            <w:r w:rsidRPr="006B3F31">
              <w:rPr>
                <w:iCs/>
                <w:sz w:val="20"/>
              </w:rPr>
              <w:t xml:space="preserve">Manager Operations Ground Based Air Defence on 16 November 2016 </w:t>
            </w:r>
            <w:r w:rsidR="00416098">
              <w:rPr>
                <w:iCs/>
                <w:sz w:val="20"/>
              </w:rPr>
              <w:t>at</w:t>
            </w:r>
            <w:r>
              <w:rPr>
                <w:iCs/>
                <w:sz w:val="20"/>
              </w:rPr>
              <w:t xml:space="preserve"> the rank of</w:t>
            </w:r>
            <w:r w:rsidRPr="006B3F31">
              <w:rPr>
                <w:iCs/>
                <w:sz w:val="20"/>
              </w:rPr>
              <w:t xml:space="preserve"> Sergeant</w:t>
            </w:r>
          </w:p>
        </w:tc>
        <w:tc>
          <w:tcPr>
            <w:tcW w:w="2977" w:type="dxa"/>
            <w:shd w:val="clear" w:color="auto" w:fill="auto"/>
          </w:tcPr>
          <w:p w14:paraId="6B788917" w14:textId="470E0EEE" w:rsidR="001209B8" w:rsidRPr="006B3F31" w:rsidRDefault="008E2F6C" w:rsidP="002E5B3F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  <w:r w:rsidR="001209B8" w:rsidRPr="006B3F31">
              <w:rPr>
                <w:rFonts w:cs="Arial"/>
                <w:sz w:val="20"/>
              </w:rPr>
              <w:t xml:space="preserve"> December 2018</w:t>
            </w:r>
          </w:p>
        </w:tc>
        <w:tc>
          <w:tcPr>
            <w:tcW w:w="2977" w:type="dxa"/>
            <w:shd w:val="clear" w:color="auto" w:fill="auto"/>
          </w:tcPr>
          <w:p w14:paraId="0A30256E" w14:textId="4824C2D7" w:rsidR="001209B8" w:rsidRPr="006B3F31" w:rsidRDefault="009D09E0" w:rsidP="009D09E0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  <w:r w:rsidR="001209B8" w:rsidRPr="006B3F3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November</w:t>
            </w:r>
            <w:r w:rsidR="001209B8" w:rsidRPr="006B3F31">
              <w:rPr>
                <w:rFonts w:cs="Arial"/>
                <w:sz w:val="20"/>
              </w:rPr>
              <w:t xml:space="preserve"> 2020.</w:t>
            </w:r>
          </w:p>
        </w:tc>
      </w:tr>
      <w:tr w:rsidR="001209B8" w:rsidRPr="00325E4A" w14:paraId="0606ACA2" w14:textId="77777777" w:rsidTr="002E5B3F">
        <w:trPr>
          <w:trHeight w:val="87"/>
        </w:trPr>
        <w:tc>
          <w:tcPr>
            <w:tcW w:w="709" w:type="dxa"/>
            <w:shd w:val="clear" w:color="auto" w:fill="auto"/>
          </w:tcPr>
          <w:p w14:paraId="6ED8857B" w14:textId="77777777" w:rsidR="001209B8" w:rsidRPr="006B3F31" w:rsidRDefault="001209B8" w:rsidP="002E5B3F">
            <w:pPr>
              <w:spacing w:beforeLines="20" w:before="48" w:after="120"/>
              <w:jc w:val="center"/>
              <w:rPr>
                <w:rFonts w:cs="Arial"/>
                <w:sz w:val="20"/>
              </w:rPr>
            </w:pPr>
            <w:r w:rsidRPr="006B3F31">
              <w:rPr>
                <w:rFonts w:cs="Arial"/>
                <w:sz w:val="20"/>
              </w:rPr>
              <w:t>36A.</w:t>
            </w:r>
          </w:p>
        </w:tc>
        <w:tc>
          <w:tcPr>
            <w:tcW w:w="2835" w:type="dxa"/>
            <w:shd w:val="clear" w:color="auto" w:fill="auto"/>
          </w:tcPr>
          <w:p w14:paraId="0385A238" w14:textId="76E1B017" w:rsidR="001209B8" w:rsidRPr="006B3F31" w:rsidRDefault="001209B8" w:rsidP="00416098">
            <w:pPr>
              <w:spacing w:after="120"/>
              <w:rPr>
                <w:iCs/>
                <w:sz w:val="20"/>
              </w:rPr>
            </w:pPr>
            <w:r w:rsidRPr="006B3F31">
              <w:rPr>
                <w:iCs/>
                <w:sz w:val="20"/>
              </w:rPr>
              <w:t xml:space="preserve">Manager Operations Offensive Grade 2 on 16 November 2016 </w:t>
            </w:r>
            <w:r w:rsidR="00416098">
              <w:rPr>
                <w:iCs/>
                <w:sz w:val="20"/>
              </w:rPr>
              <w:t>at</w:t>
            </w:r>
            <w:r>
              <w:rPr>
                <w:iCs/>
                <w:sz w:val="20"/>
              </w:rPr>
              <w:t xml:space="preserve"> the rank of</w:t>
            </w:r>
            <w:r w:rsidRPr="006B3F31">
              <w:rPr>
                <w:iCs/>
                <w:sz w:val="20"/>
              </w:rPr>
              <w:t xml:space="preserve"> Sergeant</w:t>
            </w:r>
          </w:p>
        </w:tc>
        <w:tc>
          <w:tcPr>
            <w:tcW w:w="2977" w:type="dxa"/>
            <w:shd w:val="clear" w:color="auto" w:fill="auto"/>
          </w:tcPr>
          <w:p w14:paraId="38ACEC6D" w14:textId="69688E22" w:rsidR="001209B8" w:rsidRPr="006B3F31" w:rsidRDefault="008E2F6C" w:rsidP="002E5B3F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  <w:r w:rsidR="001209B8" w:rsidRPr="006B3F31">
              <w:rPr>
                <w:rFonts w:cs="Arial"/>
                <w:sz w:val="20"/>
              </w:rPr>
              <w:t xml:space="preserve"> December 2018</w:t>
            </w:r>
          </w:p>
        </w:tc>
        <w:tc>
          <w:tcPr>
            <w:tcW w:w="2977" w:type="dxa"/>
            <w:shd w:val="clear" w:color="auto" w:fill="auto"/>
          </w:tcPr>
          <w:p w14:paraId="5CF6E045" w14:textId="1C9344F9" w:rsidR="001209B8" w:rsidRPr="006B3F31" w:rsidRDefault="009D09E0" w:rsidP="009D09E0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  <w:r w:rsidR="001209B8" w:rsidRPr="006B3F3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Nov</w:t>
            </w:r>
            <w:r w:rsidR="001209B8" w:rsidRPr="006B3F31">
              <w:rPr>
                <w:rFonts w:cs="Arial"/>
                <w:sz w:val="20"/>
              </w:rPr>
              <w:t>ember 2020.</w:t>
            </w:r>
          </w:p>
        </w:tc>
      </w:tr>
      <w:tr w:rsidR="001209B8" w:rsidRPr="00325E4A" w14:paraId="4D5CEEE9" w14:textId="77777777" w:rsidTr="002E5B3F">
        <w:trPr>
          <w:trHeight w:val="87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4919761A" w14:textId="77777777" w:rsidR="001209B8" w:rsidRPr="006B3F31" w:rsidRDefault="001209B8" w:rsidP="002E5B3F">
            <w:pPr>
              <w:spacing w:beforeLines="20" w:before="48" w:after="120"/>
              <w:jc w:val="center"/>
              <w:rPr>
                <w:rFonts w:cs="Arial"/>
                <w:sz w:val="20"/>
              </w:rPr>
            </w:pPr>
            <w:r w:rsidRPr="006B3F31">
              <w:rPr>
                <w:rFonts w:cs="Arial"/>
                <w:sz w:val="20"/>
              </w:rPr>
              <w:t>36B.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auto"/>
          </w:tcPr>
          <w:p w14:paraId="70D4A693" w14:textId="5D1B89B8" w:rsidR="001209B8" w:rsidRPr="006B3F31" w:rsidRDefault="001209B8" w:rsidP="00416098">
            <w:pPr>
              <w:spacing w:after="120"/>
              <w:rPr>
                <w:iCs/>
                <w:sz w:val="20"/>
              </w:rPr>
            </w:pPr>
            <w:r w:rsidRPr="006B3F31">
              <w:rPr>
                <w:iCs/>
                <w:sz w:val="20"/>
              </w:rPr>
              <w:t xml:space="preserve">Manager Surveillance Target Acquisition on 16 November 2016 </w:t>
            </w:r>
            <w:r w:rsidR="00416098">
              <w:rPr>
                <w:iCs/>
                <w:sz w:val="20"/>
              </w:rPr>
              <w:t>at</w:t>
            </w:r>
            <w:r>
              <w:rPr>
                <w:iCs/>
                <w:sz w:val="20"/>
              </w:rPr>
              <w:t xml:space="preserve"> the rank of</w:t>
            </w:r>
            <w:r w:rsidRPr="006B3F31">
              <w:rPr>
                <w:iCs/>
                <w:sz w:val="20"/>
              </w:rPr>
              <w:t xml:space="preserve"> Sergeant</w:t>
            </w:r>
            <w:r>
              <w:rPr>
                <w:iCs/>
                <w:sz w:val="20"/>
              </w:rPr>
              <w:t xml:space="preserve"> </w:t>
            </w:r>
            <w:r w:rsidRPr="006B3F31">
              <w:rPr>
                <w:iCs/>
                <w:sz w:val="20"/>
              </w:rPr>
              <w:t>(Permanent Forces)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</w:tcPr>
          <w:p w14:paraId="29073B28" w14:textId="10165918" w:rsidR="001209B8" w:rsidRPr="006B3F31" w:rsidRDefault="008E2F6C" w:rsidP="002E5B3F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  <w:r w:rsidR="001209B8" w:rsidRPr="006B3F31">
              <w:rPr>
                <w:rFonts w:cs="Arial"/>
                <w:sz w:val="20"/>
              </w:rPr>
              <w:t xml:space="preserve"> December 2018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</w:tcPr>
          <w:p w14:paraId="15753AC9" w14:textId="7C62BACE" w:rsidR="001209B8" w:rsidRPr="006B3F31" w:rsidRDefault="009D09E0" w:rsidP="002E5B3F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Nov</w:t>
            </w:r>
            <w:r w:rsidR="001209B8" w:rsidRPr="006B3F31">
              <w:rPr>
                <w:rFonts w:cs="Arial"/>
                <w:sz w:val="20"/>
              </w:rPr>
              <w:t>ember 2020.</w:t>
            </w:r>
          </w:p>
        </w:tc>
      </w:tr>
      <w:tr w:rsidR="001209B8" w:rsidRPr="00325E4A" w14:paraId="12BEA29B" w14:textId="77777777" w:rsidTr="002E5B3F">
        <w:trPr>
          <w:trHeight w:val="87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01463BD6" w14:textId="77777777" w:rsidR="001209B8" w:rsidRPr="006B3F31" w:rsidRDefault="001209B8" w:rsidP="002E5B3F">
            <w:pPr>
              <w:spacing w:beforeLines="20" w:before="48" w:after="120"/>
              <w:jc w:val="center"/>
              <w:rPr>
                <w:rFonts w:cs="Arial"/>
                <w:sz w:val="20"/>
              </w:rPr>
            </w:pPr>
            <w:r w:rsidRPr="006B3F31">
              <w:rPr>
                <w:rFonts w:cs="Arial"/>
                <w:sz w:val="20"/>
              </w:rPr>
              <w:t>36C.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auto"/>
          </w:tcPr>
          <w:p w14:paraId="7E723663" w14:textId="35754EF8" w:rsidR="001209B8" w:rsidRPr="006B3F31" w:rsidRDefault="001209B8" w:rsidP="002E5B3F">
            <w:pPr>
              <w:spacing w:after="120"/>
              <w:rPr>
                <w:iCs/>
                <w:sz w:val="20"/>
              </w:rPr>
            </w:pPr>
            <w:r w:rsidRPr="006B3F31">
              <w:rPr>
                <w:iCs/>
                <w:sz w:val="20"/>
              </w:rPr>
              <w:t>Manager Surveillance Target Acquisition</w:t>
            </w:r>
            <w:r>
              <w:rPr>
                <w:iCs/>
                <w:sz w:val="20"/>
              </w:rPr>
              <w:t xml:space="preserve"> </w:t>
            </w:r>
            <w:r w:rsidRPr="006B3F31">
              <w:rPr>
                <w:bCs/>
                <w:sz w:val="20"/>
              </w:rPr>
              <w:t>(Reserve</w:t>
            </w:r>
            <w:r w:rsidR="00416098">
              <w:rPr>
                <w:bCs/>
                <w:sz w:val="20"/>
              </w:rPr>
              <w:t>s</w:t>
            </w:r>
            <w:r w:rsidRPr="006B3F31">
              <w:rPr>
                <w:bCs/>
                <w:sz w:val="20"/>
              </w:rPr>
              <w:t>)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</w:tcPr>
          <w:p w14:paraId="7E9D7643" w14:textId="361269D1" w:rsidR="001209B8" w:rsidRPr="006B3F31" w:rsidRDefault="008E2F6C" w:rsidP="002E5B3F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  <w:r w:rsidR="001209B8" w:rsidRPr="006B3F31">
              <w:rPr>
                <w:rFonts w:cs="Arial"/>
                <w:sz w:val="20"/>
              </w:rPr>
              <w:t xml:space="preserve"> December 2018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</w:tcPr>
          <w:p w14:paraId="79CEEF48" w14:textId="06833780" w:rsidR="001209B8" w:rsidRPr="006B3F31" w:rsidRDefault="009D09E0" w:rsidP="002E5B3F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  <w:r w:rsidR="001209B8" w:rsidRPr="006B3F31">
              <w:rPr>
                <w:rFonts w:cs="Arial"/>
                <w:sz w:val="20"/>
              </w:rPr>
              <w:t xml:space="preserve"> December 2020.</w:t>
            </w:r>
          </w:p>
        </w:tc>
      </w:tr>
    </w:tbl>
    <w:p w14:paraId="3670DB1E" w14:textId="77777777" w:rsidR="001209B8" w:rsidRDefault="001209B8" w:rsidP="001209B8">
      <w:pPr>
        <w:pStyle w:val="BlockText-PlainNoSpacing"/>
      </w:pPr>
    </w:p>
    <w:p w14:paraId="2292DA54" w14:textId="77777777" w:rsidR="001209B8" w:rsidRDefault="001209B8" w:rsidP="001209B8">
      <w:pPr>
        <w:pStyle w:val="BlockText-PlainNoSpacing"/>
      </w:pPr>
    </w:p>
    <w:p w14:paraId="76CE867A" w14:textId="77777777" w:rsidR="001209B8" w:rsidRDefault="001209B8" w:rsidP="001209B8">
      <w:pPr>
        <w:pStyle w:val="BlockText-PlainNoSpacing"/>
      </w:pPr>
    </w:p>
    <w:p w14:paraId="6C09FED6" w14:textId="77777777" w:rsidR="001209B8" w:rsidRDefault="001209B8" w:rsidP="001209B8">
      <w:pPr>
        <w:pStyle w:val="BlockText-Plain"/>
        <w:sectPr w:rsidR="001209B8" w:rsidSect="00080EFF">
          <w:pgSz w:w="11906" w:h="16838" w:code="9"/>
          <w:pgMar w:top="1134" w:right="1134" w:bottom="992" w:left="1418" w:header="720" w:footer="720" w:gutter="0"/>
          <w:cols w:space="720"/>
        </w:sectPr>
      </w:pPr>
    </w:p>
    <w:p w14:paraId="56825625" w14:textId="77777777" w:rsidR="001209B8" w:rsidRPr="00355EFE" w:rsidRDefault="001209B8" w:rsidP="001209B8">
      <w:pPr>
        <w:pStyle w:val="acthead6"/>
        <w:keepNext/>
        <w:shd w:val="clear" w:color="auto" w:fill="FFFFFF"/>
        <w:spacing w:before="0" w:beforeAutospacing="0" w:after="0" w:afterAutospacing="0" w:line="360" w:lineRule="atLeast"/>
        <w:rPr>
          <w:rStyle w:val="charamschtext"/>
          <w:rFonts w:ascii="Arial" w:hAnsi="Arial" w:cs="Arial"/>
          <w:b/>
          <w:bCs/>
          <w:sz w:val="32"/>
          <w:szCs w:val="32"/>
        </w:rPr>
      </w:pPr>
      <w:r>
        <w:rPr>
          <w:rStyle w:val="charamschno"/>
          <w:rFonts w:ascii="Arial" w:hAnsi="Arial" w:cs="Arial"/>
          <w:b/>
          <w:bCs/>
          <w:sz w:val="32"/>
          <w:szCs w:val="32"/>
        </w:rPr>
        <w:lastRenderedPageBreak/>
        <w:t>Schedule 2</w:t>
      </w:r>
      <w:r w:rsidRPr="00355EFE">
        <w:rPr>
          <w:rFonts w:ascii="Arial" w:hAnsi="Arial" w:cs="Arial"/>
          <w:b/>
          <w:bCs/>
          <w:sz w:val="32"/>
          <w:szCs w:val="32"/>
        </w:rPr>
        <w:t>—</w:t>
      </w:r>
      <w:r w:rsidRPr="00DA46BF">
        <w:rPr>
          <w:rFonts w:ascii="Arial" w:hAnsi="Arial"/>
          <w:sz w:val="22"/>
          <w:szCs w:val="20"/>
        </w:rPr>
        <w:t xml:space="preserve"> </w:t>
      </w:r>
      <w:r w:rsidRPr="00DA46BF">
        <w:rPr>
          <w:rFonts w:ascii="Arial" w:hAnsi="Arial" w:cs="Arial"/>
          <w:b/>
          <w:bCs/>
          <w:sz w:val="32"/>
          <w:szCs w:val="32"/>
        </w:rPr>
        <w:t>Salary non-reduction</w:t>
      </w:r>
      <w:r>
        <w:rPr>
          <w:rFonts w:ascii="Arial" w:hAnsi="Arial" w:cs="Arial"/>
          <w:b/>
          <w:bCs/>
          <w:sz w:val="32"/>
          <w:szCs w:val="32"/>
        </w:rPr>
        <w:t xml:space="preserve"> transitional provisions</w:t>
      </w:r>
    </w:p>
    <w:p w14:paraId="612FB3C3" w14:textId="77777777" w:rsidR="001209B8" w:rsidRDefault="001209B8" w:rsidP="001209B8">
      <w:pPr>
        <w:pStyle w:val="BlockTextArial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Defence Determination 2016/19, Conditions of service</w:t>
      </w:r>
    </w:p>
    <w:tbl>
      <w:tblPr>
        <w:tblW w:w="93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74"/>
        <w:gridCol w:w="567"/>
        <w:gridCol w:w="7231"/>
      </w:tblGrid>
      <w:tr w:rsidR="001209B8" w14:paraId="22268988" w14:textId="77777777" w:rsidTr="002E5B3F">
        <w:tc>
          <w:tcPr>
            <w:tcW w:w="993" w:type="dxa"/>
          </w:tcPr>
          <w:p w14:paraId="4F02E85A" w14:textId="77777777" w:rsidR="001209B8" w:rsidRDefault="001209B8" w:rsidP="002E5B3F">
            <w:pPr>
              <w:pStyle w:val="Heading5"/>
            </w:pPr>
            <w:r>
              <w:t>1</w:t>
            </w:r>
          </w:p>
        </w:tc>
        <w:tc>
          <w:tcPr>
            <w:tcW w:w="8372" w:type="dxa"/>
            <w:gridSpan w:val="3"/>
          </w:tcPr>
          <w:p w14:paraId="3D9898B1" w14:textId="77777777" w:rsidR="001209B8" w:rsidRDefault="001209B8" w:rsidP="002E5B3F">
            <w:pPr>
              <w:pStyle w:val="Heading5"/>
            </w:pPr>
            <w:r>
              <w:t>Salary non-reduction – transitional provision</w:t>
            </w:r>
          </w:p>
        </w:tc>
      </w:tr>
      <w:tr w:rsidR="001209B8" w14:paraId="3A553CC4" w14:textId="77777777" w:rsidTr="002E5B3F">
        <w:tc>
          <w:tcPr>
            <w:tcW w:w="993" w:type="dxa"/>
          </w:tcPr>
          <w:p w14:paraId="3B76E7F8" w14:textId="77777777" w:rsidR="001209B8" w:rsidRDefault="001209B8" w:rsidP="002E5B3F">
            <w:pPr>
              <w:pStyle w:val="BlockText-PlainNoSpacing"/>
              <w:jc w:val="center"/>
            </w:pPr>
            <w:r>
              <w:t>1.</w:t>
            </w:r>
          </w:p>
        </w:tc>
        <w:tc>
          <w:tcPr>
            <w:tcW w:w="8372" w:type="dxa"/>
            <w:gridSpan w:val="3"/>
          </w:tcPr>
          <w:p w14:paraId="5BADEC75" w14:textId="77777777" w:rsidR="001209B8" w:rsidRDefault="001209B8" w:rsidP="002E5B3F">
            <w:pPr>
              <w:pStyle w:val="BlockText-Plain"/>
            </w:pPr>
            <w:r>
              <w:t>This section applies to a member to whom all the following applied on 16 November 2016.</w:t>
            </w:r>
          </w:p>
        </w:tc>
      </w:tr>
      <w:tr w:rsidR="001209B8" w:rsidRPr="0081682C" w14:paraId="391FEC3A" w14:textId="77777777" w:rsidTr="002E5B3F">
        <w:trPr>
          <w:cantSplit/>
        </w:trPr>
        <w:tc>
          <w:tcPr>
            <w:tcW w:w="993" w:type="dxa"/>
          </w:tcPr>
          <w:p w14:paraId="7308F322" w14:textId="77777777" w:rsidR="001209B8" w:rsidRPr="0081682C" w:rsidRDefault="001209B8" w:rsidP="002E5B3F">
            <w:pPr>
              <w:pStyle w:val="BlockText-Plain"/>
            </w:pPr>
          </w:p>
        </w:tc>
        <w:tc>
          <w:tcPr>
            <w:tcW w:w="574" w:type="dxa"/>
          </w:tcPr>
          <w:p w14:paraId="39644794" w14:textId="77777777" w:rsidR="001209B8" w:rsidRPr="0081682C" w:rsidRDefault="001209B8" w:rsidP="002E5B3F">
            <w:pPr>
              <w:pStyle w:val="BlockText-Plain"/>
            </w:pPr>
            <w:r>
              <w:t>a.</w:t>
            </w:r>
          </w:p>
        </w:tc>
        <w:tc>
          <w:tcPr>
            <w:tcW w:w="7798" w:type="dxa"/>
            <w:gridSpan w:val="2"/>
          </w:tcPr>
          <w:p w14:paraId="571AC5B7" w14:textId="77777777" w:rsidR="001209B8" w:rsidRPr="0081682C" w:rsidRDefault="001209B8" w:rsidP="002E5B3F">
            <w:pPr>
              <w:pStyle w:val="BlockText-Plain"/>
            </w:pPr>
            <w:r>
              <w:t>The member held the rank sergeant.</w:t>
            </w:r>
          </w:p>
        </w:tc>
      </w:tr>
      <w:tr w:rsidR="001209B8" w:rsidRPr="0081682C" w14:paraId="0F7FCE99" w14:textId="77777777" w:rsidTr="002E5B3F">
        <w:trPr>
          <w:cantSplit/>
        </w:trPr>
        <w:tc>
          <w:tcPr>
            <w:tcW w:w="993" w:type="dxa"/>
          </w:tcPr>
          <w:p w14:paraId="18B63262" w14:textId="77777777" w:rsidR="001209B8" w:rsidRPr="0081682C" w:rsidRDefault="001209B8" w:rsidP="002E5B3F">
            <w:pPr>
              <w:pStyle w:val="BlockText-Plain"/>
            </w:pPr>
          </w:p>
        </w:tc>
        <w:tc>
          <w:tcPr>
            <w:tcW w:w="574" w:type="dxa"/>
          </w:tcPr>
          <w:p w14:paraId="20B78DC1" w14:textId="77777777" w:rsidR="001209B8" w:rsidRPr="0081682C" w:rsidRDefault="001209B8" w:rsidP="002E5B3F">
            <w:pPr>
              <w:pStyle w:val="BlockText-Plain"/>
            </w:pPr>
            <w:r>
              <w:t>b.</w:t>
            </w:r>
          </w:p>
        </w:tc>
        <w:tc>
          <w:tcPr>
            <w:tcW w:w="7798" w:type="dxa"/>
            <w:gridSpan w:val="2"/>
          </w:tcPr>
          <w:p w14:paraId="3CC5E8C6" w14:textId="77777777" w:rsidR="001209B8" w:rsidRPr="0081682C" w:rsidRDefault="001209B8" w:rsidP="002E5B3F">
            <w:pPr>
              <w:pStyle w:val="BlockText-Plain"/>
            </w:pPr>
            <w:r>
              <w:t>The member's employment category was either of the following.</w:t>
            </w:r>
          </w:p>
        </w:tc>
      </w:tr>
      <w:tr w:rsidR="001209B8" w:rsidRPr="00522AC3" w14:paraId="0F7ED0AB" w14:textId="77777777" w:rsidTr="002E5B3F">
        <w:trPr>
          <w:cantSplit/>
        </w:trPr>
        <w:tc>
          <w:tcPr>
            <w:tcW w:w="1567" w:type="dxa"/>
            <w:gridSpan w:val="2"/>
          </w:tcPr>
          <w:p w14:paraId="35256ED1" w14:textId="77777777" w:rsidR="001209B8" w:rsidRPr="00E83043" w:rsidRDefault="001209B8" w:rsidP="002E5B3F">
            <w:pPr>
              <w:pStyle w:val="BlockText-Plain"/>
              <w:rPr>
                <w:color w:val="000000"/>
              </w:rPr>
            </w:pPr>
          </w:p>
        </w:tc>
        <w:tc>
          <w:tcPr>
            <w:tcW w:w="567" w:type="dxa"/>
          </w:tcPr>
          <w:p w14:paraId="78191A58" w14:textId="77777777" w:rsidR="001209B8" w:rsidRPr="00E83043" w:rsidRDefault="001209B8" w:rsidP="002E5B3F">
            <w:pPr>
              <w:pStyle w:val="BlockText-Plain"/>
              <w:jc w:val="center"/>
              <w:rPr>
                <w:color w:val="000000"/>
              </w:rPr>
            </w:pPr>
            <w:r w:rsidRPr="00E83043">
              <w:rPr>
                <w:color w:val="000000"/>
              </w:rPr>
              <w:t>i.</w:t>
            </w:r>
          </w:p>
        </w:tc>
        <w:tc>
          <w:tcPr>
            <w:tcW w:w="7231" w:type="dxa"/>
          </w:tcPr>
          <w:p w14:paraId="76149AAD" w14:textId="77777777" w:rsidR="001209B8" w:rsidRPr="00522AC3" w:rsidRDefault="001209B8" w:rsidP="002E5B3F">
            <w:pPr>
              <w:pStyle w:val="BlockText-Plain"/>
              <w:rPr>
                <w:rFonts w:cs="Arial"/>
                <w:color w:val="000000"/>
                <w:szCs w:val="24"/>
              </w:rPr>
            </w:pPr>
            <w:r>
              <w:rPr>
                <w:iCs/>
              </w:rPr>
              <w:t>Manager Operations Ground Based Air Defence.</w:t>
            </w:r>
          </w:p>
        </w:tc>
      </w:tr>
      <w:tr w:rsidR="001209B8" w14:paraId="7D716CAA" w14:textId="77777777" w:rsidTr="002E5B3F">
        <w:trPr>
          <w:cantSplit/>
        </w:trPr>
        <w:tc>
          <w:tcPr>
            <w:tcW w:w="1567" w:type="dxa"/>
            <w:gridSpan w:val="2"/>
          </w:tcPr>
          <w:p w14:paraId="0F17E04E" w14:textId="77777777" w:rsidR="001209B8" w:rsidRPr="00E83043" w:rsidRDefault="001209B8" w:rsidP="002E5B3F">
            <w:pPr>
              <w:pStyle w:val="BlockText-Plain"/>
              <w:rPr>
                <w:color w:val="000000"/>
              </w:rPr>
            </w:pPr>
          </w:p>
        </w:tc>
        <w:tc>
          <w:tcPr>
            <w:tcW w:w="567" w:type="dxa"/>
          </w:tcPr>
          <w:p w14:paraId="2204BBF2" w14:textId="77777777" w:rsidR="001209B8" w:rsidRPr="00E83043" w:rsidRDefault="001209B8" w:rsidP="002E5B3F">
            <w:pPr>
              <w:pStyle w:val="BlockText-Plain"/>
              <w:jc w:val="center"/>
              <w:rPr>
                <w:color w:val="000000"/>
              </w:rPr>
            </w:pPr>
            <w:r>
              <w:rPr>
                <w:color w:val="000000"/>
              </w:rPr>
              <w:t>ii.</w:t>
            </w:r>
          </w:p>
        </w:tc>
        <w:tc>
          <w:tcPr>
            <w:tcW w:w="7231" w:type="dxa"/>
          </w:tcPr>
          <w:p w14:paraId="2AAB01D1" w14:textId="77777777" w:rsidR="001209B8" w:rsidRDefault="001209B8" w:rsidP="002E5B3F">
            <w:pPr>
              <w:pStyle w:val="BlockText-Plain"/>
              <w:rPr>
                <w:iCs/>
              </w:rPr>
            </w:pPr>
            <w:r>
              <w:rPr>
                <w:iCs/>
              </w:rPr>
              <w:t>Manager Operations Offensive Grade 2.</w:t>
            </w:r>
          </w:p>
        </w:tc>
      </w:tr>
      <w:tr w:rsidR="001209B8" w:rsidRPr="0081682C" w14:paraId="4B36C161" w14:textId="77777777" w:rsidTr="002E5B3F">
        <w:trPr>
          <w:cantSplit/>
        </w:trPr>
        <w:tc>
          <w:tcPr>
            <w:tcW w:w="993" w:type="dxa"/>
          </w:tcPr>
          <w:p w14:paraId="0362A960" w14:textId="77777777" w:rsidR="001209B8" w:rsidRPr="0081682C" w:rsidRDefault="001209B8" w:rsidP="002E5B3F">
            <w:pPr>
              <w:pStyle w:val="BlockText-Plain"/>
            </w:pPr>
          </w:p>
        </w:tc>
        <w:tc>
          <w:tcPr>
            <w:tcW w:w="574" w:type="dxa"/>
          </w:tcPr>
          <w:p w14:paraId="7B0885D6" w14:textId="77777777" w:rsidR="001209B8" w:rsidRPr="0081682C" w:rsidRDefault="001209B8" w:rsidP="002E5B3F">
            <w:pPr>
              <w:pStyle w:val="BlockText-Plain"/>
            </w:pPr>
            <w:r>
              <w:t>c.</w:t>
            </w:r>
          </w:p>
        </w:tc>
        <w:tc>
          <w:tcPr>
            <w:tcW w:w="7798" w:type="dxa"/>
            <w:gridSpan w:val="2"/>
          </w:tcPr>
          <w:p w14:paraId="11036B44" w14:textId="77777777" w:rsidR="001209B8" w:rsidRPr="0081682C" w:rsidRDefault="001209B8" w:rsidP="002E5B3F">
            <w:pPr>
              <w:pStyle w:val="BlockText-Plain"/>
            </w:pPr>
            <w:r>
              <w:t xml:space="preserve">The member was in receipt of salary at pay grade 6. </w:t>
            </w:r>
          </w:p>
        </w:tc>
      </w:tr>
      <w:tr w:rsidR="001209B8" w14:paraId="4E7D76A2" w14:textId="77777777" w:rsidTr="002E5B3F">
        <w:tc>
          <w:tcPr>
            <w:tcW w:w="993" w:type="dxa"/>
          </w:tcPr>
          <w:p w14:paraId="0EA5907D" w14:textId="77777777" w:rsidR="001209B8" w:rsidRDefault="001209B8" w:rsidP="002E5B3F">
            <w:pPr>
              <w:pStyle w:val="BlockText-PlainNoSpacing"/>
              <w:jc w:val="center"/>
            </w:pPr>
            <w:r>
              <w:t>2.</w:t>
            </w:r>
          </w:p>
        </w:tc>
        <w:tc>
          <w:tcPr>
            <w:tcW w:w="8372" w:type="dxa"/>
            <w:gridSpan w:val="3"/>
          </w:tcPr>
          <w:p w14:paraId="00A4D49F" w14:textId="4BEAA4A3" w:rsidR="001209B8" w:rsidRDefault="001209B8" w:rsidP="003212F0">
            <w:pPr>
              <w:pStyle w:val="BlockText-Plain"/>
            </w:pPr>
            <w:r>
              <w:t xml:space="preserve">For the period 17 May 2018 to the commencement of this Determination, the member is eligible to be paid the </w:t>
            </w:r>
            <w:r w:rsidR="003212F0" w:rsidRPr="000A7560">
              <w:t xml:space="preserve">rate of salary payable to the member on 16 November 2016 (adjusted in accordance with subsection 3), payable under Schedule B.12 of DFRT Determination No. 15 of 2008, </w:t>
            </w:r>
            <w:r w:rsidR="003212F0" w:rsidRPr="000A7560">
              <w:rPr>
                <w:i/>
              </w:rPr>
              <w:t>Salaries</w:t>
            </w:r>
            <w:r w:rsidR="003212F0" w:rsidRPr="000A7560">
              <w:t xml:space="preserve">, as amended to 3 April 2017, and from 4 April 2017 the rate of salary under Schedule B.12 of DFRT Determination No. 2 of 2017, </w:t>
            </w:r>
            <w:r w:rsidR="003212F0" w:rsidRPr="000A7560">
              <w:rPr>
                <w:i/>
              </w:rPr>
              <w:t>Salaries</w:t>
            </w:r>
            <w:r w:rsidR="003212F0" w:rsidRPr="000A7560">
              <w:t>, as amended to date.</w:t>
            </w:r>
          </w:p>
        </w:tc>
      </w:tr>
      <w:tr w:rsidR="001209B8" w:rsidRPr="00C36A01" w14:paraId="1B05C4A9" w14:textId="77777777" w:rsidTr="002E5B3F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14:paraId="61B83BF5" w14:textId="77777777" w:rsidR="001209B8" w:rsidRDefault="001209B8" w:rsidP="002E5B3F">
            <w:pPr>
              <w:pStyle w:val="BlockText-Plain"/>
              <w:jc w:val="center"/>
            </w:pPr>
            <w:r>
              <w:t>3.</w:t>
            </w:r>
          </w:p>
        </w:tc>
        <w:tc>
          <w:tcPr>
            <w:tcW w:w="8372" w:type="dxa"/>
            <w:gridSpan w:val="3"/>
            <w:shd w:val="clear" w:color="auto" w:fill="auto"/>
          </w:tcPr>
          <w:p w14:paraId="73E1083B" w14:textId="676E787D" w:rsidR="001209B8" w:rsidRPr="00C36A01" w:rsidRDefault="001209B8" w:rsidP="003212F0">
            <w:pPr>
              <w:pStyle w:val="BlockText-Plain"/>
            </w:pPr>
            <w:r>
              <w:t xml:space="preserve">The rate of salary used </w:t>
            </w:r>
            <w:r w:rsidR="00786B22">
              <w:t xml:space="preserve">in </w:t>
            </w:r>
            <w:r>
              <w:t>subsection 2</w:t>
            </w:r>
            <w:r w:rsidRPr="00C36A01">
              <w:t xml:space="preserve"> may be adjusted </w:t>
            </w:r>
            <w:r w:rsidR="00416098">
              <w:t>by either of the following</w:t>
            </w:r>
            <w:r w:rsidR="003641DF">
              <w:t>.</w:t>
            </w:r>
          </w:p>
        </w:tc>
      </w:tr>
      <w:tr w:rsidR="001209B8" w:rsidRPr="00C36A01" w14:paraId="50B155E6" w14:textId="77777777" w:rsidTr="002E5B3F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14:paraId="4756395F" w14:textId="77777777" w:rsidR="001209B8" w:rsidRDefault="001209B8" w:rsidP="002E5B3F">
            <w:pPr>
              <w:pStyle w:val="BlockText-Plain"/>
            </w:pPr>
          </w:p>
        </w:tc>
        <w:tc>
          <w:tcPr>
            <w:tcW w:w="574" w:type="dxa"/>
            <w:shd w:val="clear" w:color="auto" w:fill="auto"/>
          </w:tcPr>
          <w:p w14:paraId="51E3D145" w14:textId="77777777" w:rsidR="001209B8" w:rsidRDefault="001209B8" w:rsidP="002E5B3F">
            <w:pPr>
              <w:pStyle w:val="BlockText-Plain"/>
            </w:pPr>
            <w:r>
              <w:t>a.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2BE02327" w14:textId="3E1078C3" w:rsidR="001209B8" w:rsidRPr="00C36A01" w:rsidRDefault="00416098" w:rsidP="003641DF">
            <w:pPr>
              <w:pStyle w:val="BlockText-Plain"/>
            </w:pPr>
            <w:r>
              <w:t xml:space="preserve">An increment advancement owed to the member under </w:t>
            </w:r>
            <w:r w:rsidR="003641DF">
              <w:t>Defence Determination 2016/19, Conditions of service Chapter 3 Part 2 Division 5,</w:t>
            </w:r>
            <w:r>
              <w:t xml:space="preserve"> </w:t>
            </w:r>
            <w:r w:rsidR="001209B8">
              <w:t xml:space="preserve">during the period </w:t>
            </w:r>
            <w:r w:rsidR="00600A07">
              <w:t xml:space="preserve">described in </w:t>
            </w:r>
            <w:r w:rsidR="001209B8">
              <w:t>subsection 2.</w:t>
            </w:r>
          </w:p>
        </w:tc>
      </w:tr>
      <w:tr w:rsidR="001209B8" w:rsidRPr="00C36A01" w14:paraId="1974503D" w14:textId="77777777" w:rsidTr="002E5B3F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14:paraId="3E394460" w14:textId="77777777" w:rsidR="001209B8" w:rsidRDefault="001209B8" w:rsidP="002E5B3F">
            <w:pPr>
              <w:pStyle w:val="BlockText-Plain"/>
            </w:pPr>
          </w:p>
        </w:tc>
        <w:tc>
          <w:tcPr>
            <w:tcW w:w="574" w:type="dxa"/>
            <w:shd w:val="clear" w:color="auto" w:fill="auto"/>
          </w:tcPr>
          <w:p w14:paraId="3600FF53" w14:textId="77777777" w:rsidR="001209B8" w:rsidRDefault="001209B8" w:rsidP="002E5B3F">
            <w:pPr>
              <w:pStyle w:val="BlockText-Plain"/>
            </w:pPr>
            <w:r>
              <w:t>b.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5F4FF4EF" w14:textId="2D0FDA61" w:rsidR="001209B8" w:rsidRPr="00C36A01" w:rsidRDefault="00416098" w:rsidP="00600A07">
            <w:pPr>
              <w:pStyle w:val="BlockText-Plain"/>
            </w:pPr>
            <w:r>
              <w:t xml:space="preserve">The rate of a </w:t>
            </w:r>
            <w:r w:rsidRPr="00C36A01">
              <w:t>general salary increase determined by the Defence Force Remuneration Tribunal</w:t>
            </w:r>
            <w:r>
              <w:t xml:space="preserve"> </w:t>
            </w:r>
            <w:r w:rsidR="00600A07">
              <w:t>that applied to a</w:t>
            </w:r>
            <w:r>
              <w:t xml:space="preserve"> p</w:t>
            </w:r>
            <w:r w:rsidR="00600A07">
              <w:t>eriod described in subsection 2</w:t>
            </w:r>
            <w:r w:rsidR="001209B8" w:rsidRPr="00C36A01">
              <w:t>.</w:t>
            </w:r>
          </w:p>
        </w:tc>
      </w:tr>
      <w:tr w:rsidR="001209B8" w:rsidRPr="00C36A01" w14:paraId="4648292E" w14:textId="77777777" w:rsidTr="002E5B3F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14:paraId="1E36FEB7" w14:textId="77777777" w:rsidR="001209B8" w:rsidRDefault="001209B8" w:rsidP="002E5B3F">
            <w:pPr>
              <w:pStyle w:val="BlockText-Plain"/>
              <w:jc w:val="center"/>
            </w:pPr>
            <w:r>
              <w:t>4.</w:t>
            </w:r>
          </w:p>
        </w:tc>
        <w:tc>
          <w:tcPr>
            <w:tcW w:w="8372" w:type="dxa"/>
            <w:gridSpan w:val="3"/>
            <w:shd w:val="clear" w:color="auto" w:fill="auto"/>
          </w:tcPr>
          <w:p w14:paraId="3ED6820E" w14:textId="57D4E2C0" w:rsidR="001209B8" w:rsidRPr="00C36A01" w:rsidRDefault="001209B8" w:rsidP="00416098">
            <w:pPr>
              <w:pStyle w:val="BlockText-Plain"/>
            </w:pPr>
            <w:r>
              <w:t xml:space="preserve">This section ceases to apply to a member whose salary is affected </w:t>
            </w:r>
            <w:r w:rsidR="00416098">
              <w:t xml:space="preserve">by </w:t>
            </w:r>
            <w:r>
              <w:t>any of the following.</w:t>
            </w:r>
          </w:p>
        </w:tc>
      </w:tr>
      <w:tr w:rsidR="001209B8" w:rsidRPr="00325E4A" w14:paraId="0C0A46BD" w14:textId="77777777" w:rsidTr="003212F0">
        <w:trPr>
          <w:cantSplit/>
        </w:trPr>
        <w:tc>
          <w:tcPr>
            <w:tcW w:w="993" w:type="dxa"/>
          </w:tcPr>
          <w:p w14:paraId="5960983C" w14:textId="77777777" w:rsidR="001209B8" w:rsidRPr="00325E4A" w:rsidRDefault="001209B8" w:rsidP="002E5B3F">
            <w:pPr>
              <w:pStyle w:val="BlockText-Plain"/>
              <w:rPr>
                <w:color w:val="000000"/>
              </w:rPr>
            </w:pPr>
          </w:p>
        </w:tc>
        <w:tc>
          <w:tcPr>
            <w:tcW w:w="574" w:type="dxa"/>
          </w:tcPr>
          <w:p w14:paraId="69BD1D6C" w14:textId="77777777" w:rsidR="001209B8" w:rsidRPr="00325E4A" w:rsidRDefault="001209B8" w:rsidP="002E5B3F">
            <w:pPr>
              <w:pStyle w:val="BlockText-Plain"/>
              <w:rPr>
                <w:color w:val="000000"/>
              </w:rPr>
            </w:pPr>
            <w:r w:rsidRPr="00325E4A">
              <w:rPr>
                <w:color w:val="000000"/>
              </w:rPr>
              <w:t>a.</w:t>
            </w:r>
          </w:p>
        </w:tc>
        <w:tc>
          <w:tcPr>
            <w:tcW w:w="7798" w:type="dxa"/>
            <w:gridSpan w:val="2"/>
          </w:tcPr>
          <w:p w14:paraId="171E9A18" w14:textId="1D86F02E" w:rsidR="001209B8" w:rsidRPr="00325E4A" w:rsidRDefault="001209B8" w:rsidP="00600A07">
            <w:pPr>
              <w:pStyle w:val="BlockText-Plain"/>
              <w:rPr>
                <w:color w:val="000000"/>
              </w:rPr>
            </w:pPr>
            <w:r w:rsidRPr="00325E4A">
              <w:rPr>
                <w:rFonts w:cs="Arial"/>
                <w:color w:val="000000"/>
              </w:rPr>
              <w:t xml:space="preserve">The member's performance of duty </w:t>
            </w:r>
            <w:r w:rsidR="00600A07">
              <w:rPr>
                <w:rFonts w:cs="Arial"/>
                <w:color w:val="000000"/>
              </w:rPr>
              <w:t>being</w:t>
            </w:r>
            <w:r w:rsidR="00600A07" w:rsidRPr="00325E4A">
              <w:rPr>
                <w:rFonts w:cs="Arial"/>
                <w:color w:val="000000"/>
              </w:rPr>
              <w:t xml:space="preserve"> </w:t>
            </w:r>
            <w:r w:rsidR="00600A07">
              <w:rPr>
                <w:rFonts w:cs="Arial"/>
                <w:color w:val="000000"/>
              </w:rPr>
              <w:t>un</w:t>
            </w:r>
            <w:r w:rsidRPr="00325E4A">
              <w:rPr>
                <w:rFonts w:cs="Arial"/>
                <w:color w:val="000000"/>
              </w:rPr>
              <w:t>satisfactory.</w:t>
            </w:r>
          </w:p>
        </w:tc>
      </w:tr>
      <w:tr w:rsidR="001209B8" w:rsidRPr="00325E4A" w14:paraId="1697270D" w14:textId="77777777" w:rsidTr="003212F0">
        <w:trPr>
          <w:cantSplit/>
        </w:trPr>
        <w:tc>
          <w:tcPr>
            <w:tcW w:w="993" w:type="dxa"/>
          </w:tcPr>
          <w:p w14:paraId="01488719" w14:textId="77777777" w:rsidR="001209B8" w:rsidRPr="00325E4A" w:rsidRDefault="001209B8" w:rsidP="002E5B3F">
            <w:pPr>
              <w:pStyle w:val="BlockText-Plain"/>
              <w:rPr>
                <w:color w:val="000000"/>
              </w:rPr>
            </w:pPr>
          </w:p>
        </w:tc>
        <w:tc>
          <w:tcPr>
            <w:tcW w:w="574" w:type="dxa"/>
          </w:tcPr>
          <w:p w14:paraId="567373AB" w14:textId="77777777" w:rsidR="001209B8" w:rsidRPr="00325E4A" w:rsidRDefault="001209B8" w:rsidP="002E5B3F">
            <w:pPr>
              <w:pStyle w:val="BlockText-Plain"/>
              <w:rPr>
                <w:color w:val="000000"/>
              </w:rPr>
            </w:pPr>
            <w:r w:rsidRPr="00325E4A">
              <w:rPr>
                <w:color w:val="000000"/>
              </w:rPr>
              <w:t>b.</w:t>
            </w:r>
          </w:p>
        </w:tc>
        <w:tc>
          <w:tcPr>
            <w:tcW w:w="7798" w:type="dxa"/>
            <w:gridSpan w:val="2"/>
          </w:tcPr>
          <w:p w14:paraId="262939B2" w14:textId="1AEB207B" w:rsidR="001209B8" w:rsidRPr="00325E4A" w:rsidRDefault="003641DF" w:rsidP="00416098">
            <w:pPr>
              <w:pStyle w:val="BlockText-Plain"/>
              <w:rPr>
                <w:color w:val="000000"/>
              </w:rPr>
            </w:pPr>
            <w:r>
              <w:rPr>
                <w:rFonts w:cs="Arial"/>
                <w:color w:val="000000"/>
              </w:rPr>
              <w:t>T</w:t>
            </w:r>
            <w:r w:rsidR="00600A07">
              <w:rPr>
                <w:rFonts w:cs="Arial"/>
                <w:color w:val="000000"/>
              </w:rPr>
              <w:t>he member being subject to disciplinary action.</w:t>
            </w:r>
          </w:p>
        </w:tc>
      </w:tr>
      <w:tr w:rsidR="001209B8" w:rsidRPr="00325E4A" w14:paraId="21D71E48" w14:textId="77777777" w:rsidTr="003212F0">
        <w:trPr>
          <w:cantSplit/>
        </w:trPr>
        <w:tc>
          <w:tcPr>
            <w:tcW w:w="993" w:type="dxa"/>
          </w:tcPr>
          <w:p w14:paraId="3FC1D8D7" w14:textId="77777777" w:rsidR="001209B8" w:rsidRPr="00325E4A" w:rsidRDefault="001209B8" w:rsidP="002E5B3F">
            <w:pPr>
              <w:pStyle w:val="BlockText-Plain"/>
              <w:rPr>
                <w:color w:val="000000"/>
              </w:rPr>
            </w:pPr>
          </w:p>
        </w:tc>
        <w:tc>
          <w:tcPr>
            <w:tcW w:w="574" w:type="dxa"/>
          </w:tcPr>
          <w:p w14:paraId="0AA89603" w14:textId="77777777" w:rsidR="001209B8" w:rsidRPr="00325E4A" w:rsidRDefault="001209B8" w:rsidP="002E5B3F">
            <w:pPr>
              <w:pStyle w:val="BlockText-Plain"/>
              <w:rPr>
                <w:color w:val="000000"/>
              </w:rPr>
            </w:pPr>
            <w:r w:rsidRPr="00325E4A">
              <w:rPr>
                <w:color w:val="000000"/>
              </w:rPr>
              <w:t>c.</w:t>
            </w:r>
          </w:p>
        </w:tc>
        <w:tc>
          <w:tcPr>
            <w:tcW w:w="7798" w:type="dxa"/>
            <w:gridSpan w:val="2"/>
          </w:tcPr>
          <w:p w14:paraId="008FA5C5" w14:textId="4E52FA3D" w:rsidR="001209B8" w:rsidRPr="00325E4A" w:rsidRDefault="003641DF" w:rsidP="00416098">
            <w:pPr>
              <w:pStyle w:val="BlockText-Plain"/>
              <w:rPr>
                <w:color w:val="000000"/>
              </w:rPr>
            </w:pPr>
            <w:r>
              <w:rPr>
                <w:rFonts w:cs="Arial"/>
                <w:color w:val="000000"/>
              </w:rPr>
              <w:t>An</w:t>
            </w:r>
            <w:r w:rsidR="00416098">
              <w:rPr>
                <w:rFonts w:cs="Arial"/>
                <w:color w:val="000000"/>
              </w:rPr>
              <w:t xml:space="preserve"> a</w:t>
            </w:r>
            <w:r w:rsidR="001209B8" w:rsidRPr="00325E4A">
              <w:rPr>
                <w:rFonts w:cs="Arial"/>
                <w:color w:val="000000"/>
              </w:rPr>
              <w:t>dministrative sanction.</w:t>
            </w:r>
          </w:p>
        </w:tc>
      </w:tr>
      <w:tr w:rsidR="001209B8" w:rsidRPr="00325E4A" w14:paraId="305B0807" w14:textId="77777777" w:rsidTr="003212F0">
        <w:trPr>
          <w:cantSplit/>
        </w:trPr>
        <w:tc>
          <w:tcPr>
            <w:tcW w:w="993" w:type="dxa"/>
          </w:tcPr>
          <w:p w14:paraId="54B16DF9" w14:textId="77777777" w:rsidR="001209B8" w:rsidRPr="00325E4A" w:rsidRDefault="001209B8" w:rsidP="002E5B3F">
            <w:pPr>
              <w:pStyle w:val="BlockText-Plain"/>
              <w:rPr>
                <w:color w:val="000000"/>
              </w:rPr>
            </w:pPr>
          </w:p>
        </w:tc>
        <w:tc>
          <w:tcPr>
            <w:tcW w:w="574" w:type="dxa"/>
          </w:tcPr>
          <w:p w14:paraId="35D4C92E" w14:textId="77777777" w:rsidR="001209B8" w:rsidRPr="00325E4A" w:rsidRDefault="001209B8" w:rsidP="002E5B3F">
            <w:pPr>
              <w:pStyle w:val="BlockText-Plain"/>
              <w:rPr>
                <w:color w:val="000000"/>
              </w:rPr>
            </w:pPr>
            <w:r w:rsidRPr="00325E4A">
              <w:rPr>
                <w:color w:val="000000"/>
              </w:rPr>
              <w:t>d.</w:t>
            </w:r>
          </w:p>
        </w:tc>
        <w:tc>
          <w:tcPr>
            <w:tcW w:w="7798" w:type="dxa"/>
            <w:gridSpan w:val="2"/>
          </w:tcPr>
          <w:p w14:paraId="3F36B218" w14:textId="4E1F1C57" w:rsidR="001209B8" w:rsidRPr="00325E4A" w:rsidRDefault="001209B8" w:rsidP="002E5B3F">
            <w:pPr>
              <w:pStyle w:val="BlockText-Plain"/>
              <w:rPr>
                <w:rFonts w:cs="Arial"/>
                <w:color w:val="000000"/>
              </w:rPr>
            </w:pPr>
            <w:r w:rsidRPr="00325E4A">
              <w:rPr>
                <w:rFonts w:cs="Arial"/>
                <w:color w:val="000000"/>
              </w:rPr>
              <w:t>The member choos</w:t>
            </w:r>
            <w:r w:rsidR="00416098">
              <w:rPr>
                <w:rFonts w:cs="Arial"/>
                <w:color w:val="000000"/>
              </w:rPr>
              <w:t>ing</w:t>
            </w:r>
            <w:r w:rsidRPr="00325E4A">
              <w:rPr>
                <w:rFonts w:cs="Arial"/>
                <w:color w:val="000000"/>
              </w:rPr>
              <w:t xml:space="preserve"> to transfer to another employment category.</w:t>
            </w:r>
          </w:p>
        </w:tc>
      </w:tr>
      <w:tr w:rsidR="001209B8" w:rsidRPr="00325E4A" w14:paraId="6C6DA556" w14:textId="77777777" w:rsidTr="003212F0">
        <w:trPr>
          <w:cantSplit/>
        </w:trPr>
        <w:tc>
          <w:tcPr>
            <w:tcW w:w="993" w:type="dxa"/>
          </w:tcPr>
          <w:p w14:paraId="2F4FCF0F" w14:textId="77777777" w:rsidR="001209B8" w:rsidRPr="00325E4A" w:rsidRDefault="001209B8" w:rsidP="002E5B3F">
            <w:pPr>
              <w:pStyle w:val="BlockText-Plain"/>
              <w:rPr>
                <w:color w:val="000000"/>
              </w:rPr>
            </w:pPr>
          </w:p>
        </w:tc>
        <w:tc>
          <w:tcPr>
            <w:tcW w:w="574" w:type="dxa"/>
          </w:tcPr>
          <w:p w14:paraId="23C7361D" w14:textId="77777777" w:rsidR="001209B8" w:rsidRPr="00325E4A" w:rsidRDefault="001209B8" w:rsidP="002E5B3F">
            <w:pPr>
              <w:pStyle w:val="BlockText-Plain"/>
              <w:rPr>
                <w:color w:val="000000"/>
              </w:rPr>
            </w:pPr>
            <w:r w:rsidRPr="00325E4A">
              <w:rPr>
                <w:color w:val="000000"/>
              </w:rPr>
              <w:t>e.</w:t>
            </w:r>
          </w:p>
        </w:tc>
        <w:tc>
          <w:tcPr>
            <w:tcW w:w="7798" w:type="dxa"/>
            <w:gridSpan w:val="2"/>
          </w:tcPr>
          <w:p w14:paraId="2C73AAD6" w14:textId="1557029A" w:rsidR="001209B8" w:rsidRPr="00325E4A" w:rsidRDefault="00416098" w:rsidP="00416098">
            <w:pPr>
              <w:pStyle w:val="BlockText-Plain"/>
              <w:rPr>
                <w:rFonts w:cs="Arial"/>
                <w:color w:val="000000"/>
              </w:rPr>
            </w:pPr>
            <w:r>
              <w:t>R</w:t>
            </w:r>
            <w:r w:rsidR="001209B8" w:rsidRPr="00325E4A">
              <w:t>educ</w:t>
            </w:r>
            <w:r>
              <w:t>tion</w:t>
            </w:r>
            <w:r w:rsidR="001209B8" w:rsidRPr="00325E4A">
              <w:t xml:space="preserve"> in rank.</w:t>
            </w:r>
          </w:p>
        </w:tc>
      </w:tr>
      <w:tr w:rsidR="001209B8" w:rsidRPr="00325E4A" w14:paraId="62B96DE7" w14:textId="77777777" w:rsidTr="003212F0">
        <w:trPr>
          <w:cantSplit/>
        </w:trPr>
        <w:tc>
          <w:tcPr>
            <w:tcW w:w="993" w:type="dxa"/>
          </w:tcPr>
          <w:p w14:paraId="456CCD07" w14:textId="77777777" w:rsidR="001209B8" w:rsidRPr="00325E4A" w:rsidRDefault="001209B8" w:rsidP="002E5B3F">
            <w:pPr>
              <w:pStyle w:val="BlockText-Plain"/>
              <w:rPr>
                <w:color w:val="000000"/>
              </w:rPr>
            </w:pPr>
          </w:p>
        </w:tc>
        <w:tc>
          <w:tcPr>
            <w:tcW w:w="574" w:type="dxa"/>
          </w:tcPr>
          <w:p w14:paraId="7A0257E3" w14:textId="77777777" w:rsidR="001209B8" w:rsidRPr="00325E4A" w:rsidRDefault="001209B8" w:rsidP="002E5B3F">
            <w:pPr>
              <w:pStyle w:val="BlockText-Plain"/>
              <w:rPr>
                <w:color w:val="000000"/>
              </w:rPr>
            </w:pPr>
            <w:r w:rsidRPr="00325E4A">
              <w:rPr>
                <w:color w:val="000000"/>
              </w:rPr>
              <w:t>f.</w:t>
            </w:r>
          </w:p>
        </w:tc>
        <w:tc>
          <w:tcPr>
            <w:tcW w:w="7798" w:type="dxa"/>
            <w:gridSpan w:val="2"/>
          </w:tcPr>
          <w:p w14:paraId="46F29135" w14:textId="59CC17DF" w:rsidR="001209B8" w:rsidRPr="00325E4A" w:rsidRDefault="001209B8" w:rsidP="00416098">
            <w:pPr>
              <w:pStyle w:val="BlockText-Plain"/>
            </w:pPr>
            <w:r w:rsidRPr="00325E4A">
              <w:t>The member ceas</w:t>
            </w:r>
            <w:r w:rsidR="00416098">
              <w:t>ing</w:t>
            </w:r>
            <w:r w:rsidRPr="00325E4A">
              <w:t xml:space="preserve"> to hold a competency </w:t>
            </w:r>
            <w:r w:rsidR="00416098">
              <w:t>required</w:t>
            </w:r>
            <w:r w:rsidRPr="00325E4A">
              <w:t xml:space="preserve"> </w:t>
            </w:r>
            <w:r w:rsidR="00416098">
              <w:t>by</w:t>
            </w:r>
            <w:r w:rsidR="00416098" w:rsidRPr="00325E4A">
              <w:t xml:space="preserve"> </w:t>
            </w:r>
            <w:r w:rsidRPr="00325E4A">
              <w:t>the specialist career structure for which salary was previously payable to the member.</w:t>
            </w:r>
          </w:p>
        </w:tc>
      </w:tr>
      <w:tr w:rsidR="001209B8" w:rsidRPr="00325E4A" w14:paraId="22A177FB" w14:textId="77777777" w:rsidTr="003212F0">
        <w:trPr>
          <w:cantSplit/>
        </w:trPr>
        <w:tc>
          <w:tcPr>
            <w:tcW w:w="993" w:type="dxa"/>
          </w:tcPr>
          <w:p w14:paraId="7EBA13FA" w14:textId="77777777" w:rsidR="001209B8" w:rsidRPr="00325E4A" w:rsidRDefault="001209B8" w:rsidP="002E5B3F">
            <w:pPr>
              <w:pStyle w:val="BlockText-Plain"/>
              <w:rPr>
                <w:color w:val="000000"/>
              </w:rPr>
            </w:pPr>
          </w:p>
        </w:tc>
        <w:tc>
          <w:tcPr>
            <w:tcW w:w="574" w:type="dxa"/>
          </w:tcPr>
          <w:p w14:paraId="439D4E96" w14:textId="77777777" w:rsidR="001209B8" w:rsidRPr="00325E4A" w:rsidRDefault="001209B8" w:rsidP="002E5B3F">
            <w:pPr>
              <w:pStyle w:val="BlockText-Plain"/>
              <w:rPr>
                <w:color w:val="000000"/>
              </w:rPr>
            </w:pPr>
            <w:r w:rsidRPr="00325E4A">
              <w:rPr>
                <w:color w:val="000000"/>
              </w:rPr>
              <w:t>g.</w:t>
            </w:r>
          </w:p>
        </w:tc>
        <w:tc>
          <w:tcPr>
            <w:tcW w:w="7798" w:type="dxa"/>
            <w:gridSpan w:val="2"/>
          </w:tcPr>
          <w:p w14:paraId="04DCB892" w14:textId="7EE47556" w:rsidR="001209B8" w:rsidRPr="00325E4A" w:rsidRDefault="001209B8" w:rsidP="00416098">
            <w:pPr>
              <w:pStyle w:val="BlockText-Plain"/>
            </w:pPr>
            <w:r w:rsidRPr="00325E4A">
              <w:t xml:space="preserve">The Defence Force Remuneration Tribunal has determined a transitional salary structure for the member that </w:t>
            </w:r>
            <w:r w:rsidR="00416098">
              <w:t>includes</w:t>
            </w:r>
            <w:r w:rsidR="00416098" w:rsidRPr="00325E4A">
              <w:t xml:space="preserve"> </w:t>
            </w:r>
            <w:r w:rsidRPr="00325E4A">
              <w:t>salary non-reduction</w:t>
            </w:r>
            <w:r w:rsidR="00416098">
              <w:t xml:space="preserve"> period</w:t>
            </w:r>
            <w:r w:rsidRPr="00325E4A">
              <w:t xml:space="preserve"> for the member.</w:t>
            </w:r>
          </w:p>
        </w:tc>
      </w:tr>
    </w:tbl>
    <w:p w14:paraId="2784A1D7" w14:textId="77777777" w:rsidR="001209B8" w:rsidRDefault="001209B8" w:rsidP="001209B8"/>
    <w:p w14:paraId="26417DCA" w14:textId="77777777" w:rsidR="001209B8" w:rsidRDefault="001209B8" w:rsidP="001209B8"/>
    <w:p w14:paraId="39836934" w14:textId="77777777" w:rsidR="001209B8" w:rsidRDefault="001209B8" w:rsidP="001209B8">
      <w:pPr>
        <w:pStyle w:val="Heading1"/>
        <w:keepNext/>
        <w:keepLines/>
        <w:sectPr w:rsidR="001209B8" w:rsidSect="00080EFF">
          <w:headerReference w:type="default" r:id="rId16"/>
          <w:headerReference w:type="first" r:id="rId17"/>
          <w:footerReference w:type="first" r:id="rId18"/>
          <w:pgSz w:w="11906" w:h="16838" w:code="9"/>
          <w:pgMar w:top="1134" w:right="1134" w:bottom="992" w:left="1418" w:header="720" w:footer="720" w:gutter="0"/>
          <w:cols w:space="720"/>
        </w:sectPr>
      </w:pPr>
      <w:bookmarkStart w:id="10" w:name="_GoBack"/>
      <w:bookmarkEnd w:id="10"/>
    </w:p>
    <w:p w14:paraId="2A697F20" w14:textId="77777777" w:rsidR="00D861BC" w:rsidRDefault="00D861BC" w:rsidP="001430E1"/>
    <w:sectPr w:rsidR="00D861BC" w:rsidSect="00E85877">
      <w:footerReference w:type="default" r:id="rId19"/>
      <w:type w:val="continuous"/>
      <w:pgSz w:w="11906" w:h="16838" w:code="9"/>
      <w:pgMar w:top="1134" w:right="1134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F736A" w14:textId="77777777" w:rsidR="001C536E" w:rsidRDefault="001C536E">
      <w:r>
        <w:separator/>
      </w:r>
    </w:p>
  </w:endnote>
  <w:endnote w:type="continuationSeparator" w:id="0">
    <w:p w14:paraId="296E8B7B" w14:textId="77777777" w:rsidR="001C536E" w:rsidRDefault="001C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201DE" w14:textId="77777777" w:rsidR="006A595A" w:rsidRDefault="00210A30">
    <w:pPr>
      <w:pStyle w:val="Footer"/>
      <w:pBdr>
        <w:top w:val="single" w:sz="6" w:space="4" w:color="auto"/>
      </w:pBdr>
      <w:ind w:left="0"/>
    </w:pPr>
    <w:r>
      <w:t>Ref</w:t>
    </w:r>
    <w:r w:rsidR="009035DB">
      <w:t>18</w:t>
    </w:r>
    <w:r w:rsidR="00D31BA9">
      <w:t>-</w:t>
    </w:r>
    <w:r w:rsidR="00DA46BF">
      <w:t>227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018BC" w14:textId="77777777" w:rsidR="00CD590C" w:rsidRDefault="001C536E" w:rsidP="00CD590C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14BA" w14:textId="16FBE4DD" w:rsidR="003652AA" w:rsidRDefault="00210A30" w:rsidP="003652AA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30E1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4C21" w14:textId="77777777" w:rsidR="006A595A" w:rsidRDefault="00210A30" w:rsidP="00CD590C">
    <w:pPr>
      <w:pStyle w:val="Footer"/>
      <w:ind w:right="360"/>
    </w:pPr>
    <w:r>
      <w:tab/>
    </w:r>
    <w:r>
      <w:tab/>
    </w:r>
    <w:r>
      <w:rPr>
        <w:rStyle w:val="PageNumber"/>
      </w:rPr>
      <w:t>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AB7F" w14:textId="77777777" w:rsidR="001209B8" w:rsidRDefault="001209B8">
    <w:pPr>
      <w:pStyle w:val="Footer"/>
      <w:ind w:left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1AF44" w14:textId="3C238B1A" w:rsidR="00E85877" w:rsidRDefault="00E85877" w:rsidP="00E858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06107" w14:textId="77777777" w:rsidR="001C536E" w:rsidRDefault="001C536E">
      <w:r>
        <w:separator/>
      </w:r>
    </w:p>
  </w:footnote>
  <w:footnote w:type="continuationSeparator" w:id="0">
    <w:p w14:paraId="53F35BA3" w14:textId="77777777" w:rsidR="001C536E" w:rsidRDefault="001C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72F2" w14:textId="77777777" w:rsidR="006A595A" w:rsidRDefault="001C536E"/>
  <w:p w14:paraId="06639B03" w14:textId="77777777" w:rsidR="006A595A" w:rsidRDefault="001C536E">
    <w:pPr>
      <w:tabs>
        <w:tab w:val="right" w:pos="2410"/>
      </w:tabs>
      <w:ind w:left="2835" w:hanging="2835"/>
    </w:pPr>
  </w:p>
  <w:p w14:paraId="363E878D" w14:textId="77777777" w:rsidR="006A595A" w:rsidRDefault="001C53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2E7A" w14:textId="77777777" w:rsidR="006A595A" w:rsidRDefault="001C536E"/>
  <w:p w14:paraId="7B4D0018" w14:textId="77777777" w:rsidR="006A595A" w:rsidRDefault="001C53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5DF1" w14:textId="77777777" w:rsidR="003652AA" w:rsidRDefault="001C536E"/>
  <w:p w14:paraId="637BDAB0" w14:textId="77777777" w:rsidR="003652AA" w:rsidRDefault="001C536E">
    <w:pPr>
      <w:tabs>
        <w:tab w:val="right" w:pos="2410"/>
      </w:tabs>
      <w:ind w:left="2835" w:hanging="2835"/>
    </w:pPr>
  </w:p>
  <w:p w14:paraId="2181809C" w14:textId="77777777" w:rsidR="003652AA" w:rsidRDefault="001C536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9417F" w14:textId="77777777" w:rsidR="001209B8" w:rsidRDefault="001209B8"/>
  <w:p w14:paraId="7A225E74" w14:textId="77777777" w:rsidR="001209B8" w:rsidRDefault="001209B8">
    <w:pPr>
      <w:tabs>
        <w:tab w:val="right" w:pos="2410"/>
      </w:tabs>
      <w:ind w:left="2835" w:hanging="2835"/>
    </w:pPr>
  </w:p>
  <w:p w14:paraId="138E869F" w14:textId="77777777" w:rsidR="001209B8" w:rsidRDefault="001209B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0E7B" w14:textId="77777777" w:rsidR="001209B8" w:rsidRDefault="001209B8"/>
  <w:p w14:paraId="472770A8" w14:textId="77777777" w:rsidR="001209B8" w:rsidRDefault="001209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331"/>
    <w:multiLevelType w:val="hybridMultilevel"/>
    <w:tmpl w:val="B338E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2832"/>
    <w:multiLevelType w:val="hybridMultilevel"/>
    <w:tmpl w:val="903E3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53DF8"/>
    <w:multiLevelType w:val="hybridMultilevel"/>
    <w:tmpl w:val="1E589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926F3"/>
    <w:multiLevelType w:val="hybridMultilevel"/>
    <w:tmpl w:val="C22EF5B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30"/>
    <w:rsid w:val="000665BA"/>
    <w:rsid w:val="00080EFF"/>
    <w:rsid w:val="000A1FDD"/>
    <w:rsid w:val="000B03FD"/>
    <w:rsid w:val="000B1E71"/>
    <w:rsid w:val="000B375E"/>
    <w:rsid w:val="000E1086"/>
    <w:rsid w:val="001016E6"/>
    <w:rsid w:val="00102EEE"/>
    <w:rsid w:val="0010489C"/>
    <w:rsid w:val="00116C5A"/>
    <w:rsid w:val="00117AA0"/>
    <w:rsid w:val="001209B8"/>
    <w:rsid w:val="001430E1"/>
    <w:rsid w:val="00183598"/>
    <w:rsid w:val="001A46FB"/>
    <w:rsid w:val="001C536E"/>
    <w:rsid w:val="001D6EA5"/>
    <w:rsid w:val="001F4FF9"/>
    <w:rsid w:val="002035D6"/>
    <w:rsid w:val="00210A30"/>
    <w:rsid w:val="00223378"/>
    <w:rsid w:val="00241CE4"/>
    <w:rsid w:val="00247126"/>
    <w:rsid w:val="00293B59"/>
    <w:rsid w:val="00305953"/>
    <w:rsid w:val="003212F0"/>
    <w:rsid w:val="00327390"/>
    <w:rsid w:val="00330C72"/>
    <w:rsid w:val="00340370"/>
    <w:rsid w:val="003641DF"/>
    <w:rsid w:val="0038728C"/>
    <w:rsid w:val="00387403"/>
    <w:rsid w:val="00395FAB"/>
    <w:rsid w:val="003A62DF"/>
    <w:rsid w:val="003B4D02"/>
    <w:rsid w:val="003C2DC7"/>
    <w:rsid w:val="00416098"/>
    <w:rsid w:val="004201D4"/>
    <w:rsid w:val="0043175B"/>
    <w:rsid w:val="0047499B"/>
    <w:rsid w:val="004E046D"/>
    <w:rsid w:val="0050658F"/>
    <w:rsid w:val="00550243"/>
    <w:rsid w:val="00564A5E"/>
    <w:rsid w:val="00570C59"/>
    <w:rsid w:val="00582582"/>
    <w:rsid w:val="00600A07"/>
    <w:rsid w:val="00623B17"/>
    <w:rsid w:val="0063746C"/>
    <w:rsid w:val="0064733C"/>
    <w:rsid w:val="00647D8F"/>
    <w:rsid w:val="00670294"/>
    <w:rsid w:val="00685F1C"/>
    <w:rsid w:val="006930B5"/>
    <w:rsid w:val="006E182A"/>
    <w:rsid w:val="006F1A42"/>
    <w:rsid w:val="00711EC1"/>
    <w:rsid w:val="00716F83"/>
    <w:rsid w:val="00730F58"/>
    <w:rsid w:val="00744E0B"/>
    <w:rsid w:val="00745ED6"/>
    <w:rsid w:val="007473CD"/>
    <w:rsid w:val="00775D10"/>
    <w:rsid w:val="00786B22"/>
    <w:rsid w:val="007B0B04"/>
    <w:rsid w:val="007B359A"/>
    <w:rsid w:val="007C114E"/>
    <w:rsid w:val="007C4DD0"/>
    <w:rsid w:val="00801CD7"/>
    <w:rsid w:val="00807B38"/>
    <w:rsid w:val="00837D7F"/>
    <w:rsid w:val="00841BA0"/>
    <w:rsid w:val="00854DB4"/>
    <w:rsid w:val="00877202"/>
    <w:rsid w:val="008913D2"/>
    <w:rsid w:val="008E2F6C"/>
    <w:rsid w:val="009035DB"/>
    <w:rsid w:val="009045B7"/>
    <w:rsid w:val="009105FE"/>
    <w:rsid w:val="00923D68"/>
    <w:rsid w:val="00930B58"/>
    <w:rsid w:val="0093578C"/>
    <w:rsid w:val="0094389A"/>
    <w:rsid w:val="009974CF"/>
    <w:rsid w:val="00997B86"/>
    <w:rsid w:val="009B2549"/>
    <w:rsid w:val="009B358C"/>
    <w:rsid w:val="009D09E0"/>
    <w:rsid w:val="00A236F8"/>
    <w:rsid w:val="00A54FAB"/>
    <w:rsid w:val="00A57677"/>
    <w:rsid w:val="00A956F4"/>
    <w:rsid w:val="00AB7842"/>
    <w:rsid w:val="00AD442A"/>
    <w:rsid w:val="00AF21B6"/>
    <w:rsid w:val="00B02BB9"/>
    <w:rsid w:val="00B16E9A"/>
    <w:rsid w:val="00B4007E"/>
    <w:rsid w:val="00B41F74"/>
    <w:rsid w:val="00B51D41"/>
    <w:rsid w:val="00B56B80"/>
    <w:rsid w:val="00B924FB"/>
    <w:rsid w:val="00BC330A"/>
    <w:rsid w:val="00BC7403"/>
    <w:rsid w:val="00BE049C"/>
    <w:rsid w:val="00C06F6E"/>
    <w:rsid w:val="00C37950"/>
    <w:rsid w:val="00C45138"/>
    <w:rsid w:val="00C468FC"/>
    <w:rsid w:val="00C64CA2"/>
    <w:rsid w:val="00C74EBA"/>
    <w:rsid w:val="00C92BD5"/>
    <w:rsid w:val="00CA3457"/>
    <w:rsid w:val="00CA49F0"/>
    <w:rsid w:val="00CB57B8"/>
    <w:rsid w:val="00CB669A"/>
    <w:rsid w:val="00CF4B33"/>
    <w:rsid w:val="00D01ED1"/>
    <w:rsid w:val="00D04057"/>
    <w:rsid w:val="00D0788C"/>
    <w:rsid w:val="00D31BA9"/>
    <w:rsid w:val="00D40F49"/>
    <w:rsid w:val="00D46E7C"/>
    <w:rsid w:val="00D72E0B"/>
    <w:rsid w:val="00D8240D"/>
    <w:rsid w:val="00D861BC"/>
    <w:rsid w:val="00D97B59"/>
    <w:rsid w:val="00DA46BF"/>
    <w:rsid w:val="00DA64AA"/>
    <w:rsid w:val="00DC47A8"/>
    <w:rsid w:val="00DD1C62"/>
    <w:rsid w:val="00DD261F"/>
    <w:rsid w:val="00DD532C"/>
    <w:rsid w:val="00E22589"/>
    <w:rsid w:val="00E85877"/>
    <w:rsid w:val="00EC0BFB"/>
    <w:rsid w:val="00EC73C6"/>
    <w:rsid w:val="00ED53D2"/>
    <w:rsid w:val="00ED601F"/>
    <w:rsid w:val="00FC4CB7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3E40"/>
  <w15:docId w15:val="{D1E75592-7AFC-4464-8B98-5F6A54B2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30"/>
    <w:pPr>
      <w:keepLines/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Heading1">
    <w:name w:val="heading 1"/>
    <w:aliases w:val="Document/Determination Title"/>
    <w:basedOn w:val="Normal"/>
    <w:next w:val="BlockTextArial"/>
    <w:link w:val="Heading1Char"/>
    <w:qFormat/>
    <w:rsid w:val="00210A30"/>
    <w:pPr>
      <w:keepLines w:val="0"/>
      <w:widowControl w:val="0"/>
      <w:spacing w:after="240"/>
      <w:outlineLvl w:val="0"/>
    </w:pPr>
    <w:rPr>
      <w:b/>
      <w:sz w:val="36"/>
    </w:rPr>
  </w:style>
  <w:style w:type="paragraph" w:styleId="Heading2">
    <w:name w:val="heading 2"/>
    <w:aliases w:val="Chapter Title"/>
    <w:basedOn w:val="Normal"/>
    <w:next w:val="BlockTextArial"/>
    <w:link w:val="Heading2Char"/>
    <w:qFormat/>
    <w:rsid w:val="00210A30"/>
    <w:pPr>
      <w:keepNext/>
      <w:shd w:val="clear" w:color="FFFF00" w:fill="auto"/>
      <w:spacing w:after="240"/>
      <w:outlineLvl w:val="1"/>
    </w:pPr>
    <w:rPr>
      <w:b/>
      <w:color w:val="000080"/>
      <w:sz w:val="30"/>
    </w:rPr>
  </w:style>
  <w:style w:type="paragraph" w:styleId="Heading5">
    <w:name w:val="heading 5"/>
    <w:aliases w:val="Clause/Block Label"/>
    <w:basedOn w:val="Normal"/>
    <w:next w:val="BlockTextArial"/>
    <w:link w:val="Heading5Char"/>
    <w:qFormat/>
    <w:rsid w:val="00210A30"/>
    <w:pPr>
      <w:keepNext/>
      <w:spacing w:before="360" w:after="1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/Determination Title Char"/>
    <w:basedOn w:val="DefaultParagraphFont"/>
    <w:link w:val="Heading1"/>
    <w:rsid w:val="00210A30"/>
    <w:rPr>
      <w:rFonts w:ascii="Arial" w:eastAsia="Times New Roman" w:hAnsi="Arial" w:cs="Times New Roman"/>
      <w:b/>
      <w:sz w:val="36"/>
      <w:szCs w:val="20"/>
      <w:lang w:eastAsia="en-AU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210A30"/>
    <w:rPr>
      <w:rFonts w:ascii="Arial" w:eastAsia="Times New Roman" w:hAnsi="Arial" w:cs="Times New Roman"/>
      <w:b/>
      <w:color w:val="000080"/>
      <w:sz w:val="30"/>
      <w:szCs w:val="20"/>
      <w:shd w:val="clear" w:color="FFFF00" w:fill="auto"/>
      <w:lang w:eastAsia="en-AU"/>
    </w:rPr>
  </w:style>
  <w:style w:type="character" w:customStyle="1" w:styleId="Heading5Char">
    <w:name w:val="Heading 5 Char"/>
    <w:aliases w:val="Clause/Block Label Char"/>
    <w:basedOn w:val="DefaultParagraphFont"/>
    <w:link w:val="Heading5"/>
    <w:rsid w:val="00210A30"/>
    <w:rPr>
      <w:rFonts w:ascii="Arial" w:eastAsia="Times New Roman" w:hAnsi="Arial" w:cs="Times New Roman"/>
      <w:b/>
      <w:szCs w:val="20"/>
      <w:lang w:eastAsia="en-AU"/>
    </w:rPr>
  </w:style>
  <w:style w:type="paragraph" w:customStyle="1" w:styleId="BlockText-PlainNoSpacing">
    <w:name w:val="Block Text - Plain (No Spacing)"/>
    <w:basedOn w:val="Normal"/>
    <w:link w:val="BlockText-PlainNoSpacingChar"/>
    <w:rsid w:val="00210A30"/>
    <w:pPr>
      <w:keepNext/>
      <w:spacing w:before="20" w:after="20"/>
    </w:pPr>
    <w:rPr>
      <w:sz w:val="20"/>
    </w:rPr>
  </w:style>
  <w:style w:type="paragraph" w:customStyle="1" w:styleId="BlockTextArial">
    <w:name w:val="Block Text (Arial)"/>
    <w:basedOn w:val="Normal"/>
    <w:rsid w:val="00210A30"/>
    <w:pPr>
      <w:spacing w:before="120" w:after="120"/>
    </w:pPr>
  </w:style>
  <w:style w:type="paragraph" w:customStyle="1" w:styleId="BlockText-Plain">
    <w:name w:val="Block Text- Plain"/>
    <w:basedOn w:val="Normal"/>
    <w:link w:val="BlockText-PlainChar"/>
    <w:rsid w:val="00210A30"/>
    <w:pPr>
      <w:keepLines w:val="0"/>
      <w:spacing w:after="200"/>
    </w:pPr>
    <w:rPr>
      <w:sz w:val="20"/>
    </w:rPr>
  </w:style>
  <w:style w:type="paragraph" w:styleId="Footer">
    <w:name w:val="footer"/>
    <w:basedOn w:val="Normal"/>
    <w:link w:val="FooterChar"/>
    <w:rsid w:val="00210A30"/>
    <w:pPr>
      <w:tabs>
        <w:tab w:val="center" w:pos="4395"/>
        <w:tab w:val="right" w:pos="8931"/>
      </w:tabs>
      <w:ind w:left="-425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210A30"/>
    <w:rPr>
      <w:rFonts w:ascii="Arial" w:eastAsia="Times New Roman" w:hAnsi="Arial" w:cs="Times New Roman"/>
      <w:sz w:val="18"/>
      <w:szCs w:val="20"/>
      <w:lang w:eastAsia="en-AU"/>
    </w:rPr>
  </w:style>
  <w:style w:type="character" w:styleId="PageNumber">
    <w:name w:val="page number"/>
    <w:basedOn w:val="DefaultParagraphFont"/>
    <w:rsid w:val="00210A30"/>
  </w:style>
  <w:style w:type="character" w:customStyle="1" w:styleId="BlockText-PlainChar">
    <w:name w:val="Block Text- Plain Char"/>
    <w:basedOn w:val="DefaultParagraphFont"/>
    <w:link w:val="BlockText-Plain"/>
    <w:rsid w:val="00210A30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locktext-plain0">
    <w:name w:val="blocktext-plain"/>
    <w:basedOn w:val="Normal"/>
    <w:rsid w:val="00210A30"/>
    <w:pPr>
      <w:keepLines w:val="0"/>
      <w:spacing w:after="200"/>
    </w:pPr>
    <w:rPr>
      <w:rFonts w:cs="Arial"/>
      <w:sz w:val="20"/>
    </w:rPr>
  </w:style>
  <w:style w:type="paragraph" w:customStyle="1" w:styleId="acthead6">
    <w:name w:val="acthead6"/>
    <w:basedOn w:val="Normal"/>
    <w:rsid w:val="00210A30"/>
    <w:pPr>
      <w:keepLine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haramschno">
    <w:name w:val="charamschno"/>
    <w:basedOn w:val="DefaultParagraphFont"/>
    <w:rsid w:val="00210A30"/>
  </w:style>
  <w:style w:type="character" w:customStyle="1" w:styleId="charamschtext">
    <w:name w:val="charamschtext"/>
    <w:basedOn w:val="DefaultParagraphFont"/>
    <w:rsid w:val="00210A30"/>
  </w:style>
  <w:style w:type="paragraph" w:styleId="BalloonText">
    <w:name w:val="Balloon Text"/>
    <w:basedOn w:val="Normal"/>
    <w:link w:val="BalloonTextChar"/>
    <w:uiPriority w:val="99"/>
    <w:semiHidden/>
    <w:unhideWhenUsed/>
    <w:rsid w:val="0021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30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hortT">
    <w:name w:val="ShortT"/>
    <w:basedOn w:val="Normal"/>
    <w:next w:val="Normal"/>
    <w:qFormat/>
    <w:rsid w:val="00B51D41"/>
    <w:pPr>
      <w:keepLines w:val="0"/>
    </w:pPr>
    <w:rPr>
      <w:rFonts w:ascii="Times New Roman" w:hAnsi="Times New Roman"/>
      <w:b/>
      <w:sz w:val="40"/>
    </w:rPr>
  </w:style>
  <w:style w:type="paragraph" w:customStyle="1" w:styleId="SignCoverPageEnd">
    <w:name w:val="SignCoverPageEnd"/>
    <w:basedOn w:val="Normal"/>
    <w:next w:val="Normal"/>
    <w:rsid w:val="00B51D41"/>
    <w:pPr>
      <w:keepNext/>
      <w:keepLines w:val="0"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ascii="Times New Roman" w:hAnsi="Times New Roman"/>
      <w:sz w:val="24"/>
    </w:rPr>
  </w:style>
  <w:style w:type="paragraph" w:customStyle="1" w:styleId="SignCoverPageStart">
    <w:name w:val="SignCoverPageStart"/>
    <w:basedOn w:val="Normal"/>
    <w:next w:val="Normal"/>
    <w:rsid w:val="00B51D41"/>
    <w:pPr>
      <w:keepLines w:val="0"/>
      <w:pBdr>
        <w:top w:val="single" w:sz="4" w:space="1" w:color="auto"/>
      </w:pBdr>
      <w:spacing w:before="360" w:line="260" w:lineRule="atLeast"/>
      <w:ind w:right="397"/>
      <w:jc w:val="both"/>
    </w:pPr>
    <w:rPr>
      <w:rFonts w:ascii="Times New Roman" w:hAnsi="Times New Roman"/>
    </w:rPr>
  </w:style>
  <w:style w:type="paragraph" w:customStyle="1" w:styleId="ActHead5">
    <w:name w:val="ActHead 5"/>
    <w:aliases w:val="s"/>
    <w:basedOn w:val="Normal"/>
    <w:next w:val="Normal"/>
    <w:qFormat/>
    <w:rsid w:val="00B51D41"/>
    <w:pPr>
      <w:keepNext/>
      <w:spacing w:before="280"/>
      <w:ind w:left="1134" w:hanging="1134"/>
      <w:outlineLvl w:val="4"/>
    </w:pPr>
    <w:rPr>
      <w:rFonts w:ascii="Times New Roman" w:hAnsi="Times New Roman"/>
      <w:b/>
      <w:kern w:val="28"/>
      <w:sz w:val="24"/>
    </w:rPr>
  </w:style>
  <w:style w:type="character" w:customStyle="1" w:styleId="CharSectno">
    <w:name w:val="CharSectno"/>
    <w:basedOn w:val="DefaultParagraphFont"/>
    <w:qFormat/>
    <w:rsid w:val="00B51D41"/>
  </w:style>
  <w:style w:type="paragraph" w:customStyle="1" w:styleId="subsection">
    <w:name w:val="subsection"/>
    <w:aliases w:val="ss"/>
    <w:basedOn w:val="Normal"/>
    <w:link w:val="subsectionChar"/>
    <w:rsid w:val="00B51D41"/>
    <w:pPr>
      <w:keepLines w:val="0"/>
      <w:tabs>
        <w:tab w:val="right" w:pos="1021"/>
      </w:tabs>
      <w:spacing w:before="180"/>
      <w:ind w:left="1134" w:hanging="1134"/>
    </w:pPr>
    <w:rPr>
      <w:rFonts w:ascii="Times New Roman" w:hAnsi="Times New Roman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51D41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ActHead3">
    <w:name w:val="ActHead 3"/>
    <w:aliases w:val="d"/>
    <w:basedOn w:val="Normal"/>
    <w:next w:val="Normal"/>
    <w:qFormat/>
    <w:rsid w:val="00102EEE"/>
    <w:pPr>
      <w:keepNext/>
      <w:spacing w:before="240"/>
      <w:ind w:left="1134" w:hanging="1134"/>
      <w:outlineLvl w:val="2"/>
    </w:pPr>
    <w:rPr>
      <w:rFonts w:ascii="Times New Roman" w:hAnsi="Times New Roman"/>
      <w:b/>
      <w:kern w:val="28"/>
      <w:sz w:val="28"/>
    </w:rPr>
  </w:style>
  <w:style w:type="paragraph" w:styleId="TOC5">
    <w:name w:val="toc 5"/>
    <w:basedOn w:val="Normal"/>
    <w:next w:val="Normal"/>
    <w:uiPriority w:val="39"/>
    <w:unhideWhenUsed/>
    <w:rsid w:val="00102EEE"/>
    <w:pPr>
      <w:tabs>
        <w:tab w:val="right" w:leader="dot" w:pos="8278"/>
      </w:tabs>
      <w:spacing w:before="40"/>
      <w:ind w:left="1985" w:right="567" w:hanging="567"/>
    </w:pPr>
    <w:rPr>
      <w:rFonts w:ascii="Times New Roman" w:hAnsi="Times New Roman"/>
      <w:kern w:val="28"/>
      <w:sz w:val="18"/>
    </w:rPr>
  </w:style>
  <w:style w:type="paragraph" w:styleId="TOC6">
    <w:name w:val="toc 6"/>
    <w:basedOn w:val="Normal"/>
    <w:next w:val="Normal"/>
    <w:uiPriority w:val="39"/>
    <w:unhideWhenUsed/>
    <w:rsid w:val="00102EEE"/>
    <w:pPr>
      <w:tabs>
        <w:tab w:val="right" w:pos="8278"/>
      </w:tabs>
      <w:spacing w:before="120"/>
      <w:ind w:left="1344" w:right="567" w:hanging="1344"/>
    </w:pPr>
    <w:rPr>
      <w:rFonts w:ascii="Times New Roman" w:hAnsi="Times New Roman"/>
      <w:b/>
      <w:kern w:val="28"/>
      <w:sz w:val="24"/>
    </w:rPr>
  </w:style>
  <w:style w:type="paragraph" w:styleId="TOC9">
    <w:name w:val="toc 9"/>
    <w:basedOn w:val="Normal"/>
    <w:next w:val="Normal"/>
    <w:uiPriority w:val="39"/>
    <w:unhideWhenUsed/>
    <w:rsid w:val="00102EEE"/>
    <w:pPr>
      <w:tabs>
        <w:tab w:val="right" w:pos="8278"/>
      </w:tabs>
      <w:spacing w:before="80"/>
      <w:ind w:left="851" w:right="567"/>
    </w:pPr>
    <w:rPr>
      <w:rFonts w:ascii="Times New Roman" w:hAnsi="Times New Roman"/>
      <w:i/>
      <w:kern w:val="28"/>
      <w:sz w:val="20"/>
    </w:rPr>
  </w:style>
  <w:style w:type="paragraph" w:styleId="Header">
    <w:name w:val="header"/>
    <w:basedOn w:val="Normal"/>
    <w:link w:val="HeaderChar"/>
    <w:uiPriority w:val="99"/>
    <w:unhideWhenUsed/>
    <w:rsid w:val="009035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5DB"/>
    <w:rPr>
      <w:rFonts w:ascii="Arial" w:eastAsia="Times New Roman" w:hAnsi="Arial" w:cs="Times New Roman"/>
      <w:szCs w:val="20"/>
      <w:lang w:eastAsia="en-AU"/>
    </w:rPr>
  </w:style>
  <w:style w:type="character" w:customStyle="1" w:styleId="BlockText-PlainNoSpacingChar">
    <w:name w:val="Block Text - Plain (No Spacing) Char"/>
    <w:link w:val="BlockText-PlainNoSpacing"/>
    <w:rsid w:val="0064733C"/>
    <w:rPr>
      <w:rFonts w:ascii="Arial" w:eastAsia="Times New Roman" w:hAnsi="Arial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70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C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C59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C59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semiHidden/>
    <w:rsid w:val="00D01ED1"/>
    <w:pPr>
      <w:keepLines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BDE2-EF83-4527-847A-7C5BBB7B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8B98A00F</Template>
  <TotalTime>1047</TotalTime>
  <Pages>7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Urbani, Karen MS</dc:creator>
  <cp:lastModifiedBy>Amphlett, Kieron MR</cp:lastModifiedBy>
  <cp:revision>75</cp:revision>
  <cp:lastPrinted>2018-12-18T21:53:00Z</cp:lastPrinted>
  <dcterms:created xsi:type="dcterms:W3CDTF">2017-11-15T00:32:00Z</dcterms:created>
  <dcterms:modified xsi:type="dcterms:W3CDTF">2018-12-18T23:23:00Z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BN730123</vt:lpwstr>
  </property>
  <property fmtid="{D5CDD505-2E9C-101B-9397-08002B2CF9AE}" pid="4" name="Objective-Title">
    <vt:lpwstr>Ref227 NRP - Army</vt:lpwstr>
  </property>
  <property fmtid="{D5CDD505-2E9C-101B-9397-08002B2CF9AE}" pid="5" name="Objective-Comment">
    <vt:lpwstr/>
  </property>
  <property fmtid="{D5CDD505-2E9C-101B-9397-08002B2CF9AE}" pid="6" name="Objective-CreationStamp">
    <vt:filetime>2018-10-29T04:28:20Z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2018-12-18T21:52:22Z</vt:filetime>
  </property>
  <property fmtid="{D5CDD505-2E9C-101B-9397-08002B2CF9AE}" pid="11" name="Objective-Owner">
    <vt:lpwstr>Amphlett, Kieron Mr</vt:lpwstr>
  </property>
  <property fmtid="{D5CDD505-2E9C-101B-9397-08002B2CF9AE}" pid="12" name="Objective-Path">
    <vt:lpwstr>Objective Global Folder - PROD:Defence Business Units:Chief Operating Officer Group:Defence People Group:People Policy &amp; Culture:PPEC : Personnel Policy and Employment Conditions:20 - Directorates:20 Engagement, Priorities and Drafting:DEPD: Directorate o</vt:lpwstr>
  </property>
  <property fmtid="{D5CDD505-2E9C-101B-9397-08002B2CF9AE}" pid="13" name="Objective-Parent">
    <vt:lpwstr>Ref 18-227 NRP Army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23.1</vt:lpwstr>
  </property>
  <property fmtid="{D5CDD505-2E9C-101B-9397-08002B2CF9AE}" pid="16" name="Objective-VersionNumber">
    <vt:i4>27</vt:i4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ocument Type [system]">
    <vt:lpwstr/>
  </property>
</Properties>
</file>