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1555" w:rsidRPr="00871235" w:rsidRDefault="008A04CE" w:rsidP="008B1D85">
      <w:pPr>
        <w:spacing w:before="200"/>
        <w:jc w:val="center"/>
      </w:pPr>
      <w:r w:rsidRPr="008B1D85">
        <w:rPr>
          <w:b/>
        </w:rPr>
        <w:t>EXPLANATORY STATEMENT</w:t>
      </w:r>
    </w:p>
    <w:p w:rsidR="00041555" w:rsidRPr="00871235" w:rsidRDefault="008A04CE" w:rsidP="008B1D85">
      <w:pPr>
        <w:spacing w:before="200"/>
      </w:pPr>
      <w:r w:rsidRPr="00871235">
        <w:t>Issued by the Authority of the Minister for Indigenous Affairs</w:t>
      </w:r>
    </w:p>
    <w:p w:rsidR="00041555" w:rsidRPr="00871235" w:rsidRDefault="004A7557" w:rsidP="008B1D85">
      <w:pPr>
        <w:spacing w:before="200"/>
        <w:rPr>
          <w:i/>
        </w:rPr>
      </w:pPr>
      <w:r>
        <w:rPr>
          <w:i/>
        </w:rPr>
        <w:t>Higher Education Support Act</w:t>
      </w:r>
      <w:r w:rsidR="009D1C27">
        <w:rPr>
          <w:i/>
        </w:rPr>
        <w:t xml:space="preserve"> 2003</w:t>
      </w:r>
    </w:p>
    <w:p w:rsidR="00041555" w:rsidRPr="00871235" w:rsidRDefault="009D1C27" w:rsidP="008B1D85">
      <w:pPr>
        <w:spacing w:before="200"/>
        <w:rPr>
          <w:i/>
        </w:rPr>
      </w:pPr>
      <w:r>
        <w:rPr>
          <w:i/>
        </w:rPr>
        <w:t xml:space="preserve">Indigenous Student Assistance Grants </w:t>
      </w:r>
      <w:r w:rsidR="00715B05">
        <w:rPr>
          <w:i/>
        </w:rPr>
        <w:t xml:space="preserve">Amendment </w:t>
      </w:r>
      <w:r>
        <w:rPr>
          <w:i/>
        </w:rPr>
        <w:t>Guidelines</w:t>
      </w:r>
      <w:r w:rsidR="000200C4">
        <w:rPr>
          <w:i/>
        </w:rPr>
        <w:t xml:space="preserve"> </w:t>
      </w:r>
      <w:r w:rsidR="00715B05">
        <w:rPr>
          <w:i/>
        </w:rPr>
        <w:t>2018</w:t>
      </w:r>
    </w:p>
    <w:p w:rsidR="00715B05" w:rsidRPr="00611DC1" w:rsidRDefault="0018690D" w:rsidP="00611DC1">
      <w:pPr>
        <w:spacing w:before="200" w:line="276" w:lineRule="auto"/>
        <w:rPr>
          <w:szCs w:val="24"/>
        </w:rPr>
      </w:pPr>
      <w:r w:rsidRPr="008B1D85">
        <w:rPr>
          <w:b/>
          <w:szCs w:val="24"/>
        </w:rPr>
        <w:t>Purpose</w:t>
      </w:r>
    </w:p>
    <w:p w:rsidR="00611DC1" w:rsidRDefault="00611DC1" w:rsidP="00715B05">
      <w:pPr>
        <w:pStyle w:val="ListParagraph"/>
        <w:numPr>
          <w:ilvl w:val="0"/>
          <w:numId w:val="46"/>
        </w:numPr>
        <w:spacing w:before="200" w:line="276" w:lineRule="auto"/>
      </w:pPr>
      <w:r>
        <w:t>The Indigenous Student Assistance Grants Amendment Guidelines 2018 (Amendment Guidelines)</w:t>
      </w:r>
      <w:r w:rsidR="008A04CE" w:rsidRPr="00715B05">
        <w:t xml:space="preserve"> </w:t>
      </w:r>
      <w:r>
        <w:t>amend</w:t>
      </w:r>
      <w:r w:rsidR="00715B05" w:rsidRPr="00715B05">
        <w:t xml:space="preserve"> the </w:t>
      </w:r>
      <w:r w:rsidR="00715B05" w:rsidRPr="00715B05">
        <w:rPr>
          <w:i/>
        </w:rPr>
        <w:t xml:space="preserve">Indigenous Student Assistance Grants Guidelines 2017 </w:t>
      </w:r>
      <w:r w:rsidR="00715B05" w:rsidRPr="00715B05">
        <w:t>(the Guidelines)</w:t>
      </w:r>
      <w:r>
        <w:t xml:space="preserve"> to make a number of </w:t>
      </w:r>
      <w:r w:rsidR="0099522A">
        <w:t xml:space="preserve">mostly </w:t>
      </w:r>
      <w:r>
        <w:t xml:space="preserve">minor and technical changes. </w:t>
      </w:r>
    </w:p>
    <w:p w:rsidR="00611DC1" w:rsidRDefault="00611DC1" w:rsidP="00611DC1">
      <w:pPr>
        <w:pStyle w:val="ListParagraph"/>
        <w:spacing w:before="200" w:line="276" w:lineRule="auto"/>
        <w:ind w:left="360"/>
      </w:pPr>
    </w:p>
    <w:p w:rsidR="00715B05" w:rsidRPr="00715B05" w:rsidRDefault="00611DC1" w:rsidP="00611DC1">
      <w:pPr>
        <w:pStyle w:val="ListParagraph"/>
        <w:numPr>
          <w:ilvl w:val="0"/>
          <w:numId w:val="46"/>
        </w:numPr>
        <w:spacing w:before="200" w:line="276" w:lineRule="auto"/>
      </w:pPr>
      <w:r w:rsidRPr="00715B05">
        <w:t>The Guidelines provide a framework to deal with grants for the Indigenous Student Success Programme (</w:t>
      </w:r>
      <w:proofErr w:type="spellStart"/>
      <w:r w:rsidRPr="00715B05">
        <w:t>ISSP</w:t>
      </w:r>
      <w:proofErr w:type="spellEnd"/>
      <w:r w:rsidRPr="00715B05">
        <w:t xml:space="preserve">) under Part 2-2A of the Act.  </w:t>
      </w:r>
      <w:r w:rsidR="00715B05" w:rsidRPr="00715B05">
        <w:t xml:space="preserve">The Guidelines are made under subsection 238-10(1) of the </w:t>
      </w:r>
      <w:r w:rsidR="00715B05" w:rsidRPr="00611DC1">
        <w:rPr>
          <w:i/>
        </w:rPr>
        <w:t xml:space="preserve">Higher Education Support Act 2003 </w:t>
      </w:r>
      <w:r w:rsidR="00715B05" w:rsidRPr="00715B05">
        <w:t xml:space="preserve">(the Act) for the purposes of Part 2-2A of the Act (see Item 6A of the table in subsection 238-10(1) of the Act). </w:t>
      </w:r>
    </w:p>
    <w:p w:rsidR="00913FB7" w:rsidRPr="009F333C" w:rsidRDefault="008A04CE" w:rsidP="008B1D85">
      <w:pPr>
        <w:spacing w:before="200" w:line="276" w:lineRule="auto"/>
        <w:rPr>
          <w:b/>
          <w:szCs w:val="24"/>
        </w:rPr>
      </w:pPr>
      <w:r w:rsidRPr="009F333C">
        <w:rPr>
          <w:b/>
          <w:szCs w:val="24"/>
        </w:rPr>
        <w:t>Background</w:t>
      </w:r>
    </w:p>
    <w:p w:rsidR="00715B05" w:rsidRPr="00715B05" w:rsidRDefault="00715B05" w:rsidP="00715B05">
      <w:pPr>
        <w:pStyle w:val="ListParagraph"/>
        <w:numPr>
          <w:ilvl w:val="0"/>
          <w:numId w:val="46"/>
        </w:numPr>
        <w:spacing w:before="200" w:after="120" w:line="276" w:lineRule="auto"/>
        <w:rPr>
          <w:rStyle w:val="BookTitle"/>
          <w:i w:val="0"/>
          <w:iCs w:val="0"/>
          <w:smallCaps w:val="0"/>
          <w:spacing w:val="0"/>
        </w:rPr>
      </w:pPr>
      <w:r>
        <w:t xml:space="preserve">The </w:t>
      </w:r>
      <w:proofErr w:type="spellStart"/>
      <w:r>
        <w:t>ISSP</w:t>
      </w:r>
      <w:proofErr w:type="spellEnd"/>
      <w:r>
        <w:t xml:space="preserve"> </w:t>
      </w:r>
      <w:r>
        <w:rPr>
          <w:rStyle w:val="BookTitle"/>
          <w:i w:val="0"/>
          <w:smallCaps w:val="0"/>
        </w:rPr>
        <w:t xml:space="preserve">is designed to address the additional barriers Indigenous students face to succeed in higher education by providing higher education providers with increased flexibility to tailor their support to meet the specific needs of Indigenous students. The </w:t>
      </w:r>
      <w:proofErr w:type="spellStart"/>
      <w:r>
        <w:rPr>
          <w:rStyle w:val="BookTitle"/>
          <w:i w:val="0"/>
          <w:smallCaps w:val="0"/>
        </w:rPr>
        <w:t>ISSP</w:t>
      </w:r>
      <w:proofErr w:type="spellEnd"/>
      <w:r>
        <w:rPr>
          <w:rStyle w:val="BookTitle"/>
          <w:i w:val="0"/>
          <w:smallCaps w:val="0"/>
        </w:rPr>
        <w:t xml:space="preserve"> commenced in 2017. </w:t>
      </w:r>
    </w:p>
    <w:p w:rsidR="00715B05" w:rsidRPr="00715B05" w:rsidRDefault="00715B05" w:rsidP="00715B05">
      <w:pPr>
        <w:pStyle w:val="ListParagraph"/>
        <w:spacing w:before="200" w:after="120" w:line="276" w:lineRule="auto"/>
        <w:ind w:left="360"/>
        <w:rPr>
          <w:rStyle w:val="BookTitle"/>
          <w:i w:val="0"/>
          <w:iCs w:val="0"/>
          <w:smallCaps w:val="0"/>
          <w:spacing w:val="0"/>
        </w:rPr>
      </w:pPr>
    </w:p>
    <w:p w:rsidR="00715B05" w:rsidRDefault="00715B05" w:rsidP="008B1D85">
      <w:pPr>
        <w:pStyle w:val="ListParagraph"/>
        <w:numPr>
          <w:ilvl w:val="0"/>
          <w:numId w:val="46"/>
        </w:numPr>
        <w:spacing w:before="200" w:after="120" w:line="276" w:lineRule="auto"/>
      </w:pPr>
      <w:r>
        <w:t xml:space="preserve">The </w:t>
      </w:r>
      <w:r w:rsidR="00611DC1">
        <w:t xml:space="preserve">Department of the Prime Minister and Cabinet (the Department) </w:t>
      </w:r>
      <w:r>
        <w:t xml:space="preserve">undertook a post-implementation review of the </w:t>
      </w:r>
      <w:proofErr w:type="spellStart"/>
      <w:r>
        <w:t>ISSP</w:t>
      </w:r>
      <w:proofErr w:type="spellEnd"/>
      <w:r>
        <w:t xml:space="preserve"> during 2018 to explore whether changes should be made to improve the ease of implementation or mitigate unintended consequences. </w:t>
      </w:r>
      <w:r w:rsidR="00611DC1">
        <w:t>The Amendment Guidelines implement the outcomes of the review.</w:t>
      </w:r>
    </w:p>
    <w:p w:rsidR="00041555" w:rsidRPr="009F333C" w:rsidRDefault="008A04CE" w:rsidP="008B1D85">
      <w:pPr>
        <w:keepNext/>
        <w:spacing w:before="200" w:line="276" w:lineRule="auto"/>
        <w:rPr>
          <w:rStyle w:val="BookTitle"/>
          <w:b/>
          <w:i w:val="0"/>
          <w:smallCaps w:val="0"/>
          <w:szCs w:val="24"/>
        </w:rPr>
      </w:pPr>
      <w:r w:rsidRPr="009F333C">
        <w:rPr>
          <w:rStyle w:val="BookTitle"/>
          <w:b/>
          <w:i w:val="0"/>
          <w:smallCaps w:val="0"/>
          <w:szCs w:val="24"/>
        </w:rPr>
        <w:t xml:space="preserve">Regulatory Impact Statement </w:t>
      </w:r>
    </w:p>
    <w:p w:rsidR="00041555" w:rsidRPr="004C64E6" w:rsidRDefault="008A04CE" w:rsidP="004C64E6">
      <w:pPr>
        <w:pStyle w:val="ListParagraph"/>
        <w:keepNext/>
        <w:numPr>
          <w:ilvl w:val="0"/>
          <w:numId w:val="46"/>
        </w:numPr>
        <w:spacing w:before="200" w:line="276" w:lineRule="auto"/>
        <w:rPr>
          <w:rStyle w:val="BookTitle"/>
          <w:i w:val="0"/>
          <w:smallCaps w:val="0"/>
        </w:rPr>
      </w:pPr>
      <w:r w:rsidRPr="004C64E6">
        <w:rPr>
          <w:rStyle w:val="BookTitle"/>
          <w:i w:val="0"/>
          <w:smallCaps w:val="0"/>
        </w:rPr>
        <w:t>The Office of Best Practice Regulation has advised that a Regulatory Impact Statement is not required for th</w:t>
      </w:r>
      <w:r w:rsidR="00563AF6">
        <w:rPr>
          <w:rStyle w:val="BookTitle"/>
          <w:i w:val="0"/>
          <w:smallCaps w:val="0"/>
        </w:rPr>
        <w:t>ese Guidelines</w:t>
      </w:r>
      <w:r w:rsidR="006C1AF6" w:rsidRPr="00697BD5">
        <w:rPr>
          <w:rStyle w:val="BookTitle"/>
          <w:i w:val="0"/>
          <w:smallCaps w:val="0"/>
        </w:rPr>
        <w:t>.</w:t>
      </w:r>
    </w:p>
    <w:p w:rsidR="009064A1" w:rsidRPr="004C64E6" w:rsidRDefault="009064A1" w:rsidP="008B1D85">
      <w:pPr>
        <w:keepNext/>
        <w:spacing w:before="200" w:line="276" w:lineRule="auto"/>
        <w:rPr>
          <w:rStyle w:val="BookTitle"/>
          <w:i w:val="0"/>
          <w:smallCaps w:val="0"/>
          <w:szCs w:val="24"/>
        </w:rPr>
      </w:pPr>
      <w:r>
        <w:rPr>
          <w:rStyle w:val="BookTitle"/>
          <w:b/>
          <w:i w:val="0"/>
          <w:smallCaps w:val="0"/>
          <w:szCs w:val="24"/>
        </w:rPr>
        <w:t>Statement of Compatibility with Human Rights</w:t>
      </w:r>
    </w:p>
    <w:p w:rsidR="009064A1" w:rsidRPr="004C64E6" w:rsidRDefault="009064A1" w:rsidP="004C64E6">
      <w:pPr>
        <w:pStyle w:val="ListParagraph"/>
        <w:keepNext/>
        <w:numPr>
          <w:ilvl w:val="0"/>
          <w:numId w:val="46"/>
        </w:numPr>
        <w:spacing w:before="200" w:line="276" w:lineRule="auto"/>
        <w:rPr>
          <w:rStyle w:val="BookTitle"/>
          <w:b/>
          <w:i w:val="0"/>
          <w:smallCaps w:val="0"/>
        </w:rPr>
      </w:pPr>
      <w:r w:rsidRPr="004C64E6">
        <w:rPr>
          <w:rStyle w:val="BookTitle"/>
          <w:i w:val="0"/>
          <w:smallCaps w:val="0"/>
        </w:rPr>
        <w:t xml:space="preserve">The Statement of Compatibility with Human Rights appears at the end of this Explanatory Statement. </w:t>
      </w:r>
    </w:p>
    <w:p w:rsidR="00041555" w:rsidRPr="009F333C" w:rsidRDefault="008A04CE" w:rsidP="008B1D85">
      <w:pPr>
        <w:spacing w:before="200" w:line="276" w:lineRule="auto"/>
        <w:rPr>
          <w:rStyle w:val="BookTitle"/>
          <w:b/>
          <w:i w:val="0"/>
          <w:smallCaps w:val="0"/>
          <w:szCs w:val="24"/>
        </w:rPr>
      </w:pPr>
      <w:r w:rsidRPr="009F333C">
        <w:rPr>
          <w:rStyle w:val="BookTitle"/>
          <w:b/>
          <w:i w:val="0"/>
          <w:smallCaps w:val="0"/>
          <w:szCs w:val="24"/>
        </w:rPr>
        <w:t>Commencement</w:t>
      </w:r>
    </w:p>
    <w:p w:rsidR="00041555" w:rsidRPr="004C64E6" w:rsidRDefault="008A04CE" w:rsidP="004C64E6">
      <w:pPr>
        <w:pStyle w:val="ListParagraph"/>
        <w:numPr>
          <w:ilvl w:val="0"/>
          <w:numId w:val="46"/>
        </w:numPr>
        <w:spacing w:before="200" w:line="276" w:lineRule="auto"/>
        <w:rPr>
          <w:rStyle w:val="BookTitle"/>
          <w:i w:val="0"/>
          <w:smallCaps w:val="0"/>
        </w:rPr>
      </w:pPr>
      <w:r w:rsidRPr="004C64E6">
        <w:rPr>
          <w:rStyle w:val="BookTitle"/>
          <w:i w:val="0"/>
          <w:smallCaps w:val="0"/>
        </w:rPr>
        <w:t xml:space="preserve">The </w:t>
      </w:r>
      <w:r w:rsidR="00611DC1" w:rsidRPr="004C64E6">
        <w:rPr>
          <w:rStyle w:val="BookTitle"/>
          <w:i w:val="0"/>
          <w:smallCaps w:val="0"/>
        </w:rPr>
        <w:t xml:space="preserve">Amendment </w:t>
      </w:r>
      <w:r w:rsidR="007C6845" w:rsidRPr="004C64E6">
        <w:rPr>
          <w:rStyle w:val="BookTitle"/>
          <w:i w:val="0"/>
          <w:smallCaps w:val="0"/>
        </w:rPr>
        <w:t xml:space="preserve">Guidelines commence the day after they are registered on the Federal Register of Legislation. </w:t>
      </w:r>
      <w:r w:rsidR="00CE4B98" w:rsidRPr="004C64E6">
        <w:rPr>
          <w:rStyle w:val="BookTitle"/>
          <w:i w:val="0"/>
          <w:smallCaps w:val="0"/>
        </w:rPr>
        <w:t xml:space="preserve"> </w:t>
      </w:r>
      <w:r w:rsidR="00AA7B3E" w:rsidRPr="004C64E6">
        <w:rPr>
          <w:rStyle w:val="BookTitle"/>
          <w:i w:val="0"/>
          <w:smallCaps w:val="0"/>
        </w:rPr>
        <w:t xml:space="preserve"> </w:t>
      </w:r>
    </w:p>
    <w:p w:rsidR="00041555" w:rsidRPr="009F333C" w:rsidRDefault="008A04CE" w:rsidP="00C744EE">
      <w:pPr>
        <w:keepNext/>
        <w:keepLines/>
        <w:spacing w:before="200" w:line="276" w:lineRule="auto"/>
        <w:rPr>
          <w:rStyle w:val="BookTitle"/>
          <w:b/>
          <w:i w:val="0"/>
          <w:smallCaps w:val="0"/>
          <w:szCs w:val="24"/>
        </w:rPr>
      </w:pPr>
      <w:r w:rsidRPr="009F333C">
        <w:rPr>
          <w:rStyle w:val="BookTitle"/>
          <w:b/>
          <w:i w:val="0"/>
          <w:smallCaps w:val="0"/>
          <w:szCs w:val="24"/>
        </w:rPr>
        <w:lastRenderedPageBreak/>
        <w:t>Consultation</w:t>
      </w:r>
      <w:r w:rsidR="006156E0">
        <w:rPr>
          <w:rStyle w:val="BookTitle"/>
          <w:b/>
          <w:i w:val="0"/>
          <w:smallCaps w:val="0"/>
          <w:szCs w:val="24"/>
        </w:rPr>
        <w:t xml:space="preserve"> </w:t>
      </w:r>
    </w:p>
    <w:p w:rsidR="00611DC1" w:rsidRPr="004C64E6" w:rsidRDefault="00611DC1" w:rsidP="00C744EE">
      <w:pPr>
        <w:pStyle w:val="ListParagraph"/>
        <w:keepNext/>
        <w:keepLines/>
        <w:numPr>
          <w:ilvl w:val="0"/>
          <w:numId w:val="46"/>
        </w:numPr>
        <w:spacing w:before="200" w:line="276" w:lineRule="auto"/>
      </w:pPr>
      <w:r w:rsidRPr="004C64E6">
        <w:t xml:space="preserve">The Department released a discussion paper on the post-implementation review of the </w:t>
      </w:r>
      <w:proofErr w:type="spellStart"/>
      <w:r w:rsidRPr="004C64E6">
        <w:t>ISSP</w:t>
      </w:r>
      <w:proofErr w:type="spellEnd"/>
      <w:r w:rsidRPr="004C64E6">
        <w:t xml:space="preserve"> on 11 July 2018. Thirty-eight responses were received from higher education providers, peak bodies and students (including 8 private submissions). The Department also held five teleconferences with stakeholders and met with the National Aboriginal and Torres Strait Islander Higher Education Consortium (</w:t>
      </w:r>
      <w:proofErr w:type="spellStart"/>
      <w:r w:rsidRPr="004C64E6">
        <w:t>NATSIHEC</w:t>
      </w:r>
      <w:proofErr w:type="spellEnd"/>
      <w:r w:rsidRPr="004C64E6">
        <w:t>) in relation to the review</w:t>
      </w:r>
      <w:r w:rsidR="00B0159A">
        <w:t>.</w:t>
      </w:r>
    </w:p>
    <w:p w:rsidR="004C64E6" w:rsidRDefault="004C64E6" w:rsidP="004C64E6">
      <w:pPr>
        <w:pStyle w:val="ListParagraph"/>
        <w:spacing w:before="200" w:line="276" w:lineRule="auto"/>
        <w:ind w:left="360"/>
      </w:pPr>
    </w:p>
    <w:p w:rsidR="00611DC1" w:rsidRPr="004C64E6" w:rsidRDefault="00611DC1" w:rsidP="004C64E6">
      <w:pPr>
        <w:pStyle w:val="ListParagraph"/>
        <w:numPr>
          <w:ilvl w:val="0"/>
          <w:numId w:val="46"/>
        </w:numPr>
        <w:spacing w:before="200" w:line="276" w:lineRule="auto"/>
      </w:pPr>
      <w:r w:rsidRPr="004C64E6">
        <w:t xml:space="preserve">The Department of Finance </w:t>
      </w:r>
      <w:r w:rsidR="004C64E6" w:rsidRPr="004C64E6">
        <w:t xml:space="preserve">was consulted on the </w:t>
      </w:r>
      <w:r w:rsidR="004C64E6">
        <w:t xml:space="preserve">preparation of the </w:t>
      </w:r>
      <w:r w:rsidR="004C64E6" w:rsidRPr="004C64E6">
        <w:t xml:space="preserve">Amendment Guidelines. </w:t>
      </w:r>
    </w:p>
    <w:p w:rsidR="00B11E19" w:rsidRDefault="00B11E19" w:rsidP="002549D7">
      <w:pPr>
        <w:keepNext/>
        <w:keepLines/>
        <w:spacing w:before="200" w:line="276" w:lineRule="auto"/>
        <w:rPr>
          <w:rStyle w:val="BookTitle"/>
          <w:b/>
          <w:i w:val="0"/>
          <w:smallCaps w:val="0"/>
          <w:szCs w:val="24"/>
        </w:rPr>
        <w:sectPr w:rsidR="00B11E19" w:rsidSect="002549D7">
          <w:footerReference w:type="default" r:id="rId11"/>
          <w:pgSz w:w="11906" w:h="16838"/>
          <w:pgMar w:top="1135" w:right="1274" w:bottom="1560" w:left="1276" w:header="708" w:footer="555" w:gutter="0"/>
          <w:cols w:space="708"/>
          <w:docGrid w:linePitch="360"/>
        </w:sectPr>
      </w:pPr>
    </w:p>
    <w:p w:rsidR="00041555" w:rsidRPr="009F333C" w:rsidRDefault="008A04CE" w:rsidP="002549D7">
      <w:pPr>
        <w:keepNext/>
        <w:keepLines/>
        <w:spacing w:before="200" w:line="276" w:lineRule="auto"/>
        <w:rPr>
          <w:rStyle w:val="BookTitle"/>
          <w:b/>
          <w:i w:val="0"/>
          <w:smallCaps w:val="0"/>
          <w:szCs w:val="24"/>
        </w:rPr>
      </w:pPr>
      <w:r w:rsidRPr="009F333C">
        <w:rPr>
          <w:rStyle w:val="BookTitle"/>
          <w:b/>
          <w:i w:val="0"/>
          <w:smallCaps w:val="0"/>
          <w:szCs w:val="24"/>
        </w:rPr>
        <w:lastRenderedPageBreak/>
        <w:t>Explanation of provisions</w:t>
      </w:r>
    </w:p>
    <w:p w:rsidR="00846251" w:rsidRPr="00846251" w:rsidRDefault="00846251" w:rsidP="00846251">
      <w:pPr>
        <w:spacing w:before="200" w:line="276" w:lineRule="auto"/>
        <w:rPr>
          <w:b/>
        </w:rPr>
      </w:pPr>
      <w:r>
        <w:rPr>
          <w:b/>
        </w:rPr>
        <w:t xml:space="preserve">Clause 1 – Name </w:t>
      </w:r>
    </w:p>
    <w:p w:rsidR="00846251" w:rsidRPr="00846251" w:rsidRDefault="008526AE" w:rsidP="00846251">
      <w:pPr>
        <w:pStyle w:val="ListParagraph"/>
        <w:numPr>
          <w:ilvl w:val="0"/>
          <w:numId w:val="46"/>
        </w:numPr>
        <w:spacing w:before="200" w:line="276" w:lineRule="auto"/>
        <w:rPr>
          <w:i/>
        </w:rPr>
      </w:pPr>
      <w:r w:rsidRPr="00846251">
        <w:rPr>
          <w:b/>
        </w:rPr>
        <w:t>Clause</w:t>
      </w:r>
      <w:r w:rsidR="008A04CE" w:rsidRPr="00846251">
        <w:t xml:space="preserve"> </w:t>
      </w:r>
      <w:r w:rsidR="008A04CE" w:rsidRPr="00846251">
        <w:rPr>
          <w:b/>
        </w:rPr>
        <w:t>1</w:t>
      </w:r>
      <w:r w:rsidR="008A04CE" w:rsidRPr="00846251">
        <w:t xml:space="preserve"> </w:t>
      </w:r>
      <w:r w:rsidR="00CD16B2" w:rsidRPr="00846251">
        <w:rPr>
          <w:rStyle w:val="BookTitle"/>
          <w:i w:val="0"/>
          <w:smallCaps w:val="0"/>
        </w:rPr>
        <w:t xml:space="preserve">sets out </w:t>
      </w:r>
      <w:r w:rsidR="008A04CE" w:rsidRPr="00846251">
        <w:rPr>
          <w:rStyle w:val="BookTitle"/>
          <w:i w:val="0"/>
          <w:smallCaps w:val="0"/>
        </w:rPr>
        <w:t>the name of the instrument</w:t>
      </w:r>
      <w:r w:rsidR="00CD16B2" w:rsidRPr="00846251">
        <w:rPr>
          <w:rStyle w:val="BookTitle"/>
          <w:i w:val="0"/>
          <w:smallCaps w:val="0"/>
        </w:rPr>
        <w:t>, being</w:t>
      </w:r>
      <w:r w:rsidR="00CE4B98" w:rsidRPr="00846251">
        <w:rPr>
          <w:rStyle w:val="BookTitle"/>
          <w:i w:val="0"/>
          <w:smallCaps w:val="0"/>
        </w:rPr>
        <w:t xml:space="preserve"> the </w:t>
      </w:r>
      <w:r w:rsidR="00D2423F" w:rsidRPr="00846251">
        <w:rPr>
          <w:rStyle w:val="BookTitle"/>
          <w:smallCaps w:val="0"/>
        </w:rPr>
        <w:t>Indigenous Student Assistance Grant</w:t>
      </w:r>
      <w:r w:rsidR="00F976D1" w:rsidRPr="00846251">
        <w:rPr>
          <w:rStyle w:val="BookTitle"/>
          <w:smallCaps w:val="0"/>
        </w:rPr>
        <w:t>s</w:t>
      </w:r>
      <w:r w:rsidR="00873479">
        <w:rPr>
          <w:rStyle w:val="BookTitle"/>
          <w:smallCaps w:val="0"/>
        </w:rPr>
        <w:t xml:space="preserve"> Amendment</w:t>
      </w:r>
      <w:r w:rsidR="00D2423F" w:rsidRPr="00846251">
        <w:rPr>
          <w:rStyle w:val="BookTitle"/>
          <w:smallCaps w:val="0"/>
        </w:rPr>
        <w:t xml:space="preserve"> Guidelines</w:t>
      </w:r>
      <w:r w:rsidR="00CE4B98" w:rsidRPr="00846251">
        <w:rPr>
          <w:rStyle w:val="BookTitle"/>
          <w:smallCaps w:val="0"/>
        </w:rPr>
        <w:t xml:space="preserve"> </w:t>
      </w:r>
      <w:r w:rsidR="00ED42BA" w:rsidRPr="00846251">
        <w:rPr>
          <w:rStyle w:val="BookTitle"/>
          <w:smallCaps w:val="0"/>
        </w:rPr>
        <w:t>201</w:t>
      </w:r>
      <w:r w:rsidR="00873479">
        <w:rPr>
          <w:rStyle w:val="BookTitle"/>
          <w:smallCaps w:val="0"/>
        </w:rPr>
        <w:t>8</w:t>
      </w:r>
      <w:r w:rsidR="00ED42BA" w:rsidRPr="00846251">
        <w:rPr>
          <w:i/>
        </w:rPr>
        <w:t xml:space="preserve"> </w:t>
      </w:r>
      <w:r w:rsidR="00A86965" w:rsidRPr="00846251">
        <w:t>(referred to in this Explanatory Statement as</w:t>
      </w:r>
      <w:r w:rsidR="003850BF" w:rsidRPr="00846251">
        <w:t xml:space="preserve"> ‘the </w:t>
      </w:r>
      <w:r w:rsidR="00873479">
        <w:t xml:space="preserve">Amendment </w:t>
      </w:r>
      <w:r w:rsidR="003850BF" w:rsidRPr="00846251">
        <w:t>Guidelines’</w:t>
      </w:r>
      <w:r w:rsidR="00A86965" w:rsidRPr="00846251">
        <w:t>)</w:t>
      </w:r>
      <w:r w:rsidR="003850BF" w:rsidRPr="00846251">
        <w:t xml:space="preserve">. </w:t>
      </w:r>
    </w:p>
    <w:p w:rsidR="00846251" w:rsidRPr="00846251" w:rsidRDefault="00846251" w:rsidP="00846251">
      <w:pPr>
        <w:keepNext/>
        <w:keepLines/>
        <w:spacing w:before="200" w:line="276" w:lineRule="auto"/>
        <w:rPr>
          <w:b/>
        </w:rPr>
      </w:pPr>
      <w:r>
        <w:rPr>
          <w:b/>
        </w:rPr>
        <w:t xml:space="preserve">Clause 2 – Commencement </w:t>
      </w:r>
    </w:p>
    <w:p w:rsidR="00846251" w:rsidRPr="00846251" w:rsidRDefault="00846251" w:rsidP="00846251">
      <w:pPr>
        <w:pStyle w:val="ListParagraph"/>
        <w:rPr>
          <w:b/>
        </w:rPr>
      </w:pPr>
    </w:p>
    <w:p w:rsidR="0011769D" w:rsidRDefault="0011769D" w:rsidP="00846251">
      <w:pPr>
        <w:pStyle w:val="ListParagraph"/>
        <w:keepNext/>
        <w:keepLines/>
        <w:numPr>
          <w:ilvl w:val="0"/>
          <w:numId w:val="46"/>
        </w:numPr>
        <w:spacing w:before="200" w:line="276" w:lineRule="auto"/>
      </w:pPr>
      <w:r w:rsidRPr="00846251">
        <w:rPr>
          <w:b/>
        </w:rPr>
        <w:t>Clause 2</w:t>
      </w:r>
      <w:r w:rsidRPr="00846251">
        <w:t xml:space="preserve"> </w:t>
      </w:r>
      <w:r w:rsidR="00846251">
        <w:t xml:space="preserve">provides that the Amendment Guidelines commence on the day after the Amendment Guidelines are registered. </w:t>
      </w:r>
    </w:p>
    <w:p w:rsidR="00846251" w:rsidRPr="00846251" w:rsidRDefault="00846251" w:rsidP="00846251">
      <w:pPr>
        <w:keepNext/>
        <w:keepLines/>
        <w:spacing w:before="200" w:line="276" w:lineRule="auto"/>
        <w:rPr>
          <w:b/>
        </w:rPr>
      </w:pPr>
      <w:r>
        <w:rPr>
          <w:b/>
        </w:rPr>
        <w:t xml:space="preserve">Clause 3 – Authority </w:t>
      </w:r>
    </w:p>
    <w:p w:rsidR="00846251" w:rsidRDefault="00846251" w:rsidP="00846251">
      <w:pPr>
        <w:pStyle w:val="ListParagraph"/>
      </w:pPr>
    </w:p>
    <w:p w:rsidR="00041555" w:rsidRPr="00846251" w:rsidRDefault="00846251" w:rsidP="008B1D85">
      <w:pPr>
        <w:pStyle w:val="ListParagraph"/>
        <w:keepNext/>
        <w:keepLines/>
        <w:numPr>
          <w:ilvl w:val="0"/>
          <w:numId w:val="46"/>
        </w:numPr>
        <w:spacing w:before="200" w:line="276" w:lineRule="auto"/>
      </w:pPr>
      <w:r>
        <w:rPr>
          <w:b/>
        </w:rPr>
        <w:t>Clause 3</w:t>
      </w:r>
      <w:r w:rsidR="008A04CE" w:rsidRPr="00846251">
        <w:rPr>
          <w:b/>
        </w:rPr>
        <w:t xml:space="preserve"> </w:t>
      </w:r>
      <w:r w:rsidR="008A04CE" w:rsidRPr="00846251">
        <w:rPr>
          <w:rStyle w:val="BookTitle"/>
          <w:i w:val="0"/>
          <w:smallCaps w:val="0"/>
        </w:rPr>
        <w:t xml:space="preserve">specifies that the </w:t>
      </w:r>
      <w:r>
        <w:rPr>
          <w:rStyle w:val="BookTitle"/>
          <w:i w:val="0"/>
          <w:smallCaps w:val="0"/>
        </w:rPr>
        <w:t xml:space="preserve">Amendment </w:t>
      </w:r>
      <w:r w:rsidR="003850BF" w:rsidRPr="00846251">
        <w:rPr>
          <w:rStyle w:val="BookTitle"/>
          <w:i w:val="0"/>
          <w:smallCaps w:val="0"/>
        </w:rPr>
        <w:t>Guidelines are</w:t>
      </w:r>
      <w:r w:rsidR="008A04CE" w:rsidRPr="00846251">
        <w:rPr>
          <w:rStyle w:val="BookTitle"/>
          <w:i w:val="0"/>
          <w:smallCaps w:val="0"/>
        </w:rPr>
        <w:t xml:space="preserve"> made under the authority of </w:t>
      </w:r>
      <w:r>
        <w:rPr>
          <w:rStyle w:val="BookTitle"/>
          <w:i w:val="0"/>
          <w:smallCaps w:val="0"/>
        </w:rPr>
        <w:t>sub</w:t>
      </w:r>
      <w:r w:rsidR="00CE4B98" w:rsidRPr="00846251">
        <w:rPr>
          <w:rStyle w:val="BookTitle"/>
          <w:i w:val="0"/>
          <w:smallCaps w:val="0"/>
        </w:rPr>
        <w:t>section 238-10</w:t>
      </w:r>
      <w:r>
        <w:rPr>
          <w:rStyle w:val="BookTitle"/>
          <w:i w:val="0"/>
          <w:smallCaps w:val="0"/>
        </w:rPr>
        <w:t>(1)</w:t>
      </w:r>
      <w:r w:rsidR="00CE4B98" w:rsidRPr="00846251">
        <w:rPr>
          <w:rStyle w:val="BookTitle"/>
          <w:i w:val="0"/>
          <w:smallCaps w:val="0"/>
        </w:rPr>
        <w:t xml:space="preserve"> of the Act</w:t>
      </w:r>
      <w:r w:rsidR="008A04CE" w:rsidRPr="00846251">
        <w:rPr>
          <w:spacing w:val="5"/>
        </w:rPr>
        <w:t>.</w:t>
      </w:r>
    </w:p>
    <w:p w:rsidR="00846251" w:rsidRPr="00846251" w:rsidRDefault="00846251" w:rsidP="00846251">
      <w:pPr>
        <w:pStyle w:val="ListParagraph"/>
        <w:keepNext/>
        <w:keepLines/>
        <w:spacing w:before="200" w:line="276" w:lineRule="auto"/>
        <w:ind w:left="360"/>
      </w:pPr>
    </w:p>
    <w:p w:rsidR="00846251" w:rsidRDefault="00846251" w:rsidP="008B1D85">
      <w:pPr>
        <w:pStyle w:val="ListParagraph"/>
        <w:keepNext/>
        <w:keepLines/>
        <w:numPr>
          <w:ilvl w:val="0"/>
          <w:numId w:val="46"/>
        </w:numPr>
        <w:spacing w:before="200" w:line="276" w:lineRule="auto"/>
        <w:rPr>
          <w:rStyle w:val="BookTitle"/>
          <w:i w:val="0"/>
          <w:iCs w:val="0"/>
          <w:smallCaps w:val="0"/>
          <w:spacing w:val="0"/>
        </w:rPr>
      </w:pPr>
      <w:r>
        <w:rPr>
          <w:rStyle w:val="BookTitle"/>
          <w:i w:val="0"/>
          <w:iCs w:val="0"/>
          <w:smallCaps w:val="0"/>
          <w:spacing w:val="0"/>
        </w:rPr>
        <w:t xml:space="preserve">The note alerts the reader that subsection 33(3) of the </w:t>
      </w:r>
      <w:r>
        <w:rPr>
          <w:rStyle w:val="BookTitle"/>
          <w:iCs w:val="0"/>
          <w:smallCaps w:val="0"/>
          <w:spacing w:val="0"/>
        </w:rPr>
        <w:t>Acts Interpretation Act 1901</w:t>
      </w:r>
      <w:r>
        <w:rPr>
          <w:rStyle w:val="BookTitle"/>
          <w:i w:val="0"/>
          <w:iCs w:val="0"/>
          <w:smallCaps w:val="0"/>
          <w:spacing w:val="0"/>
        </w:rPr>
        <w:t xml:space="preserve"> has the effect that Guidelines made under subsection 238</w:t>
      </w:r>
      <w:r w:rsidR="00670F09">
        <w:rPr>
          <w:rStyle w:val="BookTitle"/>
          <w:i w:val="0"/>
          <w:iCs w:val="0"/>
          <w:smallCaps w:val="0"/>
          <w:spacing w:val="0"/>
        </w:rPr>
        <w:t>-10</w:t>
      </w:r>
      <w:r>
        <w:rPr>
          <w:rStyle w:val="BookTitle"/>
          <w:i w:val="0"/>
          <w:iCs w:val="0"/>
          <w:smallCaps w:val="0"/>
          <w:spacing w:val="0"/>
        </w:rPr>
        <w:t xml:space="preserve">(1) of the Act may be varied. Subsection 33(3) of the </w:t>
      </w:r>
      <w:r>
        <w:rPr>
          <w:rStyle w:val="BookTitle"/>
          <w:iCs w:val="0"/>
          <w:smallCaps w:val="0"/>
          <w:spacing w:val="0"/>
        </w:rPr>
        <w:t xml:space="preserve">Acts Interpretation Act 1901 </w:t>
      </w:r>
      <w:r>
        <w:rPr>
          <w:rStyle w:val="BookTitle"/>
          <w:i w:val="0"/>
          <w:iCs w:val="0"/>
          <w:smallCaps w:val="0"/>
          <w:spacing w:val="0"/>
        </w:rPr>
        <w:t xml:space="preserve">provides that if </w:t>
      </w:r>
      <w:r w:rsidR="00670F09" w:rsidRPr="00670F09">
        <w:rPr>
          <w:rStyle w:val="BookTitle"/>
          <w:i w:val="0"/>
          <w:iCs w:val="0"/>
          <w:smallCaps w:val="0"/>
          <w:spacing w:val="0"/>
        </w:rPr>
        <w:t>an Act confers a power to make an instrument, the power includes power to vary or revoke the instrument</w:t>
      </w:r>
      <w:r w:rsidRPr="00670F09">
        <w:rPr>
          <w:rStyle w:val="BookTitle"/>
          <w:i w:val="0"/>
          <w:iCs w:val="0"/>
          <w:smallCaps w:val="0"/>
          <w:spacing w:val="0"/>
        </w:rPr>
        <w:t>.</w:t>
      </w:r>
      <w:r>
        <w:rPr>
          <w:rStyle w:val="BookTitle"/>
          <w:i w:val="0"/>
          <w:iCs w:val="0"/>
          <w:smallCaps w:val="0"/>
          <w:spacing w:val="0"/>
        </w:rPr>
        <w:t xml:space="preserve"> </w:t>
      </w:r>
    </w:p>
    <w:p w:rsidR="00846251" w:rsidRPr="00846251" w:rsidRDefault="00846251" w:rsidP="00846251">
      <w:pPr>
        <w:keepNext/>
        <w:keepLines/>
        <w:spacing w:before="200" w:line="276" w:lineRule="auto"/>
        <w:rPr>
          <w:rStyle w:val="BookTitle"/>
          <w:b/>
          <w:i w:val="0"/>
          <w:iCs w:val="0"/>
          <w:smallCaps w:val="0"/>
          <w:spacing w:val="0"/>
          <w:szCs w:val="24"/>
        </w:rPr>
      </w:pPr>
      <w:r>
        <w:rPr>
          <w:rStyle w:val="BookTitle"/>
          <w:b/>
          <w:i w:val="0"/>
          <w:iCs w:val="0"/>
          <w:smallCaps w:val="0"/>
          <w:spacing w:val="0"/>
          <w:szCs w:val="24"/>
        </w:rPr>
        <w:t>Clause 4 – Schedules</w:t>
      </w:r>
    </w:p>
    <w:p w:rsidR="00E97BFB" w:rsidRPr="00846251" w:rsidRDefault="00846251" w:rsidP="00846251">
      <w:pPr>
        <w:pStyle w:val="ListParagraph"/>
        <w:numPr>
          <w:ilvl w:val="0"/>
          <w:numId w:val="46"/>
        </w:numPr>
        <w:spacing w:before="200" w:line="276" w:lineRule="auto"/>
      </w:pPr>
      <w:r>
        <w:rPr>
          <w:b/>
        </w:rPr>
        <w:t xml:space="preserve">Clause 4 </w:t>
      </w:r>
      <w:r>
        <w:t xml:space="preserve">provides that each instrument specified in a Schedule to the Amendment Guidelines is amended or repealed as set out in the Schedule. </w:t>
      </w:r>
    </w:p>
    <w:p w:rsidR="00B11E19" w:rsidRDefault="00B11E19" w:rsidP="008B1D85">
      <w:pPr>
        <w:spacing w:before="200" w:line="276" w:lineRule="auto"/>
        <w:rPr>
          <w:b/>
          <w:i/>
          <w:szCs w:val="24"/>
        </w:rPr>
        <w:sectPr w:rsidR="00B11E19" w:rsidSect="002549D7">
          <w:pgSz w:w="11906" w:h="16838"/>
          <w:pgMar w:top="1135" w:right="1274" w:bottom="1560" w:left="1276" w:header="708" w:footer="555" w:gutter="0"/>
          <w:cols w:space="708"/>
          <w:docGrid w:linePitch="360"/>
        </w:sectPr>
      </w:pPr>
    </w:p>
    <w:p w:rsidR="00B11E19" w:rsidRDefault="00B11E19" w:rsidP="008B1D85">
      <w:pPr>
        <w:spacing w:before="200" w:line="276" w:lineRule="auto"/>
        <w:rPr>
          <w:b/>
          <w:szCs w:val="24"/>
        </w:rPr>
      </w:pPr>
      <w:r>
        <w:rPr>
          <w:b/>
          <w:szCs w:val="24"/>
        </w:rPr>
        <w:lastRenderedPageBreak/>
        <w:t>Schedule 1 – Amendments</w:t>
      </w:r>
    </w:p>
    <w:p w:rsidR="00845F62" w:rsidRDefault="00B11E19" w:rsidP="00B11E19">
      <w:pPr>
        <w:pStyle w:val="ListParagraph"/>
        <w:numPr>
          <w:ilvl w:val="0"/>
          <w:numId w:val="46"/>
        </w:numPr>
        <w:spacing w:before="200" w:line="276" w:lineRule="auto"/>
      </w:pPr>
      <w:r>
        <w:rPr>
          <w:b/>
        </w:rPr>
        <w:t xml:space="preserve">Item 1 </w:t>
      </w:r>
      <w:r>
        <w:t xml:space="preserve">is a technical amendment to replace the words </w:t>
      </w:r>
      <w:r w:rsidR="00845F62">
        <w:t>“</w:t>
      </w:r>
      <w:r>
        <w:t>previous grant year</w:t>
      </w:r>
      <w:r w:rsidR="00845F62">
        <w:t>”</w:t>
      </w:r>
      <w:r>
        <w:t xml:space="preserve"> in column 3 of item 1 of the table in subsection 7(2) of the Guidelines with the words </w:t>
      </w:r>
      <w:r w:rsidR="00845F62">
        <w:t>“</w:t>
      </w:r>
      <w:r>
        <w:t>year before the grant year.</w:t>
      </w:r>
      <w:r w:rsidR="00845F62">
        <w:t>”</w:t>
      </w:r>
    </w:p>
    <w:p w:rsidR="00845F62" w:rsidRPr="00845F62" w:rsidRDefault="00845F62" w:rsidP="00845F62">
      <w:pPr>
        <w:pStyle w:val="ListParagraph"/>
        <w:spacing w:before="200" w:line="276" w:lineRule="auto"/>
        <w:ind w:left="360"/>
      </w:pPr>
    </w:p>
    <w:p w:rsidR="00B11E19" w:rsidRDefault="00845F62" w:rsidP="00B11E19">
      <w:pPr>
        <w:pStyle w:val="ListParagraph"/>
        <w:numPr>
          <w:ilvl w:val="0"/>
          <w:numId w:val="46"/>
        </w:numPr>
        <w:spacing w:before="200" w:line="276" w:lineRule="auto"/>
      </w:pPr>
      <w:r>
        <w:t xml:space="preserve">Subsection 7(2) of the Guidelines deals with notification of </w:t>
      </w:r>
      <w:proofErr w:type="spellStart"/>
      <w:r>
        <w:t>ISSP</w:t>
      </w:r>
      <w:proofErr w:type="spellEnd"/>
      <w:r>
        <w:t xml:space="preserve"> grant amounts. </w:t>
      </w:r>
      <w:r w:rsidR="00B11E19">
        <w:rPr>
          <w:i/>
        </w:rPr>
        <w:t>Grant year</w:t>
      </w:r>
      <w:r w:rsidR="00B11E19">
        <w:t xml:space="preserve"> is defined in section 4 of the Guidelines. </w:t>
      </w:r>
    </w:p>
    <w:p w:rsidR="00B11E19" w:rsidRDefault="00B11E19" w:rsidP="00B11E19">
      <w:pPr>
        <w:pStyle w:val="ListParagraph"/>
        <w:spacing w:before="200" w:line="276" w:lineRule="auto"/>
        <w:ind w:left="360"/>
      </w:pPr>
    </w:p>
    <w:p w:rsidR="00845F62" w:rsidRPr="00B11E19" w:rsidRDefault="00B11E19" w:rsidP="00845F62">
      <w:pPr>
        <w:pStyle w:val="ListParagraph"/>
        <w:numPr>
          <w:ilvl w:val="0"/>
          <w:numId w:val="46"/>
        </w:numPr>
        <w:spacing w:before="200" w:line="276" w:lineRule="auto"/>
      </w:pPr>
      <w:r>
        <w:t>This change is made because there may not always be a previous grant year for a higher education provider</w:t>
      </w:r>
      <w:r w:rsidR="00845F62">
        <w:t xml:space="preserve">. </w:t>
      </w:r>
    </w:p>
    <w:p w:rsidR="00845F62" w:rsidRPr="00845F62" w:rsidRDefault="00845F62" w:rsidP="00845F62">
      <w:pPr>
        <w:pStyle w:val="ListParagraph"/>
        <w:spacing w:before="200" w:line="276" w:lineRule="auto"/>
        <w:ind w:left="360"/>
      </w:pPr>
    </w:p>
    <w:p w:rsidR="00B11E19" w:rsidRDefault="00B11E19" w:rsidP="00B11E19">
      <w:pPr>
        <w:pStyle w:val="ListParagraph"/>
        <w:numPr>
          <w:ilvl w:val="0"/>
          <w:numId w:val="46"/>
        </w:numPr>
        <w:spacing w:before="200" w:line="276" w:lineRule="auto"/>
      </w:pPr>
      <w:r>
        <w:rPr>
          <w:b/>
        </w:rPr>
        <w:t xml:space="preserve">Item 2 </w:t>
      </w:r>
      <w:r>
        <w:t xml:space="preserve">repeals subsection 7(3) of the Guidelines. Subsection 7(3) of the Guidelines deals with </w:t>
      </w:r>
      <w:proofErr w:type="spellStart"/>
      <w:r>
        <w:t>ISSP</w:t>
      </w:r>
      <w:proofErr w:type="spellEnd"/>
      <w:r>
        <w:t xml:space="preserve"> grant amounts for the 2017 grant year. This provision is now redundant.</w:t>
      </w:r>
    </w:p>
    <w:p w:rsidR="00845F62" w:rsidRDefault="00845F62" w:rsidP="00845F62">
      <w:pPr>
        <w:pStyle w:val="ListParagraph"/>
      </w:pPr>
    </w:p>
    <w:p w:rsidR="00845F62" w:rsidRDefault="00845F62" w:rsidP="00B11E19">
      <w:pPr>
        <w:pStyle w:val="ListParagraph"/>
        <w:numPr>
          <w:ilvl w:val="0"/>
          <w:numId w:val="46"/>
        </w:numPr>
        <w:spacing w:before="200" w:line="276" w:lineRule="auto"/>
      </w:pPr>
      <w:r>
        <w:rPr>
          <w:b/>
        </w:rPr>
        <w:t xml:space="preserve">Item </w:t>
      </w:r>
      <w:r w:rsidR="00B7186F">
        <w:rPr>
          <w:b/>
        </w:rPr>
        <w:t>3</w:t>
      </w:r>
      <w:r w:rsidR="00B7186F">
        <w:t xml:space="preserve"> </w:t>
      </w:r>
      <w:r>
        <w:t>deletes the words “can demonstrate it” in paragraph 10(1</w:t>
      </w:r>
      <w:proofErr w:type="gramStart"/>
      <w:r>
        <w:t>)(</w:t>
      </w:r>
      <w:proofErr w:type="gramEnd"/>
      <w:r>
        <w:t xml:space="preserve">b) of the Guidelines. This is done for drafting </w:t>
      </w:r>
      <w:r w:rsidR="00A9047C">
        <w:t>consistency</w:t>
      </w:r>
      <w:r>
        <w:t xml:space="preserve"> with paragraphs 10(1</w:t>
      </w:r>
      <w:proofErr w:type="gramStart"/>
      <w:r>
        <w:t>)(</w:t>
      </w:r>
      <w:proofErr w:type="gramEnd"/>
      <w:r>
        <w:t xml:space="preserve">a) and (c) of the Guidelines. </w:t>
      </w:r>
    </w:p>
    <w:p w:rsidR="004C30C3" w:rsidRDefault="004C30C3" w:rsidP="004C30C3">
      <w:pPr>
        <w:pStyle w:val="ListParagraph"/>
      </w:pPr>
    </w:p>
    <w:p w:rsidR="004C30C3" w:rsidRDefault="004C30C3" w:rsidP="00B11E19">
      <w:pPr>
        <w:pStyle w:val="ListParagraph"/>
        <w:numPr>
          <w:ilvl w:val="0"/>
          <w:numId w:val="46"/>
        </w:numPr>
        <w:spacing w:before="200" w:line="276" w:lineRule="auto"/>
      </w:pPr>
      <w:r>
        <w:rPr>
          <w:b/>
        </w:rPr>
        <w:t xml:space="preserve">Item </w:t>
      </w:r>
      <w:r w:rsidR="00716DCC">
        <w:rPr>
          <w:b/>
        </w:rPr>
        <w:t>4</w:t>
      </w:r>
      <w:r w:rsidR="00B7186F">
        <w:t xml:space="preserve"> </w:t>
      </w:r>
      <w:r>
        <w:t>replaces paragraph 11(a</w:t>
      </w:r>
      <w:proofErr w:type="gramStart"/>
      <w:r>
        <w:t>)(</w:t>
      </w:r>
      <w:proofErr w:type="spellStart"/>
      <w:proofErr w:type="gramEnd"/>
      <w:r>
        <w:t>i</w:t>
      </w:r>
      <w:proofErr w:type="spellEnd"/>
      <w:r>
        <w:t xml:space="preserve">) of the Guidelines, and </w:t>
      </w:r>
      <w:r>
        <w:rPr>
          <w:b/>
        </w:rPr>
        <w:t xml:space="preserve">Item </w:t>
      </w:r>
      <w:r w:rsidR="00716DCC">
        <w:rPr>
          <w:b/>
        </w:rPr>
        <w:t>5</w:t>
      </w:r>
      <w:r w:rsidR="00B7186F">
        <w:rPr>
          <w:b/>
        </w:rPr>
        <w:t xml:space="preserve"> </w:t>
      </w:r>
      <w:r>
        <w:t>repeals paragraph 11(a)(ii) of the Guidelines. The effect is to require the Indigenous Governance Mechanism of a higher education provider to consist of:</w:t>
      </w:r>
    </w:p>
    <w:p w:rsidR="004C30C3" w:rsidRDefault="004C30C3" w:rsidP="004C30C3">
      <w:pPr>
        <w:pStyle w:val="ListParagraph"/>
      </w:pPr>
    </w:p>
    <w:p w:rsidR="004C30C3" w:rsidRDefault="00A9047C" w:rsidP="004C30C3">
      <w:pPr>
        <w:pStyle w:val="ListParagraph"/>
        <w:numPr>
          <w:ilvl w:val="0"/>
          <w:numId w:val="47"/>
        </w:numPr>
        <w:spacing w:before="200" w:line="276" w:lineRule="auto"/>
      </w:pPr>
      <w:r>
        <w:t xml:space="preserve">at </w:t>
      </w:r>
      <w:r w:rsidR="004C30C3">
        <w:t>least two Indigenous persons, at least one of whom is an appropriately qualified senior academic employee, or appropriately qualified senior executive employee of the provider; or</w:t>
      </w:r>
    </w:p>
    <w:p w:rsidR="00997338" w:rsidRDefault="00A9047C" w:rsidP="004C30C3">
      <w:pPr>
        <w:pStyle w:val="ListParagraph"/>
        <w:numPr>
          <w:ilvl w:val="0"/>
          <w:numId w:val="47"/>
        </w:numPr>
        <w:spacing w:before="200" w:line="276" w:lineRule="auto"/>
      </w:pPr>
      <w:proofErr w:type="gramStart"/>
      <w:r>
        <w:t>a</w:t>
      </w:r>
      <w:proofErr w:type="gramEnd"/>
      <w:r>
        <w:t xml:space="preserve"> </w:t>
      </w:r>
      <w:r w:rsidR="004C30C3">
        <w:t xml:space="preserve">committee constituted by a majority of Indigenous persons, each of whom has skills and experience relevant to the role. </w:t>
      </w:r>
    </w:p>
    <w:p w:rsidR="00997338" w:rsidRDefault="00997338" w:rsidP="00997338">
      <w:pPr>
        <w:pStyle w:val="ListParagraph"/>
        <w:spacing w:before="200" w:line="276" w:lineRule="auto"/>
      </w:pPr>
    </w:p>
    <w:p w:rsidR="004C30C3" w:rsidRDefault="004C30C3" w:rsidP="00997338">
      <w:pPr>
        <w:pStyle w:val="ListParagraph"/>
        <w:numPr>
          <w:ilvl w:val="0"/>
          <w:numId w:val="46"/>
        </w:numPr>
        <w:spacing w:before="200" w:line="276" w:lineRule="auto"/>
      </w:pPr>
      <w:r>
        <w:t xml:space="preserve"> </w:t>
      </w:r>
      <w:r w:rsidR="00997338">
        <w:t xml:space="preserve">The purpose of these amendments is to require that the Indigenous Governance Mechanism of a higher education provider consists of at least two Indigenous persons. </w:t>
      </w:r>
      <w:r w:rsidR="00873479">
        <w:br/>
      </w:r>
    </w:p>
    <w:p w:rsidR="00997338" w:rsidRDefault="00997338" w:rsidP="00875970">
      <w:pPr>
        <w:pStyle w:val="ListParagraph"/>
        <w:numPr>
          <w:ilvl w:val="0"/>
          <w:numId w:val="46"/>
        </w:numPr>
        <w:spacing w:before="200" w:line="276" w:lineRule="auto"/>
      </w:pPr>
      <w:r w:rsidRPr="009D5A23">
        <w:rPr>
          <w:b/>
        </w:rPr>
        <w:t xml:space="preserve">Item </w:t>
      </w:r>
      <w:r w:rsidR="00716DCC" w:rsidRPr="009D5A23">
        <w:rPr>
          <w:b/>
        </w:rPr>
        <w:t>6</w:t>
      </w:r>
      <w:r w:rsidR="00B7186F" w:rsidRPr="009D5A23">
        <w:rPr>
          <w:b/>
        </w:rPr>
        <w:t xml:space="preserve"> </w:t>
      </w:r>
      <w:r>
        <w:t xml:space="preserve">replaces paragraph 12(a) of the Guidelines to require the Indigenous Workforce Strategy of a higher education provider to include a key performance indicator that the number of employees engaged by the provider who are Indigenous persons is at least 3 per cent of all employees of the provider. The Minister </w:t>
      </w:r>
      <w:r w:rsidR="00A52109">
        <w:t xml:space="preserve">and a provider </w:t>
      </w:r>
      <w:r>
        <w:t>may</w:t>
      </w:r>
      <w:r w:rsidR="00B7186F">
        <w:t xml:space="preserve"> also </w:t>
      </w:r>
      <w:r w:rsidR="00A52109">
        <w:t xml:space="preserve">agree </w:t>
      </w:r>
      <w:r>
        <w:t xml:space="preserve">a </w:t>
      </w:r>
      <w:r w:rsidR="00B7186F">
        <w:t xml:space="preserve">higher </w:t>
      </w:r>
      <w:r>
        <w:t>percentage</w:t>
      </w:r>
      <w:r w:rsidR="00B7186F">
        <w:t xml:space="preserve"> </w:t>
      </w:r>
      <w:r>
        <w:t>(as a stretch target)</w:t>
      </w:r>
      <w:r w:rsidR="00A52109">
        <w:t xml:space="preserve"> before 24 November </w:t>
      </w:r>
      <w:r w:rsidR="00B7186F">
        <w:t xml:space="preserve">of the year before the grant. </w:t>
      </w:r>
      <w:r w:rsidR="00B7186F">
        <w:br/>
      </w:r>
    </w:p>
    <w:p w:rsidR="00997338" w:rsidRDefault="00997338" w:rsidP="00997338">
      <w:pPr>
        <w:pStyle w:val="ListParagraph"/>
        <w:numPr>
          <w:ilvl w:val="0"/>
          <w:numId w:val="46"/>
        </w:numPr>
        <w:spacing w:before="200" w:line="276" w:lineRule="auto"/>
      </w:pPr>
      <w:r>
        <w:t xml:space="preserve">The Indigenous Workforce Strategy of a higher education provider must also include one or more additional key performance indicators relating to employment of the Indigenous persons by the provider. </w:t>
      </w:r>
    </w:p>
    <w:p w:rsidR="00845F62" w:rsidRDefault="00845F62" w:rsidP="00845F62">
      <w:pPr>
        <w:pStyle w:val="ListParagraph"/>
      </w:pPr>
    </w:p>
    <w:p w:rsidR="00997338" w:rsidRDefault="00997338" w:rsidP="00B11E19">
      <w:pPr>
        <w:pStyle w:val="ListParagraph"/>
        <w:numPr>
          <w:ilvl w:val="0"/>
          <w:numId w:val="46"/>
        </w:numPr>
        <w:spacing w:before="200" w:line="276" w:lineRule="auto"/>
      </w:pPr>
      <w:r>
        <w:rPr>
          <w:b/>
        </w:rPr>
        <w:t xml:space="preserve">Item </w:t>
      </w:r>
      <w:r w:rsidR="00716DCC">
        <w:rPr>
          <w:b/>
        </w:rPr>
        <w:t>7</w:t>
      </w:r>
      <w:r w:rsidR="00803A54">
        <w:rPr>
          <w:b/>
        </w:rPr>
        <w:t xml:space="preserve"> </w:t>
      </w:r>
      <w:r>
        <w:t>inserts new subparagraph 12(b</w:t>
      </w:r>
      <w:proofErr w:type="gramStart"/>
      <w:r>
        <w:t>)(</w:t>
      </w:r>
      <w:proofErr w:type="gramEnd"/>
      <w:r>
        <w:t>iii) in section 12 of the Guidelines to require the Indigenous Workforce Strategy of a higher</w:t>
      </w:r>
      <w:r w:rsidR="00873479">
        <w:t xml:space="preserve"> education provider to prioriti</w:t>
      </w:r>
      <w:r>
        <w:t>s</w:t>
      </w:r>
      <w:r w:rsidR="00873479">
        <w:t>e</w:t>
      </w:r>
      <w:r>
        <w:t xml:space="preserve"> the employment of at least one Indigenous person as a senior executive em</w:t>
      </w:r>
      <w:r w:rsidR="009D5A23">
        <w:t>ployee at the level of Pro Vice</w:t>
      </w:r>
      <w:r w:rsidR="009D5A23">
        <w:noBreakHyphen/>
      </w:r>
      <w:r>
        <w:t>Chancellor, Deputy Vice</w:t>
      </w:r>
      <w:r w:rsidR="00A9047C">
        <w:t>-</w:t>
      </w:r>
      <w:r>
        <w:t>Chancellor or Vice</w:t>
      </w:r>
      <w:r w:rsidR="00A9047C">
        <w:t>-</w:t>
      </w:r>
      <w:r>
        <w:t xml:space="preserve">Chancellor, or equivalent level. </w:t>
      </w:r>
    </w:p>
    <w:p w:rsidR="00997338" w:rsidRDefault="00997338" w:rsidP="00997338">
      <w:pPr>
        <w:pStyle w:val="ListParagraph"/>
      </w:pPr>
    </w:p>
    <w:p w:rsidR="00E86FDF" w:rsidRDefault="00997338" w:rsidP="00B11E19">
      <w:pPr>
        <w:pStyle w:val="ListParagraph"/>
        <w:numPr>
          <w:ilvl w:val="0"/>
          <w:numId w:val="46"/>
        </w:numPr>
        <w:spacing w:before="200" w:line="276" w:lineRule="auto"/>
      </w:pPr>
      <w:r>
        <w:rPr>
          <w:b/>
        </w:rPr>
        <w:t xml:space="preserve">Item </w:t>
      </w:r>
      <w:r w:rsidR="00716DCC">
        <w:rPr>
          <w:b/>
        </w:rPr>
        <w:t>8</w:t>
      </w:r>
      <w:r w:rsidR="00803A54">
        <w:rPr>
          <w:b/>
        </w:rPr>
        <w:t xml:space="preserve"> </w:t>
      </w:r>
      <w:r>
        <w:t xml:space="preserve">repeals paragraph 12(c) of the Guidelines. </w:t>
      </w:r>
      <w:r w:rsidR="00E86FDF">
        <w:t xml:space="preserve">Paragraph 12(c) of the Guidelines provides for a higher education to prepare a plan regarding employment of Indigenous persons. </w:t>
      </w:r>
    </w:p>
    <w:p w:rsidR="00E86FDF" w:rsidRDefault="00E86FDF" w:rsidP="00E86FDF">
      <w:pPr>
        <w:pStyle w:val="ListParagraph"/>
      </w:pPr>
    </w:p>
    <w:p w:rsidR="00997338" w:rsidRPr="00997338" w:rsidRDefault="00E86FDF" w:rsidP="00B11E19">
      <w:pPr>
        <w:pStyle w:val="ListParagraph"/>
        <w:numPr>
          <w:ilvl w:val="0"/>
          <w:numId w:val="46"/>
        </w:numPr>
        <w:spacing w:before="200" w:line="276" w:lineRule="auto"/>
      </w:pPr>
      <w:r>
        <w:t>P</w:t>
      </w:r>
      <w:r w:rsidR="00997338">
        <w:t xml:space="preserve">aragraph 12(c) of the Guidelines </w:t>
      </w:r>
      <w:r>
        <w:t>is no longer necessary following amendments to</w:t>
      </w:r>
      <w:r w:rsidR="00997338">
        <w:t xml:space="preserve"> paragraph</w:t>
      </w:r>
      <w:r>
        <w:t> </w:t>
      </w:r>
      <w:r w:rsidR="00997338">
        <w:t xml:space="preserve">12(a) (see item </w:t>
      </w:r>
      <w:r w:rsidR="00873479">
        <w:t>6</w:t>
      </w:r>
      <w:r w:rsidR="00997338">
        <w:t xml:space="preserve">) and paragraph 12(b) (see item </w:t>
      </w:r>
      <w:r w:rsidR="00873479">
        <w:t>7</w:t>
      </w:r>
      <w:r w:rsidR="00997338">
        <w:t xml:space="preserve">). </w:t>
      </w:r>
      <w:r>
        <w:t xml:space="preserve">Amendments to paragraphs 12(a) and (b) of the Guidelines set specific requirements of higher education providers regarding employment of Indigenous persons. </w:t>
      </w:r>
    </w:p>
    <w:p w:rsidR="00997338" w:rsidRPr="00997338" w:rsidRDefault="00997338" w:rsidP="00997338">
      <w:pPr>
        <w:pStyle w:val="ListParagraph"/>
        <w:rPr>
          <w:b/>
        </w:rPr>
      </w:pPr>
    </w:p>
    <w:p w:rsidR="00645504" w:rsidRDefault="00845F62" w:rsidP="00645504">
      <w:pPr>
        <w:pStyle w:val="ListParagraph"/>
        <w:numPr>
          <w:ilvl w:val="0"/>
          <w:numId w:val="46"/>
        </w:numPr>
        <w:spacing w:before="200" w:line="276" w:lineRule="auto"/>
      </w:pPr>
      <w:r>
        <w:rPr>
          <w:b/>
        </w:rPr>
        <w:t xml:space="preserve">Item </w:t>
      </w:r>
      <w:r w:rsidR="00716DCC">
        <w:rPr>
          <w:b/>
        </w:rPr>
        <w:t>9</w:t>
      </w:r>
      <w:r w:rsidR="00803A54">
        <w:t xml:space="preserve"> </w:t>
      </w:r>
      <w:r>
        <w:t xml:space="preserve">amends the heading to Part </w:t>
      </w:r>
      <w:r w:rsidR="00803A54">
        <w:t xml:space="preserve">4 </w:t>
      </w:r>
      <w:r>
        <w:t>of the Guidelines to refer to use, reporting and continuing eligibility. This is to accommodate new section 18A in this Part (see item 1</w:t>
      </w:r>
      <w:r w:rsidR="00873479">
        <w:t>1</w:t>
      </w:r>
      <w:r>
        <w:t>).</w:t>
      </w:r>
    </w:p>
    <w:p w:rsidR="00645504" w:rsidRDefault="00645504" w:rsidP="00645504">
      <w:pPr>
        <w:pStyle w:val="ListParagraph"/>
      </w:pPr>
    </w:p>
    <w:p w:rsidR="00645504" w:rsidRDefault="00645504" w:rsidP="00645504">
      <w:pPr>
        <w:pStyle w:val="ListParagraph"/>
        <w:numPr>
          <w:ilvl w:val="0"/>
          <w:numId w:val="46"/>
        </w:numPr>
        <w:spacing w:before="200" w:line="276" w:lineRule="auto"/>
      </w:pPr>
      <w:r>
        <w:rPr>
          <w:b/>
        </w:rPr>
        <w:t xml:space="preserve">Item </w:t>
      </w:r>
      <w:r w:rsidR="00803A54">
        <w:rPr>
          <w:b/>
        </w:rPr>
        <w:t>1</w:t>
      </w:r>
      <w:r w:rsidR="00716DCC">
        <w:rPr>
          <w:b/>
        </w:rPr>
        <w:t>0</w:t>
      </w:r>
      <w:r w:rsidR="00803A54">
        <w:t xml:space="preserve"> </w:t>
      </w:r>
      <w:r>
        <w:t xml:space="preserve">replaces paragraph 15(a) of the Guidelines. Paragraph 15(a) of the Guidelines </w:t>
      </w:r>
      <w:r w:rsidRPr="00645504">
        <w:t xml:space="preserve">prevents a higher education provider using an </w:t>
      </w:r>
      <w:proofErr w:type="spellStart"/>
      <w:r w:rsidRPr="00645504">
        <w:t>ISSP</w:t>
      </w:r>
      <w:proofErr w:type="spellEnd"/>
      <w:r w:rsidRPr="00645504">
        <w:t xml:space="preserve"> grant to administer any aspect of the provider’s business other than delivery of activities specified in the Guidelines. </w:t>
      </w:r>
    </w:p>
    <w:p w:rsidR="00645504" w:rsidRDefault="00645504" w:rsidP="00645504">
      <w:pPr>
        <w:pStyle w:val="ListParagraph"/>
        <w:spacing w:before="200" w:line="276" w:lineRule="auto"/>
        <w:ind w:left="360"/>
      </w:pPr>
    </w:p>
    <w:p w:rsidR="00645504" w:rsidRDefault="00645504" w:rsidP="00645504">
      <w:pPr>
        <w:pStyle w:val="ListParagraph"/>
        <w:numPr>
          <w:ilvl w:val="0"/>
          <w:numId w:val="46"/>
        </w:numPr>
        <w:spacing w:before="200" w:line="276" w:lineRule="auto"/>
      </w:pPr>
      <w:r>
        <w:t>The effect of this amendment is to remov</w:t>
      </w:r>
      <w:r w:rsidR="00C04EB7">
        <w:t>e</w:t>
      </w:r>
      <w:r>
        <w:t xml:space="preserve"> a transitional exception to this rule where the higher education provider used a grant received under the Indigenous Support Program provided for in the </w:t>
      </w:r>
      <w:r>
        <w:rPr>
          <w:i/>
        </w:rPr>
        <w:t xml:space="preserve">Other Grants Guidelines (Education) 2012 </w:t>
      </w:r>
      <w:r>
        <w:t xml:space="preserve">to deliver a unit of study about Indigenous societies and cultures. This exception is no longer necessary. </w:t>
      </w:r>
    </w:p>
    <w:p w:rsidR="00645504" w:rsidRDefault="00645504" w:rsidP="00645504">
      <w:pPr>
        <w:pStyle w:val="ListParagraph"/>
      </w:pPr>
    </w:p>
    <w:p w:rsidR="00C55AE3" w:rsidRDefault="00645504" w:rsidP="00645504">
      <w:pPr>
        <w:pStyle w:val="ListParagraph"/>
        <w:numPr>
          <w:ilvl w:val="0"/>
          <w:numId w:val="46"/>
        </w:numPr>
        <w:spacing w:before="200" w:line="276" w:lineRule="auto"/>
      </w:pPr>
      <w:r>
        <w:rPr>
          <w:b/>
        </w:rPr>
        <w:t xml:space="preserve">Item </w:t>
      </w:r>
      <w:r w:rsidR="00803A54">
        <w:rPr>
          <w:b/>
        </w:rPr>
        <w:t>1</w:t>
      </w:r>
      <w:r w:rsidR="00716DCC">
        <w:rPr>
          <w:b/>
        </w:rPr>
        <w:t>1</w:t>
      </w:r>
      <w:r w:rsidR="00803A54">
        <w:t xml:space="preserve"> </w:t>
      </w:r>
      <w:r>
        <w:t xml:space="preserve">inserts new section 18A of the Guidelines. </w:t>
      </w:r>
    </w:p>
    <w:p w:rsidR="00C55AE3" w:rsidRDefault="00C55AE3" w:rsidP="00C55AE3">
      <w:pPr>
        <w:pStyle w:val="ListParagraph"/>
      </w:pPr>
    </w:p>
    <w:p w:rsidR="00645504" w:rsidRDefault="00645504" w:rsidP="00645504">
      <w:pPr>
        <w:pStyle w:val="ListParagraph"/>
        <w:numPr>
          <w:ilvl w:val="0"/>
          <w:numId w:val="46"/>
        </w:numPr>
        <w:spacing w:before="200" w:line="276" w:lineRule="auto"/>
      </w:pPr>
      <w:r>
        <w:t xml:space="preserve">New subsection 18A(1) imposes a condition on </w:t>
      </w:r>
      <w:proofErr w:type="spellStart"/>
      <w:r>
        <w:t>ISSP</w:t>
      </w:r>
      <w:proofErr w:type="spellEnd"/>
      <w:r>
        <w:t xml:space="preserve"> grants requiring higher education providers, in the grant year, to continue to satisfy the eligibi</w:t>
      </w:r>
      <w:r w:rsidR="00C55AE3">
        <w:t>lity requirements of section 38</w:t>
      </w:r>
      <w:r w:rsidR="00C55AE3">
        <w:noBreakHyphen/>
      </w:r>
      <w:r>
        <w:t xml:space="preserve">10 of the Act and the additional eligibility requirements specified in section 10 of the Guidelines. If a higher education provider breaches new subsection </w:t>
      </w:r>
      <w:proofErr w:type="gramStart"/>
      <w:r>
        <w:t>18A(</w:t>
      </w:r>
      <w:proofErr w:type="gramEnd"/>
      <w:r>
        <w:t xml:space="preserve">1), </w:t>
      </w:r>
      <w:r w:rsidR="00C55AE3">
        <w:t xml:space="preserve">Part 2-5 of the Act authorises </w:t>
      </w:r>
      <w:r>
        <w:t xml:space="preserve">the </w:t>
      </w:r>
      <w:r w:rsidR="00C55AE3">
        <w:t>Minister to reduce a grant to the provider under the Act, or require the provider to repay a</w:t>
      </w:r>
      <w:r w:rsidR="00EC5539">
        <w:t>n amount of a</w:t>
      </w:r>
      <w:r w:rsidR="00C55AE3">
        <w:t xml:space="preserve"> grant</w:t>
      </w:r>
      <w:r w:rsidR="00EC5539">
        <w:t xml:space="preserve"> to the Commonwealth</w:t>
      </w:r>
      <w:bookmarkStart w:id="0" w:name="_GoBack"/>
      <w:bookmarkEnd w:id="0"/>
      <w:r w:rsidR="00C55AE3">
        <w:t xml:space="preserve">. </w:t>
      </w:r>
    </w:p>
    <w:p w:rsidR="00C55AE3" w:rsidRDefault="00C55AE3" w:rsidP="00C55AE3">
      <w:pPr>
        <w:pStyle w:val="ListParagraph"/>
      </w:pPr>
    </w:p>
    <w:p w:rsidR="00C55AE3" w:rsidRDefault="00C55AE3" w:rsidP="00645504">
      <w:pPr>
        <w:pStyle w:val="ListParagraph"/>
        <w:numPr>
          <w:ilvl w:val="0"/>
          <w:numId w:val="46"/>
        </w:numPr>
        <w:spacing w:before="200" w:line="276" w:lineRule="auto"/>
      </w:pPr>
      <w:r>
        <w:t xml:space="preserve">New subsection </w:t>
      </w:r>
      <w:proofErr w:type="gramStart"/>
      <w:r>
        <w:t>18A(</w:t>
      </w:r>
      <w:proofErr w:type="gramEnd"/>
      <w:r>
        <w:t xml:space="preserve">2) requires a higher education provider to provide evidence that it complies with new subsection 18A(1) within 10 business days of a request by an administering officer. </w:t>
      </w:r>
    </w:p>
    <w:p w:rsidR="00C55AE3" w:rsidRDefault="00C55AE3" w:rsidP="00C55AE3">
      <w:pPr>
        <w:pStyle w:val="ListParagraph"/>
      </w:pPr>
    </w:p>
    <w:p w:rsidR="00C55AE3" w:rsidRDefault="00C55AE3" w:rsidP="00645504">
      <w:pPr>
        <w:pStyle w:val="ListParagraph"/>
        <w:numPr>
          <w:ilvl w:val="0"/>
          <w:numId w:val="46"/>
        </w:numPr>
        <w:spacing w:before="200" w:line="276" w:lineRule="auto"/>
      </w:pPr>
      <w:r>
        <w:lastRenderedPageBreak/>
        <w:t xml:space="preserve">The purpose of new section 18A of the Guidelines is to ensure a higher education provider that receives an </w:t>
      </w:r>
      <w:proofErr w:type="spellStart"/>
      <w:r>
        <w:t>ISSP</w:t>
      </w:r>
      <w:proofErr w:type="spellEnd"/>
      <w:r>
        <w:t xml:space="preserve"> grant continues to satisfy eligibility requirements for the grant during the grant year. </w:t>
      </w:r>
    </w:p>
    <w:p w:rsidR="00C55AE3" w:rsidRDefault="00C55AE3" w:rsidP="00C55AE3">
      <w:pPr>
        <w:pStyle w:val="ListParagraph"/>
      </w:pPr>
    </w:p>
    <w:p w:rsidR="00B142FC" w:rsidRDefault="00C55AE3" w:rsidP="00C55AE3">
      <w:pPr>
        <w:pStyle w:val="ListParagraph"/>
        <w:numPr>
          <w:ilvl w:val="0"/>
          <w:numId w:val="46"/>
        </w:numPr>
        <w:spacing w:before="200" w:line="276" w:lineRule="auto"/>
      </w:pPr>
      <w:r>
        <w:rPr>
          <w:b/>
        </w:rPr>
        <w:t xml:space="preserve">Item </w:t>
      </w:r>
      <w:r w:rsidR="00803A54">
        <w:rPr>
          <w:b/>
        </w:rPr>
        <w:t>1</w:t>
      </w:r>
      <w:r w:rsidR="00716DCC">
        <w:rPr>
          <w:b/>
        </w:rPr>
        <w:t>2</w:t>
      </w:r>
      <w:r w:rsidR="00803A54">
        <w:rPr>
          <w:b/>
        </w:rPr>
        <w:t xml:space="preserve"> </w:t>
      </w:r>
      <w:r>
        <w:t xml:space="preserve">replaces subsection 21(3) of the Guidelines. </w:t>
      </w:r>
      <w:r w:rsidR="00B142FC">
        <w:t>Existing s</w:t>
      </w:r>
      <w:r>
        <w:t>ubsection 21(3) of the Guidelines</w:t>
      </w:r>
      <w:r w:rsidRPr="00C55AE3">
        <w:t xml:space="preserve"> stipulates the amount of an </w:t>
      </w:r>
      <w:proofErr w:type="spellStart"/>
      <w:r w:rsidRPr="00C55AE3">
        <w:t>ISSP</w:t>
      </w:r>
      <w:proofErr w:type="spellEnd"/>
      <w:r w:rsidRPr="00C55AE3">
        <w:t xml:space="preserve"> grant that a higher education provider is required to use to offer Indigenous Commonwealth Scholarships to Indigenous students from remote areas and regional areas in the 2017 and 2018 grant years.</w:t>
      </w:r>
      <w:r>
        <w:t xml:space="preserve"> This amendment will retain </w:t>
      </w:r>
      <w:r w:rsidR="00B142FC">
        <w:t xml:space="preserve">these requirements for all grant years, with some modifications. </w:t>
      </w:r>
    </w:p>
    <w:p w:rsidR="00B142FC" w:rsidRDefault="00B142FC" w:rsidP="00B142FC">
      <w:pPr>
        <w:pStyle w:val="ListParagraph"/>
      </w:pPr>
    </w:p>
    <w:p w:rsidR="00B142FC" w:rsidRDefault="00B142FC" w:rsidP="00C55AE3">
      <w:pPr>
        <w:pStyle w:val="ListParagraph"/>
        <w:numPr>
          <w:ilvl w:val="0"/>
          <w:numId w:val="46"/>
        </w:numPr>
        <w:spacing w:before="200" w:line="276" w:lineRule="auto"/>
      </w:pPr>
      <w:r>
        <w:t xml:space="preserve">New subsection 21(3) stipulates that the amount of an </w:t>
      </w:r>
      <w:proofErr w:type="spellStart"/>
      <w:r>
        <w:t>ISSP</w:t>
      </w:r>
      <w:proofErr w:type="spellEnd"/>
      <w:r>
        <w:t xml:space="preserve"> grant that a higher education provider must use to:</w:t>
      </w:r>
    </w:p>
    <w:p w:rsidR="00B142FC" w:rsidRDefault="00B142FC" w:rsidP="00B142FC">
      <w:pPr>
        <w:pStyle w:val="ListParagraph"/>
      </w:pPr>
    </w:p>
    <w:p w:rsidR="00B142FC" w:rsidRDefault="00305A1A" w:rsidP="00B142FC">
      <w:pPr>
        <w:pStyle w:val="ListParagraph"/>
        <w:numPr>
          <w:ilvl w:val="1"/>
          <w:numId w:val="46"/>
        </w:numPr>
        <w:spacing w:before="200" w:line="276" w:lineRule="auto"/>
      </w:pPr>
      <w:r>
        <w:t>o</w:t>
      </w:r>
      <w:r w:rsidR="00B142FC">
        <w:t>ffer Indigenous Commonwealth Scholarships to Indigenous students from remote areas and regional areas for the grant year; and</w:t>
      </w:r>
    </w:p>
    <w:p w:rsidR="00B142FC" w:rsidRDefault="00B142FC" w:rsidP="00B142FC">
      <w:pPr>
        <w:pStyle w:val="ListParagraph"/>
        <w:spacing w:before="200" w:line="276" w:lineRule="auto"/>
        <w:ind w:left="1080"/>
      </w:pPr>
    </w:p>
    <w:p w:rsidR="00B142FC" w:rsidRDefault="00305A1A" w:rsidP="00B142FC">
      <w:pPr>
        <w:pStyle w:val="ListParagraph"/>
        <w:numPr>
          <w:ilvl w:val="1"/>
          <w:numId w:val="46"/>
        </w:numPr>
        <w:spacing w:before="200" w:line="276" w:lineRule="auto"/>
      </w:pPr>
      <w:r>
        <w:t>m</w:t>
      </w:r>
      <w:r w:rsidR="00B142FC">
        <w:t>eet payment obligations of the provider for the grant year, if any, in respect of Indigenous Commonwealth Scholarships that the provider awarded to Indigenous students from remote areas and regional areas in a previous grant year</w:t>
      </w:r>
      <w:r>
        <w:t>,</w:t>
      </w:r>
    </w:p>
    <w:p w:rsidR="00B142FC" w:rsidRDefault="00B142FC" w:rsidP="00B142FC">
      <w:pPr>
        <w:spacing w:before="200" w:line="276" w:lineRule="auto"/>
        <w:ind w:left="720"/>
      </w:pPr>
      <w:proofErr w:type="gramStart"/>
      <w:r>
        <w:t>must</w:t>
      </w:r>
      <w:proofErr w:type="gramEnd"/>
      <w:r>
        <w:t xml:space="preserve"> be at least 95 per cent of the total value of Indigenous Commonwealth Scholarship payments that the provider made to Indigenous students from remote areas and regional areas for the previous grant year.</w:t>
      </w:r>
    </w:p>
    <w:p w:rsidR="00C55AE3" w:rsidRDefault="00B142FC" w:rsidP="00B142FC">
      <w:pPr>
        <w:pStyle w:val="ListParagraph"/>
        <w:numPr>
          <w:ilvl w:val="0"/>
          <w:numId w:val="46"/>
        </w:numPr>
        <w:spacing w:before="200" w:line="276" w:lineRule="auto"/>
      </w:pPr>
      <w:r>
        <w:t xml:space="preserve">The exception to this rule is where the Minister agrees alternative arrangements in writing. </w:t>
      </w:r>
    </w:p>
    <w:p w:rsidR="00B142FC" w:rsidRDefault="00B142FC" w:rsidP="00B142FC">
      <w:pPr>
        <w:pStyle w:val="ListParagraph"/>
        <w:spacing w:before="200" w:line="276" w:lineRule="auto"/>
        <w:ind w:left="360"/>
      </w:pPr>
    </w:p>
    <w:p w:rsidR="00B142FC" w:rsidRDefault="00B142FC" w:rsidP="00D82DFF">
      <w:pPr>
        <w:pStyle w:val="ListParagraph"/>
        <w:numPr>
          <w:ilvl w:val="0"/>
          <w:numId w:val="46"/>
        </w:numPr>
        <w:spacing w:before="200" w:line="276" w:lineRule="auto"/>
      </w:pPr>
      <w:r>
        <w:t>Paragraph 21(3</w:t>
      </w:r>
      <w:proofErr w:type="gramStart"/>
      <w:r>
        <w:t>)(</w:t>
      </w:r>
      <w:proofErr w:type="gramEnd"/>
      <w:r>
        <w:t xml:space="preserve">a) requires higher education providers to count the value of </w:t>
      </w:r>
      <w:r w:rsidR="00B50515">
        <w:t>scholarship</w:t>
      </w:r>
      <w:r>
        <w:t xml:space="preserve"> offers for the grant year towards </w:t>
      </w:r>
      <w:r w:rsidR="00B50515">
        <w:t>the 95 per cent value</w:t>
      </w:r>
      <w:r>
        <w:t>. It does not allow higher education providers to count the total value of a scholarship where the scholarship is for more than one year. Paragraph 21(3</w:t>
      </w:r>
      <w:proofErr w:type="gramStart"/>
      <w:r>
        <w:t>)(</w:t>
      </w:r>
      <w:proofErr w:type="gramEnd"/>
      <w:r>
        <w:t>b) allows higher education providers to count existing Indigenous Commonwealth Scholarship commitments</w:t>
      </w:r>
      <w:r w:rsidR="005563A8">
        <w:t xml:space="preserve"> in a grant year</w:t>
      </w:r>
      <w:r>
        <w:t xml:space="preserve"> towards the 95 </w:t>
      </w:r>
      <w:r w:rsidR="00B50515">
        <w:t>per cent value</w:t>
      </w:r>
      <w:r>
        <w:t xml:space="preserve">. </w:t>
      </w:r>
    </w:p>
    <w:p w:rsidR="00B50515" w:rsidRDefault="00B50515" w:rsidP="00B50515">
      <w:pPr>
        <w:pStyle w:val="ListParagraph"/>
      </w:pPr>
    </w:p>
    <w:p w:rsidR="00B50515" w:rsidRDefault="00B50515" w:rsidP="00B142FC">
      <w:pPr>
        <w:pStyle w:val="ListParagraph"/>
        <w:numPr>
          <w:ilvl w:val="0"/>
          <w:numId w:val="46"/>
        </w:numPr>
        <w:spacing w:before="200" w:line="276" w:lineRule="auto"/>
      </w:pPr>
      <w:r>
        <w:t>The 95 per cent value is the amount that is 95 per cent of the total value of Indigenous Commonwealth Scholarship payments that the provider made to Indigenous students from remote areas and regional areas for the previous grant year. The total value of Indigenous Commonwealth Scholarship payments will not be the same, necessarily, as the total value of Indigenous Commonwealth Scholarships awarded in the previous grant year (</w:t>
      </w:r>
      <w:r w:rsidR="00953801">
        <w:t>that is,</w:t>
      </w:r>
      <w:r>
        <w:t xml:space="preserve"> where a higher education provider awarded scholarships for the more than one year in the previous grant year). </w:t>
      </w:r>
    </w:p>
    <w:p w:rsidR="000E3B02" w:rsidRDefault="000E3B02" w:rsidP="000E3B02">
      <w:pPr>
        <w:pStyle w:val="ListParagraph"/>
      </w:pPr>
    </w:p>
    <w:p w:rsidR="000E3B02" w:rsidRDefault="000E3B02" w:rsidP="00B142FC">
      <w:pPr>
        <w:pStyle w:val="ListParagraph"/>
        <w:numPr>
          <w:ilvl w:val="0"/>
          <w:numId w:val="46"/>
        </w:numPr>
        <w:spacing w:before="200" w:line="276" w:lineRule="auto"/>
      </w:pPr>
      <w:r>
        <w:rPr>
          <w:b/>
        </w:rPr>
        <w:lastRenderedPageBreak/>
        <w:t xml:space="preserve">Items </w:t>
      </w:r>
      <w:r w:rsidR="00803A54">
        <w:rPr>
          <w:b/>
        </w:rPr>
        <w:t>1</w:t>
      </w:r>
      <w:r w:rsidR="00716DCC">
        <w:rPr>
          <w:b/>
        </w:rPr>
        <w:t>3</w:t>
      </w:r>
      <w:r w:rsidR="00803A54">
        <w:rPr>
          <w:b/>
        </w:rPr>
        <w:t xml:space="preserve"> </w:t>
      </w:r>
      <w:r>
        <w:t xml:space="preserve">and </w:t>
      </w:r>
      <w:r w:rsidR="00803A54">
        <w:rPr>
          <w:b/>
        </w:rPr>
        <w:t>1</w:t>
      </w:r>
      <w:r w:rsidR="00716DCC">
        <w:rPr>
          <w:b/>
        </w:rPr>
        <w:t>4</w:t>
      </w:r>
      <w:r w:rsidR="00803A54">
        <w:rPr>
          <w:b/>
        </w:rPr>
        <w:t xml:space="preserve"> </w:t>
      </w:r>
      <w:r>
        <w:t>make technical corrections to paragraph 27(1</w:t>
      </w:r>
      <w:proofErr w:type="gramStart"/>
      <w:r>
        <w:t>)(</w:t>
      </w:r>
      <w:proofErr w:type="gramEnd"/>
      <w:r>
        <w:t xml:space="preserve">b) of the Guidelines. </w:t>
      </w:r>
    </w:p>
    <w:p w:rsidR="000E3B02" w:rsidRDefault="000E3B02" w:rsidP="000E3B02">
      <w:pPr>
        <w:pStyle w:val="ListParagraph"/>
      </w:pPr>
    </w:p>
    <w:p w:rsidR="000E3B02" w:rsidRDefault="000E3B02" w:rsidP="00B142FC">
      <w:pPr>
        <w:pStyle w:val="ListParagraph"/>
        <w:numPr>
          <w:ilvl w:val="0"/>
          <w:numId w:val="46"/>
        </w:numPr>
        <w:spacing w:before="200" w:line="276" w:lineRule="auto"/>
      </w:pPr>
      <w:r>
        <w:rPr>
          <w:b/>
        </w:rPr>
        <w:t xml:space="preserve">Item </w:t>
      </w:r>
      <w:r w:rsidR="00803A54">
        <w:rPr>
          <w:b/>
        </w:rPr>
        <w:t>1</w:t>
      </w:r>
      <w:r w:rsidR="00716DCC">
        <w:rPr>
          <w:b/>
        </w:rPr>
        <w:t>5</w:t>
      </w:r>
      <w:r w:rsidR="00803A54">
        <w:t xml:space="preserve"> </w:t>
      </w:r>
      <w:r>
        <w:t>amends paragraph 27(1</w:t>
      </w:r>
      <w:proofErr w:type="gramStart"/>
      <w:r>
        <w:t>)(</w:t>
      </w:r>
      <w:proofErr w:type="gramEnd"/>
      <w:r>
        <w:t xml:space="preserve">b) to facilitate the insertion of new paragraph 27(1)(c) (see item </w:t>
      </w:r>
      <w:r w:rsidR="00953801">
        <w:t>16</w:t>
      </w:r>
      <w:r>
        <w:t xml:space="preserve">). </w:t>
      </w:r>
    </w:p>
    <w:p w:rsidR="000E3B02" w:rsidRDefault="000E3B02" w:rsidP="000E3B02">
      <w:pPr>
        <w:pStyle w:val="ListParagraph"/>
      </w:pPr>
    </w:p>
    <w:p w:rsidR="000E3B02" w:rsidRDefault="000E3B02" w:rsidP="00B142FC">
      <w:pPr>
        <w:pStyle w:val="ListParagraph"/>
        <w:numPr>
          <w:ilvl w:val="0"/>
          <w:numId w:val="46"/>
        </w:numPr>
        <w:spacing w:before="200" w:line="276" w:lineRule="auto"/>
      </w:pPr>
      <w:r>
        <w:rPr>
          <w:b/>
        </w:rPr>
        <w:t xml:space="preserve">Item </w:t>
      </w:r>
      <w:r w:rsidR="00803A54">
        <w:rPr>
          <w:b/>
        </w:rPr>
        <w:t>1</w:t>
      </w:r>
      <w:r w:rsidR="00716DCC">
        <w:rPr>
          <w:b/>
        </w:rPr>
        <w:t>6</w:t>
      </w:r>
      <w:r w:rsidR="00803A54">
        <w:t xml:space="preserve"> </w:t>
      </w:r>
      <w:r>
        <w:t>inserts new 27(1)(c) to require a higher education provider to take steps to recover the amount of an Indigenous Commonwealth Scholarship that has not been ex</w:t>
      </w:r>
      <w:r w:rsidR="00753C30">
        <w:t xml:space="preserve">hausted if the scholarship is an Indigenous </w:t>
      </w:r>
      <w:r>
        <w:t xml:space="preserve">Commonwealth Accommodation Scholarship and the scholarship recipient has deferred his or her </w:t>
      </w:r>
      <w:r w:rsidRPr="000E3B02">
        <w:t>course of study</w:t>
      </w:r>
      <w:r>
        <w:t xml:space="preserve">. </w:t>
      </w:r>
    </w:p>
    <w:p w:rsidR="000E3B02" w:rsidRDefault="000E3B02" w:rsidP="000E3B02">
      <w:pPr>
        <w:pStyle w:val="ListParagraph"/>
      </w:pPr>
    </w:p>
    <w:p w:rsidR="000E3B02" w:rsidRDefault="00AF4E2E" w:rsidP="00B142FC">
      <w:pPr>
        <w:pStyle w:val="ListParagraph"/>
        <w:numPr>
          <w:ilvl w:val="0"/>
          <w:numId w:val="46"/>
        </w:numPr>
        <w:spacing w:before="200" w:line="276" w:lineRule="auto"/>
      </w:pPr>
      <w:r>
        <w:t xml:space="preserve">It is not considered appropriate for a scholarship recipient to have the benefit of an accommodation scholarship where the recipient has deferred his or her course of study. </w:t>
      </w:r>
    </w:p>
    <w:p w:rsidR="00AF4E2E" w:rsidRDefault="00AF4E2E" w:rsidP="00AF4E2E">
      <w:pPr>
        <w:pStyle w:val="ListParagraph"/>
      </w:pPr>
    </w:p>
    <w:p w:rsidR="00AF4E2E" w:rsidRDefault="00AF4E2E" w:rsidP="00B142FC">
      <w:pPr>
        <w:pStyle w:val="ListParagraph"/>
        <w:numPr>
          <w:ilvl w:val="0"/>
          <w:numId w:val="46"/>
        </w:numPr>
        <w:spacing w:before="200" w:line="276" w:lineRule="auto"/>
      </w:pPr>
      <w:r>
        <w:rPr>
          <w:b/>
        </w:rPr>
        <w:t xml:space="preserve">Item </w:t>
      </w:r>
      <w:r w:rsidR="00803A54">
        <w:rPr>
          <w:b/>
        </w:rPr>
        <w:t>1</w:t>
      </w:r>
      <w:r w:rsidR="00716DCC">
        <w:rPr>
          <w:b/>
        </w:rPr>
        <w:t>7</w:t>
      </w:r>
      <w:r w:rsidR="00803A54">
        <w:rPr>
          <w:b/>
        </w:rPr>
        <w:t xml:space="preserve"> </w:t>
      </w:r>
      <w:r>
        <w:t xml:space="preserve">makes a technical alteration to column 3 of item 1 of the table in subsection 28(6) of the Guidelines. This is done for drafting consistency. </w:t>
      </w:r>
    </w:p>
    <w:p w:rsidR="00AF4E2E" w:rsidRDefault="00AF4E2E" w:rsidP="00AF4E2E">
      <w:pPr>
        <w:pStyle w:val="ListParagraph"/>
      </w:pPr>
    </w:p>
    <w:p w:rsidR="00AF4E2E" w:rsidRDefault="00AF4E2E" w:rsidP="00B142FC">
      <w:pPr>
        <w:pStyle w:val="ListParagraph"/>
        <w:numPr>
          <w:ilvl w:val="0"/>
          <w:numId w:val="46"/>
        </w:numPr>
        <w:spacing w:before="200" w:line="276" w:lineRule="auto"/>
      </w:pPr>
      <w:r>
        <w:rPr>
          <w:b/>
        </w:rPr>
        <w:t xml:space="preserve">Item </w:t>
      </w:r>
      <w:r w:rsidR="00803A54">
        <w:rPr>
          <w:b/>
        </w:rPr>
        <w:t>1</w:t>
      </w:r>
      <w:r w:rsidR="00716DCC">
        <w:rPr>
          <w:b/>
        </w:rPr>
        <w:t>8</w:t>
      </w:r>
      <w:r w:rsidR="00803A54">
        <w:rPr>
          <w:b/>
        </w:rPr>
        <w:t xml:space="preserve"> </w:t>
      </w:r>
      <w:r>
        <w:t xml:space="preserve">amends paragraph 30(c) of the Guidelines to facilitate the insertion of new paragraph 30(d). </w:t>
      </w:r>
    </w:p>
    <w:p w:rsidR="00AF4E2E" w:rsidRDefault="00AF4E2E" w:rsidP="00AF4E2E">
      <w:pPr>
        <w:pStyle w:val="ListParagraph"/>
      </w:pPr>
    </w:p>
    <w:p w:rsidR="00AF4E2E" w:rsidRDefault="00AF4E2E" w:rsidP="00B142FC">
      <w:pPr>
        <w:pStyle w:val="ListParagraph"/>
        <w:numPr>
          <w:ilvl w:val="0"/>
          <w:numId w:val="46"/>
        </w:numPr>
        <w:spacing w:before="200" w:line="276" w:lineRule="auto"/>
      </w:pPr>
      <w:r>
        <w:rPr>
          <w:b/>
        </w:rPr>
        <w:t xml:space="preserve">Item </w:t>
      </w:r>
      <w:r w:rsidR="00716DCC">
        <w:rPr>
          <w:b/>
        </w:rPr>
        <w:t>19</w:t>
      </w:r>
      <w:r w:rsidR="00803A54">
        <w:t xml:space="preserve"> </w:t>
      </w:r>
      <w:r>
        <w:t xml:space="preserve">inserts new paragraph 30(d) of the Guidelines expressly to enable a higher education provider to use an </w:t>
      </w:r>
      <w:proofErr w:type="spellStart"/>
      <w:r>
        <w:t>ISSP</w:t>
      </w:r>
      <w:proofErr w:type="spellEnd"/>
      <w:r>
        <w:t xml:space="preserve"> grant to provide guidance to Indigenous students about career options following completion of a </w:t>
      </w:r>
      <w:r>
        <w:rPr>
          <w:i/>
        </w:rPr>
        <w:t>course of study</w:t>
      </w:r>
      <w:r>
        <w:t xml:space="preserve">. </w:t>
      </w:r>
    </w:p>
    <w:p w:rsidR="00AF4E2E" w:rsidRDefault="00AF4E2E" w:rsidP="00AF4E2E">
      <w:pPr>
        <w:pStyle w:val="ListParagraph"/>
      </w:pPr>
    </w:p>
    <w:p w:rsidR="00AF4E2E" w:rsidRDefault="00AF4E2E" w:rsidP="00B142FC">
      <w:pPr>
        <w:pStyle w:val="ListParagraph"/>
        <w:numPr>
          <w:ilvl w:val="0"/>
          <w:numId w:val="46"/>
        </w:numPr>
        <w:spacing w:before="200" w:line="276" w:lineRule="auto"/>
      </w:pPr>
      <w:r>
        <w:rPr>
          <w:b/>
        </w:rPr>
        <w:t xml:space="preserve">Item </w:t>
      </w:r>
      <w:r w:rsidR="00803A54">
        <w:rPr>
          <w:b/>
        </w:rPr>
        <w:t>2</w:t>
      </w:r>
      <w:r w:rsidR="00716DCC">
        <w:rPr>
          <w:b/>
        </w:rPr>
        <w:t>0</w:t>
      </w:r>
      <w:r w:rsidR="00803A54">
        <w:rPr>
          <w:b/>
        </w:rPr>
        <w:t xml:space="preserve"> </w:t>
      </w:r>
      <w:r>
        <w:t>inserts new paragraph 32(</w:t>
      </w:r>
      <w:proofErr w:type="gramStart"/>
      <w:r>
        <w:t>aa</w:t>
      </w:r>
      <w:proofErr w:type="gramEnd"/>
      <w:r>
        <w:t xml:space="preserve">) of the Guidelines to enable a higher education provider to use an </w:t>
      </w:r>
      <w:proofErr w:type="spellStart"/>
      <w:r>
        <w:t>ISSP</w:t>
      </w:r>
      <w:proofErr w:type="spellEnd"/>
      <w:r>
        <w:t xml:space="preserve"> grant for activities to maintain the engagement of Indigenous students undertaking a </w:t>
      </w:r>
      <w:r>
        <w:rPr>
          <w:i/>
        </w:rPr>
        <w:t>course of study</w:t>
      </w:r>
      <w:r>
        <w:t xml:space="preserve">. </w:t>
      </w:r>
    </w:p>
    <w:p w:rsidR="00AF4E2E" w:rsidRDefault="00AF4E2E" w:rsidP="00AF4E2E">
      <w:pPr>
        <w:pStyle w:val="ListParagraph"/>
      </w:pPr>
    </w:p>
    <w:p w:rsidR="00AF4E2E" w:rsidRDefault="00AF4E2E" w:rsidP="00B142FC">
      <w:pPr>
        <w:pStyle w:val="ListParagraph"/>
        <w:numPr>
          <w:ilvl w:val="0"/>
          <w:numId w:val="46"/>
        </w:numPr>
        <w:spacing w:before="200" w:line="276" w:lineRule="auto"/>
      </w:pPr>
      <w:r>
        <w:rPr>
          <w:b/>
        </w:rPr>
        <w:t xml:space="preserve">Item </w:t>
      </w:r>
      <w:r w:rsidR="00803A54">
        <w:rPr>
          <w:b/>
        </w:rPr>
        <w:t>2</w:t>
      </w:r>
      <w:r w:rsidR="00716DCC">
        <w:rPr>
          <w:b/>
        </w:rPr>
        <w:t>1</w:t>
      </w:r>
      <w:r w:rsidR="00803A54">
        <w:t xml:space="preserve"> </w:t>
      </w:r>
      <w:r>
        <w:t xml:space="preserve">amends paragraph 32(b) of the Guidelines to refer to activities to engage an Indigenous student who has deferred undertaking his or her course of study, in addition to activities to engage an Indigenous student who has withdrawn his or her enrolment in a course of study. </w:t>
      </w:r>
    </w:p>
    <w:p w:rsidR="00AF4E2E" w:rsidRDefault="00AF4E2E" w:rsidP="00AF4E2E">
      <w:pPr>
        <w:pStyle w:val="ListParagraph"/>
      </w:pPr>
    </w:p>
    <w:p w:rsidR="00AF4E2E" w:rsidRDefault="00AF4E2E" w:rsidP="00B142FC">
      <w:pPr>
        <w:pStyle w:val="ListParagraph"/>
        <w:numPr>
          <w:ilvl w:val="0"/>
          <w:numId w:val="46"/>
        </w:numPr>
        <w:spacing w:before="200" w:line="276" w:lineRule="auto"/>
      </w:pPr>
      <w:r>
        <w:rPr>
          <w:b/>
        </w:rPr>
        <w:t xml:space="preserve">Item </w:t>
      </w:r>
      <w:r w:rsidR="00803A54">
        <w:rPr>
          <w:b/>
        </w:rPr>
        <w:t>2</w:t>
      </w:r>
      <w:r w:rsidR="00716DCC">
        <w:rPr>
          <w:b/>
        </w:rPr>
        <w:t>2</w:t>
      </w:r>
      <w:r w:rsidR="00803A54">
        <w:rPr>
          <w:b/>
        </w:rPr>
        <w:t xml:space="preserve"> </w:t>
      </w:r>
      <w:r>
        <w:t xml:space="preserve">inserts new section 35A of the Guidelines dealing with working with vulnerable persons requirements. </w:t>
      </w:r>
      <w:r w:rsidR="0039132B">
        <w:t xml:space="preserve">This provision implements Commonwealth policy that recipients of Commonwealth grants are required to comply with working with vulnerable persons requirements. New section 35A is consistent with the substance of clauses in the </w:t>
      </w:r>
      <w:r w:rsidR="00753C30">
        <w:t xml:space="preserve">Commonwealth of Australia </w:t>
      </w:r>
      <w:r w:rsidR="0039132B">
        <w:t xml:space="preserve">Head Agreement for Indigenous Grants. </w:t>
      </w:r>
    </w:p>
    <w:p w:rsidR="0039132B" w:rsidRDefault="0039132B" w:rsidP="0039132B">
      <w:pPr>
        <w:pStyle w:val="ListParagraph"/>
      </w:pPr>
    </w:p>
    <w:p w:rsidR="0039132B" w:rsidRDefault="0039132B" w:rsidP="00B142FC">
      <w:pPr>
        <w:pStyle w:val="ListParagraph"/>
        <w:numPr>
          <w:ilvl w:val="0"/>
          <w:numId w:val="46"/>
        </w:numPr>
        <w:spacing w:before="200" w:line="276" w:lineRule="auto"/>
      </w:pPr>
      <w:r>
        <w:t xml:space="preserve">New subsection 35A(1) requires a higher education provider to screen a person before engaging the person in relation to any part of administering or using an </w:t>
      </w:r>
      <w:proofErr w:type="spellStart"/>
      <w:r>
        <w:t>ISSP</w:t>
      </w:r>
      <w:proofErr w:type="spellEnd"/>
      <w:r>
        <w:t xml:space="preserve"> grant, if the person may have contact with a vulnerable person in that role. </w:t>
      </w:r>
    </w:p>
    <w:p w:rsidR="0039132B" w:rsidRDefault="0039132B" w:rsidP="0039132B">
      <w:pPr>
        <w:pStyle w:val="ListParagraph"/>
      </w:pPr>
    </w:p>
    <w:p w:rsidR="0039132B" w:rsidRDefault="0039132B" w:rsidP="00B142FC">
      <w:pPr>
        <w:pStyle w:val="ListParagraph"/>
        <w:numPr>
          <w:ilvl w:val="0"/>
          <w:numId w:val="46"/>
        </w:numPr>
        <w:spacing w:before="200" w:line="276" w:lineRule="auto"/>
      </w:pPr>
      <w:r>
        <w:t>New subsection 35A(2) requires a higher education</w:t>
      </w:r>
      <w:r w:rsidR="007669EA">
        <w:t xml:space="preserve"> provider to take certain steps if the provider becomes aware that a person engaged</w:t>
      </w:r>
      <w:r w:rsidR="00753C30">
        <w:t xml:space="preserve"> by the provider</w:t>
      </w:r>
      <w:r w:rsidR="006F558E">
        <w:t>,</w:t>
      </w:r>
      <w:r w:rsidR="007669EA">
        <w:t xml:space="preserve"> in relation to the </w:t>
      </w:r>
      <w:r w:rsidR="007669EA">
        <w:lastRenderedPageBreak/>
        <w:t xml:space="preserve">administration or use of an </w:t>
      </w:r>
      <w:proofErr w:type="spellStart"/>
      <w:r w:rsidR="007669EA">
        <w:t>ISSP</w:t>
      </w:r>
      <w:proofErr w:type="spellEnd"/>
      <w:r w:rsidR="007669EA">
        <w:t xml:space="preserve"> grant</w:t>
      </w:r>
      <w:r w:rsidR="006F558E">
        <w:t>,</w:t>
      </w:r>
      <w:r w:rsidR="007669EA">
        <w:t xml:space="preserve"> </w:t>
      </w:r>
      <w:r w:rsidR="006F558E">
        <w:t xml:space="preserve">is prohibited from having contact with a vulnerable person and that person </w:t>
      </w:r>
      <w:r w:rsidR="007669EA">
        <w:t>has, or may have contact with</w:t>
      </w:r>
      <w:r w:rsidR="00753C30">
        <w:t>,</w:t>
      </w:r>
      <w:r w:rsidR="007669EA">
        <w:t xml:space="preserve"> a vulnerable person. </w:t>
      </w:r>
    </w:p>
    <w:p w:rsidR="007669EA" w:rsidRDefault="007669EA" w:rsidP="007669EA">
      <w:pPr>
        <w:pStyle w:val="ListParagraph"/>
      </w:pPr>
    </w:p>
    <w:p w:rsidR="007669EA" w:rsidRDefault="00061EEA" w:rsidP="00B142FC">
      <w:pPr>
        <w:pStyle w:val="ListParagraph"/>
        <w:numPr>
          <w:ilvl w:val="0"/>
          <w:numId w:val="46"/>
        </w:numPr>
        <w:spacing w:before="200" w:line="276" w:lineRule="auto"/>
      </w:pPr>
      <w:r>
        <w:t xml:space="preserve">Where a higher education provider and an administering officer agree that the provider must </w:t>
      </w:r>
      <w:r w:rsidR="00851203">
        <w:t>undertake</w:t>
      </w:r>
      <w:r>
        <w:t xml:space="preserve"> additional requirements relating to contact with vulnerable persons, police checks, and criminal history, and </w:t>
      </w:r>
      <w:r w:rsidR="00851203">
        <w:t xml:space="preserve">the provider and the officer have agreed </w:t>
      </w:r>
      <w:r>
        <w:t>such requirements, n</w:t>
      </w:r>
      <w:r w:rsidR="007669EA">
        <w:t xml:space="preserve">ew subsection 35A(3) </w:t>
      </w:r>
      <w:r>
        <w:t>requires the provider to comply with these requirements</w:t>
      </w:r>
      <w:r w:rsidR="00716DCC">
        <w:t xml:space="preserve">. </w:t>
      </w:r>
    </w:p>
    <w:p w:rsidR="00716DCC" w:rsidRDefault="00716DCC" w:rsidP="00170B8F">
      <w:pPr>
        <w:pStyle w:val="ListParagraph"/>
      </w:pPr>
    </w:p>
    <w:p w:rsidR="00716DCC" w:rsidRDefault="00716DCC" w:rsidP="00B142FC">
      <w:pPr>
        <w:pStyle w:val="ListParagraph"/>
        <w:numPr>
          <w:ilvl w:val="0"/>
          <w:numId w:val="46"/>
        </w:numPr>
        <w:spacing w:before="200" w:line="276" w:lineRule="auto"/>
      </w:pPr>
      <w:r>
        <w:t>New subsection 35A(4) requires a higher education provider to include in its performance report under section 17 of the Guidelines a statement regarding the provider’s compliance with the requirements under subsections 35A(1), (2) and (3) of the Guidelines</w:t>
      </w:r>
      <w:r w:rsidR="00061EEA">
        <w:t xml:space="preserve"> for the grant year</w:t>
      </w:r>
      <w:r w:rsidR="00851203">
        <w:t>, where a provider was required to comply with these subsections</w:t>
      </w:r>
      <w:r>
        <w:t xml:space="preserve">. </w:t>
      </w:r>
    </w:p>
    <w:p w:rsidR="00716DCC" w:rsidRDefault="00716DCC" w:rsidP="00170B8F">
      <w:pPr>
        <w:pStyle w:val="ListParagraph"/>
      </w:pPr>
    </w:p>
    <w:p w:rsidR="00716DCC" w:rsidRDefault="00716DCC" w:rsidP="00B142FC">
      <w:pPr>
        <w:pStyle w:val="ListParagraph"/>
        <w:numPr>
          <w:ilvl w:val="0"/>
          <w:numId w:val="46"/>
        </w:numPr>
        <w:spacing w:before="200" w:line="276" w:lineRule="auto"/>
      </w:pPr>
      <w:r>
        <w:t xml:space="preserve">New subsection </w:t>
      </w:r>
      <w:proofErr w:type="gramStart"/>
      <w:r>
        <w:t>35A(</w:t>
      </w:r>
      <w:proofErr w:type="gramEnd"/>
      <w:r>
        <w:t xml:space="preserve">7) inserts a definition of vulnerable person for the purposes of new section 35A of the Guidelines. </w:t>
      </w:r>
    </w:p>
    <w:p w:rsidR="00AF4E2E" w:rsidRDefault="00AF4E2E" w:rsidP="00AF4E2E">
      <w:pPr>
        <w:pStyle w:val="ListParagraph"/>
      </w:pPr>
    </w:p>
    <w:p w:rsidR="00803A54" w:rsidRPr="00170B8F" w:rsidRDefault="00803A54" w:rsidP="00AF4E2E">
      <w:pPr>
        <w:pStyle w:val="ListParagraph"/>
        <w:numPr>
          <w:ilvl w:val="0"/>
          <w:numId w:val="46"/>
        </w:numPr>
        <w:spacing w:before="200" w:line="276" w:lineRule="auto"/>
      </w:pPr>
      <w:r>
        <w:rPr>
          <w:b/>
        </w:rPr>
        <w:t>Item 2</w:t>
      </w:r>
      <w:r w:rsidR="00716DCC">
        <w:rPr>
          <w:b/>
        </w:rPr>
        <w:t>3</w:t>
      </w:r>
      <w:r>
        <w:rPr>
          <w:b/>
        </w:rPr>
        <w:t xml:space="preserve"> </w:t>
      </w:r>
      <w:r>
        <w:t xml:space="preserve">amends the definition of </w:t>
      </w:r>
      <w:r>
        <w:rPr>
          <w:i/>
        </w:rPr>
        <w:t>normal previous year allocation</w:t>
      </w:r>
      <w:r>
        <w:t xml:space="preserve"> in item 1 of Schedule 1 to the Guidelines to ensure consistency with amendments to item 5 of Schedule 1 to the Guidelines. </w:t>
      </w:r>
    </w:p>
    <w:p w:rsidR="00803A54" w:rsidRPr="00170B8F" w:rsidRDefault="00803A54" w:rsidP="00170B8F">
      <w:pPr>
        <w:pStyle w:val="ListParagraph"/>
        <w:rPr>
          <w:b/>
        </w:rPr>
      </w:pPr>
    </w:p>
    <w:p w:rsidR="00B142FC" w:rsidRDefault="00AF4E2E" w:rsidP="00AF4E2E">
      <w:pPr>
        <w:pStyle w:val="ListParagraph"/>
        <w:numPr>
          <w:ilvl w:val="0"/>
          <w:numId w:val="46"/>
        </w:numPr>
        <w:spacing w:before="200" w:line="276" w:lineRule="auto"/>
      </w:pPr>
      <w:r>
        <w:rPr>
          <w:b/>
        </w:rPr>
        <w:t xml:space="preserve">Items </w:t>
      </w:r>
      <w:r w:rsidR="00716DCC">
        <w:rPr>
          <w:b/>
        </w:rPr>
        <w:t xml:space="preserve">24 </w:t>
      </w:r>
      <w:r w:rsidRPr="00AF4E2E">
        <w:t>and</w:t>
      </w:r>
      <w:r>
        <w:rPr>
          <w:b/>
        </w:rPr>
        <w:t xml:space="preserve"> </w:t>
      </w:r>
      <w:r w:rsidR="00716DCC">
        <w:rPr>
          <w:b/>
        </w:rPr>
        <w:t>26</w:t>
      </w:r>
      <w:r w:rsidR="00716DCC">
        <w:t xml:space="preserve"> </w:t>
      </w:r>
      <w:r>
        <w:t xml:space="preserve">renumber paragraphs </w:t>
      </w:r>
      <w:r w:rsidR="006E0308">
        <w:t xml:space="preserve">a. and b. </w:t>
      </w:r>
      <w:r>
        <w:t xml:space="preserve">in column 3 of item 1 of the table in item 2 of Schedule </w:t>
      </w:r>
      <w:r w:rsidR="006E0308">
        <w:t>1 to</w:t>
      </w:r>
      <w:r>
        <w:t xml:space="preserve"> the Guidelines as paragraphs (a) and (b). </w:t>
      </w:r>
      <w:r w:rsidR="006E0308">
        <w:t xml:space="preserve">This is done for ease of reference and consistency with drafting convention. </w:t>
      </w:r>
    </w:p>
    <w:p w:rsidR="00AF4E2E" w:rsidRDefault="00AF4E2E" w:rsidP="00AF4E2E">
      <w:pPr>
        <w:pStyle w:val="ListParagraph"/>
        <w:spacing w:before="200" w:line="276" w:lineRule="auto"/>
        <w:ind w:left="360"/>
      </w:pPr>
    </w:p>
    <w:p w:rsidR="006E0308" w:rsidRDefault="00AF4E2E" w:rsidP="00AF4E2E">
      <w:pPr>
        <w:pStyle w:val="ListParagraph"/>
        <w:numPr>
          <w:ilvl w:val="0"/>
          <w:numId w:val="46"/>
        </w:numPr>
        <w:spacing w:before="200" w:line="276" w:lineRule="auto"/>
      </w:pPr>
      <w:r>
        <w:rPr>
          <w:b/>
        </w:rPr>
        <w:t>Item</w:t>
      </w:r>
      <w:r w:rsidR="006E0308">
        <w:rPr>
          <w:b/>
        </w:rPr>
        <w:t>s</w:t>
      </w:r>
      <w:r>
        <w:rPr>
          <w:b/>
        </w:rPr>
        <w:t xml:space="preserve"> </w:t>
      </w:r>
      <w:r w:rsidR="00716DCC">
        <w:rPr>
          <w:b/>
        </w:rPr>
        <w:t xml:space="preserve">25 </w:t>
      </w:r>
      <w:r w:rsidR="006E0308">
        <w:t xml:space="preserve">and </w:t>
      </w:r>
      <w:r w:rsidR="00716DCC">
        <w:rPr>
          <w:b/>
        </w:rPr>
        <w:t xml:space="preserve">27 </w:t>
      </w:r>
      <w:r w:rsidR="006E0308">
        <w:t xml:space="preserve">correct cross-references in paragraphs a. and b. in column 3 of item 1 of the table in item 2 of Schedule 1 to the Guidelines. </w:t>
      </w:r>
    </w:p>
    <w:p w:rsidR="006E0308" w:rsidRDefault="006E0308" w:rsidP="006E0308">
      <w:pPr>
        <w:pStyle w:val="ListParagraph"/>
      </w:pPr>
    </w:p>
    <w:p w:rsidR="006E0308" w:rsidRDefault="006E0308" w:rsidP="00AF4E2E">
      <w:pPr>
        <w:pStyle w:val="ListParagraph"/>
        <w:numPr>
          <w:ilvl w:val="0"/>
          <w:numId w:val="46"/>
        </w:numPr>
        <w:spacing w:before="200" w:line="276" w:lineRule="auto"/>
      </w:pPr>
      <w:r>
        <w:rPr>
          <w:b/>
        </w:rPr>
        <w:t xml:space="preserve">Item </w:t>
      </w:r>
      <w:r w:rsidR="00716DCC">
        <w:rPr>
          <w:b/>
        </w:rPr>
        <w:t>28</w:t>
      </w:r>
      <w:r w:rsidR="00716DCC">
        <w:t xml:space="preserve"> </w:t>
      </w:r>
      <w:r>
        <w:t xml:space="preserve">deletes paragraph c. in column 3 of item 1 of the table in item 2 of Schedule 1 to the Guidelines. This paragraph relates to calculating </w:t>
      </w:r>
      <w:proofErr w:type="spellStart"/>
      <w:r>
        <w:t>ISSP</w:t>
      </w:r>
      <w:proofErr w:type="spellEnd"/>
      <w:r>
        <w:t xml:space="preserve"> grant amounts for the 2017 grant year and is no longer required. </w:t>
      </w:r>
    </w:p>
    <w:p w:rsidR="006E0308" w:rsidRDefault="006E0308" w:rsidP="006E0308">
      <w:pPr>
        <w:pStyle w:val="ListParagraph"/>
      </w:pPr>
    </w:p>
    <w:p w:rsidR="00AF4E2E" w:rsidRDefault="006E0308" w:rsidP="00AF4E2E">
      <w:pPr>
        <w:pStyle w:val="ListParagraph"/>
        <w:numPr>
          <w:ilvl w:val="0"/>
          <w:numId w:val="46"/>
        </w:numPr>
        <w:spacing w:before="200" w:line="276" w:lineRule="auto"/>
      </w:pPr>
      <w:r>
        <w:rPr>
          <w:b/>
        </w:rPr>
        <w:t xml:space="preserve">Items </w:t>
      </w:r>
      <w:r w:rsidR="00BA6692">
        <w:rPr>
          <w:b/>
        </w:rPr>
        <w:t xml:space="preserve">29 </w:t>
      </w:r>
      <w:r>
        <w:t xml:space="preserve">and </w:t>
      </w:r>
      <w:r w:rsidR="00BA6692">
        <w:rPr>
          <w:b/>
        </w:rPr>
        <w:t xml:space="preserve">31 </w:t>
      </w:r>
      <w:r>
        <w:t xml:space="preserve">renumber paragraphs a. and b. in column 3 of item 1 of the table in item 3 of Schedule 1 to the Guidelines as paragraphs (a) and (b). This is done for ease of reference and consistency with drafting convention. </w:t>
      </w:r>
    </w:p>
    <w:p w:rsidR="006E0308" w:rsidRDefault="006E0308" w:rsidP="006E0308">
      <w:pPr>
        <w:pStyle w:val="ListParagraph"/>
      </w:pPr>
    </w:p>
    <w:p w:rsidR="006E0308" w:rsidRDefault="006E0308" w:rsidP="00AF4E2E">
      <w:pPr>
        <w:pStyle w:val="ListParagraph"/>
        <w:numPr>
          <w:ilvl w:val="0"/>
          <w:numId w:val="46"/>
        </w:numPr>
        <w:spacing w:before="200" w:line="276" w:lineRule="auto"/>
      </w:pPr>
      <w:r>
        <w:rPr>
          <w:b/>
        </w:rPr>
        <w:t xml:space="preserve">Items </w:t>
      </w:r>
      <w:r w:rsidR="00BA6692">
        <w:rPr>
          <w:b/>
        </w:rPr>
        <w:t>30</w:t>
      </w:r>
      <w:r w:rsidR="00BA6692">
        <w:t xml:space="preserve"> </w:t>
      </w:r>
      <w:r>
        <w:t xml:space="preserve">and </w:t>
      </w:r>
      <w:r w:rsidR="00BA6692">
        <w:rPr>
          <w:b/>
        </w:rPr>
        <w:t>32</w:t>
      </w:r>
      <w:r w:rsidR="00BA6692">
        <w:t xml:space="preserve"> </w:t>
      </w:r>
      <w:r>
        <w:t xml:space="preserve">correct cross-references in paragraphs a. and b. in column 3 of item 1 of the table in item 3 of Schedule 1 to the Guidelines. </w:t>
      </w:r>
    </w:p>
    <w:p w:rsidR="006E0308" w:rsidRDefault="006E0308" w:rsidP="006E0308">
      <w:pPr>
        <w:pStyle w:val="ListParagraph"/>
      </w:pPr>
    </w:p>
    <w:p w:rsidR="006E0308" w:rsidRDefault="006E0308" w:rsidP="00AF4E2E">
      <w:pPr>
        <w:pStyle w:val="ListParagraph"/>
        <w:numPr>
          <w:ilvl w:val="0"/>
          <w:numId w:val="46"/>
        </w:numPr>
        <w:spacing w:before="200" w:line="276" w:lineRule="auto"/>
      </w:pPr>
      <w:r>
        <w:rPr>
          <w:b/>
        </w:rPr>
        <w:t xml:space="preserve">Item </w:t>
      </w:r>
      <w:r w:rsidR="00BA6692">
        <w:rPr>
          <w:b/>
        </w:rPr>
        <w:t xml:space="preserve">33 </w:t>
      </w:r>
      <w:r>
        <w:t xml:space="preserve">deletes paragraph c. in column 3 of item 1 of the table in item 3 of Schedule 1 to the Guidelines. This paragraph relates to calculating </w:t>
      </w:r>
      <w:proofErr w:type="spellStart"/>
      <w:r>
        <w:t>ISSP</w:t>
      </w:r>
      <w:proofErr w:type="spellEnd"/>
      <w:r>
        <w:t xml:space="preserve"> grant amounts for the 2017 grant year and is no lon</w:t>
      </w:r>
      <w:r w:rsidR="006F558E">
        <w:t>g</w:t>
      </w:r>
      <w:r>
        <w:t xml:space="preserve">er required. </w:t>
      </w:r>
    </w:p>
    <w:p w:rsidR="006E0308" w:rsidRDefault="006E0308" w:rsidP="006E0308">
      <w:pPr>
        <w:pStyle w:val="ListParagraph"/>
      </w:pPr>
    </w:p>
    <w:p w:rsidR="006E0308" w:rsidRDefault="006E0308" w:rsidP="00AF4E2E">
      <w:pPr>
        <w:pStyle w:val="ListParagraph"/>
        <w:numPr>
          <w:ilvl w:val="0"/>
          <w:numId w:val="46"/>
        </w:numPr>
        <w:spacing w:before="200" w:line="276" w:lineRule="auto"/>
      </w:pPr>
      <w:r>
        <w:rPr>
          <w:b/>
        </w:rPr>
        <w:lastRenderedPageBreak/>
        <w:t xml:space="preserve">Item </w:t>
      </w:r>
      <w:r w:rsidR="00BA6692">
        <w:rPr>
          <w:b/>
        </w:rPr>
        <w:t>34</w:t>
      </w:r>
      <w:r w:rsidR="00BA6692">
        <w:t xml:space="preserve"> </w:t>
      </w:r>
      <w:r>
        <w:t xml:space="preserve">replaces </w:t>
      </w:r>
      <w:proofErr w:type="spellStart"/>
      <w:r>
        <w:t>subitem</w:t>
      </w:r>
      <w:proofErr w:type="spellEnd"/>
      <w:r>
        <w:t xml:space="preserve"> 5(4) of Schedule 1 to the Guidelines. Existing </w:t>
      </w:r>
      <w:proofErr w:type="spellStart"/>
      <w:r>
        <w:t>subitem</w:t>
      </w:r>
      <w:proofErr w:type="spellEnd"/>
      <w:r>
        <w:t xml:space="preserve"> 5(4) specifies the </w:t>
      </w:r>
      <w:r w:rsidRPr="00563AF6">
        <w:t>normal previous year allocation</w:t>
      </w:r>
      <w:r>
        <w:rPr>
          <w:i/>
        </w:rPr>
        <w:t xml:space="preserve"> </w:t>
      </w:r>
      <w:r>
        <w:t xml:space="preserve">for a higher education provider for the 2017 grant year. The </w:t>
      </w:r>
      <w:r w:rsidRPr="00563AF6">
        <w:t>normal previous year allocation</w:t>
      </w:r>
      <w:r>
        <w:rPr>
          <w:i/>
        </w:rPr>
        <w:t xml:space="preserve"> </w:t>
      </w:r>
      <w:r>
        <w:t>of a higher education provider is used to calculate the provider</w:t>
      </w:r>
      <w:r w:rsidR="006F558E">
        <w:t>’</w:t>
      </w:r>
      <w:r>
        <w:t xml:space="preserve">s </w:t>
      </w:r>
      <w:proofErr w:type="spellStart"/>
      <w:r>
        <w:t>ISSP</w:t>
      </w:r>
      <w:proofErr w:type="spellEnd"/>
      <w:r>
        <w:t xml:space="preserve"> grant amount. </w:t>
      </w:r>
    </w:p>
    <w:p w:rsidR="006E0308" w:rsidRDefault="006E0308" w:rsidP="006E0308">
      <w:pPr>
        <w:pStyle w:val="ListParagraph"/>
      </w:pPr>
    </w:p>
    <w:p w:rsidR="00803A54" w:rsidRDefault="006E0308" w:rsidP="00AF4E2E">
      <w:pPr>
        <w:pStyle w:val="ListParagraph"/>
        <w:numPr>
          <w:ilvl w:val="0"/>
          <w:numId w:val="46"/>
        </w:numPr>
        <w:spacing w:before="200" w:line="276" w:lineRule="auto"/>
      </w:pPr>
      <w:r>
        <w:t xml:space="preserve">New </w:t>
      </w:r>
      <w:proofErr w:type="spellStart"/>
      <w:r>
        <w:t>subitem</w:t>
      </w:r>
      <w:proofErr w:type="spellEnd"/>
      <w:r>
        <w:t xml:space="preserve"> 5(4) specifies </w:t>
      </w:r>
      <w:r w:rsidR="00803A54">
        <w:t xml:space="preserve">that </w:t>
      </w:r>
      <w:r>
        <w:t xml:space="preserve">the </w:t>
      </w:r>
      <w:r w:rsidRPr="00563AF6">
        <w:t>normal previous year allocation</w:t>
      </w:r>
      <w:r>
        <w:rPr>
          <w:i/>
        </w:rPr>
        <w:t xml:space="preserve"> </w:t>
      </w:r>
      <w:r>
        <w:t xml:space="preserve">for a higher education provider that did not receive an </w:t>
      </w:r>
      <w:proofErr w:type="spellStart"/>
      <w:r>
        <w:t>ISSP</w:t>
      </w:r>
      <w:proofErr w:type="spellEnd"/>
      <w:r>
        <w:t xml:space="preserve"> grant in the year before the grant year, but received a grant approved under section 38-20 of the Act to use for activities specified in the Guidelines</w:t>
      </w:r>
      <w:r w:rsidR="00803A54">
        <w:t xml:space="preserve"> is to be calculated in accordance with new </w:t>
      </w:r>
      <w:proofErr w:type="spellStart"/>
      <w:r w:rsidR="00803A54">
        <w:t>subitem</w:t>
      </w:r>
      <w:proofErr w:type="spellEnd"/>
      <w:r w:rsidR="00803A54">
        <w:t xml:space="preserve"> 5(5) of Schedule 1 to the Guidelines</w:t>
      </w:r>
      <w:r>
        <w:t>.</w:t>
      </w:r>
    </w:p>
    <w:p w:rsidR="00803A54" w:rsidRDefault="00803A54" w:rsidP="00170B8F">
      <w:pPr>
        <w:pStyle w:val="ListParagraph"/>
      </w:pPr>
    </w:p>
    <w:p w:rsidR="00A5046A" w:rsidRDefault="00803A54" w:rsidP="00AF4E2E">
      <w:pPr>
        <w:pStyle w:val="ListParagraph"/>
        <w:numPr>
          <w:ilvl w:val="0"/>
          <w:numId w:val="46"/>
        </w:numPr>
        <w:spacing w:before="200" w:line="276" w:lineRule="auto"/>
      </w:pPr>
      <w:r>
        <w:rPr>
          <w:b/>
        </w:rPr>
        <w:t>Item 3</w:t>
      </w:r>
      <w:r w:rsidR="00BA6692">
        <w:rPr>
          <w:b/>
        </w:rPr>
        <w:t>5</w:t>
      </w:r>
      <w:r>
        <w:t xml:space="preserve"> inserts</w:t>
      </w:r>
      <w:r w:rsidR="006F558E">
        <w:t xml:space="preserve"> </w:t>
      </w:r>
      <w:proofErr w:type="spellStart"/>
      <w:r w:rsidR="00A5046A">
        <w:t>subitem</w:t>
      </w:r>
      <w:proofErr w:type="spellEnd"/>
      <w:r w:rsidR="00A5046A">
        <w:t xml:space="preserve"> 5(</w:t>
      </w:r>
      <w:r w:rsidR="006F558E">
        <w:t>5</w:t>
      </w:r>
      <w:r w:rsidR="00A5046A">
        <w:t>)</w:t>
      </w:r>
      <w:r w:rsidR="006F558E">
        <w:t xml:space="preserve"> into Schedule 1 to the Guidelines. </w:t>
      </w:r>
      <w:proofErr w:type="spellStart"/>
      <w:r w:rsidR="006F558E">
        <w:t>Subitem</w:t>
      </w:r>
      <w:proofErr w:type="spellEnd"/>
      <w:r w:rsidR="006F558E">
        <w:t xml:space="preserve"> 5(5) provides that </w:t>
      </w:r>
      <w:r w:rsidR="00A5046A">
        <w:t xml:space="preserve">the amount of the </w:t>
      </w:r>
      <w:r w:rsidR="00A5046A" w:rsidRPr="00563AF6">
        <w:t>normal previous year allocation</w:t>
      </w:r>
      <w:r w:rsidR="00A5046A">
        <w:rPr>
          <w:i/>
        </w:rPr>
        <w:t xml:space="preserve"> </w:t>
      </w:r>
      <w:r w:rsidR="00A5046A">
        <w:t xml:space="preserve">for a provider identified in </w:t>
      </w:r>
      <w:proofErr w:type="spellStart"/>
      <w:r w:rsidR="00A5046A">
        <w:t>subitem</w:t>
      </w:r>
      <w:proofErr w:type="spellEnd"/>
      <w:r w:rsidR="00A5046A">
        <w:t xml:space="preserve"> 5(4) is either:</w:t>
      </w:r>
    </w:p>
    <w:p w:rsidR="00A5046A" w:rsidRDefault="00A5046A" w:rsidP="00170B8F">
      <w:pPr>
        <w:pStyle w:val="ListParagraph"/>
      </w:pPr>
    </w:p>
    <w:p w:rsidR="00A5046A" w:rsidRDefault="00A5046A" w:rsidP="00170B8F">
      <w:pPr>
        <w:pStyle w:val="ListParagraph"/>
        <w:numPr>
          <w:ilvl w:val="1"/>
          <w:numId w:val="46"/>
        </w:numPr>
        <w:spacing w:before="200" w:line="276" w:lineRule="auto"/>
      </w:pPr>
      <w:r>
        <w:t>the amount of the grant approved under section 38-20 of Act in respect of the provider, where that grant was made at the beginning of the grant year and was to be used for the entire grant year; or</w:t>
      </w:r>
    </w:p>
    <w:p w:rsidR="00952888" w:rsidRDefault="00A5046A" w:rsidP="00170B8F">
      <w:pPr>
        <w:pStyle w:val="ListParagraph"/>
        <w:numPr>
          <w:ilvl w:val="1"/>
          <w:numId w:val="46"/>
        </w:numPr>
        <w:spacing w:before="200" w:line="276" w:lineRule="auto"/>
      </w:pPr>
      <w:proofErr w:type="gramStart"/>
      <w:r>
        <w:t>where</w:t>
      </w:r>
      <w:proofErr w:type="gramEnd"/>
      <w:r>
        <w:t xml:space="preserve"> that is not the case (for example, the grant approved under section 38-20 of Act</w:t>
      </w:r>
      <w:r w:rsidR="00953801">
        <w:t xml:space="preserve"> </w:t>
      </w:r>
      <w:r>
        <w:t xml:space="preserve">in respect of the provider was approved part-way through the year), the amount agreed between an administering officer and the provider. </w:t>
      </w:r>
      <w:r w:rsidR="00952888">
        <w:br/>
      </w:r>
    </w:p>
    <w:p w:rsidR="006E0308" w:rsidRDefault="00A5046A" w:rsidP="00952888">
      <w:pPr>
        <w:pStyle w:val="ListParagraph"/>
        <w:numPr>
          <w:ilvl w:val="0"/>
          <w:numId w:val="46"/>
        </w:numPr>
        <w:spacing w:before="200" w:line="276" w:lineRule="auto"/>
      </w:pPr>
      <w:r>
        <w:t xml:space="preserve">In agreeing </w:t>
      </w:r>
      <w:r w:rsidR="00952888">
        <w:t xml:space="preserve">an amount, the administering officer and the provider may consider any establishment costs provided by the Commonwealth to the provider to deliver the </w:t>
      </w:r>
      <w:proofErr w:type="spellStart"/>
      <w:r w:rsidR="00952888">
        <w:t>ISSP</w:t>
      </w:r>
      <w:proofErr w:type="spellEnd"/>
      <w:r w:rsidR="00952888">
        <w:t xml:space="preserve"> </w:t>
      </w:r>
      <w:r w:rsidR="006F558E">
        <w:t>and</w:t>
      </w:r>
      <w:r w:rsidR="00952888">
        <w:t xml:space="preserve"> an agreed scaling of the grant approved under section 38-20 of Act in respect of the provider to account for the entire grant year. </w:t>
      </w:r>
    </w:p>
    <w:p w:rsidR="00CA7A57" w:rsidRDefault="00CA7A57" w:rsidP="00CA7A57">
      <w:pPr>
        <w:pStyle w:val="ListParagraph"/>
      </w:pPr>
    </w:p>
    <w:p w:rsidR="00CA7A57" w:rsidRDefault="00CA7A57" w:rsidP="00AF4E2E">
      <w:pPr>
        <w:pStyle w:val="ListParagraph"/>
        <w:numPr>
          <w:ilvl w:val="0"/>
          <w:numId w:val="46"/>
        </w:numPr>
        <w:spacing w:before="200" w:line="276" w:lineRule="auto"/>
      </w:pPr>
      <w:r>
        <w:rPr>
          <w:b/>
        </w:rPr>
        <w:t xml:space="preserve">Item </w:t>
      </w:r>
      <w:r w:rsidR="00803A54">
        <w:rPr>
          <w:b/>
        </w:rPr>
        <w:t>3</w:t>
      </w:r>
      <w:r w:rsidR="00BA6692">
        <w:rPr>
          <w:b/>
        </w:rPr>
        <w:t>6</w:t>
      </w:r>
      <w:r w:rsidR="00803A54">
        <w:rPr>
          <w:b/>
        </w:rPr>
        <w:t xml:space="preserve"> </w:t>
      </w:r>
      <w:r>
        <w:t xml:space="preserve">is an application provision relating to changes to eligibility requirements to receive an </w:t>
      </w:r>
      <w:proofErr w:type="spellStart"/>
      <w:r>
        <w:t>ISSP</w:t>
      </w:r>
      <w:proofErr w:type="spellEnd"/>
      <w:r>
        <w:t xml:space="preserve"> grant. Item 36 provides that changes to eligibility requirements do not apply to </w:t>
      </w:r>
      <w:proofErr w:type="spellStart"/>
      <w:r>
        <w:t>ISSP</w:t>
      </w:r>
      <w:proofErr w:type="spellEnd"/>
      <w:r>
        <w:t xml:space="preserve"> grants that are payable in respect of the year 2019. This is done to avoid </w:t>
      </w:r>
      <w:r w:rsidR="004429C1">
        <w:t xml:space="preserve">the possibility of </w:t>
      </w:r>
      <w:r>
        <w:t xml:space="preserve">eligibility requirements </w:t>
      </w:r>
      <w:r w:rsidR="004429C1">
        <w:t>for 2019</w:t>
      </w:r>
      <w:r>
        <w:t xml:space="preserve"> </w:t>
      </w:r>
      <w:proofErr w:type="spellStart"/>
      <w:r>
        <w:t>ISSP</w:t>
      </w:r>
      <w:proofErr w:type="spellEnd"/>
      <w:r>
        <w:t xml:space="preserve"> grants </w:t>
      </w:r>
      <w:r w:rsidR="004429C1">
        <w:t>changing</w:t>
      </w:r>
      <w:r>
        <w:t xml:space="preserve"> after the Minister has formed a view under section 8 of the Guidelines</w:t>
      </w:r>
      <w:r w:rsidR="004429C1">
        <w:t xml:space="preserve">, and to give higher education providers time to meet the new requirements. Changes to </w:t>
      </w:r>
      <w:proofErr w:type="spellStart"/>
      <w:r w:rsidR="004429C1">
        <w:t>ISSP</w:t>
      </w:r>
      <w:proofErr w:type="spellEnd"/>
      <w:r w:rsidR="004429C1">
        <w:t xml:space="preserve"> grant conditions will apply to 2019 </w:t>
      </w:r>
      <w:proofErr w:type="spellStart"/>
      <w:r w:rsidR="004429C1">
        <w:t>ISSP</w:t>
      </w:r>
      <w:proofErr w:type="spellEnd"/>
      <w:r w:rsidR="004429C1">
        <w:t xml:space="preserve"> grants. </w:t>
      </w:r>
      <w:r>
        <w:t xml:space="preserve"> </w:t>
      </w:r>
    </w:p>
    <w:p w:rsidR="006E0308" w:rsidRPr="006E0308" w:rsidRDefault="006E0308" w:rsidP="006E0308">
      <w:pPr>
        <w:pStyle w:val="ListParagraph"/>
        <w:rPr>
          <w:i/>
        </w:rPr>
      </w:pPr>
    </w:p>
    <w:p w:rsidR="006E0308" w:rsidRPr="00C55AE3" w:rsidRDefault="006E0308" w:rsidP="006E0308">
      <w:pPr>
        <w:spacing w:before="200" w:line="276" w:lineRule="auto"/>
      </w:pPr>
    </w:p>
    <w:p w:rsidR="00146F3E" w:rsidRDefault="00146F3E" w:rsidP="008B1D85">
      <w:pPr>
        <w:pStyle w:val="dotpoint"/>
        <w:numPr>
          <w:ilvl w:val="0"/>
          <w:numId w:val="0"/>
        </w:numPr>
        <w:spacing w:before="200" w:after="0" w:line="276" w:lineRule="auto"/>
        <w:jc w:val="center"/>
        <w:rPr>
          <w:rFonts w:ascii="Times New Roman" w:hAnsi="Times New Roman" w:cs="Times New Roman"/>
          <w:b/>
        </w:rPr>
        <w:sectPr w:rsidR="00146F3E" w:rsidSect="002549D7">
          <w:pgSz w:w="11906" w:h="16838"/>
          <w:pgMar w:top="1134" w:right="1274" w:bottom="1276" w:left="1276" w:header="708" w:footer="708" w:gutter="0"/>
          <w:cols w:space="708"/>
          <w:docGrid w:linePitch="360"/>
        </w:sectPr>
      </w:pPr>
    </w:p>
    <w:p w:rsidR="00041555" w:rsidRPr="003007F2" w:rsidRDefault="001233F8" w:rsidP="008B1D85">
      <w:pPr>
        <w:pStyle w:val="dotpoint"/>
        <w:numPr>
          <w:ilvl w:val="0"/>
          <w:numId w:val="0"/>
        </w:numPr>
        <w:spacing w:before="200" w:after="0" w:line="276" w:lineRule="auto"/>
        <w:jc w:val="center"/>
        <w:rPr>
          <w:b/>
        </w:rPr>
      </w:pPr>
      <w:r>
        <w:rPr>
          <w:rFonts w:ascii="Times New Roman" w:hAnsi="Times New Roman" w:cs="Times New Roman"/>
          <w:b/>
        </w:rPr>
        <w:lastRenderedPageBreak/>
        <w:t>STATEMENT OF COMPATIBILITY WITH HUMAN RIGHTS</w:t>
      </w:r>
    </w:p>
    <w:p w:rsidR="00041555" w:rsidRPr="008B1D85" w:rsidRDefault="008A04CE" w:rsidP="008B1D85">
      <w:pPr>
        <w:spacing w:before="200" w:line="276" w:lineRule="auto"/>
        <w:rPr>
          <w:i/>
          <w:szCs w:val="24"/>
        </w:rPr>
      </w:pPr>
      <w:r w:rsidRPr="008B1D85">
        <w:rPr>
          <w:i/>
          <w:szCs w:val="24"/>
        </w:rPr>
        <w:t xml:space="preserve">Prepared in accordance with Part 3 of the </w:t>
      </w:r>
      <w:r w:rsidRPr="0083173E">
        <w:rPr>
          <w:szCs w:val="24"/>
        </w:rPr>
        <w:t>Human Rights (Parliamentary Scrutiny) Act 2011</w:t>
      </w:r>
    </w:p>
    <w:p w:rsidR="00041555" w:rsidRPr="0099522A" w:rsidRDefault="002F3D57" w:rsidP="0099522A">
      <w:pPr>
        <w:pStyle w:val="ListParagraph"/>
        <w:numPr>
          <w:ilvl w:val="0"/>
          <w:numId w:val="46"/>
        </w:numPr>
        <w:spacing w:before="200" w:line="276" w:lineRule="auto"/>
      </w:pPr>
      <w:r w:rsidRPr="0099522A">
        <w:t xml:space="preserve">The </w:t>
      </w:r>
      <w:r w:rsidRPr="0099522A">
        <w:rPr>
          <w:i/>
        </w:rPr>
        <w:t>Indigenous Student Assistance</w:t>
      </w:r>
      <w:r w:rsidR="0099522A" w:rsidRPr="0099522A">
        <w:rPr>
          <w:i/>
        </w:rPr>
        <w:t xml:space="preserve"> Grants Amendment Guidelines 2018</w:t>
      </w:r>
      <w:r w:rsidRPr="0099522A">
        <w:rPr>
          <w:i/>
        </w:rPr>
        <w:t xml:space="preserve"> </w:t>
      </w:r>
      <w:r w:rsidR="0099522A">
        <w:t xml:space="preserve">(Amendment Guidelines) </w:t>
      </w:r>
      <w:r w:rsidR="0099522A" w:rsidRPr="0099522A">
        <w:t>are</w:t>
      </w:r>
      <w:r w:rsidR="008A04CE" w:rsidRPr="0099522A">
        <w:t xml:space="preserve"> compatible with the human rights and freedoms recognised or declared in the international instruments listed in section 3 of the </w:t>
      </w:r>
      <w:r w:rsidR="008A04CE" w:rsidRPr="0099522A">
        <w:rPr>
          <w:i/>
        </w:rPr>
        <w:t>Human Rights (Parliamentary Scrutiny) Act 2011</w:t>
      </w:r>
      <w:r w:rsidR="008A04CE" w:rsidRPr="0099522A">
        <w:t xml:space="preserve">. </w:t>
      </w:r>
    </w:p>
    <w:p w:rsidR="0099522A" w:rsidRDefault="008A04CE" w:rsidP="0099522A">
      <w:pPr>
        <w:spacing w:before="200" w:line="276" w:lineRule="auto"/>
        <w:rPr>
          <w:b/>
          <w:i/>
          <w:szCs w:val="24"/>
        </w:rPr>
      </w:pPr>
      <w:r w:rsidRPr="009F333C">
        <w:rPr>
          <w:b/>
          <w:i/>
          <w:szCs w:val="24"/>
        </w:rPr>
        <w:t xml:space="preserve">Overview </w:t>
      </w:r>
    </w:p>
    <w:p w:rsidR="003309F3" w:rsidRPr="002D0605" w:rsidRDefault="003309F3" w:rsidP="0099522A">
      <w:pPr>
        <w:pStyle w:val="ListParagraph"/>
        <w:numPr>
          <w:ilvl w:val="0"/>
          <w:numId w:val="46"/>
        </w:numPr>
        <w:spacing w:before="200" w:line="276" w:lineRule="auto"/>
      </w:pPr>
      <w:r w:rsidRPr="0099522A">
        <w:t xml:space="preserve">Section 238-10 of the </w:t>
      </w:r>
      <w:r w:rsidRPr="0099522A">
        <w:rPr>
          <w:i/>
        </w:rPr>
        <w:t>Higher Education Support Act</w:t>
      </w:r>
      <w:r w:rsidRPr="0099522A">
        <w:t xml:space="preserve"> </w:t>
      </w:r>
      <w:r w:rsidR="00D53D1A" w:rsidRPr="00563AF6">
        <w:rPr>
          <w:i/>
        </w:rPr>
        <w:t>2003</w:t>
      </w:r>
      <w:r w:rsidR="00D53D1A">
        <w:t xml:space="preserve"> </w:t>
      </w:r>
      <w:r w:rsidRPr="0099522A">
        <w:t xml:space="preserve">(the Act) provides that the Minister may, by legislative instrument, make Guidelines </w:t>
      </w:r>
      <w:r w:rsidR="00622D3D" w:rsidRPr="0099522A">
        <w:t>for the purposes of</w:t>
      </w:r>
      <w:r w:rsidRPr="0099522A">
        <w:t xml:space="preserve"> Part 2-2A of the Act (Item 6A of the table in section 238-10). </w:t>
      </w:r>
    </w:p>
    <w:p w:rsidR="0099522A" w:rsidRDefault="0099522A" w:rsidP="0099522A">
      <w:pPr>
        <w:pStyle w:val="ListParagraph"/>
        <w:spacing w:before="200" w:line="276" w:lineRule="auto"/>
        <w:ind w:left="360"/>
      </w:pPr>
    </w:p>
    <w:p w:rsidR="0099522A" w:rsidRPr="00715B05" w:rsidRDefault="002F3D57" w:rsidP="0099522A">
      <w:pPr>
        <w:pStyle w:val="ListParagraph"/>
        <w:numPr>
          <w:ilvl w:val="0"/>
          <w:numId w:val="46"/>
        </w:numPr>
        <w:spacing w:before="200" w:line="276" w:lineRule="auto"/>
      </w:pPr>
      <w:r w:rsidRPr="0099522A">
        <w:t xml:space="preserve">The </w:t>
      </w:r>
      <w:r w:rsidR="0099522A" w:rsidRPr="0099522A">
        <w:rPr>
          <w:i/>
        </w:rPr>
        <w:t>Indigenous Student Assistance Grants Amendment Guidelines 2018</w:t>
      </w:r>
      <w:r w:rsidR="0099522A">
        <w:t xml:space="preserve"> amend the </w:t>
      </w:r>
      <w:r w:rsidR="0099522A" w:rsidRPr="0099522A">
        <w:rPr>
          <w:i/>
        </w:rPr>
        <w:t>Indigenous Student Assistance Grants Guidelines 2017</w:t>
      </w:r>
      <w:r w:rsidR="0099522A">
        <w:t xml:space="preserve"> (the Guidelines) to make a number of mostly minor and technical changes. </w:t>
      </w:r>
      <w:r w:rsidR="0099522A" w:rsidRPr="00715B05">
        <w:t>The Guidelines provide a framework to deal with grants for the Indigenous Student Success Programme (</w:t>
      </w:r>
      <w:proofErr w:type="spellStart"/>
      <w:r w:rsidR="0099522A" w:rsidRPr="00715B05">
        <w:t>ISSP</w:t>
      </w:r>
      <w:proofErr w:type="spellEnd"/>
      <w:r w:rsidR="0099522A" w:rsidRPr="00715B05">
        <w:t xml:space="preserve">) under Part 2-2A of the Act.  </w:t>
      </w:r>
    </w:p>
    <w:p w:rsidR="0099522A" w:rsidRDefault="0099522A" w:rsidP="0099522A">
      <w:pPr>
        <w:pStyle w:val="ListParagraph"/>
        <w:spacing w:before="200" w:after="120" w:line="276" w:lineRule="auto"/>
        <w:ind w:left="360"/>
      </w:pPr>
    </w:p>
    <w:p w:rsidR="0099522A" w:rsidRDefault="0099522A" w:rsidP="0099522A">
      <w:pPr>
        <w:pStyle w:val="ListParagraph"/>
        <w:numPr>
          <w:ilvl w:val="0"/>
          <w:numId w:val="46"/>
        </w:numPr>
        <w:spacing w:before="200" w:after="120" w:line="276" w:lineRule="auto"/>
      </w:pPr>
      <w:r>
        <w:t xml:space="preserve">The </w:t>
      </w:r>
      <w:proofErr w:type="spellStart"/>
      <w:r>
        <w:t>ISSP</w:t>
      </w:r>
      <w:proofErr w:type="spellEnd"/>
      <w:r>
        <w:t xml:space="preserve"> </w:t>
      </w:r>
      <w:r>
        <w:rPr>
          <w:rStyle w:val="BookTitle"/>
          <w:i w:val="0"/>
          <w:smallCaps w:val="0"/>
        </w:rPr>
        <w:t xml:space="preserve">is designed to address the additional barriers Indigenous students face to succeed in higher education by providing higher education providers with increased flexibility to tailor their support to meet the specific needs of Indigenous students. The </w:t>
      </w:r>
      <w:proofErr w:type="spellStart"/>
      <w:r>
        <w:rPr>
          <w:rStyle w:val="BookTitle"/>
          <w:i w:val="0"/>
          <w:smallCaps w:val="0"/>
        </w:rPr>
        <w:t>ISSP</w:t>
      </w:r>
      <w:proofErr w:type="spellEnd"/>
      <w:r>
        <w:rPr>
          <w:rStyle w:val="BookTitle"/>
          <w:i w:val="0"/>
          <w:smallCaps w:val="0"/>
        </w:rPr>
        <w:t xml:space="preserve"> commenced in 2017. </w:t>
      </w:r>
      <w:r>
        <w:t xml:space="preserve">The Amendment Guidelines implement the outcomes of </w:t>
      </w:r>
      <w:r w:rsidR="002517E7">
        <w:t xml:space="preserve">a </w:t>
      </w:r>
      <w:r>
        <w:t>p</w:t>
      </w:r>
      <w:r w:rsidR="002517E7">
        <w:t>ost</w:t>
      </w:r>
      <w:r w:rsidR="002517E7">
        <w:noBreakHyphen/>
      </w:r>
      <w:r>
        <w:t xml:space="preserve">implementation review of the </w:t>
      </w:r>
      <w:proofErr w:type="spellStart"/>
      <w:r>
        <w:t>ISSP</w:t>
      </w:r>
      <w:proofErr w:type="spellEnd"/>
      <w:r>
        <w:t xml:space="preserve"> conducted in 2018. </w:t>
      </w:r>
    </w:p>
    <w:p w:rsidR="00041555" w:rsidRPr="009F333C" w:rsidRDefault="008A04CE" w:rsidP="008B1D85">
      <w:pPr>
        <w:spacing w:before="200" w:line="276" w:lineRule="auto"/>
        <w:rPr>
          <w:b/>
          <w:i/>
          <w:szCs w:val="24"/>
        </w:rPr>
      </w:pPr>
      <w:r w:rsidRPr="009F333C">
        <w:rPr>
          <w:b/>
          <w:i/>
          <w:szCs w:val="24"/>
        </w:rPr>
        <w:t>Human rights implications</w:t>
      </w:r>
    </w:p>
    <w:p w:rsidR="001F131A" w:rsidRPr="002517E7" w:rsidRDefault="002517E7" w:rsidP="002517E7">
      <w:pPr>
        <w:pStyle w:val="ListParagraph"/>
        <w:numPr>
          <w:ilvl w:val="0"/>
          <w:numId w:val="46"/>
        </w:numPr>
        <w:spacing w:before="200" w:line="276" w:lineRule="auto"/>
      </w:pPr>
      <w:r w:rsidRPr="002517E7">
        <w:t xml:space="preserve">To the extent the Amendment Guidelines engage human rights, the Amendment Guidelines </w:t>
      </w:r>
      <w:r w:rsidR="001F131A" w:rsidRPr="002517E7">
        <w:t>eng</w:t>
      </w:r>
      <w:r w:rsidRPr="002517E7">
        <w:t>age the r</w:t>
      </w:r>
      <w:r w:rsidR="001F131A">
        <w:t>ight to educa</w:t>
      </w:r>
      <w:r>
        <w:t xml:space="preserve">tion </w:t>
      </w:r>
      <w:r w:rsidR="0018349F">
        <w:t xml:space="preserve">and the right </w:t>
      </w:r>
      <w:r w:rsidR="00D53D1A">
        <w:t xml:space="preserve">to </w:t>
      </w:r>
      <w:r>
        <w:t xml:space="preserve">equality and non-discrimination. </w:t>
      </w:r>
    </w:p>
    <w:p w:rsidR="001F131A" w:rsidRPr="002517E7" w:rsidRDefault="001F131A" w:rsidP="008B1D85">
      <w:pPr>
        <w:keepNext/>
        <w:keepLines/>
        <w:spacing w:before="200" w:line="276" w:lineRule="auto"/>
        <w:rPr>
          <w:szCs w:val="24"/>
        </w:rPr>
      </w:pPr>
      <w:r w:rsidRPr="002517E7">
        <w:rPr>
          <w:b/>
          <w:szCs w:val="24"/>
        </w:rPr>
        <w:t>Right to education</w:t>
      </w:r>
    </w:p>
    <w:p w:rsidR="001F131A" w:rsidRPr="002517E7" w:rsidRDefault="001F131A" w:rsidP="002517E7">
      <w:pPr>
        <w:pStyle w:val="ListParagraph"/>
        <w:numPr>
          <w:ilvl w:val="0"/>
          <w:numId w:val="46"/>
        </w:numPr>
        <w:spacing w:before="200" w:line="276" w:lineRule="auto"/>
        <w:rPr>
          <w:rFonts w:eastAsia="Calibri"/>
        </w:rPr>
      </w:pPr>
      <w:r w:rsidRPr="002517E7">
        <w:rPr>
          <w:rFonts w:eastAsia="Calibri"/>
        </w:rPr>
        <w:t>The right to education is contained in Article 13 of the I</w:t>
      </w:r>
      <w:r w:rsidR="0018349F">
        <w:rPr>
          <w:rFonts w:eastAsia="Calibri"/>
        </w:rPr>
        <w:t>nternational Covenant on Economic, Social and Cultural Rights (</w:t>
      </w:r>
      <w:proofErr w:type="spellStart"/>
      <w:r w:rsidR="0018349F">
        <w:rPr>
          <w:rFonts w:eastAsia="Calibri"/>
        </w:rPr>
        <w:t>ICESCR</w:t>
      </w:r>
      <w:proofErr w:type="spellEnd"/>
      <w:r w:rsidR="0018349F">
        <w:rPr>
          <w:rFonts w:eastAsia="Calibri"/>
        </w:rPr>
        <w:t>)</w:t>
      </w:r>
      <w:r w:rsidRPr="002517E7">
        <w:rPr>
          <w:rFonts w:eastAsia="Calibri"/>
        </w:rPr>
        <w:t xml:space="preserve">, which recognises the ‘right of everyone to education.’ </w:t>
      </w:r>
    </w:p>
    <w:p w:rsidR="002517E7" w:rsidRDefault="002517E7" w:rsidP="002517E7">
      <w:pPr>
        <w:pStyle w:val="ListParagraph"/>
        <w:spacing w:before="200" w:line="276" w:lineRule="auto"/>
        <w:ind w:left="360"/>
        <w:rPr>
          <w:rFonts w:eastAsia="Calibri"/>
        </w:rPr>
      </w:pPr>
    </w:p>
    <w:p w:rsidR="001F131A" w:rsidRPr="002517E7" w:rsidRDefault="001F131A" w:rsidP="002517E7">
      <w:pPr>
        <w:pStyle w:val="ListParagraph"/>
        <w:numPr>
          <w:ilvl w:val="0"/>
          <w:numId w:val="46"/>
        </w:numPr>
        <w:spacing w:before="200" w:line="276" w:lineRule="auto"/>
        <w:rPr>
          <w:rFonts w:eastAsia="Calibri"/>
        </w:rPr>
      </w:pPr>
      <w:r w:rsidRPr="002517E7">
        <w:rPr>
          <w:rFonts w:eastAsia="Calibri"/>
        </w:rPr>
        <w:t>Relevantly, Article 13(2</w:t>
      </w:r>
      <w:proofErr w:type="gramStart"/>
      <w:r w:rsidRPr="002517E7">
        <w:rPr>
          <w:rFonts w:eastAsia="Calibri"/>
        </w:rPr>
        <w:t>)(</w:t>
      </w:r>
      <w:proofErr w:type="gramEnd"/>
      <w:r w:rsidRPr="002517E7">
        <w:rPr>
          <w:rFonts w:eastAsia="Calibri"/>
        </w:rPr>
        <w:t xml:space="preserve">c) of the </w:t>
      </w:r>
      <w:proofErr w:type="spellStart"/>
      <w:r w:rsidRPr="002517E7">
        <w:rPr>
          <w:rFonts w:eastAsia="Calibri"/>
        </w:rPr>
        <w:t>ICESCR</w:t>
      </w:r>
      <w:proofErr w:type="spellEnd"/>
      <w:r w:rsidRPr="002517E7">
        <w:rPr>
          <w:rFonts w:eastAsia="Calibri"/>
        </w:rPr>
        <w:t xml:space="preserve"> recognises that for the full realisation of the right to education, ‘higher education shall be made equally accessible to all, on the basis of capacity, by every appropriate means …’. </w:t>
      </w:r>
    </w:p>
    <w:p w:rsidR="002517E7" w:rsidRDefault="002517E7" w:rsidP="002517E7">
      <w:pPr>
        <w:pStyle w:val="ListParagraph"/>
        <w:spacing w:before="200" w:line="276" w:lineRule="auto"/>
        <w:ind w:left="360"/>
        <w:rPr>
          <w:rFonts w:eastAsia="Calibri"/>
        </w:rPr>
      </w:pPr>
    </w:p>
    <w:p w:rsidR="002517E7" w:rsidRDefault="001F131A" w:rsidP="002517E7">
      <w:pPr>
        <w:pStyle w:val="ListParagraph"/>
        <w:numPr>
          <w:ilvl w:val="0"/>
          <w:numId w:val="46"/>
        </w:numPr>
        <w:spacing w:before="200" w:line="276" w:lineRule="auto"/>
        <w:rPr>
          <w:rFonts w:eastAsia="Calibri"/>
        </w:rPr>
      </w:pPr>
      <w:r w:rsidRPr="002517E7">
        <w:rPr>
          <w:rFonts w:eastAsia="Calibri"/>
        </w:rPr>
        <w:lastRenderedPageBreak/>
        <w:t>The United Nations Committee on Economic Social and Cultural Rights has stated that the right to education requires that functioning educational institutions and programmes must be available in sufficient quantity within a country.</w:t>
      </w:r>
      <w:r w:rsidRPr="008B1D85">
        <w:rPr>
          <w:rFonts w:eastAsia="Calibri"/>
          <w:vertAlign w:val="superscript"/>
        </w:rPr>
        <w:footnoteReference w:id="2"/>
      </w:r>
      <w:r w:rsidRPr="002517E7">
        <w:rPr>
          <w:rFonts w:eastAsia="Calibri"/>
        </w:rPr>
        <w:t xml:space="preserve"> </w:t>
      </w:r>
    </w:p>
    <w:p w:rsidR="002517E7" w:rsidRPr="002517E7" w:rsidRDefault="002517E7" w:rsidP="002517E7">
      <w:pPr>
        <w:pStyle w:val="ListParagraph"/>
        <w:rPr>
          <w:rFonts w:eastAsia="Calibri"/>
        </w:rPr>
      </w:pPr>
    </w:p>
    <w:p w:rsidR="002517E7" w:rsidRDefault="0018349F" w:rsidP="002517E7">
      <w:pPr>
        <w:pStyle w:val="ListParagraph"/>
        <w:numPr>
          <w:ilvl w:val="0"/>
          <w:numId w:val="46"/>
        </w:numPr>
        <w:rPr>
          <w:rFonts w:eastAsia="Calibri"/>
        </w:rPr>
      </w:pPr>
      <w:r>
        <w:rPr>
          <w:rFonts w:eastAsia="Calibri"/>
        </w:rPr>
        <w:t>T</w:t>
      </w:r>
      <w:r w:rsidR="002517E7">
        <w:rPr>
          <w:rFonts w:eastAsia="Calibri"/>
        </w:rPr>
        <w:t xml:space="preserve">he Amendment Guidelines </w:t>
      </w:r>
      <w:r>
        <w:rPr>
          <w:rFonts w:eastAsia="Calibri"/>
        </w:rPr>
        <w:t xml:space="preserve">are intended to </w:t>
      </w:r>
      <w:r w:rsidR="002517E7">
        <w:rPr>
          <w:rFonts w:eastAsia="Calibri"/>
        </w:rPr>
        <w:t xml:space="preserve">improve </w:t>
      </w:r>
      <w:r w:rsidR="00D53D1A">
        <w:rPr>
          <w:rFonts w:eastAsia="Calibri"/>
        </w:rPr>
        <w:t xml:space="preserve">the </w:t>
      </w:r>
      <w:r w:rsidR="002517E7">
        <w:rPr>
          <w:rFonts w:eastAsia="Calibri"/>
        </w:rPr>
        <w:t xml:space="preserve">administration of the </w:t>
      </w:r>
      <w:proofErr w:type="spellStart"/>
      <w:r w:rsidR="002517E7">
        <w:rPr>
          <w:rFonts w:eastAsia="Calibri"/>
        </w:rPr>
        <w:t>ISSP</w:t>
      </w:r>
      <w:proofErr w:type="spellEnd"/>
      <w:r w:rsidR="002517E7">
        <w:rPr>
          <w:rFonts w:eastAsia="Calibri"/>
        </w:rPr>
        <w:t xml:space="preserve"> and enhance the capacity of higher education providers to assist Indigenous students</w:t>
      </w:r>
      <w:r>
        <w:rPr>
          <w:rFonts w:eastAsia="Calibri"/>
        </w:rPr>
        <w:t xml:space="preserve">. To the extent this better enables Indigenous students to access higher education and attain higher education awards, the Amendment Guidelines advance the right to education. </w:t>
      </w:r>
    </w:p>
    <w:p w:rsidR="009A5FC6" w:rsidRPr="0018349F" w:rsidRDefault="0018349F" w:rsidP="008B1D85">
      <w:pPr>
        <w:keepNext/>
        <w:keepLines/>
        <w:autoSpaceDE w:val="0"/>
        <w:autoSpaceDN w:val="0"/>
        <w:adjustRightInd w:val="0"/>
        <w:spacing w:before="200" w:line="276" w:lineRule="auto"/>
        <w:rPr>
          <w:rFonts w:eastAsia="Calibri"/>
          <w:b/>
          <w:szCs w:val="24"/>
        </w:rPr>
      </w:pPr>
      <w:r>
        <w:rPr>
          <w:rFonts w:eastAsia="Calibri"/>
          <w:b/>
          <w:szCs w:val="24"/>
        </w:rPr>
        <w:t xml:space="preserve">Right </w:t>
      </w:r>
      <w:r w:rsidR="00D53D1A">
        <w:rPr>
          <w:rFonts w:eastAsia="Calibri"/>
          <w:b/>
          <w:szCs w:val="24"/>
        </w:rPr>
        <w:t>to</w:t>
      </w:r>
      <w:r w:rsidR="00D53D1A" w:rsidRPr="0018349F">
        <w:rPr>
          <w:rFonts w:eastAsia="Calibri"/>
          <w:b/>
          <w:szCs w:val="24"/>
        </w:rPr>
        <w:t xml:space="preserve"> </w:t>
      </w:r>
      <w:r w:rsidR="009A5FC6" w:rsidRPr="0018349F">
        <w:rPr>
          <w:rFonts w:eastAsia="Calibri"/>
          <w:b/>
          <w:szCs w:val="24"/>
        </w:rPr>
        <w:t>equality and non-discrimination</w:t>
      </w:r>
    </w:p>
    <w:p w:rsidR="009A5FC6" w:rsidRPr="00821BAF" w:rsidRDefault="009A5FC6" w:rsidP="00821BAF">
      <w:pPr>
        <w:pStyle w:val="ListParagraph"/>
        <w:numPr>
          <w:ilvl w:val="0"/>
          <w:numId w:val="46"/>
        </w:numPr>
        <w:autoSpaceDE w:val="0"/>
        <w:autoSpaceDN w:val="0"/>
        <w:adjustRightInd w:val="0"/>
        <w:spacing w:before="200" w:line="276" w:lineRule="auto"/>
        <w:rPr>
          <w:rFonts w:eastAsia="Calibri"/>
        </w:rPr>
      </w:pPr>
      <w:r w:rsidRPr="0018349F">
        <w:rPr>
          <w:rFonts w:eastAsia="Calibri"/>
        </w:rPr>
        <w:t xml:space="preserve">The right </w:t>
      </w:r>
      <w:r w:rsidR="00D53D1A">
        <w:rPr>
          <w:rFonts w:eastAsia="Calibri"/>
        </w:rPr>
        <w:t>to</w:t>
      </w:r>
      <w:r w:rsidRPr="0018349F">
        <w:rPr>
          <w:rFonts w:eastAsia="Calibri"/>
        </w:rPr>
        <w:t xml:space="preserve"> equality and non-discrimination is contained in Articles 2, 16 and 26 of the I</w:t>
      </w:r>
      <w:r w:rsidR="0018349F">
        <w:rPr>
          <w:rFonts w:eastAsia="Calibri"/>
        </w:rPr>
        <w:t>nternational Covenant on Civil and Political Rights (</w:t>
      </w:r>
      <w:proofErr w:type="spellStart"/>
      <w:r w:rsidR="0018349F">
        <w:rPr>
          <w:rFonts w:eastAsia="Calibri"/>
        </w:rPr>
        <w:t>ICCPR</w:t>
      </w:r>
      <w:proofErr w:type="spellEnd"/>
      <w:r w:rsidR="0018349F">
        <w:rPr>
          <w:rFonts w:eastAsia="Calibri"/>
        </w:rPr>
        <w:t>)</w:t>
      </w:r>
      <w:r w:rsidRPr="0018349F">
        <w:rPr>
          <w:rFonts w:eastAsia="Calibri"/>
        </w:rPr>
        <w:t xml:space="preserve">, Article 2 of the </w:t>
      </w:r>
      <w:proofErr w:type="spellStart"/>
      <w:r w:rsidRPr="0018349F">
        <w:rPr>
          <w:rFonts w:eastAsia="Calibri"/>
        </w:rPr>
        <w:t>ICESCR</w:t>
      </w:r>
      <w:proofErr w:type="spellEnd"/>
      <w:r w:rsidRPr="0018349F">
        <w:rPr>
          <w:rFonts w:eastAsia="Calibri"/>
        </w:rPr>
        <w:t xml:space="preserve"> and Article 5 of the </w:t>
      </w:r>
      <w:r w:rsidR="0018349F">
        <w:rPr>
          <w:rFonts w:eastAsia="Calibri"/>
        </w:rPr>
        <w:t>Convention on the Elimination of all forms of Racial Discrimination (</w:t>
      </w:r>
      <w:proofErr w:type="spellStart"/>
      <w:r w:rsidR="0018349F">
        <w:rPr>
          <w:rFonts w:eastAsia="Calibri"/>
        </w:rPr>
        <w:t>CERD</w:t>
      </w:r>
      <w:proofErr w:type="spellEnd"/>
      <w:r w:rsidR="0018349F">
        <w:rPr>
          <w:rFonts w:eastAsia="Calibri"/>
        </w:rPr>
        <w:t>)</w:t>
      </w:r>
      <w:r w:rsidRPr="0018349F">
        <w:rPr>
          <w:rFonts w:eastAsia="Calibri"/>
        </w:rPr>
        <w:t xml:space="preserve">. </w:t>
      </w:r>
      <w:r w:rsidR="0018349F" w:rsidRPr="00821BAF">
        <w:rPr>
          <w:rFonts w:eastAsia="Calibri"/>
        </w:rPr>
        <w:t>These rights recognise</w:t>
      </w:r>
      <w:r w:rsidRPr="00821BAF">
        <w:rPr>
          <w:rFonts w:eastAsia="Calibri"/>
        </w:rPr>
        <w:t xml:space="preserve"> that all human beings have the right to be treated equally and to not be discriminated against. </w:t>
      </w:r>
    </w:p>
    <w:p w:rsidR="0018349F" w:rsidRPr="0018349F" w:rsidRDefault="0018349F" w:rsidP="0018349F">
      <w:pPr>
        <w:pStyle w:val="ListParagraph"/>
        <w:rPr>
          <w:rFonts w:eastAsia="Calibri"/>
        </w:rPr>
      </w:pPr>
    </w:p>
    <w:p w:rsidR="0018349F" w:rsidRPr="0018349F" w:rsidRDefault="0018349F" w:rsidP="0018349F">
      <w:pPr>
        <w:pStyle w:val="ListParagraph"/>
        <w:numPr>
          <w:ilvl w:val="0"/>
          <w:numId w:val="46"/>
        </w:numPr>
        <w:autoSpaceDE w:val="0"/>
        <w:autoSpaceDN w:val="0"/>
        <w:adjustRightInd w:val="0"/>
        <w:spacing w:before="200" w:line="276" w:lineRule="auto"/>
        <w:rPr>
          <w:rFonts w:eastAsia="Calibri"/>
        </w:rPr>
      </w:pPr>
      <w:r>
        <w:rPr>
          <w:rFonts w:eastAsia="Calibri"/>
        </w:rPr>
        <w:t xml:space="preserve">Of particular relevance in the context of the Amendment Guidelines, </w:t>
      </w:r>
      <w:proofErr w:type="spellStart"/>
      <w:r>
        <w:rPr>
          <w:rFonts w:eastAsia="Calibri"/>
        </w:rPr>
        <w:t>CERD</w:t>
      </w:r>
      <w:proofErr w:type="spellEnd"/>
      <w:r>
        <w:rPr>
          <w:rFonts w:eastAsia="Calibri"/>
        </w:rPr>
        <w:t xml:space="preserve"> establishes a general prohibition on racial discrimination. The </w:t>
      </w:r>
      <w:r>
        <w:rPr>
          <w:rFonts w:eastAsia="Calibri"/>
          <w:i/>
        </w:rPr>
        <w:t xml:space="preserve">Racial Discrimination Act 1975 </w:t>
      </w:r>
      <w:r>
        <w:rPr>
          <w:rFonts w:eastAsia="Calibri"/>
        </w:rPr>
        <w:t xml:space="preserve">implements this prohibition in Australian domestic law. </w:t>
      </w:r>
    </w:p>
    <w:p w:rsidR="00821BAF" w:rsidRPr="00821BAF" w:rsidRDefault="00821BAF" w:rsidP="00821BAF">
      <w:pPr>
        <w:pStyle w:val="ListParagraph"/>
        <w:autoSpaceDE w:val="0"/>
        <w:autoSpaceDN w:val="0"/>
        <w:adjustRightInd w:val="0"/>
        <w:spacing w:before="200" w:line="276" w:lineRule="auto"/>
        <w:ind w:left="360"/>
        <w:rPr>
          <w:rFonts w:eastAsia="Calibri"/>
          <w:i/>
          <w:iCs/>
        </w:rPr>
      </w:pPr>
    </w:p>
    <w:p w:rsidR="0018349F" w:rsidRPr="00B1431B" w:rsidRDefault="0018349F" w:rsidP="0018349F">
      <w:pPr>
        <w:pStyle w:val="ListParagraph"/>
        <w:numPr>
          <w:ilvl w:val="0"/>
          <w:numId w:val="46"/>
        </w:numPr>
        <w:autoSpaceDE w:val="0"/>
        <w:autoSpaceDN w:val="0"/>
        <w:adjustRightInd w:val="0"/>
        <w:spacing w:before="200" w:line="276" w:lineRule="auto"/>
        <w:rPr>
          <w:rFonts w:eastAsia="Calibri"/>
          <w:i/>
          <w:iCs/>
        </w:rPr>
      </w:pPr>
      <w:r>
        <w:rPr>
          <w:rFonts w:eastAsia="Calibri"/>
          <w:iCs/>
        </w:rPr>
        <w:t xml:space="preserve">In improving the administration of the </w:t>
      </w:r>
      <w:proofErr w:type="spellStart"/>
      <w:r>
        <w:rPr>
          <w:rFonts w:eastAsia="Calibri"/>
          <w:iCs/>
        </w:rPr>
        <w:t>ISSP</w:t>
      </w:r>
      <w:proofErr w:type="spellEnd"/>
      <w:r>
        <w:rPr>
          <w:rFonts w:eastAsia="Calibri"/>
          <w:iCs/>
        </w:rPr>
        <w:t xml:space="preserve"> and enhancing the capacity of higher education providers to assist Indigenous students, the Amendment Guidelines make a clear distinction based on race. </w:t>
      </w:r>
      <w:r w:rsidR="00B1431B">
        <w:rPr>
          <w:rFonts w:eastAsia="Calibri"/>
          <w:iCs/>
        </w:rPr>
        <w:t xml:space="preserve">This means that Indigenous persons will continue to be provided with a different level of assistance to access higher education than other persons. </w:t>
      </w:r>
    </w:p>
    <w:p w:rsidR="00B1431B" w:rsidRPr="00B1431B" w:rsidRDefault="00B1431B" w:rsidP="00B1431B">
      <w:pPr>
        <w:pStyle w:val="ListParagraph"/>
        <w:autoSpaceDE w:val="0"/>
        <w:autoSpaceDN w:val="0"/>
        <w:adjustRightInd w:val="0"/>
        <w:spacing w:before="200" w:line="276" w:lineRule="auto"/>
        <w:ind w:left="360"/>
        <w:rPr>
          <w:rFonts w:eastAsia="Calibri"/>
          <w:i/>
          <w:iCs/>
        </w:rPr>
      </w:pPr>
    </w:p>
    <w:p w:rsidR="00821BAF" w:rsidRPr="0083173E" w:rsidRDefault="00B1431B" w:rsidP="0083173E">
      <w:pPr>
        <w:pStyle w:val="ListParagraph"/>
        <w:numPr>
          <w:ilvl w:val="0"/>
          <w:numId w:val="46"/>
        </w:numPr>
        <w:autoSpaceDE w:val="0"/>
        <w:autoSpaceDN w:val="0"/>
        <w:adjustRightInd w:val="0"/>
        <w:spacing w:before="200" w:line="276" w:lineRule="auto"/>
        <w:rPr>
          <w:rFonts w:eastAsia="Calibri"/>
          <w:i/>
          <w:iCs/>
        </w:rPr>
      </w:pPr>
      <w:r>
        <w:rPr>
          <w:rFonts w:eastAsia="Calibri"/>
          <w:iCs/>
        </w:rPr>
        <w:t xml:space="preserve">The Amendment Guidelines may be characterised as altering and continuing an existing ‘special measure’, being the </w:t>
      </w:r>
      <w:proofErr w:type="spellStart"/>
      <w:r>
        <w:rPr>
          <w:rFonts w:eastAsia="Calibri"/>
          <w:iCs/>
        </w:rPr>
        <w:t>ISSP</w:t>
      </w:r>
      <w:proofErr w:type="spellEnd"/>
      <w:r>
        <w:rPr>
          <w:rFonts w:eastAsia="Calibri"/>
          <w:iCs/>
        </w:rPr>
        <w:t xml:space="preserve"> as implemented under the Guidelines. ‘Special measures’ are provided for in article 1(4) of the </w:t>
      </w:r>
      <w:proofErr w:type="spellStart"/>
      <w:r>
        <w:rPr>
          <w:rFonts w:eastAsia="Calibri"/>
          <w:iCs/>
        </w:rPr>
        <w:t>CERD</w:t>
      </w:r>
      <w:proofErr w:type="spellEnd"/>
      <w:r>
        <w:rPr>
          <w:rFonts w:eastAsia="Calibri"/>
          <w:iCs/>
        </w:rPr>
        <w:t xml:space="preserve"> and subsection 8(1) of the </w:t>
      </w:r>
      <w:r>
        <w:rPr>
          <w:rFonts w:eastAsia="Calibri"/>
          <w:i/>
          <w:iCs/>
        </w:rPr>
        <w:t>Racial Discrimination Act 1975</w:t>
      </w:r>
      <w:r>
        <w:rPr>
          <w:rFonts w:eastAsia="Calibri"/>
          <w:iCs/>
        </w:rPr>
        <w:t xml:space="preserve">. They are an exception to the general prohibition on racial discrimination, and are designed to ‘secure to disadvantaged groups the full and equal enjoyment of human rights and fundamental freedoms.’ </w:t>
      </w:r>
      <w:r w:rsidR="00821BAF">
        <w:rPr>
          <w:rFonts w:eastAsia="Calibri"/>
          <w:iCs/>
        </w:rPr>
        <w:t xml:space="preserve">For a measure to be characterised as a ‘special measure’ it must: </w:t>
      </w:r>
    </w:p>
    <w:p w:rsidR="009A5FC6" w:rsidRPr="008B1D85" w:rsidRDefault="00D53D1A" w:rsidP="008B1D85">
      <w:pPr>
        <w:numPr>
          <w:ilvl w:val="0"/>
          <w:numId w:val="32"/>
        </w:numPr>
        <w:spacing w:before="200" w:line="276" w:lineRule="auto"/>
        <w:rPr>
          <w:szCs w:val="24"/>
        </w:rPr>
      </w:pPr>
      <w:r>
        <w:rPr>
          <w:szCs w:val="24"/>
        </w:rPr>
        <w:t>b</w:t>
      </w:r>
      <w:r w:rsidRPr="008B1D85">
        <w:rPr>
          <w:szCs w:val="24"/>
        </w:rPr>
        <w:t xml:space="preserve">e </w:t>
      </w:r>
      <w:r w:rsidR="009A5FC6" w:rsidRPr="008B1D85">
        <w:rPr>
          <w:szCs w:val="24"/>
        </w:rPr>
        <w:t xml:space="preserve">for a particular group or individuals; </w:t>
      </w:r>
    </w:p>
    <w:p w:rsidR="009A5FC6" w:rsidRPr="008B1D85" w:rsidRDefault="00D53D1A" w:rsidP="008B1D85">
      <w:pPr>
        <w:numPr>
          <w:ilvl w:val="0"/>
          <w:numId w:val="32"/>
        </w:numPr>
        <w:spacing w:before="200" w:line="276" w:lineRule="auto"/>
        <w:rPr>
          <w:szCs w:val="24"/>
          <w:lang w:val="en-US"/>
        </w:rPr>
      </w:pPr>
      <w:r>
        <w:rPr>
          <w:szCs w:val="24"/>
        </w:rPr>
        <w:t>b</w:t>
      </w:r>
      <w:r w:rsidRPr="008B1D85">
        <w:rPr>
          <w:szCs w:val="24"/>
        </w:rPr>
        <w:t xml:space="preserve">e </w:t>
      </w:r>
      <w:r w:rsidR="009A5FC6" w:rsidRPr="008B1D85">
        <w:rPr>
          <w:szCs w:val="24"/>
        </w:rPr>
        <w:t xml:space="preserve">taken for the sole purpose of securing the adequate advancement of those groups or individuals; </w:t>
      </w:r>
    </w:p>
    <w:p w:rsidR="009A5FC6" w:rsidRPr="008B1D85" w:rsidRDefault="00D53D1A" w:rsidP="008B1D85">
      <w:pPr>
        <w:numPr>
          <w:ilvl w:val="0"/>
          <w:numId w:val="32"/>
        </w:numPr>
        <w:spacing w:before="200" w:line="276" w:lineRule="auto"/>
        <w:rPr>
          <w:szCs w:val="24"/>
          <w:lang w:val="en-US"/>
        </w:rPr>
      </w:pPr>
      <w:r>
        <w:rPr>
          <w:szCs w:val="24"/>
        </w:rPr>
        <w:t>b</w:t>
      </w:r>
      <w:r w:rsidRPr="008B1D85">
        <w:rPr>
          <w:szCs w:val="24"/>
        </w:rPr>
        <w:t xml:space="preserve">e </w:t>
      </w:r>
      <w:r w:rsidR="009A5FC6" w:rsidRPr="008B1D85">
        <w:rPr>
          <w:szCs w:val="24"/>
        </w:rPr>
        <w:t>‘necessary’; and</w:t>
      </w:r>
    </w:p>
    <w:p w:rsidR="009A5FC6" w:rsidRPr="008B1D85" w:rsidRDefault="00D53D1A" w:rsidP="008B1D85">
      <w:pPr>
        <w:numPr>
          <w:ilvl w:val="0"/>
          <w:numId w:val="32"/>
        </w:numPr>
        <w:spacing w:before="200" w:line="276" w:lineRule="auto"/>
        <w:rPr>
          <w:szCs w:val="24"/>
          <w:lang w:val="en-US"/>
        </w:rPr>
      </w:pPr>
      <w:proofErr w:type="gramStart"/>
      <w:r>
        <w:rPr>
          <w:szCs w:val="24"/>
        </w:rPr>
        <w:lastRenderedPageBreak/>
        <w:t>n</w:t>
      </w:r>
      <w:r w:rsidRPr="008B1D85">
        <w:rPr>
          <w:szCs w:val="24"/>
        </w:rPr>
        <w:t>ot</w:t>
      </w:r>
      <w:proofErr w:type="gramEnd"/>
      <w:r w:rsidRPr="008B1D85">
        <w:rPr>
          <w:szCs w:val="24"/>
        </w:rPr>
        <w:t xml:space="preserve"> </w:t>
      </w:r>
      <w:r w:rsidR="009A5FC6" w:rsidRPr="008B1D85">
        <w:rPr>
          <w:szCs w:val="24"/>
        </w:rPr>
        <w:t>continue after its objectives have been achieved.</w:t>
      </w:r>
    </w:p>
    <w:p w:rsidR="00821BAF" w:rsidRPr="00821BAF" w:rsidRDefault="0018349F" w:rsidP="008B1D85">
      <w:pPr>
        <w:pStyle w:val="ListParagraph"/>
        <w:numPr>
          <w:ilvl w:val="0"/>
          <w:numId w:val="46"/>
        </w:numPr>
        <w:autoSpaceDE w:val="0"/>
        <w:autoSpaceDN w:val="0"/>
        <w:adjustRightInd w:val="0"/>
        <w:spacing w:before="200" w:line="276" w:lineRule="auto"/>
        <w:rPr>
          <w:iCs/>
        </w:rPr>
      </w:pPr>
      <w:r w:rsidRPr="00821BAF">
        <w:rPr>
          <w:iCs/>
        </w:rPr>
        <w:t xml:space="preserve">The Amendment Guidelines will make changes to the administration of the </w:t>
      </w:r>
      <w:proofErr w:type="spellStart"/>
      <w:r w:rsidRPr="00821BAF">
        <w:rPr>
          <w:iCs/>
        </w:rPr>
        <w:t>ISSP</w:t>
      </w:r>
      <w:proofErr w:type="spellEnd"/>
      <w:r w:rsidRPr="00821BAF">
        <w:rPr>
          <w:iCs/>
        </w:rPr>
        <w:t xml:space="preserve">. The </w:t>
      </w:r>
      <w:proofErr w:type="spellStart"/>
      <w:r w:rsidRPr="00821BAF">
        <w:rPr>
          <w:iCs/>
        </w:rPr>
        <w:t>ISSP</w:t>
      </w:r>
      <w:proofErr w:type="spellEnd"/>
      <w:r w:rsidR="00FB4C11" w:rsidRPr="00821BAF">
        <w:rPr>
          <w:iCs/>
        </w:rPr>
        <w:t xml:space="preserve"> provide</w:t>
      </w:r>
      <w:r w:rsidRPr="00821BAF">
        <w:rPr>
          <w:iCs/>
        </w:rPr>
        <w:t>s</w:t>
      </w:r>
      <w:r w:rsidR="00FB4C11" w:rsidRPr="00821BAF">
        <w:rPr>
          <w:iCs/>
        </w:rPr>
        <w:t xml:space="preserve"> for</w:t>
      </w:r>
      <w:r w:rsidR="009A5FC6" w:rsidRPr="00821BAF">
        <w:t xml:space="preserve"> grants to higher education providers </w:t>
      </w:r>
      <w:r w:rsidR="00821BAF">
        <w:t xml:space="preserve">specifically </w:t>
      </w:r>
      <w:r w:rsidR="009A5FC6" w:rsidRPr="00821BAF">
        <w:t xml:space="preserve">to </w:t>
      </w:r>
      <w:r w:rsidRPr="00821BAF">
        <w:t>assist</w:t>
      </w:r>
      <w:r w:rsidR="009A5FC6" w:rsidRPr="00821BAF">
        <w:t xml:space="preserve"> Indigenous students.</w:t>
      </w:r>
      <w:r w:rsidR="00821BAF">
        <w:t xml:space="preserve"> </w:t>
      </w:r>
    </w:p>
    <w:p w:rsidR="00821BAF" w:rsidRPr="00821BAF" w:rsidRDefault="00821BAF" w:rsidP="00821BAF">
      <w:pPr>
        <w:pStyle w:val="ListParagraph"/>
        <w:autoSpaceDE w:val="0"/>
        <w:autoSpaceDN w:val="0"/>
        <w:adjustRightInd w:val="0"/>
        <w:spacing w:before="200" w:line="276" w:lineRule="auto"/>
        <w:ind w:left="360"/>
        <w:rPr>
          <w:iCs/>
        </w:rPr>
      </w:pPr>
    </w:p>
    <w:p w:rsidR="009A5FC6" w:rsidRPr="00821BAF" w:rsidRDefault="009A5FC6" w:rsidP="008B1D85">
      <w:pPr>
        <w:pStyle w:val="ListParagraph"/>
        <w:numPr>
          <w:ilvl w:val="0"/>
          <w:numId w:val="46"/>
        </w:numPr>
        <w:autoSpaceDE w:val="0"/>
        <w:autoSpaceDN w:val="0"/>
        <w:adjustRightInd w:val="0"/>
        <w:spacing w:before="200" w:line="276" w:lineRule="auto"/>
        <w:rPr>
          <w:iCs/>
        </w:rPr>
      </w:pPr>
      <w:r w:rsidRPr="00821BAF">
        <w:rPr>
          <w:color w:val="111111"/>
        </w:rPr>
        <w:t>The United Nations Committee on Economic Social and Cultural Rights has expressed concern about disparities in access to the educational system for Indigenous peoples, including those living in remote areas, compared with the rest of the population, as well as the deficient quality of education provided to persons living in remote areas, in particular Indigenous peoples.</w:t>
      </w:r>
      <w:r w:rsidRPr="008B1D85">
        <w:rPr>
          <w:vertAlign w:val="superscript"/>
        </w:rPr>
        <w:footnoteReference w:id="3"/>
      </w:r>
      <w:r w:rsidRPr="00821BAF">
        <w:rPr>
          <w:rFonts w:eastAsia="Calibri"/>
        </w:rPr>
        <w:t xml:space="preserve"> </w:t>
      </w:r>
      <w:r w:rsidR="00821BAF">
        <w:rPr>
          <w:iCs/>
        </w:rPr>
        <w:t>Current data</w:t>
      </w:r>
      <w:r w:rsidR="00FB4C11" w:rsidRPr="00821BAF">
        <w:rPr>
          <w:iCs/>
        </w:rPr>
        <w:t xml:space="preserve"> indicates that in Australia Indigenous peoples do not access or complete higher education at a rate equivalent to non-Indigenous peoples.</w:t>
      </w:r>
    </w:p>
    <w:p w:rsidR="00821BAF" w:rsidRPr="00821BAF" w:rsidRDefault="00821BAF" w:rsidP="00821BAF">
      <w:pPr>
        <w:pStyle w:val="ListParagraph"/>
        <w:autoSpaceDE w:val="0"/>
        <w:autoSpaceDN w:val="0"/>
        <w:adjustRightInd w:val="0"/>
        <w:spacing w:before="200" w:line="276" w:lineRule="auto"/>
        <w:ind w:left="360"/>
        <w:rPr>
          <w:rFonts w:eastAsia="Calibri"/>
          <w:iCs/>
        </w:rPr>
      </w:pPr>
    </w:p>
    <w:p w:rsidR="009A5FC6" w:rsidRPr="00821BAF" w:rsidRDefault="00821BAF" w:rsidP="00821BAF">
      <w:pPr>
        <w:pStyle w:val="ListParagraph"/>
        <w:numPr>
          <w:ilvl w:val="0"/>
          <w:numId w:val="46"/>
        </w:numPr>
        <w:autoSpaceDE w:val="0"/>
        <w:autoSpaceDN w:val="0"/>
        <w:adjustRightInd w:val="0"/>
        <w:spacing w:before="200" w:line="276" w:lineRule="auto"/>
        <w:rPr>
          <w:rFonts w:eastAsia="Calibri"/>
          <w:iCs/>
        </w:rPr>
      </w:pPr>
      <w:r>
        <w:rPr>
          <w:rFonts w:eastAsia="Calibri"/>
        </w:rPr>
        <w:t xml:space="preserve">The </w:t>
      </w:r>
      <w:r w:rsidR="00AF203F">
        <w:rPr>
          <w:rFonts w:eastAsia="Calibri"/>
        </w:rPr>
        <w:t>purpose of the G</w:t>
      </w:r>
      <w:r>
        <w:rPr>
          <w:rFonts w:eastAsia="Calibri"/>
        </w:rPr>
        <w:t>uidelines</w:t>
      </w:r>
      <w:r w:rsidR="00AF203F">
        <w:rPr>
          <w:rFonts w:eastAsia="Calibri"/>
        </w:rPr>
        <w:t xml:space="preserve"> is to</w:t>
      </w:r>
      <w:r>
        <w:rPr>
          <w:rFonts w:eastAsia="Calibri"/>
        </w:rPr>
        <w:t xml:space="preserve"> improve the provision of</w:t>
      </w:r>
      <w:r w:rsidR="009A5FC6" w:rsidRPr="00821BAF">
        <w:rPr>
          <w:rFonts w:eastAsia="Calibri"/>
        </w:rPr>
        <w:t xml:space="preserve"> targeted as</w:t>
      </w:r>
      <w:r w:rsidR="00AF203F">
        <w:rPr>
          <w:rFonts w:eastAsia="Calibri"/>
        </w:rPr>
        <w:t xml:space="preserve">sistance to Indigenous students. The Amendment Guidelines enhance the capacity of higher education providers to assist Indigenous students </w:t>
      </w:r>
      <w:r w:rsidR="009A5FC6" w:rsidRPr="00821BAF">
        <w:rPr>
          <w:rFonts w:eastAsia="Calibri"/>
        </w:rPr>
        <w:t>to better access, progress in and complete higher education</w:t>
      </w:r>
      <w:r w:rsidR="00AF203F">
        <w:rPr>
          <w:rFonts w:eastAsia="Calibri"/>
        </w:rPr>
        <w:t xml:space="preserve"> awards. Therefore, the Amendment Guidelines provide further measures</w:t>
      </w:r>
      <w:r w:rsidR="009A5FC6" w:rsidRPr="00821BAF">
        <w:rPr>
          <w:rFonts w:eastAsia="Calibri"/>
        </w:rPr>
        <w:t xml:space="preserve"> to address the disparity in access to, and completion of, higher education </w:t>
      </w:r>
      <w:r w:rsidR="00D53D1A">
        <w:rPr>
          <w:rFonts w:eastAsia="Calibri"/>
        </w:rPr>
        <w:t>that</w:t>
      </w:r>
      <w:r w:rsidR="00D53D1A" w:rsidRPr="00821BAF">
        <w:rPr>
          <w:rFonts w:eastAsia="Calibri"/>
        </w:rPr>
        <w:t xml:space="preserve"> </w:t>
      </w:r>
      <w:r w:rsidR="009A5FC6" w:rsidRPr="00821BAF">
        <w:rPr>
          <w:rFonts w:eastAsia="Calibri"/>
        </w:rPr>
        <w:t xml:space="preserve">exists between Indigenous persons and other persons. </w:t>
      </w:r>
    </w:p>
    <w:p w:rsidR="00821BAF" w:rsidRDefault="00821BAF" w:rsidP="00821BAF">
      <w:pPr>
        <w:pStyle w:val="ListParagraph"/>
        <w:spacing w:before="200" w:line="276" w:lineRule="auto"/>
        <w:ind w:left="360"/>
        <w:rPr>
          <w:rFonts w:eastAsia="Calibri"/>
          <w:iCs/>
        </w:rPr>
      </w:pPr>
    </w:p>
    <w:p w:rsidR="0095390F" w:rsidRPr="00AF203F" w:rsidRDefault="009A5FC6" w:rsidP="00BF26B7">
      <w:pPr>
        <w:pStyle w:val="ListParagraph"/>
        <w:numPr>
          <w:ilvl w:val="0"/>
          <w:numId w:val="46"/>
        </w:numPr>
        <w:autoSpaceDE w:val="0"/>
        <w:autoSpaceDN w:val="0"/>
        <w:adjustRightInd w:val="0"/>
        <w:spacing w:before="200" w:line="276" w:lineRule="auto"/>
        <w:rPr>
          <w:rFonts w:eastAsia="Calibri"/>
          <w:iCs/>
        </w:rPr>
      </w:pPr>
      <w:r w:rsidRPr="00AF203F">
        <w:rPr>
          <w:rFonts w:eastAsia="Calibri"/>
          <w:iCs/>
        </w:rPr>
        <w:t xml:space="preserve">These measures are reasonably necessary to secure the equal enjoyment of the right to education and the right </w:t>
      </w:r>
      <w:r w:rsidR="00D53D1A">
        <w:rPr>
          <w:rFonts w:eastAsia="Calibri"/>
          <w:iCs/>
        </w:rPr>
        <w:t>to</w:t>
      </w:r>
      <w:r w:rsidR="00D53D1A" w:rsidRPr="00AF203F">
        <w:rPr>
          <w:rFonts w:eastAsia="Calibri"/>
          <w:iCs/>
        </w:rPr>
        <w:t xml:space="preserve"> </w:t>
      </w:r>
      <w:r w:rsidRPr="00AF203F">
        <w:rPr>
          <w:rFonts w:eastAsia="Calibri"/>
          <w:iCs/>
        </w:rPr>
        <w:t xml:space="preserve">equality and non-discrimination by Indigenous persons. Although the number of Indigenous persons accessing higher education is increasing, the arrangements provided for in </w:t>
      </w:r>
      <w:r w:rsidR="0095390F" w:rsidRPr="00AF203F">
        <w:rPr>
          <w:rFonts w:eastAsia="Calibri"/>
          <w:iCs/>
        </w:rPr>
        <w:t>Part 2-2A of the Act and the</w:t>
      </w:r>
      <w:r w:rsidR="00FB19CE" w:rsidRPr="00AF203F">
        <w:rPr>
          <w:rFonts w:eastAsia="Calibri"/>
          <w:iCs/>
        </w:rPr>
        <w:t xml:space="preserve"> Guidelines</w:t>
      </w:r>
      <w:r w:rsidRPr="00AF203F">
        <w:rPr>
          <w:rFonts w:eastAsia="Calibri"/>
          <w:iCs/>
        </w:rPr>
        <w:t xml:space="preserve"> </w:t>
      </w:r>
      <w:r w:rsidR="0095390F" w:rsidRPr="00AF203F">
        <w:rPr>
          <w:rFonts w:eastAsia="Calibri"/>
          <w:iCs/>
        </w:rPr>
        <w:t>remain</w:t>
      </w:r>
      <w:r w:rsidRPr="00AF203F">
        <w:rPr>
          <w:rFonts w:eastAsia="Calibri"/>
          <w:iCs/>
        </w:rPr>
        <w:t xml:space="preserve"> necessary to capitalise on improvements in Indigenous access to higher education and ensure students are not only enrolling</w:t>
      </w:r>
      <w:r w:rsidR="00D53D1A">
        <w:rPr>
          <w:rFonts w:eastAsia="Calibri"/>
          <w:iCs/>
        </w:rPr>
        <w:t xml:space="preserve"> in</w:t>
      </w:r>
      <w:r w:rsidRPr="00AF203F">
        <w:rPr>
          <w:rFonts w:eastAsia="Calibri"/>
          <w:iCs/>
        </w:rPr>
        <w:t xml:space="preserve">, but also progressing </w:t>
      </w:r>
      <w:r w:rsidR="00D53D1A">
        <w:rPr>
          <w:rFonts w:eastAsia="Calibri"/>
          <w:iCs/>
        </w:rPr>
        <w:t xml:space="preserve">in </w:t>
      </w:r>
      <w:r w:rsidRPr="00AF203F">
        <w:rPr>
          <w:rFonts w:eastAsia="Calibri"/>
          <w:iCs/>
        </w:rPr>
        <w:t xml:space="preserve">and completing university awards, in greater numbers.  </w:t>
      </w:r>
    </w:p>
    <w:p w:rsidR="0095390F" w:rsidRPr="0095390F" w:rsidRDefault="0095390F" w:rsidP="0095390F">
      <w:pPr>
        <w:pStyle w:val="ListParagraph"/>
        <w:rPr>
          <w:rFonts w:eastAsia="Calibri"/>
          <w:iCs/>
        </w:rPr>
      </w:pPr>
    </w:p>
    <w:p w:rsidR="0095390F" w:rsidRDefault="00FB19CE" w:rsidP="00803A54">
      <w:pPr>
        <w:pStyle w:val="ListParagraph"/>
        <w:numPr>
          <w:ilvl w:val="0"/>
          <w:numId w:val="46"/>
        </w:numPr>
        <w:autoSpaceDE w:val="0"/>
        <w:autoSpaceDN w:val="0"/>
        <w:adjustRightInd w:val="0"/>
        <w:spacing w:before="200" w:line="276" w:lineRule="auto"/>
        <w:rPr>
          <w:rFonts w:eastAsia="Calibri"/>
          <w:iCs/>
        </w:rPr>
      </w:pPr>
      <w:r w:rsidRPr="0095390F">
        <w:rPr>
          <w:rFonts w:eastAsia="Calibri"/>
          <w:iCs/>
        </w:rPr>
        <w:t>The</w:t>
      </w:r>
      <w:r w:rsidR="009A5FC6" w:rsidRPr="0095390F">
        <w:rPr>
          <w:rFonts w:eastAsia="Calibri"/>
          <w:iCs/>
        </w:rPr>
        <w:t xml:space="preserve"> arrangements </w:t>
      </w:r>
      <w:r w:rsidR="0095390F" w:rsidRPr="0095390F">
        <w:rPr>
          <w:rFonts w:eastAsia="Calibri"/>
          <w:iCs/>
        </w:rPr>
        <w:t xml:space="preserve">for the </w:t>
      </w:r>
      <w:proofErr w:type="spellStart"/>
      <w:r w:rsidR="0095390F" w:rsidRPr="0095390F">
        <w:rPr>
          <w:rFonts w:eastAsia="Calibri"/>
          <w:iCs/>
        </w:rPr>
        <w:t>ISSP</w:t>
      </w:r>
      <w:proofErr w:type="spellEnd"/>
      <w:r w:rsidR="0095390F" w:rsidRPr="0095390F">
        <w:rPr>
          <w:rFonts w:eastAsia="Calibri"/>
          <w:iCs/>
        </w:rPr>
        <w:t xml:space="preserve"> and the improvements in the Amendment Guidelines </w:t>
      </w:r>
      <w:r w:rsidR="009A5FC6" w:rsidRPr="0095390F">
        <w:rPr>
          <w:rFonts w:eastAsia="Calibri"/>
          <w:iCs/>
        </w:rPr>
        <w:t>are appropriate, adapted and proportionate</w:t>
      </w:r>
      <w:r w:rsidR="0095390F">
        <w:rPr>
          <w:rFonts w:eastAsia="Calibri"/>
          <w:iCs/>
        </w:rPr>
        <w:t xml:space="preserve">, as they </w:t>
      </w:r>
      <w:r w:rsidR="00195EA4">
        <w:rPr>
          <w:rFonts w:eastAsia="Calibri"/>
          <w:iCs/>
        </w:rPr>
        <w:t xml:space="preserve">improve the administration of the </w:t>
      </w:r>
      <w:proofErr w:type="spellStart"/>
      <w:r w:rsidR="00195EA4">
        <w:rPr>
          <w:rFonts w:eastAsia="Calibri"/>
          <w:iCs/>
        </w:rPr>
        <w:t>ISSP</w:t>
      </w:r>
      <w:proofErr w:type="spellEnd"/>
      <w:r w:rsidR="00195EA4">
        <w:rPr>
          <w:rFonts w:eastAsia="Calibri"/>
          <w:iCs/>
        </w:rPr>
        <w:t xml:space="preserve"> and enhance the capacity of higher education providers to assist Indigenous students in recognition of an identified need and with minimal impact on other persons. </w:t>
      </w:r>
    </w:p>
    <w:p w:rsidR="00195EA4" w:rsidRPr="00195EA4" w:rsidRDefault="00195EA4" w:rsidP="00195EA4">
      <w:pPr>
        <w:pStyle w:val="ListParagraph"/>
        <w:rPr>
          <w:rFonts w:eastAsia="Calibri"/>
          <w:iCs/>
        </w:rPr>
      </w:pPr>
    </w:p>
    <w:p w:rsidR="00346A5B" w:rsidRDefault="00346A5B" w:rsidP="00803A54">
      <w:pPr>
        <w:pStyle w:val="ListParagraph"/>
        <w:numPr>
          <w:ilvl w:val="0"/>
          <w:numId w:val="46"/>
        </w:numPr>
        <w:autoSpaceDE w:val="0"/>
        <w:autoSpaceDN w:val="0"/>
        <w:adjustRightInd w:val="0"/>
        <w:spacing w:before="200" w:line="276" w:lineRule="auto"/>
        <w:rPr>
          <w:rFonts w:eastAsia="Calibri"/>
          <w:iCs/>
        </w:rPr>
      </w:pPr>
      <w:r>
        <w:rPr>
          <w:rFonts w:eastAsia="Calibri"/>
          <w:iCs/>
        </w:rPr>
        <w:t xml:space="preserve">In administering the </w:t>
      </w:r>
      <w:r w:rsidRPr="00346A5B">
        <w:rPr>
          <w:rFonts w:eastAsia="Calibri"/>
          <w:iCs/>
        </w:rPr>
        <w:t>Guidelines</w:t>
      </w:r>
      <w:r>
        <w:rPr>
          <w:rFonts w:eastAsia="Calibri"/>
          <w:iCs/>
        </w:rPr>
        <w:t xml:space="preserve">, the Commonwealth will continually monitor how higher education providers engage with the measures in the Amendment Guidelines. </w:t>
      </w:r>
      <w:r w:rsidRPr="00346A5B">
        <w:rPr>
          <w:rFonts w:eastAsia="Calibri"/>
          <w:iCs/>
        </w:rPr>
        <w:t>This will ensure that there will be a continual evaluation of the</w:t>
      </w:r>
      <w:r>
        <w:rPr>
          <w:rFonts w:eastAsia="Calibri"/>
          <w:iCs/>
        </w:rPr>
        <w:t xml:space="preserve"> new measures, and the</w:t>
      </w:r>
      <w:r w:rsidRPr="00346A5B">
        <w:rPr>
          <w:rFonts w:eastAsia="Calibri"/>
          <w:iCs/>
        </w:rPr>
        <w:t xml:space="preserve"> level of assistance that needs to be provided until the objective</w:t>
      </w:r>
      <w:r w:rsidR="00D53D1A">
        <w:rPr>
          <w:rFonts w:eastAsia="Calibri"/>
          <w:iCs/>
        </w:rPr>
        <w:t>s</w:t>
      </w:r>
      <w:r w:rsidRPr="00346A5B">
        <w:rPr>
          <w:rFonts w:eastAsia="Calibri"/>
          <w:iCs/>
        </w:rPr>
        <w:t xml:space="preserve"> of the measures are achieved.</w:t>
      </w:r>
    </w:p>
    <w:p w:rsidR="00346A5B" w:rsidRPr="00346A5B" w:rsidRDefault="00346A5B" w:rsidP="00346A5B">
      <w:pPr>
        <w:pStyle w:val="ListParagraph"/>
        <w:rPr>
          <w:rFonts w:eastAsia="Calibri"/>
          <w:iCs/>
        </w:rPr>
      </w:pPr>
    </w:p>
    <w:p w:rsidR="00195EA4" w:rsidRDefault="00195EA4" w:rsidP="00803A54">
      <w:pPr>
        <w:pStyle w:val="ListParagraph"/>
        <w:numPr>
          <w:ilvl w:val="0"/>
          <w:numId w:val="46"/>
        </w:numPr>
        <w:autoSpaceDE w:val="0"/>
        <w:autoSpaceDN w:val="0"/>
        <w:adjustRightInd w:val="0"/>
        <w:spacing w:before="200" w:line="276" w:lineRule="auto"/>
        <w:rPr>
          <w:rFonts w:eastAsia="Calibri"/>
          <w:iCs/>
        </w:rPr>
      </w:pPr>
      <w:r>
        <w:rPr>
          <w:rFonts w:eastAsia="Calibri"/>
          <w:iCs/>
        </w:rPr>
        <w:t>The Guidelines and the Amendment Guidelines may also be regarded as legitimate differential treatment. The principle of legitimate differential treatment allows countries to treat particular groups differently, provided particular criteria are met. The justification for differentiation must be reasonable and objective. There must also be a clear and reasonable relationship of proportionality between the aim sought and its effects.</w:t>
      </w:r>
      <w:r>
        <w:rPr>
          <w:rStyle w:val="FootnoteReference"/>
          <w:rFonts w:eastAsia="Calibri"/>
          <w:iCs/>
        </w:rPr>
        <w:footnoteReference w:id="4"/>
      </w:r>
      <w:r>
        <w:rPr>
          <w:rFonts w:eastAsia="Calibri"/>
          <w:iCs/>
        </w:rPr>
        <w:t xml:space="preserve"> </w:t>
      </w:r>
    </w:p>
    <w:p w:rsidR="00195EA4" w:rsidRPr="00195EA4" w:rsidRDefault="00195EA4" w:rsidP="00195EA4">
      <w:pPr>
        <w:pStyle w:val="ListParagraph"/>
        <w:rPr>
          <w:rFonts w:eastAsia="Calibri"/>
          <w:iCs/>
        </w:rPr>
      </w:pPr>
    </w:p>
    <w:p w:rsidR="00195EA4" w:rsidRDefault="00195EA4" w:rsidP="00803A54">
      <w:pPr>
        <w:pStyle w:val="ListParagraph"/>
        <w:numPr>
          <w:ilvl w:val="0"/>
          <w:numId w:val="46"/>
        </w:numPr>
        <w:autoSpaceDE w:val="0"/>
        <w:autoSpaceDN w:val="0"/>
        <w:adjustRightInd w:val="0"/>
        <w:spacing w:before="200" w:line="276" w:lineRule="auto"/>
        <w:rPr>
          <w:rFonts w:eastAsia="Calibri"/>
          <w:iCs/>
        </w:rPr>
      </w:pPr>
      <w:r>
        <w:rPr>
          <w:rFonts w:eastAsia="Calibri"/>
          <w:iCs/>
        </w:rPr>
        <w:t xml:space="preserve">The rationale for the </w:t>
      </w:r>
      <w:proofErr w:type="spellStart"/>
      <w:r>
        <w:rPr>
          <w:rFonts w:eastAsia="Calibri"/>
          <w:iCs/>
        </w:rPr>
        <w:t>ISSP</w:t>
      </w:r>
      <w:proofErr w:type="spellEnd"/>
      <w:r>
        <w:rPr>
          <w:rFonts w:eastAsia="Calibri"/>
          <w:iCs/>
        </w:rPr>
        <w:t xml:space="preserve"> is to assist Indigenous students to access or complete higher education at a rate equivalent to non-Indigenous peoples. Implementation of arrangements for this purpose has minimal impact on other persons. </w:t>
      </w:r>
    </w:p>
    <w:p w:rsidR="00195EA4" w:rsidRPr="00195EA4" w:rsidRDefault="00195EA4" w:rsidP="00195EA4">
      <w:pPr>
        <w:pStyle w:val="ListParagraph"/>
        <w:rPr>
          <w:rFonts w:eastAsia="Calibri"/>
          <w:iCs/>
        </w:rPr>
      </w:pPr>
    </w:p>
    <w:p w:rsidR="00195EA4" w:rsidRDefault="00195EA4" w:rsidP="00803A54">
      <w:pPr>
        <w:pStyle w:val="ListParagraph"/>
        <w:numPr>
          <w:ilvl w:val="0"/>
          <w:numId w:val="46"/>
        </w:numPr>
        <w:autoSpaceDE w:val="0"/>
        <w:autoSpaceDN w:val="0"/>
        <w:adjustRightInd w:val="0"/>
        <w:spacing w:before="200" w:line="276" w:lineRule="auto"/>
        <w:rPr>
          <w:rFonts w:eastAsia="Calibri"/>
          <w:iCs/>
        </w:rPr>
      </w:pPr>
      <w:r>
        <w:rPr>
          <w:rFonts w:eastAsia="Calibri"/>
          <w:iCs/>
        </w:rPr>
        <w:t>The Amendment Guidelines engage rights to equality and non-discrimination</w:t>
      </w:r>
      <w:r w:rsidRPr="00195EA4">
        <w:rPr>
          <w:rFonts w:eastAsia="Calibri"/>
          <w:iCs/>
        </w:rPr>
        <w:t xml:space="preserve"> </w:t>
      </w:r>
      <w:r>
        <w:rPr>
          <w:rFonts w:eastAsia="Calibri"/>
          <w:iCs/>
        </w:rPr>
        <w:t>by altering and continuing an existing ‘special measure</w:t>
      </w:r>
      <w:r w:rsidR="00346A5B">
        <w:rPr>
          <w:rFonts w:eastAsia="Calibri"/>
          <w:iCs/>
        </w:rPr>
        <w:t>’</w:t>
      </w:r>
      <w:r>
        <w:rPr>
          <w:rFonts w:eastAsia="Calibri"/>
          <w:iCs/>
        </w:rPr>
        <w:t xml:space="preserve">, and arrangements that may be regarded as legitimate differential treatment. </w:t>
      </w:r>
    </w:p>
    <w:p w:rsidR="00195EA4" w:rsidRPr="00195EA4" w:rsidRDefault="00195EA4" w:rsidP="00195EA4">
      <w:pPr>
        <w:pStyle w:val="ListParagraph"/>
        <w:rPr>
          <w:rFonts w:eastAsia="Calibri"/>
          <w:iCs/>
        </w:rPr>
      </w:pPr>
    </w:p>
    <w:p w:rsidR="00041555" w:rsidRDefault="008A04CE" w:rsidP="008B1D85">
      <w:pPr>
        <w:pStyle w:val="paragraph"/>
        <w:spacing w:before="200" w:line="276" w:lineRule="auto"/>
        <w:ind w:left="0" w:firstLine="0"/>
        <w:rPr>
          <w:rFonts w:eastAsiaTheme="minorHAnsi"/>
          <w:b/>
          <w:i/>
          <w:sz w:val="24"/>
          <w:szCs w:val="24"/>
          <w:lang w:eastAsia="en-US"/>
        </w:rPr>
      </w:pPr>
      <w:r w:rsidRPr="002D0605">
        <w:rPr>
          <w:rFonts w:eastAsiaTheme="minorHAnsi"/>
          <w:b/>
          <w:i/>
          <w:sz w:val="24"/>
          <w:szCs w:val="24"/>
          <w:lang w:eastAsia="en-US"/>
        </w:rPr>
        <w:t>Conclusion</w:t>
      </w:r>
      <w:bookmarkStart w:id="1" w:name="art12"/>
      <w:bookmarkEnd w:id="1"/>
    </w:p>
    <w:p w:rsidR="00FB19CE" w:rsidRDefault="00195EA4" w:rsidP="008B1D85">
      <w:pPr>
        <w:pStyle w:val="paragraph"/>
        <w:spacing w:before="200" w:line="276" w:lineRule="auto"/>
        <w:ind w:left="0" w:firstLine="0"/>
        <w:rPr>
          <w:sz w:val="24"/>
          <w:szCs w:val="24"/>
        </w:rPr>
      </w:pPr>
      <w:r>
        <w:rPr>
          <w:sz w:val="24"/>
          <w:szCs w:val="24"/>
        </w:rPr>
        <w:t>The Amendment Guidelines are compatible with human rights</w:t>
      </w:r>
      <w:r w:rsidR="00710D41">
        <w:rPr>
          <w:sz w:val="24"/>
          <w:szCs w:val="24"/>
        </w:rPr>
        <w:t>.</w:t>
      </w:r>
      <w:r>
        <w:rPr>
          <w:sz w:val="24"/>
          <w:szCs w:val="24"/>
        </w:rPr>
        <w:t xml:space="preserve"> </w:t>
      </w:r>
      <w:r w:rsidR="00710D41">
        <w:rPr>
          <w:sz w:val="24"/>
          <w:szCs w:val="24"/>
        </w:rPr>
        <w:t>This is because they</w:t>
      </w:r>
      <w:r>
        <w:rPr>
          <w:sz w:val="24"/>
          <w:szCs w:val="24"/>
        </w:rPr>
        <w:t xml:space="preserve"> advance the right to education</w:t>
      </w:r>
      <w:r w:rsidR="00710D41">
        <w:rPr>
          <w:sz w:val="24"/>
          <w:szCs w:val="24"/>
        </w:rPr>
        <w:t xml:space="preserve">; </w:t>
      </w:r>
      <w:r>
        <w:rPr>
          <w:sz w:val="24"/>
          <w:szCs w:val="24"/>
        </w:rPr>
        <w:t xml:space="preserve">engage </w:t>
      </w:r>
      <w:r w:rsidR="00710D41">
        <w:rPr>
          <w:sz w:val="24"/>
          <w:szCs w:val="24"/>
        </w:rPr>
        <w:t xml:space="preserve">the </w:t>
      </w:r>
      <w:r>
        <w:rPr>
          <w:sz w:val="24"/>
          <w:szCs w:val="24"/>
        </w:rPr>
        <w:t>right to equality and non-discrimination</w:t>
      </w:r>
      <w:r w:rsidR="00710D41">
        <w:rPr>
          <w:sz w:val="24"/>
          <w:szCs w:val="24"/>
        </w:rPr>
        <w:t>; continue a ‘special measure’; and may also be regarded as legitimate differential treatment</w:t>
      </w:r>
      <w:r>
        <w:rPr>
          <w:sz w:val="24"/>
          <w:szCs w:val="24"/>
        </w:rPr>
        <w:t xml:space="preserve">. </w:t>
      </w:r>
    </w:p>
    <w:p w:rsidR="00FB19CE" w:rsidRDefault="00FB19CE" w:rsidP="008B1D85">
      <w:pPr>
        <w:pStyle w:val="paragraph"/>
        <w:spacing w:before="200" w:line="276" w:lineRule="auto"/>
        <w:ind w:left="0" w:firstLine="0"/>
        <w:rPr>
          <w:sz w:val="24"/>
          <w:szCs w:val="24"/>
        </w:rPr>
      </w:pPr>
    </w:p>
    <w:p w:rsidR="00FB19CE" w:rsidRPr="008B1D85" w:rsidRDefault="00FB19CE" w:rsidP="008B1D85">
      <w:pPr>
        <w:spacing w:before="200" w:line="276" w:lineRule="auto"/>
        <w:rPr>
          <w:szCs w:val="24"/>
        </w:rPr>
      </w:pPr>
      <w:r w:rsidRPr="008B1D85">
        <w:rPr>
          <w:b/>
          <w:bCs/>
          <w:szCs w:val="24"/>
        </w:rPr>
        <w:t>Minister for Indigenous Affairs, Senator the Hon Nigel Scullion</w:t>
      </w:r>
    </w:p>
    <w:p w:rsidR="00FB19CE" w:rsidRDefault="00FB19CE" w:rsidP="008B1D85">
      <w:pPr>
        <w:pStyle w:val="paragraph"/>
        <w:spacing w:before="200" w:line="276" w:lineRule="auto"/>
        <w:ind w:left="0" w:firstLine="0"/>
        <w:rPr>
          <w:sz w:val="24"/>
          <w:szCs w:val="24"/>
        </w:rPr>
      </w:pPr>
    </w:p>
    <w:p w:rsidR="00FB19CE" w:rsidRPr="008B1D85" w:rsidRDefault="00FB19CE" w:rsidP="008B1D85">
      <w:pPr>
        <w:pStyle w:val="paragraph"/>
        <w:spacing w:before="200" w:line="276" w:lineRule="auto"/>
        <w:ind w:left="0" w:firstLine="0"/>
        <w:rPr>
          <w:rFonts w:eastAsiaTheme="minorHAnsi"/>
          <w:sz w:val="24"/>
          <w:szCs w:val="24"/>
        </w:rPr>
      </w:pPr>
    </w:p>
    <w:sectPr w:rsidR="00FB19CE" w:rsidRPr="008B1D85" w:rsidSect="002549D7">
      <w:pgSz w:w="11906" w:h="16838"/>
      <w:pgMar w:top="1134" w:right="1274"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0DD" w:rsidRDefault="00F320DD">
      <w:pPr>
        <w:spacing w:before="0"/>
      </w:pPr>
      <w:r>
        <w:separator/>
      </w:r>
    </w:p>
  </w:endnote>
  <w:endnote w:type="continuationSeparator" w:id="0">
    <w:p w:rsidR="00F320DD" w:rsidRDefault="00F320DD">
      <w:pPr>
        <w:spacing w:before="0"/>
      </w:pPr>
      <w:r>
        <w:continuationSeparator/>
      </w:r>
    </w:p>
  </w:endnote>
  <w:endnote w:type="continuationNotice" w:id="1">
    <w:p w:rsidR="00F320DD" w:rsidRDefault="00F320D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rinda">
    <w:altName w:val="Courier New"/>
    <w:panose1 w:val="00000400000000000000"/>
    <w:charset w:val="01"/>
    <w:family w:val="roman"/>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446377"/>
      <w:docPartObj>
        <w:docPartGallery w:val="Page Numbers (Bottom of Page)"/>
        <w:docPartUnique/>
      </w:docPartObj>
    </w:sdtPr>
    <w:sdtEndPr>
      <w:rPr>
        <w:szCs w:val="24"/>
      </w:rPr>
    </w:sdtEndPr>
    <w:sdtContent>
      <w:p w:rsidR="00716DCC" w:rsidRPr="009F333C" w:rsidRDefault="00716DCC">
        <w:pPr>
          <w:pStyle w:val="Footer"/>
          <w:jc w:val="center"/>
          <w:rPr>
            <w:szCs w:val="24"/>
          </w:rPr>
        </w:pPr>
        <w:r w:rsidRPr="009F333C">
          <w:rPr>
            <w:szCs w:val="24"/>
          </w:rPr>
          <w:fldChar w:fldCharType="begin"/>
        </w:r>
        <w:r w:rsidRPr="00FF3731">
          <w:rPr>
            <w:szCs w:val="24"/>
          </w:rPr>
          <w:instrText xml:space="preserve"> PAGE   \* MERGEFORMAT </w:instrText>
        </w:r>
        <w:r w:rsidRPr="009F333C">
          <w:rPr>
            <w:szCs w:val="24"/>
          </w:rPr>
          <w:fldChar w:fldCharType="separate"/>
        </w:r>
        <w:r w:rsidR="00EC5539">
          <w:rPr>
            <w:noProof/>
            <w:szCs w:val="24"/>
          </w:rPr>
          <w:t>13</w:t>
        </w:r>
        <w:r w:rsidRPr="009F333C">
          <w:rPr>
            <w:szCs w:val="24"/>
          </w:rPr>
          <w:fldChar w:fldCharType="end"/>
        </w:r>
      </w:p>
    </w:sdtContent>
  </w:sdt>
  <w:p w:rsidR="00716DCC" w:rsidRDefault="00716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0DD" w:rsidRDefault="00F320DD" w:rsidP="00041555">
      <w:pPr>
        <w:spacing w:before="0"/>
      </w:pPr>
      <w:r>
        <w:separator/>
      </w:r>
    </w:p>
  </w:footnote>
  <w:footnote w:type="continuationSeparator" w:id="0">
    <w:p w:rsidR="00F320DD" w:rsidRDefault="00F320DD" w:rsidP="00041555">
      <w:pPr>
        <w:spacing w:before="0"/>
      </w:pPr>
      <w:r>
        <w:continuationSeparator/>
      </w:r>
    </w:p>
  </w:footnote>
  <w:footnote w:type="continuationNotice" w:id="1">
    <w:p w:rsidR="00F320DD" w:rsidRDefault="00F320DD">
      <w:pPr>
        <w:spacing w:before="0"/>
      </w:pPr>
    </w:p>
  </w:footnote>
  <w:footnote w:id="2">
    <w:p w:rsidR="00716DCC" w:rsidRPr="00DC226B" w:rsidRDefault="00716DCC" w:rsidP="001F131A">
      <w:pPr>
        <w:pStyle w:val="FootnoteText"/>
        <w:rPr>
          <w:lang w:val="en-US"/>
        </w:rPr>
      </w:pPr>
      <w:r w:rsidRPr="009A5FC6">
        <w:rPr>
          <w:rStyle w:val="FootnoteReference"/>
        </w:rPr>
        <w:footnoteRef/>
      </w:r>
      <w:r>
        <w:t xml:space="preserve"> </w:t>
      </w:r>
      <w:r w:rsidRPr="008B1D85">
        <w:t>United Nations Committee on Economic, Social and Cultural Rights, General Comment No. 13: The right to education (Article 13), 21</w:t>
      </w:r>
      <w:r w:rsidRPr="008B1D85">
        <w:rPr>
          <w:vertAlign w:val="superscript"/>
        </w:rPr>
        <w:t>st</w:t>
      </w:r>
      <w:r w:rsidRPr="008B1D85">
        <w:t xml:space="preserve"> </w:t>
      </w:r>
      <w:proofErr w:type="spellStart"/>
      <w:r w:rsidRPr="008B1D85">
        <w:t>sess</w:t>
      </w:r>
      <w:proofErr w:type="spellEnd"/>
      <w:r w:rsidRPr="008B1D85">
        <w:t xml:space="preserve">, UN Doc </w:t>
      </w:r>
      <w:r w:rsidRPr="008B1D85">
        <w:rPr>
          <w:rStyle w:val="Emphasis"/>
          <w:color w:val="000000"/>
        </w:rPr>
        <w:t xml:space="preserve">E/C.12/1999/10 (8 December 1999), at paragraph [6]. </w:t>
      </w:r>
    </w:p>
  </w:footnote>
  <w:footnote w:id="3">
    <w:p w:rsidR="00716DCC" w:rsidRPr="008B1D85" w:rsidRDefault="00716DCC" w:rsidP="009A5FC6">
      <w:pPr>
        <w:pStyle w:val="FootnoteText"/>
        <w:rPr>
          <w:lang w:val="es-ES_tradnl"/>
        </w:rPr>
      </w:pPr>
      <w:r w:rsidRPr="00362491">
        <w:rPr>
          <w:rStyle w:val="FootnoteReference"/>
        </w:rPr>
        <w:footnoteRef/>
      </w:r>
      <w:r w:rsidRPr="00362491">
        <w:t xml:space="preserve"> </w:t>
      </w:r>
      <w:r w:rsidRPr="008B1D85">
        <w:t xml:space="preserve">United Nations Committee on Economic Social and Cultural Rights, </w:t>
      </w:r>
      <w:r w:rsidRPr="008B1D85">
        <w:rPr>
          <w:i/>
        </w:rPr>
        <w:t>Consideration of Reports submitted by State Parties under Articles 16 and 17 of the Covenant, Concluding Observations of the Committee on Economic, Social and Cultural Rights</w:t>
      </w:r>
      <w:r w:rsidRPr="008B1D85">
        <w:t>, 42</w:t>
      </w:r>
      <w:r w:rsidRPr="008B1D85">
        <w:rPr>
          <w:vertAlign w:val="superscript"/>
        </w:rPr>
        <w:t>nd</w:t>
      </w:r>
      <w:r w:rsidRPr="008B1D85">
        <w:t xml:space="preserve"> </w:t>
      </w:r>
      <w:proofErr w:type="spellStart"/>
      <w:r w:rsidRPr="008B1D85">
        <w:t>sess</w:t>
      </w:r>
      <w:proofErr w:type="spellEnd"/>
      <w:r w:rsidRPr="008B1D85">
        <w:t xml:space="preserve">, UN Doc, </w:t>
      </w:r>
      <w:r w:rsidRPr="008B1D85">
        <w:rPr>
          <w:lang w:val="es-ES_tradnl"/>
        </w:rPr>
        <w:t>E/C.12/</w:t>
      </w:r>
      <w:proofErr w:type="spellStart"/>
      <w:r w:rsidRPr="008B1D85">
        <w:rPr>
          <w:lang w:val="es-ES_tradnl"/>
        </w:rPr>
        <w:t>AUS</w:t>
      </w:r>
      <w:proofErr w:type="spellEnd"/>
      <w:r w:rsidRPr="008B1D85">
        <w:rPr>
          <w:lang w:val="es-ES_tradnl"/>
        </w:rPr>
        <w:t xml:space="preserve">/CO/4 (22 May 2009), at </w:t>
      </w:r>
      <w:proofErr w:type="spellStart"/>
      <w:r w:rsidRPr="008B1D85">
        <w:rPr>
          <w:lang w:val="es-ES_tradnl"/>
        </w:rPr>
        <w:t>paragraph</w:t>
      </w:r>
      <w:proofErr w:type="spellEnd"/>
      <w:r w:rsidRPr="008B1D85">
        <w:rPr>
          <w:lang w:val="es-ES_tradnl"/>
        </w:rPr>
        <w:t xml:space="preserve"> [31].     </w:t>
      </w:r>
    </w:p>
    <w:p w:rsidR="00716DCC" w:rsidRPr="00DC226B" w:rsidRDefault="00716DCC" w:rsidP="009A5FC6">
      <w:pPr>
        <w:pStyle w:val="FootnoteText"/>
        <w:rPr>
          <w:rFonts w:ascii="Arial" w:hAnsi="Arial" w:cs="Arial"/>
          <w:sz w:val="16"/>
          <w:szCs w:val="16"/>
        </w:rPr>
      </w:pPr>
      <w:r>
        <w:rPr>
          <w:rFonts w:ascii="Arial" w:hAnsi="Arial" w:cs="Arial"/>
          <w:sz w:val="16"/>
          <w:szCs w:val="16"/>
        </w:rPr>
        <w:t xml:space="preserve">  </w:t>
      </w:r>
    </w:p>
  </w:footnote>
  <w:footnote w:id="4">
    <w:p w:rsidR="00716DCC" w:rsidRPr="00195EA4" w:rsidRDefault="00716DCC">
      <w:pPr>
        <w:pStyle w:val="FootnoteText"/>
        <w:rPr>
          <w:lang w:val="en-US"/>
        </w:rPr>
      </w:pPr>
      <w:r>
        <w:rPr>
          <w:rStyle w:val="FootnoteReference"/>
        </w:rPr>
        <w:footnoteRef/>
      </w:r>
      <w:r>
        <w:t xml:space="preserve"> </w:t>
      </w:r>
      <w:r w:rsidRPr="008B1D85">
        <w:t>United Nations Committee on Economic Social and Cultural Rights</w:t>
      </w:r>
      <w:r>
        <w:t xml:space="preserve">, General Comment No 20, </w:t>
      </w:r>
      <w:r>
        <w:rPr>
          <w:i/>
        </w:rPr>
        <w:t xml:space="preserve">Non-discrimination in economic, social and cultural rights </w:t>
      </w:r>
      <w:r>
        <w:t>(art 2, para 2), UN Doc E/C.12/GC/20, 2 July 2009,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30F2"/>
    <w:multiLevelType w:val="hybridMultilevel"/>
    <w:tmpl w:val="1074B164"/>
    <w:lvl w:ilvl="0" w:tplc="FA9606E0">
      <w:start w:val="4"/>
      <w:numFmt w:val="bullet"/>
      <w:lvlText w:val="-"/>
      <w:lvlJc w:val="left"/>
      <w:pPr>
        <w:ind w:left="1080" w:hanging="360"/>
      </w:pPr>
      <w:rPr>
        <w:rFonts w:ascii="Calibri" w:eastAsia="Times New Roman" w:hAnsi="Calibri" w:cs="Garamond"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15:restartNumberingAfterBreak="0">
    <w:nsid w:val="016957F6"/>
    <w:multiLevelType w:val="hybridMultilevel"/>
    <w:tmpl w:val="0B38AA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6F0F86"/>
    <w:multiLevelType w:val="hybridMultilevel"/>
    <w:tmpl w:val="5D84EB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0965A5"/>
    <w:multiLevelType w:val="hybridMultilevel"/>
    <w:tmpl w:val="5BBC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A366CA5"/>
    <w:multiLevelType w:val="hybridMultilevel"/>
    <w:tmpl w:val="D94A81A2"/>
    <w:lvl w:ilvl="0" w:tplc="E8B64D32">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CF12DE9"/>
    <w:multiLevelType w:val="hybridMultilevel"/>
    <w:tmpl w:val="DFB245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954383"/>
    <w:multiLevelType w:val="hybridMultilevel"/>
    <w:tmpl w:val="8222EAA2"/>
    <w:lvl w:ilvl="0" w:tplc="6C44063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607203"/>
    <w:multiLevelType w:val="hybridMultilevel"/>
    <w:tmpl w:val="C20AAA50"/>
    <w:lvl w:ilvl="0" w:tplc="BC827356">
      <w:start w:val="1"/>
      <w:numFmt w:val="lowerLetter"/>
      <w:lvlText w:val="%1)"/>
      <w:lvlJc w:val="left"/>
      <w:pPr>
        <w:ind w:left="1069" w:hanging="360"/>
      </w:pPr>
      <w:rPr>
        <w:rFonts w:hint="default"/>
      </w:rPr>
    </w:lvl>
    <w:lvl w:ilvl="1" w:tplc="17E88B5C">
      <w:start w:val="1"/>
      <w:numFmt w:val="bullet"/>
      <w:lvlText w:val="o"/>
      <w:lvlJc w:val="left"/>
      <w:pPr>
        <w:ind w:left="1789" w:hanging="360"/>
      </w:pPr>
      <w:rPr>
        <w:rFonts w:ascii="Courier New" w:hAnsi="Courier New" w:cs="Courier New" w:hint="default"/>
      </w:rPr>
    </w:lvl>
    <w:lvl w:ilvl="2" w:tplc="DE0400A4" w:tentative="1">
      <w:start w:val="1"/>
      <w:numFmt w:val="bullet"/>
      <w:lvlText w:val=""/>
      <w:lvlJc w:val="left"/>
      <w:pPr>
        <w:ind w:left="2509" w:hanging="360"/>
      </w:pPr>
      <w:rPr>
        <w:rFonts w:ascii="Wingdings" w:hAnsi="Wingdings" w:hint="default"/>
      </w:rPr>
    </w:lvl>
    <w:lvl w:ilvl="3" w:tplc="F16ECB02" w:tentative="1">
      <w:start w:val="1"/>
      <w:numFmt w:val="bullet"/>
      <w:lvlText w:val=""/>
      <w:lvlJc w:val="left"/>
      <w:pPr>
        <w:ind w:left="3229" w:hanging="360"/>
      </w:pPr>
      <w:rPr>
        <w:rFonts w:ascii="Symbol" w:hAnsi="Symbol" w:hint="default"/>
      </w:rPr>
    </w:lvl>
    <w:lvl w:ilvl="4" w:tplc="9640A2DE" w:tentative="1">
      <w:start w:val="1"/>
      <w:numFmt w:val="bullet"/>
      <w:lvlText w:val="o"/>
      <w:lvlJc w:val="left"/>
      <w:pPr>
        <w:ind w:left="3949" w:hanging="360"/>
      </w:pPr>
      <w:rPr>
        <w:rFonts w:ascii="Courier New" w:hAnsi="Courier New" w:cs="Courier New" w:hint="default"/>
      </w:rPr>
    </w:lvl>
    <w:lvl w:ilvl="5" w:tplc="9140EF82" w:tentative="1">
      <w:start w:val="1"/>
      <w:numFmt w:val="bullet"/>
      <w:lvlText w:val=""/>
      <w:lvlJc w:val="left"/>
      <w:pPr>
        <w:ind w:left="4669" w:hanging="360"/>
      </w:pPr>
      <w:rPr>
        <w:rFonts w:ascii="Wingdings" w:hAnsi="Wingdings" w:hint="default"/>
      </w:rPr>
    </w:lvl>
    <w:lvl w:ilvl="6" w:tplc="13C02E78" w:tentative="1">
      <w:start w:val="1"/>
      <w:numFmt w:val="bullet"/>
      <w:lvlText w:val=""/>
      <w:lvlJc w:val="left"/>
      <w:pPr>
        <w:ind w:left="5389" w:hanging="360"/>
      </w:pPr>
      <w:rPr>
        <w:rFonts w:ascii="Symbol" w:hAnsi="Symbol" w:hint="default"/>
      </w:rPr>
    </w:lvl>
    <w:lvl w:ilvl="7" w:tplc="282449E0" w:tentative="1">
      <w:start w:val="1"/>
      <w:numFmt w:val="bullet"/>
      <w:lvlText w:val="o"/>
      <w:lvlJc w:val="left"/>
      <w:pPr>
        <w:ind w:left="6109" w:hanging="360"/>
      </w:pPr>
      <w:rPr>
        <w:rFonts w:ascii="Courier New" w:hAnsi="Courier New" w:cs="Courier New" w:hint="default"/>
      </w:rPr>
    </w:lvl>
    <w:lvl w:ilvl="8" w:tplc="9022FD44" w:tentative="1">
      <w:start w:val="1"/>
      <w:numFmt w:val="bullet"/>
      <w:lvlText w:val=""/>
      <w:lvlJc w:val="left"/>
      <w:pPr>
        <w:ind w:left="6829" w:hanging="360"/>
      </w:pPr>
      <w:rPr>
        <w:rFonts w:ascii="Wingdings" w:hAnsi="Wingdings" w:hint="default"/>
      </w:rPr>
    </w:lvl>
  </w:abstractNum>
  <w:abstractNum w:abstractNumId="8" w15:restartNumberingAfterBreak="0">
    <w:nsid w:val="15132BF6"/>
    <w:multiLevelType w:val="hybridMultilevel"/>
    <w:tmpl w:val="E0687E1E"/>
    <w:lvl w:ilvl="0" w:tplc="3A3EDCA2">
      <w:start w:val="78"/>
      <w:numFmt w:val="bullet"/>
      <w:lvlText w:val=""/>
      <w:lvlJc w:val="left"/>
      <w:pPr>
        <w:ind w:left="720" w:hanging="360"/>
      </w:pPr>
      <w:rPr>
        <w:rFonts w:ascii="Symbol" w:eastAsia="Calibr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56565D2"/>
    <w:multiLevelType w:val="hybridMultilevel"/>
    <w:tmpl w:val="CA48E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84511A"/>
    <w:multiLevelType w:val="multilevel"/>
    <w:tmpl w:val="EA5E96EA"/>
    <w:numStyleLink w:val="KeyPoints"/>
  </w:abstractNum>
  <w:abstractNum w:abstractNumId="11" w15:restartNumberingAfterBreak="0">
    <w:nsid w:val="19772E92"/>
    <w:multiLevelType w:val="hybridMultilevel"/>
    <w:tmpl w:val="C56EA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CF0DFE"/>
    <w:multiLevelType w:val="hybridMultilevel"/>
    <w:tmpl w:val="3BBAA4B0"/>
    <w:lvl w:ilvl="0" w:tplc="CD5604C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7C3333"/>
    <w:multiLevelType w:val="hybridMultilevel"/>
    <w:tmpl w:val="C4C441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A65DEF"/>
    <w:multiLevelType w:val="hybridMultilevel"/>
    <w:tmpl w:val="347C0A54"/>
    <w:lvl w:ilvl="0" w:tplc="C6042956">
      <w:start w:val="16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3DD15CA"/>
    <w:multiLevelType w:val="hybridMultilevel"/>
    <w:tmpl w:val="57DAAA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F7285D"/>
    <w:multiLevelType w:val="hybridMultilevel"/>
    <w:tmpl w:val="872404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6247A1F"/>
    <w:multiLevelType w:val="hybridMultilevel"/>
    <w:tmpl w:val="E7E85B52"/>
    <w:lvl w:ilvl="0" w:tplc="BD063E22">
      <w:start w:val="1"/>
      <w:numFmt w:val="lowerLetter"/>
      <w:lvlText w:val="%1)"/>
      <w:lvlJc w:val="left"/>
      <w:pPr>
        <w:ind w:left="1440" w:hanging="360"/>
      </w:pPr>
      <w:rPr>
        <w:rFonts w:ascii="Arial" w:hAnsi="Arial" w:cs="Arial" w:hint="default"/>
        <w:b w:val="0"/>
        <w:sz w:val="24"/>
        <w:szCs w:val="24"/>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29FB3845"/>
    <w:multiLevelType w:val="hybridMultilevel"/>
    <w:tmpl w:val="E506D720"/>
    <w:lvl w:ilvl="0" w:tplc="FD1268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A46942"/>
    <w:multiLevelType w:val="multilevel"/>
    <w:tmpl w:val="A70C0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DA31B0"/>
    <w:multiLevelType w:val="hybridMultilevel"/>
    <w:tmpl w:val="83608A8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3200618"/>
    <w:multiLevelType w:val="hybridMultilevel"/>
    <w:tmpl w:val="D00880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884475"/>
    <w:multiLevelType w:val="hybridMultilevel"/>
    <w:tmpl w:val="DF8E0BD0"/>
    <w:lvl w:ilvl="0" w:tplc="67BAD3BA">
      <w:start w:val="1"/>
      <w:numFmt w:val="lowerLetter"/>
      <w:lvlText w:val="%1)"/>
      <w:lvlJc w:val="left"/>
      <w:pPr>
        <w:ind w:left="1080" w:hanging="360"/>
      </w:pPr>
      <w:rPr>
        <w:rFonts w:hint="default"/>
      </w:rPr>
    </w:lvl>
    <w:lvl w:ilvl="1" w:tplc="392EE36E">
      <w:start w:val="1"/>
      <w:numFmt w:val="bullet"/>
      <w:lvlText w:val="o"/>
      <w:lvlJc w:val="left"/>
      <w:pPr>
        <w:ind w:left="1800" w:hanging="360"/>
      </w:pPr>
      <w:rPr>
        <w:rFonts w:ascii="Courier New" w:hAnsi="Courier New" w:cs="Courier New" w:hint="default"/>
      </w:rPr>
    </w:lvl>
    <w:lvl w:ilvl="2" w:tplc="7E26F8AA" w:tentative="1">
      <w:start w:val="1"/>
      <w:numFmt w:val="bullet"/>
      <w:lvlText w:val=""/>
      <w:lvlJc w:val="left"/>
      <w:pPr>
        <w:ind w:left="2520" w:hanging="360"/>
      </w:pPr>
      <w:rPr>
        <w:rFonts w:ascii="Wingdings" w:hAnsi="Wingdings" w:hint="default"/>
      </w:rPr>
    </w:lvl>
    <w:lvl w:ilvl="3" w:tplc="13E48962" w:tentative="1">
      <w:start w:val="1"/>
      <w:numFmt w:val="bullet"/>
      <w:lvlText w:val=""/>
      <w:lvlJc w:val="left"/>
      <w:pPr>
        <w:ind w:left="3240" w:hanging="360"/>
      </w:pPr>
      <w:rPr>
        <w:rFonts w:ascii="Symbol" w:hAnsi="Symbol" w:hint="default"/>
      </w:rPr>
    </w:lvl>
    <w:lvl w:ilvl="4" w:tplc="147E8976" w:tentative="1">
      <w:start w:val="1"/>
      <w:numFmt w:val="bullet"/>
      <w:lvlText w:val="o"/>
      <w:lvlJc w:val="left"/>
      <w:pPr>
        <w:ind w:left="3960" w:hanging="360"/>
      </w:pPr>
      <w:rPr>
        <w:rFonts w:ascii="Courier New" w:hAnsi="Courier New" w:cs="Courier New" w:hint="default"/>
      </w:rPr>
    </w:lvl>
    <w:lvl w:ilvl="5" w:tplc="0A9C72C8" w:tentative="1">
      <w:start w:val="1"/>
      <w:numFmt w:val="bullet"/>
      <w:lvlText w:val=""/>
      <w:lvlJc w:val="left"/>
      <w:pPr>
        <w:ind w:left="4680" w:hanging="360"/>
      </w:pPr>
      <w:rPr>
        <w:rFonts w:ascii="Wingdings" w:hAnsi="Wingdings" w:hint="default"/>
      </w:rPr>
    </w:lvl>
    <w:lvl w:ilvl="6" w:tplc="DB8E9A38" w:tentative="1">
      <w:start w:val="1"/>
      <w:numFmt w:val="bullet"/>
      <w:lvlText w:val=""/>
      <w:lvlJc w:val="left"/>
      <w:pPr>
        <w:ind w:left="5400" w:hanging="360"/>
      </w:pPr>
      <w:rPr>
        <w:rFonts w:ascii="Symbol" w:hAnsi="Symbol" w:hint="default"/>
      </w:rPr>
    </w:lvl>
    <w:lvl w:ilvl="7" w:tplc="DC88046C" w:tentative="1">
      <w:start w:val="1"/>
      <w:numFmt w:val="bullet"/>
      <w:lvlText w:val="o"/>
      <w:lvlJc w:val="left"/>
      <w:pPr>
        <w:ind w:left="6120" w:hanging="360"/>
      </w:pPr>
      <w:rPr>
        <w:rFonts w:ascii="Courier New" w:hAnsi="Courier New" w:cs="Courier New" w:hint="default"/>
      </w:rPr>
    </w:lvl>
    <w:lvl w:ilvl="8" w:tplc="DC02BDC4" w:tentative="1">
      <w:start w:val="1"/>
      <w:numFmt w:val="bullet"/>
      <w:lvlText w:val=""/>
      <w:lvlJc w:val="left"/>
      <w:pPr>
        <w:ind w:left="6840" w:hanging="360"/>
      </w:pPr>
      <w:rPr>
        <w:rFonts w:ascii="Wingdings" w:hAnsi="Wingdings" w:hint="default"/>
      </w:rPr>
    </w:lvl>
  </w:abstractNum>
  <w:abstractNum w:abstractNumId="23" w15:restartNumberingAfterBreak="0">
    <w:nsid w:val="3AB9096C"/>
    <w:multiLevelType w:val="hybridMultilevel"/>
    <w:tmpl w:val="4A86862C"/>
    <w:lvl w:ilvl="0" w:tplc="D716DE7A">
      <w:start w:val="1"/>
      <w:numFmt w:val="lowerRoman"/>
      <w:lvlText w:val="(%1)"/>
      <w:lvlJc w:val="left"/>
      <w:pPr>
        <w:ind w:left="720" w:hanging="360"/>
      </w:pPr>
      <w:rPr>
        <w:rFonts w:ascii="Times New Roman" w:eastAsia="Times New Roman" w:hAnsi="Times New Roman" w:cs="Times New Roman"/>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4" w15:restartNumberingAfterBreak="0">
    <w:nsid w:val="3ABE562E"/>
    <w:multiLevelType w:val="hybridMultilevel"/>
    <w:tmpl w:val="B5201D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BC82066"/>
    <w:multiLevelType w:val="multilevel"/>
    <w:tmpl w:val="0C09001F"/>
    <w:numStyleLink w:val="Style1"/>
  </w:abstractNum>
  <w:abstractNum w:abstractNumId="26" w15:restartNumberingAfterBreak="0">
    <w:nsid w:val="3D0A736B"/>
    <w:multiLevelType w:val="multilevel"/>
    <w:tmpl w:val="0C09001F"/>
    <w:styleLink w:val="Style1"/>
    <w:lvl w:ilvl="0">
      <w:start w:val="1"/>
      <w:numFmt w:val="decimal"/>
      <w:lvlText w:val="%1."/>
      <w:lvlJc w:val="left"/>
      <w:pPr>
        <w:ind w:left="360" w:hanging="360"/>
      </w:pPr>
      <w:rPr>
        <w:rFonts w:ascii="Times New Roman" w:hAnsi="Times New Roman"/>
        <w:b/>
        <w:sz w:val="22"/>
      </w:rPr>
    </w:lvl>
    <w:lvl w:ilvl="1">
      <w:start w:val="1"/>
      <w:numFmt w:val="decimal"/>
      <w:lvlText w:val="%1.%2."/>
      <w:lvlJc w:val="left"/>
      <w:pPr>
        <w:ind w:left="432" w:hanging="432"/>
      </w:pPr>
      <w:rPr>
        <w:rFonts w:ascii="Times New Roman" w:hAnsi="Times New Roman"/>
        <w:b/>
        <w:sz w:val="22"/>
      </w:rPr>
    </w:lvl>
    <w:lvl w:ilvl="2">
      <w:start w:val="1"/>
      <w:numFmt w:val="decimal"/>
      <w:lvlText w:val="%1.%2.%3."/>
      <w:lvlJc w:val="left"/>
      <w:pPr>
        <w:ind w:left="930" w:hanging="504"/>
      </w:pPr>
      <w:rPr>
        <w:rFonts w:ascii="Times New Roman" w:hAnsi="Times New Roman"/>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8D60557"/>
    <w:multiLevelType w:val="hybridMultilevel"/>
    <w:tmpl w:val="6EA88202"/>
    <w:lvl w:ilvl="0" w:tplc="36A6107A">
      <w:start w:val="1"/>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4D7C5013"/>
    <w:multiLevelType w:val="hybridMultilevel"/>
    <w:tmpl w:val="7AB01BC8"/>
    <w:lvl w:ilvl="0" w:tplc="09A2D200">
      <w:start w:val="1"/>
      <w:numFmt w:val="bullet"/>
      <w:lvlText w:val=""/>
      <w:lvlJc w:val="left"/>
      <w:pPr>
        <w:ind w:left="720" w:hanging="360"/>
      </w:pPr>
      <w:rPr>
        <w:rFonts w:ascii="Symbol" w:hAnsi="Symbol" w:hint="default"/>
      </w:rPr>
    </w:lvl>
    <w:lvl w:ilvl="1" w:tplc="D3BC628C" w:tentative="1">
      <w:start w:val="1"/>
      <w:numFmt w:val="bullet"/>
      <w:lvlText w:val="o"/>
      <w:lvlJc w:val="left"/>
      <w:pPr>
        <w:ind w:left="1440" w:hanging="360"/>
      </w:pPr>
      <w:rPr>
        <w:rFonts w:ascii="Courier New" w:hAnsi="Courier New" w:cs="Courier New" w:hint="default"/>
      </w:rPr>
    </w:lvl>
    <w:lvl w:ilvl="2" w:tplc="F7425454" w:tentative="1">
      <w:start w:val="1"/>
      <w:numFmt w:val="bullet"/>
      <w:lvlText w:val=""/>
      <w:lvlJc w:val="left"/>
      <w:pPr>
        <w:ind w:left="2160" w:hanging="360"/>
      </w:pPr>
      <w:rPr>
        <w:rFonts w:ascii="Wingdings" w:hAnsi="Wingdings" w:hint="default"/>
      </w:rPr>
    </w:lvl>
    <w:lvl w:ilvl="3" w:tplc="9258CFD0" w:tentative="1">
      <w:start w:val="1"/>
      <w:numFmt w:val="bullet"/>
      <w:lvlText w:val=""/>
      <w:lvlJc w:val="left"/>
      <w:pPr>
        <w:ind w:left="2880" w:hanging="360"/>
      </w:pPr>
      <w:rPr>
        <w:rFonts w:ascii="Symbol" w:hAnsi="Symbol" w:hint="default"/>
      </w:rPr>
    </w:lvl>
    <w:lvl w:ilvl="4" w:tplc="140C5D74" w:tentative="1">
      <w:start w:val="1"/>
      <w:numFmt w:val="bullet"/>
      <w:lvlText w:val="o"/>
      <w:lvlJc w:val="left"/>
      <w:pPr>
        <w:ind w:left="3600" w:hanging="360"/>
      </w:pPr>
      <w:rPr>
        <w:rFonts w:ascii="Courier New" w:hAnsi="Courier New" w:cs="Courier New" w:hint="default"/>
      </w:rPr>
    </w:lvl>
    <w:lvl w:ilvl="5" w:tplc="86FCD0A8" w:tentative="1">
      <w:start w:val="1"/>
      <w:numFmt w:val="bullet"/>
      <w:lvlText w:val=""/>
      <w:lvlJc w:val="left"/>
      <w:pPr>
        <w:ind w:left="4320" w:hanging="360"/>
      </w:pPr>
      <w:rPr>
        <w:rFonts w:ascii="Wingdings" w:hAnsi="Wingdings" w:hint="default"/>
      </w:rPr>
    </w:lvl>
    <w:lvl w:ilvl="6" w:tplc="38B6F4AE" w:tentative="1">
      <w:start w:val="1"/>
      <w:numFmt w:val="bullet"/>
      <w:lvlText w:val=""/>
      <w:lvlJc w:val="left"/>
      <w:pPr>
        <w:ind w:left="5040" w:hanging="360"/>
      </w:pPr>
      <w:rPr>
        <w:rFonts w:ascii="Symbol" w:hAnsi="Symbol" w:hint="default"/>
      </w:rPr>
    </w:lvl>
    <w:lvl w:ilvl="7" w:tplc="5A1E8FA2" w:tentative="1">
      <w:start w:val="1"/>
      <w:numFmt w:val="bullet"/>
      <w:lvlText w:val="o"/>
      <w:lvlJc w:val="left"/>
      <w:pPr>
        <w:ind w:left="5760" w:hanging="360"/>
      </w:pPr>
      <w:rPr>
        <w:rFonts w:ascii="Courier New" w:hAnsi="Courier New" w:cs="Courier New" w:hint="default"/>
      </w:rPr>
    </w:lvl>
    <w:lvl w:ilvl="8" w:tplc="AA6EB8C6" w:tentative="1">
      <w:start w:val="1"/>
      <w:numFmt w:val="bullet"/>
      <w:lvlText w:val=""/>
      <w:lvlJc w:val="left"/>
      <w:pPr>
        <w:ind w:left="6480" w:hanging="360"/>
      </w:pPr>
      <w:rPr>
        <w:rFonts w:ascii="Wingdings" w:hAnsi="Wingdings" w:hint="default"/>
      </w:rPr>
    </w:lvl>
  </w:abstractNum>
  <w:abstractNum w:abstractNumId="29" w15:restartNumberingAfterBreak="0">
    <w:nsid w:val="4DB2705F"/>
    <w:multiLevelType w:val="hybridMultilevel"/>
    <w:tmpl w:val="0794F3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7D651F"/>
    <w:multiLevelType w:val="hybridMultilevel"/>
    <w:tmpl w:val="312A7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4CA0540"/>
    <w:multiLevelType w:val="hybridMultilevel"/>
    <w:tmpl w:val="C20AAA50"/>
    <w:lvl w:ilvl="0" w:tplc="37BEF15C">
      <w:start w:val="1"/>
      <w:numFmt w:val="lowerLetter"/>
      <w:lvlText w:val="%1)"/>
      <w:lvlJc w:val="left"/>
      <w:pPr>
        <w:ind w:left="1069" w:hanging="360"/>
      </w:pPr>
      <w:rPr>
        <w:rFonts w:hint="default"/>
      </w:rPr>
    </w:lvl>
    <w:lvl w:ilvl="1" w:tplc="F8D6E068">
      <w:start w:val="1"/>
      <w:numFmt w:val="bullet"/>
      <w:lvlText w:val="o"/>
      <w:lvlJc w:val="left"/>
      <w:pPr>
        <w:ind w:left="1789" w:hanging="360"/>
      </w:pPr>
      <w:rPr>
        <w:rFonts w:ascii="Courier New" w:hAnsi="Courier New" w:cs="Courier New" w:hint="default"/>
      </w:rPr>
    </w:lvl>
    <w:lvl w:ilvl="2" w:tplc="B3D0CE6A">
      <w:start w:val="1"/>
      <w:numFmt w:val="bullet"/>
      <w:lvlText w:val=""/>
      <w:lvlJc w:val="left"/>
      <w:pPr>
        <w:ind w:left="2509" w:hanging="360"/>
      </w:pPr>
      <w:rPr>
        <w:rFonts w:ascii="Wingdings" w:hAnsi="Wingdings" w:hint="default"/>
      </w:rPr>
    </w:lvl>
    <w:lvl w:ilvl="3" w:tplc="39EC6048" w:tentative="1">
      <w:start w:val="1"/>
      <w:numFmt w:val="bullet"/>
      <w:lvlText w:val=""/>
      <w:lvlJc w:val="left"/>
      <w:pPr>
        <w:ind w:left="3229" w:hanging="360"/>
      </w:pPr>
      <w:rPr>
        <w:rFonts w:ascii="Symbol" w:hAnsi="Symbol" w:hint="default"/>
      </w:rPr>
    </w:lvl>
    <w:lvl w:ilvl="4" w:tplc="22A802BA" w:tentative="1">
      <w:start w:val="1"/>
      <w:numFmt w:val="bullet"/>
      <w:lvlText w:val="o"/>
      <w:lvlJc w:val="left"/>
      <w:pPr>
        <w:ind w:left="3949" w:hanging="360"/>
      </w:pPr>
      <w:rPr>
        <w:rFonts w:ascii="Courier New" w:hAnsi="Courier New" w:cs="Courier New" w:hint="default"/>
      </w:rPr>
    </w:lvl>
    <w:lvl w:ilvl="5" w:tplc="17A22AA2" w:tentative="1">
      <w:start w:val="1"/>
      <w:numFmt w:val="bullet"/>
      <w:lvlText w:val=""/>
      <w:lvlJc w:val="left"/>
      <w:pPr>
        <w:ind w:left="4669" w:hanging="360"/>
      </w:pPr>
      <w:rPr>
        <w:rFonts w:ascii="Wingdings" w:hAnsi="Wingdings" w:hint="default"/>
      </w:rPr>
    </w:lvl>
    <w:lvl w:ilvl="6" w:tplc="E4288454" w:tentative="1">
      <w:start w:val="1"/>
      <w:numFmt w:val="bullet"/>
      <w:lvlText w:val=""/>
      <w:lvlJc w:val="left"/>
      <w:pPr>
        <w:ind w:left="5389" w:hanging="360"/>
      </w:pPr>
      <w:rPr>
        <w:rFonts w:ascii="Symbol" w:hAnsi="Symbol" w:hint="default"/>
      </w:rPr>
    </w:lvl>
    <w:lvl w:ilvl="7" w:tplc="ECF40888" w:tentative="1">
      <w:start w:val="1"/>
      <w:numFmt w:val="bullet"/>
      <w:lvlText w:val="o"/>
      <w:lvlJc w:val="left"/>
      <w:pPr>
        <w:ind w:left="6109" w:hanging="360"/>
      </w:pPr>
      <w:rPr>
        <w:rFonts w:ascii="Courier New" w:hAnsi="Courier New" w:cs="Courier New" w:hint="default"/>
      </w:rPr>
    </w:lvl>
    <w:lvl w:ilvl="8" w:tplc="98CE8664" w:tentative="1">
      <w:start w:val="1"/>
      <w:numFmt w:val="bullet"/>
      <w:lvlText w:val=""/>
      <w:lvlJc w:val="left"/>
      <w:pPr>
        <w:ind w:left="6829" w:hanging="360"/>
      </w:pPr>
      <w:rPr>
        <w:rFonts w:ascii="Wingdings" w:hAnsi="Wingdings" w:hint="default"/>
      </w:rPr>
    </w:lvl>
  </w:abstractNum>
  <w:abstractNum w:abstractNumId="32" w15:restartNumberingAfterBreak="0">
    <w:nsid w:val="56E131B4"/>
    <w:multiLevelType w:val="hybridMultilevel"/>
    <w:tmpl w:val="03DA0E8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581317C8"/>
    <w:multiLevelType w:val="hybridMultilevel"/>
    <w:tmpl w:val="F4AAB762"/>
    <w:lvl w:ilvl="0" w:tplc="621AEFB4">
      <w:start w:val="1"/>
      <w:numFmt w:val="bullet"/>
      <w:lvlText w:val=""/>
      <w:lvlJc w:val="left"/>
      <w:pPr>
        <w:ind w:left="720" w:hanging="360"/>
      </w:pPr>
      <w:rPr>
        <w:rFonts w:ascii="Symbol" w:hAnsi="Symbol" w:hint="default"/>
      </w:rPr>
    </w:lvl>
    <w:lvl w:ilvl="1" w:tplc="5F2EE81E" w:tentative="1">
      <w:start w:val="1"/>
      <w:numFmt w:val="bullet"/>
      <w:lvlText w:val="o"/>
      <w:lvlJc w:val="left"/>
      <w:pPr>
        <w:ind w:left="1440" w:hanging="360"/>
      </w:pPr>
      <w:rPr>
        <w:rFonts w:ascii="Courier New" w:hAnsi="Courier New" w:cs="Courier New" w:hint="default"/>
      </w:rPr>
    </w:lvl>
    <w:lvl w:ilvl="2" w:tplc="51FCC746" w:tentative="1">
      <w:start w:val="1"/>
      <w:numFmt w:val="bullet"/>
      <w:lvlText w:val=""/>
      <w:lvlJc w:val="left"/>
      <w:pPr>
        <w:ind w:left="2160" w:hanging="360"/>
      </w:pPr>
      <w:rPr>
        <w:rFonts w:ascii="Wingdings" w:hAnsi="Wingdings" w:hint="default"/>
      </w:rPr>
    </w:lvl>
    <w:lvl w:ilvl="3" w:tplc="59A68E28" w:tentative="1">
      <w:start w:val="1"/>
      <w:numFmt w:val="bullet"/>
      <w:lvlText w:val=""/>
      <w:lvlJc w:val="left"/>
      <w:pPr>
        <w:ind w:left="2880" w:hanging="360"/>
      </w:pPr>
      <w:rPr>
        <w:rFonts w:ascii="Symbol" w:hAnsi="Symbol" w:hint="default"/>
      </w:rPr>
    </w:lvl>
    <w:lvl w:ilvl="4" w:tplc="2498669E" w:tentative="1">
      <w:start w:val="1"/>
      <w:numFmt w:val="bullet"/>
      <w:lvlText w:val="o"/>
      <w:lvlJc w:val="left"/>
      <w:pPr>
        <w:ind w:left="3600" w:hanging="360"/>
      </w:pPr>
      <w:rPr>
        <w:rFonts w:ascii="Courier New" w:hAnsi="Courier New" w:cs="Courier New" w:hint="default"/>
      </w:rPr>
    </w:lvl>
    <w:lvl w:ilvl="5" w:tplc="5016BDAE" w:tentative="1">
      <w:start w:val="1"/>
      <w:numFmt w:val="bullet"/>
      <w:lvlText w:val=""/>
      <w:lvlJc w:val="left"/>
      <w:pPr>
        <w:ind w:left="4320" w:hanging="360"/>
      </w:pPr>
      <w:rPr>
        <w:rFonts w:ascii="Wingdings" w:hAnsi="Wingdings" w:hint="default"/>
      </w:rPr>
    </w:lvl>
    <w:lvl w:ilvl="6" w:tplc="4928E63A" w:tentative="1">
      <w:start w:val="1"/>
      <w:numFmt w:val="bullet"/>
      <w:lvlText w:val=""/>
      <w:lvlJc w:val="left"/>
      <w:pPr>
        <w:ind w:left="5040" w:hanging="360"/>
      </w:pPr>
      <w:rPr>
        <w:rFonts w:ascii="Symbol" w:hAnsi="Symbol" w:hint="default"/>
      </w:rPr>
    </w:lvl>
    <w:lvl w:ilvl="7" w:tplc="DA7C64E6" w:tentative="1">
      <w:start w:val="1"/>
      <w:numFmt w:val="bullet"/>
      <w:lvlText w:val="o"/>
      <w:lvlJc w:val="left"/>
      <w:pPr>
        <w:ind w:left="5760" w:hanging="360"/>
      </w:pPr>
      <w:rPr>
        <w:rFonts w:ascii="Courier New" w:hAnsi="Courier New" w:cs="Courier New" w:hint="default"/>
      </w:rPr>
    </w:lvl>
    <w:lvl w:ilvl="8" w:tplc="5D806D36" w:tentative="1">
      <w:start w:val="1"/>
      <w:numFmt w:val="bullet"/>
      <w:lvlText w:val=""/>
      <w:lvlJc w:val="left"/>
      <w:pPr>
        <w:ind w:left="6480" w:hanging="360"/>
      </w:pPr>
      <w:rPr>
        <w:rFonts w:ascii="Wingdings" w:hAnsi="Wingdings" w:hint="default"/>
      </w:rPr>
    </w:lvl>
  </w:abstractNum>
  <w:abstractNum w:abstractNumId="34" w15:restartNumberingAfterBreak="0">
    <w:nsid w:val="5A1230F3"/>
    <w:multiLevelType w:val="hybridMultilevel"/>
    <w:tmpl w:val="18AE3C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500153"/>
    <w:multiLevelType w:val="hybridMultilevel"/>
    <w:tmpl w:val="D944936A"/>
    <w:lvl w:ilvl="0" w:tplc="CAA26460">
      <w:start w:val="1"/>
      <w:numFmt w:val="decimal"/>
      <w:lvlText w:val="%1."/>
      <w:lvlJc w:val="left"/>
      <w:pPr>
        <w:ind w:left="360" w:hanging="360"/>
      </w:pPr>
      <w:rPr>
        <w:rFonts w:hint="default"/>
        <w:b w:val="0"/>
        <w:i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336646F"/>
    <w:multiLevelType w:val="hybridMultilevel"/>
    <w:tmpl w:val="A532F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5AE216D"/>
    <w:multiLevelType w:val="hybridMultilevel"/>
    <w:tmpl w:val="A40E44E2"/>
    <w:lvl w:ilvl="0" w:tplc="D51C2358">
      <w:start w:val="1"/>
      <w:numFmt w:val="bullet"/>
      <w:lvlText w:val=""/>
      <w:lvlJc w:val="left"/>
      <w:pPr>
        <w:ind w:left="969" w:hanging="360"/>
      </w:pPr>
      <w:rPr>
        <w:rFonts w:ascii="Symbol" w:hAnsi="Symbol" w:hint="default"/>
      </w:rPr>
    </w:lvl>
    <w:lvl w:ilvl="1" w:tplc="4A400D0E">
      <w:start w:val="1"/>
      <w:numFmt w:val="bullet"/>
      <w:lvlText w:val="o"/>
      <w:lvlJc w:val="left"/>
      <w:pPr>
        <w:ind w:left="1689" w:hanging="360"/>
      </w:pPr>
      <w:rPr>
        <w:rFonts w:ascii="Courier New" w:hAnsi="Courier New" w:cs="Courier New" w:hint="default"/>
      </w:rPr>
    </w:lvl>
    <w:lvl w:ilvl="2" w:tplc="4766952E">
      <w:start w:val="1"/>
      <w:numFmt w:val="bullet"/>
      <w:lvlText w:val=""/>
      <w:lvlJc w:val="left"/>
      <w:pPr>
        <w:ind w:left="2409" w:hanging="360"/>
      </w:pPr>
      <w:rPr>
        <w:rFonts w:ascii="Wingdings" w:hAnsi="Wingdings" w:hint="default"/>
      </w:rPr>
    </w:lvl>
    <w:lvl w:ilvl="3" w:tplc="A6FA7536">
      <w:start w:val="1"/>
      <w:numFmt w:val="bullet"/>
      <w:lvlText w:val=""/>
      <w:lvlJc w:val="left"/>
      <w:pPr>
        <w:ind w:left="3129" w:hanging="360"/>
      </w:pPr>
      <w:rPr>
        <w:rFonts w:ascii="Symbol" w:hAnsi="Symbol" w:hint="default"/>
      </w:rPr>
    </w:lvl>
    <w:lvl w:ilvl="4" w:tplc="FF5C0D14">
      <w:start w:val="1"/>
      <w:numFmt w:val="bullet"/>
      <w:lvlText w:val="o"/>
      <w:lvlJc w:val="left"/>
      <w:pPr>
        <w:ind w:left="3849" w:hanging="360"/>
      </w:pPr>
      <w:rPr>
        <w:rFonts w:ascii="Courier New" w:hAnsi="Courier New" w:cs="Courier New" w:hint="default"/>
      </w:rPr>
    </w:lvl>
    <w:lvl w:ilvl="5" w:tplc="FB544FB4">
      <w:start w:val="1"/>
      <w:numFmt w:val="bullet"/>
      <w:lvlText w:val=""/>
      <w:lvlJc w:val="left"/>
      <w:pPr>
        <w:ind w:left="4569" w:hanging="360"/>
      </w:pPr>
      <w:rPr>
        <w:rFonts w:ascii="Wingdings" w:hAnsi="Wingdings" w:hint="default"/>
      </w:rPr>
    </w:lvl>
    <w:lvl w:ilvl="6" w:tplc="32AAF09E" w:tentative="1">
      <w:start w:val="1"/>
      <w:numFmt w:val="bullet"/>
      <w:lvlText w:val=""/>
      <w:lvlJc w:val="left"/>
      <w:pPr>
        <w:ind w:left="5289" w:hanging="360"/>
      </w:pPr>
      <w:rPr>
        <w:rFonts w:ascii="Symbol" w:hAnsi="Symbol" w:hint="default"/>
      </w:rPr>
    </w:lvl>
    <w:lvl w:ilvl="7" w:tplc="81BA60AA" w:tentative="1">
      <w:start w:val="1"/>
      <w:numFmt w:val="bullet"/>
      <w:lvlText w:val="o"/>
      <w:lvlJc w:val="left"/>
      <w:pPr>
        <w:ind w:left="6009" w:hanging="360"/>
      </w:pPr>
      <w:rPr>
        <w:rFonts w:ascii="Courier New" w:hAnsi="Courier New" w:cs="Courier New" w:hint="default"/>
      </w:rPr>
    </w:lvl>
    <w:lvl w:ilvl="8" w:tplc="F52EA58C" w:tentative="1">
      <w:start w:val="1"/>
      <w:numFmt w:val="bullet"/>
      <w:lvlText w:val=""/>
      <w:lvlJc w:val="left"/>
      <w:pPr>
        <w:ind w:left="6729" w:hanging="360"/>
      </w:pPr>
      <w:rPr>
        <w:rFonts w:ascii="Wingdings" w:hAnsi="Wingdings" w:hint="default"/>
      </w:rPr>
    </w:lvl>
  </w:abstractNum>
  <w:abstractNum w:abstractNumId="38" w15:restartNumberingAfterBreak="0">
    <w:nsid w:val="669658B2"/>
    <w:multiLevelType w:val="hybridMultilevel"/>
    <w:tmpl w:val="E514B9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9DC5ACF"/>
    <w:multiLevelType w:val="hybridMultilevel"/>
    <w:tmpl w:val="00981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A2B4DC3"/>
    <w:multiLevelType w:val="hybridMultilevel"/>
    <w:tmpl w:val="36189BF8"/>
    <w:lvl w:ilvl="0" w:tplc="6C44063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15:restartNumberingAfterBreak="0">
    <w:nsid w:val="6F140F9F"/>
    <w:multiLevelType w:val="hybridMultilevel"/>
    <w:tmpl w:val="22C2D6BA"/>
    <w:lvl w:ilvl="0" w:tplc="209E95B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0787EC1"/>
    <w:multiLevelType w:val="hybridMultilevel"/>
    <w:tmpl w:val="F7586F3A"/>
    <w:lvl w:ilvl="0" w:tplc="A2E6E758">
      <w:start w:val="1"/>
      <w:numFmt w:val="bullet"/>
      <w:pStyle w:val="dotpoint"/>
      <w:lvlText w:val=""/>
      <w:lvlJc w:val="left"/>
      <w:pPr>
        <w:tabs>
          <w:tab w:val="num" w:pos="644"/>
        </w:tabs>
        <w:ind w:left="587" w:hanging="227"/>
      </w:pPr>
      <w:rPr>
        <w:rFonts w:ascii="Symbol" w:hAnsi="Symbol" w:hint="default"/>
        <w:b w:val="0"/>
        <w:i w:val="0"/>
        <w:color w:val="auto"/>
        <w:sz w:val="24"/>
        <w:szCs w:val="24"/>
      </w:rPr>
    </w:lvl>
    <w:lvl w:ilvl="1" w:tplc="B1FA5562">
      <w:start w:val="1"/>
      <w:numFmt w:val="bullet"/>
      <w:lvlText w:val="-"/>
      <w:lvlJc w:val="left"/>
      <w:pPr>
        <w:tabs>
          <w:tab w:val="num" w:pos="1800"/>
        </w:tabs>
        <w:ind w:left="1800" w:hanging="360"/>
      </w:pPr>
      <w:rPr>
        <w:rFonts w:ascii="Times New Roman" w:hAnsi="Times New Roman" w:cs="Times New Roman" w:hint="default"/>
      </w:rPr>
    </w:lvl>
    <w:lvl w:ilvl="2" w:tplc="FB34B2C2" w:tentative="1">
      <w:start w:val="1"/>
      <w:numFmt w:val="bullet"/>
      <w:lvlText w:val=""/>
      <w:lvlJc w:val="left"/>
      <w:pPr>
        <w:tabs>
          <w:tab w:val="num" w:pos="2520"/>
        </w:tabs>
        <w:ind w:left="2520" w:hanging="360"/>
      </w:pPr>
      <w:rPr>
        <w:rFonts w:ascii="Wingdings" w:hAnsi="Wingdings" w:hint="default"/>
      </w:rPr>
    </w:lvl>
    <w:lvl w:ilvl="3" w:tplc="478C5B3E" w:tentative="1">
      <w:start w:val="1"/>
      <w:numFmt w:val="bullet"/>
      <w:lvlText w:val=""/>
      <w:lvlJc w:val="left"/>
      <w:pPr>
        <w:tabs>
          <w:tab w:val="num" w:pos="3240"/>
        </w:tabs>
        <w:ind w:left="3240" w:hanging="360"/>
      </w:pPr>
      <w:rPr>
        <w:rFonts w:ascii="Symbol" w:hAnsi="Symbol" w:hint="default"/>
      </w:rPr>
    </w:lvl>
    <w:lvl w:ilvl="4" w:tplc="F2EAA55C" w:tentative="1">
      <w:start w:val="1"/>
      <w:numFmt w:val="bullet"/>
      <w:lvlText w:val="o"/>
      <w:lvlJc w:val="left"/>
      <w:pPr>
        <w:tabs>
          <w:tab w:val="num" w:pos="3960"/>
        </w:tabs>
        <w:ind w:left="3960" w:hanging="360"/>
      </w:pPr>
      <w:rPr>
        <w:rFonts w:ascii="Courier New" w:hAnsi="Courier New" w:cs="Courier New" w:hint="default"/>
      </w:rPr>
    </w:lvl>
    <w:lvl w:ilvl="5" w:tplc="2FAE8330" w:tentative="1">
      <w:start w:val="1"/>
      <w:numFmt w:val="bullet"/>
      <w:lvlText w:val=""/>
      <w:lvlJc w:val="left"/>
      <w:pPr>
        <w:tabs>
          <w:tab w:val="num" w:pos="4680"/>
        </w:tabs>
        <w:ind w:left="4680" w:hanging="360"/>
      </w:pPr>
      <w:rPr>
        <w:rFonts w:ascii="Wingdings" w:hAnsi="Wingdings" w:hint="default"/>
      </w:rPr>
    </w:lvl>
    <w:lvl w:ilvl="6" w:tplc="4E7C785A" w:tentative="1">
      <w:start w:val="1"/>
      <w:numFmt w:val="bullet"/>
      <w:lvlText w:val=""/>
      <w:lvlJc w:val="left"/>
      <w:pPr>
        <w:tabs>
          <w:tab w:val="num" w:pos="5400"/>
        </w:tabs>
        <w:ind w:left="5400" w:hanging="360"/>
      </w:pPr>
      <w:rPr>
        <w:rFonts w:ascii="Symbol" w:hAnsi="Symbol" w:hint="default"/>
      </w:rPr>
    </w:lvl>
    <w:lvl w:ilvl="7" w:tplc="744E438A" w:tentative="1">
      <w:start w:val="1"/>
      <w:numFmt w:val="bullet"/>
      <w:lvlText w:val="o"/>
      <w:lvlJc w:val="left"/>
      <w:pPr>
        <w:tabs>
          <w:tab w:val="num" w:pos="6120"/>
        </w:tabs>
        <w:ind w:left="6120" w:hanging="360"/>
      </w:pPr>
      <w:rPr>
        <w:rFonts w:ascii="Courier New" w:hAnsi="Courier New" w:cs="Courier New" w:hint="default"/>
      </w:rPr>
    </w:lvl>
    <w:lvl w:ilvl="8" w:tplc="7D9A0EBA"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2556E59"/>
    <w:multiLevelType w:val="hybridMultilevel"/>
    <w:tmpl w:val="418AC3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49F456A"/>
    <w:multiLevelType w:val="hybridMultilevel"/>
    <w:tmpl w:val="6DC6A10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62964D5"/>
    <w:multiLevelType w:val="multilevel"/>
    <w:tmpl w:val="EA5E96EA"/>
    <w:styleLink w:val="KeyPoints"/>
    <w:lvl w:ilvl="0">
      <w:start w:val="1"/>
      <w:numFmt w:val="decimal"/>
      <w:pStyle w:val="1NumberPointsStyle"/>
      <w:lvlText w:val="%1."/>
      <w:lvlJc w:val="left"/>
      <w:pPr>
        <w:ind w:left="369" w:hanging="369"/>
      </w:pPr>
      <w:rPr>
        <w:rFonts w:asciiTheme="minorHAnsi" w:hAnsiTheme="minorHAnsi" w:hint="default"/>
        <w:sz w:val="22"/>
      </w:rPr>
    </w:lvl>
    <w:lvl w:ilvl="1">
      <w:start w:val="1"/>
      <w:numFmt w:val="lowerLetter"/>
      <w:lvlText w:val="%2."/>
      <w:lvlJc w:val="left"/>
      <w:pPr>
        <w:ind w:left="737" w:hanging="368"/>
      </w:pPr>
      <w:rPr>
        <w:rFonts w:hint="default"/>
      </w:rPr>
    </w:lvl>
    <w:lvl w:ilvl="2">
      <w:start w:val="1"/>
      <w:numFmt w:val="lowerRoman"/>
      <w:lvlText w:val="%3."/>
      <w:lvlJc w:val="left"/>
      <w:pPr>
        <w:ind w:left="1106" w:hanging="369"/>
      </w:pPr>
      <w:rPr>
        <w:rFonts w:hint="default"/>
      </w:rPr>
    </w:lvl>
    <w:lvl w:ilvl="3">
      <w:start w:val="1"/>
      <w:numFmt w:val="none"/>
      <w:lvlText w:val=""/>
      <w:lvlJc w:val="left"/>
      <w:pPr>
        <w:ind w:left="1111" w:hanging="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8AB0CA8"/>
    <w:multiLevelType w:val="hybridMultilevel"/>
    <w:tmpl w:val="612C5BE6"/>
    <w:lvl w:ilvl="0" w:tplc="6C440634">
      <w:start w:val="3"/>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5E0BE9"/>
    <w:multiLevelType w:val="hybridMultilevel"/>
    <w:tmpl w:val="E506D720"/>
    <w:lvl w:ilvl="0" w:tplc="FD12682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3"/>
  </w:num>
  <w:num w:numId="2">
    <w:abstractNumId w:val="19"/>
  </w:num>
  <w:num w:numId="3">
    <w:abstractNumId w:val="28"/>
  </w:num>
  <w:num w:numId="4">
    <w:abstractNumId w:val="29"/>
  </w:num>
  <w:num w:numId="5">
    <w:abstractNumId w:val="18"/>
  </w:num>
  <w:num w:numId="6">
    <w:abstractNumId w:val="45"/>
  </w:num>
  <w:num w:numId="7">
    <w:abstractNumId w:val="10"/>
    <w:lvlOverride w:ilvl="0">
      <w:lvl w:ilvl="0">
        <w:start w:val="1"/>
        <w:numFmt w:val="decimal"/>
        <w:pStyle w:val="1NumberPointsStyle"/>
        <w:lvlText w:val="%1."/>
        <w:lvlJc w:val="left"/>
        <w:pPr>
          <w:ind w:left="369" w:hanging="369"/>
        </w:pPr>
        <w:rPr>
          <w:rFonts w:ascii="Times New Roman" w:hAnsi="Times New Roman" w:cs="Times New Roman" w:hint="default"/>
          <w:b w:val="0"/>
          <w:i w:val="0"/>
          <w:sz w:val="24"/>
          <w:szCs w:val="24"/>
        </w:rPr>
      </w:lvl>
    </w:lvlOverride>
    <w:lvlOverride w:ilvl="1">
      <w:lvl w:ilvl="1">
        <w:start w:val="1"/>
        <w:numFmt w:val="lowerLetter"/>
        <w:lvlText w:val="%2."/>
        <w:lvlJc w:val="left"/>
        <w:pPr>
          <w:ind w:left="737" w:hanging="368"/>
        </w:pPr>
        <w:rPr>
          <w:rFonts w:hint="default"/>
          <w:i w:val="0"/>
        </w:rPr>
      </w:lvl>
    </w:lvlOverride>
    <w:lvlOverride w:ilvl="2">
      <w:lvl w:ilvl="2">
        <w:start w:val="1"/>
        <w:numFmt w:val="lowerRoman"/>
        <w:lvlText w:val="%3."/>
        <w:lvlJc w:val="left"/>
        <w:pPr>
          <w:ind w:left="1106" w:hanging="369"/>
        </w:pPr>
        <w:rPr>
          <w:rFonts w:hint="default"/>
        </w:rPr>
      </w:lvl>
    </w:lvlOverride>
    <w:lvlOverride w:ilvl="3">
      <w:lvl w:ilvl="3">
        <w:start w:val="1"/>
        <w:numFmt w:val="none"/>
        <w:lvlText w:val=""/>
        <w:lvlJc w:val="left"/>
        <w:pPr>
          <w:ind w:left="1111" w:hanging="5"/>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abstractNumId w:val="4"/>
  </w:num>
  <w:num w:numId="9">
    <w:abstractNumId w:val="42"/>
  </w:num>
  <w:num w:numId="10">
    <w:abstractNumId w:val="7"/>
  </w:num>
  <w:num w:numId="11">
    <w:abstractNumId w:val="31"/>
  </w:num>
  <w:num w:numId="12">
    <w:abstractNumId w:val="12"/>
  </w:num>
  <w:num w:numId="13">
    <w:abstractNumId w:val="40"/>
  </w:num>
  <w:num w:numId="14">
    <w:abstractNumId w:val="46"/>
  </w:num>
  <w:num w:numId="15">
    <w:abstractNumId w:val="0"/>
  </w:num>
  <w:num w:numId="16">
    <w:abstractNumId w:val="6"/>
  </w:num>
  <w:num w:numId="17">
    <w:abstractNumId w:val="30"/>
  </w:num>
  <w:num w:numId="18">
    <w:abstractNumId w:val="25"/>
    <w:lvlOverride w:ilvl="2">
      <w:lvl w:ilvl="2">
        <w:start w:val="1"/>
        <w:numFmt w:val="decimal"/>
        <w:lvlText w:val="%1.%2.%3."/>
        <w:lvlJc w:val="left"/>
        <w:pPr>
          <w:ind w:left="1072" w:hanging="504"/>
        </w:pPr>
        <w:rPr>
          <w:rFonts w:ascii="Times New Roman" w:hAnsi="Times New Roman"/>
          <w:b w:val="0"/>
          <w:sz w:val="22"/>
        </w:rPr>
      </w:lvl>
    </w:lvlOverride>
  </w:num>
  <w:num w:numId="19">
    <w:abstractNumId w:val="26"/>
  </w:num>
  <w:num w:numId="20">
    <w:abstractNumId w:val="22"/>
  </w:num>
  <w:num w:numId="21">
    <w:abstractNumId w:val="44"/>
  </w:num>
  <w:num w:numId="22">
    <w:abstractNumId w:val="39"/>
  </w:num>
  <w:num w:numId="23">
    <w:abstractNumId w:val="5"/>
  </w:num>
  <w:num w:numId="24">
    <w:abstractNumId w:val="15"/>
  </w:num>
  <w:num w:numId="25">
    <w:abstractNumId w:val="11"/>
  </w:num>
  <w:num w:numId="26">
    <w:abstractNumId w:val="3"/>
  </w:num>
  <w:num w:numId="27">
    <w:abstractNumId w:val="1"/>
  </w:num>
  <w:num w:numId="28">
    <w:abstractNumId w:val="38"/>
  </w:num>
  <w:num w:numId="29">
    <w:abstractNumId w:val="27"/>
  </w:num>
  <w:num w:numId="30">
    <w:abstractNumId w:val="41"/>
  </w:num>
  <w:num w:numId="31">
    <w:abstractNumId w:val="17"/>
  </w:num>
  <w:num w:numId="32">
    <w:abstractNumId w:val="21"/>
  </w:num>
  <w:num w:numId="33">
    <w:abstractNumId w:val="16"/>
  </w:num>
  <w:num w:numId="34">
    <w:abstractNumId w:val="9"/>
  </w:num>
  <w:num w:numId="35">
    <w:abstractNumId w:val="37"/>
  </w:num>
  <w:num w:numId="36">
    <w:abstractNumId w:val="14"/>
  </w:num>
  <w:num w:numId="37">
    <w:abstractNumId w:val="2"/>
  </w:num>
  <w:num w:numId="38">
    <w:abstractNumId w:val="43"/>
  </w:num>
  <w:num w:numId="39">
    <w:abstractNumId w:val="32"/>
  </w:num>
  <w:num w:numId="40">
    <w:abstractNumId w:val="36"/>
  </w:num>
  <w:num w:numId="41">
    <w:abstractNumId w:val="34"/>
  </w:num>
  <w:num w:numId="42">
    <w:abstractNumId w:val="24"/>
  </w:num>
  <w:num w:numId="43">
    <w:abstractNumId w:val="13"/>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7"/>
  </w:num>
  <w:num w:numId="46">
    <w:abstractNumId w:val="35"/>
  </w:num>
  <w:num w:numId="47">
    <w:abstractNumId w:val="20"/>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73F5860-2694-4218-86D5-CDCA060ED47A}"/>
    <w:docVar w:name="dgnword-eventsink" w:val="136371920"/>
  </w:docVars>
  <w:rsids>
    <w:rsidRoot w:val="008A04CE"/>
    <w:rsid w:val="00000036"/>
    <w:rsid w:val="000027BC"/>
    <w:rsid w:val="00002B85"/>
    <w:rsid w:val="00003F6F"/>
    <w:rsid w:val="00004E98"/>
    <w:rsid w:val="00010501"/>
    <w:rsid w:val="00015CD0"/>
    <w:rsid w:val="000164C7"/>
    <w:rsid w:val="000200C4"/>
    <w:rsid w:val="00020E4E"/>
    <w:rsid w:val="00021F43"/>
    <w:rsid w:val="0002235F"/>
    <w:rsid w:val="000234A2"/>
    <w:rsid w:val="000312D0"/>
    <w:rsid w:val="00037185"/>
    <w:rsid w:val="00040873"/>
    <w:rsid w:val="00041555"/>
    <w:rsid w:val="00041FFA"/>
    <w:rsid w:val="000422FE"/>
    <w:rsid w:val="000447F3"/>
    <w:rsid w:val="0004591E"/>
    <w:rsid w:val="000478AB"/>
    <w:rsid w:val="000525BE"/>
    <w:rsid w:val="0005357B"/>
    <w:rsid w:val="0005508E"/>
    <w:rsid w:val="00061EEA"/>
    <w:rsid w:val="000646E5"/>
    <w:rsid w:val="0006484F"/>
    <w:rsid w:val="00064ABF"/>
    <w:rsid w:val="000656AA"/>
    <w:rsid w:val="00080E30"/>
    <w:rsid w:val="00090193"/>
    <w:rsid w:val="000901B3"/>
    <w:rsid w:val="000927AD"/>
    <w:rsid w:val="0009527D"/>
    <w:rsid w:val="000A026B"/>
    <w:rsid w:val="000A3A9A"/>
    <w:rsid w:val="000A4A56"/>
    <w:rsid w:val="000A594E"/>
    <w:rsid w:val="000A78B1"/>
    <w:rsid w:val="000B0A52"/>
    <w:rsid w:val="000B341A"/>
    <w:rsid w:val="000B7622"/>
    <w:rsid w:val="000C05A6"/>
    <w:rsid w:val="000C0980"/>
    <w:rsid w:val="000C0DAD"/>
    <w:rsid w:val="000C1356"/>
    <w:rsid w:val="000C1FFF"/>
    <w:rsid w:val="000C4629"/>
    <w:rsid w:val="000D4C08"/>
    <w:rsid w:val="000D6134"/>
    <w:rsid w:val="000D69F9"/>
    <w:rsid w:val="000E1505"/>
    <w:rsid w:val="000E3B02"/>
    <w:rsid w:val="000E3C89"/>
    <w:rsid w:val="000E7722"/>
    <w:rsid w:val="000E7B5D"/>
    <w:rsid w:val="000F025C"/>
    <w:rsid w:val="000F0B6E"/>
    <w:rsid w:val="000F0B92"/>
    <w:rsid w:val="000F68A2"/>
    <w:rsid w:val="000F6B3A"/>
    <w:rsid w:val="000F794B"/>
    <w:rsid w:val="00102F15"/>
    <w:rsid w:val="001045FA"/>
    <w:rsid w:val="001059AC"/>
    <w:rsid w:val="00105FFA"/>
    <w:rsid w:val="0011769D"/>
    <w:rsid w:val="00120637"/>
    <w:rsid w:val="001233F8"/>
    <w:rsid w:val="0013002B"/>
    <w:rsid w:val="0014275E"/>
    <w:rsid w:val="001453C2"/>
    <w:rsid w:val="00146F3E"/>
    <w:rsid w:val="001536CB"/>
    <w:rsid w:val="00154034"/>
    <w:rsid w:val="00166A40"/>
    <w:rsid w:val="00170B8F"/>
    <w:rsid w:val="00173D14"/>
    <w:rsid w:val="00174EEE"/>
    <w:rsid w:val="00182877"/>
    <w:rsid w:val="0018349F"/>
    <w:rsid w:val="0018471F"/>
    <w:rsid w:val="0018690D"/>
    <w:rsid w:val="00187DC8"/>
    <w:rsid w:val="00193CBC"/>
    <w:rsid w:val="00195EA4"/>
    <w:rsid w:val="0019655A"/>
    <w:rsid w:val="001A2332"/>
    <w:rsid w:val="001A32EA"/>
    <w:rsid w:val="001A4EA3"/>
    <w:rsid w:val="001B1786"/>
    <w:rsid w:val="001B3ABC"/>
    <w:rsid w:val="001B6FFA"/>
    <w:rsid w:val="001C19F3"/>
    <w:rsid w:val="001C3C26"/>
    <w:rsid w:val="001C4C9C"/>
    <w:rsid w:val="001C6C7D"/>
    <w:rsid w:val="001C6DA5"/>
    <w:rsid w:val="001D5986"/>
    <w:rsid w:val="001D6A60"/>
    <w:rsid w:val="001D74FC"/>
    <w:rsid w:val="001F131A"/>
    <w:rsid w:val="001F3AB9"/>
    <w:rsid w:val="001F45E3"/>
    <w:rsid w:val="001F5A27"/>
    <w:rsid w:val="001F69DD"/>
    <w:rsid w:val="00204F39"/>
    <w:rsid w:val="002065FA"/>
    <w:rsid w:val="00224990"/>
    <w:rsid w:val="0022651F"/>
    <w:rsid w:val="002266EC"/>
    <w:rsid w:val="0023272C"/>
    <w:rsid w:val="00232C2E"/>
    <w:rsid w:val="00236156"/>
    <w:rsid w:val="00240BD8"/>
    <w:rsid w:val="00246DED"/>
    <w:rsid w:val="002517E7"/>
    <w:rsid w:val="002549D7"/>
    <w:rsid w:val="00255FAF"/>
    <w:rsid w:val="00257745"/>
    <w:rsid w:val="00260197"/>
    <w:rsid w:val="002613D5"/>
    <w:rsid w:val="00263B67"/>
    <w:rsid w:val="00265084"/>
    <w:rsid w:val="002656CC"/>
    <w:rsid w:val="00265988"/>
    <w:rsid w:val="00265D16"/>
    <w:rsid w:val="002669A5"/>
    <w:rsid w:val="0027039B"/>
    <w:rsid w:val="002712B6"/>
    <w:rsid w:val="00271BB9"/>
    <w:rsid w:val="00273BB9"/>
    <w:rsid w:val="0027503D"/>
    <w:rsid w:val="0027673F"/>
    <w:rsid w:val="002772B3"/>
    <w:rsid w:val="00281C49"/>
    <w:rsid w:val="00282D3F"/>
    <w:rsid w:val="00292E4F"/>
    <w:rsid w:val="002940CF"/>
    <w:rsid w:val="002A0211"/>
    <w:rsid w:val="002A500B"/>
    <w:rsid w:val="002A695C"/>
    <w:rsid w:val="002D0605"/>
    <w:rsid w:val="002D2231"/>
    <w:rsid w:val="002D3BD8"/>
    <w:rsid w:val="002D5ADC"/>
    <w:rsid w:val="002E1409"/>
    <w:rsid w:val="002E1900"/>
    <w:rsid w:val="002E782E"/>
    <w:rsid w:val="002E7DE5"/>
    <w:rsid w:val="002F0158"/>
    <w:rsid w:val="002F3A49"/>
    <w:rsid w:val="002F3D57"/>
    <w:rsid w:val="002F43FE"/>
    <w:rsid w:val="002F6454"/>
    <w:rsid w:val="002F716F"/>
    <w:rsid w:val="003007F2"/>
    <w:rsid w:val="00305A1A"/>
    <w:rsid w:val="0031093C"/>
    <w:rsid w:val="00316462"/>
    <w:rsid w:val="00316C07"/>
    <w:rsid w:val="00317A4E"/>
    <w:rsid w:val="003220D1"/>
    <w:rsid w:val="00322C0B"/>
    <w:rsid w:val="00322C87"/>
    <w:rsid w:val="00322E8B"/>
    <w:rsid w:val="0033014B"/>
    <w:rsid w:val="003309F3"/>
    <w:rsid w:val="00330BA7"/>
    <w:rsid w:val="00333F01"/>
    <w:rsid w:val="003348D0"/>
    <w:rsid w:val="00336EEF"/>
    <w:rsid w:val="00346A5B"/>
    <w:rsid w:val="00350467"/>
    <w:rsid w:val="003557E2"/>
    <w:rsid w:val="00355F94"/>
    <w:rsid w:val="00357445"/>
    <w:rsid w:val="00362491"/>
    <w:rsid w:val="00362A64"/>
    <w:rsid w:val="003646A0"/>
    <w:rsid w:val="0037350B"/>
    <w:rsid w:val="00375342"/>
    <w:rsid w:val="00375543"/>
    <w:rsid w:val="0037573C"/>
    <w:rsid w:val="00381544"/>
    <w:rsid w:val="0038322D"/>
    <w:rsid w:val="003850BF"/>
    <w:rsid w:val="00385CC9"/>
    <w:rsid w:val="003906CF"/>
    <w:rsid w:val="0039132B"/>
    <w:rsid w:val="00393462"/>
    <w:rsid w:val="003A3E0E"/>
    <w:rsid w:val="003A51AA"/>
    <w:rsid w:val="003A7262"/>
    <w:rsid w:val="003A79D7"/>
    <w:rsid w:val="003B0829"/>
    <w:rsid w:val="003B0FAB"/>
    <w:rsid w:val="003B2BAF"/>
    <w:rsid w:val="003B7EBE"/>
    <w:rsid w:val="003C2E40"/>
    <w:rsid w:val="003C338A"/>
    <w:rsid w:val="003C6B1B"/>
    <w:rsid w:val="003C7C96"/>
    <w:rsid w:val="003D1D5B"/>
    <w:rsid w:val="003D7D6E"/>
    <w:rsid w:val="003E1028"/>
    <w:rsid w:val="003E469D"/>
    <w:rsid w:val="003F11F9"/>
    <w:rsid w:val="00404499"/>
    <w:rsid w:val="004078C7"/>
    <w:rsid w:val="00412D4F"/>
    <w:rsid w:val="00414FF8"/>
    <w:rsid w:val="00421181"/>
    <w:rsid w:val="004235AB"/>
    <w:rsid w:val="00425523"/>
    <w:rsid w:val="0042552C"/>
    <w:rsid w:val="00425A81"/>
    <w:rsid w:val="00433511"/>
    <w:rsid w:val="00437822"/>
    <w:rsid w:val="00441BB3"/>
    <w:rsid w:val="004429C1"/>
    <w:rsid w:val="00445496"/>
    <w:rsid w:val="00446F61"/>
    <w:rsid w:val="00447437"/>
    <w:rsid w:val="0045120C"/>
    <w:rsid w:val="0045414F"/>
    <w:rsid w:val="0045778F"/>
    <w:rsid w:val="00461FB8"/>
    <w:rsid w:val="00462ADC"/>
    <w:rsid w:val="0046505A"/>
    <w:rsid w:val="00470877"/>
    <w:rsid w:val="00470B44"/>
    <w:rsid w:val="00473586"/>
    <w:rsid w:val="00475AC5"/>
    <w:rsid w:val="00475DA8"/>
    <w:rsid w:val="00476F10"/>
    <w:rsid w:val="00477406"/>
    <w:rsid w:val="00482905"/>
    <w:rsid w:val="00483290"/>
    <w:rsid w:val="004874E7"/>
    <w:rsid w:val="00491991"/>
    <w:rsid w:val="00492C75"/>
    <w:rsid w:val="00492DB7"/>
    <w:rsid w:val="004931D2"/>
    <w:rsid w:val="00494EA6"/>
    <w:rsid w:val="004958DE"/>
    <w:rsid w:val="004A5D6D"/>
    <w:rsid w:val="004A7557"/>
    <w:rsid w:val="004C30C3"/>
    <w:rsid w:val="004C4B45"/>
    <w:rsid w:val="004C6175"/>
    <w:rsid w:val="004C64E6"/>
    <w:rsid w:val="004D0665"/>
    <w:rsid w:val="004E047A"/>
    <w:rsid w:val="004E291E"/>
    <w:rsid w:val="004E396F"/>
    <w:rsid w:val="004F5909"/>
    <w:rsid w:val="004F7015"/>
    <w:rsid w:val="004F79D1"/>
    <w:rsid w:val="00515EFB"/>
    <w:rsid w:val="005162F8"/>
    <w:rsid w:val="00522FD4"/>
    <w:rsid w:val="00523170"/>
    <w:rsid w:val="005253F0"/>
    <w:rsid w:val="005266D7"/>
    <w:rsid w:val="00527EFF"/>
    <w:rsid w:val="00527F51"/>
    <w:rsid w:val="00530F32"/>
    <w:rsid w:val="00533D91"/>
    <w:rsid w:val="00536EE8"/>
    <w:rsid w:val="00540AF0"/>
    <w:rsid w:val="0054186F"/>
    <w:rsid w:val="0054686B"/>
    <w:rsid w:val="00547D55"/>
    <w:rsid w:val="0055097B"/>
    <w:rsid w:val="00551FEC"/>
    <w:rsid w:val="0055231B"/>
    <w:rsid w:val="0055351A"/>
    <w:rsid w:val="005563A8"/>
    <w:rsid w:val="00563AF6"/>
    <w:rsid w:val="00565046"/>
    <w:rsid w:val="00567ED5"/>
    <w:rsid w:val="00572381"/>
    <w:rsid w:val="0057270D"/>
    <w:rsid w:val="005727D1"/>
    <w:rsid w:val="00573C0B"/>
    <w:rsid w:val="00576A3B"/>
    <w:rsid w:val="00581985"/>
    <w:rsid w:val="00582D39"/>
    <w:rsid w:val="00585B90"/>
    <w:rsid w:val="00591536"/>
    <w:rsid w:val="005A1E7B"/>
    <w:rsid w:val="005A1F0E"/>
    <w:rsid w:val="005A6920"/>
    <w:rsid w:val="005C11F0"/>
    <w:rsid w:val="005C1984"/>
    <w:rsid w:val="005C32AF"/>
    <w:rsid w:val="005C39AA"/>
    <w:rsid w:val="005D09A0"/>
    <w:rsid w:val="005D215B"/>
    <w:rsid w:val="005D4DFD"/>
    <w:rsid w:val="005D590B"/>
    <w:rsid w:val="005D5FE0"/>
    <w:rsid w:val="005E06BF"/>
    <w:rsid w:val="005E0823"/>
    <w:rsid w:val="005E5355"/>
    <w:rsid w:val="005E6415"/>
    <w:rsid w:val="005F1099"/>
    <w:rsid w:val="005F5A9F"/>
    <w:rsid w:val="005F6747"/>
    <w:rsid w:val="00600FAE"/>
    <w:rsid w:val="00601E93"/>
    <w:rsid w:val="00602733"/>
    <w:rsid w:val="006056CC"/>
    <w:rsid w:val="00611DC1"/>
    <w:rsid w:val="0061203E"/>
    <w:rsid w:val="00612586"/>
    <w:rsid w:val="00612613"/>
    <w:rsid w:val="006142F1"/>
    <w:rsid w:val="00614FB2"/>
    <w:rsid w:val="006156E0"/>
    <w:rsid w:val="00622D3D"/>
    <w:rsid w:val="00627FE3"/>
    <w:rsid w:val="00636F5B"/>
    <w:rsid w:val="006443C9"/>
    <w:rsid w:val="0064451B"/>
    <w:rsid w:val="00645504"/>
    <w:rsid w:val="00647D20"/>
    <w:rsid w:val="00651107"/>
    <w:rsid w:val="00652571"/>
    <w:rsid w:val="00652FF3"/>
    <w:rsid w:val="00664B2E"/>
    <w:rsid w:val="00665BEB"/>
    <w:rsid w:val="00667A35"/>
    <w:rsid w:val="006702DA"/>
    <w:rsid w:val="00670F09"/>
    <w:rsid w:val="00674922"/>
    <w:rsid w:val="00677433"/>
    <w:rsid w:val="00680B62"/>
    <w:rsid w:val="006824F4"/>
    <w:rsid w:val="00683B31"/>
    <w:rsid w:val="00685A48"/>
    <w:rsid w:val="00685D5B"/>
    <w:rsid w:val="0069007B"/>
    <w:rsid w:val="006919B5"/>
    <w:rsid w:val="00693E9B"/>
    <w:rsid w:val="0069521E"/>
    <w:rsid w:val="00695714"/>
    <w:rsid w:val="00697BD5"/>
    <w:rsid w:val="006A10BD"/>
    <w:rsid w:val="006A321B"/>
    <w:rsid w:val="006A38BF"/>
    <w:rsid w:val="006A43D4"/>
    <w:rsid w:val="006A4B2B"/>
    <w:rsid w:val="006A72DA"/>
    <w:rsid w:val="006A7C53"/>
    <w:rsid w:val="006B3D1E"/>
    <w:rsid w:val="006C198B"/>
    <w:rsid w:val="006C1AF6"/>
    <w:rsid w:val="006C3986"/>
    <w:rsid w:val="006C70CD"/>
    <w:rsid w:val="006E0308"/>
    <w:rsid w:val="006E3A18"/>
    <w:rsid w:val="006E3AD1"/>
    <w:rsid w:val="006E4749"/>
    <w:rsid w:val="006E4DAB"/>
    <w:rsid w:val="006F2C7E"/>
    <w:rsid w:val="006F396F"/>
    <w:rsid w:val="006F558E"/>
    <w:rsid w:val="00704FF4"/>
    <w:rsid w:val="0070523A"/>
    <w:rsid w:val="00710D41"/>
    <w:rsid w:val="00712008"/>
    <w:rsid w:val="007125D6"/>
    <w:rsid w:val="00712A71"/>
    <w:rsid w:val="00715B05"/>
    <w:rsid w:val="00716DCC"/>
    <w:rsid w:val="007246D0"/>
    <w:rsid w:val="007261EE"/>
    <w:rsid w:val="00732953"/>
    <w:rsid w:val="0074001E"/>
    <w:rsid w:val="00743033"/>
    <w:rsid w:val="00743C48"/>
    <w:rsid w:val="0074539D"/>
    <w:rsid w:val="00746A7B"/>
    <w:rsid w:val="00747109"/>
    <w:rsid w:val="00750ACC"/>
    <w:rsid w:val="00752B42"/>
    <w:rsid w:val="00753C30"/>
    <w:rsid w:val="00756BD5"/>
    <w:rsid w:val="007661B0"/>
    <w:rsid w:val="007669EA"/>
    <w:rsid w:val="00766DD0"/>
    <w:rsid w:val="00770DCB"/>
    <w:rsid w:val="00770F67"/>
    <w:rsid w:val="0077243A"/>
    <w:rsid w:val="00777B7B"/>
    <w:rsid w:val="00780B0F"/>
    <w:rsid w:val="007818BE"/>
    <w:rsid w:val="007907FA"/>
    <w:rsid w:val="007931CA"/>
    <w:rsid w:val="00794072"/>
    <w:rsid w:val="007957EC"/>
    <w:rsid w:val="007A1A1C"/>
    <w:rsid w:val="007A28D2"/>
    <w:rsid w:val="007A3A9B"/>
    <w:rsid w:val="007A5B12"/>
    <w:rsid w:val="007A682E"/>
    <w:rsid w:val="007A6F82"/>
    <w:rsid w:val="007A710D"/>
    <w:rsid w:val="007A731A"/>
    <w:rsid w:val="007B17E0"/>
    <w:rsid w:val="007B22C0"/>
    <w:rsid w:val="007B5396"/>
    <w:rsid w:val="007C2EEE"/>
    <w:rsid w:val="007C35C5"/>
    <w:rsid w:val="007C6845"/>
    <w:rsid w:val="007C6A6D"/>
    <w:rsid w:val="007C6B56"/>
    <w:rsid w:val="007D0C2C"/>
    <w:rsid w:val="007D28B0"/>
    <w:rsid w:val="007D54A9"/>
    <w:rsid w:val="007E244B"/>
    <w:rsid w:val="007E6D7F"/>
    <w:rsid w:val="007F293A"/>
    <w:rsid w:val="007F464F"/>
    <w:rsid w:val="007F5197"/>
    <w:rsid w:val="0080011A"/>
    <w:rsid w:val="00800540"/>
    <w:rsid w:val="00801145"/>
    <w:rsid w:val="008024A7"/>
    <w:rsid w:val="00803A54"/>
    <w:rsid w:val="00805022"/>
    <w:rsid w:val="0080603B"/>
    <w:rsid w:val="00806877"/>
    <w:rsid w:val="008122DE"/>
    <w:rsid w:val="00821706"/>
    <w:rsid w:val="00821BAF"/>
    <w:rsid w:val="0082347B"/>
    <w:rsid w:val="00826154"/>
    <w:rsid w:val="008271DB"/>
    <w:rsid w:val="00827B2D"/>
    <w:rsid w:val="0083029C"/>
    <w:rsid w:val="00831207"/>
    <w:rsid w:val="0083173E"/>
    <w:rsid w:val="00831EC9"/>
    <w:rsid w:val="008362C7"/>
    <w:rsid w:val="0083684A"/>
    <w:rsid w:val="00845F62"/>
    <w:rsid w:val="00846251"/>
    <w:rsid w:val="00847AE5"/>
    <w:rsid w:val="00851203"/>
    <w:rsid w:val="008526AE"/>
    <w:rsid w:val="00852A22"/>
    <w:rsid w:val="008555FE"/>
    <w:rsid w:val="00855F5F"/>
    <w:rsid w:val="00857CBE"/>
    <w:rsid w:val="00857FB4"/>
    <w:rsid w:val="008620DA"/>
    <w:rsid w:val="00863D8B"/>
    <w:rsid w:val="00864CCE"/>
    <w:rsid w:val="00873069"/>
    <w:rsid w:val="00873479"/>
    <w:rsid w:val="00874D6E"/>
    <w:rsid w:val="00875EF9"/>
    <w:rsid w:val="00891BA7"/>
    <w:rsid w:val="0089439B"/>
    <w:rsid w:val="00897C98"/>
    <w:rsid w:val="00897CCC"/>
    <w:rsid w:val="008A04CE"/>
    <w:rsid w:val="008A1588"/>
    <w:rsid w:val="008A39D5"/>
    <w:rsid w:val="008A551E"/>
    <w:rsid w:val="008A7874"/>
    <w:rsid w:val="008A7AC3"/>
    <w:rsid w:val="008B117B"/>
    <w:rsid w:val="008B1D85"/>
    <w:rsid w:val="008B2EF3"/>
    <w:rsid w:val="008C0E8F"/>
    <w:rsid w:val="008C19C5"/>
    <w:rsid w:val="008C35E8"/>
    <w:rsid w:val="008C7800"/>
    <w:rsid w:val="008D4625"/>
    <w:rsid w:val="008D62E7"/>
    <w:rsid w:val="008D765B"/>
    <w:rsid w:val="008E7151"/>
    <w:rsid w:val="008F0139"/>
    <w:rsid w:val="008F0958"/>
    <w:rsid w:val="008F0D2B"/>
    <w:rsid w:val="008F2AF4"/>
    <w:rsid w:val="008F2C54"/>
    <w:rsid w:val="008F70E5"/>
    <w:rsid w:val="00901E75"/>
    <w:rsid w:val="009023E8"/>
    <w:rsid w:val="009064A1"/>
    <w:rsid w:val="00906BB1"/>
    <w:rsid w:val="0091134B"/>
    <w:rsid w:val="00912472"/>
    <w:rsid w:val="00913AAF"/>
    <w:rsid w:val="00913FB7"/>
    <w:rsid w:val="00920173"/>
    <w:rsid w:val="00923C37"/>
    <w:rsid w:val="00923D88"/>
    <w:rsid w:val="00925ACC"/>
    <w:rsid w:val="00925DE7"/>
    <w:rsid w:val="00926925"/>
    <w:rsid w:val="00926C6B"/>
    <w:rsid w:val="00926E1B"/>
    <w:rsid w:val="00931D3B"/>
    <w:rsid w:val="009320C0"/>
    <w:rsid w:val="00934F48"/>
    <w:rsid w:val="00944F54"/>
    <w:rsid w:val="0094542D"/>
    <w:rsid w:val="00952888"/>
    <w:rsid w:val="00953801"/>
    <w:rsid w:val="0095390F"/>
    <w:rsid w:val="00956B50"/>
    <w:rsid w:val="00960006"/>
    <w:rsid w:val="0096279D"/>
    <w:rsid w:val="009647A9"/>
    <w:rsid w:val="0096497C"/>
    <w:rsid w:val="00965857"/>
    <w:rsid w:val="00980E80"/>
    <w:rsid w:val="009821B6"/>
    <w:rsid w:val="0098238C"/>
    <w:rsid w:val="00982BB5"/>
    <w:rsid w:val="009865F4"/>
    <w:rsid w:val="00986C48"/>
    <w:rsid w:val="00991AD8"/>
    <w:rsid w:val="009928D9"/>
    <w:rsid w:val="0099522A"/>
    <w:rsid w:val="009959EC"/>
    <w:rsid w:val="00997338"/>
    <w:rsid w:val="009A37C3"/>
    <w:rsid w:val="009A5FC6"/>
    <w:rsid w:val="009B00A9"/>
    <w:rsid w:val="009B1250"/>
    <w:rsid w:val="009B14B9"/>
    <w:rsid w:val="009B40D7"/>
    <w:rsid w:val="009B5A63"/>
    <w:rsid w:val="009B6EAC"/>
    <w:rsid w:val="009B7AC6"/>
    <w:rsid w:val="009B7C38"/>
    <w:rsid w:val="009B7E74"/>
    <w:rsid w:val="009B7F10"/>
    <w:rsid w:val="009C39CD"/>
    <w:rsid w:val="009C7706"/>
    <w:rsid w:val="009D1000"/>
    <w:rsid w:val="009D1C27"/>
    <w:rsid w:val="009D1C86"/>
    <w:rsid w:val="009D3236"/>
    <w:rsid w:val="009D5A23"/>
    <w:rsid w:val="009D7A19"/>
    <w:rsid w:val="009E0659"/>
    <w:rsid w:val="009E0985"/>
    <w:rsid w:val="009E2914"/>
    <w:rsid w:val="009E56C4"/>
    <w:rsid w:val="009E682A"/>
    <w:rsid w:val="009F1EF0"/>
    <w:rsid w:val="009F333C"/>
    <w:rsid w:val="009F729D"/>
    <w:rsid w:val="009F7539"/>
    <w:rsid w:val="009F7572"/>
    <w:rsid w:val="009F7E16"/>
    <w:rsid w:val="00A00738"/>
    <w:rsid w:val="00A00FEF"/>
    <w:rsid w:val="00A02F0B"/>
    <w:rsid w:val="00A03B21"/>
    <w:rsid w:val="00A03DA3"/>
    <w:rsid w:val="00A04CA7"/>
    <w:rsid w:val="00A05B34"/>
    <w:rsid w:val="00A05BF2"/>
    <w:rsid w:val="00A07886"/>
    <w:rsid w:val="00A1077D"/>
    <w:rsid w:val="00A112FB"/>
    <w:rsid w:val="00A1258F"/>
    <w:rsid w:val="00A148C4"/>
    <w:rsid w:val="00A15FE5"/>
    <w:rsid w:val="00A226F4"/>
    <w:rsid w:val="00A26F09"/>
    <w:rsid w:val="00A27AD8"/>
    <w:rsid w:val="00A30016"/>
    <w:rsid w:val="00A317D7"/>
    <w:rsid w:val="00A31BC9"/>
    <w:rsid w:val="00A33E3D"/>
    <w:rsid w:val="00A349AF"/>
    <w:rsid w:val="00A358E2"/>
    <w:rsid w:val="00A37EE8"/>
    <w:rsid w:val="00A4005F"/>
    <w:rsid w:val="00A40504"/>
    <w:rsid w:val="00A41546"/>
    <w:rsid w:val="00A41B98"/>
    <w:rsid w:val="00A430A4"/>
    <w:rsid w:val="00A47538"/>
    <w:rsid w:val="00A5046A"/>
    <w:rsid w:val="00A50904"/>
    <w:rsid w:val="00A52109"/>
    <w:rsid w:val="00A5648F"/>
    <w:rsid w:val="00A60651"/>
    <w:rsid w:val="00A60779"/>
    <w:rsid w:val="00A624AD"/>
    <w:rsid w:val="00A62C97"/>
    <w:rsid w:val="00A6568A"/>
    <w:rsid w:val="00A7194A"/>
    <w:rsid w:val="00A803F1"/>
    <w:rsid w:val="00A84EBF"/>
    <w:rsid w:val="00A86965"/>
    <w:rsid w:val="00A87022"/>
    <w:rsid w:val="00A9047C"/>
    <w:rsid w:val="00A9214B"/>
    <w:rsid w:val="00A9288C"/>
    <w:rsid w:val="00A96F4C"/>
    <w:rsid w:val="00AA2B5C"/>
    <w:rsid w:val="00AA5AE0"/>
    <w:rsid w:val="00AA63B6"/>
    <w:rsid w:val="00AA6D10"/>
    <w:rsid w:val="00AA7B3E"/>
    <w:rsid w:val="00AB05B0"/>
    <w:rsid w:val="00AB21EA"/>
    <w:rsid w:val="00AC4817"/>
    <w:rsid w:val="00AC5640"/>
    <w:rsid w:val="00AC7084"/>
    <w:rsid w:val="00AD6BD8"/>
    <w:rsid w:val="00AE23FB"/>
    <w:rsid w:val="00AE314C"/>
    <w:rsid w:val="00AE3F46"/>
    <w:rsid w:val="00AE7A27"/>
    <w:rsid w:val="00AF203F"/>
    <w:rsid w:val="00AF4CEB"/>
    <w:rsid w:val="00AF4E2E"/>
    <w:rsid w:val="00B0159A"/>
    <w:rsid w:val="00B03311"/>
    <w:rsid w:val="00B11E19"/>
    <w:rsid w:val="00B142FC"/>
    <w:rsid w:val="00B1431B"/>
    <w:rsid w:val="00B1532F"/>
    <w:rsid w:val="00B15808"/>
    <w:rsid w:val="00B17B7B"/>
    <w:rsid w:val="00B24421"/>
    <w:rsid w:val="00B27E5F"/>
    <w:rsid w:val="00B32BDF"/>
    <w:rsid w:val="00B40C24"/>
    <w:rsid w:val="00B43E15"/>
    <w:rsid w:val="00B46C33"/>
    <w:rsid w:val="00B50399"/>
    <w:rsid w:val="00B50515"/>
    <w:rsid w:val="00B518E3"/>
    <w:rsid w:val="00B532AF"/>
    <w:rsid w:val="00B554FA"/>
    <w:rsid w:val="00B55CA0"/>
    <w:rsid w:val="00B63532"/>
    <w:rsid w:val="00B7186F"/>
    <w:rsid w:val="00B75215"/>
    <w:rsid w:val="00B8734E"/>
    <w:rsid w:val="00B91202"/>
    <w:rsid w:val="00B92CB4"/>
    <w:rsid w:val="00B96AF7"/>
    <w:rsid w:val="00B97D7E"/>
    <w:rsid w:val="00BA16FD"/>
    <w:rsid w:val="00BA351A"/>
    <w:rsid w:val="00BA6692"/>
    <w:rsid w:val="00BB3DDF"/>
    <w:rsid w:val="00BB4DD3"/>
    <w:rsid w:val="00BB5245"/>
    <w:rsid w:val="00BB56C5"/>
    <w:rsid w:val="00BC0621"/>
    <w:rsid w:val="00BC48E9"/>
    <w:rsid w:val="00BD6AE8"/>
    <w:rsid w:val="00BE0F16"/>
    <w:rsid w:val="00BE6FEB"/>
    <w:rsid w:val="00BF3F5F"/>
    <w:rsid w:val="00BF663C"/>
    <w:rsid w:val="00C02BBE"/>
    <w:rsid w:val="00C02DBA"/>
    <w:rsid w:val="00C04EB7"/>
    <w:rsid w:val="00C07AD2"/>
    <w:rsid w:val="00C07E43"/>
    <w:rsid w:val="00C12F0C"/>
    <w:rsid w:val="00C1324E"/>
    <w:rsid w:val="00C14133"/>
    <w:rsid w:val="00C1535D"/>
    <w:rsid w:val="00C2506B"/>
    <w:rsid w:val="00C26D41"/>
    <w:rsid w:val="00C30E54"/>
    <w:rsid w:val="00C31203"/>
    <w:rsid w:val="00C41AFE"/>
    <w:rsid w:val="00C55101"/>
    <w:rsid w:val="00C55AE3"/>
    <w:rsid w:val="00C56B83"/>
    <w:rsid w:val="00C56F16"/>
    <w:rsid w:val="00C6019C"/>
    <w:rsid w:val="00C62FEA"/>
    <w:rsid w:val="00C66822"/>
    <w:rsid w:val="00C72ED4"/>
    <w:rsid w:val="00C744EE"/>
    <w:rsid w:val="00C75A9B"/>
    <w:rsid w:val="00C76451"/>
    <w:rsid w:val="00C76580"/>
    <w:rsid w:val="00C83272"/>
    <w:rsid w:val="00C86EC8"/>
    <w:rsid w:val="00C93908"/>
    <w:rsid w:val="00C952F5"/>
    <w:rsid w:val="00CA0080"/>
    <w:rsid w:val="00CA10D1"/>
    <w:rsid w:val="00CA15EA"/>
    <w:rsid w:val="00CA4F14"/>
    <w:rsid w:val="00CA7A57"/>
    <w:rsid w:val="00CB1DD2"/>
    <w:rsid w:val="00CC0D56"/>
    <w:rsid w:val="00CC1167"/>
    <w:rsid w:val="00CC37EE"/>
    <w:rsid w:val="00CC5EC5"/>
    <w:rsid w:val="00CD16B2"/>
    <w:rsid w:val="00CD2B1A"/>
    <w:rsid w:val="00CE1038"/>
    <w:rsid w:val="00CE2EEA"/>
    <w:rsid w:val="00CE4B98"/>
    <w:rsid w:val="00CF135B"/>
    <w:rsid w:val="00CF1B8D"/>
    <w:rsid w:val="00CF6FF6"/>
    <w:rsid w:val="00D0305D"/>
    <w:rsid w:val="00D04199"/>
    <w:rsid w:val="00D0666C"/>
    <w:rsid w:val="00D15773"/>
    <w:rsid w:val="00D17095"/>
    <w:rsid w:val="00D21356"/>
    <w:rsid w:val="00D23957"/>
    <w:rsid w:val="00D24112"/>
    <w:rsid w:val="00D2423F"/>
    <w:rsid w:val="00D24528"/>
    <w:rsid w:val="00D33477"/>
    <w:rsid w:val="00D3592D"/>
    <w:rsid w:val="00D35C42"/>
    <w:rsid w:val="00D40101"/>
    <w:rsid w:val="00D43801"/>
    <w:rsid w:val="00D53D1A"/>
    <w:rsid w:val="00D541D2"/>
    <w:rsid w:val="00D66F9E"/>
    <w:rsid w:val="00D66FBE"/>
    <w:rsid w:val="00D7383A"/>
    <w:rsid w:val="00D80D71"/>
    <w:rsid w:val="00D82DFF"/>
    <w:rsid w:val="00D869FF"/>
    <w:rsid w:val="00D93F40"/>
    <w:rsid w:val="00DA2103"/>
    <w:rsid w:val="00DA3480"/>
    <w:rsid w:val="00DA4394"/>
    <w:rsid w:val="00DA7AA4"/>
    <w:rsid w:val="00DA7BBB"/>
    <w:rsid w:val="00DB23E4"/>
    <w:rsid w:val="00DB3296"/>
    <w:rsid w:val="00DB36BC"/>
    <w:rsid w:val="00DB3CCB"/>
    <w:rsid w:val="00DB44FC"/>
    <w:rsid w:val="00DC41BB"/>
    <w:rsid w:val="00DD0CA9"/>
    <w:rsid w:val="00DD5AE2"/>
    <w:rsid w:val="00DE0B59"/>
    <w:rsid w:val="00DE0DF5"/>
    <w:rsid w:val="00DE6E29"/>
    <w:rsid w:val="00DE6F68"/>
    <w:rsid w:val="00DF0373"/>
    <w:rsid w:val="00DF25A5"/>
    <w:rsid w:val="00DF392D"/>
    <w:rsid w:val="00DF5448"/>
    <w:rsid w:val="00DF6461"/>
    <w:rsid w:val="00E04279"/>
    <w:rsid w:val="00E043AC"/>
    <w:rsid w:val="00E07099"/>
    <w:rsid w:val="00E21BB0"/>
    <w:rsid w:val="00E36185"/>
    <w:rsid w:val="00E43AE0"/>
    <w:rsid w:val="00E47054"/>
    <w:rsid w:val="00E62676"/>
    <w:rsid w:val="00E63365"/>
    <w:rsid w:val="00E641FE"/>
    <w:rsid w:val="00E67931"/>
    <w:rsid w:val="00E73866"/>
    <w:rsid w:val="00E85907"/>
    <w:rsid w:val="00E85C37"/>
    <w:rsid w:val="00E86FDF"/>
    <w:rsid w:val="00E875AD"/>
    <w:rsid w:val="00E952E0"/>
    <w:rsid w:val="00E97BFB"/>
    <w:rsid w:val="00EA079B"/>
    <w:rsid w:val="00EA0C66"/>
    <w:rsid w:val="00EA0CCA"/>
    <w:rsid w:val="00EA100E"/>
    <w:rsid w:val="00EA6E8F"/>
    <w:rsid w:val="00EA7F56"/>
    <w:rsid w:val="00EB02D8"/>
    <w:rsid w:val="00EB2572"/>
    <w:rsid w:val="00EB3842"/>
    <w:rsid w:val="00EC2C2D"/>
    <w:rsid w:val="00EC5539"/>
    <w:rsid w:val="00EC5577"/>
    <w:rsid w:val="00ED2A13"/>
    <w:rsid w:val="00ED42BA"/>
    <w:rsid w:val="00ED696F"/>
    <w:rsid w:val="00ED6AF8"/>
    <w:rsid w:val="00ED7B3B"/>
    <w:rsid w:val="00EE0E6E"/>
    <w:rsid w:val="00EE5286"/>
    <w:rsid w:val="00EE78CB"/>
    <w:rsid w:val="00EF2811"/>
    <w:rsid w:val="00EF3C42"/>
    <w:rsid w:val="00EF4DA5"/>
    <w:rsid w:val="00EF6533"/>
    <w:rsid w:val="00EF6CFD"/>
    <w:rsid w:val="00EF778E"/>
    <w:rsid w:val="00F03D3A"/>
    <w:rsid w:val="00F12491"/>
    <w:rsid w:val="00F12C9E"/>
    <w:rsid w:val="00F15038"/>
    <w:rsid w:val="00F22D8E"/>
    <w:rsid w:val="00F233A8"/>
    <w:rsid w:val="00F272E6"/>
    <w:rsid w:val="00F320DD"/>
    <w:rsid w:val="00F37AAF"/>
    <w:rsid w:val="00F37D39"/>
    <w:rsid w:val="00F41C96"/>
    <w:rsid w:val="00F423DC"/>
    <w:rsid w:val="00F432CA"/>
    <w:rsid w:val="00F47843"/>
    <w:rsid w:val="00F5116C"/>
    <w:rsid w:val="00F53322"/>
    <w:rsid w:val="00F53573"/>
    <w:rsid w:val="00F63DD9"/>
    <w:rsid w:val="00F651DD"/>
    <w:rsid w:val="00F73FD6"/>
    <w:rsid w:val="00F74548"/>
    <w:rsid w:val="00F76C5F"/>
    <w:rsid w:val="00F76FA4"/>
    <w:rsid w:val="00F81A91"/>
    <w:rsid w:val="00F84C38"/>
    <w:rsid w:val="00F90A9A"/>
    <w:rsid w:val="00F9233C"/>
    <w:rsid w:val="00F9263C"/>
    <w:rsid w:val="00F976D1"/>
    <w:rsid w:val="00FA77B2"/>
    <w:rsid w:val="00FB06A5"/>
    <w:rsid w:val="00FB19CE"/>
    <w:rsid w:val="00FB31EE"/>
    <w:rsid w:val="00FB4C11"/>
    <w:rsid w:val="00FC04B1"/>
    <w:rsid w:val="00FC0522"/>
    <w:rsid w:val="00FC06E9"/>
    <w:rsid w:val="00FD0AB8"/>
    <w:rsid w:val="00FD4596"/>
    <w:rsid w:val="00FD5F00"/>
    <w:rsid w:val="00FD6E04"/>
    <w:rsid w:val="00FF0FE2"/>
    <w:rsid w:val="00FF16B2"/>
    <w:rsid w:val="00FF3731"/>
    <w:rsid w:val="00FF3FF8"/>
    <w:rsid w:val="00FF7AAF"/>
    <w:rsid w:val="00FF7D58"/>
  </w:rsids>
  <m:mathPr>
    <m:mathFont m:val="Cambria Math"/>
    <m:brkBin m:val="before"/>
    <m:brkBinSub m:val="--"/>
    <m:smallFrac m:val="0"/>
    <m:dispDef/>
    <m:lMargin m:val="0"/>
    <m:rMargin m:val="0"/>
    <m:defJc m:val="centerGroup"/>
    <m:wrapIndent m:val="1440"/>
    <m:intLim m:val="subSup"/>
    <m:naryLim m:val="undOvr"/>
  </m:mathPr>
  <w:themeFontLang w:val="en-AU" w:bidi="b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49ADED"/>
  <w15:docId w15:val="{232EF159-07C3-4E88-BDE2-3F0B8B08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58EB"/>
    <w:pPr>
      <w:spacing w:before="240" w:after="0" w:line="240" w:lineRule="auto"/>
    </w:pPr>
    <w:rPr>
      <w:rFonts w:ascii="Times New Roman" w:eastAsia="Times New Roman" w:hAnsi="Times New Roman" w:cs="Times New Roman"/>
      <w:sz w:val="24"/>
      <w:szCs w:val="20"/>
      <w:lang w:eastAsia="en-AU"/>
    </w:rPr>
  </w:style>
  <w:style w:type="paragraph" w:styleId="Heading1">
    <w:name w:val="heading 1"/>
    <w:basedOn w:val="Normal"/>
    <w:link w:val="Heading1Char"/>
    <w:qFormat/>
    <w:rsid w:val="007B17E0"/>
    <w:pPr>
      <w:spacing w:before="100" w:beforeAutospacing="1" w:after="100" w:afterAutospacing="1"/>
      <w:outlineLvl w:val="0"/>
    </w:pPr>
    <w:rPr>
      <w:b/>
      <w:bCs/>
      <w:kern w:val="36"/>
      <w:sz w:val="48"/>
      <w:szCs w:val="48"/>
    </w:rPr>
  </w:style>
  <w:style w:type="paragraph" w:styleId="Heading2">
    <w:name w:val="heading 2"/>
    <w:aliases w:val="Heading 2 Char Char Char,Heading 2 Char Char Char Char Char,Heading 2 Char Char Char Char2 Char Char Char,Heading 2 Char1 Char,Heading 2 Char1 Char Char2 Char Char Char,Heading 2 Char2 Char Char Char,Heading 2 Char2 Char1 Char"/>
    <w:basedOn w:val="Normal"/>
    <w:link w:val="Heading2Char"/>
    <w:qFormat/>
    <w:rsid w:val="007B17E0"/>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8EB"/>
    <w:pPr>
      <w:spacing w:before="0"/>
      <w:ind w:left="720"/>
      <w:contextualSpacing/>
    </w:pPr>
    <w:rPr>
      <w:szCs w:val="24"/>
    </w:rPr>
  </w:style>
  <w:style w:type="character" w:styleId="BookTitle">
    <w:name w:val="Book Title"/>
    <w:uiPriority w:val="33"/>
    <w:qFormat/>
    <w:rsid w:val="00CE58EB"/>
    <w:rPr>
      <w:i/>
      <w:iCs/>
      <w:smallCaps/>
      <w:spacing w:val="5"/>
    </w:rPr>
  </w:style>
  <w:style w:type="character" w:styleId="CommentReference">
    <w:name w:val="annotation reference"/>
    <w:basedOn w:val="DefaultParagraphFont"/>
    <w:uiPriority w:val="99"/>
    <w:semiHidden/>
    <w:unhideWhenUsed/>
    <w:rsid w:val="00A8043E"/>
    <w:rPr>
      <w:sz w:val="16"/>
      <w:szCs w:val="16"/>
    </w:rPr>
  </w:style>
  <w:style w:type="paragraph" w:styleId="CommentText">
    <w:name w:val="annotation text"/>
    <w:basedOn w:val="Normal"/>
    <w:link w:val="CommentTextChar"/>
    <w:uiPriority w:val="99"/>
    <w:semiHidden/>
    <w:unhideWhenUsed/>
    <w:rsid w:val="00A8043E"/>
    <w:rPr>
      <w:sz w:val="20"/>
    </w:rPr>
  </w:style>
  <w:style w:type="character" w:customStyle="1" w:styleId="CommentTextChar">
    <w:name w:val="Comment Text Char"/>
    <w:basedOn w:val="DefaultParagraphFont"/>
    <w:link w:val="CommentText"/>
    <w:uiPriority w:val="99"/>
    <w:semiHidden/>
    <w:rsid w:val="00A8043E"/>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A8043E"/>
    <w:rPr>
      <w:b/>
      <w:bCs/>
    </w:rPr>
  </w:style>
  <w:style w:type="character" w:customStyle="1" w:styleId="CommentSubjectChar">
    <w:name w:val="Comment Subject Char"/>
    <w:basedOn w:val="CommentTextChar"/>
    <w:link w:val="CommentSubject"/>
    <w:uiPriority w:val="99"/>
    <w:semiHidden/>
    <w:rsid w:val="00A8043E"/>
    <w:rPr>
      <w:rFonts w:ascii="Times New Roman" w:eastAsia="Times New Roman" w:hAnsi="Times New Roman" w:cs="Times New Roman"/>
      <w:b/>
      <w:bCs/>
      <w:sz w:val="20"/>
      <w:szCs w:val="20"/>
      <w:lang w:eastAsia="en-AU"/>
    </w:rPr>
  </w:style>
  <w:style w:type="paragraph" w:styleId="BalloonText">
    <w:name w:val="Balloon Text"/>
    <w:basedOn w:val="Normal"/>
    <w:link w:val="BalloonTextChar"/>
    <w:uiPriority w:val="99"/>
    <w:semiHidden/>
    <w:unhideWhenUsed/>
    <w:rsid w:val="00A8043E"/>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043E"/>
    <w:rPr>
      <w:rFonts w:ascii="Tahoma" w:eastAsia="Times New Roman" w:hAnsi="Tahoma" w:cs="Tahoma"/>
      <w:sz w:val="16"/>
      <w:szCs w:val="16"/>
      <w:lang w:eastAsia="en-AU"/>
    </w:rPr>
  </w:style>
  <w:style w:type="paragraph" w:customStyle="1" w:styleId="subsection">
    <w:name w:val="subsection"/>
    <w:aliases w:val="ss"/>
    <w:basedOn w:val="Normal"/>
    <w:link w:val="subsectionChar"/>
    <w:rsid w:val="00994FE1"/>
    <w:pPr>
      <w:tabs>
        <w:tab w:val="right" w:pos="1021"/>
      </w:tabs>
      <w:spacing w:before="180"/>
      <w:ind w:left="1134" w:hanging="1134"/>
    </w:pPr>
    <w:rPr>
      <w:sz w:val="22"/>
    </w:rPr>
  </w:style>
  <w:style w:type="character" w:customStyle="1" w:styleId="subsectionChar">
    <w:name w:val="subsection Char"/>
    <w:aliases w:val="ss Char"/>
    <w:basedOn w:val="DefaultParagraphFont"/>
    <w:link w:val="subsection"/>
    <w:locked/>
    <w:rsid w:val="00994FE1"/>
    <w:rPr>
      <w:rFonts w:ascii="Times New Roman" w:eastAsia="Times New Roman" w:hAnsi="Times New Roman" w:cs="Times New Roman"/>
      <w:szCs w:val="20"/>
      <w:lang w:eastAsia="en-AU"/>
    </w:rPr>
  </w:style>
  <w:style w:type="character" w:customStyle="1" w:styleId="paragraphChar">
    <w:name w:val="paragraph Char"/>
    <w:aliases w:val="a Char"/>
    <w:basedOn w:val="DefaultParagraphFont"/>
    <w:link w:val="paragraph"/>
    <w:locked/>
    <w:rsid w:val="00994FE1"/>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994FE1"/>
    <w:pPr>
      <w:tabs>
        <w:tab w:val="right" w:pos="1531"/>
      </w:tabs>
      <w:spacing w:before="40"/>
      <w:ind w:left="1644" w:hanging="1644"/>
    </w:pPr>
    <w:rPr>
      <w:sz w:val="22"/>
    </w:rPr>
  </w:style>
  <w:style w:type="paragraph" w:styleId="Header">
    <w:name w:val="header"/>
    <w:basedOn w:val="Normal"/>
    <w:link w:val="HeaderChar"/>
    <w:uiPriority w:val="99"/>
    <w:unhideWhenUsed/>
    <w:rsid w:val="001715A5"/>
    <w:pPr>
      <w:tabs>
        <w:tab w:val="center" w:pos="4513"/>
        <w:tab w:val="right" w:pos="9026"/>
      </w:tabs>
      <w:spacing w:before="0"/>
    </w:pPr>
  </w:style>
  <w:style w:type="character" w:customStyle="1" w:styleId="HeaderChar">
    <w:name w:val="Header Char"/>
    <w:basedOn w:val="DefaultParagraphFont"/>
    <w:link w:val="Header"/>
    <w:uiPriority w:val="99"/>
    <w:rsid w:val="001715A5"/>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1715A5"/>
    <w:pPr>
      <w:tabs>
        <w:tab w:val="center" w:pos="4513"/>
        <w:tab w:val="right" w:pos="9026"/>
      </w:tabs>
      <w:spacing w:before="0"/>
    </w:pPr>
  </w:style>
  <w:style w:type="character" w:customStyle="1" w:styleId="FooterChar">
    <w:name w:val="Footer Char"/>
    <w:basedOn w:val="DefaultParagraphFont"/>
    <w:link w:val="Footer"/>
    <w:uiPriority w:val="99"/>
    <w:rsid w:val="001715A5"/>
    <w:rPr>
      <w:rFonts w:ascii="Times New Roman" w:eastAsia="Times New Roman" w:hAnsi="Times New Roman" w:cs="Times New Roman"/>
      <w:sz w:val="24"/>
      <w:szCs w:val="20"/>
      <w:lang w:eastAsia="en-AU"/>
    </w:rPr>
  </w:style>
  <w:style w:type="paragraph" w:styleId="FootnoteText">
    <w:name w:val="footnote text"/>
    <w:basedOn w:val="Normal"/>
    <w:link w:val="FootnoteTextChar"/>
    <w:uiPriority w:val="99"/>
    <w:semiHidden/>
    <w:unhideWhenUsed/>
    <w:rsid w:val="00826ED8"/>
    <w:pPr>
      <w:spacing w:before="0"/>
    </w:pPr>
    <w:rPr>
      <w:sz w:val="20"/>
    </w:rPr>
  </w:style>
  <w:style w:type="character" w:customStyle="1" w:styleId="FootnoteTextChar">
    <w:name w:val="Footnote Text Char"/>
    <w:basedOn w:val="DefaultParagraphFont"/>
    <w:link w:val="FootnoteText"/>
    <w:uiPriority w:val="99"/>
    <w:semiHidden/>
    <w:rsid w:val="00826ED8"/>
    <w:rPr>
      <w:rFonts w:ascii="Times New Roman" w:eastAsia="Times New Roman" w:hAnsi="Times New Roman" w:cs="Times New Roman"/>
      <w:sz w:val="20"/>
      <w:szCs w:val="20"/>
      <w:lang w:eastAsia="en-AU"/>
    </w:rPr>
  </w:style>
  <w:style w:type="character" w:styleId="FootnoteReference">
    <w:name w:val="footnote reference"/>
    <w:basedOn w:val="DefaultParagraphFont"/>
    <w:uiPriority w:val="99"/>
    <w:semiHidden/>
    <w:unhideWhenUsed/>
    <w:rsid w:val="00826ED8"/>
    <w:rPr>
      <w:vertAlign w:val="superscript"/>
    </w:rPr>
  </w:style>
  <w:style w:type="paragraph" w:styleId="Revision">
    <w:name w:val="Revision"/>
    <w:hidden/>
    <w:uiPriority w:val="99"/>
    <w:semiHidden/>
    <w:rsid w:val="0023558E"/>
    <w:pPr>
      <w:spacing w:after="0" w:line="240" w:lineRule="auto"/>
    </w:pPr>
    <w:rPr>
      <w:rFonts w:ascii="Times New Roman" w:eastAsia="Times New Roman" w:hAnsi="Times New Roman" w:cs="Times New Roman"/>
      <w:sz w:val="24"/>
      <w:szCs w:val="20"/>
      <w:lang w:eastAsia="en-AU"/>
    </w:rPr>
  </w:style>
  <w:style w:type="numbering" w:customStyle="1" w:styleId="KeyPoints">
    <w:name w:val="Key Points"/>
    <w:basedOn w:val="NoList"/>
    <w:uiPriority w:val="99"/>
    <w:rsid w:val="00A05BF2"/>
    <w:pPr>
      <w:numPr>
        <w:numId w:val="6"/>
      </w:numPr>
    </w:pPr>
  </w:style>
  <w:style w:type="paragraph" w:customStyle="1" w:styleId="1NumberPointsStyle">
    <w:name w:val="1. Number Points Style"/>
    <w:basedOn w:val="Normal"/>
    <w:link w:val="1NumberPointsStyleChar"/>
    <w:qFormat/>
    <w:rsid w:val="00A05BF2"/>
    <w:pPr>
      <w:numPr>
        <w:numId w:val="7"/>
      </w:numPr>
      <w:spacing w:before="0" w:after="200"/>
    </w:pPr>
  </w:style>
  <w:style w:type="character" w:customStyle="1" w:styleId="1NumberPointsStyleChar">
    <w:name w:val="1. Number Points Style Char"/>
    <w:basedOn w:val="DefaultParagraphFont"/>
    <w:link w:val="1NumberPointsStyle"/>
    <w:rsid w:val="00A05BF2"/>
    <w:rPr>
      <w:rFonts w:ascii="Times New Roman" w:eastAsia="Times New Roman" w:hAnsi="Times New Roman" w:cs="Times New Roman"/>
      <w:sz w:val="24"/>
      <w:szCs w:val="20"/>
      <w:lang w:eastAsia="en-AU"/>
    </w:rPr>
  </w:style>
  <w:style w:type="paragraph" w:customStyle="1" w:styleId="dotpoint">
    <w:name w:val="dot point"/>
    <w:basedOn w:val="Normal"/>
    <w:rsid w:val="00FF7AAF"/>
    <w:pPr>
      <w:numPr>
        <w:numId w:val="9"/>
      </w:numPr>
      <w:tabs>
        <w:tab w:val="left" w:pos="227"/>
      </w:tabs>
      <w:suppressAutoHyphens/>
      <w:autoSpaceDE w:val="0"/>
      <w:autoSpaceDN w:val="0"/>
      <w:adjustRightInd w:val="0"/>
      <w:spacing w:before="150" w:after="28" w:line="300" w:lineRule="atLeast"/>
      <w:textAlignment w:val="center"/>
    </w:pPr>
    <w:rPr>
      <w:rFonts w:ascii="Calibri" w:hAnsi="Calibri" w:cs="Garamond"/>
      <w:color w:val="000000"/>
      <w:szCs w:val="24"/>
      <w:lang w:val="en-GB"/>
    </w:rPr>
  </w:style>
  <w:style w:type="paragraph" w:styleId="NormalWeb">
    <w:name w:val="Normal (Web)"/>
    <w:basedOn w:val="Normal"/>
    <w:uiPriority w:val="99"/>
    <w:semiHidden/>
    <w:unhideWhenUsed/>
    <w:rsid w:val="00FF7AAF"/>
    <w:pPr>
      <w:spacing w:before="100" w:beforeAutospacing="1" w:after="100" w:afterAutospacing="1"/>
    </w:pPr>
    <w:rPr>
      <w:szCs w:val="24"/>
    </w:rPr>
  </w:style>
  <w:style w:type="numbering" w:customStyle="1" w:styleId="Style1">
    <w:name w:val="Style1"/>
    <w:uiPriority w:val="99"/>
    <w:rsid w:val="008024A7"/>
    <w:pPr>
      <w:numPr>
        <w:numId w:val="19"/>
      </w:numPr>
    </w:pPr>
  </w:style>
  <w:style w:type="table" w:styleId="TableGrid">
    <w:name w:val="Table Grid"/>
    <w:basedOn w:val="TableNormal"/>
    <w:uiPriority w:val="59"/>
    <w:rsid w:val="00FB31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1F131A"/>
    <w:rPr>
      <w:i/>
      <w:iCs/>
    </w:rPr>
  </w:style>
  <w:style w:type="character" w:customStyle="1" w:styleId="Heading1Char">
    <w:name w:val="Heading 1 Char"/>
    <w:basedOn w:val="DefaultParagraphFont"/>
    <w:link w:val="Heading1"/>
    <w:rsid w:val="007B17E0"/>
    <w:rPr>
      <w:rFonts w:ascii="Times New Roman" w:eastAsia="Times New Roman" w:hAnsi="Times New Roman" w:cs="Times New Roman"/>
      <w:b/>
      <w:bCs/>
      <w:kern w:val="36"/>
      <w:sz w:val="48"/>
      <w:szCs w:val="48"/>
      <w:lang w:eastAsia="en-AU"/>
    </w:rPr>
  </w:style>
  <w:style w:type="character" w:customStyle="1" w:styleId="Heading2Char">
    <w:name w:val="Heading 2 Char"/>
    <w:aliases w:val="Heading 2 Char Char Char Char,Heading 2 Char Char Char Char Char Char,Heading 2 Char Char Char Char2 Char Char Char Char,Heading 2 Char1 Char Char,Heading 2 Char1 Char Char2 Char Char Char Char,Heading 2 Char2 Char Char Char Char"/>
    <w:basedOn w:val="DefaultParagraphFont"/>
    <w:link w:val="Heading2"/>
    <w:rsid w:val="007B17E0"/>
    <w:rPr>
      <w:rFonts w:ascii="Times New Roman" w:eastAsia="Times New Roman" w:hAnsi="Times New Roman" w:cs="Times New Roman"/>
      <w:b/>
      <w:bCs/>
      <w:sz w:val="36"/>
      <w:szCs w:val="36"/>
      <w:lang w:eastAsia="en-AU"/>
    </w:rPr>
  </w:style>
  <w:style w:type="character" w:customStyle="1" w:styleId="CharAmSchText">
    <w:name w:val="CharAmSchText"/>
    <w:basedOn w:val="DefaultParagraphFont"/>
    <w:uiPriority w:val="1"/>
    <w:qFormat/>
    <w:rsid w:val="00A92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3537">
      <w:bodyDiv w:val="1"/>
      <w:marLeft w:val="0"/>
      <w:marRight w:val="0"/>
      <w:marTop w:val="0"/>
      <w:marBottom w:val="0"/>
      <w:divBdr>
        <w:top w:val="none" w:sz="0" w:space="0" w:color="auto"/>
        <w:left w:val="none" w:sz="0" w:space="0" w:color="auto"/>
        <w:bottom w:val="none" w:sz="0" w:space="0" w:color="auto"/>
        <w:right w:val="none" w:sz="0" w:space="0" w:color="auto"/>
      </w:divBdr>
    </w:div>
    <w:div w:id="1354112332">
      <w:bodyDiv w:val="1"/>
      <w:marLeft w:val="0"/>
      <w:marRight w:val="0"/>
      <w:marTop w:val="0"/>
      <w:marBottom w:val="0"/>
      <w:divBdr>
        <w:top w:val="none" w:sz="0" w:space="0" w:color="auto"/>
        <w:left w:val="none" w:sz="0" w:space="0" w:color="auto"/>
        <w:bottom w:val="none" w:sz="0" w:space="0" w:color="auto"/>
        <w:right w:val="none" w:sz="0" w:space="0" w:color="auto"/>
      </w:divBdr>
    </w:div>
    <w:div w:id="1821578839">
      <w:bodyDiv w:val="1"/>
      <w:marLeft w:val="0"/>
      <w:marRight w:val="0"/>
      <w:marTop w:val="0"/>
      <w:marBottom w:val="0"/>
      <w:divBdr>
        <w:top w:val="none" w:sz="0" w:space="0" w:color="auto"/>
        <w:left w:val="none" w:sz="0" w:space="0" w:color="auto"/>
        <w:bottom w:val="none" w:sz="0" w:space="0" w:color="auto"/>
        <w:right w:val="none" w:sz="0" w:space="0" w:color="auto"/>
      </w:divBdr>
    </w:div>
    <w:div w:id="1855151363">
      <w:bodyDiv w:val="1"/>
      <w:marLeft w:val="0"/>
      <w:marRight w:val="0"/>
      <w:marTop w:val="0"/>
      <w:marBottom w:val="0"/>
      <w:divBdr>
        <w:top w:val="none" w:sz="0" w:space="0" w:color="auto"/>
        <w:left w:val="none" w:sz="0" w:space="0" w:color="auto"/>
        <w:bottom w:val="none" w:sz="0" w:space="0" w:color="auto"/>
        <w:right w:val="none" w:sz="0" w:space="0" w:color="auto"/>
      </w:divBdr>
    </w:div>
    <w:div w:id="205114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MC Document" ma:contentTypeID="0x0101002825A64A6E1845A99A9D8EE8A5686ECB0032B84A6872528F41B613D99B516BEDB0" ma:contentTypeVersion="26" ma:contentTypeDescription="PMC Document" ma:contentTypeScope="" ma:versionID="ccf6501e3a993aeaf606df4f295cefc2">
  <xsd:schema xmlns:xsd="http://www.w3.org/2001/XMLSchema" xmlns:xs="http://www.w3.org/2001/XMLSchema" xmlns:p="http://schemas.microsoft.com/office/2006/metadata/properties" xmlns:ns1="e5cb917f-4135-4f26-866f-3bac1ed7ab3e" xmlns:ns3="27bba60b-8344-4f77-bb4d-4abea71fd4ad" xmlns:ns4="685f9fda-bd71-4433-b331-92feb9553089" targetNamespace="http://schemas.microsoft.com/office/2006/metadata/properties" ma:root="true" ma:fieldsID="8b54a21aaf94c2e3738d636a6a758462" ns1:_="" ns3:_="" ns4:_="">
    <xsd:import namespace="e5cb917f-4135-4f26-866f-3bac1ed7ab3e"/>
    <xsd:import namespace="27bba60b-8344-4f77-bb4d-4abea71fd4ad"/>
    <xsd:import namespace="685f9fda-bd71-4433-b331-92feb9553089"/>
    <xsd:element name="properties">
      <xsd:complexType>
        <xsd:sequence>
          <xsd:element name="documentManagement">
            <xsd:complexType>
              <xsd:all>
                <xsd:element ref="ns1:ShareHubID" minOccurs="0"/>
                <xsd:element ref="ns4:NonRecordJustification"/>
                <xsd:element ref="ns1:PMCNotes" minOccurs="0"/>
                <xsd:element ref="ns3:mc5611b894cf49d8aeeb8ebf39dc09bc" minOccurs="0"/>
                <xsd:element ref="ns3:TaxCatchAll" minOccurs="0"/>
                <xsd:element ref="ns3:TaxCatchAllLabel" minOccurs="0"/>
                <xsd:element ref="ns3:jd1c641577414dfdab1686c9d5d0dbd0" minOccurs="0"/>
                <xsd:element ref="ns1:SharedWithUsers" minOccurs="0"/>
                <xsd:element ref="ns1:ffe37d11f77144aa8109b2494d6cf1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b917f-4135-4f26-866f-3bac1ed7ab3e"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fe37d11f77144aa8109b2494d6cf1a5" ma:index="18" nillable="true" ma:taxonomy="true" ma:internalName="ffe37d11f77144aa8109b2494d6cf1a5" ma:taxonomyFieldName="ESearchTags" ma:displayName="Tags" ma:fieldId="{ffe37d11-f771-44aa-8109-b2494d6cf1a5}"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bba60b-8344-4f77-bb4d-4abea71fd4ad" elementFormDefault="qualified">
    <xsd:import namespace="http://schemas.microsoft.com/office/2006/documentManagement/types"/>
    <xsd:import namespace="http://schemas.microsoft.com/office/infopath/2007/PartnerControls"/>
    <xsd:element name="mc5611b894cf49d8aeeb8ebf39dc09bc" ma:index="8" nillable="true" ma:taxonomy="true" ma:internalName="mc5611b894cf49d8aeeb8ebf39dc09bc" ma:taxonomyFieldName="HPRMSecurityLevel" ma:displayName="Security Level" ma:default="1;#UNCLASSIFIED|9c49a7c7-17c7-412f-8077-62dec89b9196"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ea83722-46d8-42df-b934-158ffd081fe0}" ma:internalName="TaxCatchAll" ma:showField="CatchAllData"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ea83722-46d8-42df-b934-158ffd081fe0}" ma:internalName="TaxCatchAllLabel" ma:readOnly="true" ma:showField="CatchAllDataLabel" ma:web="e5cb917f-4135-4f26-866f-3bac1ed7ab3e">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DLM"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ma:displayName="Non-record justification" ma:default="None" ma:format="Dropdown" ma:internalName="NonRecordJustification">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MCNotes xmlns="e5cb917f-4135-4f26-866f-3bac1ed7ab3e" xsi:nil="true"/>
    <mc5611b894cf49d8aeeb8ebf39dc09bc xmlns="27bba60b-8344-4f77-bb4d-4abea71fd4a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9c49a7c7-17c7-412f-8077-62dec89b9196</TermId>
        </TermInfo>
      </Terms>
    </mc5611b894cf49d8aeeb8ebf39dc09bc>
    <jd1c641577414dfdab1686c9d5d0dbd0 xmlns="27bba60b-8344-4f77-bb4d-4abea71fd4ad">
      <Terms xmlns="http://schemas.microsoft.com/office/infopath/2007/PartnerControls"/>
    </jd1c641577414dfdab1686c9d5d0dbd0>
    <TaxCatchAll xmlns="27bba60b-8344-4f77-bb4d-4abea71fd4ad">
      <Value>1</Value>
    </TaxCatchAll>
    <NonRecordJustification xmlns="685f9fda-bd71-4433-b331-92feb9553089">None</NonRecordJustification>
    <ShareHubID xmlns="e5cb917f-4135-4f26-866f-3bac1ed7ab3e">DOC18-418618</ShareHubID>
    <ffe37d11f77144aa8109b2494d6cf1a5 xmlns="e5cb917f-4135-4f26-866f-3bac1ed7ab3e">
      <Terms xmlns="http://schemas.microsoft.com/office/infopath/2007/PartnerControls"/>
    </ffe37d11f77144aa8109b2494d6cf1a5>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8F7BA-E2BE-460E-8ED7-D1A3D9AB77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b917f-4135-4f26-866f-3bac1ed7ab3e"/>
    <ds:schemaRef ds:uri="27bba60b-8344-4f77-bb4d-4abea71fd4ad"/>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57AB17-8DE1-4B74-9442-5CD1448F5C11}">
  <ds:schemaRefs>
    <ds:schemaRef ds:uri="http://schemas.microsoft.com/sharepoint/v3/contenttype/forms"/>
  </ds:schemaRefs>
</ds:datastoreItem>
</file>

<file path=customXml/itemProps3.xml><?xml version="1.0" encoding="utf-8"?>
<ds:datastoreItem xmlns:ds="http://schemas.openxmlformats.org/officeDocument/2006/customXml" ds:itemID="{8594A043-FD4F-4A60-ADE0-3F676FF0816B}">
  <ds:schemaRef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685f9fda-bd71-4433-b331-92feb9553089"/>
    <ds:schemaRef ds:uri="27bba60b-8344-4f77-bb4d-4abea71fd4ad"/>
    <ds:schemaRef ds:uri="e5cb917f-4135-4f26-866f-3bac1ed7ab3e"/>
    <ds:schemaRef ds:uri="http://www.w3.org/XML/1998/namespace"/>
    <ds:schemaRef ds:uri="http://purl.org/dc/dcmitype/"/>
  </ds:schemaRefs>
</ds:datastoreItem>
</file>

<file path=customXml/itemProps4.xml><?xml version="1.0" encoding="utf-8"?>
<ds:datastoreItem xmlns:ds="http://schemas.openxmlformats.org/officeDocument/2006/customXml" ds:itemID="{57EAADD9-399C-4960-ABE4-59B4B4C5B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3769</Words>
  <Characters>21484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25203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Tennant Creek and Threeways Roadhouse Low Aromatic Fuel Act 2013 Legislative Instrument</dc:subject>
  <dc:creator>Norman, Rachael</dc:creator>
  <cp:lastModifiedBy>Booth, Alicia</cp:lastModifiedBy>
  <cp:revision>3</cp:revision>
  <cp:lastPrinted>2016-12-12T05:54:00Z</cp:lastPrinted>
  <dcterms:created xsi:type="dcterms:W3CDTF">2018-12-06T23:01:00Z</dcterms:created>
  <dcterms:modified xsi:type="dcterms:W3CDTF">2018-12-06T23:05:00Z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SecurityInformation">
    <vt:lpwstr/>
  </property>
  <property fmtid="{D5CDD505-2E9C-101B-9397-08002B2CF9AE}" pid="3" name="ClearanceActualDate">
    <vt:lpwstr>10 February 2016</vt:lpwstr>
  </property>
  <property fmtid="{D5CDD505-2E9C-101B-9397-08002B2CF9AE}" pid="4" name="ClearanceDueDate">
    <vt:lpwstr>19 February 2016</vt:lpwstr>
  </property>
  <property fmtid="{D5CDD505-2E9C-101B-9397-08002B2CF9AE}" pid="5" name="Electorates">
    <vt:lpwstr> </vt:lpwstr>
  </property>
  <property fmtid="{D5CDD505-2E9C-101B-9397-08002B2CF9AE}" pid="6" name="GroupResponsible">
    <vt:lpwstr>IAG - Community Safety and Policy Division</vt:lpwstr>
  </property>
  <property fmtid="{D5CDD505-2E9C-101B-9397-08002B2CF9AE}" pid="7" name="HandlingProtocol">
    <vt:lpwstr>Standard</vt:lpwstr>
  </property>
  <property fmtid="{D5CDD505-2E9C-101B-9397-08002B2CF9AE}" pid="8" name="InformationMinister">
    <vt:lpwstr> </vt:lpwstr>
  </property>
  <property fmtid="{D5CDD505-2E9C-101B-9397-08002B2CF9AE}" pid="9" name="LastClearingOfficer">
    <vt:lpwstr>Brendan Gibson</vt:lpwstr>
  </property>
  <property fmtid="{D5CDD505-2E9C-101B-9397-08002B2CF9AE}" pid="10" name="Ministers">
    <vt:lpwstr>Nigel Scullion</vt:lpwstr>
  </property>
  <property fmtid="{D5CDD505-2E9C-101B-9397-08002B2CF9AE}" pid="11" name="PdrId">
    <vt:lpwstr>MS16-000205</vt:lpwstr>
  </property>
  <property fmtid="{D5CDD505-2E9C-101B-9397-08002B2CF9AE}" pid="12" name="Principal">
    <vt:lpwstr>Minister</vt:lpwstr>
  </property>
  <property fmtid="{D5CDD505-2E9C-101B-9397-08002B2CF9AE}" pid="13" name="ReasonForSensitivity">
    <vt:lpwstr/>
  </property>
  <property fmtid="{D5CDD505-2E9C-101B-9397-08002B2CF9AE}" pid="14" name="RegisteredDate">
    <vt:lpwstr>19 January 2016</vt:lpwstr>
  </property>
  <property fmtid="{D5CDD505-2E9C-101B-9397-08002B2CF9AE}" pid="15" name="RequestedAction">
    <vt:lpwstr>Agreement</vt:lpwstr>
  </property>
  <property fmtid="{D5CDD505-2E9C-101B-9397-08002B2CF9AE}" pid="16" name="ResponsibleMinister">
    <vt:lpwstr>Nigel Scullion</vt:lpwstr>
  </property>
  <property fmtid="{D5CDD505-2E9C-101B-9397-08002B2CF9AE}" pid="17" name="SecurityClassification">
    <vt:lpwstr>For Official Use Only (FOUO)  </vt:lpwstr>
  </property>
  <property fmtid="{D5CDD505-2E9C-101B-9397-08002B2CF9AE}" pid="18" name="Subject">
    <vt:lpwstr>Tennant Creek and Threeways Roadhouse Low Aromatic Fuel Act 2013 Legislative Instrument</vt:lpwstr>
  </property>
  <property fmtid="{D5CDD505-2E9C-101B-9397-08002B2CF9AE}" pid="19" name="TaskSeqNo">
    <vt:lpwstr>0</vt:lpwstr>
  </property>
  <property fmtid="{D5CDD505-2E9C-101B-9397-08002B2CF9AE}" pid="20" name="TemplateSubType">
    <vt:lpwstr>Submission</vt:lpwstr>
  </property>
  <property fmtid="{D5CDD505-2E9C-101B-9397-08002B2CF9AE}" pid="21" name="TemplateType">
    <vt:lpwstr>Nigel Scullion</vt:lpwstr>
  </property>
  <property fmtid="{D5CDD505-2E9C-101B-9397-08002B2CF9AE}" pid="22" name="TrustedGroups">
    <vt:lpwstr>Parliamentary Coordinator MS, DLO, Ministerial Staff - Coalition 2013, Business Administrator, Limited Distribution MS</vt:lpwstr>
  </property>
  <property fmtid="{D5CDD505-2E9C-101B-9397-08002B2CF9AE}" pid="23" name="ContentTypeId">
    <vt:lpwstr>0x0101002825A64A6E1845A99A9D8EE8A5686ECB0032B84A6872528F41B613D99B516BEDB0</vt:lpwstr>
  </property>
  <property fmtid="{D5CDD505-2E9C-101B-9397-08002B2CF9AE}" pid="24" name="ebe9aaf1ad2e44d4a2da0e3109a121ee">
    <vt:lpwstr/>
  </property>
  <property fmtid="{D5CDD505-2E9C-101B-9397-08002B2CF9AE}" pid="25" name="IAGLegalDocumentAuthor">
    <vt:lpwstr/>
  </property>
  <property fmtid="{D5CDD505-2E9C-101B-9397-08002B2CF9AE}" pid="26" name="HPRMSecurityCaveat">
    <vt:lpwstr/>
  </property>
  <property fmtid="{D5CDD505-2E9C-101B-9397-08002B2CF9AE}" pid="27" name="i758ba37c88940e586c26421e592bc03">
    <vt:lpwstr/>
  </property>
  <property fmtid="{D5CDD505-2E9C-101B-9397-08002B2CF9AE}" pid="28" name="p5403ef223e24c6aac8ae445cb84820f">
    <vt:lpwstr/>
  </property>
  <property fmtid="{D5CDD505-2E9C-101B-9397-08002B2CF9AE}" pid="29" name="oabc4c43943e42efa5238e2af47855ca">
    <vt:lpwstr/>
  </property>
  <property fmtid="{D5CDD505-2E9C-101B-9397-08002B2CF9AE}" pid="30" name="DocumentType">
    <vt:lpwstr/>
  </property>
  <property fmtid="{D5CDD505-2E9C-101B-9397-08002B2CF9AE}" pid="31" name="CommonwealthEntity">
    <vt:lpwstr/>
  </property>
  <property fmtid="{D5CDD505-2E9C-101B-9397-08002B2CF9AE}" pid="32" name="d8e935fc69f04a868babb549fc6a3e6b">
    <vt:lpwstr/>
  </property>
  <property fmtid="{D5CDD505-2E9C-101B-9397-08002B2CF9AE}" pid="33" name="LegislationConsidered">
    <vt:lpwstr/>
  </property>
  <property fmtid="{D5CDD505-2E9C-101B-9397-08002B2CF9AE}" pid="34" name="HPRMSecurityLevel">
    <vt:lpwstr>1;#UNCLASSIFIED|9c49a7c7-17c7-412f-8077-62dec89b9196</vt:lpwstr>
  </property>
  <property fmtid="{D5CDD505-2E9C-101B-9397-08002B2CF9AE}" pid="35" name="LegalSubjectMatter">
    <vt:lpwstr/>
  </property>
  <property fmtid="{D5CDD505-2E9C-101B-9397-08002B2CF9AE}" pid="36" name="ESearchTags">
    <vt:lpwstr/>
  </property>
</Properties>
</file>