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2075" w14:textId="77C05860" w:rsidR="00BE7547" w:rsidRPr="00F40A58" w:rsidRDefault="001764EF" w:rsidP="00BE7547">
      <w:pPr>
        <w:pStyle w:val="ShortT"/>
        <w:jc w:val="center"/>
        <w:rPr>
          <w:sz w:val="28"/>
          <w:szCs w:val="28"/>
          <w:lang w:val="en-AU"/>
        </w:rPr>
      </w:pPr>
      <w:bookmarkStart w:id="0" w:name="_Toc408568581"/>
      <w:bookmarkStart w:id="1" w:name="_GoBack"/>
      <w:bookmarkEnd w:id="1"/>
      <w:r w:rsidRPr="00F40A58">
        <w:rPr>
          <w:bCs/>
          <w:i/>
          <w:spacing w:val="-2"/>
          <w:sz w:val="28"/>
          <w:szCs w:val="28"/>
          <w:lang w:val="en-AU"/>
        </w:rPr>
        <w:t>Legislation (Deferral of Sunsetting—</w:t>
      </w:r>
      <w:r w:rsidR="00284D91" w:rsidRPr="00F40A58">
        <w:rPr>
          <w:bCs/>
          <w:i/>
          <w:spacing w:val="-2"/>
          <w:sz w:val="28"/>
          <w:szCs w:val="28"/>
          <w:lang w:val="en-AU"/>
        </w:rPr>
        <w:t xml:space="preserve">Offshore Petroleum and Greenhouse Gas Storage (Environment) Regulations) </w:t>
      </w:r>
      <w:r w:rsidRPr="00F40A58">
        <w:rPr>
          <w:bCs/>
          <w:i/>
          <w:spacing w:val="-2"/>
          <w:sz w:val="28"/>
          <w:szCs w:val="28"/>
          <w:lang w:val="en-AU"/>
        </w:rPr>
        <w:t>Certificate 20</w:t>
      </w:r>
      <w:r w:rsidR="00284D91" w:rsidRPr="00F40A58">
        <w:rPr>
          <w:bCs/>
          <w:i/>
          <w:spacing w:val="-2"/>
          <w:sz w:val="28"/>
          <w:szCs w:val="28"/>
          <w:lang w:val="en-AU"/>
        </w:rPr>
        <w:t>18</w:t>
      </w:r>
    </w:p>
    <w:p w14:paraId="7973F7C6" w14:textId="54C8AA79" w:rsidR="00BE7547" w:rsidRPr="00F40A58" w:rsidRDefault="00BE7547" w:rsidP="005D7B1E">
      <w:pPr>
        <w:pStyle w:val="Heading1"/>
      </w:pPr>
      <w:r w:rsidRPr="00F40A58">
        <w:t>EXPLANATORY STATEMENT</w:t>
      </w:r>
    </w:p>
    <w:p w14:paraId="70F56DDF" w14:textId="45AB84EB" w:rsidR="00BE7547" w:rsidRPr="00F40A58" w:rsidRDefault="00737957" w:rsidP="008B4BB2">
      <w:pPr>
        <w:pBdr>
          <w:bottom w:val="single" w:sz="12" w:space="1" w:color="auto"/>
        </w:pBdr>
        <w:spacing w:before="180" w:line="276" w:lineRule="auto"/>
        <w:jc w:val="center"/>
        <w:rPr>
          <w:i/>
          <w:lang w:val="en-AU"/>
        </w:rPr>
      </w:pPr>
      <w:r w:rsidRPr="00F40A58">
        <w:rPr>
          <w:lang w:val="en-AU"/>
        </w:rPr>
        <w:t>Issued by the Attorney-</w:t>
      </w:r>
      <w:r w:rsidR="00BE7547" w:rsidRPr="00F40A58">
        <w:rPr>
          <w:lang w:val="en-AU"/>
        </w:rPr>
        <w:t xml:space="preserve">General in compliance with </w:t>
      </w:r>
      <w:r w:rsidR="002A3C21" w:rsidRPr="00F40A58">
        <w:rPr>
          <w:lang w:val="en-AU"/>
        </w:rPr>
        <w:br/>
      </w:r>
      <w:r w:rsidR="00BE7547" w:rsidRPr="00F40A58">
        <w:rPr>
          <w:lang w:val="en-AU"/>
        </w:rPr>
        <w:t xml:space="preserve">section 15G of the </w:t>
      </w:r>
      <w:r w:rsidR="00BE7547" w:rsidRPr="00F40A58">
        <w:rPr>
          <w:i/>
          <w:lang w:val="en-AU"/>
        </w:rPr>
        <w:t>Legislation Act 2003</w:t>
      </w:r>
    </w:p>
    <w:p w14:paraId="12850976" w14:textId="77777777" w:rsidR="00BE7547" w:rsidRPr="00F40A58" w:rsidRDefault="00BE7547" w:rsidP="00BE7547">
      <w:pPr>
        <w:pBdr>
          <w:bottom w:val="single" w:sz="12" w:space="1" w:color="auto"/>
        </w:pBdr>
        <w:spacing w:after="360"/>
        <w:jc w:val="center"/>
        <w:rPr>
          <w:i/>
          <w:lang w:val="en-AU"/>
        </w:rPr>
      </w:pPr>
    </w:p>
    <w:p w14:paraId="14C8BAAD" w14:textId="77777777" w:rsidR="00BE7547" w:rsidRPr="00F40A58" w:rsidRDefault="00BE7547" w:rsidP="00491179">
      <w:pPr>
        <w:pStyle w:val="Heading2"/>
      </w:pPr>
      <w:r w:rsidRPr="00F40A58">
        <w:t>INTRODUCTION</w:t>
      </w:r>
    </w:p>
    <w:p w14:paraId="73AE4B46" w14:textId="376B4B06" w:rsidR="00BE7547" w:rsidRPr="00F40A58" w:rsidRDefault="00F87762" w:rsidP="005D7B1E">
      <w:pPr>
        <w:pStyle w:val="Basetext"/>
      </w:pPr>
      <w:r>
        <w:t xml:space="preserve">The </w:t>
      </w:r>
      <w:r w:rsidRPr="00F87762">
        <w:rPr>
          <w:i/>
        </w:rPr>
        <w:t>Legislation (Deferral of Sunsetting—Offshore Petroleum and Greenhouse Gas Storage (Environment) Regulations) Certificate 2018</w:t>
      </w:r>
      <w:r w:rsidR="000137D0">
        <w:rPr>
          <w:i/>
        </w:rPr>
        <w:t xml:space="preserve"> </w:t>
      </w:r>
      <w:r w:rsidR="00914B56">
        <w:t xml:space="preserve">(the </w:t>
      </w:r>
      <w:r w:rsidR="00F07F22">
        <w:t xml:space="preserve">deferral </w:t>
      </w:r>
      <w:r w:rsidR="00914B56">
        <w:t>c</w:t>
      </w:r>
      <w:r w:rsidR="000137D0">
        <w:t>ertificate)</w:t>
      </w:r>
      <w:r>
        <w:t xml:space="preserve"> </w:t>
      </w:r>
      <w:r w:rsidR="007826BF" w:rsidRPr="00F40A58">
        <w:t>was made under paragraph 51(1)</w:t>
      </w:r>
      <w:r w:rsidR="00BE7547" w:rsidRPr="00F40A58">
        <w:t xml:space="preserve">(c) of the </w:t>
      </w:r>
      <w:r w:rsidR="00BE7547" w:rsidRPr="00F40A58">
        <w:rPr>
          <w:i/>
        </w:rPr>
        <w:t>Legislation Act 2003</w:t>
      </w:r>
      <w:r w:rsidR="00BE7547" w:rsidRPr="00F40A58">
        <w:t xml:space="preserve"> </w:t>
      </w:r>
      <w:r w:rsidR="00982194" w:rsidRPr="00F40A58">
        <w:t>(Legislation Act)</w:t>
      </w:r>
      <w:r w:rsidR="00BF75D9" w:rsidRPr="00F40A58">
        <w:t>. It</w:t>
      </w:r>
      <w:r w:rsidR="00BE7547" w:rsidRPr="00F40A58">
        <w:t xml:space="preserve"> is a legislative instrument for the purposes of the Legislation Act</w:t>
      </w:r>
      <w:r w:rsidR="001D3164" w:rsidRPr="00F40A58">
        <w:t xml:space="preserve"> and must be registered on the Federal Register of Legislation</w:t>
      </w:r>
      <w:r w:rsidR="00BE7547" w:rsidRPr="00F40A58">
        <w:t xml:space="preserve">. </w:t>
      </w:r>
      <w:r w:rsidR="00EE3273" w:rsidRPr="00F40A58">
        <w:t xml:space="preserve">The </w:t>
      </w:r>
      <w:r w:rsidR="00F07F22">
        <w:t xml:space="preserve">deferral </w:t>
      </w:r>
      <w:r w:rsidR="00EE3273" w:rsidRPr="00F40A58">
        <w:t>certificate</w:t>
      </w:r>
      <w:r w:rsidR="0054156E" w:rsidRPr="00F40A58">
        <w:t xml:space="preserve"> is</w:t>
      </w:r>
      <w:r w:rsidR="00EE3273" w:rsidRPr="00F40A58">
        <w:t xml:space="preserve"> not</w:t>
      </w:r>
      <w:r w:rsidR="0054156E" w:rsidRPr="00F40A58">
        <w:t xml:space="preserve"> subject to the disallowance provisions of the Legislation Act</w:t>
      </w:r>
      <w:r w:rsidR="00EE3273" w:rsidRPr="00F40A58">
        <w:t xml:space="preserve"> as the deferred sunsetting day specified in the </w:t>
      </w:r>
      <w:r w:rsidR="00F07F22">
        <w:t xml:space="preserve">deferral </w:t>
      </w:r>
      <w:r w:rsidR="00EE3273" w:rsidRPr="00F40A58">
        <w:t>certificate is on or before the first anniversary of the sunsetting day (</w:t>
      </w:r>
      <w:r w:rsidR="00947441" w:rsidRPr="00F40A58">
        <w:t>sub</w:t>
      </w:r>
      <w:r w:rsidR="00EE3273" w:rsidRPr="00F40A58">
        <w:t>section 51(4) of the Legislation Act)</w:t>
      </w:r>
      <w:r w:rsidR="0054156E" w:rsidRPr="00F40A58">
        <w:t>.</w:t>
      </w:r>
    </w:p>
    <w:p w14:paraId="614614B5" w14:textId="77777777" w:rsidR="00BE7547" w:rsidRPr="00F40A58" w:rsidRDefault="00BE7547" w:rsidP="005D7B1E">
      <w:pPr>
        <w:pStyle w:val="Heading2"/>
      </w:pPr>
      <w:r w:rsidRPr="00F40A58">
        <w:t>OUTLINE</w:t>
      </w:r>
    </w:p>
    <w:p w14:paraId="0F47417B" w14:textId="77777777" w:rsidR="00B8259F" w:rsidRPr="00F40A58" w:rsidRDefault="00B8259F" w:rsidP="005D7B1E">
      <w:pPr>
        <w:pStyle w:val="Basetext"/>
      </w:pPr>
      <w:r w:rsidRPr="00F40A58">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3BA7BA4A" w14:textId="6A546899" w:rsidR="00B8259F" w:rsidRPr="00F40A58" w:rsidRDefault="00B8259F" w:rsidP="005D7B1E">
      <w:pPr>
        <w:pStyle w:val="Basetext"/>
      </w:pPr>
      <w:r w:rsidRPr="00F40A58">
        <w:t>S</w:t>
      </w:r>
      <w:r w:rsidR="00947441" w:rsidRPr="00F40A58">
        <w:t>ubs</w:t>
      </w:r>
      <w:r w:rsidRPr="00F40A58">
        <w:t>ection 50</w:t>
      </w:r>
      <w:r w:rsidR="00947441" w:rsidRPr="00F40A58">
        <w:t>(1)</w:t>
      </w:r>
      <w:r w:rsidRPr="00F40A58">
        <w:t xml:space="preserve"> of the Legislation Act provides that a legislative instrument is automatically repealed on the 1 April or 1 October immediately on or following the tenth anniversary of its registration, unless it was registered on 1 January 2005. Legislat</w:t>
      </w:r>
      <w:r w:rsidR="009F72DD" w:rsidRPr="00F40A58">
        <w:t>ive instruments registered on 1 </w:t>
      </w:r>
      <w:r w:rsidRPr="00F40A58">
        <w:t>January</w:t>
      </w:r>
      <w:r w:rsidR="009F72DD" w:rsidRPr="00F40A58">
        <w:t> </w:t>
      </w:r>
      <w:r w:rsidRPr="00F40A58">
        <w:t>2005 are subject to the staggered sunsetting timetable set out in subsection 50(2) of the Legislation Act.</w:t>
      </w:r>
    </w:p>
    <w:p w14:paraId="712964B0" w14:textId="5ADAE901" w:rsidR="00BE7547" w:rsidRPr="00F40A58" w:rsidRDefault="00B8259F" w:rsidP="005D7B1E">
      <w:pPr>
        <w:pStyle w:val="Basetext"/>
      </w:pPr>
      <w:r w:rsidRPr="00F40A58">
        <w:t>Under p</w:t>
      </w:r>
      <w:r w:rsidR="00BE7547" w:rsidRPr="00F40A58">
        <w:t xml:space="preserve">aragraph 51(1)(c) </w:t>
      </w:r>
      <w:r w:rsidR="002C3E00" w:rsidRPr="00F40A58">
        <w:t>of the Legislation</w:t>
      </w:r>
      <w:r w:rsidRPr="00F40A58">
        <w:t xml:space="preserve"> Act the Attorney-General can </w:t>
      </w:r>
      <w:r w:rsidR="00BE7547" w:rsidRPr="00F40A58">
        <w:t xml:space="preserve">issue a certificate to defer the sunsetting day </w:t>
      </w:r>
      <w:r w:rsidR="00673C5D" w:rsidRPr="00F40A58">
        <w:t>of</w:t>
      </w:r>
      <w:r w:rsidR="00BE7547" w:rsidRPr="00F40A58">
        <w:t xml:space="preserve"> an instrument for a period</w:t>
      </w:r>
      <w:r w:rsidR="006F349C" w:rsidRPr="00F40A58">
        <w:t xml:space="preserve"> of either six, 12, 18 or 24 months</w:t>
      </w:r>
      <w:r w:rsidR="00BE7547" w:rsidRPr="00F40A58">
        <w:t xml:space="preserve">. The instrument will then </w:t>
      </w:r>
      <w:r w:rsidR="001070A7" w:rsidRPr="00F40A58">
        <w:t>be repealed</w:t>
      </w:r>
      <w:r w:rsidR="00BE7547" w:rsidRPr="00F40A58">
        <w:t xml:space="preserve"> on the day specified in the certificate instead of the scheduled sunsetting day. </w:t>
      </w:r>
    </w:p>
    <w:p w14:paraId="5C08A41B" w14:textId="56580601" w:rsidR="00BE7547" w:rsidRDefault="00BE7547" w:rsidP="005D7B1E">
      <w:pPr>
        <w:pStyle w:val="Basetext"/>
      </w:pPr>
      <w:r w:rsidRPr="00F40A58">
        <w:t>This allows instruments to continue to be in force for a further but limited period of time when they would otherwise sunset. This removes the administrative burden of remaking instruments which would have a limited duration prior to their repeal and potential replacement</w:t>
      </w:r>
      <w:r w:rsidR="00D07BBB" w:rsidRPr="00F40A58">
        <w:t>, or where</w:t>
      </w:r>
      <w:r w:rsidR="006E5C2C" w:rsidRPr="00F40A58">
        <w:t xml:space="preserve"> circumstances prevent the making of replacement instruments prior to the sunsetting day.</w:t>
      </w:r>
    </w:p>
    <w:p w14:paraId="6749B70B" w14:textId="120D0EF3" w:rsidR="001F3D75" w:rsidRPr="0065766B" w:rsidRDefault="0065766B" w:rsidP="005D7B1E">
      <w:pPr>
        <w:pStyle w:val="Basetext"/>
      </w:pPr>
      <w:r>
        <w:t xml:space="preserve">The </w:t>
      </w:r>
      <w:r w:rsidR="00F07F22">
        <w:t xml:space="preserve">deferral </w:t>
      </w:r>
      <w:r>
        <w:t>certificate defer</w:t>
      </w:r>
      <w:r w:rsidR="005D0779">
        <w:t>s</w:t>
      </w:r>
      <w:r>
        <w:t xml:space="preserve"> the sunsetting date of the </w:t>
      </w:r>
      <w:r w:rsidRPr="0065766B">
        <w:rPr>
          <w:i/>
        </w:rPr>
        <w:t>Offshore Petroleum and Greenhouse Gas Storag</w:t>
      </w:r>
      <w:r>
        <w:rPr>
          <w:i/>
        </w:rPr>
        <w:t>e (Environment) Regulations 200</w:t>
      </w:r>
      <w:r w:rsidR="00177484">
        <w:rPr>
          <w:i/>
        </w:rPr>
        <w:t xml:space="preserve">9 </w:t>
      </w:r>
      <w:r w:rsidR="00177484">
        <w:t>(2009 Regulations)</w:t>
      </w:r>
      <w:r>
        <w:rPr>
          <w:i/>
        </w:rPr>
        <w:t xml:space="preserve"> </w:t>
      </w:r>
      <w:r w:rsidR="001C449D">
        <w:t xml:space="preserve">from 1 April 2019 to 1 April 2020. </w:t>
      </w:r>
    </w:p>
    <w:p w14:paraId="2F34DA64" w14:textId="1DDFD450" w:rsidR="00A26EAD" w:rsidRPr="00F40A58" w:rsidRDefault="00A26EAD" w:rsidP="005D7B1E">
      <w:pPr>
        <w:pStyle w:val="Heading2"/>
      </w:pPr>
      <w:r w:rsidRPr="00F40A58">
        <w:t>STATEMENT OF COMPATIBILITY WITH HUMAN RIGHTS</w:t>
      </w:r>
    </w:p>
    <w:p w14:paraId="19AAF391" w14:textId="433D9305" w:rsidR="00A26EAD" w:rsidRPr="00F40A58" w:rsidRDefault="00A26EAD" w:rsidP="005D7B1E">
      <w:pPr>
        <w:pStyle w:val="Basetext"/>
      </w:pPr>
      <w:r w:rsidRPr="00F40A58">
        <w:t xml:space="preserve">A certificate of deferral of sunsetting for six or 12 months issued by the Attorney-General under </w:t>
      </w:r>
      <w:r w:rsidR="00947441" w:rsidRPr="00F40A58">
        <w:t xml:space="preserve">paragraph </w:t>
      </w:r>
      <w:r w:rsidRPr="00F40A58">
        <w:t>51(1)</w:t>
      </w:r>
      <w:r w:rsidR="00947441" w:rsidRPr="00F40A58">
        <w:t>(c)</w:t>
      </w:r>
      <w:r w:rsidRPr="00F40A58">
        <w:t xml:space="preserve"> of the Legislation Act is not subject to disallowance (</w:t>
      </w:r>
      <w:r w:rsidR="009F72DD" w:rsidRPr="00F40A58">
        <w:t>sub</w:t>
      </w:r>
      <w:r w:rsidRPr="00F40A58">
        <w:t>section 51(4) of the Legislation Act). As such, a statement of compatibility with human rights is not required (</w:t>
      </w:r>
      <w:r w:rsidR="00947441" w:rsidRPr="00F40A58">
        <w:t xml:space="preserve">section 9 of the </w:t>
      </w:r>
      <w:r w:rsidRPr="00F40A58">
        <w:rPr>
          <w:i/>
          <w:iCs/>
        </w:rPr>
        <w:t>Human Rights (Parliamentary Scrutiny) Act 2011</w:t>
      </w:r>
      <w:r w:rsidRPr="00F40A58">
        <w:t>).</w:t>
      </w:r>
    </w:p>
    <w:p w14:paraId="528C7680" w14:textId="77777777" w:rsidR="00BE7547" w:rsidRPr="00F40A58" w:rsidRDefault="00BE7547" w:rsidP="005D7B1E">
      <w:pPr>
        <w:pStyle w:val="Heading2"/>
      </w:pPr>
      <w:r w:rsidRPr="00F40A58">
        <w:lastRenderedPageBreak/>
        <w:t xml:space="preserve">PROCESS BEFORE CERTIFICATE WAS MADE </w:t>
      </w:r>
    </w:p>
    <w:p w14:paraId="71AAEC68" w14:textId="77777777" w:rsidR="00BE7547" w:rsidRPr="00F40A58" w:rsidRDefault="00BE7547" w:rsidP="00491179">
      <w:pPr>
        <w:pStyle w:val="Heading3"/>
      </w:pPr>
      <w:r w:rsidRPr="00F40A58">
        <w:t xml:space="preserve">Regulatory impact analysis </w:t>
      </w:r>
    </w:p>
    <w:p w14:paraId="453C3ECD" w14:textId="77777777" w:rsidR="00BE7547" w:rsidRPr="00F40A58" w:rsidRDefault="00BE7547" w:rsidP="005D7B1E">
      <w:pPr>
        <w:pStyle w:val="Basetext"/>
      </w:pPr>
      <w:r w:rsidRPr="00F40A58">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33422367" w14:textId="77777777" w:rsidR="00BE7547" w:rsidRPr="00F40A58" w:rsidRDefault="00BE7547" w:rsidP="005D7B1E">
      <w:pPr>
        <w:pStyle w:val="Heading3"/>
      </w:pPr>
      <w:r w:rsidRPr="00F40A58">
        <w:t xml:space="preserve">Consultation before making </w:t>
      </w:r>
    </w:p>
    <w:p w14:paraId="76A085AE" w14:textId="77777777" w:rsidR="009511C2" w:rsidRPr="00F40A58" w:rsidRDefault="00BE7547" w:rsidP="005D7B1E">
      <w:pPr>
        <w:pStyle w:val="Basetext"/>
      </w:pPr>
      <w:r w:rsidRPr="00F40A58">
        <w:t>Before this certificate was issued, the Attorney</w:t>
      </w:r>
      <w:r w:rsidRPr="00F40A58">
        <w:noBreakHyphen/>
        <w:t xml:space="preserve">General considered the general obligation to consult imposed by section 17 of the Legislation Act. </w:t>
      </w:r>
    </w:p>
    <w:p w14:paraId="19FD9054" w14:textId="58AFA31D" w:rsidR="00843D8A" w:rsidRPr="00F40A58" w:rsidRDefault="00BE7547" w:rsidP="005D7B1E">
      <w:pPr>
        <w:pStyle w:val="Basetext"/>
      </w:pPr>
      <w:r w:rsidRPr="00F40A58">
        <w:t>Consultation involved the</w:t>
      </w:r>
      <w:r w:rsidR="00843D8A" w:rsidRPr="00F40A58">
        <w:t xml:space="preserve"> Minister for Resources and Northern Australia, Senator the Hon Matthew Canavan, advising the Attorney</w:t>
      </w:r>
      <w:r w:rsidR="00FF2535">
        <w:t>-</w:t>
      </w:r>
      <w:r w:rsidR="00843D8A" w:rsidRPr="00F40A58">
        <w:t>General of the reasons in support of issuing the</w:t>
      </w:r>
      <w:r w:rsidR="00F07F22">
        <w:t xml:space="preserve"> deferral</w:t>
      </w:r>
      <w:r w:rsidR="00843D8A" w:rsidRPr="00F40A58">
        <w:t xml:space="preserve"> certificate. The Minister for Resources and No</w:t>
      </w:r>
      <w:r w:rsidR="00EE0672">
        <w:t xml:space="preserve">rthern Australia is responsible </w:t>
      </w:r>
      <w:r w:rsidR="00843D8A" w:rsidRPr="00F40A58">
        <w:t xml:space="preserve">for administering the </w:t>
      </w:r>
      <w:r w:rsidR="00843D8A" w:rsidRPr="00F40A58">
        <w:rPr>
          <w:i/>
        </w:rPr>
        <w:t>Offshore</w:t>
      </w:r>
      <w:r w:rsidR="00A257DA">
        <w:rPr>
          <w:i/>
        </w:rPr>
        <w:t> </w:t>
      </w:r>
      <w:r w:rsidR="00843D8A" w:rsidRPr="00F40A58">
        <w:rPr>
          <w:i/>
        </w:rPr>
        <w:t>Petroleum and Greenhouse Gas Storage Act 2006</w:t>
      </w:r>
      <w:r w:rsidR="00843D8A" w:rsidRPr="00F40A58">
        <w:t xml:space="preserve"> (OPGGS Act), the enabling legislation under which the 2009 Regulations were made. As such, the Minister is the relevant rule-maker for the purposes of section 6 of the Legislation Act. </w:t>
      </w:r>
    </w:p>
    <w:p w14:paraId="0B54F399" w14:textId="69A11397" w:rsidR="00BE7547" w:rsidRPr="00F40A58" w:rsidRDefault="00BE7547" w:rsidP="005D7B1E">
      <w:pPr>
        <w:pStyle w:val="Basetext"/>
      </w:pPr>
      <w:r w:rsidRPr="00F40A58">
        <w:t xml:space="preserve">The </w:t>
      </w:r>
      <w:r w:rsidR="00F07F22">
        <w:t xml:space="preserve">deferral </w:t>
      </w:r>
      <w:r w:rsidR="00BF5B13" w:rsidRPr="00F40A58">
        <w:t>c</w:t>
      </w:r>
      <w:r w:rsidRPr="00F40A58">
        <w:t>ertificate is consistent with the policy intent of the sunsetting arrangements and does not significantly alter existing arrangements. Accordingly, further consultation was unnecessary.</w:t>
      </w:r>
    </w:p>
    <w:p w14:paraId="5511EB81" w14:textId="77777777" w:rsidR="00BE7547" w:rsidRPr="00F40A58" w:rsidRDefault="00BE7547" w:rsidP="005D7B1E">
      <w:pPr>
        <w:pStyle w:val="Heading3"/>
      </w:pPr>
      <w:r w:rsidRPr="00F40A58">
        <w:t>Statutory preconditions relevant to this certificate</w:t>
      </w:r>
    </w:p>
    <w:p w14:paraId="154429F8" w14:textId="4ED73C43" w:rsidR="001D3164" w:rsidRPr="00F40A58" w:rsidRDefault="001D3164" w:rsidP="005D7B1E">
      <w:pPr>
        <w:pStyle w:val="Basetext"/>
      </w:pPr>
      <w:r w:rsidRPr="00F40A58">
        <w:t xml:space="preserve">If the statutory conditions in section 51 of the Legislation Act are met, an instrument’s sunsetting day can be deferred for either six, 12, 18 or 24 months by means of a certificate made under that section. In terms of process, the Legislation Act requires: </w:t>
      </w:r>
    </w:p>
    <w:p w14:paraId="730AD9F2" w14:textId="31C0DB1B" w:rsidR="001D3164" w:rsidRPr="001640AF" w:rsidRDefault="001D3164" w:rsidP="005D7B1E">
      <w:pPr>
        <w:pStyle w:val="numbering"/>
        <w:rPr>
          <w:sz w:val="22"/>
        </w:rPr>
      </w:pPr>
      <w:r w:rsidRPr="001640AF">
        <w:rPr>
          <w:sz w:val="22"/>
        </w:rPr>
        <w:t>the responsible rule</w:t>
      </w:r>
      <w:r w:rsidR="00A613EE" w:rsidRPr="001640AF">
        <w:rPr>
          <w:sz w:val="22"/>
        </w:rPr>
        <w:t>-</w:t>
      </w:r>
      <w:r w:rsidRPr="001640AF">
        <w:rPr>
          <w:sz w:val="22"/>
        </w:rPr>
        <w:t>maker to apply to the Attorney-General in writing</w:t>
      </w:r>
    </w:p>
    <w:p w14:paraId="0258045E" w14:textId="77777777" w:rsidR="001D3164" w:rsidRPr="001640AF" w:rsidRDefault="001D3164" w:rsidP="005D7B1E">
      <w:pPr>
        <w:pStyle w:val="numbering"/>
        <w:rPr>
          <w:sz w:val="22"/>
        </w:rPr>
      </w:pPr>
      <w:r w:rsidRPr="001640AF">
        <w:rPr>
          <w:sz w:val="22"/>
        </w:rPr>
        <w:t>the Attorney-General to be satisfied that:</w:t>
      </w:r>
    </w:p>
    <w:p w14:paraId="05AC2966" w14:textId="77777777" w:rsidR="001D3164" w:rsidRPr="001640AF" w:rsidRDefault="001D3164" w:rsidP="005D7B1E">
      <w:pPr>
        <w:pStyle w:val="numbering"/>
        <w:numPr>
          <w:ilvl w:val="1"/>
          <w:numId w:val="1"/>
        </w:numPr>
        <w:rPr>
          <w:sz w:val="22"/>
        </w:rPr>
      </w:pPr>
      <w:r w:rsidRPr="001640AF">
        <w:rPr>
          <w:sz w:val="22"/>
        </w:rPr>
        <w:t>the instrument would (apart from the operation of the sunsetting provisions) be likely to cease to be in force within 24 months after its sunsetting day, or</w:t>
      </w:r>
    </w:p>
    <w:p w14:paraId="38BCD7B8" w14:textId="77777777" w:rsidR="001D3164" w:rsidRPr="001640AF" w:rsidRDefault="001D3164" w:rsidP="005D7B1E">
      <w:pPr>
        <w:pStyle w:val="numbering"/>
        <w:numPr>
          <w:ilvl w:val="1"/>
          <w:numId w:val="1"/>
        </w:numPr>
        <w:rPr>
          <w:sz w:val="22"/>
        </w:rPr>
      </w:pPr>
      <w:r w:rsidRPr="001640AF">
        <w:rPr>
          <w:sz w:val="22"/>
        </w:rPr>
        <w:t>the proposed replacement instrument will not be able to be completed before the sunsetting day for reasons that the rule maker could not have foreseen and avoided, or</w:t>
      </w:r>
    </w:p>
    <w:p w14:paraId="3FAC7805" w14:textId="77777777" w:rsidR="001D3164" w:rsidRPr="001640AF" w:rsidRDefault="001D3164" w:rsidP="005D7B1E">
      <w:pPr>
        <w:pStyle w:val="numbering"/>
        <w:numPr>
          <w:ilvl w:val="1"/>
          <w:numId w:val="1"/>
        </w:numPr>
        <w:rPr>
          <w:sz w:val="22"/>
        </w:rPr>
      </w:pPr>
      <w:r w:rsidRPr="001640AF">
        <w:rPr>
          <w:sz w:val="22"/>
        </w:rPr>
        <w:t>the dissolution or expiration of the House of Representatives or the prorogation of the Parliament renders it inappropriate to make a replacement instrument before a new government is formed, or</w:t>
      </w:r>
    </w:p>
    <w:p w14:paraId="56852345" w14:textId="77777777" w:rsidR="001D3164" w:rsidRPr="001640AF" w:rsidRDefault="001D3164" w:rsidP="005D7B1E">
      <w:pPr>
        <w:pStyle w:val="numbering"/>
        <w:numPr>
          <w:ilvl w:val="1"/>
          <w:numId w:val="1"/>
        </w:numPr>
        <w:rPr>
          <w:sz w:val="22"/>
        </w:rPr>
      </w:pPr>
      <w:r w:rsidRPr="001640AF">
        <w:rPr>
          <w:sz w:val="22"/>
        </w:rPr>
        <w:t xml:space="preserve">the Attorney-General has approved Part 4 of Chapter 3 of the Legislation Act (Sunsetting) not applying to the instrument, and </w:t>
      </w:r>
    </w:p>
    <w:p w14:paraId="4CA6E489" w14:textId="69BD6F6F" w:rsidR="001D3164" w:rsidRPr="001640AF" w:rsidRDefault="001D3164" w:rsidP="005D7B1E">
      <w:pPr>
        <w:pStyle w:val="numbering"/>
        <w:rPr>
          <w:sz w:val="22"/>
        </w:rPr>
      </w:pPr>
      <w:r w:rsidRPr="001640AF">
        <w:rPr>
          <w:sz w:val="22"/>
        </w:rPr>
        <w:t xml:space="preserve">the Attorney-General to issue a certificate. The explanatory statement for </w:t>
      </w:r>
      <w:r w:rsidR="00947441" w:rsidRPr="001640AF">
        <w:rPr>
          <w:sz w:val="22"/>
        </w:rPr>
        <w:t>the</w:t>
      </w:r>
      <w:r w:rsidRPr="001640AF">
        <w:rPr>
          <w:sz w:val="22"/>
        </w:rPr>
        <w:t xml:space="preserve"> certificate to include a statement of reasons for the issue of the certificate. </w:t>
      </w:r>
    </w:p>
    <w:p w14:paraId="764A5681" w14:textId="7034A852" w:rsidR="00BC1504" w:rsidRPr="00F40A58" w:rsidRDefault="00BC1504" w:rsidP="005D7B1E">
      <w:pPr>
        <w:pStyle w:val="Basetext"/>
      </w:pPr>
      <w:r w:rsidRPr="00F40A58">
        <w:t>On the basis of the information contained in the statement of reasons below, the Attorney</w:t>
      </w:r>
      <w:r w:rsidRPr="00F40A58">
        <w:noBreakHyphen/>
        <w:t xml:space="preserve">General is satisfied that the </w:t>
      </w:r>
      <w:r w:rsidR="00C449CF" w:rsidRPr="00F40A58">
        <w:t>instrument</w:t>
      </w:r>
      <w:r w:rsidRPr="00F40A58">
        <w:t xml:space="preserve"> would, apart from the operation of Part 4 of Chapter 3 of the Legislation Act, be likely to cease to be in force within 24 months after their sunsetting day. As such, the criterion in subparagraph 51(1)(b)(i) of the Legislation Act is met. </w:t>
      </w:r>
    </w:p>
    <w:p w14:paraId="5FD351CC" w14:textId="00942672" w:rsidR="00643DF8" w:rsidRPr="00F40A58" w:rsidRDefault="001D3164" w:rsidP="005D7B1E">
      <w:pPr>
        <w:pStyle w:val="Heading3"/>
      </w:pPr>
      <w:r w:rsidRPr="00F40A58">
        <w:lastRenderedPageBreak/>
        <w:t xml:space="preserve">Statement of Reasons for issuing of the </w:t>
      </w:r>
      <w:r w:rsidR="00F07F22">
        <w:t>deferral c</w:t>
      </w:r>
      <w:r w:rsidRPr="00F40A58">
        <w:t xml:space="preserve">ertificate </w:t>
      </w:r>
    </w:p>
    <w:p w14:paraId="286C7DAF" w14:textId="77777777" w:rsidR="00B90B93" w:rsidRPr="00F40A58" w:rsidRDefault="00B90B93" w:rsidP="00613598">
      <w:pPr>
        <w:pStyle w:val="Basetext"/>
        <w:widowControl/>
      </w:pPr>
      <w:r w:rsidRPr="00F40A58">
        <w:t xml:space="preserve">For the purposes of subsection 51(5) of the Legislation Act, this section sets out the statement of reasons for the issue of this certificate. </w:t>
      </w:r>
    </w:p>
    <w:p w14:paraId="7ADB354F" w14:textId="26895F40" w:rsidR="00D6222C" w:rsidRDefault="00B01D6B">
      <w:pPr>
        <w:pStyle w:val="Basetext"/>
      </w:pPr>
      <w:r w:rsidRPr="00F40A58">
        <w:t>The 2009 Regulations are</w:t>
      </w:r>
      <w:r w:rsidR="00643DF8" w:rsidRPr="00F40A58">
        <w:t xml:space="preserve"> made under the </w:t>
      </w:r>
      <w:r w:rsidRPr="00F40A58">
        <w:t>OPGGS Act</w:t>
      </w:r>
      <w:r w:rsidR="00184BD9" w:rsidRPr="00F40A58">
        <w:t>.</w:t>
      </w:r>
      <w:r w:rsidR="00BC1504" w:rsidRPr="00F40A58">
        <w:t xml:space="preserve"> </w:t>
      </w:r>
      <w:r w:rsidR="00A800A4" w:rsidRPr="00F40A58">
        <w:t>They provide for the regulation of environmental management of upstream petroleum and greenhouse gas activities in offshore areas.</w:t>
      </w:r>
    </w:p>
    <w:p w14:paraId="13B0EB22" w14:textId="320426AD" w:rsidR="00E82AD6" w:rsidRDefault="003D4765">
      <w:pPr>
        <w:pStyle w:val="Basetext"/>
      </w:pPr>
      <w:r w:rsidRPr="00F40A58">
        <w:t>In mid-July 2018, the Department of Industr</w:t>
      </w:r>
      <w:r w:rsidR="00350D54">
        <w:t>y, Innovation and Science</w:t>
      </w:r>
      <w:r w:rsidR="0008181D">
        <w:t xml:space="preserve"> (DIIS)</w:t>
      </w:r>
      <w:r w:rsidR="00A04B0A">
        <w:t xml:space="preserve"> became aware that, </w:t>
      </w:r>
      <w:r w:rsidR="00A22A23">
        <w:t xml:space="preserve">should the 2009 </w:t>
      </w:r>
      <w:r w:rsidR="007C0EB1">
        <w:t>R</w:t>
      </w:r>
      <w:r w:rsidR="00A22A23">
        <w:t>egulations be remade</w:t>
      </w:r>
      <w:r w:rsidR="00A04B0A">
        <w:t>,</w:t>
      </w:r>
      <w:r w:rsidR="00A22A23">
        <w:t xml:space="preserve"> </w:t>
      </w:r>
      <w:r w:rsidRPr="00F40A58">
        <w:t xml:space="preserve">amendments would be needed to both the OPGGS Act and the </w:t>
      </w:r>
      <w:r w:rsidRPr="00F40A58">
        <w:rPr>
          <w:i/>
        </w:rPr>
        <w:t>Offshore Petroleum and Greenhouse Gas Storage (Regulatory Levies) Act 2003</w:t>
      </w:r>
      <w:r w:rsidRPr="00F40A58">
        <w:t xml:space="preserve"> (OPGGS</w:t>
      </w:r>
      <w:r w:rsidR="00FF2535">
        <w:t> </w:t>
      </w:r>
      <w:r w:rsidRPr="00F40A58">
        <w:t>Levies</w:t>
      </w:r>
      <w:r w:rsidR="00FF2535">
        <w:t> </w:t>
      </w:r>
      <w:r w:rsidRPr="00F40A58">
        <w:t>Act) in order to update existing cross-references to</w:t>
      </w:r>
      <w:r w:rsidR="003B1145" w:rsidRPr="00F40A58">
        <w:t xml:space="preserve"> spec</w:t>
      </w:r>
      <w:r w:rsidR="005A1FFC" w:rsidRPr="00F40A58">
        <w:t>ific references to the</w:t>
      </w:r>
      <w:r w:rsidR="005C5B57">
        <w:t xml:space="preserve"> </w:t>
      </w:r>
      <w:r w:rsidR="00D173BF">
        <w:t>2</w:t>
      </w:r>
      <w:r w:rsidR="003D2BFA">
        <w:t>009 R</w:t>
      </w:r>
      <w:r w:rsidR="00D173BF">
        <w:t>egulations</w:t>
      </w:r>
      <w:r w:rsidR="00A22A23">
        <w:t>. If these amendments were not made,</w:t>
      </w:r>
      <w:r w:rsidR="00C66D75">
        <w:t xml:space="preserve"> those references w</w:t>
      </w:r>
      <w:r w:rsidR="00A22A23">
        <w:t>ould</w:t>
      </w:r>
      <w:r w:rsidR="00C66D75">
        <w:t xml:space="preserve"> become </w:t>
      </w:r>
      <w:r w:rsidR="00B50BEB">
        <w:t>misleading once the r</w:t>
      </w:r>
      <w:r w:rsidR="00A22A23">
        <w:t>egulations were remade</w:t>
      </w:r>
      <w:r w:rsidR="00C66D75">
        <w:t xml:space="preserve">. </w:t>
      </w:r>
      <w:r w:rsidR="00B50BEB" w:rsidRPr="00B50BEB">
        <w:t>This would create a risk that</w:t>
      </w:r>
      <w:r w:rsidR="003D2BFA" w:rsidRPr="00B50BEB">
        <w:t xml:space="preserve"> the National Offshore Petroleum Safety and Environmental Management Authority (NOPSEMA) would not be able to inspect compliance with environment plans</w:t>
      </w:r>
      <w:r w:rsidR="00BF6161" w:rsidRPr="00B50BEB">
        <w:t>,</w:t>
      </w:r>
      <w:r w:rsidR="003D2BFA" w:rsidRPr="00B50BEB">
        <w:t xml:space="preserve"> nor be able to fund these activities through the imposition of le</w:t>
      </w:r>
      <w:r w:rsidR="001136B7" w:rsidRPr="00B50BEB">
        <w:t>vies.</w:t>
      </w:r>
      <w:r w:rsidR="00A13122" w:rsidRPr="00B50BEB">
        <w:t xml:space="preserve"> </w:t>
      </w:r>
      <w:r w:rsidR="00E82AD6">
        <w:t>A 12 month de</w:t>
      </w:r>
      <w:r w:rsidR="00A22A23">
        <w:t xml:space="preserve">ferral will allow the </w:t>
      </w:r>
      <w:r w:rsidR="0008181D">
        <w:t>DIIS</w:t>
      </w:r>
      <w:r w:rsidR="002217EA" w:rsidRPr="00F40A58">
        <w:t xml:space="preserve"> </w:t>
      </w:r>
      <w:r w:rsidR="00A22A23">
        <w:t>to investigate the best approach to ensure that the</w:t>
      </w:r>
      <w:r w:rsidR="002217EA">
        <w:t xml:space="preserve"> functions </w:t>
      </w:r>
      <w:r w:rsidR="00E82AD6">
        <w:t xml:space="preserve">of the NOPSEMA are not affected. </w:t>
      </w:r>
    </w:p>
    <w:p w14:paraId="5AE6A82C" w14:textId="59C8655A" w:rsidR="009511C2" w:rsidRPr="00F40A58" w:rsidRDefault="00E82AD6" w:rsidP="005D7B1E">
      <w:pPr>
        <w:pStyle w:val="Basetext"/>
      </w:pPr>
      <w:r>
        <w:t>As such, t</w:t>
      </w:r>
      <w:r w:rsidRPr="00F40A58">
        <w:t xml:space="preserve">he </w:t>
      </w:r>
      <w:r>
        <w:t>2009 Regulation</w:t>
      </w:r>
      <w:r w:rsidR="00B83E8C">
        <w:t>s</w:t>
      </w:r>
      <w:r>
        <w:t xml:space="preserve"> are </w:t>
      </w:r>
      <w:r w:rsidRPr="00F40A58">
        <w:t>likely to cease to be in force within 24 months after its sunsetting day</w:t>
      </w:r>
      <w:r>
        <w:t>. A</w:t>
      </w:r>
      <w:r w:rsidR="009511C2" w:rsidRPr="00F40A58">
        <w:t xml:space="preserve"> deferral of the sunsetting </w:t>
      </w:r>
      <w:r w:rsidR="00213324" w:rsidRPr="00F40A58">
        <w:t xml:space="preserve">day </w:t>
      </w:r>
      <w:r w:rsidR="009511C2" w:rsidRPr="00F40A58">
        <w:t xml:space="preserve">of the </w:t>
      </w:r>
      <w:r w:rsidR="005E2030" w:rsidRPr="00F40A58">
        <w:t>2009 Regulations</w:t>
      </w:r>
      <w:r w:rsidR="009511C2" w:rsidRPr="00F40A58">
        <w:t xml:space="preserve"> would be consistent with the policy intent of the sunsetting regime that legislative instruments should </w:t>
      </w:r>
      <w:r w:rsidR="00672626" w:rsidRPr="00F40A58">
        <w:t>be kept up to date and only remain in force so long as they are needed.</w:t>
      </w:r>
    </w:p>
    <w:p w14:paraId="28A468D1" w14:textId="5DCE8DD4" w:rsidR="00BE7547" w:rsidRPr="00F40A58" w:rsidRDefault="00BE7547" w:rsidP="005D7B1E">
      <w:pPr>
        <w:pStyle w:val="Heading3"/>
      </w:pPr>
      <w:r w:rsidRPr="00F40A58">
        <w:t xml:space="preserve">More information </w:t>
      </w:r>
    </w:p>
    <w:p w14:paraId="4655EA19" w14:textId="02E8583A" w:rsidR="00BE7547" w:rsidRPr="00F40A58" w:rsidRDefault="005105B2" w:rsidP="005D7B1E">
      <w:pPr>
        <w:pStyle w:val="Basetext"/>
      </w:pPr>
      <w:r w:rsidRPr="00F40A58">
        <w:t xml:space="preserve">Further </w:t>
      </w:r>
      <w:r w:rsidR="00BE7547" w:rsidRPr="00F40A58">
        <w:t>detail</w:t>
      </w:r>
      <w:r w:rsidRPr="00F40A58">
        <w:t>s on the provisions of</w:t>
      </w:r>
      <w:r w:rsidR="00BE7547" w:rsidRPr="00F40A58">
        <w:t xml:space="preserve"> the </w:t>
      </w:r>
      <w:r w:rsidR="00F07F22">
        <w:t xml:space="preserve">deferral </w:t>
      </w:r>
      <w:r w:rsidR="00BE7547" w:rsidRPr="00F40A58">
        <w:t xml:space="preserve">certificate </w:t>
      </w:r>
      <w:r w:rsidR="008471B4" w:rsidRPr="00F40A58">
        <w:t>are</w:t>
      </w:r>
      <w:r w:rsidR="00BE7547" w:rsidRPr="00F40A58">
        <w:t xml:space="preserve"> provided in </w:t>
      </w:r>
      <w:r w:rsidR="00BE7547" w:rsidRPr="00F40A58">
        <w:rPr>
          <w:u w:val="single"/>
        </w:rPr>
        <w:t>Attachment A</w:t>
      </w:r>
      <w:r w:rsidR="00BE7547" w:rsidRPr="00F40A58">
        <w:t>.</w:t>
      </w:r>
    </w:p>
    <w:p w14:paraId="6902A88E" w14:textId="5D991204" w:rsidR="00BE7547" w:rsidRPr="00F40A58" w:rsidRDefault="00BE7547" w:rsidP="005D7B1E">
      <w:pPr>
        <w:pStyle w:val="Basetext"/>
      </w:pPr>
      <w:r w:rsidRPr="00F40A58">
        <w:t>The instrument which is the subject of this certificate, and which will now sunset at a later day as specified in this certificate, is available on the Federal Register of Legislation</w:t>
      </w:r>
      <w:r w:rsidRPr="00F40A58">
        <w:rPr>
          <w:sz w:val="24"/>
          <w:szCs w:val="20"/>
        </w:rPr>
        <w:fldChar w:fldCharType="begin"/>
      </w:r>
      <w:r w:rsidRPr="00F40A58">
        <w:instrText>http://www.comlaw.gov.au/</w:instrText>
      </w:r>
      <w:r w:rsidRPr="00F40A58">
        <w:fldChar w:fldCharType="separate"/>
      </w:r>
      <w:r w:rsidRPr="00F40A58">
        <w:rPr>
          <w:rStyle w:val="Hyperlink"/>
          <w:color w:val="auto"/>
        </w:rPr>
        <w:t>http://www.comlaw.gov.au</w:t>
      </w:r>
      <w:r w:rsidRPr="00F40A58">
        <w:rPr>
          <w:rStyle w:val="Hyperlink"/>
          <w:color w:val="auto"/>
        </w:rPr>
        <w:fldChar w:fldCharType="end"/>
      </w:r>
      <w:r w:rsidRPr="00F40A58">
        <w:t>.</w:t>
      </w:r>
    </w:p>
    <w:bookmarkEnd w:id="0"/>
    <w:p w14:paraId="42037510" w14:textId="729DAD86" w:rsidR="00C73A50" w:rsidRPr="00F40A58" w:rsidRDefault="00C73A50" w:rsidP="005D7B1E">
      <w:pPr>
        <w:pStyle w:val="Basetext"/>
      </w:pPr>
      <w:r w:rsidRPr="00F40A58">
        <w:t xml:space="preserve">Further information may be requested from the Attorney-General’s Department about the operation of this </w:t>
      </w:r>
      <w:r w:rsidR="00FF2535">
        <w:t>certificate</w:t>
      </w:r>
      <w:r w:rsidRPr="00F40A58">
        <w:t>, and from the</w:t>
      </w:r>
      <w:r w:rsidR="001C3536" w:rsidRPr="00F40A58">
        <w:t xml:space="preserve"> </w:t>
      </w:r>
      <w:r w:rsidR="007C3B45">
        <w:t>DIIS</w:t>
      </w:r>
      <w:r w:rsidRPr="00F40A58">
        <w:t xml:space="preserve"> about the</w:t>
      </w:r>
      <w:r w:rsidR="009E5049" w:rsidRPr="00F40A58">
        <w:t xml:space="preserve"> instrument </w:t>
      </w:r>
      <w:r w:rsidRPr="00F40A58">
        <w:t>to which this certificate applies.</w:t>
      </w:r>
    </w:p>
    <w:p w14:paraId="4D63B445" w14:textId="77777777" w:rsidR="00BE7547" w:rsidRPr="00F40A58" w:rsidRDefault="00BE7547" w:rsidP="008B4BB2">
      <w:pPr>
        <w:spacing w:line="276" w:lineRule="auto"/>
        <w:rPr>
          <w:sz w:val="22"/>
          <w:szCs w:val="22"/>
          <w:lang w:val="en-AU"/>
        </w:rPr>
      </w:pPr>
      <w:r w:rsidRPr="00F40A58">
        <w:rPr>
          <w:sz w:val="22"/>
          <w:szCs w:val="22"/>
          <w:lang w:val="en-AU"/>
        </w:rPr>
        <w:br w:type="page"/>
      </w:r>
    </w:p>
    <w:p w14:paraId="0507A71E" w14:textId="77777777" w:rsidR="00BE7547" w:rsidRPr="00F40A58" w:rsidRDefault="00BE7547" w:rsidP="005D7B1E">
      <w:pPr>
        <w:pStyle w:val="Heading2"/>
      </w:pPr>
      <w:r w:rsidRPr="00F40A58">
        <w:rPr>
          <w:rStyle w:val="Heading1Char"/>
          <w:rFonts w:eastAsiaTheme="majorEastAsia"/>
          <w:b/>
          <w:sz w:val="22"/>
          <w:szCs w:val="22"/>
        </w:rPr>
        <w:lastRenderedPageBreak/>
        <w:t>ATTACHMENT A</w:t>
      </w:r>
    </w:p>
    <w:p w14:paraId="11A2DA88" w14:textId="3DB293D3" w:rsidR="00BE7547" w:rsidRPr="00F40A58" w:rsidRDefault="00BE7547" w:rsidP="005D7B1E">
      <w:pPr>
        <w:pStyle w:val="Heading2"/>
      </w:pPr>
      <w:r w:rsidRPr="00F40A58">
        <w:t>NOTES ON THE CERTIFICATE</w:t>
      </w:r>
    </w:p>
    <w:p w14:paraId="2FA64276" w14:textId="77777777" w:rsidR="00BE7547" w:rsidRPr="00F40A58" w:rsidRDefault="00BE7547" w:rsidP="005D7B1E">
      <w:pPr>
        <w:pStyle w:val="Heading3"/>
      </w:pPr>
      <w:r w:rsidRPr="00F40A58">
        <w:t>Section 1</w:t>
      </w:r>
      <w:r w:rsidRPr="00F40A58">
        <w:tab/>
        <w:t>Name</w:t>
      </w:r>
    </w:p>
    <w:p w14:paraId="18508568" w14:textId="186EF52C" w:rsidR="00BE7547" w:rsidRPr="00F40A58" w:rsidRDefault="00BE7547" w:rsidP="008B4BB2">
      <w:pPr>
        <w:spacing w:before="100" w:beforeAutospacing="1" w:line="276" w:lineRule="auto"/>
        <w:rPr>
          <w:sz w:val="22"/>
          <w:szCs w:val="22"/>
          <w:lang w:val="en-AU"/>
        </w:rPr>
      </w:pPr>
      <w:r w:rsidRPr="00F40A58">
        <w:rPr>
          <w:sz w:val="22"/>
          <w:szCs w:val="22"/>
          <w:lang w:val="en-AU"/>
        </w:rPr>
        <w:t xml:space="preserve">This section provides that the </w:t>
      </w:r>
      <w:r w:rsidR="00F07F22">
        <w:rPr>
          <w:sz w:val="22"/>
          <w:szCs w:val="22"/>
          <w:lang w:val="en-AU"/>
        </w:rPr>
        <w:t xml:space="preserve">deferral </w:t>
      </w:r>
      <w:r w:rsidR="00564EC1" w:rsidRPr="00F40A58">
        <w:rPr>
          <w:sz w:val="22"/>
          <w:szCs w:val="22"/>
          <w:lang w:val="en-AU"/>
        </w:rPr>
        <w:t>c</w:t>
      </w:r>
      <w:r w:rsidRPr="00F40A58">
        <w:rPr>
          <w:sz w:val="22"/>
          <w:szCs w:val="22"/>
          <w:lang w:val="en-AU"/>
        </w:rPr>
        <w:t xml:space="preserve">ertificate is named the </w:t>
      </w:r>
      <w:r w:rsidR="00BE4AF8" w:rsidRPr="00F40A58">
        <w:rPr>
          <w:i/>
          <w:iCs/>
          <w:sz w:val="22"/>
          <w:szCs w:val="22"/>
          <w:lang w:val="en-AU"/>
        </w:rPr>
        <w:t>Legislation (Deferral of Sunsetting—</w:t>
      </w:r>
      <w:r w:rsidR="002C69D0" w:rsidRPr="00F40A58">
        <w:rPr>
          <w:i/>
          <w:iCs/>
          <w:sz w:val="22"/>
          <w:szCs w:val="22"/>
          <w:lang w:val="en-AU"/>
        </w:rPr>
        <w:t>Offshore Petroleum and Greenhouse Gas Storage (Environment) Regulations</w:t>
      </w:r>
      <w:r w:rsidR="00BE4AF8" w:rsidRPr="00F40A58">
        <w:rPr>
          <w:i/>
          <w:iCs/>
          <w:sz w:val="22"/>
          <w:szCs w:val="22"/>
          <w:lang w:val="en-AU"/>
        </w:rPr>
        <w:t>)</w:t>
      </w:r>
      <w:r w:rsidR="00A613EE" w:rsidRPr="00F40A58">
        <w:rPr>
          <w:i/>
          <w:iCs/>
          <w:sz w:val="22"/>
          <w:szCs w:val="22"/>
          <w:lang w:val="en-AU"/>
        </w:rPr>
        <w:t xml:space="preserve"> </w:t>
      </w:r>
      <w:r w:rsidR="00BE4AF8" w:rsidRPr="00F40A58">
        <w:rPr>
          <w:i/>
          <w:iCs/>
          <w:sz w:val="22"/>
          <w:szCs w:val="22"/>
          <w:lang w:val="en-AU"/>
        </w:rPr>
        <w:t>Certificate 20</w:t>
      </w:r>
      <w:r w:rsidR="002C69D0" w:rsidRPr="00F40A58">
        <w:rPr>
          <w:i/>
          <w:iCs/>
          <w:sz w:val="22"/>
          <w:szCs w:val="22"/>
          <w:lang w:val="en-AU"/>
        </w:rPr>
        <w:t>18</w:t>
      </w:r>
      <w:r w:rsidRPr="00F40A58">
        <w:rPr>
          <w:sz w:val="22"/>
          <w:szCs w:val="22"/>
          <w:lang w:val="en-AU"/>
        </w:rPr>
        <w:t xml:space="preserve">. The </w:t>
      </w:r>
      <w:r w:rsidR="00F07F22">
        <w:rPr>
          <w:sz w:val="22"/>
          <w:szCs w:val="22"/>
          <w:lang w:val="en-AU"/>
        </w:rPr>
        <w:t xml:space="preserve">deferral </w:t>
      </w:r>
      <w:r w:rsidR="00DA0F9F" w:rsidRPr="00F40A58">
        <w:rPr>
          <w:sz w:val="22"/>
          <w:szCs w:val="22"/>
          <w:lang w:val="en-AU"/>
        </w:rPr>
        <w:t>c</w:t>
      </w:r>
      <w:r w:rsidRPr="00F40A58">
        <w:rPr>
          <w:sz w:val="22"/>
          <w:szCs w:val="22"/>
          <w:lang w:val="en-AU"/>
        </w:rPr>
        <w:t xml:space="preserve">ertificate may be cited by that name. </w:t>
      </w:r>
    </w:p>
    <w:p w14:paraId="641AA6C5" w14:textId="77777777" w:rsidR="00BE7547" w:rsidRPr="00F40A58" w:rsidRDefault="00BE7547" w:rsidP="005D7B1E">
      <w:pPr>
        <w:pStyle w:val="Heading3"/>
      </w:pPr>
      <w:r w:rsidRPr="00F40A58">
        <w:t xml:space="preserve">Section 2 </w:t>
      </w:r>
      <w:r w:rsidRPr="00F40A58">
        <w:tab/>
        <w:t>Commencement</w:t>
      </w:r>
    </w:p>
    <w:p w14:paraId="6D7CB20C" w14:textId="73C06AF4" w:rsidR="00BE7547" w:rsidRPr="00F40A58" w:rsidRDefault="00BE7547" w:rsidP="008B4BB2">
      <w:pPr>
        <w:spacing w:before="100" w:beforeAutospacing="1" w:line="276" w:lineRule="auto"/>
        <w:rPr>
          <w:sz w:val="22"/>
          <w:szCs w:val="22"/>
          <w:lang w:val="en-AU"/>
        </w:rPr>
      </w:pPr>
      <w:r w:rsidRPr="00F40A58">
        <w:rPr>
          <w:sz w:val="22"/>
          <w:szCs w:val="22"/>
          <w:lang w:val="en-AU"/>
        </w:rPr>
        <w:t xml:space="preserve">This section provides for the </w:t>
      </w:r>
      <w:r w:rsidR="00F07F22">
        <w:rPr>
          <w:sz w:val="22"/>
          <w:szCs w:val="22"/>
          <w:lang w:val="en-AU"/>
        </w:rPr>
        <w:t xml:space="preserve">deferral </w:t>
      </w:r>
      <w:r w:rsidR="00564EC1" w:rsidRPr="00F40A58">
        <w:rPr>
          <w:sz w:val="22"/>
          <w:szCs w:val="22"/>
          <w:lang w:val="en-AU"/>
        </w:rPr>
        <w:t>c</w:t>
      </w:r>
      <w:r w:rsidRPr="00F40A58">
        <w:rPr>
          <w:sz w:val="22"/>
          <w:szCs w:val="22"/>
          <w:lang w:val="en-AU"/>
        </w:rPr>
        <w:t xml:space="preserve">ertificate to commence on the day after it is registered. </w:t>
      </w:r>
    </w:p>
    <w:p w14:paraId="63C7786F" w14:textId="77777777" w:rsidR="00BE7547" w:rsidRPr="00F40A58" w:rsidRDefault="00BE7547" w:rsidP="005D7B1E">
      <w:pPr>
        <w:pStyle w:val="Heading3"/>
      </w:pPr>
      <w:r w:rsidRPr="00F40A58">
        <w:t>Section 3</w:t>
      </w:r>
      <w:r w:rsidRPr="00F40A58">
        <w:tab/>
        <w:t>Authority</w:t>
      </w:r>
    </w:p>
    <w:p w14:paraId="766420C0" w14:textId="37D407E7" w:rsidR="00BE7547" w:rsidRPr="00F40A58" w:rsidRDefault="00BE7547" w:rsidP="008B4BB2">
      <w:pPr>
        <w:spacing w:before="100" w:beforeAutospacing="1" w:line="276" w:lineRule="auto"/>
        <w:rPr>
          <w:sz w:val="22"/>
          <w:szCs w:val="22"/>
          <w:lang w:val="en-AU"/>
        </w:rPr>
      </w:pPr>
      <w:r w:rsidRPr="00F40A58">
        <w:rPr>
          <w:sz w:val="22"/>
          <w:szCs w:val="22"/>
          <w:lang w:val="en-AU"/>
        </w:rPr>
        <w:t xml:space="preserve">This section provides that the </w:t>
      </w:r>
      <w:r w:rsidR="00F07F22">
        <w:rPr>
          <w:sz w:val="22"/>
          <w:szCs w:val="22"/>
          <w:lang w:val="en-AU"/>
        </w:rPr>
        <w:t xml:space="preserve">deferral </w:t>
      </w:r>
      <w:r w:rsidR="00564EC1" w:rsidRPr="00F40A58">
        <w:rPr>
          <w:sz w:val="22"/>
          <w:szCs w:val="22"/>
          <w:lang w:val="en-AU"/>
        </w:rPr>
        <w:t>c</w:t>
      </w:r>
      <w:r w:rsidRPr="00F40A58">
        <w:rPr>
          <w:sz w:val="22"/>
          <w:szCs w:val="22"/>
          <w:lang w:val="en-AU"/>
        </w:rPr>
        <w:t>ertific</w:t>
      </w:r>
      <w:r w:rsidR="007826BF" w:rsidRPr="00F40A58">
        <w:rPr>
          <w:sz w:val="22"/>
          <w:szCs w:val="22"/>
          <w:lang w:val="en-AU"/>
        </w:rPr>
        <w:t>ate is made under paragraph 51(1</w:t>
      </w:r>
      <w:r w:rsidRPr="00F40A58">
        <w:rPr>
          <w:sz w:val="22"/>
          <w:szCs w:val="22"/>
          <w:lang w:val="en-AU"/>
        </w:rPr>
        <w:t xml:space="preserve">)(c) of the </w:t>
      </w:r>
      <w:r w:rsidR="00F56740" w:rsidRPr="00F40A58">
        <w:rPr>
          <w:sz w:val="22"/>
          <w:szCs w:val="22"/>
          <w:lang w:val="en-AU"/>
        </w:rPr>
        <w:t>Legislation Act.</w:t>
      </w:r>
    </w:p>
    <w:p w14:paraId="53F9393C" w14:textId="1DF451C7" w:rsidR="00BE7547" w:rsidRPr="00F40A58" w:rsidRDefault="00BE7547" w:rsidP="005D7B1E">
      <w:pPr>
        <w:pStyle w:val="Heading3"/>
      </w:pPr>
      <w:r w:rsidRPr="00F40A58">
        <w:t xml:space="preserve">Section </w:t>
      </w:r>
      <w:r w:rsidR="00A613EE" w:rsidRPr="00F40A58">
        <w:t>4</w:t>
      </w:r>
      <w:r w:rsidRPr="00F40A58">
        <w:tab/>
        <w:t xml:space="preserve">Deferral of sunsetting </w:t>
      </w:r>
    </w:p>
    <w:p w14:paraId="1B15A31E" w14:textId="2493998C" w:rsidR="00BE7547" w:rsidRPr="00F40A58" w:rsidRDefault="00BE7547" w:rsidP="008B4BB2">
      <w:pPr>
        <w:pStyle w:val="subsection"/>
        <w:spacing w:before="100" w:beforeAutospacing="1" w:line="276" w:lineRule="auto"/>
        <w:ind w:left="0" w:firstLine="0"/>
        <w:rPr>
          <w:snapToGrid/>
          <w:sz w:val="22"/>
          <w:szCs w:val="22"/>
          <w:lang w:val="en-AU" w:eastAsia="en-US"/>
        </w:rPr>
      </w:pPr>
      <w:r w:rsidRPr="00F40A58">
        <w:rPr>
          <w:snapToGrid/>
          <w:sz w:val="22"/>
          <w:szCs w:val="22"/>
          <w:lang w:val="en-AU" w:eastAsia="en-US"/>
        </w:rPr>
        <w:t xml:space="preserve">This section provides that the </w:t>
      </w:r>
      <w:r w:rsidR="002C69D0" w:rsidRPr="00F40A58">
        <w:rPr>
          <w:i/>
          <w:snapToGrid/>
          <w:sz w:val="22"/>
          <w:szCs w:val="22"/>
          <w:lang w:val="en-AU" w:eastAsia="en-US"/>
        </w:rPr>
        <w:t xml:space="preserve">Offshore Petroleum and Greenhouse Gas Storage (Environment) Regulations </w:t>
      </w:r>
      <w:r w:rsidR="00176920">
        <w:rPr>
          <w:i/>
          <w:snapToGrid/>
          <w:sz w:val="22"/>
          <w:szCs w:val="22"/>
          <w:lang w:val="en-AU" w:eastAsia="en-US"/>
        </w:rPr>
        <w:t>2009</w:t>
      </w:r>
      <w:r w:rsidR="00176920">
        <w:rPr>
          <w:snapToGrid/>
          <w:sz w:val="22"/>
          <w:szCs w:val="22"/>
          <w:lang w:val="en-AU" w:eastAsia="en-US"/>
        </w:rPr>
        <w:t>,</w:t>
      </w:r>
      <w:r w:rsidR="002C69D0" w:rsidRPr="00F40A58">
        <w:rPr>
          <w:i/>
          <w:snapToGrid/>
          <w:sz w:val="22"/>
          <w:szCs w:val="22"/>
          <w:lang w:val="en-AU" w:eastAsia="en-US"/>
        </w:rPr>
        <w:t xml:space="preserve"> </w:t>
      </w:r>
      <w:r w:rsidRPr="00F40A58">
        <w:rPr>
          <w:snapToGrid/>
          <w:sz w:val="22"/>
          <w:szCs w:val="22"/>
          <w:lang w:val="en-AU" w:eastAsia="en-US"/>
        </w:rPr>
        <w:t xml:space="preserve">for which the sunsetting day is </w:t>
      </w:r>
      <w:r w:rsidR="002C69D0" w:rsidRPr="00F40A58">
        <w:rPr>
          <w:snapToGrid/>
          <w:sz w:val="22"/>
          <w:szCs w:val="22"/>
          <w:lang w:val="en-AU" w:eastAsia="en-US"/>
        </w:rPr>
        <w:t>1 April 2019</w:t>
      </w:r>
      <w:r w:rsidRPr="00F40A58">
        <w:rPr>
          <w:snapToGrid/>
          <w:sz w:val="22"/>
          <w:szCs w:val="22"/>
          <w:lang w:val="en-AU" w:eastAsia="en-US"/>
        </w:rPr>
        <w:t xml:space="preserve">, </w:t>
      </w:r>
      <w:r w:rsidR="00F3254B">
        <w:rPr>
          <w:snapToGrid/>
          <w:sz w:val="22"/>
          <w:szCs w:val="22"/>
          <w:lang w:val="en-AU" w:eastAsia="en-US"/>
        </w:rPr>
        <w:t>are</w:t>
      </w:r>
      <w:r w:rsidRPr="00F40A58">
        <w:rPr>
          <w:snapToGrid/>
          <w:sz w:val="22"/>
          <w:szCs w:val="22"/>
          <w:lang w:val="en-AU" w:eastAsia="en-US"/>
        </w:rPr>
        <w:t xml:space="preserve"> taken to </w:t>
      </w:r>
      <w:r w:rsidR="00A613EE" w:rsidRPr="00F40A58">
        <w:rPr>
          <w:snapToGrid/>
          <w:sz w:val="22"/>
          <w:szCs w:val="22"/>
          <w:lang w:val="en-AU" w:eastAsia="en-US"/>
        </w:rPr>
        <w:t xml:space="preserve">be repealed </w:t>
      </w:r>
      <w:r w:rsidRPr="00F40A58">
        <w:rPr>
          <w:snapToGrid/>
          <w:sz w:val="22"/>
          <w:szCs w:val="22"/>
          <w:lang w:val="en-AU" w:eastAsia="en-US"/>
        </w:rPr>
        <w:t>under section 51 of the</w:t>
      </w:r>
      <w:r w:rsidR="006933E9" w:rsidRPr="00F40A58">
        <w:rPr>
          <w:snapToGrid/>
          <w:sz w:val="22"/>
          <w:szCs w:val="22"/>
          <w:lang w:val="en-AU" w:eastAsia="en-US"/>
        </w:rPr>
        <w:t xml:space="preserve"> Legislation</w:t>
      </w:r>
      <w:r w:rsidRPr="00F40A58">
        <w:rPr>
          <w:snapToGrid/>
          <w:sz w:val="22"/>
          <w:szCs w:val="22"/>
          <w:lang w:val="en-AU" w:eastAsia="en-US"/>
        </w:rPr>
        <w:t xml:space="preserve"> Act on </w:t>
      </w:r>
      <w:r w:rsidR="002C69D0" w:rsidRPr="00F40A58">
        <w:rPr>
          <w:snapToGrid/>
          <w:sz w:val="22"/>
          <w:szCs w:val="22"/>
          <w:lang w:val="en-AU" w:eastAsia="en-US"/>
        </w:rPr>
        <w:t>1 April 2020</w:t>
      </w:r>
      <w:r w:rsidRPr="00F40A58">
        <w:rPr>
          <w:snapToGrid/>
          <w:sz w:val="22"/>
          <w:szCs w:val="22"/>
          <w:lang w:val="en-AU" w:eastAsia="en-US"/>
        </w:rPr>
        <w:t>.</w:t>
      </w:r>
    </w:p>
    <w:p w14:paraId="281F7417" w14:textId="6704D56A" w:rsidR="00BE7547" w:rsidRPr="00F40A58" w:rsidRDefault="00BE7547" w:rsidP="005D7B1E">
      <w:pPr>
        <w:pStyle w:val="Heading3"/>
        <w:rPr>
          <w:rFonts w:eastAsia="Times New Roman"/>
          <w:snapToGrid/>
        </w:rPr>
      </w:pPr>
      <w:r w:rsidRPr="00F40A58">
        <w:t xml:space="preserve">Section </w:t>
      </w:r>
      <w:r w:rsidR="006603BB" w:rsidRPr="00F40A58">
        <w:t>5</w:t>
      </w:r>
      <w:r w:rsidRPr="00F40A58">
        <w:tab/>
        <w:t>Repeal of this instrument</w:t>
      </w:r>
    </w:p>
    <w:p w14:paraId="59B5670D" w14:textId="5C400D18" w:rsidR="00BE7547" w:rsidRPr="00F40A58" w:rsidRDefault="00BE7547" w:rsidP="008B4BB2">
      <w:pPr>
        <w:pStyle w:val="subsection"/>
        <w:spacing w:before="100" w:beforeAutospacing="1" w:line="276" w:lineRule="auto"/>
        <w:ind w:left="0" w:firstLine="0"/>
        <w:jc w:val="both"/>
        <w:rPr>
          <w:snapToGrid/>
          <w:sz w:val="22"/>
          <w:szCs w:val="22"/>
          <w:lang w:val="en-AU" w:eastAsia="en-US"/>
        </w:rPr>
      </w:pPr>
      <w:r w:rsidRPr="00F40A58">
        <w:rPr>
          <w:snapToGrid/>
          <w:sz w:val="22"/>
          <w:szCs w:val="22"/>
          <w:lang w:val="en-AU" w:eastAsia="en-US"/>
        </w:rPr>
        <w:t xml:space="preserve">This section provides that the </w:t>
      </w:r>
      <w:r w:rsidR="00F07F22">
        <w:rPr>
          <w:snapToGrid/>
          <w:sz w:val="22"/>
          <w:szCs w:val="22"/>
          <w:lang w:val="en-AU" w:eastAsia="en-US"/>
        </w:rPr>
        <w:t xml:space="preserve">deferral </w:t>
      </w:r>
      <w:r w:rsidR="002346D8" w:rsidRPr="00F40A58">
        <w:rPr>
          <w:snapToGrid/>
          <w:sz w:val="22"/>
          <w:szCs w:val="22"/>
          <w:lang w:val="en-AU" w:eastAsia="en-US"/>
        </w:rPr>
        <w:t>c</w:t>
      </w:r>
      <w:r w:rsidRPr="00F40A58">
        <w:rPr>
          <w:snapToGrid/>
          <w:sz w:val="22"/>
          <w:szCs w:val="22"/>
          <w:lang w:val="en-AU" w:eastAsia="en-US"/>
        </w:rPr>
        <w:t>ertificate is repealed at the start of</w:t>
      </w:r>
      <w:r w:rsidR="002C69D0" w:rsidRPr="00F40A58">
        <w:rPr>
          <w:snapToGrid/>
          <w:sz w:val="22"/>
          <w:szCs w:val="22"/>
          <w:lang w:val="en-AU" w:eastAsia="en-US"/>
        </w:rPr>
        <w:t xml:space="preserve"> 2 April 2020</w:t>
      </w:r>
      <w:r w:rsidRPr="00F40A58">
        <w:rPr>
          <w:snapToGrid/>
          <w:sz w:val="22"/>
          <w:szCs w:val="22"/>
          <w:lang w:val="en-AU" w:eastAsia="en-US"/>
        </w:rPr>
        <w:t>.</w:t>
      </w:r>
    </w:p>
    <w:p w14:paraId="1F3F4F9E" w14:textId="77777777" w:rsidR="00BE7547" w:rsidRPr="00F40A58" w:rsidRDefault="00BE7547" w:rsidP="00BE7547">
      <w:pPr>
        <w:widowControl/>
        <w:spacing w:after="200" w:line="276" w:lineRule="auto"/>
        <w:rPr>
          <w:sz w:val="22"/>
          <w:szCs w:val="22"/>
          <w:lang w:val="en-AU"/>
        </w:rPr>
      </w:pPr>
    </w:p>
    <w:p w14:paraId="07FC6DB0" w14:textId="77777777" w:rsidR="00B50BEB" w:rsidRPr="00F40A58" w:rsidRDefault="00B50BEB">
      <w:pPr>
        <w:rPr>
          <w:sz w:val="22"/>
          <w:szCs w:val="22"/>
          <w:lang w:val="en-AU"/>
        </w:rPr>
      </w:pPr>
    </w:p>
    <w:sectPr w:rsidR="00B50BEB" w:rsidRPr="00F40A5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C13C" w14:textId="77777777" w:rsidR="00FF2535" w:rsidRDefault="00FF2535">
      <w:r>
        <w:separator/>
      </w:r>
    </w:p>
  </w:endnote>
  <w:endnote w:type="continuationSeparator" w:id="0">
    <w:p w14:paraId="76585B55" w14:textId="77777777" w:rsidR="00FF2535" w:rsidRDefault="00FF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41804"/>
      <w:docPartObj>
        <w:docPartGallery w:val="Page Numbers (Bottom of Page)"/>
        <w:docPartUnique/>
      </w:docPartObj>
    </w:sdtPr>
    <w:sdtEndPr>
      <w:rPr>
        <w:noProof/>
      </w:rPr>
    </w:sdtEndPr>
    <w:sdtContent>
      <w:p w14:paraId="07FC6DB1" w14:textId="77777777" w:rsidR="00FF2535" w:rsidRPr="00611F23" w:rsidRDefault="00FF2535">
        <w:pPr>
          <w:pStyle w:val="Footer"/>
          <w:jc w:val="right"/>
        </w:pPr>
        <w:r w:rsidRPr="00611F23">
          <w:fldChar w:fldCharType="begin"/>
        </w:r>
        <w:r w:rsidRPr="00611F23">
          <w:instrText xml:space="preserve"> PAGE   \* MERGEFORMAT </w:instrText>
        </w:r>
        <w:r w:rsidRPr="00611F23">
          <w:fldChar w:fldCharType="separate"/>
        </w:r>
        <w:r w:rsidR="007769F8">
          <w:rPr>
            <w:noProof/>
          </w:rPr>
          <w:t>1</w:t>
        </w:r>
        <w:r w:rsidRPr="00611F23">
          <w:rPr>
            <w:noProof/>
          </w:rPr>
          <w:fldChar w:fldCharType="end"/>
        </w:r>
      </w:p>
    </w:sdtContent>
  </w:sdt>
  <w:p w14:paraId="07FC6DB2" w14:textId="77777777" w:rsidR="00FF2535" w:rsidRDefault="00FF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4844E" w14:textId="77777777" w:rsidR="00FF2535" w:rsidRDefault="00FF2535">
      <w:r>
        <w:separator/>
      </w:r>
    </w:p>
  </w:footnote>
  <w:footnote w:type="continuationSeparator" w:id="0">
    <w:p w14:paraId="678DDADC" w14:textId="77777777" w:rsidR="00FF2535" w:rsidRDefault="00FF2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66"/>
    <w:multiLevelType w:val="hybridMultilevel"/>
    <w:tmpl w:val="BD0864E8"/>
    <w:lvl w:ilvl="0" w:tplc="AEA20C0C">
      <w:start w:val="1"/>
      <w:numFmt w:val="lowerLetter"/>
      <w:pStyle w:val="numbering"/>
      <w:lvlText w:val="%1)"/>
      <w:lvlJc w:val="left"/>
      <w:pPr>
        <w:ind w:left="720" w:hanging="360"/>
      </w:pPr>
      <w:rPr>
        <w:rFonts w:hint="default"/>
      </w:rPr>
    </w:lvl>
    <w:lvl w:ilvl="1" w:tplc="9162FBF6">
      <w:start w:val="1"/>
      <w:numFmt w:val="lowerRoman"/>
      <w:lvlText w:val="%2)"/>
      <w:lvlJc w:val="right"/>
      <w:pPr>
        <w:ind w:left="1440" w:hanging="360"/>
      </w:pPr>
      <w:rPr>
        <w:rFonts w:hint="default"/>
        <w:b w:val="0"/>
      </w:rPr>
    </w:lvl>
    <w:lvl w:ilvl="2" w:tplc="4D60F4DE" w:tentative="1">
      <w:start w:val="1"/>
      <w:numFmt w:val="bullet"/>
      <w:lvlText w:val=""/>
      <w:lvlJc w:val="left"/>
      <w:pPr>
        <w:ind w:left="2160" w:hanging="360"/>
      </w:pPr>
      <w:rPr>
        <w:rFonts w:ascii="Wingdings" w:hAnsi="Wingdings" w:hint="default"/>
      </w:rPr>
    </w:lvl>
    <w:lvl w:ilvl="3" w:tplc="972AC63E" w:tentative="1">
      <w:start w:val="1"/>
      <w:numFmt w:val="bullet"/>
      <w:lvlText w:val=""/>
      <w:lvlJc w:val="left"/>
      <w:pPr>
        <w:ind w:left="2880" w:hanging="360"/>
      </w:pPr>
      <w:rPr>
        <w:rFonts w:ascii="Symbol" w:hAnsi="Symbol" w:hint="default"/>
      </w:rPr>
    </w:lvl>
    <w:lvl w:ilvl="4" w:tplc="F238D03C" w:tentative="1">
      <w:start w:val="1"/>
      <w:numFmt w:val="bullet"/>
      <w:lvlText w:val="o"/>
      <w:lvlJc w:val="left"/>
      <w:pPr>
        <w:ind w:left="3600" w:hanging="360"/>
      </w:pPr>
      <w:rPr>
        <w:rFonts w:ascii="Courier New" w:hAnsi="Courier New" w:cs="Courier New" w:hint="default"/>
      </w:rPr>
    </w:lvl>
    <w:lvl w:ilvl="5" w:tplc="4002E4A0" w:tentative="1">
      <w:start w:val="1"/>
      <w:numFmt w:val="bullet"/>
      <w:lvlText w:val=""/>
      <w:lvlJc w:val="left"/>
      <w:pPr>
        <w:ind w:left="4320" w:hanging="360"/>
      </w:pPr>
      <w:rPr>
        <w:rFonts w:ascii="Wingdings" w:hAnsi="Wingdings" w:hint="default"/>
      </w:rPr>
    </w:lvl>
    <w:lvl w:ilvl="6" w:tplc="85F2FDF2" w:tentative="1">
      <w:start w:val="1"/>
      <w:numFmt w:val="bullet"/>
      <w:lvlText w:val=""/>
      <w:lvlJc w:val="left"/>
      <w:pPr>
        <w:ind w:left="5040" w:hanging="360"/>
      </w:pPr>
      <w:rPr>
        <w:rFonts w:ascii="Symbol" w:hAnsi="Symbol" w:hint="default"/>
      </w:rPr>
    </w:lvl>
    <w:lvl w:ilvl="7" w:tplc="EC6C6EB0" w:tentative="1">
      <w:start w:val="1"/>
      <w:numFmt w:val="bullet"/>
      <w:lvlText w:val="o"/>
      <w:lvlJc w:val="left"/>
      <w:pPr>
        <w:ind w:left="5760" w:hanging="360"/>
      </w:pPr>
      <w:rPr>
        <w:rFonts w:ascii="Courier New" w:hAnsi="Courier New" w:cs="Courier New" w:hint="default"/>
      </w:rPr>
    </w:lvl>
    <w:lvl w:ilvl="8" w:tplc="D4507CCA" w:tentative="1">
      <w:start w:val="1"/>
      <w:numFmt w:val="bullet"/>
      <w:lvlText w:val=""/>
      <w:lvlJc w:val="left"/>
      <w:pPr>
        <w:ind w:left="6480" w:hanging="360"/>
      </w:pPr>
      <w:rPr>
        <w:rFonts w:ascii="Wingdings" w:hAnsi="Wingdings" w:hint="default"/>
      </w:rPr>
    </w:lvl>
  </w:abstractNum>
  <w:abstractNum w:abstractNumId="1">
    <w:nsid w:val="370C7D42"/>
    <w:multiLevelType w:val="hybridMultilevel"/>
    <w:tmpl w:val="91DE8462"/>
    <w:lvl w:ilvl="0" w:tplc="892E0FDA">
      <w:start w:val="1"/>
      <w:numFmt w:val="decimal"/>
      <w:lvlText w:val="%1."/>
      <w:lvlJc w:val="left"/>
      <w:pPr>
        <w:ind w:left="567" w:hanging="567"/>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44605FF4"/>
    <w:multiLevelType w:val="hybridMultilevel"/>
    <w:tmpl w:val="29D4ED7C"/>
    <w:lvl w:ilvl="0" w:tplc="376CA82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097792D"/>
    <w:multiLevelType w:val="hybridMultilevel"/>
    <w:tmpl w:val="C772E11A"/>
    <w:lvl w:ilvl="0" w:tplc="37F665DC">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6D161CB"/>
    <w:multiLevelType w:val="hybridMultilevel"/>
    <w:tmpl w:val="F316236C"/>
    <w:lvl w:ilvl="0" w:tplc="B072A63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5A"/>
    <w:rsid w:val="000137D0"/>
    <w:rsid w:val="00016B9C"/>
    <w:rsid w:val="000217AF"/>
    <w:rsid w:val="00030513"/>
    <w:rsid w:val="00045F0C"/>
    <w:rsid w:val="00072EBD"/>
    <w:rsid w:val="0008181D"/>
    <w:rsid w:val="00087632"/>
    <w:rsid w:val="00091F55"/>
    <w:rsid w:val="000B1B0D"/>
    <w:rsid w:val="000C4203"/>
    <w:rsid w:val="000D563F"/>
    <w:rsid w:val="000F2290"/>
    <w:rsid w:val="000F22A6"/>
    <w:rsid w:val="001019F0"/>
    <w:rsid w:val="001070A7"/>
    <w:rsid w:val="00107F70"/>
    <w:rsid w:val="001136B7"/>
    <w:rsid w:val="00127120"/>
    <w:rsid w:val="00142FD7"/>
    <w:rsid w:val="001514EB"/>
    <w:rsid w:val="001640AF"/>
    <w:rsid w:val="0017268D"/>
    <w:rsid w:val="001764EF"/>
    <w:rsid w:val="00176920"/>
    <w:rsid w:val="00177484"/>
    <w:rsid w:val="00184BD9"/>
    <w:rsid w:val="00185E6C"/>
    <w:rsid w:val="001A2ED9"/>
    <w:rsid w:val="001C3536"/>
    <w:rsid w:val="001C449D"/>
    <w:rsid w:val="001C6D66"/>
    <w:rsid w:val="001D3164"/>
    <w:rsid w:val="001D383F"/>
    <w:rsid w:val="001F3D75"/>
    <w:rsid w:val="001F6D46"/>
    <w:rsid w:val="00213324"/>
    <w:rsid w:val="00217038"/>
    <w:rsid w:val="002217EA"/>
    <w:rsid w:val="002346D8"/>
    <w:rsid w:val="00260A9B"/>
    <w:rsid w:val="00264DA2"/>
    <w:rsid w:val="00267138"/>
    <w:rsid w:val="002716E3"/>
    <w:rsid w:val="00284D91"/>
    <w:rsid w:val="00287672"/>
    <w:rsid w:val="002A3C21"/>
    <w:rsid w:val="002C1808"/>
    <w:rsid w:val="002C3E00"/>
    <w:rsid w:val="002C69D0"/>
    <w:rsid w:val="002C755C"/>
    <w:rsid w:val="002D4BD8"/>
    <w:rsid w:val="002D6271"/>
    <w:rsid w:val="002F1F55"/>
    <w:rsid w:val="002F72CD"/>
    <w:rsid w:val="003026DF"/>
    <w:rsid w:val="00307270"/>
    <w:rsid w:val="00315D04"/>
    <w:rsid w:val="00350D54"/>
    <w:rsid w:val="003718AD"/>
    <w:rsid w:val="00391412"/>
    <w:rsid w:val="003B1145"/>
    <w:rsid w:val="003D2BFA"/>
    <w:rsid w:val="003D4765"/>
    <w:rsid w:val="003E7F6C"/>
    <w:rsid w:val="003F0F9E"/>
    <w:rsid w:val="00400544"/>
    <w:rsid w:val="00404734"/>
    <w:rsid w:val="0040685D"/>
    <w:rsid w:val="0041568E"/>
    <w:rsid w:val="00424AA8"/>
    <w:rsid w:val="00425F03"/>
    <w:rsid w:val="004269D9"/>
    <w:rsid w:val="0045244B"/>
    <w:rsid w:val="00454160"/>
    <w:rsid w:val="00456E55"/>
    <w:rsid w:val="00482669"/>
    <w:rsid w:val="00491179"/>
    <w:rsid w:val="004949C4"/>
    <w:rsid w:val="004A03E1"/>
    <w:rsid w:val="004A43F4"/>
    <w:rsid w:val="004F3F5B"/>
    <w:rsid w:val="00504A72"/>
    <w:rsid w:val="005105B2"/>
    <w:rsid w:val="00511371"/>
    <w:rsid w:val="00520CFC"/>
    <w:rsid w:val="005230DE"/>
    <w:rsid w:val="0054156E"/>
    <w:rsid w:val="00541E32"/>
    <w:rsid w:val="00564EC1"/>
    <w:rsid w:val="005709B3"/>
    <w:rsid w:val="00591BA1"/>
    <w:rsid w:val="005972B7"/>
    <w:rsid w:val="005A1FFC"/>
    <w:rsid w:val="005A208E"/>
    <w:rsid w:val="005B1A4B"/>
    <w:rsid w:val="005C5B57"/>
    <w:rsid w:val="005D0779"/>
    <w:rsid w:val="005D7B1E"/>
    <w:rsid w:val="005E2030"/>
    <w:rsid w:val="005E2301"/>
    <w:rsid w:val="005E6B88"/>
    <w:rsid w:val="00613598"/>
    <w:rsid w:val="00643DF8"/>
    <w:rsid w:val="0065766B"/>
    <w:rsid w:val="006603BB"/>
    <w:rsid w:val="00672626"/>
    <w:rsid w:val="00673C5D"/>
    <w:rsid w:val="006749CF"/>
    <w:rsid w:val="00683743"/>
    <w:rsid w:val="00685F55"/>
    <w:rsid w:val="00690404"/>
    <w:rsid w:val="006933E9"/>
    <w:rsid w:val="006B552D"/>
    <w:rsid w:val="006C0E67"/>
    <w:rsid w:val="006C5304"/>
    <w:rsid w:val="006D38DF"/>
    <w:rsid w:val="006E5C2C"/>
    <w:rsid w:val="006E790F"/>
    <w:rsid w:val="006F349C"/>
    <w:rsid w:val="0071487D"/>
    <w:rsid w:val="0073251D"/>
    <w:rsid w:val="00737957"/>
    <w:rsid w:val="007541A2"/>
    <w:rsid w:val="007620B4"/>
    <w:rsid w:val="00775EC5"/>
    <w:rsid w:val="00776280"/>
    <w:rsid w:val="007769F8"/>
    <w:rsid w:val="007826BF"/>
    <w:rsid w:val="007837BA"/>
    <w:rsid w:val="007A362C"/>
    <w:rsid w:val="007C0EB1"/>
    <w:rsid w:val="007C3B45"/>
    <w:rsid w:val="00803007"/>
    <w:rsid w:val="00816EC8"/>
    <w:rsid w:val="00817161"/>
    <w:rsid w:val="00826635"/>
    <w:rsid w:val="00843D8A"/>
    <w:rsid w:val="00844726"/>
    <w:rsid w:val="008471B4"/>
    <w:rsid w:val="00862154"/>
    <w:rsid w:val="00865CF3"/>
    <w:rsid w:val="008A52E5"/>
    <w:rsid w:val="008B1652"/>
    <w:rsid w:val="008B4BB2"/>
    <w:rsid w:val="008B52C3"/>
    <w:rsid w:val="008E2C94"/>
    <w:rsid w:val="008E36CA"/>
    <w:rsid w:val="008E5F5A"/>
    <w:rsid w:val="008F1394"/>
    <w:rsid w:val="008F6EFA"/>
    <w:rsid w:val="009078AD"/>
    <w:rsid w:val="00914B56"/>
    <w:rsid w:val="00920A9A"/>
    <w:rsid w:val="00922FD2"/>
    <w:rsid w:val="00926CCE"/>
    <w:rsid w:val="00932FC2"/>
    <w:rsid w:val="00937CC7"/>
    <w:rsid w:val="00947441"/>
    <w:rsid w:val="009511C2"/>
    <w:rsid w:val="009646A7"/>
    <w:rsid w:val="00977BA5"/>
    <w:rsid w:val="00982194"/>
    <w:rsid w:val="00986E36"/>
    <w:rsid w:val="00993C9D"/>
    <w:rsid w:val="009A6B86"/>
    <w:rsid w:val="009B3110"/>
    <w:rsid w:val="009D417A"/>
    <w:rsid w:val="009D4381"/>
    <w:rsid w:val="009E185E"/>
    <w:rsid w:val="009E5049"/>
    <w:rsid w:val="009F72DD"/>
    <w:rsid w:val="00A00D24"/>
    <w:rsid w:val="00A01493"/>
    <w:rsid w:val="00A04B0A"/>
    <w:rsid w:val="00A13122"/>
    <w:rsid w:val="00A22A23"/>
    <w:rsid w:val="00A257DA"/>
    <w:rsid w:val="00A26EAD"/>
    <w:rsid w:val="00A3738A"/>
    <w:rsid w:val="00A43E7E"/>
    <w:rsid w:val="00A45301"/>
    <w:rsid w:val="00A5213B"/>
    <w:rsid w:val="00A613EE"/>
    <w:rsid w:val="00A62C02"/>
    <w:rsid w:val="00A800A4"/>
    <w:rsid w:val="00A8464F"/>
    <w:rsid w:val="00AD7C6D"/>
    <w:rsid w:val="00B01D6B"/>
    <w:rsid w:val="00B200A8"/>
    <w:rsid w:val="00B3122A"/>
    <w:rsid w:val="00B44558"/>
    <w:rsid w:val="00B50BEB"/>
    <w:rsid w:val="00B659F5"/>
    <w:rsid w:val="00B8259F"/>
    <w:rsid w:val="00B83E8C"/>
    <w:rsid w:val="00B90B93"/>
    <w:rsid w:val="00B97A26"/>
    <w:rsid w:val="00BB13B7"/>
    <w:rsid w:val="00BB5CD5"/>
    <w:rsid w:val="00BC1504"/>
    <w:rsid w:val="00BE4AF8"/>
    <w:rsid w:val="00BE7547"/>
    <w:rsid w:val="00BF5B13"/>
    <w:rsid w:val="00BF6161"/>
    <w:rsid w:val="00BF75D9"/>
    <w:rsid w:val="00C018BE"/>
    <w:rsid w:val="00C071ED"/>
    <w:rsid w:val="00C15770"/>
    <w:rsid w:val="00C321CE"/>
    <w:rsid w:val="00C449CF"/>
    <w:rsid w:val="00C51806"/>
    <w:rsid w:val="00C65BB3"/>
    <w:rsid w:val="00C66D75"/>
    <w:rsid w:val="00C73A50"/>
    <w:rsid w:val="00C832DF"/>
    <w:rsid w:val="00C850AE"/>
    <w:rsid w:val="00C90C5B"/>
    <w:rsid w:val="00CA0DD7"/>
    <w:rsid w:val="00CE1260"/>
    <w:rsid w:val="00CE4703"/>
    <w:rsid w:val="00CF48AD"/>
    <w:rsid w:val="00D07BBB"/>
    <w:rsid w:val="00D16796"/>
    <w:rsid w:val="00D173BF"/>
    <w:rsid w:val="00D41442"/>
    <w:rsid w:val="00D53A4A"/>
    <w:rsid w:val="00D6222C"/>
    <w:rsid w:val="00D80B07"/>
    <w:rsid w:val="00D911EC"/>
    <w:rsid w:val="00D91DEE"/>
    <w:rsid w:val="00D92ECD"/>
    <w:rsid w:val="00DA0F9F"/>
    <w:rsid w:val="00DA3AC0"/>
    <w:rsid w:val="00DA3EAA"/>
    <w:rsid w:val="00DB0E4C"/>
    <w:rsid w:val="00DC53B2"/>
    <w:rsid w:val="00DD46E2"/>
    <w:rsid w:val="00DD7B14"/>
    <w:rsid w:val="00E004EB"/>
    <w:rsid w:val="00E009E2"/>
    <w:rsid w:val="00E3798F"/>
    <w:rsid w:val="00E66270"/>
    <w:rsid w:val="00E82AD6"/>
    <w:rsid w:val="00E90822"/>
    <w:rsid w:val="00EC5D98"/>
    <w:rsid w:val="00ED05CC"/>
    <w:rsid w:val="00ED1C02"/>
    <w:rsid w:val="00ED7FE8"/>
    <w:rsid w:val="00EE0672"/>
    <w:rsid w:val="00EE3273"/>
    <w:rsid w:val="00EE5DAC"/>
    <w:rsid w:val="00EE7A23"/>
    <w:rsid w:val="00F012B8"/>
    <w:rsid w:val="00F0417A"/>
    <w:rsid w:val="00F07F22"/>
    <w:rsid w:val="00F21DF9"/>
    <w:rsid w:val="00F3254B"/>
    <w:rsid w:val="00F33263"/>
    <w:rsid w:val="00F40A58"/>
    <w:rsid w:val="00F475CE"/>
    <w:rsid w:val="00F56740"/>
    <w:rsid w:val="00F7306D"/>
    <w:rsid w:val="00F80964"/>
    <w:rsid w:val="00F84E39"/>
    <w:rsid w:val="00F857C2"/>
    <w:rsid w:val="00F87762"/>
    <w:rsid w:val="00FA7FC5"/>
    <w:rsid w:val="00FB607C"/>
    <w:rsid w:val="00FC4C77"/>
    <w:rsid w:val="00FC57CC"/>
    <w:rsid w:val="00FF2535"/>
    <w:rsid w:val="00FF6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eastAsia="Times New Roman"/>
      <w:bCs w:val="0"/>
      <w:sz w:val="28"/>
      <w:szCs w:val="24"/>
    </w:rPr>
  </w:style>
  <w:style w:type="paragraph" w:styleId="Heading2">
    <w:name w:val="heading 2"/>
    <w:basedOn w:val="Normal"/>
    <w:next w:val="Normal"/>
    <w:link w:val="Heading2Char"/>
    <w:uiPriority w:val="9"/>
    <w:unhideWhenUsed/>
    <w:qFormat/>
    <w:rsid w:val="00491179"/>
    <w:pPr>
      <w:keepNext/>
      <w:keepLines/>
      <w:spacing w:before="200"/>
      <w:outlineLvl w:val="1"/>
    </w:pPr>
    <w:rPr>
      <w:rFonts w:eastAsiaTheme="majorEastAsia"/>
      <w:b/>
      <w:bCs/>
      <w:sz w:val="22"/>
      <w:szCs w:val="22"/>
      <w:lang w:val="en-AU"/>
    </w:rPr>
  </w:style>
  <w:style w:type="paragraph" w:styleId="Heading3">
    <w:name w:val="heading 3"/>
    <w:basedOn w:val="Normal"/>
    <w:next w:val="Normal"/>
    <w:link w:val="Heading3Char"/>
    <w:uiPriority w:val="9"/>
    <w:unhideWhenUsed/>
    <w:qFormat/>
    <w:rsid w:val="00491179"/>
    <w:pPr>
      <w:keepNext/>
      <w:keepLines/>
      <w:spacing w:before="180" w:after="200"/>
      <w:outlineLvl w:val="2"/>
    </w:pPr>
    <w:rPr>
      <w:rFonts w:eastAsiaTheme="majorEastAsia"/>
      <w:b/>
      <w:bCs/>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491179"/>
    <w:rPr>
      <w:rFonts w:ascii="Times New Roman" w:eastAsiaTheme="majorEastAsia" w:hAnsi="Times New Roman" w:cs="Times New Roman"/>
      <w:b/>
      <w:bCs/>
      <w:snapToGrid w:val="0"/>
    </w:rPr>
  </w:style>
  <w:style w:type="character" w:customStyle="1" w:styleId="Heading3Char">
    <w:name w:val="Heading 3 Char"/>
    <w:basedOn w:val="DefaultParagraphFont"/>
    <w:link w:val="Heading3"/>
    <w:uiPriority w:val="9"/>
    <w:rsid w:val="00491179"/>
    <w:rPr>
      <w:rFonts w:ascii="Times New Roman" w:eastAsiaTheme="majorEastAsia" w:hAnsi="Times New Roman" w:cs="Times New Roman"/>
      <w:b/>
      <w:bCs/>
      <w:snapToGrid w:val="0"/>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numbering">
    <w:name w:val="numbering"/>
    <w:basedOn w:val="Heading2"/>
    <w:link w:val="numberingChar"/>
    <w:qFormat/>
    <w:rsid w:val="00DA3AC0"/>
    <w:pPr>
      <w:numPr>
        <w:numId w:val="1"/>
      </w:numPr>
    </w:pPr>
    <w:rPr>
      <w:b w:val="0"/>
      <w:sz w:val="20"/>
    </w:rPr>
  </w:style>
  <w:style w:type="character" w:customStyle="1" w:styleId="numberingChar">
    <w:name w:val="numbering Char"/>
    <w:basedOn w:val="DefaultParagraphFont"/>
    <w:link w:val="numbering"/>
    <w:rsid w:val="00DA3AC0"/>
    <w:rPr>
      <w:rFonts w:ascii="Times New Roman" w:eastAsiaTheme="majorEastAsia" w:hAnsi="Times New Roman" w:cs="Times New Roman"/>
      <w:bCs/>
      <w:snapToGrid w:val="0"/>
      <w:sz w:val="20"/>
    </w:rPr>
  </w:style>
  <w:style w:type="paragraph" w:customStyle="1" w:styleId="Celltext">
    <w:name w:val="Cell text"/>
    <w:basedOn w:val="Normal"/>
    <w:rsid w:val="00B8259F"/>
    <w:pPr>
      <w:widowControl/>
      <w:spacing w:before="120"/>
    </w:pPr>
    <w:rPr>
      <w:snapToGrid/>
      <w:lang w:val="en-AU" w:eastAsia="en-AU"/>
    </w:rPr>
  </w:style>
  <w:style w:type="paragraph" w:customStyle="1" w:styleId="Basetext">
    <w:name w:val="Base text"/>
    <w:basedOn w:val="Normal"/>
    <w:link w:val="BasetextChar"/>
    <w:qFormat/>
    <w:rsid w:val="00491179"/>
    <w:pPr>
      <w:spacing w:before="180" w:line="276" w:lineRule="auto"/>
    </w:pPr>
    <w:rPr>
      <w:sz w:val="22"/>
      <w:szCs w:val="22"/>
      <w:lang w:val="en-AU"/>
    </w:rPr>
  </w:style>
  <w:style w:type="character" w:customStyle="1" w:styleId="BasetextChar">
    <w:name w:val="Base text Char"/>
    <w:basedOn w:val="DefaultParagraphFont"/>
    <w:link w:val="Basetext"/>
    <w:rsid w:val="00491179"/>
    <w:rPr>
      <w:rFonts w:ascii="Times New Roman" w:eastAsia="Times New Roman" w:hAnsi="Times New Roman"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eastAsia="Times New Roman"/>
      <w:bCs w:val="0"/>
      <w:sz w:val="28"/>
      <w:szCs w:val="24"/>
    </w:rPr>
  </w:style>
  <w:style w:type="paragraph" w:styleId="Heading2">
    <w:name w:val="heading 2"/>
    <w:basedOn w:val="Normal"/>
    <w:next w:val="Normal"/>
    <w:link w:val="Heading2Char"/>
    <w:uiPriority w:val="9"/>
    <w:unhideWhenUsed/>
    <w:qFormat/>
    <w:rsid w:val="00491179"/>
    <w:pPr>
      <w:keepNext/>
      <w:keepLines/>
      <w:spacing w:before="200"/>
      <w:outlineLvl w:val="1"/>
    </w:pPr>
    <w:rPr>
      <w:rFonts w:eastAsiaTheme="majorEastAsia"/>
      <w:b/>
      <w:bCs/>
      <w:sz w:val="22"/>
      <w:szCs w:val="22"/>
      <w:lang w:val="en-AU"/>
    </w:rPr>
  </w:style>
  <w:style w:type="paragraph" w:styleId="Heading3">
    <w:name w:val="heading 3"/>
    <w:basedOn w:val="Normal"/>
    <w:next w:val="Normal"/>
    <w:link w:val="Heading3Char"/>
    <w:uiPriority w:val="9"/>
    <w:unhideWhenUsed/>
    <w:qFormat/>
    <w:rsid w:val="00491179"/>
    <w:pPr>
      <w:keepNext/>
      <w:keepLines/>
      <w:spacing w:before="180" w:after="200"/>
      <w:outlineLvl w:val="2"/>
    </w:pPr>
    <w:rPr>
      <w:rFonts w:eastAsiaTheme="majorEastAsia"/>
      <w:b/>
      <w:bCs/>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491179"/>
    <w:rPr>
      <w:rFonts w:ascii="Times New Roman" w:eastAsiaTheme="majorEastAsia" w:hAnsi="Times New Roman" w:cs="Times New Roman"/>
      <w:b/>
      <w:bCs/>
      <w:snapToGrid w:val="0"/>
    </w:rPr>
  </w:style>
  <w:style w:type="character" w:customStyle="1" w:styleId="Heading3Char">
    <w:name w:val="Heading 3 Char"/>
    <w:basedOn w:val="DefaultParagraphFont"/>
    <w:link w:val="Heading3"/>
    <w:uiPriority w:val="9"/>
    <w:rsid w:val="00491179"/>
    <w:rPr>
      <w:rFonts w:ascii="Times New Roman" w:eastAsiaTheme="majorEastAsia" w:hAnsi="Times New Roman" w:cs="Times New Roman"/>
      <w:b/>
      <w:bCs/>
      <w:snapToGrid w:val="0"/>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numbering">
    <w:name w:val="numbering"/>
    <w:basedOn w:val="Heading2"/>
    <w:link w:val="numberingChar"/>
    <w:qFormat/>
    <w:rsid w:val="00DA3AC0"/>
    <w:pPr>
      <w:numPr>
        <w:numId w:val="1"/>
      </w:numPr>
    </w:pPr>
    <w:rPr>
      <w:b w:val="0"/>
      <w:sz w:val="20"/>
    </w:rPr>
  </w:style>
  <w:style w:type="character" w:customStyle="1" w:styleId="numberingChar">
    <w:name w:val="numbering Char"/>
    <w:basedOn w:val="DefaultParagraphFont"/>
    <w:link w:val="numbering"/>
    <w:rsid w:val="00DA3AC0"/>
    <w:rPr>
      <w:rFonts w:ascii="Times New Roman" w:eastAsiaTheme="majorEastAsia" w:hAnsi="Times New Roman" w:cs="Times New Roman"/>
      <w:bCs/>
      <w:snapToGrid w:val="0"/>
      <w:sz w:val="20"/>
    </w:rPr>
  </w:style>
  <w:style w:type="paragraph" w:customStyle="1" w:styleId="Celltext">
    <w:name w:val="Cell text"/>
    <w:basedOn w:val="Normal"/>
    <w:rsid w:val="00B8259F"/>
    <w:pPr>
      <w:widowControl/>
      <w:spacing w:before="120"/>
    </w:pPr>
    <w:rPr>
      <w:snapToGrid/>
      <w:lang w:val="en-AU" w:eastAsia="en-AU"/>
    </w:rPr>
  </w:style>
  <w:style w:type="paragraph" w:customStyle="1" w:styleId="Basetext">
    <w:name w:val="Base text"/>
    <w:basedOn w:val="Normal"/>
    <w:link w:val="BasetextChar"/>
    <w:qFormat/>
    <w:rsid w:val="00491179"/>
    <w:pPr>
      <w:spacing w:before="180" w:line="276" w:lineRule="auto"/>
    </w:pPr>
    <w:rPr>
      <w:sz w:val="22"/>
      <w:szCs w:val="22"/>
      <w:lang w:val="en-AU"/>
    </w:rPr>
  </w:style>
  <w:style w:type="character" w:customStyle="1" w:styleId="BasetextChar">
    <w:name w:val="Base text Char"/>
    <w:basedOn w:val="DefaultParagraphFont"/>
    <w:link w:val="Basetext"/>
    <w:rsid w:val="00491179"/>
    <w:rPr>
      <w:rFonts w:ascii="Times New Roman" w:eastAsia="Times New Roman" w:hAnsi="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503">
      <w:bodyDiv w:val="1"/>
      <w:marLeft w:val="0"/>
      <w:marRight w:val="0"/>
      <w:marTop w:val="0"/>
      <w:marBottom w:val="0"/>
      <w:divBdr>
        <w:top w:val="none" w:sz="0" w:space="0" w:color="auto"/>
        <w:left w:val="none" w:sz="0" w:space="0" w:color="auto"/>
        <w:bottom w:val="none" w:sz="0" w:space="0" w:color="auto"/>
        <w:right w:val="none" w:sz="0" w:space="0" w:color="auto"/>
      </w:divBdr>
    </w:div>
    <w:div w:id="11870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EBBFE1791B32649923AFE7728E3D17F" ma:contentTypeVersion="" ma:contentTypeDescription="PDMS Document Site Content Type" ma:contentTypeScope="" ma:versionID="a961c225f8689b5c94b4c8933035128c">
  <xsd:schema xmlns:xsd="http://www.w3.org/2001/XMLSchema" xmlns:xs="http://www.w3.org/2001/XMLSchema" xmlns:p="http://schemas.microsoft.com/office/2006/metadata/properties" xmlns:ns2="1CB5E264-0649-463C-983D-734F12C3EA34" targetNamespace="http://schemas.microsoft.com/office/2006/metadata/properties" ma:root="true" ma:fieldsID="aff77db1a451b8332fedf1fd9e449463" ns2:_="">
    <xsd:import namespace="1CB5E264-0649-463C-983D-734F12C3EA3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5E264-0649-463C-983D-734F12C3EA3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CB5E264-0649-463C-983D-734F12C3EA3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AAAC-9259-4704-B3EE-9A4CAD5D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5E264-0649-463C-983D-734F12C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5A16E-7AB0-4B1C-96DC-176807820E9F}">
  <ds:schemaRefs>
    <ds:schemaRef ds:uri="http://schemas.microsoft.com/sharepoint/v3/contenttype/forms"/>
  </ds:schemaRefs>
</ds:datastoreItem>
</file>

<file path=customXml/itemProps3.xml><?xml version="1.0" encoding="utf-8"?>
<ds:datastoreItem xmlns:ds="http://schemas.openxmlformats.org/officeDocument/2006/customXml" ds:itemID="{EF1B6BEC-D178-476A-ABDD-1167DD901BDA}">
  <ds:schemaRefs>
    <ds:schemaRef ds:uri="1CB5E264-0649-463C-983D-734F12C3EA34"/>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F46BE0F-26AA-4D4C-B92A-8F5DA1D7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weater</dc:creator>
  <cp:lastModifiedBy>ALS</cp:lastModifiedBy>
  <cp:revision>2</cp:revision>
  <dcterms:created xsi:type="dcterms:W3CDTF">2018-12-10T02:47:00Z</dcterms:created>
  <dcterms:modified xsi:type="dcterms:W3CDTF">2018-12-10T02:47:00Z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0x010100266966F133664895A6EE3632470D45F5009EBBFE1791B32649923AFE7728E3D17F</vt:lpwstr>
  </property>
</Properties>
</file>