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A88D32" w14:textId="77777777" w:rsidR="001F4616" w:rsidRPr="001F4616" w:rsidRDefault="001F4616" w:rsidP="001F4616">
      <w:pPr>
        <w:jc w:val="center"/>
        <w:rPr>
          <w:b/>
          <w:u w:val="single"/>
        </w:rPr>
      </w:pPr>
      <w:bookmarkStart w:id="0" w:name="_GoBack"/>
      <w:bookmarkEnd w:id="0"/>
      <w:r w:rsidRPr="001F4616">
        <w:rPr>
          <w:b/>
          <w:u w:val="single"/>
        </w:rPr>
        <w:t>EXPLANATORY STATEMENT</w:t>
      </w:r>
    </w:p>
    <w:p w14:paraId="313DA9E1" w14:textId="52379D09" w:rsidR="001F4616" w:rsidRDefault="00EE578E" w:rsidP="001F4616">
      <w:pPr>
        <w:jc w:val="center"/>
      </w:pPr>
      <w:r>
        <w:t>Issued by the Authority of</w:t>
      </w:r>
      <w:r w:rsidR="00CB77F2">
        <w:t xml:space="preserve"> the Assistant Minister to the Prime Minister</w:t>
      </w:r>
    </w:p>
    <w:p w14:paraId="25AAFA1A" w14:textId="77777777" w:rsidR="001F4616" w:rsidRDefault="001F4616" w:rsidP="001F4616">
      <w:pPr>
        <w:jc w:val="center"/>
        <w:rPr>
          <w:i/>
        </w:rPr>
      </w:pPr>
      <w:r>
        <w:rPr>
          <w:i/>
        </w:rPr>
        <w:t>Royal Commissions Act 1902</w:t>
      </w:r>
    </w:p>
    <w:p w14:paraId="211BE158" w14:textId="77777777" w:rsidR="004E2B4A" w:rsidRDefault="004E2B4A" w:rsidP="004E2B4A">
      <w:pPr>
        <w:jc w:val="center"/>
        <w:rPr>
          <w:i/>
        </w:rPr>
      </w:pPr>
      <w:r w:rsidRPr="004E2B4A">
        <w:rPr>
          <w:i/>
        </w:rPr>
        <w:t>Royal Commissions Amendment (Service of Documents) Regulations 2018</w:t>
      </w:r>
    </w:p>
    <w:p w14:paraId="3C74DBF0" w14:textId="1520A9B9" w:rsidR="00E20165" w:rsidRDefault="001F4616" w:rsidP="001F4616">
      <w:pPr>
        <w:rPr>
          <w:b/>
        </w:rPr>
      </w:pPr>
      <w:r>
        <w:rPr>
          <w:b/>
        </w:rPr>
        <w:t>Outline</w:t>
      </w:r>
    </w:p>
    <w:p w14:paraId="6A266605" w14:textId="02C06D20" w:rsidR="001F4616" w:rsidRDefault="000E2344" w:rsidP="001F4616">
      <w:r>
        <w:t xml:space="preserve">The </w:t>
      </w:r>
      <w:r>
        <w:rPr>
          <w:i/>
        </w:rPr>
        <w:t>Royal Commissions Act 1902</w:t>
      </w:r>
      <w:r>
        <w:t xml:space="preserve"> (the Act) provides for the establishment and operation of Royal Commissions. </w:t>
      </w:r>
      <w:r w:rsidR="00797410">
        <w:t xml:space="preserve">The Act also confers certain powers on Royal Commissions to obtain information. </w:t>
      </w:r>
    </w:p>
    <w:p w14:paraId="2B27225E" w14:textId="054C830A" w:rsidR="00797410" w:rsidRDefault="00797410" w:rsidP="001F4616">
      <w:r>
        <w:t>Section 17 of the Act provides that the Governor-General may make regulations, not inconsistent with the Act, prescribing all matters that the Act requires or permits to be prescribed, or necessary and convenient for carrying out or giving effect to the Act.</w:t>
      </w:r>
    </w:p>
    <w:p w14:paraId="3F126A8E" w14:textId="79831972" w:rsidR="00B2096E" w:rsidRDefault="00117958" w:rsidP="00B2096E">
      <w:r>
        <w:t xml:space="preserve">The </w:t>
      </w:r>
      <w:r w:rsidR="004E2B4A" w:rsidRPr="004E2B4A">
        <w:rPr>
          <w:i/>
        </w:rPr>
        <w:t xml:space="preserve">Royal Commissions Amendment (Service of Documents) Regulations 2018 </w:t>
      </w:r>
      <w:r>
        <w:t xml:space="preserve">(the Regulations) amend the </w:t>
      </w:r>
      <w:r w:rsidRPr="00117958">
        <w:rPr>
          <w:i/>
        </w:rPr>
        <w:t>Royal Commissions Regulations 2001</w:t>
      </w:r>
      <w:r>
        <w:t xml:space="preserve"> (the Principal Regulations)</w:t>
      </w:r>
      <w:r w:rsidR="00400191">
        <w:t xml:space="preserve"> in </w:t>
      </w:r>
      <w:r w:rsidR="006A61A3">
        <w:t>relation to</w:t>
      </w:r>
      <w:r w:rsidR="008250FE">
        <w:t xml:space="preserve"> </w:t>
      </w:r>
      <w:r w:rsidR="006A61A3">
        <w:t xml:space="preserve">the </w:t>
      </w:r>
      <w:r w:rsidR="00400191">
        <w:t>service of notices and summonses</w:t>
      </w:r>
      <w:r w:rsidR="008250FE">
        <w:t xml:space="preserve">. </w:t>
      </w:r>
    </w:p>
    <w:p w14:paraId="578FA313" w14:textId="15F2C3B2" w:rsidR="006C2ADF" w:rsidRDefault="006C2ADF" w:rsidP="006C2ADF">
      <w:r>
        <w:t xml:space="preserve">The Regulations </w:t>
      </w:r>
      <w:r w:rsidR="009F7309">
        <w:t xml:space="preserve">detail how </w:t>
      </w:r>
      <w:r w:rsidR="009F7309" w:rsidRPr="00D26F3B">
        <w:t xml:space="preserve">a </w:t>
      </w:r>
      <w:r w:rsidRPr="00D26F3B">
        <w:t xml:space="preserve">Royal Commission may serve notices requiring a person to give written information to </w:t>
      </w:r>
      <w:r w:rsidR="009F7309">
        <w:t>it</w:t>
      </w:r>
      <w:r w:rsidRPr="00D26F3B">
        <w:t>. The power to issue these notices was inserted into the</w:t>
      </w:r>
      <w:r w:rsidR="009F7309">
        <w:t xml:space="preserve"> Act</w:t>
      </w:r>
      <w:r w:rsidR="009F7309">
        <w:rPr>
          <w:i/>
          <w:iCs/>
        </w:rPr>
        <w:t xml:space="preserve"> </w:t>
      </w:r>
      <w:r w:rsidRPr="00D26F3B">
        <w:t xml:space="preserve">by the </w:t>
      </w:r>
      <w:r w:rsidRPr="00D26F3B">
        <w:rPr>
          <w:i/>
          <w:iCs/>
        </w:rPr>
        <w:t>Prime Minister and Cabinet Legislation Amendment (2017 Measures No. 1) Act 2018</w:t>
      </w:r>
      <w:r>
        <w:t>, which commenced on 21 </w:t>
      </w:r>
      <w:r w:rsidRPr="00D26F3B">
        <w:t>February 2018.</w:t>
      </w:r>
      <w:r w:rsidR="001647A9">
        <w:t xml:space="preserve"> </w:t>
      </w:r>
      <w:r w:rsidR="009F7309" w:rsidRPr="00914C8C">
        <w:t>This amendment implemented a recommendation of the Royal Commission into the Home Insulation Program (paragraph 1.3.39).</w:t>
      </w:r>
    </w:p>
    <w:p w14:paraId="6A3B13C6" w14:textId="521F668F" w:rsidR="001F4B59" w:rsidRDefault="006C2ADF" w:rsidP="001F4B59">
      <w:r>
        <w:t xml:space="preserve">The Regulations </w:t>
      </w:r>
      <w:r w:rsidR="00161E48">
        <w:t>largely remake</w:t>
      </w:r>
      <w:r w:rsidR="001E5E70">
        <w:t>, with minor structural amendments,</w:t>
      </w:r>
      <w:r w:rsidR="00161E48">
        <w:t xml:space="preserve"> the existing regulations in relation to the personal service of notices and summonses </w:t>
      </w:r>
      <w:r w:rsidR="00D105EE">
        <w:t>on</w:t>
      </w:r>
      <w:r w:rsidR="00161E48">
        <w:t xml:space="preserve"> individuals and corporations, and </w:t>
      </w:r>
      <w:r>
        <w:t>also provide for additional ways for Royal Commissions to serve notice</w:t>
      </w:r>
      <w:r w:rsidR="005F432F">
        <w:t>s</w:t>
      </w:r>
      <w:r>
        <w:t xml:space="preserve"> and summonses on named persons, namely by:</w:t>
      </w:r>
    </w:p>
    <w:p w14:paraId="77728052" w14:textId="27E0BDCD" w:rsidR="001F4B59" w:rsidRDefault="001F4B59" w:rsidP="001F4B59">
      <w:pPr>
        <w:pStyle w:val="ListParagraph"/>
        <w:numPr>
          <w:ilvl w:val="0"/>
          <w:numId w:val="6"/>
        </w:numPr>
      </w:pPr>
      <w:r>
        <w:t xml:space="preserve">handing </w:t>
      </w:r>
      <w:r w:rsidR="00662F09">
        <w:t>the notice or summons</w:t>
      </w:r>
      <w:r>
        <w:t xml:space="preserve"> to a legal practitioner who is authorised to receive the </w:t>
      </w:r>
      <w:r w:rsidR="009F7309">
        <w:t>document</w:t>
      </w:r>
      <w:r>
        <w:t xml:space="preserve"> on behalf of the named person;</w:t>
      </w:r>
    </w:p>
    <w:p w14:paraId="7EB1D17B" w14:textId="183446EF" w:rsidR="001F4B59" w:rsidRDefault="0091692B" w:rsidP="001F4B59">
      <w:pPr>
        <w:pStyle w:val="ListParagraph"/>
        <w:numPr>
          <w:ilvl w:val="0"/>
          <w:numId w:val="6"/>
        </w:numPr>
      </w:pPr>
      <w:r>
        <w:t>serving</w:t>
      </w:r>
      <w:r w:rsidR="001F4B59">
        <w:t xml:space="preserve"> </w:t>
      </w:r>
      <w:r w:rsidR="00662F09">
        <w:t xml:space="preserve">the notice or summons </w:t>
      </w:r>
      <w:r w:rsidR="001F4B59">
        <w:t xml:space="preserve">in a particular way </w:t>
      </w:r>
      <w:r w:rsidR="00662F09">
        <w:t xml:space="preserve">where this has been </w:t>
      </w:r>
      <w:r w:rsidR="001F4B59">
        <w:t xml:space="preserve">agreed in writing </w:t>
      </w:r>
      <w:r w:rsidR="00662F09">
        <w:t>with</w:t>
      </w:r>
      <w:r w:rsidR="001F4B59">
        <w:t xml:space="preserve"> the named person; and </w:t>
      </w:r>
    </w:p>
    <w:p w14:paraId="06BE5A17" w14:textId="4B2E12E4" w:rsidR="001F4B59" w:rsidRDefault="004B1948" w:rsidP="001F4B59">
      <w:pPr>
        <w:pStyle w:val="ListParagraph"/>
        <w:numPr>
          <w:ilvl w:val="0"/>
          <w:numId w:val="6"/>
        </w:numPr>
      </w:pPr>
      <w:r>
        <w:t xml:space="preserve">(in relation to a notice only) </w:t>
      </w:r>
      <w:r w:rsidR="001F4B59">
        <w:t xml:space="preserve">by sending it by pre-paid post addressed to the person, where the Royal Commission has previously served that person with a notice. </w:t>
      </w:r>
    </w:p>
    <w:p w14:paraId="20DD3DC4" w14:textId="0310569F" w:rsidR="00632D39" w:rsidRDefault="005F432F" w:rsidP="001F4B59">
      <w:r>
        <w:t xml:space="preserve">These changes implement </w:t>
      </w:r>
      <w:r w:rsidR="009F7309">
        <w:t>r</w:t>
      </w:r>
      <w:r>
        <w:t xml:space="preserve">ecommendation 77 of the final report of the </w:t>
      </w:r>
      <w:r w:rsidRPr="00662F09">
        <w:t>Royal Commission into Trade Union Governance and Corruption</w:t>
      </w:r>
      <w:r w:rsidR="00632D39">
        <w:t>.</w:t>
      </w:r>
    </w:p>
    <w:p w14:paraId="76746B55" w14:textId="1AA454C4" w:rsidR="00662F09" w:rsidRDefault="00662F09" w:rsidP="001F4B59">
      <w:r>
        <w:t>The</w:t>
      </w:r>
      <w:r w:rsidR="00632D39">
        <w:t xml:space="preserve"> Regulations </w:t>
      </w:r>
      <w:r>
        <w:t xml:space="preserve">apply to Royal Commissions commenced </w:t>
      </w:r>
      <w:r w:rsidR="008250FE">
        <w:t xml:space="preserve">on or </w:t>
      </w:r>
      <w:r>
        <w:t>after the Regulations come into effect</w:t>
      </w:r>
      <w:r w:rsidR="008250FE">
        <w:t>, as well as the Royal Commission into A</w:t>
      </w:r>
      <w:r w:rsidR="008250FE" w:rsidRPr="00E344A2">
        <w:t xml:space="preserve">ged </w:t>
      </w:r>
      <w:r w:rsidR="008250FE">
        <w:t>C</w:t>
      </w:r>
      <w:r w:rsidR="008250FE" w:rsidRPr="00E344A2">
        <w:t xml:space="preserve">are </w:t>
      </w:r>
      <w:r w:rsidR="008250FE">
        <w:t>Q</w:t>
      </w:r>
      <w:r w:rsidR="008250FE" w:rsidRPr="00E344A2">
        <w:t xml:space="preserve">uality and </w:t>
      </w:r>
      <w:r w:rsidR="008250FE">
        <w:t>S</w:t>
      </w:r>
      <w:r w:rsidR="008250FE" w:rsidRPr="00E344A2">
        <w:t>afety established by Letters Patent dated 8 October 2018</w:t>
      </w:r>
      <w:r>
        <w:t>.</w:t>
      </w:r>
    </w:p>
    <w:p w14:paraId="34A4C47D" w14:textId="0D2C206B" w:rsidR="00AA0314" w:rsidRDefault="00AA0314" w:rsidP="001F4B59">
      <w:r>
        <w:t xml:space="preserve">However, the changes </w:t>
      </w:r>
      <w:r w:rsidR="00632D39">
        <w:t xml:space="preserve">do </w:t>
      </w:r>
      <w:r>
        <w:t xml:space="preserve">not apply to the </w:t>
      </w:r>
      <w:r>
        <w:rPr>
          <w:lang w:val="en"/>
        </w:rPr>
        <w:t xml:space="preserve">Royal Commission into Misconduct in the Banking, Superannuation and Financial Services Industry (the Financial Services Royal Commission), established </w:t>
      </w:r>
      <w:r>
        <w:t>by Letter</w:t>
      </w:r>
      <w:r w:rsidR="00632D39">
        <w:t>s Patent dated 14 December 2017</w:t>
      </w:r>
      <w:r w:rsidR="009F7309">
        <w:t>, because it has</w:t>
      </w:r>
      <w:r w:rsidR="00632D39">
        <w:t xml:space="preserve"> largely concluded its evidence-gathering by the time the Regulations took effect</w:t>
      </w:r>
      <w:r>
        <w:t xml:space="preserve">. Instead, the </w:t>
      </w:r>
      <w:r w:rsidR="00632D39">
        <w:t>previous</w:t>
      </w:r>
      <w:r>
        <w:t xml:space="preserve"> regulations </w:t>
      </w:r>
      <w:r w:rsidR="00632D39">
        <w:t xml:space="preserve">continue to </w:t>
      </w:r>
      <w:r>
        <w:t xml:space="preserve">apply to the Financial Services Royal Commission. </w:t>
      </w:r>
    </w:p>
    <w:p w14:paraId="75D20DA1" w14:textId="77777777" w:rsidR="00632D39" w:rsidRDefault="00632D39" w:rsidP="00632D39">
      <w:r>
        <w:lastRenderedPageBreak/>
        <w:t>Consultation was undertaken with Commonwealth agencies and the Royal Commission into A</w:t>
      </w:r>
      <w:r w:rsidRPr="00E344A2">
        <w:t xml:space="preserve">ged </w:t>
      </w:r>
      <w:r>
        <w:t>C</w:t>
      </w:r>
      <w:r w:rsidRPr="00E344A2">
        <w:t xml:space="preserve">are </w:t>
      </w:r>
      <w:r>
        <w:t>Q</w:t>
      </w:r>
      <w:r w:rsidRPr="00E344A2">
        <w:t xml:space="preserve">uality and </w:t>
      </w:r>
      <w:r>
        <w:t>S</w:t>
      </w:r>
      <w:r w:rsidRPr="00E344A2">
        <w:t>afety</w:t>
      </w:r>
      <w:r>
        <w:t xml:space="preserve">, who supported the Regulations. </w:t>
      </w:r>
    </w:p>
    <w:p w14:paraId="64AA715B" w14:textId="2076074F" w:rsidR="00B7400E" w:rsidRDefault="00B7400E" w:rsidP="001F4616">
      <w:r>
        <w:t>Details of the Regulation</w:t>
      </w:r>
      <w:r w:rsidR="006F7869">
        <w:t>s</w:t>
      </w:r>
      <w:r>
        <w:t xml:space="preserve"> are set out in the Attachment. </w:t>
      </w:r>
    </w:p>
    <w:p w14:paraId="0FE6E2D7" w14:textId="5639F1C8" w:rsidR="00B7400E" w:rsidRDefault="00B7400E" w:rsidP="00B7400E">
      <w:r>
        <w:t xml:space="preserve">The Act </w:t>
      </w:r>
      <w:r w:rsidR="005F432F">
        <w:t>does not specify</w:t>
      </w:r>
      <w:r>
        <w:t xml:space="preserve"> conditions that need to be satisfied before the power to make the Regulations may be exercised.</w:t>
      </w:r>
    </w:p>
    <w:p w14:paraId="2799188A" w14:textId="77777777" w:rsidR="00B7400E" w:rsidRDefault="00B7400E" w:rsidP="00B7400E">
      <w:r>
        <w:t xml:space="preserve">The Regulations are a legislative instrument for the purposes of the </w:t>
      </w:r>
      <w:r w:rsidRPr="00B7400E">
        <w:rPr>
          <w:i/>
        </w:rPr>
        <w:t>Legislation Act 2003</w:t>
      </w:r>
      <w:r>
        <w:t xml:space="preserve">. </w:t>
      </w:r>
    </w:p>
    <w:p w14:paraId="796B87B1" w14:textId="122973FC" w:rsidR="00216A9F" w:rsidRDefault="00B7400E" w:rsidP="00B7400E">
      <w:r>
        <w:t>The Regulations commence the day after registration.</w:t>
      </w:r>
    </w:p>
    <w:p w14:paraId="58C95662" w14:textId="06618257" w:rsidR="00216A9F" w:rsidRDefault="00216A9F" w:rsidP="00B7400E"/>
    <w:p w14:paraId="65D208FD" w14:textId="1E028877" w:rsidR="00216A9F" w:rsidRDefault="00216A9F" w:rsidP="008250FE">
      <w:pPr>
        <w:tabs>
          <w:tab w:val="left" w:pos="2835"/>
        </w:tabs>
        <w:spacing w:before="0"/>
        <w:ind w:right="91"/>
        <w:contextualSpacing/>
        <w:jc w:val="right"/>
      </w:pPr>
      <w:r w:rsidRPr="00216A9F">
        <w:rPr>
          <w:u w:val="single"/>
        </w:rPr>
        <w:t>Authority</w:t>
      </w:r>
      <w:r w:rsidRPr="00216A9F">
        <w:t xml:space="preserve">:  Section </w:t>
      </w:r>
      <w:r>
        <w:t>17</w:t>
      </w:r>
      <w:r w:rsidRPr="00216A9F">
        <w:t xml:space="preserve"> of the </w:t>
      </w:r>
      <w:r>
        <w:rPr>
          <w:i/>
        </w:rPr>
        <w:t>Royal Commissions Act 1902</w:t>
      </w:r>
    </w:p>
    <w:p w14:paraId="0B68259F" w14:textId="77777777" w:rsidR="00196D62" w:rsidRDefault="00CE70EF" w:rsidP="00196D62">
      <w:pPr>
        <w:jc w:val="center"/>
      </w:pPr>
      <w:r>
        <w:rPr>
          <w:b/>
        </w:rPr>
        <w:br w:type="page"/>
      </w:r>
      <w:r w:rsidR="00196D62">
        <w:rPr>
          <w:b/>
        </w:rPr>
        <w:t>Statement of Compatibility with Human Rights</w:t>
      </w:r>
    </w:p>
    <w:p w14:paraId="3577F82A" w14:textId="77777777" w:rsidR="00196D62" w:rsidRDefault="00196D62" w:rsidP="00196D62">
      <w:pPr>
        <w:jc w:val="center"/>
        <w:rPr>
          <w:iCs/>
        </w:rPr>
      </w:pPr>
      <w:r>
        <w:rPr>
          <w:i/>
          <w:iCs/>
        </w:rPr>
        <w:t>Prepared in accordance with Part 3 of the Human Rights (Parliamentary Scrutiny) Act 2011</w:t>
      </w:r>
    </w:p>
    <w:p w14:paraId="56782DF6" w14:textId="77777777" w:rsidR="00196D62" w:rsidRPr="00FF143D" w:rsidRDefault="00196D62" w:rsidP="00196D62">
      <w:pPr>
        <w:jc w:val="center"/>
        <w:rPr>
          <w:iCs/>
        </w:rPr>
      </w:pPr>
      <w:r w:rsidRPr="001F4616">
        <w:rPr>
          <w:b/>
          <w:i/>
        </w:rPr>
        <w:t>Royal Commissions Amendment (</w:t>
      </w:r>
      <w:r>
        <w:rPr>
          <w:b/>
          <w:i/>
        </w:rPr>
        <w:t>Service of Documents</w:t>
      </w:r>
      <w:r w:rsidRPr="001F4616">
        <w:rPr>
          <w:b/>
          <w:i/>
        </w:rPr>
        <w:t>) Regulations 2018</w:t>
      </w:r>
    </w:p>
    <w:p w14:paraId="5B8813E0" w14:textId="77777777" w:rsidR="00196D62" w:rsidRPr="00FF143D" w:rsidRDefault="00196D62" w:rsidP="00196D62">
      <w:pPr>
        <w:spacing w:before="120" w:after="120"/>
        <w:rPr>
          <w:szCs w:val="24"/>
        </w:rPr>
      </w:pPr>
      <w:r>
        <w:rPr>
          <w:szCs w:val="24"/>
        </w:rPr>
        <w:t xml:space="preserve">This Legislative Instrument is compatible with the human rights and freedoms recognised or declared in the international instruments listed in section 3 of the </w:t>
      </w:r>
      <w:r>
        <w:rPr>
          <w:i/>
          <w:szCs w:val="24"/>
        </w:rPr>
        <w:t>Human Rights (Parliamentary Scrutiny) Act 2011</w:t>
      </w:r>
      <w:r>
        <w:rPr>
          <w:szCs w:val="24"/>
        </w:rPr>
        <w:t>.</w:t>
      </w:r>
    </w:p>
    <w:p w14:paraId="0E6F6C98" w14:textId="77777777" w:rsidR="00196D62" w:rsidRDefault="00196D62" w:rsidP="00196D62">
      <w:pPr>
        <w:rPr>
          <w:b/>
        </w:rPr>
      </w:pPr>
      <w:r>
        <w:rPr>
          <w:b/>
        </w:rPr>
        <w:t>Overview</w:t>
      </w:r>
    </w:p>
    <w:p w14:paraId="63A5AC21" w14:textId="77777777" w:rsidR="00196D62" w:rsidRDefault="00196D62" w:rsidP="00196D62">
      <w:r>
        <w:t xml:space="preserve">The </w:t>
      </w:r>
      <w:r>
        <w:rPr>
          <w:i/>
        </w:rPr>
        <w:t>Royal Commissions Act 1902</w:t>
      </w:r>
      <w:r>
        <w:t xml:space="preserve"> (the Act) provides for the establishment and operation of Royal Commissions. The Act also confers certain powers on Royal Commissions to obtain information. </w:t>
      </w:r>
    </w:p>
    <w:p w14:paraId="65C94E92" w14:textId="77777777" w:rsidR="00196D62" w:rsidRDefault="00196D62" w:rsidP="00196D62">
      <w:r>
        <w:t>Section 17 of the Act provides that the Governor-General may make regulations, not inconsistent with the Act, prescribing all matters that the Act requires or permits to be prescribed, or necessary and convenient for carrying out or giving effect to the Act.</w:t>
      </w:r>
    </w:p>
    <w:p w14:paraId="76D8160C" w14:textId="77777777" w:rsidR="00196D62" w:rsidRDefault="00196D62" w:rsidP="00196D62">
      <w:r>
        <w:t xml:space="preserve">The purpose of the </w:t>
      </w:r>
      <w:r w:rsidRPr="004E2B4A">
        <w:rPr>
          <w:i/>
        </w:rPr>
        <w:t xml:space="preserve">Royal Commissions Amendment (Service of Documents) Regulations 2018 </w:t>
      </w:r>
      <w:r>
        <w:t xml:space="preserve">(the Regulations) is to amend the </w:t>
      </w:r>
      <w:r w:rsidRPr="00117958">
        <w:rPr>
          <w:i/>
        </w:rPr>
        <w:t>Royal Commissions Regulations 2001</w:t>
      </w:r>
      <w:r>
        <w:t xml:space="preserve"> (the Principal Regulations) in relation to the service of notices and summonses. </w:t>
      </w:r>
    </w:p>
    <w:p w14:paraId="5AD2B07C" w14:textId="0E7924B3" w:rsidR="00196D62" w:rsidRDefault="00196D62" w:rsidP="00196D62">
      <w:r>
        <w:t xml:space="preserve">In particular, the Regulations </w:t>
      </w:r>
      <w:r w:rsidR="009F7309">
        <w:t>detail how a</w:t>
      </w:r>
      <w:r w:rsidRPr="00D26F3B">
        <w:t xml:space="preserve"> Royal Commission may serve notices requiring a person to give written information to the Royal Commission. The power to issue these notices was inserted into the</w:t>
      </w:r>
      <w:r w:rsidR="009F7309">
        <w:t xml:space="preserve"> Act</w:t>
      </w:r>
      <w:r w:rsidR="009F7309">
        <w:rPr>
          <w:i/>
          <w:iCs/>
        </w:rPr>
        <w:t xml:space="preserve"> </w:t>
      </w:r>
      <w:r w:rsidRPr="00D26F3B">
        <w:t xml:space="preserve">by the </w:t>
      </w:r>
      <w:r w:rsidRPr="00D26F3B">
        <w:rPr>
          <w:i/>
          <w:iCs/>
        </w:rPr>
        <w:t>Prime Minister and Cabinet Legislation Amendment (2017 Measures No. 1) Act 2018</w:t>
      </w:r>
      <w:r>
        <w:t>, which commenced on 21 </w:t>
      </w:r>
      <w:r w:rsidRPr="00D26F3B">
        <w:t>February 2018.</w:t>
      </w:r>
      <w:r w:rsidRPr="00632D39">
        <w:t xml:space="preserve"> </w:t>
      </w:r>
      <w:r w:rsidR="005F432F" w:rsidRPr="009F7309">
        <w:t>This amendment implemented a recommendation of the Royal Commission into the Home Insulation Program (paragraph 1.3.39)</w:t>
      </w:r>
      <w:r w:rsidRPr="009F7309">
        <w:t>.</w:t>
      </w:r>
    </w:p>
    <w:p w14:paraId="5FC97510" w14:textId="4BDC41FE" w:rsidR="00196D62" w:rsidRDefault="00196D62" w:rsidP="00196D62">
      <w:r>
        <w:t xml:space="preserve">The Regulations also </w:t>
      </w:r>
      <w:r w:rsidR="009F7309">
        <w:t>detail how a</w:t>
      </w:r>
      <w:r w:rsidR="002E12A7">
        <w:t xml:space="preserve"> </w:t>
      </w:r>
      <w:r w:rsidR="009F7309">
        <w:t>Royal Commission</w:t>
      </w:r>
      <w:r>
        <w:t xml:space="preserve"> </w:t>
      </w:r>
      <w:r w:rsidR="002E12A7">
        <w:t xml:space="preserve">may </w:t>
      </w:r>
      <w:r>
        <w:t xml:space="preserve">serve </w:t>
      </w:r>
      <w:r w:rsidR="00D105EE">
        <w:t xml:space="preserve">others </w:t>
      </w:r>
      <w:r>
        <w:t>notice</w:t>
      </w:r>
      <w:r w:rsidR="00D105EE">
        <w:t>s</w:t>
      </w:r>
      <w:r>
        <w:t xml:space="preserve"> and summonses on named persons</w:t>
      </w:r>
      <w:r w:rsidR="002E12A7">
        <w:t>. The Regulations remake the existing provisions, which provide that a notice or summons may be served personally on the named person</w:t>
      </w:r>
      <w:r w:rsidR="00D105EE">
        <w:t xml:space="preserve"> (whether an individual or a corporation)</w:t>
      </w:r>
      <w:r w:rsidR="002E12A7">
        <w:t xml:space="preserve">. In addition, the Regulations provide </w:t>
      </w:r>
      <w:r w:rsidR="009F7309">
        <w:t>additional</w:t>
      </w:r>
      <w:r w:rsidR="002E12A7">
        <w:t xml:space="preserve"> ways service of a notice or summons may be effected</w:t>
      </w:r>
      <w:r>
        <w:t>, namely by:</w:t>
      </w:r>
    </w:p>
    <w:p w14:paraId="4E9CD5DB" w14:textId="77777777" w:rsidR="00196D62" w:rsidRDefault="00196D62" w:rsidP="00196D62">
      <w:pPr>
        <w:pStyle w:val="ListParagraph"/>
        <w:numPr>
          <w:ilvl w:val="0"/>
          <w:numId w:val="6"/>
        </w:numPr>
      </w:pPr>
      <w:r>
        <w:t>handing it to a legal practitioner who is authorised to receive the summons on behalf of the named person;</w:t>
      </w:r>
    </w:p>
    <w:p w14:paraId="71C513BD" w14:textId="62CC59DC" w:rsidR="00196D62" w:rsidRDefault="00652F0D" w:rsidP="00196D62">
      <w:pPr>
        <w:pStyle w:val="ListParagraph"/>
        <w:numPr>
          <w:ilvl w:val="0"/>
          <w:numId w:val="6"/>
        </w:numPr>
      </w:pPr>
      <w:r>
        <w:t>serving</w:t>
      </w:r>
      <w:r w:rsidR="00196D62">
        <w:t xml:space="preserve"> </w:t>
      </w:r>
      <w:r w:rsidR="002E12A7">
        <w:t xml:space="preserve">it </w:t>
      </w:r>
      <w:r w:rsidR="00196D62">
        <w:t xml:space="preserve">in a particular way which was agreed to in writing by the named person; and </w:t>
      </w:r>
    </w:p>
    <w:p w14:paraId="30932A0E" w14:textId="4ADE8C2A" w:rsidR="00196D62" w:rsidRDefault="002E12A7" w:rsidP="00196D62">
      <w:pPr>
        <w:pStyle w:val="ListParagraph"/>
        <w:numPr>
          <w:ilvl w:val="0"/>
          <w:numId w:val="6"/>
        </w:numPr>
      </w:pPr>
      <w:r>
        <w:t xml:space="preserve">(in relation to a notice only) </w:t>
      </w:r>
      <w:r w:rsidR="00196D62">
        <w:t xml:space="preserve">sending it by pre-paid post addressed to the person, where the Royal Commission has previously served that person with a notice. </w:t>
      </w:r>
    </w:p>
    <w:p w14:paraId="2304641A" w14:textId="393A928C" w:rsidR="005F432F" w:rsidRDefault="005F432F" w:rsidP="005F432F">
      <w:r>
        <w:t xml:space="preserve">These changes implement </w:t>
      </w:r>
      <w:r w:rsidR="009F7309">
        <w:t>r</w:t>
      </w:r>
      <w:r>
        <w:t xml:space="preserve">ecommendation 77 of the final report of the </w:t>
      </w:r>
      <w:r w:rsidRPr="00662F09">
        <w:t>Royal Commission into Trade Union Governance and Corruption</w:t>
      </w:r>
      <w:r>
        <w:t>.</w:t>
      </w:r>
    </w:p>
    <w:p w14:paraId="18C1203F" w14:textId="77777777" w:rsidR="00196D62" w:rsidRDefault="00196D62" w:rsidP="00196D62">
      <w:pPr>
        <w:rPr>
          <w:b/>
        </w:rPr>
      </w:pPr>
      <w:r>
        <w:rPr>
          <w:b/>
        </w:rPr>
        <w:t>Human Rights Implications</w:t>
      </w:r>
    </w:p>
    <w:p w14:paraId="43FEDD77" w14:textId="77777777" w:rsidR="00196D62" w:rsidRDefault="00196D62" w:rsidP="00196D62">
      <w:r>
        <w:t>This Legislative Instrument engages the following rights:</w:t>
      </w:r>
    </w:p>
    <w:p w14:paraId="2382EA23" w14:textId="77777777" w:rsidR="00196D62" w:rsidRDefault="00196D62" w:rsidP="00196D62">
      <w:pPr>
        <w:pStyle w:val="ListParagraph"/>
        <w:numPr>
          <w:ilvl w:val="0"/>
          <w:numId w:val="10"/>
        </w:numPr>
      </w:pPr>
      <w:r>
        <w:t>The right to a fair hearing—article 14 of the International Covenant on Civil and Political Rights (ICCPR); and</w:t>
      </w:r>
    </w:p>
    <w:p w14:paraId="705CF443" w14:textId="77777777" w:rsidR="00196D62" w:rsidRDefault="00196D62" w:rsidP="00196D62">
      <w:pPr>
        <w:pStyle w:val="ListParagraph"/>
        <w:numPr>
          <w:ilvl w:val="0"/>
          <w:numId w:val="10"/>
        </w:numPr>
      </w:pPr>
      <w:r>
        <w:t>The right to protection against arbitrary and unlawful interference with privacy and reputation—article 17 of the ICCPR.</w:t>
      </w:r>
    </w:p>
    <w:p w14:paraId="3913AD58" w14:textId="100B7AB1" w:rsidR="00196D62" w:rsidRDefault="00196D62" w:rsidP="00972AF9">
      <w:pPr>
        <w:keepNext/>
      </w:pPr>
      <w:r>
        <w:rPr>
          <w:u w:val="single"/>
        </w:rPr>
        <w:t>The right to a fair hearing (article 1</w:t>
      </w:r>
      <w:r w:rsidR="00107AB1">
        <w:rPr>
          <w:u w:val="single"/>
        </w:rPr>
        <w:t>4</w:t>
      </w:r>
      <w:r>
        <w:rPr>
          <w:u w:val="single"/>
        </w:rPr>
        <w:t xml:space="preserve"> of the ICCPR)</w:t>
      </w:r>
    </w:p>
    <w:p w14:paraId="6B0E7C04" w14:textId="77777777" w:rsidR="009F7309" w:rsidRDefault="00196D62" w:rsidP="00196D62">
      <w:r w:rsidRPr="008E4883">
        <w:t xml:space="preserve">The Regulations </w:t>
      </w:r>
      <w:r w:rsidR="009F7309">
        <w:t>detail how</w:t>
      </w:r>
      <w:r w:rsidR="002E12A7">
        <w:t xml:space="preserve"> </w:t>
      </w:r>
      <w:r w:rsidRPr="008E4883">
        <w:t xml:space="preserve">a Royal Commission </w:t>
      </w:r>
      <w:r w:rsidR="002E12A7">
        <w:t xml:space="preserve">may </w:t>
      </w:r>
      <w:r w:rsidRPr="008E4883">
        <w:t>serve notices and summonses on persons to give info</w:t>
      </w:r>
      <w:r>
        <w:t xml:space="preserve">rmation or </w:t>
      </w:r>
      <w:r w:rsidR="00107AB1">
        <w:t xml:space="preserve">a </w:t>
      </w:r>
      <w:r>
        <w:t xml:space="preserve">statement in writing. </w:t>
      </w:r>
      <w:r w:rsidR="00107AB1">
        <w:t xml:space="preserve">It is an offence to not comply with </w:t>
      </w:r>
      <w:r w:rsidR="002E12A7">
        <w:t xml:space="preserve">such a notice or summons. </w:t>
      </w:r>
    </w:p>
    <w:p w14:paraId="42EDDE50" w14:textId="59FEE9AC" w:rsidR="00196D62" w:rsidRDefault="00972AF9" w:rsidP="00196D62">
      <w:r>
        <w:t xml:space="preserve">Because the Regulations provide for the manner in which notices and summonses are served on a person and support powers in the Act to compel production of information, testimony and documents, it might be contended that the Regulations engage </w:t>
      </w:r>
      <w:r w:rsidR="00196D62">
        <w:t>Article 14(3)(g) of th</w:t>
      </w:r>
      <w:r w:rsidR="009F7309">
        <w:t>e ICCPR. Article 14(3)(g)</w:t>
      </w:r>
      <w:r w:rsidR="00196D62">
        <w:t xml:space="preserve"> specifies that in the determination of criminal charges, an individual is not to be compelled to testify against themselves or to confess guilt. </w:t>
      </w:r>
    </w:p>
    <w:p w14:paraId="3BAD7C7C" w14:textId="613F25CD" w:rsidR="00972AF9" w:rsidRDefault="00972AF9" w:rsidP="00972AF9">
      <w:r>
        <w:t>A Royal Commission has powers to effectively investigate matters of public importance, while ensuring a person’s own statements cannot be used against them in subsequent proceedings, criminal or civil.</w:t>
      </w:r>
      <w:r w:rsidR="00E40A44">
        <w:t xml:space="preserve"> It</w:t>
      </w:r>
      <w:r w:rsidR="00E40A44" w:rsidRPr="00E40A44">
        <w:t xml:space="preserve"> </w:t>
      </w:r>
      <w:r w:rsidR="00E40A44">
        <w:t>does not determine criminal charges as it is not a court or tribunal and cannot adjudicate on a person’s guilt or civil liability.</w:t>
      </w:r>
    </w:p>
    <w:p w14:paraId="6DFEA2F5" w14:textId="16CFCCC4" w:rsidR="00196D62" w:rsidRDefault="00196D62" w:rsidP="00972AF9">
      <w:r>
        <w:t xml:space="preserve">Section 6A of the Act provides that it is not a reasonable excuse for a person to refuse or fail to produce a document or thing, or to answer a question, on the ground that doing so might incriminate the person or make the person liable to a penalty. </w:t>
      </w:r>
      <w:r w:rsidR="00972AF9">
        <w:t>This abrogates the privilege against self-incrimination.</w:t>
      </w:r>
    </w:p>
    <w:p w14:paraId="5CBE957A" w14:textId="2272680A" w:rsidR="00196D62" w:rsidRDefault="009F7309" w:rsidP="00196D62">
      <w:r>
        <w:t>T</w:t>
      </w:r>
      <w:r w:rsidR="00972AF9">
        <w:t>his provision is balanced by s</w:t>
      </w:r>
      <w:r w:rsidR="00196D62">
        <w:t>ection 6DD of the Act</w:t>
      </w:r>
      <w:r>
        <w:t>, which</w:t>
      </w:r>
      <w:r w:rsidR="00972AF9">
        <w:t xml:space="preserve"> </w:t>
      </w:r>
      <w:r w:rsidR="00196D62">
        <w:t>provides that statements or disclosures made by a person in the course of giving evidence to a Royal Commission, or the production of a document or thing in response to a summons or notice to produce, are not admissible in evidence against that person in ‘any civil or criminal proceedings’ in any Australian court, unless the proceedings are for an offence against the Act.</w:t>
      </w:r>
      <w:r w:rsidR="00AA581A">
        <w:t xml:space="preserve"> Accordingly, the abrogation of the </w:t>
      </w:r>
      <w:r w:rsidR="00AA581A" w:rsidRPr="008E4883">
        <w:t xml:space="preserve">right against self-incrimination </w:t>
      </w:r>
      <w:r w:rsidR="00AA581A">
        <w:t>by the Act is limited.</w:t>
      </w:r>
    </w:p>
    <w:p w14:paraId="6E045531" w14:textId="52CD2C2C" w:rsidR="00196D62" w:rsidRDefault="00196D62" w:rsidP="00196D62">
      <w:r w:rsidRPr="008E4883">
        <w:t xml:space="preserve">The </w:t>
      </w:r>
      <w:r w:rsidR="00AA581A">
        <w:t>limited</w:t>
      </w:r>
      <w:r w:rsidRPr="008E4883">
        <w:t xml:space="preserve"> abrogation of the right against self-incrimination </w:t>
      </w:r>
      <w:r w:rsidR="00972AF9">
        <w:t xml:space="preserve">by the Act </w:t>
      </w:r>
      <w:r w:rsidRPr="008E4883">
        <w:t>is for the purpose of supporting a Royal Commission’s function to inquire and report on matters of public importance.</w:t>
      </w:r>
      <w:r>
        <w:t xml:space="preserve"> This </w:t>
      </w:r>
      <w:r w:rsidR="00AA581A">
        <w:t>limited</w:t>
      </w:r>
      <w:r>
        <w:t xml:space="preserve"> abrogation is reasonable, necessary, and appropriate for the purpose of equipping Royal Commissions with investigative powers. </w:t>
      </w:r>
    </w:p>
    <w:p w14:paraId="37452200" w14:textId="6F7FA933" w:rsidR="00196D62" w:rsidRDefault="00196D62" w:rsidP="00196D62">
      <w:r>
        <w:t xml:space="preserve">To the extent that </w:t>
      </w:r>
      <w:r w:rsidR="00E40A44">
        <w:t>the Act</w:t>
      </w:r>
      <w:r>
        <w:t xml:space="preserve"> does abrogate the right to a fair hearing, the extent of the abrogation is limited and safeguarded by section </w:t>
      </w:r>
      <w:r w:rsidR="00E40A44">
        <w:t>6DD which ensures that any self</w:t>
      </w:r>
      <w:r w:rsidR="00E40A44">
        <w:noBreakHyphen/>
      </w:r>
      <w:r>
        <w:t xml:space="preserve">incriminating evidence given by a person to a Royal Commission is inadmissible in any subsequent proceeding. </w:t>
      </w:r>
    </w:p>
    <w:p w14:paraId="723634BC" w14:textId="77777777" w:rsidR="00196D62" w:rsidRDefault="00196D62" w:rsidP="00196D62">
      <w:pPr>
        <w:rPr>
          <w:u w:val="single"/>
        </w:rPr>
      </w:pPr>
      <w:r w:rsidRPr="00102BA4">
        <w:rPr>
          <w:u w:val="single"/>
        </w:rPr>
        <w:t>The right to protection against arbitrary and unlawful interference with privacy and unlawful attacks on reputation (article 17 of the ICCPR)</w:t>
      </w:r>
    </w:p>
    <w:p w14:paraId="24920F3A" w14:textId="471D25E9" w:rsidR="00196D62" w:rsidRDefault="00196D62" w:rsidP="00196D62">
      <w:pPr>
        <w:shd w:val="clear" w:color="auto" w:fill="FFFFFF"/>
        <w:spacing w:before="100" w:beforeAutospacing="1"/>
      </w:pPr>
      <w:r w:rsidRPr="008E4883">
        <w:t xml:space="preserve">The Regulations </w:t>
      </w:r>
      <w:r>
        <w:t xml:space="preserve">provide </w:t>
      </w:r>
      <w:r w:rsidR="003C69FE">
        <w:t xml:space="preserve">for the ways in which </w:t>
      </w:r>
      <w:r w:rsidR="003C69FE" w:rsidRPr="008E4883">
        <w:t xml:space="preserve">a Royal Commission </w:t>
      </w:r>
      <w:r w:rsidR="003C69FE">
        <w:t xml:space="preserve">may </w:t>
      </w:r>
      <w:r w:rsidRPr="008E4883">
        <w:t>serve notices and summonses on persons to give info</w:t>
      </w:r>
      <w:r>
        <w:t xml:space="preserve">rmation or </w:t>
      </w:r>
      <w:r w:rsidR="005F432F">
        <w:t xml:space="preserve">a </w:t>
      </w:r>
      <w:r>
        <w:t>statement in writing. The right to privacy is engaged to the extent that a notice of that kind</w:t>
      </w:r>
      <w:r w:rsidR="00802DA9">
        <w:t xml:space="preserve"> may</w:t>
      </w:r>
      <w:r>
        <w:t xml:space="preserve"> require a person to give personal information. </w:t>
      </w:r>
    </w:p>
    <w:p w14:paraId="125EF286" w14:textId="05BF8404" w:rsidR="00196D62" w:rsidRDefault="00196D62" w:rsidP="00196D62">
      <w:pPr>
        <w:shd w:val="clear" w:color="auto" w:fill="FFFFFF"/>
        <w:spacing w:before="100" w:beforeAutospacing="1"/>
      </w:pPr>
      <w:r w:rsidRPr="00694635">
        <w:t>The collection and use of that personal information is a proportionate limitation of the right to privacy in pursuit of a legitimate objective to ensure a Royal Commission can fully inquire into, and report on, matters of public importance.</w:t>
      </w:r>
      <w:r>
        <w:t xml:space="preserve"> This limitation is provided by law and </w:t>
      </w:r>
      <w:r w:rsidR="005F432F">
        <w:t xml:space="preserve">is </w:t>
      </w:r>
      <w:r>
        <w:t xml:space="preserve">not arbitrary. The limitation is safeguarded by section 6D, which contains provisions for allowing a person to request that their evidence be taken in private where the evidence relates to the profits or financial position of any person and taking of the evidence in public would be unfairly prejudicial to the interests of that person. Section 6D(3) gives the Royal Commission power to make a non-publication direction for any evidence given to it. </w:t>
      </w:r>
    </w:p>
    <w:p w14:paraId="5F8AB8F9" w14:textId="5D5094FF" w:rsidR="00196D62" w:rsidRDefault="00196D62" w:rsidP="00196D62">
      <w:pPr>
        <w:shd w:val="clear" w:color="auto" w:fill="FFFFFF"/>
        <w:spacing w:before="100" w:beforeAutospacing="1"/>
      </w:pPr>
      <w:r>
        <w:t xml:space="preserve">Section 6P of the Act </w:t>
      </w:r>
      <w:r w:rsidR="007006CF">
        <w:t xml:space="preserve">provides that </w:t>
      </w:r>
      <w:r>
        <w:t xml:space="preserve">potentially private </w:t>
      </w:r>
      <w:r w:rsidRPr="00694635">
        <w:t>evidence given by a person to a Royal Commission may be communicated to office holders such as the police or the Director of Public Prosecutions where the Commissioner considers it appropriate to do so</w:t>
      </w:r>
      <w:r>
        <w:t xml:space="preserve"> and where the evidence relates to a contraventions of a law. This limitation on the right to privacy is justified because it is for the legitimate purpose to pursue proper investigation of contraventions of a law. </w:t>
      </w:r>
    </w:p>
    <w:p w14:paraId="67E70E6F" w14:textId="77777777" w:rsidR="00196D62" w:rsidRPr="001674D6" w:rsidRDefault="00196D62" w:rsidP="00196D62">
      <w:pPr>
        <w:shd w:val="clear" w:color="auto" w:fill="FFFFFF"/>
        <w:spacing w:before="100" w:beforeAutospacing="1"/>
        <w:rPr>
          <w:rFonts w:ascii="Helvetica Neue" w:hAnsi="Helvetica Neue"/>
          <w:sz w:val="19"/>
          <w:szCs w:val="19"/>
          <w:lang w:val="en-US"/>
        </w:rPr>
      </w:pPr>
      <w:r w:rsidRPr="001674D6">
        <w:rPr>
          <w:b/>
          <w:bCs/>
          <w:szCs w:val="24"/>
        </w:rPr>
        <w:t>Conclusion</w:t>
      </w:r>
    </w:p>
    <w:p w14:paraId="26219A55" w14:textId="1DEFDD17" w:rsidR="00196D62" w:rsidRPr="001674D6" w:rsidRDefault="00196D62" w:rsidP="00196D62">
      <w:pPr>
        <w:shd w:val="clear" w:color="auto" w:fill="FFFFFF"/>
        <w:spacing w:before="100" w:beforeAutospacing="1"/>
        <w:rPr>
          <w:rFonts w:ascii="Helvetica Neue" w:hAnsi="Helvetica Neue"/>
          <w:sz w:val="19"/>
          <w:szCs w:val="19"/>
          <w:lang w:val="en-US"/>
        </w:rPr>
      </w:pPr>
      <w:r w:rsidRPr="001674D6">
        <w:rPr>
          <w:szCs w:val="24"/>
        </w:rPr>
        <w:t>The Regulation</w:t>
      </w:r>
      <w:r>
        <w:rPr>
          <w:szCs w:val="24"/>
        </w:rPr>
        <w:t>s</w:t>
      </w:r>
      <w:r w:rsidRPr="001674D6">
        <w:rPr>
          <w:szCs w:val="24"/>
        </w:rPr>
        <w:t xml:space="preserve"> </w:t>
      </w:r>
      <w:r>
        <w:rPr>
          <w:szCs w:val="24"/>
        </w:rPr>
        <w:t>are</w:t>
      </w:r>
      <w:r w:rsidRPr="001674D6">
        <w:rPr>
          <w:szCs w:val="24"/>
        </w:rPr>
        <w:t xml:space="preserve"> compatible with human rights</w:t>
      </w:r>
      <w:r>
        <w:rPr>
          <w:szCs w:val="24"/>
        </w:rPr>
        <w:t xml:space="preserve"> because</w:t>
      </w:r>
      <w:r w:rsidRPr="001674D6">
        <w:rPr>
          <w:szCs w:val="24"/>
        </w:rPr>
        <w:t xml:space="preserve"> to the extent that it may limit human rights</w:t>
      </w:r>
      <w:r>
        <w:rPr>
          <w:szCs w:val="24"/>
        </w:rPr>
        <w:t xml:space="preserve"> to a fair trial</w:t>
      </w:r>
      <w:r w:rsidR="000F497E" w:rsidRPr="000F497E">
        <w:rPr>
          <w:szCs w:val="24"/>
        </w:rPr>
        <w:t xml:space="preserve"> </w:t>
      </w:r>
      <w:r w:rsidR="000F497E">
        <w:rPr>
          <w:szCs w:val="24"/>
        </w:rPr>
        <w:t>and privacy</w:t>
      </w:r>
      <w:r w:rsidRPr="001674D6">
        <w:rPr>
          <w:szCs w:val="24"/>
        </w:rPr>
        <w:t>, those limitations are reasonable, necessary and proportionate.</w:t>
      </w:r>
    </w:p>
    <w:p w14:paraId="722A78D5" w14:textId="77777777" w:rsidR="00196D62" w:rsidRDefault="00196D62" w:rsidP="00196D62"/>
    <w:p w14:paraId="5669968A" w14:textId="4C62F545" w:rsidR="00BD0FD0" w:rsidRDefault="00BD0FD0" w:rsidP="00196D62">
      <w:pPr>
        <w:spacing w:before="0" w:after="160" w:line="259" w:lineRule="auto"/>
        <w:jc w:val="center"/>
      </w:pPr>
    </w:p>
    <w:p w14:paraId="21E8DF25" w14:textId="77777777" w:rsidR="00BD0FD0" w:rsidRPr="00BD0FD0" w:rsidRDefault="00BD0FD0" w:rsidP="00BD0FD0"/>
    <w:p w14:paraId="7DF7204C" w14:textId="77777777" w:rsidR="00BD0FD0" w:rsidRDefault="00BD0FD0">
      <w:pPr>
        <w:spacing w:before="0" w:after="160" w:line="259" w:lineRule="auto"/>
        <w:rPr>
          <w:b/>
          <w:u w:val="single"/>
        </w:rPr>
      </w:pPr>
      <w:r>
        <w:rPr>
          <w:b/>
          <w:u w:val="single"/>
        </w:rPr>
        <w:br w:type="page"/>
      </w:r>
    </w:p>
    <w:p w14:paraId="6590A3F5" w14:textId="6467D22E" w:rsidR="001F4616" w:rsidRPr="00997051" w:rsidRDefault="001F4616" w:rsidP="00997051">
      <w:pPr>
        <w:jc w:val="right"/>
        <w:rPr>
          <w:b/>
          <w:u w:val="single"/>
        </w:rPr>
      </w:pPr>
      <w:r w:rsidRPr="00997051">
        <w:rPr>
          <w:b/>
          <w:u w:val="single"/>
        </w:rPr>
        <w:t>Attachment</w:t>
      </w:r>
    </w:p>
    <w:p w14:paraId="78EED2EE" w14:textId="4C3077B7" w:rsidR="001F4616" w:rsidRPr="001F4616" w:rsidRDefault="001F4616" w:rsidP="00997051">
      <w:pPr>
        <w:jc w:val="center"/>
        <w:rPr>
          <w:b/>
          <w:i/>
        </w:rPr>
      </w:pPr>
      <w:r>
        <w:rPr>
          <w:b/>
        </w:rPr>
        <w:t xml:space="preserve">Detail of </w:t>
      </w:r>
      <w:r w:rsidRPr="001F4616">
        <w:rPr>
          <w:b/>
        </w:rPr>
        <w:t xml:space="preserve">the </w:t>
      </w:r>
      <w:r w:rsidR="004E2B4A" w:rsidRPr="004E2B4A">
        <w:rPr>
          <w:b/>
          <w:i/>
        </w:rPr>
        <w:t>Royal Commissions Amendment (Service of Documents) Regulations 2018</w:t>
      </w:r>
    </w:p>
    <w:p w14:paraId="7D1EE7FF" w14:textId="7926065A" w:rsidR="001F4616" w:rsidRDefault="00997051" w:rsidP="001F4616">
      <w:r>
        <w:rPr>
          <w:u w:val="single"/>
        </w:rPr>
        <w:t>Section 1 – Name</w:t>
      </w:r>
    </w:p>
    <w:p w14:paraId="4D63BD0D" w14:textId="79436CAF" w:rsidR="00997051" w:rsidRDefault="00997051" w:rsidP="001F4616">
      <w:r>
        <w:t>This section provides that the title of the Regulation</w:t>
      </w:r>
      <w:r w:rsidR="0045056F">
        <w:t>s</w:t>
      </w:r>
      <w:r>
        <w:t xml:space="preserve"> is </w:t>
      </w:r>
      <w:r w:rsidRPr="00C7587D">
        <w:t xml:space="preserve">the </w:t>
      </w:r>
      <w:r w:rsidR="004E2B4A" w:rsidRPr="004E2B4A">
        <w:rPr>
          <w:i/>
        </w:rPr>
        <w:t>Royal Commissions Amendment (Service of Documents) Regulations 2018</w:t>
      </w:r>
      <w:r w:rsidR="004E2B4A">
        <w:t>.</w:t>
      </w:r>
    </w:p>
    <w:p w14:paraId="1F7821A7" w14:textId="3F5F993C" w:rsidR="00997051" w:rsidRDefault="00997051" w:rsidP="001F4616">
      <w:r>
        <w:rPr>
          <w:u w:val="single"/>
        </w:rPr>
        <w:t>Section 2 – Commencement</w:t>
      </w:r>
    </w:p>
    <w:p w14:paraId="7D4BC43C" w14:textId="63CA2486" w:rsidR="00997051" w:rsidRDefault="00997051" w:rsidP="001F4616">
      <w:r>
        <w:t>This section provides that the Regulation</w:t>
      </w:r>
      <w:r w:rsidR="0045056F">
        <w:t>s</w:t>
      </w:r>
      <w:r>
        <w:t xml:space="preserve"> commence on the day after </w:t>
      </w:r>
      <w:r w:rsidR="00EB2C82">
        <w:t>registration</w:t>
      </w:r>
      <w:r>
        <w:t>.</w:t>
      </w:r>
    </w:p>
    <w:p w14:paraId="253E0E93" w14:textId="0410581E" w:rsidR="00997051" w:rsidRDefault="00997051" w:rsidP="001F4616">
      <w:r>
        <w:rPr>
          <w:u w:val="single"/>
        </w:rPr>
        <w:t>Section 3 – Authority</w:t>
      </w:r>
    </w:p>
    <w:p w14:paraId="36890AA6" w14:textId="5247475A" w:rsidR="00997051" w:rsidRDefault="00997051" w:rsidP="001F4616">
      <w:r>
        <w:t>This section provides that the Regulation</w:t>
      </w:r>
      <w:r w:rsidR="0045056F">
        <w:t>s</w:t>
      </w:r>
      <w:r>
        <w:t xml:space="preserve"> </w:t>
      </w:r>
      <w:r w:rsidR="0045056F">
        <w:t>are</w:t>
      </w:r>
      <w:r>
        <w:t xml:space="preserve"> made under the </w:t>
      </w:r>
      <w:r>
        <w:rPr>
          <w:i/>
        </w:rPr>
        <w:t>Royal Commissions Act 1902</w:t>
      </w:r>
      <w:r>
        <w:t xml:space="preserve">. </w:t>
      </w:r>
    </w:p>
    <w:p w14:paraId="3778AA47" w14:textId="3ACBA4B8" w:rsidR="00997051" w:rsidRDefault="00997051" w:rsidP="001F4616">
      <w:r>
        <w:rPr>
          <w:u w:val="single"/>
        </w:rPr>
        <w:t>Section 4 – Schedules</w:t>
      </w:r>
    </w:p>
    <w:p w14:paraId="575FCFE3" w14:textId="13892B94" w:rsidR="00997051" w:rsidRDefault="00997051" w:rsidP="001F4616">
      <w:r>
        <w:t>This section provides that each instrument specified in a Schedule to the Regulation</w:t>
      </w:r>
      <w:r w:rsidR="0045056F">
        <w:t>s</w:t>
      </w:r>
      <w:r>
        <w:t xml:space="preserve"> is amended or repealed as provided for in the applicable Schedule and any other item in a Schedule will have effect according to its terms. </w:t>
      </w:r>
    </w:p>
    <w:p w14:paraId="5E8C83B9" w14:textId="7FBE23CC" w:rsidR="00997051" w:rsidRDefault="00997051" w:rsidP="001F4616">
      <w:r>
        <w:rPr>
          <w:u w:val="single"/>
        </w:rPr>
        <w:t>Schedule 1 – Amendments</w:t>
      </w:r>
    </w:p>
    <w:p w14:paraId="7CA01471" w14:textId="6C74A2FC" w:rsidR="00166D64" w:rsidRDefault="00166D64" w:rsidP="001F4616">
      <w:r>
        <w:rPr>
          <w:i/>
        </w:rPr>
        <w:t xml:space="preserve">Item </w:t>
      </w:r>
      <w:r w:rsidR="004E2B4A">
        <w:rPr>
          <w:i/>
        </w:rPr>
        <w:t>1</w:t>
      </w:r>
      <w:r>
        <w:rPr>
          <w:i/>
        </w:rPr>
        <w:t xml:space="preserve"> – Regulation 6</w:t>
      </w:r>
    </w:p>
    <w:p w14:paraId="6DB4B3C7" w14:textId="68139AF3" w:rsidR="00166D64" w:rsidRDefault="00166D64" w:rsidP="001F4616">
      <w:r>
        <w:t xml:space="preserve">This item repeals the existing Regulation 6 </w:t>
      </w:r>
      <w:r w:rsidR="006A1427">
        <w:t xml:space="preserve">(Service of notices and summonses) </w:t>
      </w:r>
      <w:r>
        <w:t>and substitutes a new Regulation 6</w:t>
      </w:r>
      <w:r w:rsidR="006A1427">
        <w:t xml:space="preserve"> (Service of notices and summonses)</w:t>
      </w:r>
      <w:r>
        <w:t xml:space="preserve">. </w:t>
      </w:r>
      <w:r w:rsidR="00135BE4">
        <w:t xml:space="preserve">This item provides that </w:t>
      </w:r>
      <w:r>
        <w:t xml:space="preserve">Regulation 6 pertains to the service of notices and summonses </w:t>
      </w:r>
      <w:r w:rsidR="00135BE4">
        <w:t xml:space="preserve">for the purposes of a Royal Commission on a person named in the </w:t>
      </w:r>
      <w:r w:rsidR="00274465">
        <w:t xml:space="preserve">notices or summonses </w:t>
      </w:r>
      <w:r w:rsidR="00135BE4">
        <w:t xml:space="preserve">in a way specified by the Regulation. </w:t>
      </w:r>
    </w:p>
    <w:p w14:paraId="2353327F" w14:textId="6B620365" w:rsidR="00135BE4" w:rsidRDefault="00F13719" w:rsidP="001F4616">
      <w:r>
        <w:t xml:space="preserve">The new subregulations 6(2) and 6(3) are </w:t>
      </w:r>
      <w:r w:rsidR="00776AC9">
        <w:t>equivalent</w:t>
      </w:r>
      <w:r>
        <w:t xml:space="preserve"> to the existing subregulations 6(a) and 6(b), making only minor structural amendments. </w:t>
      </w:r>
      <w:r w:rsidR="00135BE4">
        <w:t xml:space="preserve">Subregulation 6(2) provides </w:t>
      </w:r>
      <w:r w:rsidR="00201DFB">
        <w:t xml:space="preserve">for personal service of a </w:t>
      </w:r>
      <w:r w:rsidR="000A7FBE">
        <w:t xml:space="preserve">notice or summons </w:t>
      </w:r>
      <w:r w:rsidR="00135BE4">
        <w:t>on a</w:t>
      </w:r>
      <w:r w:rsidR="00201DFB">
        <w:t>n</w:t>
      </w:r>
      <w:r w:rsidR="00135BE4">
        <w:t xml:space="preserve"> </w:t>
      </w:r>
      <w:r w:rsidR="000A7FBE">
        <w:t>individual</w:t>
      </w:r>
      <w:r w:rsidR="00135BE4">
        <w:t xml:space="preserve">. Subregulation 6(3) </w:t>
      </w:r>
      <w:r w:rsidR="00201DFB">
        <w:t xml:space="preserve">provides for personal service of a </w:t>
      </w:r>
      <w:r w:rsidR="000A7FBE">
        <w:t xml:space="preserve">notice or summons </w:t>
      </w:r>
      <w:r w:rsidR="00135BE4">
        <w:t xml:space="preserve">on a corporation. </w:t>
      </w:r>
    </w:p>
    <w:p w14:paraId="2983EF73" w14:textId="78874067" w:rsidR="00201DFB" w:rsidRDefault="00201DFB" w:rsidP="001F4616">
      <w:r>
        <w:t xml:space="preserve">Subregulations 6(4)-(6) provide additional </w:t>
      </w:r>
      <w:r w:rsidR="005F432F">
        <w:t>methods by</w:t>
      </w:r>
      <w:r>
        <w:t xml:space="preserve"> which a Royal Commission may effect service. These </w:t>
      </w:r>
      <w:r w:rsidR="00274465">
        <w:t xml:space="preserve">implement recommendation 77 of the Final Report of the Royal Commission into </w:t>
      </w:r>
      <w:r w:rsidR="00274465" w:rsidRPr="00662F09">
        <w:t>Trade Union Governance and Corruption</w:t>
      </w:r>
      <w:r w:rsidR="00274465">
        <w:t xml:space="preserve">, which was provided </w:t>
      </w:r>
      <w:r w:rsidR="00274465" w:rsidRPr="00274465">
        <w:t>to the Governor-General on 28 December 2015</w:t>
      </w:r>
      <w:r w:rsidR="00274465">
        <w:t>, that personal service not be required in certain circumstances</w:t>
      </w:r>
      <w:r w:rsidR="00274465" w:rsidRPr="00274465">
        <w:t>.</w:t>
      </w:r>
    </w:p>
    <w:p w14:paraId="6CA8E906" w14:textId="508AAFCE" w:rsidR="00135BE4" w:rsidRDefault="00135BE4" w:rsidP="001F4616">
      <w:r>
        <w:t xml:space="preserve">Subregulation 6(4) provides the </w:t>
      </w:r>
      <w:r w:rsidR="00D04C1D">
        <w:t>circumstances</w:t>
      </w:r>
      <w:r>
        <w:t xml:space="preserve"> in which </w:t>
      </w:r>
      <w:r w:rsidR="000A7FBE">
        <w:t xml:space="preserve">a notice or summons </w:t>
      </w:r>
      <w:r>
        <w:t>may be served on a named person, whether an individual or a corporation</w:t>
      </w:r>
      <w:r w:rsidR="00D04C1D">
        <w:t xml:space="preserve">, by handing the document to a legal practitioner. The circumstances are that the legal practitioner has the authority to accept service of the document on the named person’s behalf and accepts the service of the document on the named person’s behalf. </w:t>
      </w:r>
    </w:p>
    <w:p w14:paraId="5DDB98B0" w14:textId="2C2D96F6" w:rsidR="00F13719" w:rsidRDefault="00F13719" w:rsidP="001F4616">
      <w:r>
        <w:t xml:space="preserve">Subregulation 6(5) provides the circumstances in which </w:t>
      </w:r>
      <w:r w:rsidR="000A7FBE">
        <w:t xml:space="preserve">a notice or summons </w:t>
      </w:r>
      <w:r>
        <w:t xml:space="preserve">may be served on a named person, whether an individual or a corporation, in a particular way. The circumstances are if the named person has, </w:t>
      </w:r>
      <w:r w:rsidR="000A7FBE">
        <w:t>prior to the preparation of the notice or summons</w:t>
      </w:r>
      <w:r>
        <w:t xml:space="preserve">, agreed in writing to accept service for the purposes of the Commission in that particular way and the agreement is still in force. </w:t>
      </w:r>
    </w:p>
    <w:p w14:paraId="77CEEF7F" w14:textId="532C40C1" w:rsidR="00F13719" w:rsidRDefault="00F13719" w:rsidP="001F4616">
      <w:r>
        <w:t xml:space="preserve">Subregulation 6(6) provides the </w:t>
      </w:r>
      <w:r w:rsidR="00C67BF6">
        <w:t>method</w:t>
      </w:r>
      <w:r>
        <w:t xml:space="preserve"> in</w:t>
      </w:r>
      <w:r w:rsidR="00C67BF6">
        <w:t xml:space="preserve"> which </w:t>
      </w:r>
      <w:r w:rsidR="000A7FBE">
        <w:t>a notice</w:t>
      </w:r>
      <w:r w:rsidR="00C67BF6">
        <w:t xml:space="preserve"> </w:t>
      </w:r>
      <w:r w:rsidR="000A7FBE">
        <w:t xml:space="preserve">(but not a summons) </w:t>
      </w:r>
      <w:r w:rsidR="00C67BF6">
        <w:t xml:space="preserve">may be served on a named person if the Commission has previously served the named person with a notice for the purposes of subsection 2(3A) or (3C) of the Act in the ways set out in subregulations 6(2) to (5). The Commission may serve another notice on the </w:t>
      </w:r>
      <w:r w:rsidR="000A7FBE">
        <w:t xml:space="preserve">named </w:t>
      </w:r>
      <w:r w:rsidR="00C67BF6">
        <w:t xml:space="preserve">person by sending the notice by pre-paid post addressed to </w:t>
      </w:r>
      <w:r w:rsidR="000A7FBE">
        <w:t>them</w:t>
      </w:r>
      <w:r w:rsidR="00C67BF6">
        <w:t xml:space="preserve"> at an address provided by </w:t>
      </w:r>
      <w:r w:rsidR="000A7FBE">
        <w:t>them</w:t>
      </w:r>
      <w:r w:rsidR="00C67BF6">
        <w:t xml:space="preserve"> to the Commission, or </w:t>
      </w:r>
      <w:r w:rsidR="000A7FBE">
        <w:t xml:space="preserve">at </w:t>
      </w:r>
      <w:r w:rsidR="00C67BF6">
        <w:t>the named person’s residential or business address last known to the Commission.</w:t>
      </w:r>
    </w:p>
    <w:p w14:paraId="63BD1C34" w14:textId="262D6788" w:rsidR="00274465" w:rsidRDefault="00274465" w:rsidP="001F4616">
      <w:r>
        <w:t>Item 12 provides that regulation 6 applies to Royal Commissions established on or after the day this instrument commences</w:t>
      </w:r>
      <w:r w:rsidR="00E344A2">
        <w:t>, as well as the Royal Commission into A</w:t>
      </w:r>
      <w:r w:rsidR="00E344A2" w:rsidRPr="00E344A2">
        <w:t xml:space="preserve">ged </w:t>
      </w:r>
      <w:r w:rsidR="00E344A2">
        <w:t>C</w:t>
      </w:r>
      <w:r w:rsidR="00E344A2" w:rsidRPr="00E344A2">
        <w:t xml:space="preserve">are </w:t>
      </w:r>
      <w:r w:rsidR="00E344A2">
        <w:t>Q</w:t>
      </w:r>
      <w:r w:rsidR="00E344A2" w:rsidRPr="00E344A2">
        <w:t xml:space="preserve">uality and </w:t>
      </w:r>
      <w:r w:rsidR="00E344A2">
        <w:t>S</w:t>
      </w:r>
      <w:r w:rsidR="00E344A2" w:rsidRPr="00E344A2">
        <w:t>afety established by Letters Patent dated 8 October 2018</w:t>
      </w:r>
      <w:r>
        <w:t xml:space="preserve">. The previous regulation 6 will continue to apply to </w:t>
      </w:r>
      <w:r w:rsidR="00E344A2">
        <w:t xml:space="preserve">other </w:t>
      </w:r>
      <w:r>
        <w:t>Royal Commissions in existence on the day the instrument commences.</w:t>
      </w:r>
    </w:p>
    <w:p w14:paraId="55C77CE3" w14:textId="6ACFF20F" w:rsidR="006A1427" w:rsidRDefault="004E2B4A" w:rsidP="001F4616">
      <w:pPr>
        <w:rPr>
          <w:i/>
        </w:rPr>
      </w:pPr>
      <w:r>
        <w:rPr>
          <w:i/>
        </w:rPr>
        <w:t>Item 2</w:t>
      </w:r>
      <w:r w:rsidR="006A1427">
        <w:rPr>
          <w:i/>
        </w:rPr>
        <w:t xml:space="preserve"> – After regulation 9</w:t>
      </w:r>
    </w:p>
    <w:p w14:paraId="137E8D6E" w14:textId="58E06C03" w:rsidR="00230BA3" w:rsidRPr="001A3357" w:rsidRDefault="00B84729" w:rsidP="0058733A">
      <w:pPr>
        <w:rPr>
          <w:iCs/>
        </w:rPr>
      </w:pPr>
      <w:r>
        <w:rPr>
          <w:iCs/>
        </w:rPr>
        <w:t>Regulation 13</w:t>
      </w:r>
    </w:p>
    <w:p w14:paraId="519D13DD" w14:textId="0BA95460" w:rsidR="001B56F1" w:rsidRDefault="00F34F38" w:rsidP="001F4616">
      <w:r>
        <w:t>New r</w:t>
      </w:r>
      <w:r w:rsidR="00B84729">
        <w:t>egulation 13</w:t>
      </w:r>
      <w:r w:rsidR="00212FA0">
        <w:t xml:space="preserve"> provides transitional arrangements for the repeal and substitution of regulation 6 (Service of notices and summonses). It provides that that the repeal and substitution of regulation 6 by the Regulations applies only in relation to a Royal Commission established on or after the </w:t>
      </w:r>
      <w:r w:rsidR="00FF143D">
        <w:t>day that</w:t>
      </w:r>
      <w:r w:rsidR="002A215F">
        <w:t xml:space="preserve"> the Regulations commence</w:t>
      </w:r>
      <w:r w:rsidR="00E344A2">
        <w:t>,</w:t>
      </w:r>
      <w:r w:rsidR="00E344A2" w:rsidRPr="00E344A2">
        <w:t xml:space="preserve"> </w:t>
      </w:r>
      <w:r w:rsidR="00E344A2">
        <w:t>as well as the Royal Commission into A</w:t>
      </w:r>
      <w:r w:rsidR="00E344A2" w:rsidRPr="00E344A2">
        <w:t xml:space="preserve">ged </w:t>
      </w:r>
      <w:r w:rsidR="00E344A2">
        <w:t>C</w:t>
      </w:r>
      <w:r w:rsidR="00E344A2" w:rsidRPr="00E344A2">
        <w:t xml:space="preserve">are </w:t>
      </w:r>
      <w:r w:rsidR="00E344A2">
        <w:t>Q</w:t>
      </w:r>
      <w:r w:rsidR="00E344A2" w:rsidRPr="00E344A2">
        <w:t xml:space="preserve">uality and </w:t>
      </w:r>
      <w:r w:rsidR="00E344A2">
        <w:t>S</w:t>
      </w:r>
      <w:r w:rsidR="00E344A2" w:rsidRPr="00E344A2">
        <w:t>afety establ</w:t>
      </w:r>
      <w:r w:rsidR="00B84729">
        <w:t>ished by Letters Patent dated 8 </w:t>
      </w:r>
      <w:r w:rsidR="00E344A2" w:rsidRPr="00E344A2">
        <w:t>October 2018</w:t>
      </w:r>
      <w:r w:rsidR="00E344A2">
        <w:t>.</w:t>
      </w:r>
      <w:r>
        <w:t xml:space="preserve"> This means that the old regulation 6 will continue to apply to any </w:t>
      </w:r>
      <w:r w:rsidR="00E344A2">
        <w:t xml:space="preserve">other </w:t>
      </w:r>
      <w:r>
        <w:t>Royal Commission in existence on the day the Regulations commence</w:t>
      </w:r>
      <w:r w:rsidR="001B56F1">
        <w:t xml:space="preserve">. </w:t>
      </w:r>
    </w:p>
    <w:p w14:paraId="1560A412" w14:textId="4E942E18" w:rsidR="0058733A" w:rsidRDefault="001B56F1" w:rsidP="001F4616">
      <w:r>
        <w:t xml:space="preserve">In particular, the old regulation 6 will apply to the </w:t>
      </w:r>
      <w:r>
        <w:rPr>
          <w:lang w:val="en"/>
        </w:rPr>
        <w:t xml:space="preserve">Royal Commission into Misconduct in the Banking, Superannuation and Financial Services Industry (the Financial Services Royal Commission), established </w:t>
      </w:r>
      <w:r>
        <w:t>by Letters Patent dated 14 December 2017</w:t>
      </w:r>
      <w:r w:rsidR="00427EB5">
        <w:t>. This is appropriate as</w:t>
      </w:r>
      <w:r>
        <w:t xml:space="preserve"> the Financial Services Royal Commission is currently in progress and </w:t>
      </w:r>
      <w:r w:rsidR="00427EB5">
        <w:t xml:space="preserve">due to submit </w:t>
      </w:r>
      <w:r>
        <w:t>its Final Report soon</w:t>
      </w:r>
      <w:r w:rsidR="00EB2C82">
        <w:t xml:space="preserve"> after commencement of the</w:t>
      </w:r>
      <w:r w:rsidR="00427EB5">
        <w:t xml:space="preserve"> </w:t>
      </w:r>
      <w:r w:rsidR="00EB2C82">
        <w:t>Regulations</w:t>
      </w:r>
      <w:r>
        <w:t xml:space="preserve">. </w:t>
      </w:r>
    </w:p>
    <w:p w14:paraId="429A29D7" w14:textId="1B3E57AC" w:rsidR="00E344A2" w:rsidRPr="002A215F" w:rsidRDefault="00E344A2" w:rsidP="001F4616"/>
    <w:sectPr w:rsidR="00E344A2" w:rsidRPr="002A215F" w:rsidSect="001F4616">
      <w:pgSz w:w="11906" w:h="16838"/>
      <w:pgMar w:top="1135"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Helvetica Neue">
    <w:altName w:val="Times New Roman"/>
    <w:panose1 w:val="00000000000000000000"/>
    <w:charset w:val="00"/>
    <w:family w:val="roman"/>
    <w:notTrueType/>
    <w:pitch w:val="default"/>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DengXian">
    <w:altName w:val="等线"/>
    <w:panose1 w:val="0201060003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725E7"/>
    <w:multiLevelType w:val="hybridMultilevel"/>
    <w:tmpl w:val="6EF8A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F87BD0"/>
    <w:multiLevelType w:val="hybridMultilevel"/>
    <w:tmpl w:val="730618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907922"/>
    <w:multiLevelType w:val="hybridMultilevel"/>
    <w:tmpl w:val="D81894B0"/>
    <w:lvl w:ilvl="0" w:tplc="E5E052EE">
      <w:numFmt w:val="bullet"/>
      <w:lvlText w:val="-"/>
      <w:lvlJc w:val="left"/>
      <w:pPr>
        <w:ind w:left="720" w:hanging="360"/>
      </w:pPr>
      <w:rPr>
        <w:rFonts w:ascii="Times New Roman" w:eastAsia="Times New Roman" w:hAnsi="Times New Roman" w:cs="Times New Roman"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C9C1ECC"/>
    <w:multiLevelType w:val="hybridMultilevel"/>
    <w:tmpl w:val="710EC9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DCD162F"/>
    <w:multiLevelType w:val="hybridMultilevel"/>
    <w:tmpl w:val="7146F0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C73742D"/>
    <w:multiLevelType w:val="hybridMultilevel"/>
    <w:tmpl w:val="7E7CFC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DB10E8D"/>
    <w:multiLevelType w:val="hybridMultilevel"/>
    <w:tmpl w:val="E7D8F6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71A1D3D"/>
    <w:multiLevelType w:val="hybridMultilevel"/>
    <w:tmpl w:val="AFC81E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C3F7A53"/>
    <w:multiLevelType w:val="hybridMultilevel"/>
    <w:tmpl w:val="1F06AA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1814471"/>
    <w:multiLevelType w:val="hybridMultilevel"/>
    <w:tmpl w:val="4906D3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
  </w:num>
  <w:num w:numId="4">
    <w:abstractNumId w:val="1"/>
  </w:num>
  <w:num w:numId="5">
    <w:abstractNumId w:val="0"/>
  </w:num>
  <w:num w:numId="6">
    <w:abstractNumId w:val="6"/>
  </w:num>
  <w:num w:numId="7">
    <w:abstractNumId w:val="5"/>
  </w:num>
  <w:num w:numId="8">
    <w:abstractNumId w:val="4"/>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1AB"/>
    <w:rsid w:val="0001268E"/>
    <w:rsid w:val="000468DC"/>
    <w:rsid w:val="00065870"/>
    <w:rsid w:val="00071CEE"/>
    <w:rsid w:val="00074692"/>
    <w:rsid w:val="00081000"/>
    <w:rsid w:val="0009525C"/>
    <w:rsid w:val="000A6CD4"/>
    <w:rsid w:val="000A7FBE"/>
    <w:rsid w:val="000E2344"/>
    <w:rsid w:val="000F497E"/>
    <w:rsid w:val="00107AB1"/>
    <w:rsid w:val="0011231E"/>
    <w:rsid w:val="00117958"/>
    <w:rsid w:val="00135BE4"/>
    <w:rsid w:val="00161E48"/>
    <w:rsid w:val="001647A9"/>
    <w:rsid w:val="00166D64"/>
    <w:rsid w:val="001674D6"/>
    <w:rsid w:val="00181758"/>
    <w:rsid w:val="00196D62"/>
    <w:rsid w:val="001A3357"/>
    <w:rsid w:val="001B3860"/>
    <w:rsid w:val="001B56F1"/>
    <w:rsid w:val="001E0A18"/>
    <w:rsid w:val="001E5E70"/>
    <w:rsid w:val="001F4616"/>
    <w:rsid w:val="001F4B59"/>
    <w:rsid w:val="00201DFB"/>
    <w:rsid w:val="00212FA0"/>
    <w:rsid w:val="00216A9F"/>
    <w:rsid w:val="00227D46"/>
    <w:rsid w:val="00230BA3"/>
    <w:rsid w:val="00274465"/>
    <w:rsid w:val="0029161A"/>
    <w:rsid w:val="002A215F"/>
    <w:rsid w:val="002A6A47"/>
    <w:rsid w:val="002C0DB5"/>
    <w:rsid w:val="002D3EE0"/>
    <w:rsid w:val="002E12A7"/>
    <w:rsid w:val="002F19E8"/>
    <w:rsid w:val="002F2794"/>
    <w:rsid w:val="003166A0"/>
    <w:rsid w:val="00332D84"/>
    <w:rsid w:val="0035701C"/>
    <w:rsid w:val="00372163"/>
    <w:rsid w:val="003B1552"/>
    <w:rsid w:val="003B1986"/>
    <w:rsid w:val="003C69FE"/>
    <w:rsid w:val="003D08E1"/>
    <w:rsid w:val="003F392F"/>
    <w:rsid w:val="00400191"/>
    <w:rsid w:val="00405D4A"/>
    <w:rsid w:val="004065C1"/>
    <w:rsid w:val="00427EB5"/>
    <w:rsid w:val="00431D42"/>
    <w:rsid w:val="0044093E"/>
    <w:rsid w:val="00441213"/>
    <w:rsid w:val="0045056F"/>
    <w:rsid w:val="00453F0B"/>
    <w:rsid w:val="004A1AFA"/>
    <w:rsid w:val="004A4B37"/>
    <w:rsid w:val="004A7CC7"/>
    <w:rsid w:val="004B1948"/>
    <w:rsid w:val="004E2B4A"/>
    <w:rsid w:val="004F0D04"/>
    <w:rsid w:val="00505BB4"/>
    <w:rsid w:val="0058733A"/>
    <w:rsid w:val="0058762D"/>
    <w:rsid w:val="00592C74"/>
    <w:rsid w:val="005A526B"/>
    <w:rsid w:val="005B2A29"/>
    <w:rsid w:val="005D0A24"/>
    <w:rsid w:val="005D0CDC"/>
    <w:rsid w:val="005F432F"/>
    <w:rsid w:val="00632D39"/>
    <w:rsid w:val="00652F0D"/>
    <w:rsid w:val="00662F09"/>
    <w:rsid w:val="00682BBD"/>
    <w:rsid w:val="006A1427"/>
    <w:rsid w:val="006A61A3"/>
    <w:rsid w:val="006B0EFD"/>
    <w:rsid w:val="006B16E2"/>
    <w:rsid w:val="006C2ADF"/>
    <w:rsid w:val="006C567B"/>
    <w:rsid w:val="006E4655"/>
    <w:rsid w:val="006F7869"/>
    <w:rsid w:val="007006CF"/>
    <w:rsid w:val="007461AB"/>
    <w:rsid w:val="00752716"/>
    <w:rsid w:val="00762A64"/>
    <w:rsid w:val="00776AC9"/>
    <w:rsid w:val="007803DE"/>
    <w:rsid w:val="00797410"/>
    <w:rsid w:val="007A176E"/>
    <w:rsid w:val="007B09C1"/>
    <w:rsid w:val="007B4695"/>
    <w:rsid w:val="007E5514"/>
    <w:rsid w:val="00802DA9"/>
    <w:rsid w:val="00817447"/>
    <w:rsid w:val="008250FE"/>
    <w:rsid w:val="008652F0"/>
    <w:rsid w:val="008C06D2"/>
    <w:rsid w:val="008C5666"/>
    <w:rsid w:val="008F3277"/>
    <w:rsid w:val="00910051"/>
    <w:rsid w:val="0091692B"/>
    <w:rsid w:val="00917D81"/>
    <w:rsid w:val="0092240B"/>
    <w:rsid w:val="00925D05"/>
    <w:rsid w:val="00937D3F"/>
    <w:rsid w:val="00943BF6"/>
    <w:rsid w:val="00972AF9"/>
    <w:rsid w:val="00982488"/>
    <w:rsid w:val="009863C6"/>
    <w:rsid w:val="00997051"/>
    <w:rsid w:val="009B5119"/>
    <w:rsid w:val="009D409E"/>
    <w:rsid w:val="009D7F63"/>
    <w:rsid w:val="009F7309"/>
    <w:rsid w:val="00A629F3"/>
    <w:rsid w:val="00A82451"/>
    <w:rsid w:val="00AA0314"/>
    <w:rsid w:val="00AA581A"/>
    <w:rsid w:val="00AB0C91"/>
    <w:rsid w:val="00AE050F"/>
    <w:rsid w:val="00AF6338"/>
    <w:rsid w:val="00B2096E"/>
    <w:rsid w:val="00B304A9"/>
    <w:rsid w:val="00B7400E"/>
    <w:rsid w:val="00B84729"/>
    <w:rsid w:val="00BB26E0"/>
    <w:rsid w:val="00BC521A"/>
    <w:rsid w:val="00BD0FD0"/>
    <w:rsid w:val="00C04F3F"/>
    <w:rsid w:val="00C430D6"/>
    <w:rsid w:val="00C50625"/>
    <w:rsid w:val="00C56B02"/>
    <w:rsid w:val="00C67BF6"/>
    <w:rsid w:val="00C7313E"/>
    <w:rsid w:val="00CA1A6B"/>
    <w:rsid w:val="00CA3F51"/>
    <w:rsid w:val="00CB11EA"/>
    <w:rsid w:val="00CB7324"/>
    <w:rsid w:val="00CB77F2"/>
    <w:rsid w:val="00CC083D"/>
    <w:rsid w:val="00CE2231"/>
    <w:rsid w:val="00CE70EF"/>
    <w:rsid w:val="00D04C1D"/>
    <w:rsid w:val="00D105EE"/>
    <w:rsid w:val="00D14B95"/>
    <w:rsid w:val="00D17AC8"/>
    <w:rsid w:val="00D47152"/>
    <w:rsid w:val="00D55001"/>
    <w:rsid w:val="00D84B73"/>
    <w:rsid w:val="00DA35A9"/>
    <w:rsid w:val="00DB1B39"/>
    <w:rsid w:val="00DD647E"/>
    <w:rsid w:val="00DF30A0"/>
    <w:rsid w:val="00E20165"/>
    <w:rsid w:val="00E21687"/>
    <w:rsid w:val="00E22E8C"/>
    <w:rsid w:val="00E344A2"/>
    <w:rsid w:val="00E40A44"/>
    <w:rsid w:val="00E4116E"/>
    <w:rsid w:val="00E52808"/>
    <w:rsid w:val="00E53FE4"/>
    <w:rsid w:val="00E66A40"/>
    <w:rsid w:val="00E85460"/>
    <w:rsid w:val="00E924C1"/>
    <w:rsid w:val="00EB2C82"/>
    <w:rsid w:val="00EB72E6"/>
    <w:rsid w:val="00EE578E"/>
    <w:rsid w:val="00F13719"/>
    <w:rsid w:val="00F277AE"/>
    <w:rsid w:val="00F34F38"/>
    <w:rsid w:val="00F76990"/>
    <w:rsid w:val="00FF143D"/>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9EB6B"/>
  <w15:chartTrackingRefBased/>
  <w15:docId w15:val="{B67B7B59-1971-4654-9C30-32C16884E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4616"/>
    <w:pPr>
      <w:spacing w:before="240" w:after="0" w:line="240" w:lineRule="auto"/>
    </w:pPr>
    <w:rPr>
      <w:rFonts w:ascii="Times New Roman" w:eastAsia="Times New Roman" w:hAnsi="Times New Roman" w:cs="Times New Roman"/>
      <w:sz w:val="24"/>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23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594568">
      <w:bodyDiv w:val="1"/>
      <w:marLeft w:val="0"/>
      <w:marRight w:val="0"/>
      <w:marTop w:val="0"/>
      <w:marBottom w:val="0"/>
      <w:divBdr>
        <w:top w:val="none" w:sz="0" w:space="0" w:color="auto"/>
        <w:left w:val="none" w:sz="0" w:space="0" w:color="auto"/>
        <w:bottom w:val="none" w:sz="0" w:space="0" w:color="auto"/>
        <w:right w:val="none" w:sz="0" w:space="0" w:color="auto"/>
      </w:divBdr>
      <w:divsChild>
        <w:div w:id="1640840982">
          <w:marLeft w:val="0"/>
          <w:marRight w:val="0"/>
          <w:marTop w:val="0"/>
          <w:marBottom w:val="0"/>
          <w:divBdr>
            <w:top w:val="none" w:sz="0" w:space="0" w:color="auto"/>
            <w:left w:val="none" w:sz="0" w:space="0" w:color="auto"/>
            <w:bottom w:val="none" w:sz="0" w:space="0" w:color="auto"/>
            <w:right w:val="none" w:sz="0" w:space="0" w:color="auto"/>
          </w:divBdr>
          <w:divsChild>
            <w:div w:id="1338002984">
              <w:marLeft w:val="0"/>
              <w:marRight w:val="0"/>
              <w:marTop w:val="0"/>
              <w:marBottom w:val="0"/>
              <w:divBdr>
                <w:top w:val="none" w:sz="0" w:space="0" w:color="auto"/>
                <w:left w:val="none" w:sz="0" w:space="0" w:color="auto"/>
                <w:bottom w:val="none" w:sz="0" w:space="0" w:color="auto"/>
                <w:right w:val="none" w:sz="0" w:space="0" w:color="auto"/>
              </w:divBdr>
              <w:divsChild>
                <w:div w:id="67852773">
                  <w:marLeft w:val="0"/>
                  <w:marRight w:val="0"/>
                  <w:marTop w:val="0"/>
                  <w:marBottom w:val="0"/>
                  <w:divBdr>
                    <w:top w:val="none" w:sz="0" w:space="0" w:color="auto"/>
                    <w:left w:val="none" w:sz="0" w:space="0" w:color="auto"/>
                    <w:bottom w:val="none" w:sz="0" w:space="0" w:color="auto"/>
                    <w:right w:val="none" w:sz="0" w:space="0" w:color="auto"/>
                  </w:divBdr>
                  <w:divsChild>
                    <w:div w:id="1760639240">
                      <w:marLeft w:val="0"/>
                      <w:marRight w:val="0"/>
                      <w:marTop w:val="0"/>
                      <w:marBottom w:val="0"/>
                      <w:divBdr>
                        <w:top w:val="none" w:sz="0" w:space="0" w:color="auto"/>
                        <w:left w:val="none" w:sz="0" w:space="0" w:color="auto"/>
                        <w:bottom w:val="none" w:sz="0" w:space="0" w:color="auto"/>
                        <w:right w:val="none" w:sz="0" w:space="0" w:color="auto"/>
                      </w:divBdr>
                      <w:divsChild>
                        <w:div w:id="1832602288">
                          <w:marLeft w:val="0"/>
                          <w:marRight w:val="0"/>
                          <w:marTop w:val="0"/>
                          <w:marBottom w:val="0"/>
                          <w:divBdr>
                            <w:top w:val="none" w:sz="0" w:space="0" w:color="auto"/>
                            <w:left w:val="none" w:sz="0" w:space="0" w:color="auto"/>
                            <w:bottom w:val="none" w:sz="0" w:space="0" w:color="auto"/>
                            <w:right w:val="none" w:sz="0" w:space="0" w:color="auto"/>
                          </w:divBdr>
                          <w:divsChild>
                            <w:div w:id="311570565">
                              <w:marLeft w:val="0"/>
                              <w:marRight w:val="0"/>
                              <w:marTop w:val="0"/>
                              <w:marBottom w:val="0"/>
                              <w:divBdr>
                                <w:top w:val="none" w:sz="0" w:space="0" w:color="auto"/>
                                <w:left w:val="none" w:sz="0" w:space="0" w:color="auto"/>
                                <w:bottom w:val="none" w:sz="0" w:space="0" w:color="auto"/>
                                <w:right w:val="none" w:sz="0" w:space="0" w:color="auto"/>
                              </w:divBdr>
                              <w:divsChild>
                                <w:div w:id="1477720315">
                                  <w:marLeft w:val="0"/>
                                  <w:marRight w:val="0"/>
                                  <w:marTop w:val="0"/>
                                  <w:marBottom w:val="0"/>
                                  <w:divBdr>
                                    <w:top w:val="none" w:sz="0" w:space="0" w:color="auto"/>
                                    <w:left w:val="none" w:sz="0" w:space="0" w:color="auto"/>
                                    <w:bottom w:val="none" w:sz="0" w:space="0" w:color="auto"/>
                                    <w:right w:val="none" w:sz="0" w:space="0" w:color="auto"/>
                                  </w:divBdr>
                                  <w:divsChild>
                                    <w:div w:id="1751346693">
                                      <w:marLeft w:val="0"/>
                                      <w:marRight w:val="0"/>
                                      <w:marTop w:val="0"/>
                                      <w:marBottom w:val="0"/>
                                      <w:divBdr>
                                        <w:top w:val="none" w:sz="0" w:space="0" w:color="auto"/>
                                        <w:left w:val="none" w:sz="0" w:space="0" w:color="auto"/>
                                        <w:bottom w:val="none" w:sz="0" w:space="0" w:color="auto"/>
                                        <w:right w:val="none" w:sz="0" w:space="0" w:color="auto"/>
                                      </w:divBdr>
                                      <w:divsChild>
                                        <w:div w:id="155418312">
                                          <w:marLeft w:val="0"/>
                                          <w:marRight w:val="0"/>
                                          <w:marTop w:val="0"/>
                                          <w:marBottom w:val="0"/>
                                          <w:divBdr>
                                            <w:top w:val="none" w:sz="0" w:space="0" w:color="auto"/>
                                            <w:left w:val="none" w:sz="0" w:space="0" w:color="auto"/>
                                            <w:bottom w:val="none" w:sz="0" w:space="0" w:color="auto"/>
                                            <w:right w:val="none" w:sz="0" w:space="0" w:color="auto"/>
                                          </w:divBdr>
                                          <w:divsChild>
                                            <w:div w:id="625893156">
                                              <w:marLeft w:val="0"/>
                                              <w:marRight w:val="0"/>
                                              <w:marTop w:val="0"/>
                                              <w:marBottom w:val="0"/>
                                              <w:divBdr>
                                                <w:top w:val="none" w:sz="0" w:space="0" w:color="auto"/>
                                                <w:left w:val="none" w:sz="0" w:space="0" w:color="auto"/>
                                                <w:bottom w:val="none" w:sz="0" w:space="0" w:color="auto"/>
                                                <w:right w:val="none" w:sz="0" w:space="0" w:color="auto"/>
                                              </w:divBdr>
                                              <w:divsChild>
                                                <w:div w:id="1297099933">
                                                  <w:marLeft w:val="0"/>
                                                  <w:marRight w:val="0"/>
                                                  <w:marTop w:val="0"/>
                                                  <w:marBottom w:val="0"/>
                                                  <w:divBdr>
                                                    <w:top w:val="none" w:sz="0" w:space="0" w:color="auto"/>
                                                    <w:left w:val="none" w:sz="0" w:space="0" w:color="auto"/>
                                                    <w:bottom w:val="none" w:sz="0" w:space="0" w:color="auto"/>
                                                    <w:right w:val="none" w:sz="0" w:space="0" w:color="auto"/>
                                                  </w:divBdr>
                                                  <w:divsChild>
                                                    <w:div w:id="849684905">
                                                      <w:marLeft w:val="0"/>
                                                      <w:marRight w:val="0"/>
                                                      <w:marTop w:val="0"/>
                                                      <w:marBottom w:val="0"/>
                                                      <w:divBdr>
                                                        <w:top w:val="none" w:sz="0" w:space="0" w:color="auto"/>
                                                        <w:left w:val="none" w:sz="0" w:space="0" w:color="auto"/>
                                                        <w:bottom w:val="none" w:sz="0" w:space="0" w:color="auto"/>
                                                        <w:right w:val="none" w:sz="0" w:space="0" w:color="auto"/>
                                                      </w:divBdr>
                                                      <w:divsChild>
                                                        <w:div w:id="86907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28594325">
      <w:bodyDiv w:val="1"/>
      <w:marLeft w:val="0"/>
      <w:marRight w:val="0"/>
      <w:marTop w:val="0"/>
      <w:marBottom w:val="0"/>
      <w:divBdr>
        <w:top w:val="none" w:sz="0" w:space="0" w:color="auto"/>
        <w:left w:val="none" w:sz="0" w:space="0" w:color="auto"/>
        <w:bottom w:val="none" w:sz="0" w:space="0" w:color="auto"/>
        <w:right w:val="none" w:sz="0" w:space="0" w:color="auto"/>
      </w:divBdr>
      <w:divsChild>
        <w:div w:id="939871617">
          <w:marLeft w:val="0"/>
          <w:marRight w:val="0"/>
          <w:marTop w:val="0"/>
          <w:marBottom w:val="0"/>
          <w:divBdr>
            <w:top w:val="none" w:sz="0" w:space="0" w:color="auto"/>
            <w:left w:val="none" w:sz="0" w:space="0" w:color="auto"/>
            <w:bottom w:val="none" w:sz="0" w:space="0" w:color="auto"/>
            <w:right w:val="none" w:sz="0" w:space="0" w:color="auto"/>
          </w:divBdr>
          <w:divsChild>
            <w:div w:id="1487238170">
              <w:marLeft w:val="0"/>
              <w:marRight w:val="0"/>
              <w:marTop w:val="0"/>
              <w:marBottom w:val="0"/>
              <w:divBdr>
                <w:top w:val="none" w:sz="0" w:space="0" w:color="auto"/>
                <w:left w:val="none" w:sz="0" w:space="0" w:color="auto"/>
                <w:bottom w:val="none" w:sz="0" w:space="0" w:color="auto"/>
                <w:right w:val="none" w:sz="0" w:space="0" w:color="auto"/>
              </w:divBdr>
              <w:divsChild>
                <w:div w:id="1989087515">
                  <w:marLeft w:val="0"/>
                  <w:marRight w:val="0"/>
                  <w:marTop w:val="0"/>
                  <w:marBottom w:val="0"/>
                  <w:divBdr>
                    <w:top w:val="none" w:sz="0" w:space="0" w:color="auto"/>
                    <w:left w:val="none" w:sz="0" w:space="0" w:color="auto"/>
                    <w:bottom w:val="none" w:sz="0" w:space="0" w:color="auto"/>
                    <w:right w:val="none" w:sz="0" w:space="0" w:color="auto"/>
                  </w:divBdr>
                  <w:divsChild>
                    <w:div w:id="1834183087">
                      <w:marLeft w:val="0"/>
                      <w:marRight w:val="0"/>
                      <w:marTop w:val="0"/>
                      <w:marBottom w:val="0"/>
                      <w:divBdr>
                        <w:top w:val="none" w:sz="0" w:space="0" w:color="auto"/>
                        <w:left w:val="none" w:sz="0" w:space="0" w:color="auto"/>
                        <w:bottom w:val="none" w:sz="0" w:space="0" w:color="auto"/>
                        <w:right w:val="none" w:sz="0" w:space="0" w:color="auto"/>
                      </w:divBdr>
                      <w:divsChild>
                        <w:div w:id="1332026476">
                          <w:marLeft w:val="0"/>
                          <w:marRight w:val="0"/>
                          <w:marTop w:val="0"/>
                          <w:marBottom w:val="0"/>
                          <w:divBdr>
                            <w:top w:val="none" w:sz="0" w:space="0" w:color="auto"/>
                            <w:left w:val="none" w:sz="0" w:space="0" w:color="auto"/>
                            <w:bottom w:val="none" w:sz="0" w:space="0" w:color="auto"/>
                            <w:right w:val="none" w:sz="0" w:space="0" w:color="auto"/>
                          </w:divBdr>
                          <w:divsChild>
                            <w:div w:id="1578132846">
                              <w:marLeft w:val="0"/>
                              <w:marRight w:val="0"/>
                              <w:marTop w:val="0"/>
                              <w:marBottom w:val="0"/>
                              <w:divBdr>
                                <w:top w:val="none" w:sz="0" w:space="0" w:color="auto"/>
                                <w:left w:val="none" w:sz="0" w:space="0" w:color="auto"/>
                                <w:bottom w:val="none" w:sz="0" w:space="0" w:color="auto"/>
                                <w:right w:val="none" w:sz="0" w:space="0" w:color="auto"/>
                              </w:divBdr>
                              <w:divsChild>
                                <w:div w:id="350306387">
                                  <w:marLeft w:val="0"/>
                                  <w:marRight w:val="0"/>
                                  <w:marTop w:val="0"/>
                                  <w:marBottom w:val="0"/>
                                  <w:divBdr>
                                    <w:top w:val="none" w:sz="0" w:space="0" w:color="auto"/>
                                    <w:left w:val="none" w:sz="0" w:space="0" w:color="auto"/>
                                    <w:bottom w:val="none" w:sz="0" w:space="0" w:color="auto"/>
                                    <w:right w:val="none" w:sz="0" w:space="0" w:color="auto"/>
                                  </w:divBdr>
                                  <w:divsChild>
                                    <w:div w:id="2006131705">
                                      <w:marLeft w:val="0"/>
                                      <w:marRight w:val="0"/>
                                      <w:marTop w:val="0"/>
                                      <w:marBottom w:val="0"/>
                                      <w:divBdr>
                                        <w:top w:val="none" w:sz="0" w:space="0" w:color="auto"/>
                                        <w:left w:val="none" w:sz="0" w:space="0" w:color="auto"/>
                                        <w:bottom w:val="none" w:sz="0" w:space="0" w:color="auto"/>
                                        <w:right w:val="none" w:sz="0" w:space="0" w:color="auto"/>
                                      </w:divBdr>
                                      <w:divsChild>
                                        <w:div w:id="194852914">
                                          <w:marLeft w:val="0"/>
                                          <w:marRight w:val="0"/>
                                          <w:marTop w:val="0"/>
                                          <w:marBottom w:val="0"/>
                                          <w:divBdr>
                                            <w:top w:val="none" w:sz="0" w:space="0" w:color="auto"/>
                                            <w:left w:val="none" w:sz="0" w:space="0" w:color="auto"/>
                                            <w:bottom w:val="none" w:sz="0" w:space="0" w:color="auto"/>
                                            <w:right w:val="none" w:sz="0" w:space="0" w:color="auto"/>
                                          </w:divBdr>
                                          <w:divsChild>
                                            <w:div w:id="234635589">
                                              <w:marLeft w:val="0"/>
                                              <w:marRight w:val="0"/>
                                              <w:marTop w:val="0"/>
                                              <w:marBottom w:val="0"/>
                                              <w:divBdr>
                                                <w:top w:val="none" w:sz="0" w:space="0" w:color="auto"/>
                                                <w:left w:val="none" w:sz="0" w:space="0" w:color="auto"/>
                                                <w:bottom w:val="none" w:sz="0" w:space="0" w:color="auto"/>
                                                <w:right w:val="none" w:sz="0" w:space="0" w:color="auto"/>
                                              </w:divBdr>
                                              <w:divsChild>
                                                <w:div w:id="1412577721">
                                                  <w:marLeft w:val="0"/>
                                                  <w:marRight w:val="0"/>
                                                  <w:marTop w:val="0"/>
                                                  <w:marBottom w:val="0"/>
                                                  <w:divBdr>
                                                    <w:top w:val="none" w:sz="0" w:space="0" w:color="auto"/>
                                                    <w:left w:val="none" w:sz="0" w:space="0" w:color="auto"/>
                                                    <w:bottom w:val="none" w:sz="0" w:space="0" w:color="auto"/>
                                                    <w:right w:val="none" w:sz="0" w:space="0" w:color="auto"/>
                                                  </w:divBdr>
                                                  <w:divsChild>
                                                    <w:div w:id="836385852">
                                                      <w:marLeft w:val="0"/>
                                                      <w:marRight w:val="0"/>
                                                      <w:marTop w:val="0"/>
                                                      <w:marBottom w:val="0"/>
                                                      <w:divBdr>
                                                        <w:top w:val="none" w:sz="0" w:space="0" w:color="auto"/>
                                                        <w:left w:val="none" w:sz="0" w:space="0" w:color="auto"/>
                                                        <w:bottom w:val="none" w:sz="0" w:space="0" w:color="auto"/>
                                                        <w:right w:val="none" w:sz="0" w:space="0" w:color="auto"/>
                                                      </w:divBdr>
                                                      <w:divsChild>
                                                        <w:div w:id="15233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7C42A443F94A9640B8BB54E6BD2DBADD" ma:contentTypeVersion="" ma:contentTypeDescription="PDMS Document Site Content Type" ma:contentTypeScope="" ma:versionID="1bf2f7bfbc62a7593479e904c0f0f849">
  <xsd:schema xmlns:xsd="http://www.w3.org/2001/XMLSchema" xmlns:xs="http://www.w3.org/2001/XMLSchema" xmlns:p="http://schemas.microsoft.com/office/2006/metadata/properties" xmlns:ns2="222CB1A8-5E3A-4B25-9ADF-BA77C7DB8B80" targetNamespace="http://schemas.microsoft.com/office/2006/metadata/properties" ma:root="true" ma:fieldsID="cc2cdc3639905026a74b6cf98f5f3d03" ns2:_="">
    <xsd:import namespace="222CB1A8-5E3A-4B25-9ADF-BA77C7DB8B80"/>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2CB1A8-5E3A-4B25-9ADF-BA77C7DB8B80"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222CB1A8-5E3A-4B25-9ADF-BA77C7DB8B8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E998F-E683-405E-B1AF-E02234433360}">
  <ds:schemaRefs>
    <ds:schemaRef ds:uri="http://schemas.microsoft.com/sharepoint/v3/contenttype/forms"/>
  </ds:schemaRefs>
</ds:datastoreItem>
</file>

<file path=customXml/itemProps2.xml><?xml version="1.0" encoding="utf-8"?>
<ds:datastoreItem xmlns:ds="http://schemas.openxmlformats.org/officeDocument/2006/customXml" ds:itemID="{24CF0A33-C1EB-4C9C-A4B8-951EE1F3F9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2CB1A8-5E3A-4B25-9ADF-BA77C7DB8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B13DF2-D03F-49FF-BEAE-29530BB58061}">
  <ds:schemaRef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222CB1A8-5E3A-4B25-9ADF-BA77C7DB8B80"/>
    <ds:schemaRef ds:uri="http://www.w3.org/XML/1998/namespace"/>
    <ds:schemaRef ds:uri="http://purl.org/dc/elements/1.1/"/>
  </ds:schemaRefs>
</ds:datastoreItem>
</file>

<file path=customXml/itemProps4.xml><?xml version="1.0" encoding="utf-8"?>
<ds:datastoreItem xmlns:ds="http://schemas.openxmlformats.org/officeDocument/2006/customXml" ds:itemID="{C5924C21-AE94-455C-B12A-15F279F14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4C9E7E12.dotm</Template>
  <TotalTime>1</TotalTime>
  <Pages>7</Pages>
  <Words>2225</Words>
  <Characters>12688</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Department of the Prime Minister and Cabinet</Company>
  <LinksUpToDate>false</LinksUpToDate>
  <CharactersWithSpaces>14884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Tjandra, Jonathan</dc:creator>
  <cp:keywords/>
  <dc:description/>
  <cp:lastModifiedBy>Fomiatti, Luke</cp:lastModifiedBy>
  <cp:revision>2</cp:revision>
  <dcterms:created xsi:type="dcterms:W3CDTF">2018-12-07T00:52:00Z</dcterms:created>
  <dcterms:modified xsi:type="dcterms:W3CDTF">2018-12-07T00:52:00Z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0x010100266966F133664895A6EE3632470D45F5007C42A443F94A9640B8BB54E6BD2DBADD</vt:lpwstr>
  </property>
  <property fmtid="{D5CDD505-2E9C-101B-9397-08002B2CF9AE}" pid="3" name="HPRMSecurityLevel">
    <vt:lpwstr>1</vt:lpwstr>
  </property>
  <property fmtid="{D5CDD505-2E9C-101B-9397-08002B2CF9AE}" pid="4" name="HPRMSecurityCaveat">
    <vt:lpwstr/>
  </property>
  <property fmtid="{D5CDD505-2E9C-101B-9397-08002B2CF9AE}" pid="5" name="ESearchTags">
    <vt:lpwstr>11;#Royal Commission|1b5ec731-3e16-44b1-86f4-0c46c4cdd7b2</vt:lpwstr>
  </property>
  <property fmtid="{D5CDD505-2E9C-101B-9397-08002B2CF9AE}" pid="6" name="PMC.ESearch.TagGeneratedTime">
    <vt:lpwstr>2018-11-12T17:10:24</vt:lpwstr>
  </property>
</Properties>
</file>