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8C5F1C" w:rsidRDefault="00FA6784" w:rsidP="00FA6784">
      <w:pPr>
        <w:pStyle w:val="H3"/>
        <w:jc w:val="center"/>
        <w:rPr>
          <w:sz w:val="24"/>
          <w:szCs w:val="24"/>
        </w:rPr>
      </w:pPr>
      <w:r w:rsidRPr="008C5F1C">
        <w:rPr>
          <w:sz w:val="24"/>
          <w:szCs w:val="24"/>
        </w:rPr>
        <w:t>EXPLANATORY STATEMENT</w:t>
      </w:r>
    </w:p>
    <w:p w14:paraId="2412D120" w14:textId="77777777" w:rsidR="00FA6784" w:rsidRPr="008C5F1C" w:rsidRDefault="00FA6784" w:rsidP="00FA6784">
      <w:pPr>
        <w:jc w:val="center"/>
        <w:rPr>
          <w:sz w:val="22"/>
          <w:szCs w:val="22"/>
        </w:rPr>
      </w:pPr>
    </w:p>
    <w:p w14:paraId="2412D121" w14:textId="77777777" w:rsidR="00FA6784" w:rsidRPr="008C5F1C" w:rsidRDefault="00FA6784" w:rsidP="00FA6784">
      <w:pPr>
        <w:jc w:val="center"/>
      </w:pPr>
      <w:r w:rsidRPr="008C5F1C">
        <w:t>Issued by the Authority of the Minister for Health</w:t>
      </w:r>
    </w:p>
    <w:p w14:paraId="2412D122" w14:textId="77777777" w:rsidR="00FA6784" w:rsidRPr="008C5F1C" w:rsidRDefault="00FA6784" w:rsidP="00FA6784">
      <w:pPr>
        <w:jc w:val="center"/>
        <w:rPr>
          <w:i/>
          <w:iCs/>
          <w:sz w:val="20"/>
        </w:rPr>
      </w:pPr>
    </w:p>
    <w:p w14:paraId="2412D123" w14:textId="77777777" w:rsidR="00FA6784" w:rsidRPr="008C5F1C" w:rsidRDefault="00FA6784" w:rsidP="00FA6784">
      <w:pPr>
        <w:jc w:val="center"/>
        <w:rPr>
          <w:i/>
          <w:iCs/>
        </w:rPr>
      </w:pPr>
      <w:r w:rsidRPr="008C5F1C">
        <w:rPr>
          <w:i/>
          <w:iCs/>
        </w:rPr>
        <w:t>Health Insurance Act 1973</w:t>
      </w:r>
    </w:p>
    <w:p w14:paraId="2412D124" w14:textId="77777777" w:rsidR="00A1739A" w:rsidRPr="007A5FEC" w:rsidRDefault="00A1739A" w:rsidP="00A1739A">
      <w:pPr>
        <w:rPr>
          <w:szCs w:val="24"/>
          <w:highlight w:val="yellow"/>
          <w:u w:val="single"/>
        </w:rPr>
      </w:pPr>
    </w:p>
    <w:p w14:paraId="2412D125" w14:textId="49ED0AEA" w:rsidR="00FA6784" w:rsidRDefault="00E63ADA" w:rsidP="00512A65">
      <w:pPr>
        <w:ind w:right="-483"/>
        <w:jc w:val="center"/>
        <w:rPr>
          <w:i/>
          <w:szCs w:val="24"/>
        </w:rPr>
      </w:pPr>
      <w:r w:rsidRPr="00E63ADA">
        <w:rPr>
          <w:i/>
          <w:szCs w:val="24"/>
        </w:rPr>
        <w:t xml:space="preserve">Health Insurance (Section 3C </w:t>
      </w:r>
      <w:r w:rsidR="003C02D4" w:rsidRPr="00EE7672">
        <w:rPr>
          <w:i/>
          <w:iCs/>
        </w:rPr>
        <w:t>General Medical</w:t>
      </w:r>
      <w:r w:rsidR="003C02D4">
        <w:rPr>
          <w:i/>
          <w:iCs/>
        </w:rPr>
        <w:t xml:space="preserve"> </w:t>
      </w:r>
      <w:r w:rsidR="003C02D4" w:rsidRPr="00EE7672">
        <w:rPr>
          <w:i/>
          <w:iCs/>
        </w:rPr>
        <w:t>Services</w:t>
      </w:r>
      <w:r w:rsidR="009568CA">
        <w:rPr>
          <w:i/>
          <w:iCs/>
        </w:rPr>
        <w:t xml:space="preserve"> – </w:t>
      </w:r>
      <w:r w:rsidR="004417A2">
        <w:rPr>
          <w:i/>
          <w:szCs w:val="24"/>
        </w:rPr>
        <w:t>T</w:t>
      </w:r>
      <w:r w:rsidR="004C6AE7" w:rsidRPr="00833937">
        <w:rPr>
          <w:bCs/>
          <w:i/>
          <w:iCs/>
        </w:rPr>
        <w:t xml:space="preserve">ranscatheter </w:t>
      </w:r>
      <w:r w:rsidR="004417A2">
        <w:rPr>
          <w:bCs/>
          <w:i/>
          <w:iCs/>
        </w:rPr>
        <w:t>A</w:t>
      </w:r>
      <w:r w:rsidR="004C6AE7" w:rsidRPr="00833937">
        <w:rPr>
          <w:bCs/>
          <w:i/>
          <w:iCs/>
        </w:rPr>
        <w:t xml:space="preserve">ortic </w:t>
      </w:r>
      <w:r w:rsidR="004417A2">
        <w:rPr>
          <w:bCs/>
          <w:i/>
          <w:iCs/>
        </w:rPr>
        <w:t>V</w:t>
      </w:r>
      <w:r w:rsidR="004C6AE7" w:rsidRPr="00833937">
        <w:rPr>
          <w:bCs/>
          <w:i/>
          <w:iCs/>
        </w:rPr>
        <w:t xml:space="preserve">alve </w:t>
      </w:r>
      <w:r w:rsidR="004417A2">
        <w:rPr>
          <w:bCs/>
          <w:i/>
          <w:iCs/>
        </w:rPr>
        <w:t>I</w:t>
      </w:r>
      <w:r w:rsidR="004C6AE7" w:rsidRPr="00833937">
        <w:rPr>
          <w:bCs/>
          <w:i/>
          <w:iCs/>
        </w:rPr>
        <w:t>mplantation</w:t>
      </w:r>
      <w:r w:rsidRPr="00E63ADA">
        <w:rPr>
          <w:i/>
          <w:szCs w:val="24"/>
        </w:rPr>
        <w:t>) Determination 201</w:t>
      </w:r>
      <w:r w:rsidR="00155DA2">
        <w:rPr>
          <w:i/>
          <w:szCs w:val="24"/>
        </w:rPr>
        <w:t>8</w:t>
      </w:r>
    </w:p>
    <w:p w14:paraId="2412D126" w14:textId="77777777" w:rsidR="00512A65" w:rsidRPr="007A5FEC" w:rsidRDefault="00512A65" w:rsidP="00AC57A5">
      <w:pPr>
        <w:ind w:right="-483"/>
        <w:rPr>
          <w:szCs w:val="24"/>
          <w:highlight w:val="yellow"/>
        </w:rPr>
      </w:pPr>
    </w:p>
    <w:p w14:paraId="4BE661F0" w14:textId="38740BF1" w:rsidR="000F0241" w:rsidRPr="000F0241" w:rsidRDefault="000F0241" w:rsidP="000F0241">
      <w:pPr>
        <w:autoSpaceDE w:val="0"/>
        <w:autoSpaceDN w:val="0"/>
        <w:adjustRightInd w:val="0"/>
        <w:ind w:right="-483"/>
        <w:rPr>
          <w:color w:val="000000"/>
          <w:shd w:val="clear" w:color="auto" w:fill="FFFFFF"/>
          <w:lang w:val="en-US"/>
        </w:rPr>
      </w:pPr>
      <w:r w:rsidRPr="000F0241">
        <w:rPr>
          <w:color w:val="000000"/>
          <w:shd w:val="clear" w:color="auto" w:fill="FFFFFF"/>
        </w:rPr>
        <w:t xml:space="preserve">Subsection 3C(1) of the </w:t>
      </w:r>
      <w:r w:rsidRPr="000F0241">
        <w:rPr>
          <w:i/>
          <w:iCs/>
          <w:color w:val="000000"/>
          <w:shd w:val="clear" w:color="auto" w:fill="FFFFFF"/>
        </w:rPr>
        <w:t>Health Insurance Act 1973</w:t>
      </w:r>
      <w:r w:rsidRPr="000F0241">
        <w:rPr>
          <w:color w:val="000000"/>
          <w:shd w:val="clear" w:color="auto" w:fill="FFFFFF"/>
        </w:rPr>
        <w:t xml:space="preserve"> (the Act) provides that the Minister may, by legislative instrument, determine that a health service not specified in an item in the general medical services table shall, in specified circumstances and for specified statutory provisions, be treated as if it were specified in the general medical services table. The general medical services table is set out in the regulations made under subsection 4(1) of the Act. </w:t>
      </w:r>
    </w:p>
    <w:p w14:paraId="60481E82" w14:textId="77777777" w:rsidR="000F0241" w:rsidRPr="000F0241" w:rsidRDefault="000F0241" w:rsidP="000F0241">
      <w:pPr>
        <w:autoSpaceDE w:val="0"/>
        <w:autoSpaceDN w:val="0"/>
        <w:adjustRightInd w:val="0"/>
        <w:ind w:right="-483"/>
        <w:rPr>
          <w:color w:val="000000"/>
          <w:shd w:val="clear" w:color="auto" w:fill="FFFFFF"/>
          <w:lang w:val="en-US"/>
        </w:rPr>
      </w:pPr>
      <w:r w:rsidRPr="000F0241">
        <w:rPr>
          <w:color w:val="000000"/>
          <w:shd w:val="clear" w:color="auto" w:fill="FFFFFF"/>
        </w:rPr>
        <w:t> </w:t>
      </w:r>
    </w:p>
    <w:p w14:paraId="49C757C3" w14:textId="77777777" w:rsidR="000F0241" w:rsidRPr="000F0241" w:rsidRDefault="000F0241" w:rsidP="000F0241">
      <w:pPr>
        <w:autoSpaceDE w:val="0"/>
        <w:autoSpaceDN w:val="0"/>
        <w:adjustRightInd w:val="0"/>
        <w:ind w:right="-483"/>
        <w:rPr>
          <w:color w:val="000000"/>
          <w:shd w:val="clear" w:color="auto" w:fill="FFFFFF"/>
          <w:lang w:val="en-US"/>
        </w:rPr>
      </w:pPr>
      <w:r w:rsidRPr="000F0241">
        <w:rPr>
          <w:color w:val="000000"/>
          <w:shd w:val="clear" w:color="auto" w:fill="FFFFFF"/>
        </w:rPr>
        <w:t xml:space="preserve">In addition to the power to make this instrument under subsection 3C(1) of the Act, subsection 33(3) of the </w:t>
      </w:r>
      <w:r w:rsidRPr="000F0241">
        <w:rPr>
          <w:i/>
          <w:iCs/>
          <w:color w:val="000000"/>
          <w:shd w:val="clear" w:color="auto" w:fill="FFFFFF"/>
        </w:rPr>
        <w:t xml:space="preserve">Acts Interpretation Act 1901 </w:t>
      </w:r>
      <w:r w:rsidRPr="000F0241">
        <w:rPr>
          <w:color w:val="000000"/>
          <w:shd w:val="clear" w:color="auto" w:fill="FFFFFF"/>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77777777" w:rsidR="008C5F1C" w:rsidRPr="007A5FEC" w:rsidRDefault="008C5F1C" w:rsidP="00D33180">
      <w:pPr>
        <w:autoSpaceDE w:val="0"/>
        <w:autoSpaceDN w:val="0"/>
        <w:adjustRightInd w:val="0"/>
        <w:ind w:right="-483"/>
        <w:rPr>
          <w:szCs w:val="24"/>
          <w:highlight w:val="yellow"/>
        </w:rPr>
      </w:pPr>
    </w:p>
    <w:p w14:paraId="2412D12A" w14:textId="77777777" w:rsidR="00BB00BA" w:rsidRPr="00E92248" w:rsidRDefault="00A1739A" w:rsidP="00BB00BA">
      <w:pPr>
        <w:rPr>
          <w:b/>
          <w:szCs w:val="24"/>
          <w:lang w:val="en-US" w:eastAsia="en-US"/>
        </w:rPr>
      </w:pPr>
      <w:r w:rsidRPr="006F183E">
        <w:rPr>
          <w:b/>
          <w:szCs w:val="24"/>
          <w:lang w:val="en-US" w:eastAsia="en-US"/>
        </w:rPr>
        <w:t>Purpose</w:t>
      </w:r>
    </w:p>
    <w:p w14:paraId="56C1032A" w14:textId="4EEEB391" w:rsidR="00AD0786" w:rsidRPr="00AD0786" w:rsidRDefault="00AB7962" w:rsidP="00AD0786">
      <w:pPr>
        <w:ind w:right="-483"/>
        <w:rPr>
          <w:szCs w:val="24"/>
        </w:rPr>
      </w:pPr>
      <w:r>
        <w:rPr>
          <w:szCs w:val="24"/>
        </w:rPr>
        <w:t>Items</w:t>
      </w:r>
      <w:r w:rsidR="00AD0786" w:rsidRPr="00AD0786">
        <w:rPr>
          <w:szCs w:val="24"/>
        </w:rPr>
        <w:t xml:space="preserve"> 6080 and 6081 apply in relation to a </w:t>
      </w:r>
      <w:r w:rsidR="00B62A75" w:rsidRPr="00B62A75">
        <w:rPr>
          <w:szCs w:val="24"/>
        </w:rPr>
        <w:t xml:space="preserve">transcatheter aortic valve implantation </w:t>
      </w:r>
      <w:r w:rsidR="00B62A75">
        <w:rPr>
          <w:szCs w:val="24"/>
        </w:rPr>
        <w:t>(</w:t>
      </w:r>
      <w:r w:rsidR="00AD0786" w:rsidRPr="00AD0786">
        <w:rPr>
          <w:szCs w:val="24"/>
        </w:rPr>
        <w:t>TAVI</w:t>
      </w:r>
      <w:r w:rsidR="00B62A75">
        <w:rPr>
          <w:szCs w:val="24"/>
        </w:rPr>
        <w:t>)</w:t>
      </w:r>
      <w:r w:rsidR="00AD0786" w:rsidRPr="00AD0786">
        <w:rPr>
          <w:szCs w:val="24"/>
        </w:rPr>
        <w:t xml:space="preserve"> </w:t>
      </w:r>
      <w:r w:rsidR="009568CA">
        <w:rPr>
          <w:szCs w:val="24"/>
        </w:rPr>
        <w:t>c</w:t>
      </w:r>
      <w:r w:rsidR="00AD0786" w:rsidRPr="00AD0786">
        <w:rPr>
          <w:szCs w:val="24"/>
        </w:rPr>
        <w:t xml:space="preserve">ase </w:t>
      </w:r>
      <w:r w:rsidR="009568CA">
        <w:rPr>
          <w:szCs w:val="24"/>
        </w:rPr>
        <w:t>c</w:t>
      </w:r>
      <w:r w:rsidR="00AD0786" w:rsidRPr="00AD0786">
        <w:rPr>
          <w:szCs w:val="24"/>
        </w:rPr>
        <w:t>onference, which is a process undertaken by a number of medical practitioners to assess and make recommendations regarding a patient’s suitability to receive</w:t>
      </w:r>
      <w:r w:rsidR="00AD0786">
        <w:rPr>
          <w:szCs w:val="24"/>
        </w:rPr>
        <w:t xml:space="preserve"> a TAVI </w:t>
      </w:r>
      <w:r w:rsidR="00B62A75">
        <w:rPr>
          <w:szCs w:val="24"/>
        </w:rPr>
        <w:t xml:space="preserve">procedure </w:t>
      </w:r>
      <w:r w:rsidR="00AD0786" w:rsidRPr="00AD0786">
        <w:rPr>
          <w:szCs w:val="24"/>
        </w:rPr>
        <w:t>for the treatment of symptomatic severe aortic stenosis</w:t>
      </w:r>
      <w:r w:rsidR="009568CA">
        <w:rPr>
          <w:szCs w:val="24"/>
        </w:rPr>
        <w:t>. Patients determined as eligible will be able to subsequently access the procedure under item 38495.</w:t>
      </w:r>
    </w:p>
    <w:p w14:paraId="2C9B4D5C" w14:textId="77777777" w:rsidR="00AD0786" w:rsidRDefault="00AD0786" w:rsidP="00CB2251">
      <w:pPr>
        <w:ind w:right="-483"/>
        <w:rPr>
          <w:szCs w:val="24"/>
        </w:rPr>
      </w:pPr>
    </w:p>
    <w:p w14:paraId="7CC495FE" w14:textId="45466180" w:rsidR="00467516" w:rsidRDefault="00467516" w:rsidP="00467516">
      <w:pPr>
        <w:ind w:right="-483"/>
        <w:rPr>
          <w:szCs w:val="24"/>
        </w:rPr>
      </w:pPr>
      <w:r w:rsidRPr="00AB7962">
        <w:rPr>
          <w:szCs w:val="24"/>
        </w:rPr>
        <w:t xml:space="preserve">Items for TAVI and associated services were introduced on 1 November 2017 in the </w:t>
      </w:r>
      <w:r w:rsidRPr="00AB7962">
        <w:rPr>
          <w:i/>
          <w:szCs w:val="24"/>
        </w:rPr>
        <w:t xml:space="preserve">Health Insurance (Section 3C General Medical Services </w:t>
      </w:r>
      <w:r w:rsidR="009568CA">
        <w:rPr>
          <w:i/>
          <w:iCs/>
        </w:rPr>
        <w:t>–</w:t>
      </w:r>
      <w:r w:rsidRPr="00AB7962">
        <w:rPr>
          <w:i/>
          <w:szCs w:val="24"/>
        </w:rPr>
        <w:t xml:space="preserve"> Transcatheter Aortic Valve Implantation) Determination 2017</w:t>
      </w:r>
      <w:r w:rsidRPr="00AB7962">
        <w:rPr>
          <w:szCs w:val="24"/>
        </w:rPr>
        <w:t xml:space="preserve"> (2017 Determination).</w:t>
      </w:r>
      <w:r>
        <w:rPr>
          <w:szCs w:val="24"/>
        </w:rPr>
        <w:t xml:space="preserve"> T</w:t>
      </w:r>
      <w:r w:rsidRPr="00AD0786">
        <w:rPr>
          <w:szCs w:val="24"/>
        </w:rPr>
        <w:t xml:space="preserve">he </w:t>
      </w:r>
      <w:r w:rsidR="00B62A75" w:rsidRPr="00B62A75">
        <w:rPr>
          <w:i/>
          <w:szCs w:val="24"/>
        </w:rPr>
        <w:t xml:space="preserve">Health Insurance (Section 3C </w:t>
      </w:r>
      <w:r w:rsidR="00B62A75" w:rsidRPr="00B62A75">
        <w:rPr>
          <w:i/>
          <w:iCs/>
          <w:szCs w:val="24"/>
        </w:rPr>
        <w:t xml:space="preserve">General Medical Services </w:t>
      </w:r>
      <w:r w:rsidR="009568CA">
        <w:rPr>
          <w:i/>
          <w:iCs/>
        </w:rPr>
        <w:t>–</w:t>
      </w:r>
      <w:r w:rsidR="00B62A75" w:rsidRPr="00B62A75">
        <w:rPr>
          <w:i/>
          <w:szCs w:val="24"/>
        </w:rPr>
        <w:t xml:space="preserve"> T</w:t>
      </w:r>
      <w:r w:rsidR="00B62A75" w:rsidRPr="00B62A75">
        <w:rPr>
          <w:bCs/>
          <w:i/>
          <w:iCs/>
          <w:szCs w:val="24"/>
        </w:rPr>
        <w:t>ranscatheter Aortic Valve Implantation</w:t>
      </w:r>
      <w:r w:rsidR="00FF6327">
        <w:rPr>
          <w:i/>
          <w:szCs w:val="24"/>
        </w:rPr>
        <w:t>) Determination 2018</w:t>
      </w:r>
      <w:r w:rsidR="00B62A75">
        <w:rPr>
          <w:i/>
          <w:szCs w:val="24"/>
        </w:rPr>
        <w:t xml:space="preserve"> </w:t>
      </w:r>
      <w:r w:rsidRPr="00AD0786">
        <w:rPr>
          <w:szCs w:val="24"/>
        </w:rPr>
        <w:t xml:space="preserve">will revoke and remake the 2017 Determination, with </w:t>
      </w:r>
      <w:r w:rsidR="00D10502">
        <w:rPr>
          <w:szCs w:val="24"/>
        </w:rPr>
        <w:t>a higher</w:t>
      </w:r>
      <w:r w:rsidRPr="00AD0786">
        <w:rPr>
          <w:szCs w:val="24"/>
        </w:rPr>
        <w:t xml:space="preserve"> fee for items 6080 and 6081.</w:t>
      </w:r>
    </w:p>
    <w:p w14:paraId="026C12BA" w14:textId="77777777" w:rsidR="00467516" w:rsidRDefault="00467516" w:rsidP="00E90558">
      <w:pPr>
        <w:ind w:right="-483"/>
        <w:rPr>
          <w:szCs w:val="24"/>
        </w:rPr>
      </w:pPr>
    </w:p>
    <w:p w14:paraId="2412D131" w14:textId="77777777" w:rsidR="001865F8" w:rsidRPr="00E92248" w:rsidRDefault="00A1739A" w:rsidP="00E04B6F">
      <w:pPr>
        <w:rPr>
          <w:b/>
        </w:rPr>
      </w:pPr>
      <w:r w:rsidRPr="00E92248">
        <w:rPr>
          <w:b/>
        </w:rPr>
        <w:t>Consultation</w:t>
      </w:r>
    </w:p>
    <w:p w14:paraId="1C296C69" w14:textId="10E56DF8" w:rsidR="00D10502" w:rsidRDefault="00D10502" w:rsidP="00C87864">
      <w:pPr>
        <w:rPr>
          <w:szCs w:val="24"/>
        </w:rPr>
      </w:pPr>
      <w:r>
        <w:rPr>
          <w:szCs w:val="24"/>
        </w:rPr>
        <w:t xml:space="preserve">No consultation was required as the services are the same but with </w:t>
      </w:r>
      <w:r w:rsidR="004E5F14">
        <w:rPr>
          <w:szCs w:val="24"/>
        </w:rPr>
        <w:t xml:space="preserve">a </w:t>
      </w:r>
      <w:bookmarkStart w:id="0" w:name="_GoBack"/>
      <w:bookmarkEnd w:id="0"/>
      <w:r>
        <w:rPr>
          <w:szCs w:val="24"/>
        </w:rPr>
        <w:t>higher fee for items 6080 and 6081. The higher fee will be communicated to stakeholders once this determination is registered.</w:t>
      </w:r>
    </w:p>
    <w:p w14:paraId="54F93D3F" w14:textId="77777777" w:rsidR="00D10502" w:rsidRDefault="00D10502" w:rsidP="00C87864">
      <w:pPr>
        <w:rPr>
          <w:szCs w:val="24"/>
        </w:rPr>
      </w:pPr>
    </w:p>
    <w:p w14:paraId="2412D134" w14:textId="77777777" w:rsidR="00967E51" w:rsidRPr="00E5798A" w:rsidRDefault="00A1739A" w:rsidP="000337CB">
      <w:pPr>
        <w:rPr>
          <w:szCs w:val="24"/>
        </w:rPr>
      </w:pPr>
      <w:r w:rsidRPr="00E5798A">
        <w:rPr>
          <w:szCs w:val="24"/>
        </w:rPr>
        <w:t xml:space="preserve">Details of the </w:t>
      </w:r>
      <w:r w:rsidR="00574E71" w:rsidRPr="00E5798A">
        <w:rPr>
          <w:szCs w:val="24"/>
        </w:rPr>
        <w:t>Determination</w:t>
      </w:r>
      <w:r w:rsidRPr="00E5798A">
        <w:rPr>
          <w:szCs w:val="24"/>
        </w:rPr>
        <w:t xml:space="preserve"> are set out in the </w:t>
      </w:r>
      <w:r w:rsidRPr="00E5798A">
        <w:rPr>
          <w:szCs w:val="24"/>
          <w:u w:val="single"/>
        </w:rPr>
        <w:t>Attachment</w:t>
      </w:r>
      <w:r w:rsidRPr="00E5798A">
        <w:rPr>
          <w:szCs w:val="24"/>
        </w:rPr>
        <w:t>.</w:t>
      </w:r>
    </w:p>
    <w:p w14:paraId="2412D135" w14:textId="00BA94E9" w:rsidR="006C138D" w:rsidRPr="00E5798A" w:rsidRDefault="00297AD0" w:rsidP="006C138D">
      <w:pPr>
        <w:tabs>
          <w:tab w:val="left" w:pos="567"/>
        </w:tabs>
        <w:spacing w:before="240"/>
        <w:rPr>
          <w:szCs w:val="24"/>
        </w:rPr>
      </w:pPr>
      <w:r w:rsidRPr="00E5798A">
        <w:rPr>
          <w:szCs w:val="24"/>
        </w:rPr>
        <w:t xml:space="preserve">The </w:t>
      </w:r>
      <w:r w:rsidR="00967E51" w:rsidRPr="00E5798A">
        <w:rPr>
          <w:szCs w:val="24"/>
        </w:rPr>
        <w:t>Determination</w:t>
      </w:r>
      <w:r w:rsidRPr="00E5798A">
        <w:rPr>
          <w:szCs w:val="24"/>
        </w:rPr>
        <w:t xml:space="preserve"> </w:t>
      </w:r>
      <w:r w:rsidR="001B7092">
        <w:rPr>
          <w:szCs w:val="24"/>
        </w:rPr>
        <w:t>commences</w:t>
      </w:r>
      <w:r w:rsidR="006C138D" w:rsidRPr="00E5798A">
        <w:rPr>
          <w:szCs w:val="24"/>
        </w:rPr>
        <w:t xml:space="preserve"> on </w:t>
      </w:r>
      <w:r w:rsidR="0016646C" w:rsidRPr="00E5798A">
        <w:rPr>
          <w:szCs w:val="24"/>
        </w:rPr>
        <w:t xml:space="preserve">1 </w:t>
      </w:r>
      <w:r w:rsidR="00B62A75">
        <w:rPr>
          <w:szCs w:val="24"/>
        </w:rPr>
        <w:t>January</w:t>
      </w:r>
      <w:r w:rsidR="00B62A75" w:rsidRPr="00E5798A">
        <w:rPr>
          <w:szCs w:val="24"/>
        </w:rPr>
        <w:t xml:space="preserve"> </w:t>
      </w:r>
      <w:r w:rsidR="00C84DDE" w:rsidRPr="00E5798A">
        <w:rPr>
          <w:szCs w:val="24"/>
        </w:rPr>
        <w:t>201</w:t>
      </w:r>
      <w:r w:rsidR="006F183E">
        <w:rPr>
          <w:szCs w:val="24"/>
        </w:rPr>
        <w:t>9</w:t>
      </w:r>
      <w:r w:rsidR="006C138D" w:rsidRPr="00E5798A">
        <w:rPr>
          <w:szCs w:val="24"/>
        </w:rPr>
        <w:t>.</w:t>
      </w:r>
    </w:p>
    <w:p w14:paraId="2412D136" w14:textId="77777777" w:rsidR="00236DF2" w:rsidRPr="00E5798A" w:rsidRDefault="00236DF2" w:rsidP="00574E71">
      <w:pPr>
        <w:rPr>
          <w:szCs w:val="24"/>
        </w:rPr>
      </w:pPr>
    </w:p>
    <w:p w14:paraId="2412D138" w14:textId="75402C3A" w:rsidR="00574E71" w:rsidRPr="00B03218" w:rsidRDefault="00574E71" w:rsidP="00DE07E4">
      <w:pPr>
        <w:spacing w:after="200" w:line="276" w:lineRule="auto"/>
        <w:rPr>
          <w:szCs w:val="24"/>
          <w:highlight w:val="yellow"/>
        </w:rPr>
      </w:pPr>
      <w:r w:rsidRPr="00E5798A">
        <w:rPr>
          <w:szCs w:val="24"/>
        </w:rPr>
        <w:t xml:space="preserve">The Determination is </w:t>
      </w:r>
      <w:r w:rsidR="004417A2">
        <w:rPr>
          <w:szCs w:val="24"/>
        </w:rPr>
        <w:t xml:space="preserve">a </w:t>
      </w:r>
      <w:r w:rsidRPr="00E5798A">
        <w:rPr>
          <w:szCs w:val="24"/>
        </w:rPr>
        <w:t xml:space="preserve">legislative instrument for the purposes of the </w:t>
      </w:r>
      <w:r w:rsidRPr="00E5798A">
        <w:rPr>
          <w:szCs w:val="24"/>
        </w:rPr>
        <w:br/>
      </w:r>
      <w:r w:rsidRPr="00E5798A">
        <w:rPr>
          <w:i/>
        </w:rPr>
        <w:t>Legislation Act 2003</w:t>
      </w:r>
      <w:r w:rsidRPr="00E5798A">
        <w:rPr>
          <w:szCs w:val="24"/>
        </w:rPr>
        <w:t>.</w:t>
      </w:r>
    </w:p>
    <w:p w14:paraId="2412D139" w14:textId="77777777" w:rsidR="00A1739A" w:rsidRPr="00B03218" w:rsidRDefault="00A1739A" w:rsidP="000337CB">
      <w:pPr>
        <w:ind w:left="6663" w:hanging="3119"/>
        <w:rPr>
          <w:szCs w:val="24"/>
          <w:highlight w:val="yellow"/>
        </w:rPr>
      </w:pPr>
      <w:r w:rsidRPr="00B03218">
        <w:rPr>
          <w:szCs w:val="24"/>
          <w:highlight w:val="yellow"/>
        </w:rPr>
        <w:t xml:space="preserve">           </w:t>
      </w:r>
    </w:p>
    <w:p w14:paraId="2412D13A" w14:textId="6987A3C6" w:rsidR="00A1739A" w:rsidRDefault="00A1739A" w:rsidP="000337CB">
      <w:pPr>
        <w:ind w:left="6663" w:hanging="3119"/>
        <w:rPr>
          <w:szCs w:val="24"/>
        </w:rPr>
      </w:pPr>
      <w:r w:rsidRPr="00E5798A">
        <w:rPr>
          <w:szCs w:val="24"/>
          <w:u w:val="single"/>
        </w:rPr>
        <w:t>Authority</w:t>
      </w:r>
      <w:r w:rsidR="00967E51" w:rsidRPr="00E5798A">
        <w:rPr>
          <w:szCs w:val="24"/>
        </w:rPr>
        <w:t xml:space="preserve">:     Subsection </w:t>
      </w:r>
      <w:r w:rsidRPr="00E5798A">
        <w:rPr>
          <w:szCs w:val="24"/>
        </w:rPr>
        <w:t>3</w:t>
      </w:r>
      <w:r w:rsidR="00967E51" w:rsidRPr="00E5798A">
        <w:rPr>
          <w:szCs w:val="24"/>
        </w:rPr>
        <w:t>C</w:t>
      </w:r>
      <w:r w:rsidRPr="00E5798A">
        <w:rPr>
          <w:szCs w:val="24"/>
        </w:rPr>
        <w:t xml:space="preserve">(1) of the </w:t>
      </w:r>
    </w:p>
    <w:p w14:paraId="13A2DFC3" w14:textId="23034F8E" w:rsidR="00A406C5" w:rsidRPr="00A406C5" w:rsidRDefault="00A406C5" w:rsidP="00A406C5">
      <w:pPr>
        <w:tabs>
          <w:tab w:val="left" w:pos="4820"/>
        </w:tabs>
        <w:ind w:left="6663" w:hanging="3119"/>
        <w:rPr>
          <w:i/>
          <w:szCs w:val="24"/>
        </w:rPr>
      </w:pPr>
      <w:r w:rsidRPr="00A406C5">
        <w:rPr>
          <w:szCs w:val="24"/>
        </w:rPr>
        <w:tab/>
      </w:r>
      <w:r w:rsidRPr="00A406C5">
        <w:rPr>
          <w:i/>
          <w:szCs w:val="24"/>
        </w:rPr>
        <w:t>Health Insurance Act 1973</w:t>
      </w:r>
    </w:p>
    <w:p w14:paraId="6F561FE9" w14:textId="507A5538" w:rsidR="00A406C5" w:rsidRDefault="00A406C5">
      <w:pPr>
        <w:spacing w:after="200" w:line="276" w:lineRule="auto"/>
        <w:rPr>
          <w:b/>
          <w:szCs w:val="24"/>
        </w:rPr>
      </w:pPr>
      <w:r>
        <w:rPr>
          <w:szCs w:val="24"/>
        </w:rPr>
        <w:lastRenderedPageBreak/>
        <w:tab/>
      </w:r>
    </w:p>
    <w:p w14:paraId="2412D13D" w14:textId="3D7C9468" w:rsidR="006D5816" w:rsidRPr="00E5798A" w:rsidRDefault="006D5816" w:rsidP="000337CB">
      <w:pPr>
        <w:pStyle w:val="BodyText"/>
        <w:jc w:val="right"/>
        <w:rPr>
          <w:szCs w:val="24"/>
        </w:rPr>
      </w:pPr>
      <w:r w:rsidRPr="00E5798A">
        <w:rPr>
          <w:szCs w:val="24"/>
        </w:rPr>
        <w:t>ATTACHMENT</w:t>
      </w:r>
    </w:p>
    <w:p w14:paraId="2412D13E" w14:textId="77777777" w:rsidR="006D5816" w:rsidRPr="00E5798A" w:rsidRDefault="006D5816" w:rsidP="000337CB">
      <w:pPr>
        <w:pStyle w:val="BodyText"/>
        <w:rPr>
          <w:szCs w:val="24"/>
          <w:u w:val="single"/>
        </w:rPr>
      </w:pPr>
    </w:p>
    <w:p w14:paraId="156CE9CE" w14:textId="32CBA69A" w:rsidR="00141323" w:rsidRPr="00141323" w:rsidRDefault="00A41364" w:rsidP="00141323">
      <w:pPr>
        <w:pStyle w:val="BodyText"/>
        <w:rPr>
          <w:i/>
          <w:szCs w:val="24"/>
        </w:rPr>
      </w:pPr>
      <w:r w:rsidRPr="00E5798A">
        <w:rPr>
          <w:szCs w:val="24"/>
        </w:rPr>
        <w:t xml:space="preserve">Details of the </w:t>
      </w:r>
      <w:r w:rsidR="00141323" w:rsidRPr="00141323">
        <w:rPr>
          <w:i/>
          <w:szCs w:val="24"/>
        </w:rPr>
        <w:t xml:space="preserve">Health Insurance (Section 3C </w:t>
      </w:r>
      <w:r w:rsidR="003C02D4">
        <w:rPr>
          <w:i/>
          <w:szCs w:val="24"/>
        </w:rPr>
        <w:t>General Medical</w:t>
      </w:r>
      <w:r w:rsidR="00141323" w:rsidRPr="00141323">
        <w:rPr>
          <w:i/>
          <w:szCs w:val="24"/>
        </w:rPr>
        <w:t xml:space="preserve"> Services</w:t>
      </w:r>
      <w:r w:rsidR="009568CA">
        <w:rPr>
          <w:i/>
          <w:szCs w:val="24"/>
        </w:rPr>
        <w:t xml:space="preserve"> </w:t>
      </w:r>
      <w:r w:rsidR="009568CA">
        <w:rPr>
          <w:i/>
          <w:iCs/>
        </w:rPr>
        <w:t>–</w:t>
      </w:r>
      <w:r w:rsidR="009568CA" w:rsidRPr="00AB7962">
        <w:rPr>
          <w:i/>
          <w:szCs w:val="24"/>
        </w:rPr>
        <w:t xml:space="preserve"> </w:t>
      </w:r>
      <w:r w:rsidR="004417A2">
        <w:rPr>
          <w:i/>
          <w:szCs w:val="24"/>
        </w:rPr>
        <w:t>T</w:t>
      </w:r>
      <w:r w:rsidR="00141323" w:rsidRPr="00141323">
        <w:rPr>
          <w:bCs/>
          <w:i/>
          <w:iCs/>
          <w:szCs w:val="24"/>
        </w:rPr>
        <w:t xml:space="preserve">ranscatheter </w:t>
      </w:r>
      <w:r w:rsidR="004417A2">
        <w:rPr>
          <w:bCs/>
          <w:i/>
          <w:iCs/>
          <w:szCs w:val="24"/>
        </w:rPr>
        <w:t>A</w:t>
      </w:r>
      <w:r w:rsidR="00141323" w:rsidRPr="00141323">
        <w:rPr>
          <w:bCs/>
          <w:i/>
          <w:iCs/>
          <w:szCs w:val="24"/>
        </w:rPr>
        <w:t xml:space="preserve">ortic </w:t>
      </w:r>
      <w:r w:rsidR="004417A2">
        <w:rPr>
          <w:bCs/>
          <w:i/>
          <w:iCs/>
          <w:szCs w:val="24"/>
        </w:rPr>
        <w:t>V</w:t>
      </w:r>
      <w:r w:rsidR="00141323" w:rsidRPr="00141323">
        <w:rPr>
          <w:bCs/>
          <w:i/>
          <w:iCs/>
          <w:szCs w:val="24"/>
        </w:rPr>
        <w:t xml:space="preserve">alve </w:t>
      </w:r>
      <w:r w:rsidR="004417A2">
        <w:rPr>
          <w:bCs/>
          <w:i/>
          <w:iCs/>
          <w:szCs w:val="24"/>
        </w:rPr>
        <w:t>I</w:t>
      </w:r>
      <w:r w:rsidR="00141323" w:rsidRPr="00141323">
        <w:rPr>
          <w:bCs/>
          <w:i/>
          <w:iCs/>
          <w:szCs w:val="24"/>
        </w:rPr>
        <w:t>mplantation</w:t>
      </w:r>
      <w:r w:rsidR="00141323" w:rsidRPr="00141323">
        <w:rPr>
          <w:i/>
          <w:szCs w:val="24"/>
        </w:rPr>
        <w:t>) Determination 201</w:t>
      </w:r>
      <w:r w:rsidR="00A0393C">
        <w:rPr>
          <w:i/>
          <w:szCs w:val="24"/>
        </w:rPr>
        <w:t>8</w:t>
      </w:r>
    </w:p>
    <w:p w14:paraId="4B12A847" w14:textId="6B28C07A" w:rsidR="00E5798A" w:rsidRPr="00E5798A" w:rsidRDefault="00E5798A" w:rsidP="000337CB">
      <w:pPr>
        <w:pStyle w:val="BodyText"/>
        <w:rPr>
          <w:b w:val="0"/>
          <w:i/>
          <w:szCs w:val="24"/>
        </w:rPr>
      </w:pPr>
    </w:p>
    <w:p w14:paraId="2412D141" w14:textId="67C31F9C" w:rsidR="00FE02C2" w:rsidRPr="00E5798A" w:rsidRDefault="001B0111" w:rsidP="000337CB">
      <w:pPr>
        <w:pStyle w:val="BodyText"/>
        <w:rPr>
          <w:b w:val="0"/>
          <w:szCs w:val="24"/>
          <w:u w:val="single"/>
        </w:rPr>
      </w:pPr>
      <w:r w:rsidRPr="00E5798A">
        <w:rPr>
          <w:b w:val="0"/>
          <w:szCs w:val="24"/>
          <w:u w:val="single"/>
        </w:rPr>
        <w:t>Section 1 – Name</w:t>
      </w:r>
      <w:r w:rsidR="00967E51" w:rsidRPr="00E5798A">
        <w:rPr>
          <w:b w:val="0"/>
          <w:szCs w:val="24"/>
          <w:u w:val="single"/>
        </w:rPr>
        <w:t xml:space="preserve"> </w:t>
      </w:r>
    </w:p>
    <w:p w14:paraId="2412D142" w14:textId="77777777" w:rsidR="00FE02C2" w:rsidRPr="00E5798A" w:rsidRDefault="00FE02C2" w:rsidP="000337CB">
      <w:pPr>
        <w:pStyle w:val="BodyText"/>
        <w:rPr>
          <w:b w:val="0"/>
          <w:szCs w:val="24"/>
          <w:u w:val="single"/>
        </w:rPr>
      </w:pPr>
    </w:p>
    <w:p w14:paraId="2412D143" w14:textId="5BFBC917" w:rsidR="00967E51" w:rsidRPr="00E5798A" w:rsidRDefault="00BC7397" w:rsidP="00F83B6F">
      <w:pPr>
        <w:pStyle w:val="Heading1"/>
        <w:jc w:val="left"/>
        <w:rPr>
          <w:b w:val="0"/>
          <w:i/>
          <w:szCs w:val="24"/>
          <w:u w:val="none"/>
        </w:rPr>
      </w:pPr>
      <w:r w:rsidRPr="00E5798A">
        <w:rPr>
          <w:b w:val="0"/>
          <w:szCs w:val="24"/>
          <w:u w:val="none"/>
        </w:rPr>
        <w:t>S</w:t>
      </w:r>
      <w:r w:rsidR="00FE02C2" w:rsidRPr="00E5798A">
        <w:rPr>
          <w:b w:val="0"/>
          <w:szCs w:val="24"/>
          <w:u w:val="none"/>
        </w:rPr>
        <w:t xml:space="preserve">ection </w:t>
      </w:r>
      <w:r w:rsidRPr="00E5798A">
        <w:rPr>
          <w:b w:val="0"/>
          <w:szCs w:val="24"/>
          <w:u w:val="none"/>
        </w:rPr>
        <w:t xml:space="preserve">1 </w:t>
      </w:r>
      <w:r w:rsidR="00FE02C2" w:rsidRPr="00E5798A">
        <w:rPr>
          <w:b w:val="0"/>
          <w:szCs w:val="24"/>
          <w:u w:val="none"/>
        </w:rPr>
        <w:t>provides</w:t>
      </w:r>
      <w:r w:rsidR="008B683E" w:rsidRPr="00E5798A">
        <w:rPr>
          <w:b w:val="0"/>
          <w:szCs w:val="24"/>
          <w:u w:val="none"/>
        </w:rPr>
        <w:t xml:space="preserve"> for the </w:t>
      </w:r>
      <w:r w:rsidR="00967E51" w:rsidRPr="00E5798A">
        <w:rPr>
          <w:b w:val="0"/>
          <w:szCs w:val="24"/>
          <w:u w:val="none"/>
        </w:rPr>
        <w:t>Determination</w:t>
      </w:r>
      <w:r w:rsidR="00FE02C2" w:rsidRPr="00E5798A">
        <w:rPr>
          <w:b w:val="0"/>
          <w:szCs w:val="24"/>
          <w:u w:val="none"/>
        </w:rPr>
        <w:t xml:space="preserve"> to be referred to as the </w:t>
      </w:r>
      <w:r w:rsidR="00141323" w:rsidRPr="00141323">
        <w:rPr>
          <w:b w:val="0"/>
          <w:i/>
          <w:szCs w:val="24"/>
          <w:u w:val="none"/>
        </w:rPr>
        <w:t xml:space="preserve">Health Insurance (Section 3C </w:t>
      </w:r>
      <w:r w:rsidR="003C02D4">
        <w:rPr>
          <w:b w:val="0"/>
          <w:i/>
          <w:szCs w:val="24"/>
          <w:u w:val="none"/>
        </w:rPr>
        <w:t xml:space="preserve">General Medical </w:t>
      </w:r>
      <w:r w:rsidR="00141323" w:rsidRPr="00141323">
        <w:rPr>
          <w:b w:val="0"/>
          <w:i/>
          <w:szCs w:val="24"/>
          <w:u w:val="none"/>
        </w:rPr>
        <w:t>Services</w:t>
      </w:r>
      <w:r w:rsidR="009568CA">
        <w:rPr>
          <w:b w:val="0"/>
          <w:i/>
          <w:szCs w:val="24"/>
          <w:u w:val="none"/>
        </w:rPr>
        <w:t xml:space="preserve"> </w:t>
      </w:r>
      <w:r w:rsidR="009568CA" w:rsidRPr="009568CA">
        <w:rPr>
          <w:b w:val="0"/>
          <w:i/>
          <w:szCs w:val="24"/>
          <w:u w:val="none"/>
        </w:rPr>
        <w:t>–</w:t>
      </w:r>
      <w:r w:rsidR="009568CA">
        <w:rPr>
          <w:b w:val="0"/>
          <w:i/>
          <w:szCs w:val="24"/>
          <w:u w:val="none"/>
        </w:rPr>
        <w:t xml:space="preserve"> </w:t>
      </w:r>
      <w:r w:rsidR="009568CA" w:rsidRPr="00141323">
        <w:rPr>
          <w:b w:val="0"/>
          <w:i/>
          <w:szCs w:val="24"/>
          <w:u w:val="none"/>
        </w:rPr>
        <w:t>Transcatheter</w:t>
      </w:r>
      <w:r w:rsidR="00141323" w:rsidRPr="00141323">
        <w:rPr>
          <w:b w:val="0"/>
          <w:i/>
          <w:szCs w:val="24"/>
          <w:u w:val="none"/>
        </w:rPr>
        <w:t xml:space="preserve"> </w:t>
      </w:r>
      <w:r w:rsidR="004417A2">
        <w:rPr>
          <w:b w:val="0"/>
          <w:i/>
          <w:szCs w:val="24"/>
          <w:u w:val="none"/>
        </w:rPr>
        <w:t>A</w:t>
      </w:r>
      <w:r w:rsidR="00141323" w:rsidRPr="00141323">
        <w:rPr>
          <w:b w:val="0"/>
          <w:i/>
          <w:szCs w:val="24"/>
          <w:u w:val="none"/>
        </w:rPr>
        <w:t xml:space="preserve">ortic </w:t>
      </w:r>
      <w:r w:rsidR="004417A2">
        <w:rPr>
          <w:b w:val="0"/>
          <w:i/>
          <w:szCs w:val="24"/>
          <w:u w:val="none"/>
        </w:rPr>
        <w:t>V</w:t>
      </w:r>
      <w:r w:rsidR="00141323" w:rsidRPr="00141323">
        <w:rPr>
          <w:b w:val="0"/>
          <w:i/>
          <w:szCs w:val="24"/>
          <w:u w:val="none"/>
        </w:rPr>
        <w:t xml:space="preserve">alve </w:t>
      </w:r>
      <w:r w:rsidR="004417A2">
        <w:rPr>
          <w:b w:val="0"/>
          <w:i/>
          <w:szCs w:val="24"/>
          <w:u w:val="none"/>
        </w:rPr>
        <w:t>I</w:t>
      </w:r>
      <w:r w:rsidR="00141323" w:rsidRPr="00141323">
        <w:rPr>
          <w:b w:val="0"/>
          <w:i/>
          <w:szCs w:val="24"/>
          <w:u w:val="none"/>
        </w:rPr>
        <w:t>mplantation) Determination 201</w:t>
      </w:r>
      <w:r w:rsidR="00A0393C">
        <w:rPr>
          <w:b w:val="0"/>
          <w:i/>
          <w:szCs w:val="24"/>
          <w:u w:val="none"/>
        </w:rPr>
        <w:t>8</w:t>
      </w:r>
      <w:r w:rsidR="00E5798A" w:rsidRPr="00E5798A">
        <w:rPr>
          <w:b w:val="0"/>
          <w:szCs w:val="24"/>
          <w:u w:val="none"/>
        </w:rPr>
        <w:t>.</w:t>
      </w:r>
    </w:p>
    <w:p w14:paraId="2412D144" w14:textId="77777777" w:rsidR="00F83B6F" w:rsidRPr="00B03218" w:rsidRDefault="00F83B6F" w:rsidP="00F83B6F">
      <w:pPr>
        <w:rPr>
          <w:highlight w:val="yellow"/>
        </w:rPr>
      </w:pPr>
    </w:p>
    <w:p w14:paraId="49D1E050" w14:textId="77777777" w:rsidR="007A4089" w:rsidRDefault="00FE02C2" w:rsidP="000337CB">
      <w:pPr>
        <w:pStyle w:val="BodyText"/>
        <w:rPr>
          <w:b w:val="0"/>
          <w:szCs w:val="24"/>
          <w:u w:val="single"/>
        </w:rPr>
      </w:pPr>
      <w:r w:rsidRPr="00E5798A">
        <w:rPr>
          <w:b w:val="0"/>
          <w:szCs w:val="24"/>
          <w:u w:val="single"/>
        </w:rPr>
        <w:t xml:space="preserve">Section 2 – Commencement </w:t>
      </w:r>
    </w:p>
    <w:p w14:paraId="2DCE2ED0" w14:textId="77777777" w:rsidR="007A4089" w:rsidRDefault="007A4089" w:rsidP="000337CB">
      <w:pPr>
        <w:pStyle w:val="BodyText"/>
        <w:rPr>
          <w:b w:val="0"/>
          <w:szCs w:val="24"/>
          <w:u w:val="single"/>
        </w:rPr>
      </w:pPr>
    </w:p>
    <w:p w14:paraId="2412D147" w14:textId="28F09C16" w:rsidR="00FE02C2" w:rsidRPr="007A4089" w:rsidRDefault="00510A4F" w:rsidP="000337CB">
      <w:pPr>
        <w:pStyle w:val="BodyText"/>
        <w:rPr>
          <w:b w:val="0"/>
          <w:szCs w:val="24"/>
          <w:u w:val="single"/>
        </w:rPr>
      </w:pPr>
      <w:r w:rsidRPr="00E5798A">
        <w:rPr>
          <w:b w:val="0"/>
          <w:szCs w:val="24"/>
        </w:rPr>
        <w:t xml:space="preserve">Section 2 provides that the Determination </w:t>
      </w:r>
      <w:r w:rsidR="006F183E">
        <w:rPr>
          <w:b w:val="0"/>
          <w:szCs w:val="24"/>
        </w:rPr>
        <w:t>commences on 1 January 2019.</w:t>
      </w:r>
    </w:p>
    <w:p w14:paraId="2412D148" w14:textId="77777777" w:rsidR="00510A4F" w:rsidRPr="00B03218" w:rsidRDefault="00510A4F" w:rsidP="000337CB">
      <w:pPr>
        <w:pStyle w:val="BodyText"/>
        <w:rPr>
          <w:b w:val="0"/>
          <w:szCs w:val="24"/>
          <w:highlight w:val="yellow"/>
        </w:rPr>
      </w:pPr>
    </w:p>
    <w:p w14:paraId="005D5660" w14:textId="77777777" w:rsidR="007A4089" w:rsidRDefault="00FE02C2" w:rsidP="000337CB">
      <w:pPr>
        <w:pStyle w:val="BodyText"/>
        <w:rPr>
          <w:b w:val="0"/>
          <w:szCs w:val="24"/>
          <w:u w:val="single"/>
        </w:rPr>
      </w:pPr>
      <w:r w:rsidRPr="00E5798A">
        <w:rPr>
          <w:b w:val="0"/>
          <w:szCs w:val="24"/>
          <w:u w:val="single"/>
        </w:rPr>
        <w:t xml:space="preserve">Section 3 – </w:t>
      </w:r>
      <w:r w:rsidR="00E5798A" w:rsidRPr="00E5798A">
        <w:rPr>
          <w:b w:val="0"/>
          <w:szCs w:val="24"/>
          <w:u w:val="single"/>
        </w:rPr>
        <w:t>Authority</w:t>
      </w:r>
    </w:p>
    <w:p w14:paraId="53BFA098" w14:textId="77777777" w:rsidR="007A4089" w:rsidRDefault="007A4089" w:rsidP="000337CB">
      <w:pPr>
        <w:pStyle w:val="BodyText"/>
        <w:rPr>
          <w:b w:val="0"/>
          <w:szCs w:val="24"/>
          <w:u w:val="single"/>
        </w:rPr>
      </w:pPr>
    </w:p>
    <w:p w14:paraId="2412D14B" w14:textId="2E51365D" w:rsidR="00FE02C2" w:rsidRPr="007A4089" w:rsidRDefault="00F83B6F" w:rsidP="000337CB">
      <w:pPr>
        <w:pStyle w:val="BodyText"/>
        <w:rPr>
          <w:b w:val="0"/>
          <w:szCs w:val="24"/>
          <w:u w:val="single"/>
        </w:rPr>
      </w:pPr>
      <w:r w:rsidRPr="00E5798A">
        <w:rPr>
          <w:b w:val="0"/>
        </w:rPr>
        <w:t xml:space="preserve">Section 3 provides that the Determination </w:t>
      </w:r>
      <w:r w:rsidR="00E5798A" w:rsidRPr="00E5798A">
        <w:rPr>
          <w:b w:val="0"/>
        </w:rPr>
        <w:t xml:space="preserve">is made under </w:t>
      </w:r>
      <w:r w:rsidR="00367440">
        <w:rPr>
          <w:b w:val="0"/>
        </w:rPr>
        <w:t xml:space="preserve">subsection </w:t>
      </w:r>
      <w:r w:rsidR="00E5798A" w:rsidRPr="00E5798A">
        <w:rPr>
          <w:b w:val="0"/>
        </w:rPr>
        <w:t xml:space="preserve">3C(1) of the </w:t>
      </w:r>
      <w:r w:rsidR="00E5798A" w:rsidRPr="00E5798A">
        <w:rPr>
          <w:b w:val="0"/>
          <w:i/>
        </w:rPr>
        <w:t>Health Insurance Act 1973</w:t>
      </w:r>
      <w:r w:rsidR="00E5798A" w:rsidRPr="00E5798A">
        <w:rPr>
          <w:b w:val="0"/>
        </w:rPr>
        <w:t>.</w:t>
      </w:r>
    </w:p>
    <w:p w14:paraId="58A4E4A6" w14:textId="77777777" w:rsidR="00E5798A" w:rsidRDefault="00E5798A" w:rsidP="00E5798A">
      <w:pPr>
        <w:pStyle w:val="BodyText"/>
        <w:rPr>
          <w:b w:val="0"/>
          <w:szCs w:val="24"/>
          <w:u w:val="single"/>
        </w:rPr>
      </w:pPr>
    </w:p>
    <w:p w14:paraId="6A531BB9" w14:textId="384FB730" w:rsidR="00F82A17" w:rsidRDefault="00F82A17" w:rsidP="00E5798A">
      <w:pPr>
        <w:pStyle w:val="BodyText"/>
        <w:rPr>
          <w:b w:val="0"/>
          <w:szCs w:val="24"/>
          <w:u w:val="single"/>
        </w:rPr>
      </w:pPr>
      <w:r>
        <w:rPr>
          <w:b w:val="0"/>
          <w:szCs w:val="24"/>
          <w:u w:val="single"/>
        </w:rPr>
        <w:t>Section 4 – Repeal</w:t>
      </w:r>
    </w:p>
    <w:p w14:paraId="1B029A7C" w14:textId="0053A016" w:rsidR="00F82A17" w:rsidRPr="00F82A17" w:rsidRDefault="00F82A17" w:rsidP="00F82A17">
      <w:pPr>
        <w:pStyle w:val="BodyText"/>
        <w:rPr>
          <w:b w:val="0"/>
          <w:szCs w:val="24"/>
        </w:rPr>
      </w:pPr>
      <w:r w:rsidRPr="00F82A17">
        <w:rPr>
          <w:b w:val="0"/>
          <w:szCs w:val="24"/>
        </w:rPr>
        <w:t>Section 4 provides that the Determination re</w:t>
      </w:r>
      <w:r w:rsidR="009568CA">
        <w:rPr>
          <w:b w:val="0"/>
          <w:szCs w:val="24"/>
        </w:rPr>
        <w:t>peals</w:t>
      </w:r>
      <w:r w:rsidRPr="00F82A17">
        <w:rPr>
          <w:b w:val="0"/>
          <w:szCs w:val="24"/>
        </w:rPr>
        <w:t xml:space="preserve"> the</w:t>
      </w:r>
      <w:r>
        <w:rPr>
          <w:b w:val="0"/>
          <w:szCs w:val="24"/>
        </w:rPr>
        <w:t xml:space="preserve"> </w:t>
      </w:r>
      <w:r w:rsidRPr="00F82A17">
        <w:rPr>
          <w:b w:val="0"/>
          <w:i/>
          <w:szCs w:val="24"/>
        </w:rPr>
        <w:t xml:space="preserve">Health Insurance (Section 3C General Medical Services </w:t>
      </w:r>
      <w:r w:rsidR="009568CA">
        <w:rPr>
          <w:i/>
          <w:iCs/>
        </w:rPr>
        <w:t>–</w:t>
      </w:r>
      <w:r w:rsidR="009568CA" w:rsidRPr="00AB7962">
        <w:rPr>
          <w:i/>
          <w:szCs w:val="24"/>
        </w:rPr>
        <w:t xml:space="preserve"> </w:t>
      </w:r>
      <w:r w:rsidRPr="00F82A17">
        <w:rPr>
          <w:b w:val="0"/>
          <w:i/>
          <w:szCs w:val="24"/>
        </w:rPr>
        <w:t>Transcatheter Aortic Valve Implantation) Determination 2017</w:t>
      </w:r>
      <w:r>
        <w:rPr>
          <w:b w:val="0"/>
          <w:i/>
          <w:szCs w:val="24"/>
        </w:rPr>
        <w:t>.</w:t>
      </w:r>
    </w:p>
    <w:p w14:paraId="7D9B7200" w14:textId="77777777" w:rsidR="00F82A17" w:rsidRDefault="00F82A17" w:rsidP="00E5798A">
      <w:pPr>
        <w:pStyle w:val="BodyText"/>
        <w:rPr>
          <w:b w:val="0"/>
          <w:szCs w:val="24"/>
          <w:u w:val="single"/>
        </w:rPr>
      </w:pPr>
    </w:p>
    <w:p w14:paraId="24D69F2A" w14:textId="38664559" w:rsidR="00E5798A" w:rsidRDefault="00E5798A" w:rsidP="00E5798A">
      <w:pPr>
        <w:pStyle w:val="BodyText"/>
        <w:rPr>
          <w:b w:val="0"/>
          <w:szCs w:val="24"/>
          <w:u w:val="single"/>
        </w:rPr>
      </w:pPr>
      <w:r>
        <w:rPr>
          <w:b w:val="0"/>
          <w:szCs w:val="24"/>
          <w:u w:val="single"/>
        </w:rPr>
        <w:t xml:space="preserve">Section </w:t>
      </w:r>
      <w:r w:rsidR="00F82A17">
        <w:rPr>
          <w:b w:val="0"/>
          <w:szCs w:val="24"/>
          <w:u w:val="single"/>
        </w:rPr>
        <w:t>5</w:t>
      </w:r>
      <w:r w:rsidRPr="00E5798A">
        <w:rPr>
          <w:b w:val="0"/>
          <w:szCs w:val="24"/>
          <w:u w:val="single"/>
        </w:rPr>
        <w:t xml:space="preserve"> – </w:t>
      </w:r>
      <w:r>
        <w:rPr>
          <w:b w:val="0"/>
          <w:szCs w:val="24"/>
          <w:u w:val="single"/>
        </w:rPr>
        <w:t>Definitions</w:t>
      </w:r>
    </w:p>
    <w:p w14:paraId="33C47B95" w14:textId="77777777" w:rsidR="00E5798A" w:rsidRDefault="00E5798A" w:rsidP="00E5798A">
      <w:pPr>
        <w:pStyle w:val="BodyText"/>
        <w:rPr>
          <w:b w:val="0"/>
          <w:szCs w:val="24"/>
          <w:u w:val="single"/>
        </w:rPr>
      </w:pPr>
    </w:p>
    <w:p w14:paraId="156203CC" w14:textId="77777777" w:rsidR="002F2B21" w:rsidRDefault="00E5798A" w:rsidP="007A4089">
      <w:pPr>
        <w:pStyle w:val="BodyText"/>
        <w:rPr>
          <w:b w:val="0"/>
        </w:rPr>
      </w:pPr>
      <w:r w:rsidRPr="00E5798A">
        <w:rPr>
          <w:b w:val="0"/>
        </w:rPr>
        <w:t xml:space="preserve">Section </w:t>
      </w:r>
      <w:r w:rsidR="00F82A17">
        <w:rPr>
          <w:b w:val="0"/>
        </w:rPr>
        <w:t>5</w:t>
      </w:r>
      <w:r w:rsidRPr="00E5798A">
        <w:rPr>
          <w:b w:val="0"/>
        </w:rPr>
        <w:t xml:space="preserve"> defines terms used in the Determination</w:t>
      </w:r>
      <w:r>
        <w:rPr>
          <w:b w:val="0"/>
        </w:rPr>
        <w:t>.</w:t>
      </w:r>
      <w:r w:rsidR="002F2B21">
        <w:rPr>
          <w:b w:val="0"/>
        </w:rPr>
        <w:t xml:space="preserve"> </w:t>
      </w:r>
    </w:p>
    <w:p w14:paraId="1A9E87C4" w14:textId="77777777" w:rsidR="002F2B21" w:rsidRDefault="002F2B21" w:rsidP="007A4089">
      <w:pPr>
        <w:pStyle w:val="BodyText"/>
        <w:rPr>
          <w:b w:val="0"/>
        </w:rPr>
      </w:pPr>
    </w:p>
    <w:p w14:paraId="5C82EA46" w14:textId="3F214F41" w:rsidR="007A4089" w:rsidRPr="002F2B21" w:rsidRDefault="002F2B21" w:rsidP="002F2B21">
      <w:pPr>
        <w:pStyle w:val="BodyText"/>
        <w:rPr>
          <w:b w:val="0"/>
        </w:rPr>
      </w:pPr>
      <w:r>
        <w:rPr>
          <w:b w:val="0"/>
        </w:rPr>
        <w:t xml:space="preserve">This section </w:t>
      </w:r>
      <w:r w:rsidR="0034031B">
        <w:rPr>
          <w:b w:val="0"/>
        </w:rPr>
        <w:t>includes</w:t>
      </w:r>
      <w:r>
        <w:rPr>
          <w:b w:val="0"/>
        </w:rPr>
        <w:t xml:space="preserve"> the definition of a </w:t>
      </w:r>
      <w:r w:rsidR="009E57E1">
        <w:rPr>
          <w:b w:val="0"/>
        </w:rPr>
        <w:t>‘</w:t>
      </w:r>
      <w:r>
        <w:rPr>
          <w:b w:val="0"/>
        </w:rPr>
        <w:t>TAVI Hospital</w:t>
      </w:r>
      <w:r w:rsidR="009E57E1">
        <w:rPr>
          <w:b w:val="0"/>
        </w:rPr>
        <w:t>’</w:t>
      </w:r>
      <w:r>
        <w:rPr>
          <w:b w:val="0"/>
        </w:rPr>
        <w:t xml:space="preserve">. </w:t>
      </w:r>
      <w:r w:rsidRPr="002F2B21">
        <w:rPr>
          <w:b w:val="0"/>
        </w:rPr>
        <w:t xml:space="preserve">The </w:t>
      </w:r>
      <w:r w:rsidRPr="009568CA">
        <w:rPr>
          <w:b w:val="0"/>
          <w:i/>
        </w:rPr>
        <w:t>Transcatheter Aortic Valve Implantation - Rules for the Accreditation of TAVI Practitioners</w:t>
      </w:r>
      <w:r w:rsidRPr="002F2B21">
        <w:rPr>
          <w:b w:val="0"/>
        </w:rPr>
        <w:t xml:space="preserve">, issued by Cardiac Accreditation Services Limited in November 2017, provides guidance regarding clinically acceptable TAVI facilities. This document is publicly available from the website </w:t>
      </w:r>
      <w:hyperlink r:id="rId11" w:history="1">
        <w:r w:rsidR="009568CA" w:rsidRPr="009568CA">
          <w:rPr>
            <w:rStyle w:val="Hyperlink"/>
            <w:b w:val="0"/>
          </w:rPr>
          <w:t>https://tavi.org.au/</w:t>
        </w:r>
      </w:hyperlink>
      <w:r w:rsidRPr="002F2B21">
        <w:rPr>
          <w:b w:val="0"/>
        </w:rPr>
        <w:t>, or can be obtained directly from Cardiac Accreditation Services Limited.</w:t>
      </w:r>
    </w:p>
    <w:p w14:paraId="4A0FF1D7" w14:textId="77777777" w:rsidR="007A4089" w:rsidRDefault="007A4089" w:rsidP="007A4089">
      <w:pPr>
        <w:pStyle w:val="BodyText"/>
        <w:rPr>
          <w:b w:val="0"/>
        </w:rPr>
      </w:pPr>
    </w:p>
    <w:p w14:paraId="01E407FE" w14:textId="47996109" w:rsidR="0079191B" w:rsidRPr="001B7092" w:rsidRDefault="0079191B" w:rsidP="007A4089">
      <w:pPr>
        <w:pStyle w:val="BodyText"/>
        <w:rPr>
          <w:b w:val="0"/>
        </w:rPr>
      </w:pPr>
      <w:r w:rsidRPr="00A0597B">
        <w:rPr>
          <w:b w:val="0"/>
          <w:szCs w:val="24"/>
          <w:u w:val="single"/>
        </w:rPr>
        <w:t xml:space="preserve">Section </w:t>
      </w:r>
      <w:r w:rsidR="00F82A17">
        <w:rPr>
          <w:b w:val="0"/>
          <w:szCs w:val="24"/>
          <w:u w:val="single"/>
        </w:rPr>
        <w:t>6</w:t>
      </w:r>
      <w:r w:rsidRPr="00A0597B">
        <w:rPr>
          <w:b w:val="0"/>
          <w:szCs w:val="24"/>
          <w:u w:val="single"/>
        </w:rPr>
        <w:t xml:space="preserve"> – Treatment of relevant services</w:t>
      </w:r>
    </w:p>
    <w:p w14:paraId="60BDA2FD" w14:textId="77777777" w:rsidR="007A4089" w:rsidRDefault="007A4089" w:rsidP="0079191B">
      <w:pPr>
        <w:pStyle w:val="BodyText"/>
        <w:rPr>
          <w:b w:val="0"/>
        </w:rPr>
      </w:pPr>
    </w:p>
    <w:p w14:paraId="6ADDBF7D" w14:textId="01D89AB7" w:rsidR="001C5FC1" w:rsidRDefault="0079191B" w:rsidP="0079191B">
      <w:pPr>
        <w:pStyle w:val="BodyText"/>
        <w:rPr>
          <w:b w:val="0"/>
        </w:rPr>
      </w:pPr>
      <w:r w:rsidRPr="0079191B">
        <w:rPr>
          <w:b w:val="0"/>
        </w:rPr>
        <w:t xml:space="preserve">Section </w:t>
      </w:r>
      <w:r w:rsidR="00F82A17">
        <w:rPr>
          <w:b w:val="0"/>
        </w:rPr>
        <w:t>6</w:t>
      </w:r>
      <w:r w:rsidRPr="0079191B">
        <w:rPr>
          <w:b w:val="0"/>
        </w:rPr>
        <w:t xml:space="preserve"> provides that a clinically relevant service </w:t>
      </w:r>
      <w:r w:rsidR="00FF6327">
        <w:rPr>
          <w:b w:val="0"/>
        </w:rPr>
        <w:t xml:space="preserve">specified in Schedule 1 to the Determination and </w:t>
      </w:r>
      <w:r w:rsidRPr="0079191B">
        <w:rPr>
          <w:b w:val="0"/>
        </w:rPr>
        <w:t xml:space="preserve">provided in accordance with the Determination shall be treated, for relevant provisions of the </w:t>
      </w:r>
      <w:r w:rsidRPr="0079191B">
        <w:rPr>
          <w:b w:val="0"/>
          <w:i/>
        </w:rPr>
        <w:t>Health Insurance Act 1973</w:t>
      </w:r>
      <w:r w:rsidRPr="0079191B">
        <w:rPr>
          <w:b w:val="0"/>
        </w:rPr>
        <w:t xml:space="preserve"> and </w:t>
      </w:r>
      <w:r w:rsidRPr="0079191B">
        <w:rPr>
          <w:b w:val="0"/>
          <w:i/>
        </w:rPr>
        <w:t>National Health Act 1953</w:t>
      </w:r>
      <w:r w:rsidRPr="0079191B">
        <w:rPr>
          <w:b w:val="0"/>
        </w:rPr>
        <w:t xml:space="preserve">, and regulations made under those Acts, as if it were both a professional service and a medical service and as if there were an item specified in the </w:t>
      </w:r>
      <w:r w:rsidR="001C5FC1">
        <w:rPr>
          <w:b w:val="0"/>
        </w:rPr>
        <w:t xml:space="preserve">medical general </w:t>
      </w:r>
      <w:r w:rsidR="001B7092">
        <w:rPr>
          <w:b w:val="0"/>
        </w:rPr>
        <w:t>services</w:t>
      </w:r>
      <w:r w:rsidRPr="0079191B">
        <w:rPr>
          <w:b w:val="0"/>
        </w:rPr>
        <w:t xml:space="preserve"> table for the service. </w:t>
      </w:r>
      <w:r w:rsidR="001C5FC1" w:rsidRPr="001C5FC1">
        <w:rPr>
          <w:b w:val="0"/>
        </w:rPr>
        <w:t>The general medical services table is a table of medical services prescribed under section 4 of the </w:t>
      </w:r>
      <w:r w:rsidR="001C5FC1" w:rsidRPr="001C5FC1">
        <w:rPr>
          <w:b w:val="0"/>
          <w:i/>
          <w:iCs/>
        </w:rPr>
        <w:t>Health Insurance Act 1973</w:t>
      </w:r>
      <w:r w:rsidR="001C5FC1" w:rsidRPr="001C5FC1">
        <w:rPr>
          <w:b w:val="0"/>
        </w:rPr>
        <w:t>.</w:t>
      </w:r>
      <w:r w:rsidRPr="0079191B">
        <w:rPr>
          <w:b w:val="0"/>
        </w:rPr>
        <w:t> </w:t>
      </w:r>
    </w:p>
    <w:p w14:paraId="7E59940C" w14:textId="77777777" w:rsidR="00D10502" w:rsidRDefault="00D10502">
      <w:pPr>
        <w:spacing w:after="200" w:line="276" w:lineRule="auto"/>
        <w:rPr>
          <w:szCs w:val="24"/>
          <w:u w:val="single"/>
        </w:rPr>
      </w:pPr>
      <w:r>
        <w:rPr>
          <w:szCs w:val="24"/>
          <w:u w:val="single"/>
        </w:rPr>
        <w:br w:type="page"/>
      </w:r>
    </w:p>
    <w:p w14:paraId="182A89E7" w14:textId="72172E56" w:rsidR="005A0300" w:rsidRDefault="005A0300" w:rsidP="007A4089">
      <w:pPr>
        <w:shd w:val="clear" w:color="auto" w:fill="FFFFFF"/>
        <w:spacing w:before="100" w:beforeAutospacing="1" w:after="100" w:afterAutospacing="1"/>
        <w:rPr>
          <w:szCs w:val="24"/>
          <w:u w:val="single"/>
        </w:rPr>
      </w:pPr>
      <w:r>
        <w:rPr>
          <w:szCs w:val="24"/>
          <w:u w:val="single"/>
        </w:rPr>
        <w:t xml:space="preserve">Section </w:t>
      </w:r>
      <w:r w:rsidR="00F82A17">
        <w:rPr>
          <w:szCs w:val="24"/>
          <w:u w:val="single"/>
        </w:rPr>
        <w:t>7</w:t>
      </w:r>
      <w:r>
        <w:rPr>
          <w:szCs w:val="24"/>
          <w:u w:val="single"/>
        </w:rPr>
        <w:t xml:space="preserve"> – Application of item 38495</w:t>
      </w:r>
    </w:p>
    <w:p w14:paraId="2C5E352D" w14:textId="7C22CB35" w:rsidR="007A12F5" w:rsidRPr="00825B2C" w:rsidRDefault="005A0300" w:rsidP="00825B2C">
      <w:pPr>
        <w:shd w:val="clear" w:color="auto" w:fill="FFFFFF"/>
        <w:spacing w:before="100" w:beforeAutospacing="1" w:after="100" w:afterAutospacing="1"/>
        <w:rPr>
          <w:szCs w:val="24"/>
        </w:rPr>
      </w:pPr>
      <w:r>
        <w:rPr>
          <w:szCs w:val="24"/>
        </w:rPr>
        <w:lastRenderedPageBreak/>
        <w:t xml:space="preserve">Section </w:t>
      </w:r>
      <w:r w:rsidR="00207E65">
        <w:rPr>
          <w:szCs w:val="24"/>
        </w:rPr>
        <w:t>7</w:t>
      </w:r>
      <w:r>
        <w:rPr>
          <w:szCs w:val="24"/>
        </w:rPr>
        <w:t xml:space="preserve"> provides that</w:t>
      </w:r>
      <w:r w:rsidR="00BE2EFA">
        <w:rPr>
          <w:szCs w:val="24"/>
        </w:rPr>
        <w:t xml:space="preserve"> </w:t>
      </w:r>
      <w:r w:rsidR="00C56FE0">
        <w:rPr>
          <w:szCs w:val="24"/>
        </w:rPr>
        <w:t>Medicare benefit is not payable in respect of</w:t>
      </w:r>
      <w:r>
        <w:rPr>
          <w:szCs w:val="24"/>
        </w:rPr>
        <w:t xml:space="preserve"> </w:t>
      </w:r>
      <w:r w:rsidR="00FF6327">
        <w:rPr>
          <w:szCs w:val="24"/>
        </w:rPr>
        <w:t xml:space="preserve">the service described in </w:t>
      </w:r>
      <w:r>
        <w:rPr>
          <w:szCs w:val="24"/>
        </w:rPr>
        <w:t xml:space="preserve">item 38495 </w:t>
      </w:r>
      <w:r w:rsidR="00825B2C">
        <w:rPr>
          <w:szCs w:val="24"/>
        </w:rPr>
        <w:t>if,</w:t>
      </w:r>
      <w:r w:rsidR="00825B2C" w:rsidRPr="00825B2C">
        <w:rPr>
          <w:szCs w:val="24"/>
        </w:rPr>
        <w:t xml:space="preserve"> th</w:t>
      </w:r>
      <w:r w:rsidR="00FF6327">
        <w:rPr>
          <w:szCs w:val="24"/>
        </w:rPr>
        <w:t>at</w:t>
      </w:r>
      <w:r w:rsidRPr="00825B2C">
        <w:rPr>
          <w:szCs w:val="24"/>
        </w:rPr>
        <w:t xml:space="preserve"> service is provided at the same time as, or in connection with, the provision of a pain pump for post</w:t>
      </w:r>
      <w:r w:rsidR="009568CA">
        <w:rPr>
          <w:szCs w:val="24"/>
        </w:rPr>
        <w:t>-surgical</w:t>
      </w:r>
      <w:r w:rsidRPr="00825B2C">
        <w:rPr>
          <w:szCs w:val="24"/>
        </w:rPr>
        <w:t xml:space="preserve"> pain management.</w:t>
      </w:r>
    </w:p>
    <w:p w14:paraId="206E65EC" w14:textId="77777777" w:rsidR="007A4089" w:rsidRDefault="00C87864" w:rsidP="007A4089">
      <w:pPr>
        <w:shd w:val="clear" w:color="auto" w:fill="FFFFFF"/>
        <w:spacing w:before="100" w:beforeAutospacing="1" w:after="100" w:afterAutospacing="1"/>
        <w:rPr>
          <w:szCs w:val="24"/>
          <w:u w:val="single"/>
        </w:rPr>
      </w:pPr>
      <w:r w:rsidRPr="007A4089">
        <w:rPr>
          <w:szCs w:val="24"/>
          <w:u w:val="single"/>
        </w:rPr>
        <w:t>Schedule 1 – Relevant services</w:t>
      </w:r>
    </w:p>
    <w:p w14:paraId="5591324F" w14:textId="19EBCC1F" w:rsidR="0079191B" w:rsidRPr="007A4089" w:rsidRDefault="00120766" w:rsidP="007A4089">
      <w:pPr>
        <w:shd w:val="clear" w:color="auto" w:fill="FFFFFF"/>
        <w:spacing w:before="100" w:beforeAutospacing="1" w:after="100" w:afterAutospacing="1"/>
      </w:pPr>
      <w:r>
        <w:t>Schedule 1</w:t>
      </w:r>
      <w:r w:rsidR="00912BC1">
        <w:t xml:space="preserve"> specifies </w:t>
      </w:r>
      <w:r w:rsidR="007103BC">
        <w:t xml:space="preserve">the </w:t>
      </w:r>
      <w:r w:rsidR="00FF6327">
        <w:t>professional</w:t>
      </w:r>
      <w:r w:rsidR="007103BC">
        <w:t xml:space="preserve"> </w:t>
      </w:r>
      <w:r w:rsidR="00912BC1">
        <w:t xml:space="preserve">services and </w:t>
      </w:r>
      <w:r>
        <w:t>p</w:t>
      </w:r>
      <w:r w:rsidR="007A4089" w:rsidRPr="007A4089">
        <w:t xml:space="preserve">rescribes the </w:t>
      </w:r>
      <w:r w:rsidR="00063242">
        <w:t xml:space="preserve">associated </w:t>
      </w:r>
      <w:r w:rsidR="007A4089" w:rsidRPr="007A4089">
        <w:t>fee</w:t>
      </w:r>
      <w:r w:rsidR="00912BC1">
        <w:t>s</w:t>
      </w:r>
      <w:r w:rsidR="007A4089" w:rsidRPr="007A4089">
        <w:t xml:space="preserve"> for </w:t>
      </w:r>
      <w:r w:rsidR="00912BC1">
        <w:t xml:space="preserve">items </w:t>
      </w:r>
      <w:r w:rsidR="00F45470" w:rsidRPr="00F45470">
        <w:t>6080, 6081 and 38495</w:t>
      </w:r>
      <w:r w:rsidR="00F45470">
        <w:t>.</w:t>
      </w:r>
    </w:p>
    <w:p w14:paraId="2412D14D" w14:textId="77777777" w:rsidR="00F83B6F" w:rsidRPr="00B03218" w:rsidRDefault="00F83B6F">
      <w:pPr>
        <w:spacing w:after="200" w:line="276" w:lineRule="auto"/>
        <w:rPr>
          <w:b/>
          <w:sz w:val="28"/>
          <w:szCs w:val="28"/>
          <w:highlight w:val="yellow"/>
        </w:rPr>
      </w:pPr>
      <w:r w:rsidRPr="00B03218">
        <w:rPr>
          <w:b/>
          <w:sz w:val="28"/>
          <w:szCs w:val="28"/>
          <w:highlight w:val="yellow"/>
        </w:rPr>
        <w:br w:type="page"/>
      </w:r>
    </w:p>
    <w:p w14:paraId="2412D14E" w14:textId="77777777" w:rsidR="00A17F2C" w:rsidRPr="0079191B" w:rsidRDefault="00A17F2C" w:rsidP="000337CB">
      <w:pPr>
        <w:spacing w:before="360" w:after="120"/>
        <w:jc w:val="center"/>
        <w:rPr>
          <w:b/>
          <w:sz w:val="28"/>
          <w:szCs w:val="28"/>
        </w:rPr>
      </w:pPr>
      <w:r w:rsidRPr="0079191B">
        <w:rPr>
          <w:b/>
          <w:sz w:val="28"/>
          <w:szCs w:val="28"/>
        </w:rPr>
        <w:lastRenderedPageBreak/>
        <w:t>Statement of Compatibility with Human Rights</w:t>
      </w:r>
    </w:p>
    <w:p w14:paraId="2412D14F" w14:textId="77777777" w:rsidR="00A17F2C" w:rsidRPr="0079191B" w:rsidRDefault="00A17F2C" w:rsidP="000337CB">
      <w:pPr>
        <w:spacing w:before="120" w:after="120"/>
        <w:jc w:val="center"/>
        <w:rPr>
          <w:szCs w:val="24"/>
        </w:rPr>
      </w:pPr>
      <w:r w:rsidRPr="0079191B">
        <w:rPr>
          <w:i/>
          <w:szCs w:val="24"/>
        </w:rPr>
        <w:t>Prepared in accordance with Part 3 of the Human Rights (Parliamentary Scrutiny) Act 2011</w:t>
      </w:r>
    </w:p>
    <w:p w14:paraId="37EFCC30" w14:textId="369B2F19" w:rsidR="0079191B" w:rsidRDefault="00F45470" w:rsidP="000337CB">
      <w:pPr>
        <w:tabs>
          <w:tab w:val="left" w:pos="1418"/>
        </w:tabs>
        <w:ind w:left="851"/>
        <w:jc w:val="center"/>
        <w:rPr>
          <w:b/>
          <w:i/>
          <w:szCs w:val="24"/>
        </w:rPr>
      </w:pPr>
      <w:r w:rsidRPr="00F45470">
        <w:rPr>
          <w:b/>
          <w:i/>
          <w:szCs w:val="24"/>
        </w:rPr>
        <w:t xml:space="preserve">Health Insurance (Section 3C </w:t>
      </w:r>
      <w:r w:rsidR="003C02D4">
        <w:rPr>
          <w:b/>
          <w:i/>
          <w:szCs w:val="24"/>
        </w:rPr>
        <w:t xml:space="preserve">General Medical </w:t>
      </w:r>
      <w:r w:rsidRPr="00F45470">
        <w:rPr>
          <w:b/>
          <w:i/>
          <w:szCs w:val="24"/>
        </w:rPr>
        <w:t xml:space="preserve">Services </w:t>
      </w:r>
      <w:r w:rsidR="009568CA" w:rsidRPr="009568CA">
        <w:rPr>
          <w:b/>
          <w:i/>
          <w:szCs w:val="24"/>
        </w:rPr>
        <w:t>–</w:t>
      </w:r>
      <w:r w:rsidRPr="00F45470">
        <w:rPr>
          <w:b/>
          <w:i/>
          <w:szCs w:val="24"/>
        </w:rPr>
        <w:t xml:space="preserve"> </w:t>
      </w:r>
      <w:r w:rsidR="004417A2">
        <w:rPr>
          <w:b/>
          <w:i/>
          <w:szCs w:val="24"/>
        </w:rPr>
        <w:t>T</w:t>
      </w:r>
      <w:r w:rsidRPr="00F45470">
        <w:rPr>
          <w:b/>
          <w:i/>
          <w:szCs w:val="24"/>
        </w:rPr>
        <w:t xml:space="preserve">ranscatheter </w:t>
      </w:r>
      <w:r w:rsidR="004417A2">
        <w:rPr>
          <w:b/>
          <w:i/>
          <w:szCs w:val="24"/>
        </w:rPr>
        <w:t>A</w:t>
      </w:r>
      <w:r w:rsidRPr="00F45470">
        <w:rPr>
          <w:b/>
          <w:i/>
          <w:szCs w:val="24"/>
        </w:rPr>
        <w:t xml:space="preserve">ortic </w:t>
      </w:r>
      <w:r w:rsidR="004417A2">
        <w:rPr>
          <w:b/>
          <w:i/>
          <w:szCs w:val="24"/>
        </w:rPr>
        <w:t>V</w:t>
      </w:r>
      <w:r w:rsidRPr="00F45470">
        <w:rPr>
          <w:b/>
          <w:i/>
          <w:szCs w:val="24"/>
        </w:rPr>
        <w:t xml:space="preserve">alve </w:t>
      </w:r>
      <w:r w:rsidR="004417A2">
        <w:rPr>
          <w:b/>
          <w:i/>
          <w:szCs w:val="24"/>
        </w:rPr>
        <w:t>I</w:t>
      </w:r>
      <w:r w:rsidRPr="00F45470">
        <w:rPr>
          <w:b/>
          <w:i/>
          <w:szCs w:val="24"/>
        </w:rPr>
        <w:t>mplantation) Determination 201</w:t>
      </w:r>
      <w:r w:rsidR="00C43459">
        <w:rPr>
          <w:b/>
          <w:i/>
          <w:szCs w:val="24"/>
        </w:rPr>
        <w:t>8</w:t>
      </w:r>
    </w:p>
    <w:p w14:paraId="60496B4F" w14:textId="77777777" w:rsidR="00F45470" w:rsidRPr="0079191B" w:rsidRDefault="00F45470" w:rsidP="000337CB">
      <w:pPr>
        <w:tabs>
          <w:tab w:val="left" w:pos="1418"/>
        </w:tabs>
        <w:ind w:left="851"/>
        <w:jc w:val="center"/>
        <w:rPr>
          <w:b/>
          <w:i/>
          <w:szCs w:val="24"/>
        </w:rPr>
      </w:pPr>
    </w:p>
    <w:p w14:paraId="2412D153" w14:textId="1B242C70" w:rsidR="00A17F2C" w:rsidRPr="0079191B" w:rsidRDefault="00A17F2C" w:rsidP="000337CB">
      <w:pPr>
        <w:jc w:val="center"/>
        <w:rPr>
          <w:szCs w:val="24"/>
        </w:rPr>
      </w:pPr>
      <w:r w:rsidRPr="0079191B">
        <w:rPr>
          <w:szCs w:val="24"/>
        </w:rPr>
        <w:t xml:space="preserve">This </w:t>
      </w:r>
      <w:r w:rsidR="00A90EE0">
        <w:rPr>
          <w:szCs w:val="24"/>
        </w:rPr>
        <w:t>Determination</w:t>
      </w:r>
      <w:r w:rsidRPr="0079191B">
        <w:rPr>
          <w:szCs w:val="24"/>
        </w:rPr>
        <w:t xml:space="preserve"> is compatible with the human rights and freedoms recognised or declared in the international instruments listed in section 3 of the </w:t>
      </w:r>
      <w:r w:rsidRPr="0079191B">
        <w:rPr>
          <w:i/>
          <w:szCs w:val="24"/>
        </w:rPr>
        <w:t>Human Rights (Parliamentary Scrutiny) Act 2011</w:t>
      </w:r>
      <w:r w:rsidRPr="0079191B">
        <w:rPr>
          <w:szCs w:val="24"/>
        </w:rPr>
        <w:t>.</w:t>
      </w:r>
    </w:p>
    <w:p w14:paraId="2412D154" w14:textId="77777777" w:rsidR="00A17F2C" w:rsidRPr="00B03218" w:rsidRDefault="00A17F2C" w:rsidP="000337CB">
      <w:pPr>
        <w:jc w:val="center"/>
        <w:rPr>
          <w:szCs w:val="24"/>
          <w:highlight w:val="yellow"/>
        </w:rPr>
      </w:pPr>
    </w:p>
    <w:p w14:paraId="2D7642A1" w14:textId="6A42404E" w:rsidR="006A029B" w:rsidRDefault="00A17F2C" w:rsidP="004F20B0">
      <w:pPr>
        <w:rPr>
          <w:b/>
          <w:szCs w:val="24"/>
        </w:rPr>
      </w:pPr>
      <w:r w:rsidRPr="0079191B">
        <w:rPr>
          <w:b/>
          <w:szCs w:val="24"/>
        </w:rPr>
        <w:t>Overview of the Legislative Instrument</w:t>
      </w:r>
    </w:p>
    <w:p w14:paraId="739A7C69" w14:textId="77777777" w:rsidR="009568CA" w:rsidRPr="00AD0786" w:rsidRDefault="009568CA" w:rsidP="009568CA">
      <w:pPr>
        <w:ind w:right="-483"/>
        <w:rPr>
          <w:szCs w:val="24"/>
        </w:rPr>
      </w:pPr>
      <w:r>
        <w:rPr>
          <w:szCs w:val="24"/>
        </w:rPr>
        <w:t>Items</w:t>
      </w:r>
      <w:r w:rsidRPr="00AD0786">
        <w:rPr>
          <w:szCs w:val="24"/>
        </w:rPr>
        <w:t xml:space="preserve"> 6080 and 6081 apply in relation to a </w:t>
      </w:r>
      <w:r w:rsidRPr="00B62A75">
        <w:rPr>
          <w:szCs w:val="24"/>
        </w:rPr>
        <w:t xml:space="preserve">transcatheter aortic valve implantation </w:t>
      </w:r>
      <w:r>
        <w:rPr>
          <w:szCs w:val="24"/>
        </w:rPr>
        <w:t>(</w:t>
      </w:r>
      <w:r w:rsidRPr="00AD0786">
        <w:rPr>
          <w:szCs w:val="24"/>
        </w:rPr>
        <w:t>TAVI</w:t>
      </w:r>
      <w:r>
        <w:rPr>
          <w:szCs w:val="24"/>
        </w:rPr>
        <w:t>)</w:t>
      </w:r>
      <w:r w:rsidRPr="00AD0786">
        <w:rPr>
          <w:szCs w:val="24"/>
        </w:rPr>
        <w:t xml:space="preserve"> </w:t>
      </w:r>
      <w:r>
        <w:rPr>
          <w:szCs w:val="24"/>
        </w:rPr>
        <w:t>c</w:t>
      </w:r>
      <w:r w:rsidRPr="00AD0786">
        <w:rPr>
          <w:szCs w:val="24"/>
        </w:rPr>
        <w:t xml:space="preserve">ase </w:t>
      </w:r>
      <w:r>
        <w:rPr>
          <w:szCs w:val="24"/>
        </w:rPr>
        <w:t>c</w:t>
      </w:r>
      <w:r w:rsidRPr="00AD0786">
        <w:rPr>
          <w:szCs w:val="24"/>
        </w:rPr>
        <w:t>onference, which is a process undertaken by a number of medical practitioners to assess and make recommendations regarding a patient’s suitability to receive</w:t>
      </w:r>
      <w:r>
        <w:rPr>
          <w:szCs w:val="24"/>
        </w:rPr>
        <w:t xml:space="preserve"> a TAVI procedure </w:t>
      </w:r>
      <w:r w:rsidRPr="00AD0786">
        <w:rPr>
          <w:szCs w:val="24"/>
        </w:rPr>
        <w:t>for the treatment of symptomatic severe aortic stenosis</w:t>
      </w:r>
      <w:r>
        <w:rPr>
          <w:szCs w:val="24"/>
        </w:rPr>
        <w:t>. Patients determined as eligible will be able to subsequently access the procedure under item 38495.</w:t>
      </w:r>
    </w:p>
    <w:p w14:paraId="08A3AFED" w14:textId="77777777" w:rsidR="009568CA" w:rsidRDefault="009568CA" w:rsidP="009568CA">
      <w:pPr>
        <w:ind w:right="-483"/>
        <w:rPr>
          <w:szCs w:val="24"/>
        </w:rPr>
      </w:pPr>
    </w:p>
    <w:p w14:paraId="0AA0BA3E" w14:textId="2196F0EA" w:rsidR="009568CA" w:rsidRDefault="009568CA" w:rsidP="009568CA">
      <w:pPr>
        <w:ind w:right="-483"/>
        <w:rPr>
          <w:szCs w:val="24"/>
        </w:rPr>
      </w:pPr>
      <w:r w:rsidRPr="00AB7962">
        <w:rPr>
          <w:szCs w:val="24"/>
        </w:rPr>
        <w:t xml:space="preserve">Items for TAVI and associated services were introduced on 1 November 2017 in the </w:t>
      </w:r>
      <w:r w:rsidRPr="00AB7962">
        <w:rPr>
          <w:i/>
          <w:szCs w:val="24"/>
        </w:rPr>
        <w:t xml:space="preserve">Health Insurance (Section 3C General Medical Services </w:t>
      </w:r>
      <w:r>
        <w:rPr>
          <w:i/>
          <w:iCs/>
        </w:rPr>
        <w:t>–</w:t>
      </w:r>
      <w:r w:rsidRPr="00AB7962">
        <w:rPr>
          <w:i/>
          <w:szCs w:val="24"/>
        </w:rPr>
        <w:t xml:space="preserve"> Transcatheter Aortic Valve Implantation) Determination 2017</w:t>
      </w:r>
      <w:r w:rsidRPr="00AB7962">
        <w:rPr>
          <w:szCs w:val="24"/>
        </w:rPr>
        <w:t xml:space="preserve"> (2017 Determination).</w:t>
      </w:r>
      <w:r>
        <w:rPr>
          <w:szCs w:val="24"/>
        </w:rPr>
        <w:t xml:space="preserve"> T</w:t>
      </w:r>
      <w:r w:rsidRPr="00AD0786">
        <w:rPr>
          <w:szCs w:val="24"/>
        </w:rPr>
        <w:t xml:space="preserve">he </w:t>
      </w:r>
      <w:r w:rsidRPr="00B62A75">
        <w:rPr>
          <w:i/>
          <w:szCs w:val="24"/>
        </w:rPr>
        <w:t xml:space="preserve">Health Insurance (Section 3C </w:t>
      </w:r>
      <w:r w:rsidRPr="00B62A75">
        <w:rPr>
          <w:i/>
          <w:iCs/>
          <w:szCs w:val="24"/>
        </w:rPr>
        <w:t xml:space="preserve">General Medical Services </w:t>
      </w:r>
      <w:r>
        <w:rPr>
          <w:i/>
          <w:iCs/>
        </w:rPr>
        <w:t>–</w:t>
      </w:r>
      <w:r w:rsidRPr="00B62A75">
        <w:rPr>
          <w:i/>
          <w:szCs w:val="24"/>
        </w:rPr>
        <w:t xml:space="preserve"> T</w:t>
      </w:r>
      <w:r w:rsidRPr="00B62A75">
        <w:rPr>
          <w:bCs/>
          <w:i/>
          <w:iCs/>
          <w:szCs w:val="24"/>
        </w:rPr>
        <w:t>ranscatheter Aortic Valve Implantation</w:t>
      </w:r>
      <w:r w:rsidRPr="00B62A75">
        <w:rPr>
          <w:i/>
          <w:szCs w:val="24"/>
        </w:rPr>
        <w:t>) Determination 201</w:t>
      </w:r>
      <w:r w:rsidR="00C43459">
        <w:rPr>
          <w:i/>
          <w:szCs w:val="24"/>
        </w:rPr>
        <w:t>8</w:t>
      </w:r>
      <w:r>
        <w:rPr>
          <w:i/>
          <w:szCs w:val="24"/>
        </w:rPr>
        <w:t xml:space="preserve"> </w:t>
      </w:r>
      <w:r w:rsidRPr="00AD0786">
        <w:rPr>
          <w:szCs w:val="24"/>
        </w:rPr>
        <w:t xml:space="preserve">will revoke and remake the 2017 Determination, with </w:t>
      </w:r>
      <w:r w:rsidR="00D10502">
        <w:rPr>
          <w:szCs w:val="24"/>
        </w:rPr>
        <w:t>a higher</w:t>
      </w:r>
      <w:r w:rsidRPr="00AD0786">
        <w:rPr>
          <w:szCs w:val="24"/>
        </w:rPr>
        <w:t xml:space="preserve"> fee for items 6080 and 6081.</w:t>
      </w:r>
    </w:p>
    <w:p w14:paraId="2412D15C" w14:textId="30092E68" w:rsidR="00A17F2C" w:rsidRPr="0079191B" w:rsidRDefault="00A17F2C" w:rsidP="006F2E4F">
      <w:pPr>
        <w:spacing w:before="120" w:after="120"/>
        <w:rPr>
          <w:b/>
          <w:szCs w:val="24"/>
        </w:rPr>
      </w:pPr>
      <w:r w:rsidRPr="0079191B">
        <w:rPr>
          <w:b/>
          <w:szCs w:val="24"/>
        </w:rPr>
        <w:t>Human rights implications</w:t>
      </w:r>
    </w:p>
    <w:p w14:paraId="2412D15D" w14:textId="7219CF1F" w:rsidR="00A17F2C" w:rsidRPr="0079191B" w:rsidRDefault="008B683E" w:rsidP="000337CB">
      <w:pPr>
        <w:spacing w:before="120" w:after="120"/>
        <w:rPr>
          <w:szCs w:val="24"/>
        </w:rPr>
      </w:pPr>
      <w:r w:rsidRPr="0079191B">
        <w:rPr>
          <w:szCs w:val="24"/>
        </w:rPr>
        <w:t>Th</w:t>
      </w:r>
      <w:r w:rsidR="00482DC9">
        <w:rPr>
          <w:szCs w:val="24"/>
        </w:rPr>
        <w:t>is</w:t>
      </w:r>
      <w:r w:rsidRPr="0079191B">
        <w:rPr>
          <w:szCs w:val="24"/>
        </w:rPr>
        <w:t xml:space="preserve"> </w:t>
      </w:r>
      <w:r w:rsidR="00482DC9">
        <w:rPr>
          <w:szCs w:val="24"/>
        </w:rPr>
        <w:t>Determination</w:t>
      </w:r>
      <w:r w:rsidR="00A17F2C" w:rsidRPr="0079191B">
        <w:rPr>
          <w:szCs w:val="24"/>
        </w:rPr>
        <w:t xml:space="preserve"> engage</w:t>
      </w:r>
      <w:r w:rsidR="00482DC9">
        <w:rPr>
          <w:szCs w:val="24"/>
        </w:rPr>
        <w:t>s</w:t>
      </w:r>
      <w:r w:rsidR="00A17F2C" w:rsidRPr="0079191B">
        <w:rPr>
          <w:szCs w:val="24"/>
        </w:rPr>
        <w:t xml:space="preserve"> Articles </w:t>
      </w:r>
      <w:r w:rsidR="002B7177" w:rsidRPr="0079191B">
        <w:rPr>
          <w:szCs w:val="24"/>
        </w:rPr>
        <w:t xml:space="preserve">9 </w:t>
      </w:r>
      <w:r w:rsidR="00A17F2C" w:rsidRPr="0079191B">
        <w:rPr>
          <w:szCs w:val="24"/>
        </w:rPr>
        <w:t xml:space="preserve">and 12 of the International Covenant on Economic Social and Cultural Rights (ICESCR), specifically the rights to health and social security. </w:t>
      </w:r>
    </w:p>
    <w:p w14:paraId="2412D15E" w14:textId="77777777" w:rsidR="00A17F2C" w:rsidRPr="0079191B" w:rsidRDefault="00A17F2C" w:rsidP="000337CB">
      <w:pPr>
        <w:spacing w:before="120" w:after="120"/>
        <w:rPr>
          <w:i/>
          <w:szCs w:val="24"/>
        </w:rPr>
      </w:pPr>
      <w:r w:rsidRPr="0079191B">
        <w:rPr>
          <w:i/>
          <w:szCs w:val="24"/>
        </w:rPr>
        <w:t>The Right to Health</w:t>
      </w:r>
    </w:p>
    <w:p w14:paraId="2412D15F" w14:textId="77777777" w:rsidR="00A17F2C" w:rsidRPr="0079191B" w:rsidRDefault="00A17F2C" w:rsidP="000337CB">
      <w:pPr>
        <w:spacing w:before="120" w:after="120"/>
        <w:rPr>
          <w:szCs w:val="24"/>
        </w:rPr>
      </w:pPr>
      <w:r w:rsidRPr="0079191B">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79191B" w:rsidRDefault="00A17F2C" w:rsidP="000337CB">
      <w:pPr>
        <w:spacing w:before="120" w:after="120"/>
        <w:rPr>
          <w:szCs w:val="24"/>
        </w:rPr>
      </w:pPr>
      <w:r w:rsidRPr="0079191B">
        <w:rPr>
          <w:szCs w:val="24"/>
        </w:rPr>
        <w:t xml:space="preserve">The Committee reports that the </w:t>
      </w:r>
      <w:r w:rsidRPr="0079191B">
        <w:rPr>
          <w:i/>
          <w:szCs w:val="24"/>
        </w:rPr>
        <w:t>‘highest attainable standard of health’</w:t>
      </w:r>
      <w:r w:rsidRPr="0079191B">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79191B" w:rsidRDefault="00A17F2C" w:rsidP="000337CB">
      <w:pPr>
        <w:spacing w:before="120" w:after="120"/>
        <w:rPr>
          <w:i/>
          <w:szCs w:val="24"/>
        </w:rPr>
      </w:pPr>
      <w:r w:rsidRPr="0079191B">
        <w:rPr>
          <w:i/>
          <w:szCs w:val="24"/>
        </w:rPr>
        <w:t xml:space="preserve">The Right to Social Security </w:t>
      </w:r>
    </w:p>
    <w:p w14:paraId="2412D162" w14:textId="77777777" w:rsidR="00A17F2C" w:rsidRPr="0079191B" w:rsidRDefault="00A17F2C" w:rsidP="000337CB">
      <w:pPr>
        <w:spacing w:before="120" w:after="120"/>
        <w:rPr>
          <w:szCs w:val="24"/>
        </w:rPr>
      </w:pPr>
      <w:r w:rsidRPr="0079191B">
        <w:rPr>
          <w:szCs w:val="24"/>
        </w:rPr>
        <w:t>The right to social security is contained in Article 9 of the ICESCR. It requires that a country must, within its maximum available resources, ensure access to a social security scheme that</w:t>
      </w:r>
      <w:r w:rsidR="00BA69CB" w:rsidRPr="0079191B">
        <w:rPr>
          <w:szCs w:val="24"/>
        </w:rPr>
        <w:t xml:space="preserve"> </w:t>
      </w:r>
      <w:r w:rsidRPr="0079191B">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79191B" w:rsidRDefault="00A17F2C" w:rsidP="000337CB">
      <w:pPr>
        <w:spacing w:before="120" w:after="120"/>
        <w:rPr>
          <w:szCs w:val="24"/>
        </w:rPr>
      </w:pPr>
      <w:r w:rsidRPr="0079191B">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w:t>
      </w:r>
      <w:r w:rsidRPr="0079191B">
        <w:rPr>
          <w:szCs w:val="24"/>
        </w:rPr>
        <w:lastRenderedPageBreak/>
        <w:t>limited resources in ways that it considers to be more effective at meeting the general health needs of all society, particularly the needs of the more disadvantaged members of society.</w:t>
      </w:r>
    </w:p>
    <w:p w14:paraId="2412D164" w14:textId="77777777" w:rsidR="00A17F2C" w:rsidRPr="0079191B" w:rsidRDefault="00A17F2C" w:rsidP="000337CB">
      <w:pPr>
        <w:spacing w:before="120" w:after="120"/>
        <w:rPr>
          <w:szCs w:val="24"/>
          <w:u w:val="single"/>
        </w:rPr>
      </w:pPr>
      <w:r w:rsidRPr="0079191B">
        <w:rPr>
          <w:szCs w:val="24"/>
          <w:u w:val="single"/>
        </w:rPr>
        <w:t xml:space="preserve">Analysis </w:t>
      </w:r>
    </w:p>
    <w:p w14:paraId="5CED5F70" w14:textId="04365BF8" w:rsidR="0079191B" w:rsidRPr="0079191B" w:rsidRDefault="0079191B" w:rsidP="00302F5C">
      <w:pPr>
        <w:rPr>
          <w:szCs w:val="24"/>
        </w:rPr>
      </w:pPr>
      <w:r w:rsidRPr="0079191B">
        <w:rPr>
          <w:szCs w:val="24"/>
        </w:rPr>
        <w:t xml:space="preserve">This Determination will </w:t>
      </w:r>
      <w:r w:rsidR="00482DC9">
        <w:rPr>
          <w:szCs w:val="24"/>
        </w:rPr>
        <w:t>maintain</w:t>
      </w:r>
      <w:r w:rsidRPr="0079191B">
        <w:rPr>
          <w:szCs w:val="24"/>
        </w:rPr>
        <w:t xml:space="preserve"> rights to health and social security by ensuring access to publicly subsidised health services which are clinically effective and cost-effective.</w:t>
      </w:r>
      <w:r w:rsidR="009568CA">
        <w:rPr>
          <w:szCs w:val="24"/>
        </w:rPr>
        <w:t xml:space="preserve"> It will adjust the fees for the TAVI case conference items to keep the fee</w:t>
      </w:r>
      <w:r w:rsidR="00823020">
        <w:rPr>
          <w:szCs w:val="24"/>
        </w:rPr>
        <w:t>s</w:t>
      </w:r>
      <w:r w:rsidR="009568CA">
        <w:rPr>
          <w:szCs w:val="24"/>
        </w:rPr>
        <w:t xml:space="preserve"> relative to other specialist attendance items.</w:t>
      </w:r>
    </w:p>
    <w:p w14:paraId="2412D166" w14:textId="1973400E" w:rsidR="00A17F2C" w:rsidRPr="0079191B" w:rsidRDefault="00A17F2C" w:rsidP="004B7CB9">
      <w:pPr>
        <w:spacing w:before="120" w:after="120" w:line="276" w:lineRule="auto"/>
        <w:rPr>
          <w:rFonts w:eastAsia="Calibri"/>
          <w:b/>
          <w:szCs w:val="24"/>
          <w:lang w:eastAsia="en-US"/>
        </w:rPr>
      </w:pPr>
      <w:r w:rsidRPr="0079191B">
        <w:rPr>
          <w:rFonts w:eastAsia="Calibri"/>
          <w:b/>
          <w:szCs w:val="24"/>
          <w:lang w:eastAsia="en-US"/>
        </w:rPr>
        <w:t xml:space="preserve">Conclusion </w:t>
      </w:r>
    </w:p>
    <w:p w14:paraId="2412D167" w14:textId="2F5E38FC" w:rsidR="00A17F2C" w:rsidRDefault="00F15284" w:rsidP="000337CB">
      <w:pPr>
        <w:rPr>
          <w:szCs w:val="24"/>
        </w:rPr>
      </w:pPr>
      <w:r w:rsidRPr="0079191B">
        <w:rPr>
          <w:szCs w:val="24"/>
        </w:rPr>
        <w:t xml:space="preserve">This </w:t>
      </w:r>
      <w:r w:rsidR="00546DB4">
        <w:rPr>
          <w:szCs w:val="24"/>
        </w:rPr>
        <w:t>Determination</w:t>
      </w:r>
      <w:r w:rsidRPr="0079191B">
        <w:rPr>
          <w:szCs w:val="24"/>
        </w:rPr>
        <w:t xml:space="preserve"> is compatible with human rights as it has a positive effect on </w:t>
      </w:r>
      <w:r w:rsidR="009568CA">
        <w:rPr>
          <w:szCs w:val="24"/>
        </w:rPr>
        <w:t>the right to health and the right so social security</w:t>
      </w:r>
      <w:r w:rsidRPr="0079191B">
        <w:rPr>
          <w:szCs w:val="24"/>
        </w:rPr>
        <w:t>.</w:t>
      </w:r>
    </w:p>
    <w:p w14:paraId="4CBCE606" w14:textId="77777777" w:rsidR="009568CA" w:rsidRPr="0079191B" w:rsidRDefault="009568CA" w:rsidP="000337CB">
      <w:pPr>
        <w:rPr>
          <w:szCs w:val="24"/>
        </w:rPr>
      </w:pPr>
    </w:p>
    <w:p w14:paraId="2412D168" w14:textId="77777777" w:rsidR="00F15284" w:rsidRPr="00B03218" w:rsidRDefault="00F15284" w:rsidP="000337CB">
      <w:pPr>
        <w:rPr>
          <w:rFonts w:eastAsia="Calibri"/>
          <w:szCs w:val="24"/>
          <w:highlight w:val="yellow"/>
          <w:lang w:eastAsia="en-US"/>
        </w:rPr>
      </w:pPr>
    </w:p>
    <w:p w14:paraId="7B021A82" w14:textId="4D3ED879" w:rsidR="00D67E0A" w:rsidRPr="00D67E0A" w:rsidRDefault="00482DC9" w:rsidP="009568CA">
      <w:pPr>
        <w:jc w:val="center"/>
        <w:rPr>
          <w:b/>
        </w:rPr>
      </w:pPr>
      <w:r>
        <w:rPr>
          <w:b/>
        </w:rPr>
        <w:t>Michael</w:t>
      </w:r>
      <w:r w:rsidR="00A33893">
        <w:rPr>
          <w:b/>
        </w:rPr>
        <w:t xml:space="preserve"> Ryan</w:t>
      </w:r>
    </w:p>
    <w:p w14:paraId="2412D16A" w14:textId="69A4632A" w:rsidR="00C80836" w:rsidRPr="00D67E0A" w:rsidRDefault="00482DC9" w:rsidP="009568CA">
      <w:pPr>
        <w:jc w:val="center"/>
        <w:rPr>
          <w:b/>
        </w:rPr>
      </w:pPr>
      <w:r>
        <w:rPr>
          <w:b/>
        </w:rPr>
        <w:t xml:space="preserve">Acting </w:t>
      </w:r>
      <w:r w:rsidR="00C80836" w:rsidRPr="00D67E0A">
        <w:rPr>
          <w:b/>
        </w:rPr>
        <w:t>Assistant Secretary</w:t>
      </w:r>
    </w:p>
    <w:p w14:paraId="2412D16B" w14:textId="725981AA" w:rsidR="006D3D81" w:rsidRPr="00D67E0A" w:rsidRDefault="009654C8" w:rsidP="009568CA">
      <w:pPr>
        <w:jc w:val="center"/>
        <w:rPr>
          <w:b/>
        </w:rPr>
      </w:pPr>
      <w:r>
        <w:rPr>
          <w:b/>
        </w:rPr>
        <w:t xml:space="preserve">MBS </w:t>
      </w:r>
      <w:r w:rsidR="008360AA">
        <w:rPr>
          <w:b/>
        </w:rPr>
        <w:t>Policy and</w:t>
      </w:r>
      <w:r w:rsidR="006D3D81" w:rsidRPr="00D67E0A">
        <w:rPr>
          <w:b/>
        </w:rPr>
        <w:t xml:space="preserve"> Specialist Services Branch</w:t>
      </w:r>
    </w:p>
    <w:p w14:paraId="2412D16C" w14:textId="7CF10BAA" w:rsidR="00C80836" w:rsidRDefault="00C80836" w:rsidP="009568CA">
      <w:pPr>
        <w:jc w:val="center"/>
        <w:rPr>
          <w:b/>
        </w:rPr>
      </w:pPr>
      <w:r w:rsidRPr="00D67E0A">
        <w:rPr>
          <w:b/>
        </w:rPr>
        <w:t>Medical Benefits Division</w:t>
      </w:r>
    </w:p>
    <w:p w14:paraId="465977B0" w14:textId="3EB1CD98" w:rsidR="00482DC9" w:rsidRPr="00D67E0A" w:rsidRDefault="00482DC9" w:rsidP="009568CA">
      <w:pPr>
        <w:jc w:val="center"/>
        <w:rPr>
          <w:b/>
        </w:rPr>
      </w:pPr>
      <w:r>
        <w:rPr>
          <w:b/>
        </w:rPr>
        <w:t>Health Financing Group</w:t>
      </w:r>
    </w:p>
    <w:p w14:paraId="2412D16D" w14:textId="77777777" w:rsidR="00C80836" w:rsidRPr="00C5724B" w:rsidRDefault="00C80836" w:rsidP="009568CA">
      <w:pPr>
        <w:jc w:val="center"/>
        <w:rPr>
          <w:b/>
        </w:rPr>
      </w:pPr>
      <w:r w:rsidRPr="00D67E0A">
        <w:rPr>
          <w:b/>
        </w:rPr>
        <w:t>Department of Health</w:t>
      </w:r>
    </w:p>
    <w:p w14:paraId="2412D16E" w14:textId="77777777" w:rsidR="00636C51" w:rsidRPr="00840877" w:rsidRDefault="00636C51" w:rsidP="009568CA">
      <w:pPr>
        <w:spacing w:before="120" w:after="120" w:line="276" w:lineRule="auto"/>
        <w:jc w:val="center"/>
        <w:rPr>
          <w:rFonts w:eastAsia="Calibri"/>
          <w:szCs w:val="24"/>
          <w:lang w:eastAsia="en-US"/>
        </w:rPr>
      </w:pPr>
    </w:p>
    <w:sectPr w:rsidR="00636C51" w:rsidRPr="00840877" w:rsidSect="00E23B6B">
      <w:headerReference w:type="even" r:id="rId12"/>
      <w:headerReference w:type="default" r:id="rId13"/>
      <w:headerReference w:type="first" r:id="rId14"/>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609863FE" w:rsidR="00E23B6B" w:rsidRDefault="00E23B6B">
        <w:pPr>
          <w:pStyle w:val="Header"/>
          <w:jc w:val="center"/>
        </w:pPr>
        <w:r>
          <w:fldChar w:fldCharType="begin"/>
        </w:r>
        <w:r>
          <w:instrText xml:space="preserve"> PAGE   \* MERGEFORMAT </w:instrText>
        </w:r>
        <w:r>
          <w:fldChar w:fldCharType="separate"/>
        </w:r>
        <w:r w:rsidR="004E5F14">
          <w:rPr>
            <w:noProof/>
          </w:rPr>
          <w:t>2</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1815DE27" w:rsidR="00E23B6B" w:rsidRDefault="00E23B6B">
        <w:pPr>
          <w:pStyle w:val="Header"/>
          <w:jc w:val="center"/>
        </w:pPr>
        <w:r>
          <w:fldChar w:fldCharType="begin"/>
        </w:r>
        <w:r>
          <w:instrText xml:space="preserve"> PAGE   \* MERGEFORMAT </w:instrText>
        </w:r>
        <w:r>
          <w:fldChar w:fldCharType="separate"/>
        </w:r>
        <w:r w:rsidR="004E5F14">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16"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7"/>
  </w:num>
  <w:num w:numId="5">
    <w:abstractNumId w:val="10"/>
  </w:num>
  <w:num w:numId="6">
    <w:abstractNumId w:val="6"/>
  </w:num>
  <w:num w:numId="7">
    <w:abstractNumId w:val="17"/>
  </w:num>
  <w:num w:numId="8">
    <w:abstractNumId w:val="4"/>
  </w:num>
  <w:num w:numId="9">
    <w:abstractNumId w:val="3"/>
  </w:num>
  <w:num w:numId="10">
    <w:abstractNumId w:val="18"/>
  </w:num>
  <w:num w:numId="11">
    <w:abstractNumId w:val="16"/>
  </w:num>
  <w:num w:numId="12">
    <w:abstractNumId w:val="8"/>
  </w:num>
  <w:num w:numId="13">
    <w:abstractNumId w:val="9"/>
  </w:num>
  <w:num w:numId="14">
    <w:abstractNumId w:val="15"/>
  </w:num>
  <w:num w:numId="15">
    <w:abstractNumId w:val="5"/>
  </w:num>
  <w:num w:numId="16">
    <w:abstractNumId w:val="11"/>
  </w:num>
  <w:num w:numId="17">
    <w:abstractNumId w:val="13"/>
  </w:num>
  <w:num w:numId="18">
    <w:abstractNumId w:val="12"/>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3D66"/>
    <w:rsid w:val="0000441D"/>
    <w:rsid w:val="00004E17"/>
    <w:rsid w:val="00005906"/>
    <w:rsid w:val="00007B65"/>
    <w:rsid w:val="00014639"/>
    <w:rsid w:val="00014B38"/>
    <w:rsid w:val="00016774"/>
    <w:rsid w:val="000203B4"/>
    <w:rsid w:val="00024158"/>
    <w:rsid w:val="00025F64"/>
    <w:rsid w:val="0002704E"/>
    <w:rsid w:val="00027830"/>
    <w:rsid w:val="000319EF"/>
    <w:rsid w:val="00033034"/>
    <w:rsid w:val="000337CB"/>
    <w:rsid w:val="0003591F"/>
    <w:rsid w:val="0003658F"/>
    <w:rsid w:val="00041849"/>
    <w:rsid w:val="0004426E"/>
    <w:rsid w:val="00044A2A"/>
    <w:rsid w:val="000509BA"/>
    <w:rsid w:val="0005224B"/>
    <w:rsid w:val="000550A2"/>
    <w:rsid w:val="0005533C"/>
    <w:rsid w:val="00063242"/>
    <w:rsid w:val="000640CF"/>
    <w:rsid w:val="00064BA4"/>
    <w:rsid w:val="00067F59"/>
    <w:rsid w:val="000710DD"/>
    <w:rsid w:val="0007187A"/>
    <w:rsid w:val="000727E0"/>
    <w:rsid w:val="00073983"/>
    <w:rsid w:val="00073BC9"/>
    <w:rsid w:val="00076FE3"/>
    <w:rsid w:val="00080116"/>
    <w:rsid w:val="00081188"/>
    <w:rsid w:val="00081C37"/>
    <w:rsid w:val="0009514A"/>
    <w:rsid w:val="000969EF"/>
    <w:rsid w:val="000A199B"/>
    <w:rsid w:val="000A31F2"/>
    <w:rsid w:val="000A45BE"/>
    <w:rsid w:val="000A467F"/>
    <w:rsid w:val="000A6FB3"/>
    <w:rsid w:val="000A7B9B"/>
    <w:rsid w:val="000B3452"/>
    <w:rsid w:val="000C1226"/>
    <w:rsid w:val="000C12EE"/>
    <w:rsid w:val="000C3D8A"/>
    <w:rsid w:val="000C46E6"/>
    <w:rsid w:val="000C6797"/>
    <w:rsid w:val="000C6FF8"/>
    <w:rsid w:val="000D1325"/>
    <w:rsid w:val="000D3B79"/>
    <w:rsid w:val="000D7803"/>
    <w:rsid w:val="000E1ACD"/>
    <w:rsid w:val="000E3444"/>
    <w:rsid w:val="000E4AFA"/>
    <w:rsid w:val="000E534F"/>
    <w:rsid w:val="000E66FA"/>
    <w:rsid w:val="000E7163"/>
    <w:rsid w:val="000F0241"/>
    <w:rsid w:val="000F14A0"/>
    <w:rsid w:val="000F1575"/>
    <w:rsid w:val="000F1714"/>
    <w:rsid w:val="000F249E"/>
    <w:rsid w:val="000F37A0"/>
    <w:rsid w:val="000F5E76"/>
    <w:rsid w:val="00104751"/>
    <w:rsid w:val="00106763"/>
    <w:rsid w:val="00107F36"/>
    <w:rsid w:val="0011066E"/>
    <w:rsid w:val="00113B2E"/>
    <w:rsid w:val="00120766"/>
    <w:rsid w:val="00121A66"/>
    <w:rsid w:val="00132087"/>
    <w:rsid w:val="00134B27"/>
    <w:rsid w:val="001400C4"/>
    <w:rsid w:val="00141323"/>
    <w:rsid w:val="00141E8C"/>
    <w:rsid w:val="00143943"/>
    <w:rsid w:val="00145918"/>
    <w:rsid w:val="00145D25"/>
    <w:rsid w:val="001519E4"/>
    <w:rsid w:val="00154FC4"/>
    <w:rsid w:val="0015521F"/>
    <w:rsid w:val="00155DA2"/>
    <w:rsid w:val="001641C0"/>
    <w:rsid w:val="0016646C"/>
    <w:rsid w:val="00167DA1"/>
    <w:rsid w:val="0017187F"/>
    <w:rsid w:val="00174E96"/>
    <w:rsid w:val="001770D9"/>
    <w:rsid w:val="0018012F"/>
    <w:rsid w:val="00180742"/>
    <w:rsid w:val="00181F74"/>
    <w:rsid w:val="00183C10"/>
    <w:rsid w:val="0018451D"/>
    <w:rsid w:val="001865F8"/>
    <w:rsid w:val="001867EA"/>
    <w:rsid w:val="00187EE5"/>
    <w:rsid w:val="00190FC9"/>
    <w:rsid w:val="0019289B"/>
    <w:rsid w:val="0019464A"/>
    <w:rsid w:val="00195A6A"/>
    <w:rsid w:val="0019711F"/>
    <w:rsid w:val="001978CE"/>
    <w:rsid w:val="001A4BE2"/>
    <w:rsid w:val="001A7249"/>
    <w:rsid w:val="001A7EF8"/>
    <w:rsid w:val="001B0111"/>
    <w:rsid w:val="001B3714"/>
    <w:rsid w:val="001B66AF"/>
    <w:rsid w:val="001B7092"/>
    <w:rsid w:val="001C1B86"/>
    <w:rsid w:val="001C35BC"/>
    <w:rsid w:val="001C5FC1"/>
    <w:rsid w:val="001C6713"/>
    <w:rsid w:val="001D6B46"/>
    <w:rsid w:val="001D778A"/>
    <w:rsid w:val="001D7D62"/>
    <w:rsid w:val="001E2D6D"/>
    <w:rsid w:val="001E3B02"/>
    <w:rsid w:val="001E5391"/>
    <w:rsid w:val="001E5787"/>
    <w:rsid w:val="001E57BC"/>
    <w:rsid w:val="001E5DE7"/>
    <w:rsid w:val="001E63F3"/>
    <w:rsid w:val="001E7C25"/>
    <w:rsid w:val="001F0923"/>
    <w:rsid w:val="001F1F27"/>
    <w:rsid w:val="002003F7"/>
    <w:rsid w:val="00203952"/>
    <w:rsid w:val="00203F23"/>
    <w:rsid w:val="00204413"/>
    <w:rsid w:val="00207E65"/>
    <w:rsid w:val="00213177"/>
    <w:rsid w:val="00216C44"/>
    <w:rsid w:val="00217EBF"/>
    <w:rsid w:val="00220EE3"/>
    <w:rsid w:val="00221C4B"/>
    <w:rsid w:val="002227DF"/>
    <w:rsid w:val="0022342C"/>
    <w:rsid w:val="00225B50"/>
    <w:rsid w:val="00225D8E"/>
    <w:rsid w:val="002322A8"/>
    <w:rsid w:val="00236DF2"/>
    <w:rsid w:val="0024152E"/>
    <w:rsid w:val="00242974"/>
    <w:rsid w:val="00244D84"/>
    <w:rsid w:val="00250061"/>
    <w:rsid w:val="00250642"/>
    <w:rsid w:val="00251E4A"/>
    <w:rsid w:val="00251F50"/>
    <w:rsid w:val="00253E30"/>
    <w:rsid w:val="0025493F"/>
    <w:rsid w:val="00257E4D"/>
    <w:rsid w:val="00262865"/>
    <w:rsid w:val="00263279"/>
    <w:rsid w:val="002643FC"/>
    <w:rsid w:val="00266E1C"/>
    <w:rsid w:val="0027545F"/>
    <w:rsid w:val="0027610D"/>
    <w:rsid w:val="00277AD1"/>
    <w:rsid w:val="00284483"/>
    <w:rsid w:val="00287AEF"/>
    <w:rsid w:val="00287B08"/>
    <w:rsid w:val="00290B98"/>
    <w:rsid w:val="002944D4"/>
    <w:rsid w:val="0029737E"/>
    <w:rsid w:val="00297AD0"/>
    <w:rsid w:val="002A0CC8"/>
    <w:rsid w:val="002A3243"/>
    <w:rsid w:val="002A68B3"/>
    <w:rsid w:val="002B2E78"/>
    <w:rsid w:val="002B49DE"/>
    <w:rsid w:val="002B4E4D"/>
    <w:rsid w:val="002B53D3"/>
    <w:rsid w:val="002B7177"/>
    <w:rsid w:val="002C4F5B"/>
    <w:rsid w:val="002C54A1"/>
    <w:rsid w:val="002C5DCD"/>
    <w:rsid w:val="002D03AB"/>
    <w:rsid w:val="002D2A4E"/>
    <w:rsid w:val="002D5294"/>
    <w:rsid w:val="002D5DFC"/>
    <w:rsid w:val="002D6269"/>
    <w:rsid w:val="002E12C3"/>
    <w:rsid w:val="002E3493"/>
    <w:rsid w:val="002E35BF"/>
    <w:rsid w:val="002E5F5C"/>
    <w:rsid w:val="002E6FD5"/>
    <w:rsid w:val="002E7D88"/>
    <w:rsid w:val="002F0434"/>
    <w:rsid w:val="002F1707"/>
    <w:rsid w:val="002F2B21"/>
    <w:rsid w:val="002F2F33"/>
    <w:rsid w:val="002F3A26"/>
    <w:rsid w:val="002F449C"/>
    <w:rsid w:val="002F4CD2"/>
    <w:rsid w:val="002F7549"/>
    <w:rsid w:val="00301D49"/>
    <w:rsid w:val="003025C7"/>
    <w:rsid w:val="00302F5C"/>
    <w:rsid w:val="0031124D"/>
    <w:rsid w:val="00313554"/>
    <w:rsid w:val="003239D0"/>
    <w:rsid w:val="00324908"/>
    <w:rsid w:val="0033493D"/>
    <w:rsid w:val="00337DE1"/>
    <w:rsid w:val="0034031B"/>
    <w:rsid w:val="00340BDB"/>
    <w:rsid w:val="00340E39"/>
    <w:rsid w:val="003412CB"/>
    <w:rsid w:val="0035214B"/>
    <w:rsid w:val="00353351"/>
    <w:rsid w:val="00353622"/>
    <w:rsid w:val="00357CD8"/>
    <w:rsid w:val="0036105C"/>
    <w:rsid w:val="00361ADE"/>
    <w:rsid w:val="0036495A"/>
    <w:rsid w:val="00366C2C"/>
    <w:rsid w:val="00367440"/>
    <w:rsid w:val="00371F67"/>
    <w:rsid w:val="00372E34"/>
    <w:rsid w:val="00375E39"/>
    <w:rsid w:val="003760ED"/>
    <w:rsid w:val="00380CBA"/>
    <w:rsid w:val="0038127E"/>
    <w:rsid w:val="00384080"/>
    <w:rsid w:val="003876E6"/>
    <w:rsid w:val="00391AFA"/>
    <w:rsid w:val="003937EF"/>
    <w:rsid w:val="00393E9B"/>
    <w:rsid w:val="00397A97"/>
    <w:rsid w:val="003A5A70"/>
    <w:rsid w:val="003A6230"/>
    <w:rsid w:val="003A6299"/>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77CB"/>
    <w:rsid w:val="003F47FD"/>
    <w:rsid w:val="003F4B52"/>
    <w:rsid w:val="003F73BA"/>
    <w:rsid w:val="003F73F0"/>
    <w:rsid w:val="00401423"/>
    <w:rsid w:val="00403105"/>
    <w:rsid w:val="00405890"/>
    <w:rsid w:val="00405EF4"/>
    <w:rsid w:val="00411365"/>
    <w:rsid w:val="0041237F"/>
    <w:rsid w:val="00414613"/>
    <w:rsid w:val="0041767B"/>
    <w:rsid w:val="00421D5F"/>
    <w:rsid w:val="00422831"/>
    <w:rsid w:val="00424197"/>
    <w:rsid w:val="00425F40"/>
    <w:rsid w:val="004265AA"/>
    <w:rsid w:val="00426A8D"/>
    <w:rsid w:val="00430861"/>
    <w:rsid w:val="00432D4D"/>
    <w:rsid w:val="00433DCE"/>
    <w:rsid w:val="00437B1B"/>
    <w:rsid w:val="004405B8"/>
    <w:rsid w:val="004417A2"/>
    <w:rsid w:val="00442F9D"/>
    <w:rsid w:val="00444022"/>
    <w:rsid w:val="004456A4"/>
    <w:rsid w:val="00445A6D"/>
    <w:rsid w:val="00446A6B"/>
    <w:rsid w:val="0045189C"/>
    <w:rsid w:val="004636B4"/>
    <w:rsid w:val="004641DC"/>
    <w:rsid w:val="004669A4"/>
    <w:rsid w:val="00466A5B"/>
    <w:rsid w:val="00467516"/>
    <w:rsid w:val="0046799A"/>
    <w:rsid w:val="0047494B"/>
    <w:rsid w:val="00475A85"/>
    <w:rsid w:val="00476F13"/>
    <w:rsid w:val="00480561"/>
    <w:rsid w:val="004806B3"/>
    <w:rsid w:val="004828A9"/>
    <w:rsid w:val="00482DC9"/>
    <w:rsid w:val="004849DE"/>
    <w:rsid w:val="00484A65"/>
    <w:rsid w:val="00484E4F"/>
    <w:rsid w:val="004876DF"/>
    <w:rsid w:val="00492341"/>
    <w:rsid w:val="00492DBE"/>
    <w:rsid w:val="004962CC"/>
    <w:rsid w:val="00497EC1"/>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68D1"/>
    <w:rsid w:val="004C6AE7"/>
    <w:rsid w:val="004C72E8"/>
    <w:rsid w:val="004D04DF"/>
    <w:rsid w:val="004D1BF4"/>
    <w:rsid w:val="004D7821"/>
    <w:rsid w:val="004E10C5"/>
    <w:rsid w:val="004E22A7"/>
    <w:rsid w:val="004E39E6"/>
    <w:rsid w:val="004E5F14"/>
    <w:rsid w:val="004E71DC"/>
    <w:rsid w:val="004E7F97"/>
    <w:rsid w:val="004F1563"/>
    <w:rsid w:val="004F20B0"/>
    <w:rsid w:val="005012BC"/>
    <w:rsid w:val="00502156"/>
    <w:rsid w:val="00502277"/>
    <w:rsid w:val="005042B5"/>
    <w:rsid w:val="00505C67"/>
    <w:rsid w:val="00510A4F"/>
    <w:rsid w:val="005119E9"/>
    <w:rsid w:val="00512A65"/>
    <w:rsid w:val="005130BE"/>
    <w:rsid w:val="005140F2"/>
    <w:rsid w:val="0052165A"/>
    <w:rsid w:val="00521802"/>
    <w:rsid w:val="00532CD3"/>
    <w:rsid w:val="005345A9"/>
    <w:rsid w:val="00534D8A"/>
    <w:rsid w:val="0054004F"/>
    <w:rsid w:val="00542913"/>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258C"/>
    <w:rsid w:val="00573651"/>
    <w:rsid w:val="00574E71"/>
    <w:rsid w:val="005811D8"/>
    <w:rsid w:val="00581904"/>
    <w:rsid w:val="00582B3F"/>
    <w:rsid w:val="00585309"/>
    <w:rsid w:val="005857E8"/>
    <w:rsid w:val="00590B04"/>
    <w:rsid w:val="00592F78"/>
    <w:rsid w:val="00594EB6"/>
    <w:rsid w:val="0059798F"/>
    <w:rsid w:val="005A0300"/>
    <w:rsid w:val="005A163F"/>
    <w:rsid w:val="005A3D73"/>
    <w:rsid w:val="005A445D"/>
    <w:rsid w:val="005B0EA3"/>
    <w:rsid w:val="005B1B0A"/>
    <w:rsid w:val="005B5062"/>
    <w:rsid w:val="005B6234"/>
    <w:rsid w:val="005C4A91"/>
    <w:rsid w:val="005C5824"/>
    <w:rsid w:val="005C6118"/>
    <w:rsid w:val="005D3575"/>
    <w:rsid w:val="005D3CED"/>
    <w:rsid w:val="005D538F"/>
    <w:rsid w:val="005D63D9"/>
    <w:rsid w:val="005D68D1"/>
    <w:rsid w:val="005E293A"/>
    <w:rsid w:val="005E49E7"/>
    <w:rsid w:val="005E56FE"/>
    <w:rsid w:val="005E6A82"/>
    <w:rsid w:val="005E7398"/>
    <w:rsid w:val="005F04DC"/>
    <w:rsid w:val="00601165"/>
    <w:rsid w:val="00607971"/>
    <w:rsid w:val="00611A4E"/>
    <w:rsid w:val="006122C0"/>
    <w:rsid w:val="0061281D"/>
    <w:rsid w:val="00613C46"/>
    <w:rsid w:val="00616889"/>
    <w:rsid w:val="00617F77"/>
    <w:rsid w:val="00623004"/>
    <w:rsid w:val="00635031"/>
    <w:rsid w:val="006369D4"/>
    <w:rsid w:val="00636C51"/>
    <w:rsid w:val="006407FA"/>
    <w:rsid w:val="006427B2"/>
    <w:rsid w:val="00642BEB"/>
    <w:rsid w:val="00647426"/>
    <w:rsid w:val="00647590"/>
    <w:rsid w:val="006526F5"/>
    <w:rsid w:val="00657702"/>
    <w:rsid w:val="006619F5"/>
    <w:rsid w:val="0066562D"/>
    <w:rsid w:val="00670998"/>
    <w:rsid w:val="00672050"/>
    <w:rsid w:val="00673872"/>
    <w:rsid w:val="00674A34"/>
    <w:rsid w:val="00685515"/>
    <w:rsid w:val="0068642A"/>
    <w:rsid w:val="00694C76"/>
    <w:rsid w:val="006A029B"/>
    <w:rsid w:val="006A17A1"/>
    <w:rsid w:val="006A61C5"/>
    <w:rsid w:val="006B0F31"/>
    <w:rsid w:val="006B13BC"/>
    <w:rsid w:val="006B32FE"/>
    <w:rsid w:val="006B3959"/>
    <w:rsid w:val="006B4B58"/>
    <w:rsid w:val="006B6925"/>
    <w:rsid w:val="006C138D"/>
    <w:rsid w:val="006C3807"/>
    <w:rsid w:val="006C7491"/>
    <w:rsid w:val="006C761B"/>
    <w:rsid w:val="006C76B5"/>
    <w:rsid w:val="006D2B37"/>
    <w:rsid w:val="006D3D81"/>
    <w:rsid w:val="006D4AA4"/>
    <w:rsid w:val="006D54FB"/>
    <w:rsid w:val="006D5816"/>
    <w:rsid w:val="006D627E"/>
    <w:rsid w:val="006D62D4"/>
    <w:rsid w:val="006E1A62"/>
    <w:rsid w:val="006E320C"/>
    <w:rsid w:val="006E3D84"/>
    <w:rsid w:val="006E5C6B"/>
    <w:rsid w:val="006E6377"/>
    <w:rsid w:val="006E6640"/>
    <w:rsid w:val="006F183E"/>
    <w:rsid w:val="006F2E4F"/>
    <w:rsid w:val="006F5CDC"/>
    <w:rsid w:val="006F6EC2"/>
    <w:rsid w:val="0070058D"/>
    <w:rsid w:val="00702854"/>
    <w:rsid w:val="00704585"/>
    <w:rsid w:val="00704A1A"/>
    <w:rsid w:val="00705833"/>
    <w:rsid w:val="00705924"/>
    <w:rsid w:val="00707B77"/>
    <w:rsid w:val="007103BC"/>
    <w:rsid w:val="0071184F"/>
    <w:rsid w:val="00712189"/>
    <w:rsid w:val="007134A2"/>
    <w:rsid w:val="00717B45"/>
    <w:rsid w:val="0072331C"/>
    <w:rsid w:val="00726CFA"/>
    <w:rsid w:val="0072758A"/>
    <w:rsid w:val="007304D5"/>
    <w:rsid w:val="00730965"/>
    <w:rsid w:val="00735753"/>
    <w:rsid w:val="00735CCC"/>
    <w:rsid w:val="007368DC"/>
    <w:rsid w:val="00736AC9"/>
    <w:rsid w:val="00741A4E"/>
    <w:rsid w:val="00742E97"/>
    <w:rsid w:val="007452E0"/>
    <w:rsid w:val="00745BD4"/>
    <w:rsid w:val="007505FB"/>
    <w:rsid w:val="00752997"/>
    <w:rsid w:val="007533EC"/>
    <w:rsid w:val="00757618"/>
    <w:rsid w:val="00762606"/>
    <w:rsid w:val="00762B45"/>
    <w:rsid w:val="0076544A"/>
    <w:rsid w:val="00767402"/>
    <w:rsid w:val="0077044D"/>
    <w:rsid w:val="00774454"/>
    <w:rsid w:val="00774ABF"/>
    <w:rsid w:val="00776E17"/>
    <w:rsid w:val="00782D07"/>
    <w:rsid w:val="007859F8"/>
    <w:rsid w:val="00791384"/>
    <w:rsid w:val="0079191B"/>
    <w:rsid w:val="00791C27"/>
    <w:rsid w:val="0079239C"/>
    <w:rsid w:val="007934F3"/>
    <w:rsid w:val="00795A80"/>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767F"/>
    <w:rsid w:val="007C79FB"/>
    <w:rsid w:val="007D3891"/>
    <w:rsid w:val="007D4584"/>
    <w:rsid w:val="007D4A14"/>
    <w:rsid w:val="007E0D9D"/>
    <w:rsid w:val="007E4B4C"/>
    <w:rsid w:val="007E7ABF"/>
    <w:rsid w:val="007F0907"/>
    <w:rsid w:val="007F0D24"/>
    <w:rsid w:val="007F10B5"/>
    <w:rsid w:val="007F1C81"/>
    <w:rsid w:val="007F6ABA"/>
    <w:rsid w:val="0080144C"/>
    <w:rsid w:val="00804A98"/>
    <w:rsid w:val="00805C3A"/>
    <w:rsid w:val="008129B1"/>
    <w:rsid w:val="00817A12"/>
    <w:rsid w:val="00823020"/>
    <w:rsid w:val="0082437E"/>
    <w:rsid w:val="008259FD"/>
    <w:rsid w:val="00825B2C"/>
    <w:rsid w:val="00826C1C"/>
    <w:rsid w:val="00832E86"/>
    <w:rsid w:val="00833BAB"/>
    <w:rsid w:val="00833FCC"/>
    <w:rsid w:val="008356E6"/>
    <w:rsid w:val="008360AA"/>
    <w:rsid w:val="00837412"/>
    <w:rsid w:val="00840877"/>
    <w:rsid w:val="0084180A"/>
    <w:rsid w:val="0084197A"/>
    <w:rsid w:val="00843425"/>
    <w:rsid w:val="00845708"/>
    <w:rsid w:val="00846484"/>
    <w:rsid w:val="008478EE"/>
    <w:rsid w:val="00852FB1"/>
    <w:rsid w:val="0085475F"/>
    <w:rsid w:val="00855C39"/>
    <w:rsid w:val="008604B1"/>
    <w:rsid w:val="008609B1"/>
    <w:rsid w:val="008645C4"/>
    <w:rsid w:val="00867884"/>
    <w:rsid w:val="00875104"/>
    <w:rsid w:val="008774D2"/>
    <w:rsid w:val="00883771"/>
    <w:rsid w:val="00883C9D"/>
    <w:rsid w:val="00883EFE"/>
    <w:rsid w:val="008869CA"/>
    <w:rsid w:val="0089513F"/>
    <w:rsid w:val="00895699"/>
    <w:rsid w:val="008A153F"/>
    <w:rsid w:val="008A54A9"/>
    <w:rsid w:val="008A6188"/>
    <w:rsid w:val="008A79C6"/>
    <w:rsid w:val="008B28F2"/>
    <w:rsid w:val="008B444F"/>
    <w:rsid w:val="008B683E"/>
    <w:rsid w:val="008C0EF7"/>
    <w:rsid w:val="008C11A2"/>
    <w:rsid w:val="008C20F7"/>
    <w:rsid w:val="008C5F1C"/>
    <w:rsid w:val="008D06D8"/>
    <w:rsid w:val="008D1B01"/>
    <w:rsid w:val="008D2A83"/>
    <w:rsid w:val="008D2D7B"/>
    <w:rsid w:val="008D2D98"/>
    <w:rsid w:val="008D44EB"/>
    <w:rsid w:val="008E3E1A"/>
    <w:rsid w:val="008E4039"/>
    <w:rsid w:val="008F1AA9"/>
    <w:rsid w:val="008F7C5B"/>
    <w:rsid w:val="009049C0"/>
    <w:rsid w:val="009069D6"/>
    <w:rsid w:val="00912380"/>
    <w:rsid w:val="009124F6"/>
    <w:rsid w:val="00912BC1"/>
    <w:rsid w:val="00913B67"/>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68CA"/>
    <w:rsid w:val="009574A8"/>
    <w:rsid w:val="00964D68"/>
    <w:rsid w:val="00965025"/>
    <w:rsid w:val="009654C8"/>
    <w:rsid w:val="00967E51"/>
    <w:rsid w:val="00971039"/>
    <w:rsid w:val="00971B7B"/>
    <w:rsid w:val="00971D3B"/>
    <w:rsid w:val="00972D48"/>
    <w:rsid w:val="00975E68"/>
    <w:rsid w:val="00977A95"/>
    <w:rsid w:val="00982585"/>
    <w:rsid w:val="00985DC9"/>
    <w:rsid w:val="00985FA9"/>
    <w:rsid w:val="009902F7"/>
    <w:rsid w:val="0099448D"/>
    <w:rsid w:val="00995A06"/>
    <w:rsid w:val="009A222A"/>
    <w:rsid w:val="009B1FD2"/>
    <w:rsid w:val="009B3AEB"/>
    <w:rsid w:val="009B7AE2"/>
    <w:rsid w:val="009C3EB5"/>
    <w:rsid w:val="009C444B"/>
    <w:rsid w:val="009D3773"/>
    <w:rsid w:val="009D499D"/>
    <w:rsid w:val="009D72AA"/>
    <w:rsid w:val="009E2AEA"/>
    <w:rsid w:val="009E3183"/>
    <w:rsid w:val="009E36E1"/>
    <w:rsid w:val="009E3783"/>
    <w:rsid w:val="009E3EA3"/>
    <w:rsid w:val="009E3ED4"/>
    <w:rsid w:val="009E57E1"/>
    <w:rsid w:val="009F45FE"/>
    <w:rsid w:val="00A01F6A"/>
    <w:rsid w:val="00A0393C"/>
    <w:rsid w:val="00A045CA"/>
    <w:rsid w:val="00A04DC3"/>
    <w:rsid w:val="00A0597B"/>
    <w:rsid w:val="00A05DAD"/>
    <w:rsid w:val="00A14878"/>
    <w:rsid w:val="00A1707B"/>
    <w:rsid w:val="00A1739A"/>
    <w:rsid w:val="00A17694"/>
    <w:rsid w:val="00A17F2C"/>
    <w:rsid w:val="00A232B9"/>
    <w:rsid w:val="00A33893"/>
    <w:rsid w:val="00A34C9A"/>
    <w:rsid w:val="00A406C5"/>
    <w:rsid w:val="00A41364"/>
    <w:rsid w:val="00A41F72"/>
    <w:rsid w:val="00A54CA1"/>
    <w:rsid w:val="00A62031"/>
    <w:rsid w:val="00A65D80"/>
    <w:rsid w:val="00A672A7"/>
    <w:rsid w:val="00A714DD"/>
    <w:rsid w:val="00A7379C"/>
    <w:rsid w:val="00A73CF1"/>
    <w:rsid w:val="00A75C9A"/>
    <w:rsid w:val="00A835D4"/>
    <w:rsid w:val="00A85AA3"/>
    <w:rsid w:val="00A90EE0"/>
    <w:rsid w:val="00A9123D"/>
    <w:rsid w:val="00A92534"/>
    <w:rsid w:val="00A927C4"/>
    <w:rsid w:val="00A92BCA"/>
    <w:rsid w:val="00AA0F9E"/>
    <w:rsid w:val="00AA2734"/>
    <w:rsid w:val="00AA3015"/>
    <w:rsid w:val="00AA4399"/>
    <w:rsid w:val="00AA4D97"/>
    <w:rsid w:val="00AA59AF"/>
    <w:rsid w:val="00AB05D5"/>
    <w:rsid w:val="00AB2611"/>
    <w:rsid w:val="00AB35DC"/>
    <w:rsid w:val="00AB419D"/>
    <w:rsid w:val="00AB52D0"/>
    <w:rsid w:val="00AB7962"/>
    <w:rsid w:val="00AC046B"/>
    <w:rsid w:val="00AC1E16"/>
    <w:rsid w:val="00AC1EDB"/>
    <w:rsid w:val="00AC3A0C"/>
    <w:rsid w:val="00AC3EEC"/>
    <w:rsid w:val="00AC54F8"/>
    <w:rsid w:val="00AC57A5"/>
    <w:rsid w:val="00AC681D"/>
    <w:rsid w:val="00AC6FF1"/>
    <w:rsid w:val="00AD0786"/>
    <w:rsid w:val="00AD0F67"/>
    <w:rsid w:val="00AD7E8E"/>
    <w:rsid w:val="00AE0F81"/>
    <w:rsid w:val="00AE330D"/>
    <w:rsid w:val="00AF3563"/>
    <w:rsid w:val="00AF3BCE"/>
    <w:rsid w:val="00AF7622"/>
    <w:rsid w:val="00B00238"/>
    <w:rsid w:val="00B019A9"/>
    <w:rsid w:val="00B03218"/>
    <w:rsid w:val="00B03273"/>
    <w:rsid w:val="00B039EC"/>
    <w:rsid w:val="00B07EFF"/>
    <w:rsid w:val="00B10984"/>
    <w:rsid w:val="00B110B5"/>
    <w:rsid w:val="00B167A2"/>
    <w:rsid w:val="00B174E3"/>
    <w:rsid w:val="00B205AB"/>
    <w:rsid w:val="00B27A5B"/>
    <w:rsid w:val="00B316E7"/>
    <w:rsid w:val="00B3398C"/>
    <w:rsid w:val="00B34BDE"/>
    <w:rsid w:val="00B34EF9"/>
    <w:rsid w:val="00B3578F"/>
    <w:rsid w:val="00B35DAD"/>
    <w:rsid w:val="00B41AE8"/>
    <w:rsid w:val="00B445D0"/>
    <w:rsid w:val="00B45C4D"/>
    <w:rsid w:val="00B53FF2"/>
    <w:rsid w:val="00B54620"/>
    <w:rsid w:val="00B55CDD"/>
    <w:rsid w:val="00B56E4F"/>
    <w:rsid w:val="00B62A75"/>
    <w:rsid w:val="00B63A7A"/>
    <w:rsid w:val="00B70D13"/>
    <w:rsid w:val="00B7119B"/>
    <w:rsid w:val="00B72847"/>
    <w:rsid w:val="00B746F1"/>
    <w:rsid w:val="00B748AE"/>
    <w:rsid w:val="00B75DB2"/>
    <w:rsid w:val="00B7681E"/>
    <w:rsid w:val="00B8102C"/>
    <w:rsid w:val="00B832A3"/>
    <w:rsid w:val="00B83AFF"/>
    <w:rsid w:val="00B84958"/>
    <w:rsid w:val="00B910E8"/>
    <w:rsid w:val="00B9328C"/>
    <w:rsid w:val="00B94CD8"/>
    <w:rsid w:val="00B96F1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304A"/>
    <w:rsid w:val="00BE1022"/>
    <w:rsid w:val="00BE283F"/>
    <w:rsid w:val="00BE2ECA"/>
    <w:rsid w:val="00BE2EFA"/>
    <w:rsid w:val="00BE597C"/>
    <w:rsid w:val="00BE6870"/>
    <w:rsid w:val="00BE71FD"/>
    <w:rsid w:val="00BE7B19"/>
    <w:rsid w:val="00BF23A6"/>
    <w:rsid w:val="00BF3B3D"/>
    <w:rsid w:val="00BF564D"/>
    <w:rsid w:val="00BF5A87"/>
    <w:rsid w:val="00BF6341"/>
    <w:rsid w:val="00C0045E"/>
    <w:rsid w:val="00C00FD8"/>
    <w:rsid w:val="00C05E84"/>
    <w:rsid w:val="00C073E4"/>
    <w:rsid w:val="00C07C34"/>
    <w:rsid w:val="00C13962"/>
    <w:rsid w:val="00C154E6"/>
    <w:rsid w:val="00C158B5"/>
    <w:rsid w:val="00C16E23"/>
    <w:rsid w:val="00C2082B"/>
    <w:rsid w:val="00C33771"/>
    <w:rsid w:val="00C3411B"/>
    <w:rsid w:val="00C34230"/>
    <w:rsid w:val="00C3661B"/>
    <w:rsid w:val="00C42112"/>
    <w:rsid w:val="00C43459"/>
    <w:rsid w:val="00C4692B"/>
    <w:rsid w:val="00C46A0C"/>
    <w:rsid w:val="00C473F7"/>
    <w:rsid w:val="00C5100A"/>
    <w:rsid w:val="00C51884"/>
    <w:rsid w:val="00C549BC"/>
    <w:rsid w:val="00C56251"/>
    <w:rsid w:val="00C5667B"/>
    <w:rsid w:val="00C56A65"/>
    <w:rsid w:val="00C56FE0"/>
    <w:rsid w:val="00C6072B"/>
    <w:rsid w:val="00C62FDC"/>
    <w:rsid w:val="00C724F5"/>
    <w:rsid w:val="00C73066"/>
    <w:rsid w:val="00C77A1F"/>
    <w:rsid w:val="00C80647"/>
    <w:rsid w:val="00C80836"/>
    <w:rsid w:val="00C84DDE"/>
    <w:rsid w:val="00C87864"/>
    <w:rsid w:val="00C90EAC"/>
    <w:rsid w:val="00C93D01"/>
    <w:rsid w:val="00C96958"/>
    <w:rsid w:val="00CA62C0"/>
    <w:rsid w:val="00CA73CB"/>
    <w:rsid w:val="00CA79BB"/>
    <w:rsid w:val="00CB2251"/>
    <w:rsid w:val="00CB4161"/>
    <w:rsid w:val="00CB43A2"/>
    <w:rsid w:val="00CB6DE1"/>
    <w:rsid w:val="00CB7730"/>
    <w:rsid w:val="00CC12A0"/>
    <w:rsid w:val="00CC26A8"/>
    <w:rsid w:val="00CC6EBB"/>
    <w:rsid w:val="00CE3A6F"/>
    <w:rsid w:val="00CE63F9"/>
    <w:rsid w:val="00CF0A31"/>
    <w:rsid w:val="00CF1E87"/>
    <w:rsid w:val="00CF240F"/>
    <w:rsid w:val="00CF4B5F"/>
    <w:rsid w:val="00CF4FAD"/>
    <w:rsid w:val="00CF5C15"/>
    <w:rsid w:val="00CF6201"/>
    <w:rsid w:val="00CF6B2F"/>
    <w:rsid w:val="00D05CAA"/>
    <w:rsid w:val="00D06129"/>
    <w:rsid w:val="00D10502"/>
    <w:rsid w:val="00D114E6"/>
    <w:rsid w:val="00D161BE"/>
    <w:rsid w:val="00D162D9"/>
    <w:rsid w:val="00D30F03"/>
    <w:rsid w:val="00D33180"/>
    <w:rsid w:val="00D41D2D"/>
    <w:rsid w:val="00D44316"/>
    <w:rsid w:val="00D448E6"/>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6520"/>
    <w:rsid w:val="00D67E0A"/>
    <w:rsid w:val="00D7566A"/>
    <w:rsid w:val="00D85008"/>
    <w:rsid w:val="00D8754D"/>
    <w:rsid w:val="00D92717"/>
    <w:rsid w:val="00D93E05"/>
    <w:rsid w:val="00D9515D"/>
    <w:rsid w:val="00DA3A08"/>
    <w:rsid w:val="00DA4715"/>
    <w:rsid w:val="00DA62DF"/>
    <w:rsid w:val="00DA7439"/>
    <w:rsid w:val="00DB0DA9"/>
    <w:rsid w:val="00DB108A"/>
    <w:rsid w:val="00DC1776"/>
    <w:rsid w:val="00DC4340"/>
    <w:rsid w:val="00DD1C70"/>
    <w:rsid w:val="00DD3239"/>
    <w:rsid w:val="00DE07E4"/>
    <w:rsid w:val="00DE0877"/>
    <w:rsid w:val="00DE0FF8"/>
    <w:rsid w:val="00DE3EBF"/>
    <w:rsid w:val="00DE6D39"/>
    <w:rsid w:val="00DF51CA"/>
    <w:rsid w:val="00DF7429"/>
    <w:rsid w:val="00DF7501"/>
    <w:rsid w:val="00DF7936"/>
    <w:rsid w:val="00E04B6F"/>
    <w:rsid w:val="00E13833"/>
    <w:rsid w:val="00E17406"/>
    <w:rsid w:val="00E20AE5"/>
    <w:rsid w:val="00E20F00"/>
    <w:rsid w:val="00E23A38"/>
    <w:rsid w:val="00E23B6B"/>
    <w:rsid w:val="00E265A0"/>
    <w:rsid w:val="00E266DE"/>
    <w:rsid w:val="00E311F5"/>
    <w:rsid w:val="00E34BF8"/>
    <w:rsid w:val="00E35B1E"/>
    <w:rsid w:val="00E44A7E"/>
    <w:rsid w:val="00E51559"/>
    <w:rsid w:val="00E548DB"/>
    <w:rsid w:val="00E552BD"/>
    <w:rsid w:val="00E55649"/>
    <w:rsid w:val="00E56A50"/>
    <w:rsid w:val="00E5798A"/>
    <w:rsid w:val="00E628D9"/>
    <w:rsid w:val="00E63ADA"/>
    <w:rsid w:val="00E640E0"/>
    <w:rsid w:val="00E64C5F"/>
    <w:rsid w:val="00E664F4"/>
    <w:rsid w:val="00E72855"/>
    <w:rsid w:val="00E74C1D"/>
    <w:rsid w:val="00E81B2F"/>
    <w:rsid w:val="00E844ED"/>
    <w:rsid w:val="00E85810"/>
    <w:rsid w:val="00E85B0A"/>
    <w:rsid w:val="00E90558"/>
    <w:rsid w:val="00E909CD"/>
    <w:rsid w:val="00E92248"/>
    <w:rsid w:val="00E92BD1"/>
    <w:rsid w:val="00E935A1"/>
    <w:rsid w:val="00E93FB6"/>
    <w:rsid w:val="00EA1715"/>
    <w:rsid w:val="00EA31FD"/>
    <w:rsid w:val="00EA4349"/>
    <w:rsid w:val="00EA5A32"/>
    <w:rsid w:val="00EB2F51"/>
    <w:rsid w:val="00EB3BF0"/>
    <w:rsid w:val="00EB6CCD"/>
    <w:rsid w:val="00EC0273"/>
    <w:rsid w:val="00EC25BA"/>
    <w:rsid w:val="00ED0AD5"/>
    <w:rsid w:val="00ED1DE2"/>
    <w:rsid w:val="00ED1F31"/>
    <w:rsid w:val="00ED3630"/>
    <w:rsid w:val="00ED7140"/>
    <w:rsid w:val="00EE66B6"/>
    <w:rsid w:val="00EE7B48"/>
    <w:rsid w:val="00EF0AFA"/>
    <w:rsid w:val="00EF38E5"/>
    <w:rsid w:val="00EF5C33"/>
    <w:rsid w:val="00EF6AB8"/>
    <w:rsid w:val="00EF7C6E"/>
    <w:rsid w:val="00F012F4"/>
    <w:rsid w:val="00F0546E"/>
    <w:rsid w:val="00F0672D"/>
    <w:rsid w:val="00F072E1"/>
    <w:rsid w:val="00F11185"/>
    <w:rsid w:val="00F11DDA"/>
    <w:rsid w:val="00F12E98"/>
    <w:rsid w:val="00F14DDA"/>
    <w:rsid w:val="00F15284"/>
    <w:rsid w:val="00F169CB"/>
    <w:rsid w:val="00F207AB"/>
    <w:rsid w:val="00F2161A"/>
    <w:rsid w:val="00F21724"/>
    <w:rsid w:val="00F21A81"/>
    <w:rsid w:val="00F21CC1"/>
    <w:rsid w:val="00F22D61"/>
    <w:rsid w:val="00F2324D"/>
    <w:rsid w:val="00F2428F"/>
    <w:rsid w:val="00F25075"/>
    <w:rsid w:val="00F27444"/>
    <w:rsid w:val="00F317CA"/>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61C28"/>
    <w:rsid w:val="00F645F1"/>
    <w:rsid w:val="00F6591A"/>
    <w:rsid w:val="00F70D35"/>
    <w:rsid w:val="00F7546C"/>
    <w:rsid w:val="00F77B00"/>
    <w:rsid w:val="00F82A17"/>
    <w:rsid w:val="00F83B6F"/>
    <w:rsid w:val="00F857BC"/>
    <w:rsid w:val="00F90273"/>
    <w:rsid w:val="00F90BD0"/>
    <w:rsid w:val="00F93ACB"/>
    <w:rsid w:val="00F93C4F"/>
    <w:rsid w:val="00F95994"/>
    <w:rsid w:val="00FA6175"/>
    <w:rsid w:val="00FA6784"/>
    <w:rsid w:val="00FA7E00"/>
    <w:rsid w:val="00FB1780"/>
    <w:rsid w:val="00FB35C6"/>
    <w:rsid w:val="00FB4C5A"/>
    <w:rsid w:val="00FB5BFA"/>
    <w:rsid w:val="00FB6F79"/>
    <w:rsid w:val="00FC7C25"/>
    <w:rsid w:val="00FD1C2E"/>
    <w:rsid w:val="00FD3574"/>
    <w:rsid w:val="00FD60D2"/>
    <w:rsid w:val="00FD6A7D"/>
    <w:rsid w:val="00FD6FC9"/>
    <w:rsid w:val="00FE02C2"/>
    <w:rsid w:val="00FE2D34"/>
    <w:rsid w:val="00FF35E2"/>
    <w:rsid w:val="00FF6327"/>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412D11F"/>
  <w15:docId w15:val="{7526B126-DE8C-4FAD-B39E-1CCBEF20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D0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38950586">
      <w:bodyDiv w:val="1"/>
      <w:marLeft w:val="0"/>
      <w:marRight w:val="0"/>
      <w:marTop w:val="0"/>
      <w:marBottom w:val="0"/>
      <w:divBdr>
        <w:top w:val="none" w:sz="0" w:space="0" w:color="auto"/>
        <w:left w:val="none" w:sz="0" w:space="0" w:color="auto"/>
        <w:bottom w:val="none" w:sz="0" w:space="0" w:color="auto"/>
        <w:right w:val="none" w:sz="0" w:space="0" w:color="auto"/>
      </w:divBdr>
      <w:divsChild>
        <w:div w:id="1236010154">
          <w:marLeft w:val="0"/>
          <w:marRight w:val="0"/>
          <w:marTop w:val="0"/>
          <w:marBottom w:val="0"/>
          <w:divBdr>
            <w:top w:val="none" w:sz="0" w:space="0" w:color="auto"/>
            <w:left w:val="none" w:sz="0" w:space="0" w:color="auto"/>
            <w:bottom w:val="none" w:sz="0" w:space="0" w:color="auto"/>
            <w:right w:val="none" w:sz="0" w:space="0" w:color="auto"/>
          </w:divBdr>
          <w:divsChild>
            <w:div w:id="1581405352">
              <w:marLeft w:val="0"/>
              <w:marRight w:val="0"/>
              <w:marTop w:val="0"/>
              <w:marBottom w:val="0"/>
              <w:divBdr>
                <w:top w:val="none" w:sz="0" w:space="0" w:color="auto"/>
                <w:left w:val="none" w:sz="0" w:space="0" w:color="auto"/>
                <w:bottom w:val="none" w:sz="0" w:space="0" w:color="auto"/>
                <w:right w:val="none" w:sz="0" w:space="0" w:color="auto"/>
              </w:divBdr>
              <w:divsChild>
                <w:div w:id="1754080574">
                  <w:marLeft w:val="0"/>
                  <w:marRight w:val="0"/>
                  <w:marTop w:val="0"/>
                  <w:marBottom w:val="0"/>
                  <w:divBdr>
                    <w:top w:val="none" w:sz="0" w:space="0" w:color="auto"/>
                    <w:left w:val="none" w:sz="0" w:space="0" w:color="auto"/>
                    <w:bottom w:val="none" w:sz="0" w:space="0" w:color="auto"/>
                    <w:right w:val="none" w:sz="0" w:space="0" w:color="auto"/>
                  </w:divBdr>
                  <w:divsChild>
                    <w:div w:id="204759957">
                      <w:marLeft w:val="0"/>
                      <w:marRight w:val="0"/>
                      <w:marTop w:val="0"/>
                      <w:marBottom w:val="0"/>
                      <w:divBdr>
                        <w:top w:val="none" w:sz="0" w:space="0" w:color="auto"/>
                        <w:left w:val="none" w:sz="0" w:space="0" w:color="auto"/>
                        <w:bottom w:val="none" w:sz="0" w:space="0" w:color="auto"/>
                        <w:right w:val="none" w:sz="0" w:space="0" w:color="auto"/>
                      </w:divBdr>
                      <w:divsChild>
                        <w:div w:id="2092383990">
                          <w:marLeft w:val="0"/>
                          <w:marRight w:val="0"/>
                          <w:marTop w:val="0"/>
                          <w:marBottom w:val="0"/>
                          <w:divBdr>
                            <w:top w:val="none" w:sz="0" w:space="0" w:color="auto"/>
                            <w:left w:val="none" w:sz="0" w:space="0" w:color="auto"/>
                            <w:bottom w:val="none" w:sz="0" w:space="0" w:color="auto"/>
                            <w:right w:val="none" w:sz="0" w:space="0" w:color="auto"/>
                          </w:divBdr>
                          <w:divsChild>
                            <w:div w:id="345904052">
                              <w:marLeft w:val="0"/>
                              <w:marRight w:val="0"/>
                              <w:marTop w:val="0"/>
                              <w:marBottom w:val="0"/>
                              <w:divBdr>
                                <w:top w:val="none" w:sz="0" w:space="0" w:color="auto"/>
                                <w:left w:val="none" w:sz="0" w:space="0" w:color="auto"/>
                                <w:bottom w:val="none" w:sz="0" w:space="0" w:color="auto"/>
                                <w:right w:val="none" w:sz="0" w:space="0" w:color="auto"/>
                              </w:divBdr>
                              <w:divsChild>
                                <w:div w:id="746152083">
                                  <w:marLeft w:val="0"/>
                                  <w:marRight w:val="0"/>
                                  <w:marTop w:val="0"/>
                                  <w:marBottom w:val="0"/>
                                  <w:divBdr>
                                    <w:top w:val="none" w:sz="0" w:space="0" w:color="auto"/>
                                    <w:left w:val="none" w:sz="0" w:space="0" w:color="auto"/>
                                    <w:bottom w:val="none" w:sz="0" w:space="0" w:color="auto"/>
                                    <w:right w:val="none" w:sz="0" w:space="0" w:color="auto"/>
                                  </w:divBdr>
                                  <w:divsChild>
                                    <w:div w:id="1335835890">
                                      <w:marLeft w:val="0"/>
                                      <w:marRight w:val="0"/>
                                      <w:marTop w:val="0"/>
                                      <w:marBottom w:val="0"/>
                                      <w:divBdr>
                                        <w:top w:val="none" w:sz="0" w:space="0" w:color="auto"/>
                                        <w:left w:val="none" w:sz="0" w:space="0" w:color="auto"/>
                                        <w:bottom w:val="none" w:sz="0" w:space="0" w:color="auto"/>
                                        <w:right w:val="none" w:sz="0" w:space="0" w:color="auto"/>
                                      </w:divBdr>
                                      <w:divsChild>
                                        <w:div w:id="70780774">
                                          <w:marLeft w:val="0"/>
                                          <w:marRight w:val="0"/>
                                          <w:marTop w:val="0"/>
                                          <w:marBottom w:val="0"/>
                                          <w:divBdr>
                                            <w:top w:val="none" w:sz="0" w:space="0" w:color="auto"/>
                                            <w:left w:val="none" w:sz="0" w:space="0" w:color="auto"/>
                                            <w:bottom w:val="none" w:sz="0" w:space="0" w:color="auto"/>
                                            <w:right w:val="none" w:sz="0" w:space="0" w:color="auto"/>
                                          </w:divBdr>
                                          <w:divsChild>
                                            <w:div w:id="1225071284">
                                              <w:marLeft w:val="0"/>
                                              <w:marRight w:val="0"/>
                                              <w:marTop w:val="0"/>
                                              <w:marBottom w:val="0"/>
                                              <w:divBdr>
                                                <w:top w:val="none" w:sz="0" w:space="0" w:color="auto"/>
                                                <w:left w:val="none" w:sz="0" w:space="0" w:color="auto"/>
                                                <w:bottom w:val="none" w:sz="0" w:space="0" w:color="auto"/>
                                                <w:right w:val="none" w:sz="0" w:space="0" w:color="auto"/>
                                              </w:divBdr>
                                              <w:divsChild>
                                                <w:div w:id="140654811">
                                                  <w:marLeft w:val="0"/>
                                                  <w:marRight w:val="0"/>
                                                  <w:marTop w:val="0"/>
                                                  <w:marBottom w:val="0"/>
                                                  <w:divBdr>
                                                    <w:top w:val="none" w:sz="0" w:space="0" w:color="auto"/>
                                                    <w:left w:val="none" w:sz="0" w:space="0" w:color="auto"/>
                                                    <w:bottom w:val="none" w:sz="0" w:space="0" w:color="auto"/>
                                                    <w:right w:val="none" w:sz="0" w:space="0" w:color="auto"/>
                                                  </w:divBdr>
                                                  <w:divsChild>
                                                    <w:div w:id="481851107">
                                                      <w:marLeft w:val="0"/>
                                                      <w:marRight w:val="0"/>
                                                      <w:marTop w:val="0"/>
                                                      <w:marBottom w:val="0"/>
                                                      <w:divBdr>
                                                        <w:top w:val="none" w:sz="0" w:space="0" w:color="auto"/>
                                                        <w:left w:val="none" w:sz="0" w:space="0" w:color="auto"/>
                                                        <w:bottom w:val="none" w:sz="0" w:space="0" w:color="auto"/>
                                                        <w:right w:val="none" w:sz="0" w:space="0" w:color="auto"/>
                                                      </w:divBdr>
                                                      <w:divsChild>
                                                        <w:div w:id="484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vi.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029EA-0D78-4C10-9867-2138BE40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Golkowski, Izabel</cp:lastModifiedBy>
  <cp:revision>9</cp:revision>
  <cp:lastPrinted>2018-11-27T23:41:00Z</cp:lastPrinted>
  <dcterms:created xsi:type="dcterms:W3CDTF">2018-11-27T22:44:00Z</dcterms:created>
  <dcterms:modified xsi:type="dcterms:W3CDTF">2018-12-04T04:24:00Z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