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B8" w:rsidRPr="00BF7D68" w:rsidRDefault="009B02B8" w:rsidP="009B02B8">
      <w:pPr>
        <w:rPr>
          <w:sz w:val="28"/>
        </w:rPr>
      </w:pPr>
      <w:r w:rsidRPr="00BF7D68">
        <w:rPr>
          <w:noProof/>
          <w:lang w:eastAsia="en-AU"/>
        </w:rPr>
        <w:drawing>
          <wp:inline distT="0" distB="0" distL="0" distR="0" wp14:anchorId="0C62F096" wp14:editId="4AB44F2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9B02B8" w:rsidRPr="00BF7D68" w:rsidRDefault="009B02B8" w:rsidP="009B02B8">
      <w:pPr>
        <w:rPr>
          <w:sz w:val="19"/>
        </w:rPr>
      </w:pPr>
    </w:p>
    <w:p w:rsidR="009B02B8" w:rsidRPr="00BF7D68" w:rsidRDefault="009B02B8" w:rsidP="009B02B8">
      <w:pPr>
        <w:pStyle w:val="ShortT"/>
      </w:pPr>
      <w:r w:rsidRPr="00BF7D68">
        <w:t>Australian Charities and Not</w:t>
      </w:r>
      <w:r w:rsidR="00BF7D68">
        <w:noBreakHyphen/>
      </w:r>
      <w:r w:rsidRPr="00BF7D68">
        <w:t>for</w:t>
      </w:r>
      <w:r w:rsidR="00BF7D68">
        <w:noBreakHyphen/>
      </w:r>
      <w:r w:rsidRPr="00BF7D68">
        <w:t>profits Commission Amendment (2018</w:t>
      </w:r>
      <w:r w:rsidR="00945895" w:rsidRPr="00BF7D68">
        <w:t xml:space="preserve"> </w:t>
      </w:r>
      <w:r w:rsidRPr="00BF7D68">
        <w:t>Measures No.</w:t>
      </w:r>
      <w:r w:rsidR="00BF7D68" w:rsidRPr="00BF7D68">
        <w:t> </w:t>
      </w:r>
      <w:r w:rsidRPr="00BF7D68">
        <w:t>2) Regulations</w:t>
      </w:r>
      <w:r w:rsidR="00BF7D68" w:rsidRPr="00BF7D68">
        <w:t> </w:t>
      </w:r>
      <w:r w:rsidRPr="00BF7D68">
        <w:t>2018</w:t>
      </w:r>
    </w:p>
    <w:p w:rsidR="009B02B8" w:rsidRPr="00BF7D68" w:rsidRDefault="009B02B8" w:rsidP="009B02B8">
      <w:pPr>
        <w:pStyle w:val="SignCoverPageStart"/>
        <w:spacing w:before="240"/>
        <w:rPr>
          <w:szCs w:val="22"/>
        </w:rPr>
      </w:pPr>
      <w:r w:rsidRPr="00BF7D68">
        <w:rPr>
          <w:szCs w:val="22"/>
        </w:rPr>
        <w:t xml:space="preserve">I, General the Honourable Sir Peter Cosgrove AK MC (Ret’d), </w:t>
      </w:r>
      <w:r w:rsidR="00BF7D68" w:rsidRPr="00BF7D68">
        <w:rPr>
          <w:szCs w:val="22"/>
        </w:rPr>
        <w:t>Governor</w:t>
      </w:r>
      <w:r w:rsidR="00BF7D68">
        <w:rPr>
          <w:szCs w:val="22"/>
        </w:rPr>
        <w:noBreakHyphen/>
      </w:r>
      <w:r w:rsidR="00BF7D68" w:rsidRPr="00BF7D68">
        <w:rPr>
          <w:szCs w:val="22"/>
        </w:rPr>
        <w:t>General</w:t>
      </w:r>
      <w:r w:rsidRPr="00BF7D68">
        <w:rPr>
          <w:szCs w:val="22"/>
        </w:rPr>
        <w:t xml:space="preserve"> of the Commonwealth of Australia, acting with the advice of the Federal Executive Council, make the following regulations.</w:t>
      </w:r>
    </w:p>
    <w:p w:rsidR="009B02B8" w:rsidRPr="00BF7D68" w:rsidRDefault="00D35859" w:rsidP="009B02B8">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sidR="00933398">
        <w:rPr>
          <w:szCs w:val="22"/>
        </w:rPr>
        <w:t>21 November 2018</w:t>
      </w:r>
      <w:r>
        <w:rPr>
          <w:szCs w:val="22"/>
        </w:rPr>
        <w:fldChar w:fldCharType="end"/>
      </w:r>
    </w:p>
    <w:p w:rsidR="009B02B8" w:rsidRPr="00BF7D68" w:rsidRDefault="009B02B8" w:rsidP="009B02B8">
      <w:pPr>
        <w:keepNext/>
        <w:tabs>
          <w:tab w:val="left" w:pos="3402"/>
        </w:tabs>
        <w:spacing w:before="1080" w:line="300" w:lineRule="atLeast"/>
        <w:ind w:left="397" w:right="397"/>
        <w:jc w:val="right"/>
        <w:rPr>
          <w:szCs w:val="22"/>
        </w:rPr>
      </w:pPr>
      <w:r w:rsidRPr="00BF7D68">
        <w:rPr>
          <w:szCs w:val="22"/>
        </w:rPr>
        <w:t>Peter Cosgrove</w:t>
      </w:r>
    </w:p>
    <w:p w:rsidR="009B02B8" w:rsidRPr="00BF7D68" w:rsidRDefault="00BF7D68" w:rsidP="009B02B8">
      <w:pPr>
        <w:keepNext/>
        <w:tabs>
          <w:tab w:val="left" w:pos="3402"/>
        </w:tabs>
        <w:spacing w:line="300" w:lineRule="atLeast"/>
        <w:ind w:left="397" w:right="397"/>
        <w:jc w:val="right"/>
        <w:rPr>
          <w:szCs w:val="22"/>
        </w:rPr>
      </w:pPr>
      <w:r w:rsidRPr="00BF7D68">
        <w:rPr>
          <w:szCs w:val="22"/>
        </w:rPr>
        <w:t>Governor</w:t>
      </w:r>
      <w:r>
        <w:rPr>
          <w:szCs w:val="22"/>
        </w:rPr>
        <w:noBreakHyphen/>
      </w:r>
      <w:r w:rsidRPr="00BF7D68">
        <w:rPr>
          <w:szCs w:val="22"/>
        </w:rPr>
        <w:t>General</w:t>
      </w:r>
    </w:p>
    <w:p w:rsidR="009B02B8" w:rsidRPr="00BF7D68" w:rsidRDefault="009B02B8" w:rsidP="009B02B8">
      <w:pPr>
        <w:keepNext/>
        <w:tabs>
          <w:tab w:val="left" w:pos="3402"/>
        </w:tabs>
        <w:spacing w:before="840" w:after="1080" w:line="300" w:lineRule="atLeast"/>
        <w:ind w:right="397"/>
        <w:rPr>
          <w:szCs w:val="22"/>
        </w:rPr>
      </w:pPr>
      <w:r w:rsidRPr="00BF7D68">
        <w:rPr>
          <w:szCs w:val="22"/>
        </w:rPr>
        <w:t>By His Excellency’s Command</w:t>
      </w:r>
    </w:p>
    <w:p w:rsidR="009B02B8" w:rsidRPr="00BF7D68" w:rsidRDefault="009B02B8" w:rsidP="009B02B8">
      <w:pPr>
        <w:keepNext/>
        <w:tabs>
          <w:tab w:val="left" w:pos="3402"/>
        </w:tabs>
        <w:spacing w:before="480" w:line="300" w:lineRule="atLeast"/>
        <w:ind w:right="397"/>
        <w:rPr>
          <w:szCs w:val="22"/>
        </w:rPr>
      </w:pPr>
      <w:r w:rsidRPr="00BF7D68">
        <w:rPr>
          <w:szCs w:val="22"/>
        </w:rPr>
        <w:t>Zed Seselja</w:t>
      </w:r>
    </w:p>
    <w:p w:rsidR="009B02B8" w:rsidRPr="00BF7D68" w:rsidRDefault="009B02B8" w:rsidP="009B02B8">
      <w:pPr>
        <w:pStyle w:val="SignCoverPageEnd"/>
      </w:pPr>
      <w:r w:rsidRPr="00BF7D68">
        <w:t>Assistant Minister for Treasury and Finance</w:t>
      </w:r>
      <w:r w:rsidR="00BF7D68" w:rsidRPr="00BF7D68">
        <w:br/>
      </w:r>
      <w:r w:rsidRPr="00BF7D68">
        <w:t>Parliamentary Secretary to the Treasurer</w:t>
      </w:r>
    </w:p>
    <w:p w:rsidR="009B02B8" w:rsidRPr="00BF7D68" w:rsidRDefault="009B02B8" w:rsidP="009B02B8">
      <w:pPr>
        <w:rPr>
          <w:lang w:eastAsia="en-AU"/>
        </w:rPr>
      </w:pPr>
    </w:p>
    <w:p w:rsidR="009B02B8" w:rsidRPr="00BF7D68" w:rsidRDefault="00E534C2" w:rsidP="00E534C2">
      <w:pPr>
        <w:pStyle w:val="Header"/>
      </w:pPr>
      <w:r w:rsidRPr="00BF7D68">
        <w:rPr>
          <w:rStyle w:val="CharAmSchNo"/>
        </w:rPr>
        <w:t xml:space="preserve"> </w:t>
      </w:r>
      <w:r w:rsidRPr="00BF7D68">
        <w:rPr>
          <w:rStyle w:val="CharAmSchText"/>
        </w:rPr>
        <w:t xml:space="preserve"> </w:t>
      </w:r>
    </w:p>
    <w:p w:rsidR="00E534C2" w:rsidRPr="00BF7D68" w:rsidRDefault="00E534C2" w:rsidP="00E534C2">
      <w:pPr>
        <w:pStyle w:val="Header"/>
      </w:pPr>
      <w:r w:rsidRPr="00BF7D68">
        <w:rPr>
          <w:rStyle w:val="CharAmPartNo"/>
        </w:rPr>
        <w:t xml:space="preserve"> </w:t>
      </w:r>
      <w:r w:rsidRPr="00BF7D68">
        <w:rPr>
          <w:rStyle w:val="CharAmPartText"/>
        </w:rPr>
        <w:t xml:space="preserve"> </w:t>
      </w:r>
    </w:p>
    <w:p w:rsidR="00E534C2" w:rsidRPr="00BF7D68" w:rsidRDefault="00E534C2" w:rsidP="009B02B8">
      <w:pPr>
        <w:sectPr w:rsidR="00E534C2" w:rsidRPr="00BF7D68" w:rsidSect="00A4268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9B02B8" w:rsidRPr="00BF7D68" w:rsidRDefault="009B02B8" w:rsidP="009B02B8">
      <w:pPr>
        <w:rPr>
          <w:sz w:val="36"/>
        </w:rPr>
      </w:pPr>
      <w:r w:rsidRPr="00BF7D68">
        <w:rPr>
          <w:sz w:val="36"/>
        </w:rPr>
        <w:lastRenderedPageBreak/>
        <w:t>Contents</w:t>
      </w:r>
    </w:p>
    <w:p w:rsidR="009351AB" w:rsidRPr="00BF7D68" w:rsidRDefault="009351AB">
      <w:pPr>
        <w:pStyle w:val="TOC5"/>
        <w:rPr>
          <w:rFonts w:asciiTheme="minorHAnsi" w:eastAsiaTheme="minorEastAsia" w:hAnsiTheme="minorHAnsi" w:cstheme="minorBidi"/>
          <w:noProof/>
          <w:kern w:val="0"/>
          <w:sz w:val="22"/>
          <w:szCs w:val="22"/>
        </w:rPr>
      </w:pPr>
      <w:r w:rsidRPr="00BF7D68">
        <w:fldChar w:fldCharType="begin"/>
      </w:r>
      <w:r w:rsidRPr="00BF7D68">
        <w:instrText xml:space="preserve"> TOC \o "1</w:instrText>
      </w:r>
      <w:r w:rsidR="00E534C2" w:rsidRPr="00BF7D68">
        <w:noBreakHyphen/>
      </w:r>
      <w:r w:rsidRPr="00BF7D68">
        <w:instrText xml:space="preserve">9" </w:instrText>
      </w:r>
      <w:r w:rsidRPr="00BF7D68">
        <w:fldChar w:fldCharType="separate"/>
      </w:r>
      <w:r w:rsidRPr="00BF7D68">
        <w:rPr>
          <w:noProof/>
        </w:rPr>
        <w:t>1</w:t>
      </w:r>
      <w:r w:rsidRPr="00BF7D68">
        <w:rPr>
          <w:noProof/>
        </w:rPr>
        <w:tab/>
        <w:t>Name</w:t>
      </w:r>
      <w:r w:rsidRPr="00BF7D68">
        <w:rPr>
          <w:noProof/>
        </w:rPr>
        <w:tab/>
      </w:r>
      <w:r w:rsidRPr="00BF7D68">
        <w:rPr>
          <w:noProof/>
        </w:rPr>
        <w:fldChar w:fldCharType="begin"/>
      </w:r>
      <w:r w:rsidRPr="00BF7D68">
        <w:rPr>
          <w:noProof/>
        </w:rPr>
        <w:instrText xml:space="preserve"> PAGEREF _Toc528663510 \h </w:instrText>
      </w:r>
      <w:r w:rsidRPr="00BF7D68">
        <w:rPr>
          <w:noProof/>
        </w:rPr>
      </w:r>
      <w:r w:rsidRPr="00BF7D68">
        <w:rPr>
          <w:noProof/>
        </w:rPr>
        <w:fldChar w:fldCharType="separate"/>
      </w:r>
      <w:r w:rsidR="00933398">
        <w:rPr>
          <w:noProof/>
        </w:rPr>
        <w:t>1</w:t>
      </w:r>
      <w:r w:rsidRPr="00BF7D68">
        <w:rPr>
          <w:noProof/>
        </w:rPr>
        <w:fldChar w:fldCharType="end"/>
      </w:r>
    </w:p>
    <w:p w:rsidR="009351AB" w:rsidRPr="00BF7D68" w:rsidRDefault="009351AB">
      <w:pPr>
        <w:pStyle w:val="TOC5"/>
        <w:rPr>
          <w:rFonts w:asciiTheme="minorHAnsi" w:eastAsiaTheme="minorEastAsia" w:hAnsiTheme="minorHAnsi" w:cstheme="minorBidi"/>
          <w:noProof/>
          <w:kern w:val="0"/>
          <w:sz w:val="22"/>
          <w:szCs w:val="22"/>
        </w:rPr>
      </w:pPr>
      <w:r w:rsidRPr="00BF7D68">
        <w:rPr>
          <w:noProof/>
        </w:rPr>
        <w:t>2</w:t>
      </w:r>
      <w:r w:rsidRPr="00BF7D68">
        <w:rPr>
          <w:noProof/>
        </w:rPr>
        <w:tab/>
        <w:t>Commencement</w:t>
      </w:r>
      <w:r w:rsidRPr="00BF7D68">
        <w:rPr>
          <w:noProof/>
        </w:rPr>
        <w:tab/>
      </w:r>
      <w:r w:rsidRPr="00BF7D68">
        <w:rPr>
          <w:noProof/>
        </w:rPr>
        <w:fldChar w:fldCharType="begin"/>
      </w:r>
      <w:r w:rsidRPr="00BF7D68">
        <w:rPr>
          <w:noProof/>
        </w:rPr>
        <w:instrText xml:space="preserve"> PAGEREF _Toc528663511 \h </w:instrText>
      </w:r>
      <w:r w:rsidRPr="00BF7D68">
        <w:rPr>
          <w:noProof/>
        </w:rPr>
      </w:r>
      <w:r w:rsidRPr="00BF7D68">
        <w:rPr>
          <w:noProof/>
        </w:rPr>
        <w:fldChar w:fldCharType="separate"/>
      </w:r>
      <w:r w:rsidR="00933398">
        <w:rPr>
          <w:noProof/>
        </w:rPr>
        <w:t>1</w:t>
      </w:r>
      <w:r w:rsidRPr="00BF7D68">
        <w:rPr>
          <w:noProof/>
        </w:rPr>
        <w:fldChar w:fldCharType="end"/>
      </w:r>
    </w:p>
    <w:p w:rsidR="009351AB" w:rsidRPr="00BF7D68" w:rsidRDefault="009351AB">
      <w:pPr>
        <w:pStyle w:val="TOC5"/>
        <w:rPr>
          <w:rFonts w:asciiTheme="minorHAnsi" w:eastAsiaTheme="minorEastAsia" w:hAnsiTheme="minorHAnsi" w:cstheme="minorBidi"/>
          <w:noProof/>
          <w:kern w:val="0"/>
          <w:sz w:val="22"/>
          <w:szCs w:val="22"/>
        </w:rPr>
      </w:pPr>
      <w:r w:rsidRPr="00BF7D68">
        <w:rPr>
          <w:noProof/>
        </w:rPr>
        <w:t>3</w:t>
      </w:r>
      <w:r w:rsidRPr="00BF7D68">
        <w:rPr>
          <w:noProof/>
        </w:rPr>
        <w:tab/>
        <w:t>Authority</w:t>
      </w:r>
      <w:r w:rsidRPr="00BF7D68">
        <w:rPr>
          <w:noProof/>
        </w:rPr>
        <w:tab/>
      </w:r>
      <w:r w:rsidRPr="00BF7D68">
        <w:rPr>
          <w:noProof/>
        </w:rPr>
        <w:fldChar w:fldCharType="begin"/>
      </w:r>
      <w:r w:rsidRPr="00BF7D68">
        <w:rPr>
          <w:noProof/>
        </w:rPr>
        <w:instrText xml:space="preserve"> PAGEREF _Toc528663512 \h </w:instrText>
      </w:r>
      <w:r w:rsidRPr="00BF7D68">
        <w:rPr>
          <w:noProof/>
        </w:rPr>
      </w:r>
      <w:r w:rsidRPr="00BF7D68">
        <w:rPr>
          <w:noProof/>
        </w:rPr>
        <w:fldChar w:fldCharType="separate"/>
      </w:r>
      <w:r w:rsidR="00933398">
        <w:rPr>
          <w:noProof/>
        </w:rPr>
        <w:t>1</w:t>
      </w:r>
      <w:r w:rsidRPr="00BF7D68">
        <w:rPr>
          <w:noProof/>
        </w:rPr>
        <w:fldChar w:fldCharType="end"/>
      </w:r>
    </w:p>
    <w:p w:rsidR="009351AB" w:rsidRPr="00BF7D68" w:rsidRDefault="009351AB">
      <w:pPr>
        <w:pStyle w:val="TOC5"/>
        <w:rPr>
          <w:rFonts w:asciiTheme="minorHAnsi" w:eastAsiaTheme="minorEastAsia" w:hAnsiTheme="minorHAnsi" w:cstheme="minorBidi"/>
          <w:noProof/>
          <w:kern w:val="0"/>
          <w:sz w:val="22"/>
          <w:szCs w:val="22"/>
        </w:rPr>
      </w:pPr>
      <w:r w:rsidRPr="00BF7D68">
        <w:rPr>
          <w:noProof/>
        </w:rPr>
        <w:t>4</w:t>
      </w:r>
      <w:r w:rsidRPr="00BF7D68">
        <w:rPr>
          <w:noProof/>
        </w:rPr>
        <w:tab/>
        <w:t>Schedules</w:t>
      </w:r>
      <w:r w:rsidRPr="00BF7D68">
        <w:rPr>
          <w:noProof/>
        </w:rPr>
        <w:tab/>
      </w:r>
      <w:r w:rsidRPr="00BF7D68">
        <w:rPr>
          <w:noProof/>
        </w:rPr>
        <w:fldChar w:fldCharType="begin"/>
      </w:r>
      <w:r w:rsidRPr="00BF7D68">
        <w:rPr>
          <w:noProof/>
        </w:rPr>
        <w:instrText xml:space="preserve"> PAGEREF _Toc528663513 \h </w:instrText>
      </w:r>
      <w:r w:rsidRPr="00BF7D68">
        <w:rPr>
          <w:noProof/>
        </w:rPr>
      </w:r>
      <w:r w:rsidRPr="00BF7D68">
        <w:rPr>
          <w:noProof/>
        </w:rPr>
        <w:fldChar w:fldCharType="separate"/>
      </w:r>
      <w:r w:rsidR="00933398">
        <w:rPr>
          <w:noProof/>
        </w:rPr>
        <w:t>1</w:t>
      </w:r>
      <w:r w:rsidRPr="00BF7D68">
        <w:rPr>
          <w:noProof/>
        </w:rPr>
        <w:fldChar w:fldCharType="end"/>
      </w:r>
    </w:p>
    <w:p w:rsidR="009351AB" w:rsidRPr="00BF7D68" w:rsidRDefault="009351AB">
      <w:pPr>
        <w:pStyle w:val="TOC6"/>
        <w:rPr>
          <w:rFonts w:asciiTheme="minorHAnsi" w:eastAsiaTheme="minorEastAsia" w:hAnsiTheme="minorHAnsi" w:cstheme="minorBidi"/>
          <w:b w:val="0"/>
          <w:noProof/>
          <w:kern w:val="0"/>
          <w:sz w:val="22"/>
          <w:szCs w:val="22"/>
        </w:rPr>
      </w:pPr>
      <w:r w:rsidRPr="00BF7D68">
        <w:rPr>
          <w:noProof/>
        </w:rPr>
        <w:t>Schedule</w:t>
      </w:r>
      <w:r w:rsidR="00BF7D68" w:rsidRPr="00BF7D68">
        <w:rPr>
          <w:noProof/>
        </w:rPr>
        <w:t> </w:t>
      </w:r>
      <w:r w:rsidRPr="00BF7D68">
        <w:rPr>
          <w:noProof/>
        </w:rPr>
        <w:t>1—Amendments</w:t>
      </w:r>
      <w:r w:rsidRPr="00BF7D68">
        <w:rPr>
          <w:b w:val="0"/>
          <w:noProof/>
          <w:sz w:val="18"/>
        </w:rPr>
        <w:tab/>
      </w:r>
      <w:r w:rsidRPr="00BF7D68">
        <w:rPr>
          <w:b w:val="0"/>
          <w:noProof/>
          <w:sz w:val="18"/>
        </w:rPr>
        <w:fldChar w:fldCharType="begin"/>
      </w:r>
      <w:r w:rsidRPr="00BF7D68">
        <w:rPr>
          <w:b w:val="0"/>
          <w:noProof/>
          <w:sz w:val="18"/>
        </w:rPr>
        <w:instrText xml:space="preserve"> PAGEREF _Toc528663514 \h </w:instrText>
      </w:r>
      <w:r w:rsidRPr="00BF7D68">
        <w:rPr>
          <w:b w:val="0"/>
          <w:noProof/>
          <w:sz w:val="18"/>
        </w:rPr>
      </w:r>
      <w:r w:rsidRPr="00BF7D68">
        <w:rPr>
          <w:b w:val="0"/>
          <w:noProof/>
          <w:sz w:val="18"/>
        </w:rPr>
        <w:fldChar w:fldCharType="separate"/>
      </w:r>
      <w:r w:rsidR="00933398">
        <w:rPr>
          <w:b w:val="0"/>
          <w:noProof/>
          <w:sz w:val="18"/>
        </w:rPr>
        <w:t>2</w:t>
      </w:r>
      <w:r w:rsidRPr="00BF7D68">
        <w:rPr>
          <w:b w:val="0"/>
          <w:noProof/>
          <w:sz w:val="18"/>
        </w:rPr>
        <w:fldChar w:fldCharType="end"/>
      </w:r>
    </w:p>
    <w:p w:rsidR="009351AB" w:rsidRPr="00BF7D68" w:rsidRDefault="009351AB">
      <w:pPr>
        <w:pStyle w:val="TOC9"/>
        <w:rPr>
          <w:rFonts w:asciiTheme="minorHAnsi" w:eastAsiaTheme="minorEastAsia" w:hAnsiTheme="minorHAnsi" w:cstheme="minorBidi"/>
          <w:i w:val="0"/>
          <w:noProof/>
          <w:kern w:val="0"/>
          <w:sz w:val="22"/>
          <w:szCs w:val="22"/>
        </w:rPr>
      </w:pPr>
      <w:r w:rsidRPr="00BF7D68">
        <w:rPr>
          <w:noProof/>
        </w:rPr>
        <w:t>Australian Charities and Not</w:t>
      </w:r>
      <w:r w:rsidR="00BF7D68">
        <w:rPr>
          <w:noProof/>
        </w:rPr>
        <w:noBreakHyphen/>
      </w:r>
      <w:r w:rsidRPr="00BF7D68">
        <w:rPr>
          <w:noProof/>
        </w:rPr>
        <w:t>for</w:t>
      </w:r>
      <w:r w:rsidR="00BF7D68">
        <w:rPr>
          <w:noProof/>
        </w:rPr>
        <w:noBreakHyphen/>
      </w:r>
      <w:r w:rsidRPr="00BF7D68">
        <w:rPr>
          <w:noProof/>
        </w:rPr>
        <w:t>profits Commission Regulation</w:t>
      </w:r>
      <w:r w:rsidR="00BF7D68" w:rsidRPr="00BF7D68">
        <w:rPr>
          <w:noProof/>
        </w:rPr>
        <w:t> </w:t>
      </w:r>
      <w:r w:rsidRPr="00BF7D68">
        <w:rPr>
          <w:noProof/>
        </w:rPr>
        <w:t>2013</w:t>
      </w:r>
      <w:r w:rsidRPr="00BF7D68">
        <w:rPr>
          <w:i w:val="0"/>
          <w:noProof/>
          <w:sz w:val="18"/>
        </w:rPr>
        <w:tab/>
      </w:r>
      <w:r w:rsidRPr="00BF7D68">
        <w:rPr>
          <w:i w:val="0"/>
          <w:noProof/>
          <w:sz w:val="18"/>
        </w:rPr>
        <w:fldChar w:fldCharType="begin"/>
      </w:r>
      <w:r w:rsidRPr="00BF7D68">
        <w:rPr>
          <w:i w:val="0"/>
          <w:noProof/>
          <w:sz w:val="18"/>
        </w:rPr>
        <w:instrText xml:space="preserve"> PAGEREF _Toc528663515 \h </w:instrText>
      </w:r>
      <w:r w:rsidRPr="00BF7D68">
        <w:rPr>
          <w:i w:val="0"/>
          <w:noProof/>
          <w:sz w:val="18"/>
        </w:rPr>
      </w:r>
      <w:r w:rsidRPr="00BF7D68">
        <w:rPr>
          <w:i w:val="0"/>
          <w:noProof/>
          <w:sz w:val="18"/>
        </w:rPr>
        <w:fldChar w:fldCharType="separate"/>
      </w:r>
      <w:r w:rsidR="00933398">
        <w:rPr>
          <w:i w:val="0"/>
          <w:noProof/>
          <w:sz w:val="18"/>
        </w:rPr>
        <w:t>2</w:t>
      </w:r>
      <w:r w:rsidRPr="00BF7D68">
        <w:rPr>
          <w:i w:val="0"/>
          <w:noProof/>
          <w:sz w:val="18"/>
        </w:rPr>
        <w:fldChar w:fldCharType="end"/>
      </w:r>
    </w:p>
    <w:p w:rsidR="009B02B8" w:rsidRPr="00BF7D68" w:rsidRDefault="009351AB" w:rsidP="009B02B8">
      <w:r w:rsidRPr="00BF7D68">
        <w:fldChar w:fldCharType="end"/>
      </w:r>
    </w:p>
    <w:p w:rsidR="009B02B8" w:rsidRPr="00BF7D68" w:rsidRDefault="009B02B8" w:rsidP="009B02B8"/>
    <w:p w:rsidR="009B02B8" w:rsidRPr="00BF7D68" w:rsidRDefault="009B02B8" w:rsidP="009B02B8">
      <w:pPr>
        <w:sectPr w:rsidR="009B02B8" w:rsidRPr="00BF7D68" w:rsidSect="00A4268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9B02B8" w:rsidRPr="00BF7D68" w:rsidRDefault="009B02B8" w:rsidP="009B02B8">
      <w:pPr>
        <w:pStyle w:val="ActHead5"/>
      </w:pPr>
      <w:bookmarkStart w:id="0" w:name="_Toc528663510"/>
      <w:r w:rsidRPr="00BF7D68">
        <w:rPr>
          <w:rStyle w:val="CharSectno"/>
        </w:rPr>
        <w:lastRenderedPageBreak/>
        <w:t>1</w:t>
      </w:r>
      <w:r w:rsidRPr="00BF7D68">
        <w:t xml:space="preserve">  Name</w:t>
      </w:r>
      <w:bookmarkEnd w:id="0"/>
    </w:p>
    <w:p w:rsidR="009B02B8" w:rsidRPr="00BF7D68" w:rsidRDefault="009B02B8" w:rsidP="009B02B8">
      <w:pPr>
        <w:pStyle w:val="subsection"/>
      </w:pPr>
      <w:r w:rsidRPr="00BF7D68">
        <w:tab/>
      </w:r>
      <w:r w:rsidRPr="00BF7D68">
        <w:tab/>
        <w:t xml:space="preserve">This instrument is the </w:t>
      </w:r>
      <w:r w:rsidRPr="00BF7D68">
        <w:rPr>
          <w:i/>
          <w:noProof/>
        </w:rPr>
        <w:t>Australian Charities and Not for profits Commission Amendment (2018 Measures No.</w:t>
      </w:r>
      <w:r w:rsidR="00BF7D68" w:rsidRPr="00BF7D68">
        <w:rPr>
          <w:i/>
          <w:noProof/>
        </w:rPr>
        <w:t> </w:t>
      </w:r>
      <w:r w:rsidRPr="00BF7D68">
        <w:rPr>
          <w:i/>
          <w:noProof/>
        </w:rPr>
        <w:t>2) Regulations</w:t>
      </w:r>
      <w:r w:rsidR="00BF7D68" w:rsidRPr="00BF7D68">
        <w:rPr>
          <w:i/>
          <w:noProof/>
        </w:rPr>
        <w:t> </w:t>
      </w:r>
      <w:r w:rsidRPr="00BF7D68">
        <w:rPr>
          <w:i/>
          <w:noProof/>
        </w:rPr>
        <w:t>2018</w:t>
      </w:r>
      <w:r w:rsidRPr="00BF7D68">
        <w:t>.</w:t>
      </w:r>
    </w:p>
    <w:p w:rsidR="009B02B8" w:rsidRPr="00BF7D68" w:rsidRDefault="009B02B8" w:rsidP="009B02B8">
      <w:pPr>
        <w:pStyle w:val="ActHead5"/>
      </w:pPr>
      <w:bookmarkStart w:id="1" w:name="_Toc528663511"/>
      <w:r w:rsidRPr="00BF7D68">
        <w:rPr>
          <w:rStyle w:val="CharSectno"/>
        </w:rPr>
        <w:t>2</w:t>
      </w:r>
      <w:r w:rsidRPr="00BF7D68">
        <w:t xml:space="preserve">  Commencement</w:t>
      </w:r>
      <w:bookmarkEnd w:id="1"/>
    </w:p>
    <w:p w:rsidR="009B02B8" w:rsidRPr="00BF7D68" w:rsidRDefault="009B02B8" w:rsidP="009B02B8">
      <w:pPr>
        <w:pStyle w:val="subsection"/>
      </w:pPr>
      <w:r w:rsidRPr="00BF7D68">
        <w:tab/>
        <w:t>(1)</w:t>
      </w:r>
      <w:r w:rsidRPr="00BF7D68">
        <w:tab/>
        <w:t>Each provision of this instrument specified in column 1 of the table commences, or is taken to have commenced, in accordance with column 2 of the table. Any other statement in column 2 has effect according to its terms.</w:t>
      </w:r>
    </w:p>
    <w:p w:rsidR="009B02B8" w:rsidRPr="00BF7D68" w:rsidRDefault="009B02B8" w:rsidP="009B02B8">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9B02B8" w:rsidRPr="00BF7D68" w:rsidTr="00472536">
        <w:trPr>
          <w:cantSplit/>
          <w:tblHeader/>
        </w:trPr>
        <w:tc>
          <w:tcPr>
            <w:tcW w:w="8364" w:type="dxa"/>
            <w:gridSpan w:val="3"/>
            <w:tcBorders>
              <w:top w:val="single" w:sz="12" w:space="0" w:color="auto"/>
              <w:left w:val="nil"/>
              <w:bottom w:val="single" w:sz="6" w:space="0" w:color="auto"/>
              <w:right w:val="nil"/>
            </w:tcBorders>
            <w:hideMark/>
          </w:tcPr>
          <w:p w:rsidR="009B02B8" w:rsidRPr="00BF7D68" w:rsidRDefault="009B02B8" w:rsidP="00472536">
            <w:pPr>
              <w:pStyle w:val="TableHeading"/>
            </w:pPr>
            <w:r w:rsidRPr="00BF7D68">
              <w:t>Commencement information</w:t>
            </w:r>
          </w:p>
        </w:tc>
      </w:tr>
      <w:tr w:rsidR="009B02B8" w:rsidRPr="00BF7D68" w:rsidTr="00472536">
        <w:trPr>
          <w:cantSplit/>
          <w:tblHeader/>
        </w:trPr>
        <w:tc>
          <w:tcPr>
            <w:tcW w:w="2127" w:type="dxa"/>
            <w:tcBorders>
              <w:top w:val="single" w:sz="6" w:space="0" w:color="auto"/>
              <w:left w:val="nil"/>
              <w:bottom w:val="single" w:sz="6" w:space="0" w:color="auto"/>
              <w:right w:val="nil"/>
            </w:tcBorders>
            <w:hideMark/>
          </w:tcPr>
          <w:p w:rsidR="009B02B8" w:rsidRPr="00BF7D68" w:rsidRDefault="009B02B8" w:rsidP="00472536">
            <w:pPr>
              <w:pStyle w:val="TableHeading"/>
            </w:pPr>
            <w:r w:rsidRPr="00BF7D68">
              <w:t>Column 1</w:t>
            </w:r>
          </w:p>
        </w:tc>
        <w:tc>
          <w:tcPr>
            <w:tcW w:w="4394" w:type="dxa"/>
            <w:tcBorders>
              <w:top w:val="single" w:sz="6" w:space="0" w:color="auto"/>
              <w:left w:val="nil"/>
              <w:bottom w:val="single" w:sz="6" w:space="0" w:color="auto"/>
              <w:right w:val="nil"/>
            </w:tcBorders>
            <w:hideMark/>
          </w:tcPr>
          <w:p w:rsidR="009B02B8" w:rsidRPr="00BF7D68" w:rsidRDefault="009B02B8" w:rsidP="00472536">
            <w:pPr>
              <w:pStyle w:val="TableHeading"/>
            </w:pPr>
            <w:r w:rsidRPr="00BF7D68">
              <w:t>Column 2</w:t>
            </w:r>
          </w:p>
        </w:tc>
        <w:tc>
          <w:tcPr>
            <w:tcW w:w="1843" w:type="dxa"/>
            <w:tcBorders>
              <w:top w:val="single" w:sz="6" w:space="0" w:color="auto"/>
              <w:left w:val="nil"/>
              <w:bottom w:val="single" w:sz="6" w:space="0" w:color="auto"/>
              <w:right w:val="nil"/>
            </w:tcBorders>
            <w:hideMark/>
          </w:tcPr>
          <w:p w:rsidR="009B02B8" w:rsidRPr="00BF7D68" w:rsidRDefault="009B02B8" w:rsidP="00472536">
            <w:pPr>
              <w:pStyle w:val="TableHeading"/>
            </w:pPr>
            <w:r w:rsidRPr="00BF7D68">
              <w:t>Column 3</w:t>
            </w:r>
          </w:p>
        </w:tc>
      </w:tr>
      <w:tr w:rsidR="009B02B8" w:rsidRPr="00BF7D68" w:rsidTr="00472536">
        <w:trPr>
          <w:cantSplit/>
          <w:tblHeader/>
        </w:trPr>
        <w:tc>
          <w:tcPr>
            <w:tcW w:w="2127" w:type="dxa"/>
            <w:tcBorders>
              <w:top w:val="single" w:sz="6" w:space="0" w:color="auto"/>
              <w:left w:val="nil"/>
              <w:bottom w:val="single" w:sz="12" w:space="0" w:color="auto"/>
              <w:right w:val="nil"/>
            </w:tcBorders>
            <w:hideMark/>
          </w:tcPr>
          <w:p w:rsidR="009B02B8" w:rsidRPr="00BF7D68" w:rsidRDefault="009B02B8" w:rsidP="00472536">
            <w:pPr>
              <w:pStyle w:val="TableHeading"/>
            </w:pPr>
            <w:r w:rsidRPr="00BF7D68">
              <w:t>Provisions</w:t>
            </w:r>
          </w:p>
        </w:tc>
        <w:tc>
          <w:tcPr>
            <w:tcW w:w="4394" w:type="dxa"/>
            <w:tcBorders>
              <w:top w:val="single" w:sz="6" w:space="0" w:color="auto"/>
              <w:left w:val="nil"/>
              <w:bottom w:val="single" w:sz="12" w:space="0" w:color="auto"/>
              <w:right w:val="nil"/>
            </w:tcBorders>
            <w:hideMark/>
          </w:tcPr>
          <w:p w:rsidR="009B02B8" w:rsidRPr="00BF7D68" w:rsidRDefault="009B02B8" w:rsidP="00472536">
            <w:pPr>
              <w:pStyle w:val="TableHeading"/>
            </w:pPr>
            <w:r w:rsidRPr="00BF7D68">
              <w:t>Commencement</w:t>
            </w:r>
          </w:p>
        </w:tc>
        <w:tc>
          <w:tcPr>
            <w:tcW w:w="1843" w:type="dxa"/>
            <w:tcBorders>
              <w:top w:val="single" w:sz="6" w:space="0" w:color="auto"/>
              <w:left w:val="nil"/>
              <w:bottom w:val="single" w:sz="12" w:space="0" w:color="auto"/>
              <w:right w:val="nil"/>
            </w:tcBorders>
            <w:hideMark/>
          </w:tcPr>
          <w:p w:rsidR="009B02B8" w:rsidRPr="00BF7D68" w:rsidRDefault="009B02B8" w:rsidP="00472536">
            <w:pPr>
              <w:pStyle w:val="TableHeading"/>
            </w:pPr>
            <w:r w:rsidRPr="00BF7D68">
              <w:t>Date/Details</w:t>
            </w:r>
          </w:p>
        </w:tc>
      </w:tr>
      <w:tr w:rsidR="009B02B8" w:rsidRPr="00BF7D68" w:rsidTr="00472536">
        <w:trPr>
          <w:cantSplit/>
        </w:trPr>
        <w:tc>
          <w:tcPr>
            <w:tcW w:w="2127" w:type="dxa"/>
            <w:tcBorders>
              <w:top w:val="single" w:sz="2" w:space="0" w:color="auto"/>
              <w:left w:val="nil"/>
              <w:bottom w:val="single" w:sz="12" w:space="0" w:color="auto"/>
              <w:right w:val="nil"/>
            </w:tcBorders>
            <w:hideMark/>
          </w:tcPr>
          <w:p w:rsidR="009B02B8" w:rsidRPr="00BF7D68" w:rsidRDefault="009B02B8" w:rsidP="00472536">
            <w:pPr>
              <w:pStyle w:val="Tabletext"/>
            </w:pPr>
            <w:r w:rsidRPr="00BF7D68">
              <w:t>1. The whole of this instrument</w:t>
            </w:r>
          </w:p>
        </w:tc>
        <w:tc>
          <w:tcPr>
            <w:tcW w:w="4394" w:type="dxa"/>
            <w:tcBorders>
              <w:top w:val="single" w:sz="2" w:space="0" w:color="auto"/>
              <w:left w:val="nil"/>
              <w:bottom w:val="single" w:sz="12" w:space="0" w:color="auto"/>
              <w:right w:val="nil"/>
            </w:tcBorders>
          </w:tcPr>
          <w:p w:rsidR="009B02B8" w:rsidRPr="00BF7D68" w:rsidRDefault="009B02B8" w:rsidP="00472536">
            <w:pPr>
              <w:pStyle w:val="Tabletext"/>
            </w:pPr>
            <w:r w:rsidRPr="00BF7D68">
              <w:t>The later of:</w:t>
            </w:r>
          </w:p>
          <w:p w:rsidR="009B02B8" w:rsidRPr="00BF7D68" w:rsidRDefault="009B02B8" w:rsidP="00472536">
            <w:pPr>
              <w:pStyle w:val="Tablea"/>
            </w:pPr>
            <w:r w:rsidRPr="00BF7D68">
              <w:t>(a) the day for commencement specified in section</w:t>
            </w:r>
            <w:r w:rsidR="00BF7D68" w:rsidRPr="00BF7D68">
              <w:t> </w:t>
            </w:r>
            <w:r w:rsidRPr="00BF7D68">
              <w:t>50</w:t>
            </w:r>
            <w:r w:rsidR="00BF7D68">
              <w:noBreakHyphen/>
            </w:r>
            <w:r w:rsidRPr="00BF7D68">
              <w:t xml:space="preserve">20 of the </w:t>
            </w:r>
            <w:r w:rsidRPr="00BF7D68">
              <w:rPr>
                <w:i/>
              </w:rPr>
              <w:t>Australian Charities and Not</w:t>
            </w:r>
            <w:r w:rsidR="00BF7D68">
              <w:rPr>
                <w:i/>
              </w:rPr>
              <w:noBreakHyphen/>
            </w:r>
            <w:r w:rsidRPr="00BF7D68">
              <w:rPr>
                <w:i/>
              </w:rPr>
              <w:t>for</w:t>
            </w:r>
            <w:r w:rsidR="00BF7D68">
              <w:rPr>
                <w:i/>
              </w:rPr>
              <w:noBreakHyphen/>
            </w:r>
            <w:r w:rsidRPr="00BF7D68">
              <w:rPr>
                <w:i/>
              </w:rPr>
              <w:t>profits Commission Act 2012</w:t>
            </w:r>
            <w:r w:rsidRPr="00BF7D68">
              <w:t>; and</w:t>
            </w:r>
          </w:p>
          <w:p w:rsidR="009B02B8" w:rsidRPr="00BF7D68" w:rsidRDefault="009B02B8" w:rsidP="00472536">
            <w:pPr>
              <w:pStyle w:val="Tablea"/>
            </w:pPr>
            <w:r w:rsidRPr="00BF7D68">
              <w:t>(b) 1</w:t>
            </w:r>
            <w:r w:rsidR="00BF7D68" w:rsidRPr="00BF7D68">
              <w:t> </w:t>
            </w:r>
            <w:r w:rsidRPr="00BF7D68">
              <w:t>July 2019.</w:t>
            </w:r>
          </w:p>
        </w:tc>
        <w:tc>
          <w:tcPr>
            <w:tcW w:w="1843" w:type="dxa"/>
            <w:tcBorders>
              <w:top w:val="single" w:sz="2" w:space="0" w:color="auto"/>
              <w:left w:val="nil"/>
              <w:bottom w:val="single" w:sz="12" w:space="0" w:color="auto"/>
              <w:right w:val="nil"/>
            </w:tcBorders>
          </w:tcPr>
          <w:p w:rsidR="009B02B8" w:rsidRDefault="00291352" w:rsidP="00472536">
            <w:pPr>
              <w:pStyle w:val="Tabletext"/>
            </w:pPr>
            <w:r>
              <w:t>23 July 2019</w:t>
            </w:r>
          </w:p>
          <w:p w:rsidR="00291352" w:rsidRPr="00BF7D68" w:rsidRDefault="00291352" w:rsidP="00472536">
            <w:pPr>
              <w:pStyle w:val="Tabletext"/>
            </w:pPr>
            <w:r>
              <w:t>(paragraph (a) applies)</w:t>
            </w:r>
            <w:bookmarkStart w:id="2" w:name="_GoBack"/>
            <w:bookmarkEnd w:id="2"/>
          </w:p>
        </w:tc>
      </w:tr>
    </w:tbl>
    <w:p w:rsidR="009B02B8" w:rsidRPr="00BF7D68" w:rsidRDefault="009B02B8" w:rsidP="009B02B8">
      <w:pPr>
        <w:pStyle w:val="notetext"/>
      </w:pPr>
      <w:r w:rsidRPr="00BF7D68">
        <w:rPr>
          <w:snapToGrid w:val="0"/>
          <w:lang w:eastAsia="en-US"/>
        </w:rPr>
        <w:t>Note:</w:t>
      </w:r>
      <w:r w:rsidRPr="00BF7D68">
        <w:rPr>
          <w:snapToGrid w:val="0"/>
          <w:lang w:eastAsia="en-US"/>
        </w:rPr>
        <w:tab/>
        <w:t xml:space="preserve">This table relates only to the provisions of this </w:t>
      </w:r>
      <w:r w:rsidRPr="00BF7D68">
        <w:t xml:space="preserve">instrument </w:t>
      </w:r>
      <w:r w:rsidRPr="00BF7D68">
        <w:rPr>
          <w:snapToGrid w:val="0"/>
          <w:lang w:eastAsia="en-US"/>
        </w:rPr>
        <w:t xml:space="preserve">as originally made. It will not be amended to deal with any later amendments of this </w:t>
      </w:r>
      <w:r w:rsidRPr="00BF7D68">
        <w:t>instrument</w:t>
      </w:r>
      <w:r w:rsidRPr="00BF7D68">
        <w:rPr>
          <w:snapToGrid w:val="0"/>
          <w:lang w:eastAsia="en-US"/>
        </w:rPr>
        <w:t>.</w:t>
      </w:r>
    </w:p>
    <w:p w:rsidR="009B02B8" w:rsidRPr="00BF7D68" w:rsidRDefault="009B02B8" w:rsidP="009B02B8">
      <w:pPr>
        <w:pStyle w:val="subsection"/>
      </w:pPr>
      <w:r w:rsidRPr="00BF7D68">
        <w:tab/>
        <w:t>(2)</w:t>
      </w:r>
      <w:r w:rsidRPr="00BF7D68">
        <w:tab/>
        <w:t>Any information in column 3 of the table is not part of this instrument. Information may be inserted in this column, or information in it may be edited, in any published version of this instrument.</w:t>
      </w:r>
    </w:p>
    <w:p w:rsidR="009B02B8" w:rsidRPr="00BF7D68" w:rsidRDefault="009B02B8" w:rsidP="009B02B8">
      <w:pPr>
        <w:pStyle w:val="ActHead5"/>
      </w:pPr>
      <w:bookmarkStart w:id="3" w:name="_Toc528663512"/>
      <w:r w:rsidRPr="00BF7D68">
        <w:rPr>
          <w:rStyle w:val="CharSectno"/>
        </w:rPr>
        <w:t>3</w:t>
      </w:r>
      <w:r w:rsidRPr="00BF7D68">
        <w:t xml:space="preserve">  Authority</w:t>
      </w:r>
      <w:bookmarkEnd w:id="3"/>
    </w:p>
    <w:p w:rsidR="009B02B8" w:rsidRPr="00BF7D68" w:rsidRDefault="009B02B8" w:rsidP="009B02B8">
      <w:pPr>
        <w:pStyle w:val="subsection"/>
      </w:pPr>
      <w:r w:rsidRPr="00BF7D68">
        <w:tab/>
      </w:r>
      <w:r w:rsidRPr="00BF7D68">
        <w:tab/>
        <w:t xml:space="preserve">This instrument is made under the </w:t>
      </w:r>
      <w:r w:rsidRPr="00BF7D68">
        <w:rPr>
          <w:i/>
        </w:rPr>
        <w:t>Australian Charities and Not</w:t>
      </w:r>
      <w:r w:rsidR="00BF7D68">
        <w:rPr>
          <w:i/>
        </w:rPr>
        <w:noBreakHyphen/>
      </w:r>
      <w:r w:rsidRPr="00BF7D68">
        <w:rPr>
          <w:i/>
        </w:rPr>
        <w:t>for</w:t>
      </w:r>
      <w:r w:rsidR="00BF7D68">
        <w:rPr>
          <w:i/>
        </w:rPr>
        <w:noBreakHyphen/>
      </w:r>
      <w:r w:rsidRPr="00BF7D68">
        <w:rPr>
          <w:i/>
        </w:rPr>
        <w:t>profits Commission Act 2012.</w:t>
      </w:r>
    </w:p>
    <w:p w:rsidR="009B02B8" w:rsidRPr="00BF7D68" w:rsidRDefault="009B02B8" w:rsidP="009B02B8">
      <w:pPr>
        <w:pStyle w:val="ActHead5"/>
      </w:pPr>
      <w:bookmarkStart w:id="4" w:name="_Toc528663513"/>
      <w:r w:rsidRPr="00BF7D68">
        <w:rPr>
          <w:rStyle w:val="CharSectno"/>
        </w:rPr>
        <w:t>4</w:t>
      </w:r>
      <w:r w:rsidRPr="00BF7D68">
        <w:t xml:space="preserve">  Schedules</w:t>
      </w:r>
      <w:bookmarkEnd w:id="4"/>
    </w:p>
    <w:p w:rsidR="009B02B8" w:rsidRPr="00BF7D68" w:rsidRDefault="009B02B8" w:rsidP="009B02B8">
      <w:pPr>
        <w:pStyle w:val="subsection"/>
      </w:pPr>
      <w:r w:rsidRPr="00BF7D68">
        <w:tab/>
      </w:r>
      <w:r w:rsidRPr="00BF7D68">
        <w:tab/>
        <w:t>Each instrument that is specified in a Schedule to this instrument is amended or repealed as set out in the applicable items in the Schedule concerned, and any other item in a Schedule to this instrument has effect according to its terms.</w:t>
      </w:r>
    </w:p>
    <w:p w:rsidR="009B02B8" w:rsidRPr="00BF7D68" w:rsidRDefault="009B02B8" w:rsidP="009B02B8">
      <w:pPr>
        <w:pStyle w:val="ActHead6"/>
        <w:pageBreakBefore/>
      </w:pPr>
      <w:bookmarkStart w:id="5" w:name="_Toc528663514"/>
      <w:bookmarkStart w:id="6" w:name="opcAmSched"/>
      <w:bookmarkStart w:id="7" w:name="opcCurrentFind"/>
      <w:r w:rsidRPr="00BF7D68">
        <w:rPr>
          <w:rStyle w:val="CharAmSchNo"/>
        </w:rPr>
        <w:t>Schedule</w:t>
      </w:r>
      <w:r w:rsidR="00BF7D68" w:rsidRPr="00BF7D68">
        <w:rPr>
          <w:rStyle w:val="CharAmSchNo"/>
        </w:rPr>
        <w:t> </w:t>
      </w:r>
      <w:r w:rsidRPr="00BF7D68">
        <w:rPr>
          <w:rStyle w:val="CharAmSchNo"/>
        </w:rPr>
        <w:t>1</w:t>
      </w:r>
      <w:r w:rsidRPr="00BF7D68">
        <w:t>—</w:t>
      </w:r>
      <w:r w:rsidRPr="00BF7D68">
        <w:rPr>
          <w:rStyle w:val="CharAmSchText"/>
        </w:rPr>
        <w:t>Amendments</w:t>
      </w:r>
      <w:bookmarkEnd w:id="5"/>
    </w:p>
    <w:bookmarkEnd w:id="6"/>
    <w:bookmarkEnd w:id="7"/>
    <w:p w:rsidR="009B02B8" w:rsidRPr="00BF7D68" w:rsidRDefault="00E534C2" w:rsidP="00E534C2">
      <w:pPr>
        <w:pStyle w:val="Header"/>
      </w:pPr>
      <w:r w:rsidRPr="00BF7D68">
        <w:rPr>
          <w:rStyle w:val="CharAmPartNo"/>
        </w:rPr>
        <w:t xml:space="preserve"> </w:t>
      </w:r>
      <w:r w:rsidRPr="00BF7D68">
        <w:rPr>
          <w:rStyle w:val="CharAmPartText"/>
        </w:rPr>
        <w:t xml:space="preserve"> </w:t>
      </w:r>
    </w:p>
    <w:p w:rsidR="009B02B8" w:rsidRPr="00BF7D68" w:rsidRDefault="009B02B8" w:rsidP="00E534C2">
      <w:pPr>
        <w:pStyle w:val="ActHead9"/>
      </w:pPr>
      <w:bookmarkStart w:id="8" w:name="_Toc528663515"/>
      <w:r w:rsidRPr="00BF7D68">
        <w:t>Australian Charities and Not</w:t>
      </w:r>
      <w:r w:rsidR="00BF7D68">
        <w:noBreakHyphen/>
      </w:r>
      <w:r w:rsidRPr="00BF7D68">
        <w:t>for</w:t>
      </w:r>
      <w:r w:rsidR="00BF7D68">
        <w:noBreakHyphen/>
      </w:r>
      <w:r w:rsidRPr="00BF7D68">
        <w:t>profits Commission Regulation</w:t>
      </w:r>
      <w:r w:rsidR="00BF7D68" w:rsidRPr="00BF7D68">
        <w:t> </w:t>
      </w:r>
      <w:r w:rsidRPr="00BF7D68">
        <w:t>2013</w:t>
      </w:r>
      <w:bookmarkEnd w:id="8"/>
    </w:p>
    <w:p w:rsidR="009B02B8" w:rsidRPr="00BF7D68" w:rsidRDefault="009B02B8" w:rsidP="009B02B8">
      <w:pPr>
        <w:pStyle w:val="ItemHead"/>
      </w:pPr>
      <w:r w:rsidRPr="00BF7D68">
        <w:t>1  Section</w:t>
      </w:r>
      <w:r w:rsidR="00BF7D68" w:rsidRPr="00BF7D68">
        <w:t> </w:t>
      </w:r>
      <w:r w:rsidRPr="00BF7D68">
        <w:t>4</w:t>
      </w:r>
    </w:p>
    <w:p w:rsidR="009B02B8" w:rsidRPr="00BF7D68" w:rsidRDefault="009B02B8" w:rsidP="009B02B8">
      <w:pPr>
        <w:pStyle w:val="Item"/>
      </w:pPr>
      <w:r w:rsidRPr="00BF7D68">
        <w:t>Insert:</w:t>
      </w:r>
    </w:p>
    <w:p w:rsidR="009B02B8" w:rsidRPr="00BF7D68" w:rsidRDefault="009B02B8" w:rsidP="009B02B8">
      <w:pPr>
        <w:pStyle w:val="Definition"/>
      </w:pPr>
      <w:r w:rsidRPr="00BF7D68">
        <w:rPr>
          <w:b/>
          <w:i/>
        </w:rPr>
        <w:t>arrangement</w:t>
      </w:r>
      <w:r w:rsidRPr="00BF7D68">
        <w:t xml:space="preserve"> has the same meaning as in the </w:t>
      </w:r>
      <w:r w:rsidRPr="00BF7D68">
        <w:rPr>
          <w:i/>
        </w:rPr>
        <w:t>Income Tax Assessment Act 1997</w:t>
      </w:r>
      <w:r w:rsidRPr="00BF7D68">
        <w:t>.</w:t>
      </w:r>
    </w:p>
    <w:p w:rsidR="009B02B8" w:rsidRPr="00BF7D68" w:rsidRDefault="009B02B8" w:rsidP="009B02B8">
      <w:pPr>
        <w:pStyle w:val="Definition"/>
      </w:pPr>
      <w:r w:rsidRPr="00BF7D68">
        <w:rPr>
          <w:b/>
          <w:i/>
        </w:rPr>
        <w:t>child</w:t>
      </w:r>
      <w:r w:rsidRPr="00BF7D68">
        <w:t xml:space="preserve"> means an individual who is under the age of 18 years.</w:t>
      </w:r>
    </w:p>
    <w:p w:rsidR="009B02B8" w:rsidRPr="00BF7D68" w:rsidRDefault="009B02B8" w:rsidP="009B02B8">
      <w:pPr>
        <w:pStyle w:val="Definition"/>
      </w:pPr>
      <w:r w:rsidRPr="00BF7D68">
        <w:rPr>
          <w:b/>
          <w:i/>
        </w:rPr>
        <w:t>third party</w:t>
      </w:r>
      <w:r w:rsidRPr="00BF7D68">
        <w:t>, in relation to a registered entity, means an entity (other than a registered entity) that formally or informally collaborates with the registered entity for the purpose of advancing the registered entity’s purpose or purposes, and includes:</w:t>
      </w:r>
    </w:p>
    <w:p w:rsidR="009B02B8" w:rsidRPr="00BF7D68" w:rsidRDefault="009B02B8" w:rsidP="009B02B8">
      <w:pPr>
        <w:pStyle w:val="paragraph"/>
      </w:pPr>
      <w:r w:rsidRPr="00BF7D68">
        <w:tab/>
        <w:t>(a)</w:t>
      </w:r>
      <w:r w:rsidRPr="00BF7D68">
        <w:tab/>
        <w:t>an entity with which the registered entity has some form of membership, association or alliance; and</w:t>
      </w:r>
    </w:p>
    <w:p w:rsidR="009B02B8" w:rsidRPr="00BF7D68" w:rsidRDefault="009B02B8" w:rsidP="009B02B8">
      <w:pPr>
        <w:pStyle w:val="paragraph"/>
      </w:pPr>
      <w:r w:rsidRPr="00BF7D68">
        <w:tab/>
        <w:t>(b)</w:t>
      </w:r>
      <w:r w:rsidRPr="00BF7D68">
        <w:tab/>
        <w:t>an entity that has an arrangement with the registered entity.</w:t>
      </w:r>
    </w:p>
    <w:p w:rsidR="009B02B8" w:rsidRPr="00BF7D68" w:rsidRDefault="009B02B8" w:rsidP="009B02B8">
      <w:pPr>
        <w:pStyle w:val="Definition"/>
      </w:pPr>
      <w:r w:rsidRPr="00BF7D68">
        <w:rPr>
          <w:b/>
          <w:i/>
        </w:rPr>
        <w:t>vulnerable individual</w:t>
      </w:r>
      <w:r w:rsidRPr="00BF7D68">
        <w:t xml:space="preserve"> means:</w:t>
      </w:r>
    </w:p>
    <w:p w:rsidR="009B02B8" w:rsidRPr="00BF7D68" w:rsidRDefault="009B02B8" w:rsidP="009B02B8">
      <w:pPr>
        <w:pStyle w:val="paragraph"/>
      </w:pPr>
      <w:r w:rsidRPr="00BF7D68">
        <w:tab/>
        <w:t>(a)</w:t>
      </w:r>
      <w:r w:rsidRPr="00BF7D68">
        <w:tab/>
        <w:t>a child; or</w:t>
      </w:r>
    </w:p>
    <w:p w:rsidR="009B02B8" w:rsidRPr="00BF7D68" w:rsidRDefault="009B02B8" w:rsidP="009B02B8">
      <w:pPr>
        <w:pStyle w:val="paragraph"/>
      </w:pPr>
      <w:r w:rsidRPr="00BF7D68">
        <w:tab/>
        <w:t>(b)</w:t>
      </w:r>
      <w:r w:rsidRPr="00BF7D68">
        <w:tab/>
        <w:t>an individual who is or may be unable to take care of themselves, or is unable to protect themselves against harm or exploitation.</w:t>
      </w:r>
    </w:p>
    <w:p w:rsidR="009B02B8" w:rsidRPr="00BF7D68" w:rsidRDefault="009B02B8" w:rsidP="009B02B8">
      <w:pPr>
        <w:pStyle w:val="notetext"/>
      </w:pPr>
      <w:r w:rsidRPr="00BF7D68">
        <w:t xml:space="preserve">Example: </w:t>
      </w:r>
      <w:r w:rsidRPr="00BF7D68">
        <w:tab/>
        <w:t>An individual may be unable to take care of, or protect, themselves by reason of age, illness, trauma or disability.</w:t>
      </w:r>
    </w:p>
    <w:p w:rsidR="009B02B8" w:rsidRPr="00BF7D68" w:rsidRDefault="009B02B8" w:rsidP="009B02B8">
      <w:pPr>
        <w:pStyle w:val="ItemHead"/>
      </w:pPr>
      <w:r w:rsidRPr="00BF7D68">
        <w:t>2  After Division</w:t>
      </w:r>
      <w:r w:rsidR="00BF7D68" w:rsidRPr="00BF7D68">
        <w:t> </w:t>
      </w:r>
      <w:r w:rsidRPr="00BF7D68">
        <w:t>45</w:t>
      </w:r>
    </w:p>
    <w:p w:rsidR="009B02B8" w:rsidRPr="00BF7D68" w:rsidRDefault="009B02B8" w:rsidP="009B02B8">
      <w:pPr>
        <w:pStyle w:val="Item"/>
      </w:pPr>
      <w:r w:rsidRPr="00BF7D68">
        <w:t>Insert:</w:t>
      </w:r>
    </w:p>
    <w:p w:rsidR="009B02B8" w:rsidRPr="00BF7D68" w:rsidRDefault="009B02B8" w:rsidP="009B02B8">
      <w:pPr>
        <w:pStyle w:val="ActHead3"/>
      </w:pPr>
      <w:bookmarkStart w:id="9" w:name="_Toc528663516"/>
      <w:r w:rsidRPr="00BF7D68">
        <w:rPr>
          <w:rStyle w:val="CharDivNo"/>
        </w:rPr>
        <w:t>Division</w:t>
      </w:r>
      <w:r w:rsidR="00BF7D68" w:rsidRPr="00BF7D68">
        <w:rPr>
          <w:rStyle w:val="CharDivNo"/>
        </w:rPr>
        <w:t> </w:t>
      </w:r>
      <w:r w:rsidRPr="00BF7D68">
        <w:rPr>
          <w:rStyle w:val="CharDivNo"/>
        </w:rPr>
        <w:t>50</w:t>
      </w:r>
      <w:r w:rsidRPr="00BF7D68">
        <w:t>—</w:t>
      </w:r>
      <w:r w:rsidRPr="00BF7D68">
        <w:rPr>
          <w:rStyle w:val="CharDivText"/>
        </w:rPr>
        <w:t>External conduct standards</w:t>
      </w:r>
      <w:bookmarkEnd w:id="9"/>
    </w:p>
    <w:p w:rsidR="009B02B8" w:rsidRPr="00BF7D68" w:rsidRDefault="009B02B8" w:rsidP="009B02B8">
      <w:pPr>
        <w:pStyle w:val="ActHead4"/>
      </w:pPr>
      <w:bookmarkStart w:id="10" w:name="_Toc528663517"/>
      <w:r w:rsidRPr="00BF7D68">
        <w:rPr>
          <w:rStyle w:val="CharSubdNo"/>
        </w:rPr>
        <w:t>Subdivision</w:t>
      </w:r>
      <w:r w:rsidR="00BF7D68" w:rsidRPr="00BF7D68">
        <w:rPr>
          <w:rStyle w:val="CharSubdNo"/>
        </w:rPr>
        <w:t> </w:t>
      </w:r>
      <w:r w:rsidRPr="00BF7D68">
        <w:rPr>
          <w:rStyle w:val="CharSubdNo"/>
        </w:rPr>
        <w:t>50</w:t>
      </w:r>
      <w:r w:rsidR="00BF7D68" w:rsidRPr="00BF7D68">
        <w:rPr>
          <w:rStyle w:val="CharSubdNo"/>
        </w:rPr>
        <w:noBreakHyphen/>
      </w:r>
      <w:r w:rsidRPr="00BF7D68">
        <w:rPr>
          <w:rStyle w:val="CharSubdNo"/>
        </w:rPr>
        <w:t>A</w:t>
      </w:r>
      <w:r w:rsidRPr="00BF7D68">
        <w:t>—</w:t>
      </w:r>
      <w:r w:rsidRPr="00BF7D68">
        <w:rPr>
          <w:rStyle w:val="CharSubdText"/>
        </w:rPr>
        <w:t>Preliminary</w:t>
      </w:r>
      <w:bookmarkEnd w:id="10"/>
    </w:p>
    <w:p w:rsidR="009B02B8" w:rsidRPr="00BF7D68" w:rsidRDefault="009B02B8" w:rsidP="009B02B8">
      <w:pPr>
        <w:pStyle w:val="ActHead5"/>
      </w:pPr>
      <w:bookmarkStart w:id="11" w:name="_Toc528663518"/>
      <w:r w:rsidRPr="00BF7D68">
        <w:rPr>
          <w:rStyle w:val="CharSectno"/>
        </w:rPr>
        <w:t>50.1</w:t>
      </w:r>
      <w:r w:rsidRPr="00BF7D68">
        <w:t xml:space="preserve">  Simplified outline—how the external conduct standards apply</w:t>
      </w:r>
      <w:bookmarkEnd w:id="11"/>
    </w:p>
    <w:p w:rsidR="009B02B8" w:rsidRPr="00BF7D68" w:rsidRDefault="009B02B8" w:rsidP="009B02B8">
      <w:pPr>
        <w:pStyle w:val="SOText"/>
      </w:pPr>
      <w:r w:rsidRPr="00BF7D68">
        <w:t>The external conduct standards support registered entities in fulfilling their objectives, by providing a minimum level of assurance that they meet public expectations in relation to their conduct when they undertake activities (including providing funds), or otherwise support activities, outside Australia.</w:t>
      </w:r>
    </w:p>
    <w:p w:rsidR="009B02B8" w:rsidRPr="00BF7D68" w:rsidRDefault="009B02B8" w:rsidP="009B02B8">
      <w:pPr>
        <w:pStyle w:val="SOText"/>
      </w:pPr>
      <w:r w:rsidRPr="00BF7D68">
        <w:t>Australian registered entities play an important role in providing development assistance, essential services and humanitarian aid to those in need around the world. Unfortunately, there is a risk that criminal organisations may take advantage of registered entities, by misusing funds and providing a cover for, or support of, criminal activities.</w:t>
      </w:r>
    </w:p>
    <w:p w:rsidR="009B02B8" w:rsidRPr="00BF7D68" w:rsidRDefault="009B02B8" w:rsidP="009B02B8">
      <w:pPr>
        <w:pStyle w:val="SOText"/>
      </w:pPr>
      <w:r w:rsidRPr="00BF7D68">
        <w:t>The external conduct standards are intended to provide greater confidence that funds sent, and services provided, outside Australia are reaching legitimate beneficiaries and are being used for legitimate purposes. The standards are also intended to prevent a registered entity from being misused by a criminal organisation.</w:t>
      </w:r>
    </w:p>
    <w:p w:rsidR="009B02B8" w:rsidRPr="00BF7D68" w:rsidRDefault="009B02B8" w:rsidP="009B02B8">
      <w:pPr>
        <w:pStyle w:val="SOText"/>
      </w:pPr>
      <w:r w:rsidRPr="00BF7D68">
        <w:t>The external conduct standards apply to registered entities in relation to matters both outside Australia and matters not outside Australia but closely related to entities, things or matters outside Australia (such as the management within Australia of overseas aid).</w:t>
      </w:r>
    </w:p>
    <w:p w:rsidR="009B02B8" w:rsidRPr="00BF7D68" w:rsidRDefault="009B02B8" w:rsidP="009B02B8">
      <w:pPr>
        <w:pStyle w:val="SOText"/>
      </w:pPr>
      <w:r w:rsidRPr="00BF7D68">
        <w:t>The external conduct standards assist in meeting Australia’s international obligations including under the FATF Recommendations (within the meaning of section</w:t>
      </w:r>
      <w:r w:rsidR="00BF7D68" w:rsidRPr="00BF7D68">
        <w:t> </w:t>
      </w:r>
      <w:r w:rsidRPr="00BF7D68">
        <w:t xml:space="preserve">5 of the </w:t>
      </w:r>
      <w:r w:rsidRPr="00BF7D68">
        <w:rPr>
          <w:i/>
        </w:rPr>
        <w:t>Anti</w:t>
      </w:r>
      <w:r w:rsidR="00BF7D68">
        <w:rPr>
          <w:i/>
        </w:rPr>
        <w:noBreakHyphen/>
      </w:r>
      <w:r w:rsidRPr="00BF7D68">
        <w:rPr>
          <w:i/>
        </w:rPr>
        <w:t>Money Laundering and Counter</w:t>
      </w:r>
      <w:r w:rsidR="00BF7D68">
        <w:rPr>
          <w:i/>
        </w:rPr>
        <w:noBreakHyphen/>
      </w:r>
      <w:r w:rsidRPr="00BF7D68">
        <w:rPr>
          <w:i/>
        </w:rPr>
        <w:t>Terrorism Financing Act 2006</w:t>
      </w:r>
      <w:r w:rsidRPr="00BF7D68">
        <w:t>).</w:t>
      </w:r>
    </w:p>
    <w:p w:rsidR="009B02B8" w:rsidRPr="00BF7D68" w:rsidRDefault="009B02B8" w:rsidP="009B02B8">
      <w:pPr>
        <w:pStyle w:val="SOText"/>
      </w:pPr>
      <w:r w:rsidRPr="00BF7D68">
        <w:t>The steps a registered entity will need to take to comply with the standards will vary according to its particular circumstances, such as its size, the sources of its funding, the nature of its activities (including the extent and importance of its activities outside Australia and resources given to parties outside Australia) and the needs of the public (including members, donors, employees, volunteers and benefit recipients of the registered entity).</w:t>
      </w:r>
    </w:p>
    <w:p w:rsidR="009B02B8" w:rsidRPr="00BF7D68" w:rsidRDefault="009B02B8" w:rsidP="009B02B8">
      <w:pPr>
        <w:pStyle w:val="SOText"/>
      </w:pPr>
      <w:r w:rsidRPr="00BF7D68">
        <w:t>The requirements in the external conduct standards are to be interpreted having regard to the objects of the Act and the matters the Commissioner must consider in exercising the Commissioner’s powers as listed in section</w:t>
      </w:r>
      <w:r w:rsidR="00BF7D68" w:rsidRPr="00BF7D68">
        <w:t> </w:t>
      </w:r>
      <w:r w:rsidRPr="00BF7D68">
        <w:t>15</w:t>
      </w:r>
      <w:r w:rsidR="00BF7D68">
        <w:noBreakHyphen/>
      </w:r>
      <w:r w:rsidRPr="00BF7D68">
        <w:t>10 of the Act (in particular, the principles of regulatory necessity, reflecting risk and proportionate regulation, as well as the unique nature and diversity of not</w:t>
      </w:r>
      <w:r w:rsidR="00BF7D68">
        <w:noBreakHyphen/>
      </w:r>
      <w:r w:rsidRPr="00BF7D68">
        <w:t>for</w:t>
      </w:r>
      <w:r w:rsidR="00BF7D68">
        <w:noBreakHyphen/>
      </w:r>
      <w:r w:rsidRPr="00BF7D68">
        <w:t>profit entities and the distinctive role that they play in Australia).</w:t>
      </w:r>
    </w:p>
    <w:p w:rsidR="009B02B8" w:rsidRPr="00BF7D68" w:rsidRDefault="009B02B8" w:rsidP="009B02B8">
      <w:pPr>
        <w:pStyle w:val="SOText"/>
      </w:pPr>
      <w:r w:rsidRPr="00BF7D68">
        <w:t>The objects of the Act are: to maintain, protect and enhance public trust and confidence in the Australian not</w:t>
      </w:r>
      <w:r w:rsidR="00BF7D68">
        <w:noBreakHyphen/>
      </w:r>
      <w:r w:rsidRPr="00BF7D68">
        <w:t>for</w:t>
      </w:r>
      <w:r w:rsidR="00BF7D68">
        <w:noBreakHyphen/>
      </w:r>
      <w:r w:rsidRPr="00BF7D68">
        <w:t>profit sector; to support and sustain a robust, vibrant, independent and innovative Australian not</w:t>
      </w:r>
      <w:r w:rsidR="00BF7D68">
        <w:noBreakHyphen/>
      </w:r>
      <w:r w:rsidRPr="00BF7D68">
        <w:t>for</w:t>
      </w:r>
      <w:r w:rsidR="00BF7D68">
        <w:noBreakHyphen/>
      </w:r>
      <w:r w:rsidRPr="00BF7D68">
        <w:t>profit sector; and to promote the reduction of unnecessary regulatory obligations on the Australian not</w:t>
      </w:r>
      <w:r w:rsidR="00BF7D68">
        <w:noBreakHyphen/>
      </w:r>
      <w:r w:rsidRPr="00BF7D68">
        <w:t>for</w:t>
      </w:r>
      <w:r w:rsidR="00BF7D68">
        <w:noBreakHyphen/>
      </w:r>
      <w:r w:rsidRPr="00BF7D68">
        <w:t>profit sector.</w:t>
      </w:r>
    </w:p>
    <w:p w:rsidR="009B02B8" w:rsidRPr="00BF7D68" w:rsidRDefault="009B02B8" w:rsidP="009B02B8">
      <w:pPr>
        <w:pStyle w:val="ActHead5"/>
      </w:pPr>
      <w:bookmarkStart w:id="12" w:name="_Toc528663519"/>
      <w:r w:rsidRPr="00BF7D68">
        <w:rPr>
          <w:rStyle w:val="CharSectno"/>
        </w:rPr>
        <w:t>50.2</w:t>
      </w:r>
      <w:r w:rsidRPr="00BF7D68">
        <w:t xml:space="preserve">  Interpretation</w:t>
      </w:r>
      <w:bookmarkEnd w:id="12"/>
    </w:p>
    <w:p w:rsidR="009B02B8" w:rsidRPr="00BF7D68" w:rsidRDefault="009B02B8" w:rsidP="009B02B8">
      <w:pPr>
        <w:pStyle w:val="subsection"/>
      </w:pPr>
      <w:r w:rsidRPr="00BF7D68">
        <w:tab/>
      </w:r>
      <w:r w:rsidRPr="00BF7D68">
        <w:tab/>
        <w:t>In this Division, the external conduct standards in Subdivisions</w:t>
      </w:r>
      <w:r w:rsidR="00BF7D68" w:rsidRPr="00BF7D68">
        <w:t> </w:t>
      </w:r>
      <w:r w:rsidRPr="00BF7D68">
        <w:t>50</w:t>
      </w:r>
      <w:r w:rsidR="00BF7D68">
        <w:noBreakHyphen/>
      </w:r>
      <w:r w:rsidRPr="00BF7D68">
        <w:t>B and 50</w:t>
      </w:r>
      <w:r w:rsidR="00BF7D68">
        <w:noBreakHyphen/>
      </w:r>
      <w:r w:rsidRPr="00BF7D68">
        <w:t>C must be interpreted in a way that is consistent with the objects of the Act and the requirements of section</w:t>
      </w:r>
      <w:r w:rsidR="00BF7D68" w:rsidRPr="00BF7D68">
        <w:t> </w:t>
      </w:r>
      <w:r w:rsidRPr="00BF7D68">
        <w:t>15</w:t>
      </w:r>
      <w:r w:rsidR="00BF7D68">
        <w:noBreakHyphen/>
      </w:r>
      <w:r w:rsidRPr="00BF7D68">
        <w:t>10 of the Act.</w:t>
      </w:r>
    </w:p>
    <w:p w:rsidR="009B02B8" w:rsidRPr="00BF7D68" w:rsidRDefault="009B02B8" w:rsidP="009B02B8">
      <w:pPr>
        <w:pStyle w:val="ActHead5"/>
      </w:pPr>
      <w:bookmarkStart w:id="13" w:name="_Toc528663520"/>
      <w:r w:rsidRPr="00BF7D68">
        <w:rPr>
          <w:rStyle w:val="CharSectno"/>
        </w:rPr>
        <w:t>50.3</w:t>
      </w:r>
      <w:r w:rsidRPr="00BF7D68">
        <w:t xml:space="preserve">  Application</w:t>
      </w:r>
      <w:bookmarkEnd w:id="13"/>
    </w:p>
    <w:p w:rsidR="009B02B8" w:rsidRPr="00BF7D68" w:rsidRDefault="009B02B8" w:rsidP="009B02B8">
      <w:pPr>
        <w:pStyle w:val="subsection"/>
      </w:pPr>
      <w:r w:rsidRPr="00BF7D68">
        <w:tab/>
      </w:r>
      <w:r w:rsidRPr="00BF7D68">
        <w:tab/>
        <w:t>For the purposes of section</w:t>
      </w:r>
      <w:r w:rsidR="00BF7D68" w:rsidRPr="00BF7D68">
        <w:t> </w:t>
      </w:r>
      <w:r w:rsidRPr="00BF7D68">
        <w:t>50</w:t>
      </w:r>
      <w:r w:rsidR="00BF7D68">
        <w:noBreakHyphen/>
      </w:r>
      <w:r w:rsidRPr="00BF7D68">
        <w:t>10 of the Act, the external conduct standards in Subdivisions</w:t>
      </w:r>
      <w:r w:rsidR="00BF7D68" w:rsidRPr="00BF7D68">
        <w:t> </w:t>
      </w:r>
      <w:r w:rsidRPr="00BF7D68">
        <w:t>50</w:t>
      </w:r>
      <w:r w:rsidR="00BF7D68">
        <w:noBreakHyphen/>
      </w:r>
      <w:r w:rsidRPr="00BF7D68">
        <w:t>B and 50</w:t>
      </w:r>
      <w:r w:rsidR="00BF7D68">
        <w:noBreakHyphen/>
      </w:r>
      <w:r w:rsidRPr="00BF7D68">
        <w:t>C are specified.</w:t>
      </w:r>
    </w:p>
    <w:p w:rsidR="009B02B8" w:rsidRPr="00BF7D68" w:rsidRDefault="009B02B8" w:rsidP="009B02B8">
      <w:pPr>
        <w:pStyle w:val="ActHead5"/>
      </w:pPr>
      <w:bookmarkStart w:id="14" w:name="_Toc528663521"/>
      <w:r w:rsidRPr="00BF7D68">
        <w:rPr>
          <w:rStyle w:val="CharSectno"/>
        </w:rPr>
        <w:t>50.4</w:t>
      </w:r>
      <w:r w:rsidRPr="00BF7D68">
        <w:t xml:space="preserve">  Application—operating outside Australia</w:t>
      </w:r>
      <w:bookmarkEnd w:id="14"/>
    </w:p>
    <w:p w:rsidR="009B02B8" w:rsidRPr="00BF7D68" w:rsidRDefault="009B02B8" w:rsidP="009B02B8">
      <w:pPr>
        <w:pStyle w:val="subsection"/>
      </w:pPr>
      <w:r w:rsidRPr="00BF7D68">
        <w:tab/>
        <w:t>(1)</w:t>
      </w:r>
      <w:r w:rsidRPr="00BF7D68">
        <w:tab/>
        <w:t>For the purposes of this Division, a registered entity, or a third party, operates outside Australia if it operates outside Australia in whole or in part.</w:t>
      </w:r>
    </w:p>
    <w:p w:rsidR="009B02B8" w:rsidRPr="00BF7D68" w:rsidRDefault="009B02B8" w:rsidP="009B02B8">
      <w:pPr>
        <w:pStyle w:val="subsection"/>
      </w:pPr>
      <w:r w:rsidRPr="00BF7D68">
        <w:tab/>
        <w:t>(2)</w:t>
      </w:r>
      <w:r w:rsidRPr="00BF7D68">
        <w:tab/>
        <w:t>However, a registered entity does not operate outside Australia only because it carries out activities outside Australia (including providing funds to be used outside Australia) that are directly related to the pursuit of the registered entity’s purposes in Australia and merely incidental to its operations in Australia.</w:t>
      </w:r>
    </w:p>
    <w:p w:rsidR="009B02B8" w:rsidRPr="00BF7D68" w:rsidRDefault="009B02B8" w:rsidP="009B02B8">
      <w:pPr>
        <w:pStyle w:val="ActHead4"/>
      </w:pPr>
      <w:bookmarkStart w:id="15" w:name="_Toc528663522"/>
      <w:r w:rsidRPr="00BF7D68">
        <w:rPr>
          <w:rStyle w:val="CharSubdNo"/>
        </w:rPr>
        <w:t>Subdivision</w:t>
      </w:r>
      <w:r w:rsidR="00BF7D68" w:rsidRPr="00BF7D68">
        <w:rPr>
          <w:rStyle w:val="CharSubdNo"/>
        </w:rPr>
        <w:t> </w:t>
      </w:r>
      <w:r w:rsidRPr="00BF7D68">
        <w:rPr>
          <w:rStyle w:val="CharSubdNo"/>
        </w:rPr>
        <w:t>50</w:t>
      </w:r>
      <w:r w:rsidR="00BF7D68" w:rsidRPr="00BF7D68">
        <w:rPr>
          <w:rStyle w:val="CharSubdNo"/>
        </w:rPr>
        <w:noBreakHyphen/>
      </w:r>
      <w:r w:rsidRPr="00BF7D68">
        <w:rPr>
          <w:rStyle w:val="CharSubdNo"/>
        </w:rPr>
        <w:t>B</w:t>
      </w:r>
      <w:r w:rsidRPr="00BF7D68">
        <w:t>—</w:t>
      </w:r>
      <w:r w:rsidRPr="00BF7D68">
        <w:rPr>
          <w:rStyle w:val="CharSubdText"/>
        </w:rPr>
        <w:t>Standards about public accountability and financial matters</w:t>
      </w:r>
      <w:bookmarkEnd w:id="15"/>
    </w:p>
    <w:p w:rsidR="009B02B8" w:rsidRPr="00BF7D68" w:rsidRDefault="009B02B8" w:rsidP="009B02B8">
      <w:pPr>
        <w:pStyle w:val="ActHead5"/>
      </w:pPr>
      <w:bookmarkStart w:id="16" w:name="_Toc528663523"/>
      <w:r w:rsidRPr="00BF7D68">
        <w:rPr>
          <w:rStyle w:val="CharSectno"/>
        </w:rPr>
        <w:t>50.20</w:t>
      </w:r>
      <w:r w:rsidRPr="00BF7D68">
        <w:t xml:space="preserve">  Standard 1—Activities and control of resources (including funds)</w:t>
      </w:r>
      <w:bookmarkEnd w:id="16"/>
    </w:p>
    <w:p w:rsidR="009B02B8" w:rsidRPr="00BF7D68" w:rsidRDefault="009B02B8" w:rsidP="009B02B8">
      <w:pPr>
        <w:pStyle w:val="SubsectionHead"/>
      </w:pPr>
      <w:r w:rsidRPr="00BF7D68">
        <w:t>Object</w:t>
      </w:r>
    </w:p>
    <w:p w:rsidR="009B02B8" w:rsidRPr="00BF7D68" w:rsidRDefault="009B02B8" w:rsidP="009B02B8">
      <w:pPr>
        <w:pStyle w:val="subsection"/>
      </w:pPr>
      <w:r w:rsidRPr="00BF7D68">
        <w:tab/>
        <w:t>(1)</w:t>
      </w:r>
      <w:r w:rsidRPr="00BF7D68">
        <w:tab/>
        <w:t>The object of this external conduct standard is to give the public (including members, donors, employees, volunteers and benefit recipients of a registered entity to which the standard applies) confidence that a registered entity is managed in a way that:</w:t>
      </w:r>
    </w:p>
    <w:p w:rsidR="009B02B8" w:rsidRPr="00BF7D68" w:rsidRDefault="009B02B8" w:rsidP="009B02B8">
      <w:pPr>
        <w:pStyle w:val="paragraph"/>
      </w:pPr>
      <w:r w:rsidRPr="00BF7D68">
        <w:tab/>
        <w:t>(a)</w:t>
      </w:r>
      <w:r w:rsidRPr="00BF7D68">
        <w:tab/>
        <w:t>ensures that the registered entity remains solvent; and</w:t>
      </w:r>
    </w:p>
    <w:p w:rsidR="009B02B8" w:rsidRPr="00BF7D68" w:rsidRDefault="009B02B8" w:rsidP="009B02B8">
      <w:pPr>
        <w:pStyle w:val="paragraph"/>
      </w:pPr>
      <w:r w:rsidRPr="00BF7D68">
        <w:tab/>
        <w:t>(b)</w:t>
      </w:r>
      <w:r w:rsidRPr="00BF7D68">
        <w:tab/>
        <w:t>minimises the risks to the registered entity’s assets; and</w:t>
      </w:r>
    </w:p>
    <w:p w:rsidR="009B02B8" w:rsidRPr="00BF7D68" w:rsidRDefault="009B02B8" w:rsidP="009B02B8">
      <w:pPr>
        <w:pStyle w:val="paragraph"/>
      </w:pPr>
      <w:r w:rsidRPr="00BF7D68">
        <w:tab/>
        <w:t>(c)</w:t>
      </w:r>
      <w:r w:rsidRPr="00BF7D68">
        <w:tab/>
        <w:t>ensures that the registered entity, and its resources, are furthering the registered entity’s purposes; and</w:t>
      </w:r>
    </w:p>
    <w:p w:rsidR="009B02B8" w:rsidRPr="00BF7D68" w:rsidRDefault="009B02B8" w:rsidP="009B02B8">
      <w:pPr>
        <w:pStyle w:val="paragraph"/>
      </w:pPr>
      <w:r w:rsidRPr="00BF7D68">
        <w:tab/>
        <w:t>(d)</w:t>
      </w:r>
      <w:r w:rsidRPr="00BF7D68">
        <w:tab/>
        <w:t>ensures that the registered entity is operating in a way that is consistent with its purpose and character as a not</w:t>
      </w:r>
      <w:r w:rsidR="00BF7D68">
        <w:noBreakHyphen/>
      </w:r>
      <w:r w:rsidRPr="00BF7D68">
        <w:t>for</w:t>
      </w:r>
      <w:r w:rsidR="00BF7D68">
        <w:noBreakHyphen/>
      </w:r>
      <w:r w:rsidRPr="00BF7D68">
        <w:t>profit entity.</w:t>
      </w:r>
    </w:p>
    <w:p w:rsidR="009B02B8" w:rsidRPr="00BF7D68" w:rsidRDefault="009B02B8" w:rsidP="009B02B8">
      <w:pPr>
        <w:pStyle w:val="SubsectionHead"/>
      </w:pPr>
      <w:r w:rsidRPr="00BF7D68">
        <w:t>Application</w:t>
      </w:r>
    </w:p>
    <w:p w:rsidR="009B02B8" w:rsidRPr="00BF7D68" w:rsidRDefault="009B02B8" w:rsidP="009B02B8">
      <w:pPr>
        <w:pStyle w:val="subsection"/>
      </w:pPr>
      <w:r w:rsidRPr="00BF7D68">
        <w:tab/>
        <w:t>(2)</w:t>
      </w:r>
      <w:r w:rsidRPr="00BF7D68">
        <w:tab/>
        <w:t>This standard applies to a registered entity that is:</w:t>
      </w:r>
    </w:p>
    <w:p w:rsidR="009B02B8" w:rsidRPr="00BF7D68" w:rsidRDefault="009B02B8" w:rsidP="009B02B8">
      <w:pPr>
        <w:pStyle w:val="paragraph"/>
      </w:pPr>
      <w:r w:rsidRPr="00BF7D68">
        <w:tab/>
        <w:t>(a)</w:t>
      </w:r>
      <w:r w:rsidRPr="00BF7D68">
        <w:tab/>
        <w:t>operating outside Australia; or</w:t>
      </w:r>
    </w:p>
    <w:p w:rsidR="009B02B8" w:rsidRPr="00BF7D68" w:rsidRDefault="009B02B8" w:rsidP="009B02B8">
      <w:pPr>
        <w:pStyle w:val="paragraph"/>
      </w:pPr>
      <w:r w:rsidRPr="00BF7D68">
        <w:tab/>
        <w:t>(b)</w:t>
      </w:r>
      <w:r w:rsidRPr="00BF7D68">
        <w:tab/>
        <w:t>working with third parties that are operating outside Australia.</w:t>
      </w:r>
    </w:p>
    <w:p w:rsidR="009B02B8" w:rsidRPr="00BF7D68" w:rsidRDefault="009B02B8" w:rsidP="009B02B8">
      <w:pPr>
        <w:pStyle w:val="SubsectionHead"/>
      </w:pPr>
      <w:r w:rsidRPr="00BF7D68">
        <w:t>Standard</w:t>
      </w:r>
    </w:p>
    <w:p w:rsidR="009B02B8" w:rsidRPr="00BF7D68" w:rsidRDefault="009B02B8" w:rsidP="009B02B8">
      <w:pPr>
        <w:pStyle w:val="subsection"/>
      </w:pPr>
      <w:r w:rsidRPr="00BF7D68">
        <w:tab/>
        <w:t>(3)</w:t>
      </w:r>
      <w:r w:rsidRPr="00BF7D68">
        <w:tab/>
        <w:t>The registered entity must:</w:t>
      </w:r>
    </w:p>
    <w:p w:rsidR="009B02B8" w:rsidRPr="00BF7D68" w:rsidRDefault="009B02B8" w:rsidP="009B02B8">
      <w:pPr>
        <w:pStyle w:val="paragraph"/>
      </w:pPr>
      <w:r w:rsidRPr="00BF7D68">
        <w:tab/>
        <w:t>(a)</w:t>
      </w:r>
      <w:r w:rsidRPr="00BF7D68">
        <w:tab/>
        <w:t>take reasonable steps to ensure that its activities outside Australia are carried out in a way that is consistent with its purpose and character as a not</w:t>
      </w:r>
      <w:r w:rsidR="00BF7D68">
        <w:noBreakHyphen/>
      </w:r>
      <w:r w:rsidRPr="00BF7D68">
        <w:t>for</w:t>
      </w:r>
      <w:r w:rsidR="00BF7D68">
        <w:noBreakHyphen/>
      </w:r>
      <w:r w:rsidRPr="00BF7D68">
        <w:t>profit entity; and</w:t>
      </w:r>
    </w:p>
    <w:p w:rsidR="009B02B8" w:rsidRPr="00BF7D68" w:rsidRDefault="009B02B8" w:rsidP="009B02B8">
      <w:pPr>
        <w:pStyle w:val="paragraph"/>
      </w:pPr>
      <w:r w:rsidRPr="00BF7D68">
        <w:tab/>
        <w:t>(b)</w:t>
      </w:r>
      <w:r w:rsidRPr="00BF7D68">
        <w:tab/>
        <w:t>maintain reasonable internal control procedures to ensure that resources (including funds) are used outside Australia in a way that is consistent with its purpose and character as a not</w:t>
      </w:r>
      <w:r w:rsidR="00BF7D68">
        <w:noBreakHyphen/>
      </w:r>
      <w:r w:rsidRPr="00BF7D68">
        <w:t>for</w:t>
      </w:r>
      <w:r w:rsidR="00BF7D68">
        <w:noBreakHyphen/>
      </w:r>
      <w:r w:rsidRPr="00BF7D68">
        <w:t>profit entity; and</w:t>
      </w:r>
    </w:p>
    <w:p w:rsidR="009B02B8" w:rsidRPr="00BF7D68" w:rsidRDefault="009B02B8" w:rsidP="009B02B8">
      <w:pPr>
        <w:pStyle w:val="paragraph"/>
      </w:pPr>
      <w:r w:rsidRPr="00BF7D68">
        <w:tab/>
        <w:t>(c)</w:t>
      </w:r>
      <w:r w:rsidRPr="00BF7D68">
        <w:tab/>
        <w:t>take reasonable steps to ensure that the resources (including funds) given to third parties outside Australia (or within Australia for use outside Australia) are applied:</w:t>
      </w:r>
    </w:p>
    <w:p w:rsidR="009B02B8" w:rsidRPr="00BF7D68" w:rsidRDefault="009B02B8" w:rsidP="009B02B8">
      <w:pPr>
        <w:pStyle w:val="paragraphsub"/>
      </w:pPr>
      <w:r w:rsidRPr="00BF7D68">
        <w:tab/>
        <w:t>(i)</w:t>
      </w:r>
      <w:r w:rsidRPr="00BF7D68">
        <w:tab/>
        <w:t>in accordance with the entity’s purpose and character as a not</w:t>
      </w:r>
      <w:r w:rsidR="00BF7D68">
        <w:noBreakHyphen/>
      </w:r>
      <w:r w:rsidRPr="00BF7D68">
        <w:t>for</w:t>
      </w:r>
      <w:r w:rsidR="00BF7D68">
        <w:noBreakHyphen/>
      </w:r>
      <w:r w:rsidRPr="00BF7D68">
        <w:t>profit entity; and</w:t>
      </w:r>
    </w:p>
    <w:p w:rsidR="009B02B8" w:rsidRPr="00BF7D68" w:rsidRDefault="009B02B8" w:rsidP="009B02B8">
      <w:pPr>
        <w:pStyle w:val="paragraphsub"/>
      </w:pPr>
      <w:r w:rsidRPr="00BF7D68">
        <w:tab/>
        <w:t>(ii)</w:t>
      </w:r>
      <w:r w:rsidRPr="00BF7D68">
        <w:tab/>
        <w:t>with reasonable controls and risk management processes in place.</w:t>
      </w:r>
    </w:p>
    <w:p w:rsidR="009B02B8" w:rsidRPr="00BF7D68" w:rsidRDefault="009B02B8" w:rsidP="009B02B8">
      <w:pPr>
        <w:pStyle w:val="notetext"/>
      </w:pPr>
      <w:r w:rsidRPr="00BF7D68">
        <w:t>Note:</w:t>
      </w:r>
      <w:r w:rsidRPr="00BF7D68">
        <w:tab/>
      </w:r>
      <w:r w:rsidR="00BF7D68" w:rsidRPr="00BF7D68">
        <w:t>Paragraphs (</w:t>
      </w:r>
      <w:r w:rsidRPr="00BF7D68">
        <w:t xml:space="preserve">a) and (b) are intended to ensure that a registered entity has procedures in place to manage the risks associated with its own operations and activities. </w:t>
      </w:r>
      <w:r w:rsidR="00BF7D68" w:rsidRPr="00BF7D68">
        <w:t>Paragraph (</w:t>
      </w:r>
      <w:r w:rsidRPr="00BF7D68">
        <w:t>c) is intended to ensure that reasonable controls are in place with respect to resources given to third parties.</w:t>
      </w:r>
    </w:p>
    <w:p w:rsidR="009B02B8" w:rsidRPr="00BF7D68" w:rsidRDefault="009B02B8" w:rsidP="009B02B8">
      <w:pPr>
        <w:pStyle w:val="subsection"/>
      </w:pPr>
      <w:r w:rsidRPr="00BF7D68">
        <w:tab/>
        <w:t>(4)</w:t>
      </w:r>
      <w:r w:rsidRPr="00BF7D68">
        <w:tab/>
        <w:t>The registered entity must comply, in relation to its activities outside Australia, with Australian laws relating to any of the following:</w:t>
      </w:r>
    </w:p>
    <w:p w:rsidR="009B02B8" w:rsidRPr="00BF7D68" w:rsidRDefault="009B02B8" w:rsidP="009B02B8">
      <w:pPr>
        <w:pStyle w:val="paragraph"/>
      </w:pPr>
      <w:r w:rsidRPr="00BF7D68">
        <w:tab/>
        <w:t>(a)</w:t>
      </w:r>
      <w:r w:rsidRPr="00BF7D68">
        <w:tab/>
        <w:t>money laundering;</w:t>
      </w:r>
    </w:p>
    <w:p w:rsidR="009B02B8" w:rsidRPr="00BF7D68" w:rsidRDefault="009B02B8" w:rsidP="009B02B8">
      <w:pPr>
        <w:pStyle w:val="paragraph"/>
      </w:pPr>
      <w:r w:rsidRPr="00BF7D68">
        <w:tab/>
        <w:t>(b)</w:t>
      </w:r>
      <w:r w:rsidRPr="00BF7D68">
        <w:tab/>
        <w:t>the financing of terrorism;</w:t>
      </w:r>
    </w:p>
    <w:p w:rsidR="009B02B8" w:rsidRPr="00BF7D68" w:rsidRDefault="009B02B8" w:rsidP="009B02B8">
      <w:pPr>
        <w:pStyle w:val="paragraph"/>
      </w:pPr>
      <w:r w:rsidRPr="00BF7D68">
        <w:tab/>
        <w:t>(c)</w:t>
      </w:r>
      <w:r w:rsidRPr="00BF7D68">
        <w:tab/>
        <w:t>sexual offences against children;</w:t>
      </w:r>
    </w:p>
    <w:p w:rsidR="009B02B8" w:rsidRPr="00BF7D68" w:rsidRDefault="009B02B8" w:rsidP="009B02B8">
      <w:pPr>
        <w:pStyle w:val="paragraph"/>
      </w:pPr>
      <w:r w:rsidRPr="00BF7D68">
        <w:tab/>
        <w:t>(d)</w:t>
      </w:r>
      <w:r w:rsidRPr="00BF7D68">
        <w:tab/>
        <w:t>slavery and slavery</w:t>
      </w:r>
      <w:r w:rsidR="00BF7D68">
        <w:noBreakHyphen/>
      </w:r>
      <w:r w:rsidRPr="00BF7D68">
        <w:t>like conditions;</w:t>
      </w:r>
    </w:p>
    <w:p w:rsidR="009B02B8" w:rsidRPr="00BF7D68" w:rsidRDefault="009B02B8" w:rsidP="009B02B8">
      <w:pPr>
        <w:pStyle w:val="paragraph"/>
      </w:pPr>
      <w:r w:rsidRPr="00BF7D68">
        <w:tab/>
        <w:t>(e)</w:t>
      </w:r>
      <w:r w:rsidRPr="00BF7D68">
        <w:tab/>
        <w:t>trafficking in individuals and debt bondage;</w:t>
      </w:r>
    </w:p>
    <w:p w:rsidR="009B02B8" w:rsidRPr="00BF7D68" w:rsidRDefault="009B02B8" w:rsidP="009B02B8">
      <w:pPr>
        <w:pStyle w:val="paragraph"/>
      </w:pPr>
      <w:r w:rsidRPr="00BF7D68">
        <w:tab/>
        <w:t>(f)</w:t>
      </w:r>
      <w:r w:rsidRPr="00BF7D68">
        <w:tab/>
        <w:t>people smuggling;</w:t>
      </w:r>
    </w:p>
    <w:p w:rsidR="009B02B8" w:rsidRPr="00BF7D68" w:rsidRDefault="009B02B8" w:rsidP="009B02B8">
      <w:pPr>
        <w:pStyle w:val="paragraph"/>
      </w:pPr>
      <w:r w:rsidRPr="00BF7D68">
        <w:tab/>
        <w:t>(g)</w:t>
      </w:r>
      <w:r w:rsidRPr="00BF7D68">
        <w:tab/>
        <w:t>international sanctions;</w:t>
      </w:r>
    </w:p>
    <w:p w:rsidR="009B02B8" w:rsidRPr="00BF7D68" w:rsidRDefault="009B02B8" w:rsidP="009B02B8">
      <w:pPr>
        <w:pStyle w:val="paragraph"/>
      </w:pPr>
      <w:r w:rsidRPr="00BF7D68">
        <w:tab/>
        <w:t>(h)</w:t>
      </w:r>
      <w:r w:rsidRPr="00BF7D68">
        <w:tab/>
        <w:t>taxation;</w:t>
      </w:r>
    </w:p>
    <w:p w:rsidR="009B02B8" w:rsidRPr="00BF7D68" w:rsidRDefault="009B02B8" w:rsidP="009B02B8">
      <w:pPr>
        <w:pStyle w:val="paragraph"/>
      </w:pPr>
      <w:r w:rsidRPr="00BF7D68">
        <w:tab/>
        <w:t>(i)</w:t>
      </w:r>
      <w:r w:rsidRPr="00BF7D68">
        <w:tab/>
        <w:t>bribery.</w:t>
      </w:r>
    </w:p>
    <w:p w:rsidR="009B02B8" w:rsidRPr="00BF7D68" w:rsidRDefault="009B02B8" w:rsidP="009B02B8">
      <w:pPr>
        <w:pStyle w:val="subsection"/>
      </w:pPr>
      <w:r w:rsidRPr="00BF7D68">
        <w:tab/>
        <w:t>(5)</w:t>
      </w:r>
      <w:r w:rsidRPr="00BF7D68">
        <w:tab/>
        <w:t xml:space="preserve">The registered entity must maintain reasonable internal control procedures to ensure compliance with </w:t>
      </w:r>
      <w:r w:rsidR="00BF7D68" w:rsidRPr="00BF7D68">
        <w:t>subsection (</w:t>
      </w:r>
      <w:r w:rsidRPr="00BF7D68">
        <w:t>4).</w:t>
      </w:r>
    </w:p>
    <w:p w:rsidR="009B02B8" w:rsidRPr="00BF7D68" w:rsidRDefault="009B02B8" w:rsidP="009B02B8">
      <w:pPr>
        <w:pStyle w:val="ActHead5"/>
      </w:pPr>
      <w:bookmarkStart w:id="17" w:name="_Toc528663524"/>
      <w:r w:rsidRPr="00BF7D68">
        <w:rPr>
          <w:rStyle w:val="CharSectno"/>
        </w:rPr>
        <w:t>50.25</w:t>
      </w:r>
      <w:r w:rsidRPr="00BF7D68">
        <w:t xml:space="preserve">  Standard 2—Annual review of overseas activities and record</w:t>
      </w:r>
      <w:r w:rsidR="00BF7D68">
        <w:noBreakHyphen/>
      </w:r>
      <w:r w:rsidRPr="00BF7D68">
        <w:t>keeping</w:t>
      </w:r>
      <w:bookmarkEnd w:id="17"/>
    </w:p>
    <w:p w:rsidR="009B02B8" w:rsidRPr="00BF7D68" w:rsidRDefault="009B02B8" w:rsidP="009B02B8">
      <w:pPr>
        <w:pStyle w:val="SubsectionHead"/>
      </w:pPr>
      <w:r w:rsidRPr="00BF7D68">
        <w:t>Object</w:t>
      </w:r>
    </w:p>
    <w:p w:rsidR="009B02B8" w:rsidRPr="00BF7D68" w:rsidRDefault="009B02B8" w:rsidP="009B02B8">
      <w:pPr>
        <w:pStyle w:val="subsection"/>
      </w:pPr>
      <w:r w:rsidRPr="00BF7D68">
        <w:tab/>
        <w:t>(1)</w:t>
      </w:r>
      <w:r w:rsidRPr="00BF7D68">
        <w:tab/>
        <w:t>The object of this external conduct standard is to ensure that a registered entity to which the standard applies is transparent and accountable to the public in relation to its activities carried out outside Australia.</w:t>
      </w:r>
    </w:p>
    <w:p w:rsidR="009B02B8" w:rsidRPr="00BF7D68" w:rsidRDefault="009B02B8" w:rsidP="009B02B8">
      <w:pPr>
        <w:pStyle w:val="SubsectionHead"/>
      </w:pPr>
      <w:r w:rsidRPr="00BF7D68">
        <w:t>Application</w:t>
      </w:r>
    </w:p>
    <w:p w:rsidR="009B02B8" w:rsidRPr="00BF7D68" w:rsidRDefault="009B02B8" w:rsidP="009B02B8">
      <w:pPr>
        <w:pStyle w:val="subsection"/>
      </w:pPr>
      <w:r w:rsidRPr="00BF7D68">
        <w:tab/>
        <w:t>(2)</w:t>
      </w:r>
      <w:r w:rsidRPr="00BF7D68">
        <w:tab/>
        <w:t>This standard applies to a registered entity that is:</w:t>
      </w:r>
    </w:p>
    <w:p w:rsidR="009B02B8" w:rsidRPr="00BF7D68" w:rsidRDefault="009B02B8" w:rsidP="009B02B8">
      <w:pPr>
        <w:pStyle w:val="paragraph"/>
      </w:pPr>
      <w:r w:rsidRPr="00BF7D68">
        <w:tab/>
        <w:t>(a)</w:t>
      </w:r>
      <w:r w:rsidRPr="00BF7D68">
        <w:tab/>
        <w:t>operating outside Australia; or</w:t>
      </w:r>
    </w:p>
    <w:p w:rsidR="009B02B8" w:rsidRPr="00BF7D68" w:rsidRDefault="009B02B8" w:rsidP="009B02B8">
      <w:pPr>
        <w:pStyle w:val="paragraph"/>
      </w:pPr>
      <w:r w:rsidRPr="00BF7D68">
        <w:tab/>
        <w:t>(b)</w:t>
      </w:r>
      <w:r w:rsidRPr="00BF7D68">
        <w:tab/>
        <w:t>working with third parties that are operating outside Australia.</w:t>
      </w:r>
    </w:p>
    <w:p w:rsidR="009B02B8" w:rsidRPr="00BF7D68" w:rsidRDefault="009B02B8" w:rsidP="009B02B8">
      <w:pPr>
        <w:pStyle w:val="SubsectionHead"/>
      </w:pPr>
      <w:r w:rsidRPr="00BF7D68">
        <w:t>Standard</w:t>
      </w:r>
    </w:p>
    <w:p w:rsidR="009B02B8" w:rsidRPr="00BF7D68" w:rsidRDefault="009B02B8" w:rsidP="009B02B8">
      <w:pPr>
        <w:pStyle w:val="subsection"/>
      </w:pPr>
      <w:r w:rsidRPr="00BF7D68">
        <w:tab/>
        <w:t>(3)</w:t>
      </w:r>
      <w:r w:rsidRPr="00BF7D68">
        <w:tab/>
        <w:t>The registered entity must obtain and keep records necessary to prepare a summary of its activities outside Australia on a country by country basis for each financial year during which it:</w:t>
      </w:r>
    </w:p>
    <w:p w:rsidR="009B02B8" w:rsidRPr="00BF7D68" w:rsidRDefault="009B02B8" w:rsidP="009B02B8">
      <w:pPr>
        <w:pStyle w:val="paragraph"/>
      </w:pPr>
      <w:r w:rsidRPr="00BF7D68">
        <w:tab/>
        <w:t>(a)</w:t>
      </w:r>
      <w:r w:rsidRPr="00BF7D68">
        <w:tab/>
        <w:t>operates outside Australia; or</w:t>
      </w:r>
    </w:p>
    <w:p w:rsidR="009B02B8" w:rsidRPr="00BF7D68" w:rsidRDefault="009B02B8" w:rsidP="009B02B8">
      <w:pPr>
        <w:pStyle w:val="paragraph"/>
      </w:pPr>
      <w:r w:rsidRPr="00BF7D68">
        <w:tab/>
        <w:t>(b)</w:t>
      </w:r>
      <w:r w:rsidRPr="00BF7D68">
        <w:tab/>
        <w:t>gives resources (including funds) to third parties outside Australia (or within Australia for use outside Australia).</w:t>
      </w:r>
    </w:p>
    <w:p w:rsidR="009B02B8" w:rsidRPr="00BF7D68" w:rsidRDefault="009B02B8" w:rsidP="009B02B8">
      <w:pPr>
        <w:pStyle w:val="notetext"/>
      </w:pPr>
      <w:r w:rsidRPr="00BF7D68">
        <w:t>Example:</w:t>
      </w:r>
      <w:r w:rsidRPr="00BF7D68">
        <w:tab/>
        <w:t>Records should be obtained and kept about the following information:</w:t>
      </w:r>
    </w:p>
    <w:p w:rsidR="009B02B8" w:rsidRPr="00BF7D68" w:rsidRDefault="009B02B8" w:rsidP="009B02B8">
      <w:pPr>
        <w:pStyle w:val="notepara"/>
      </w:pPr>
      <w:r w:rsidRPr="00BF7D68">
        <w:t>(a)</w:t>
      </w:r>
      <w:r w:rsidRPr="00BF7D68">
        <w:tab/>
        <w:t>the kinds of activities that the registered entity conducted outside Australia;</w:t>
      </w:r>
    </w:p>
    <w:p w:rsidR="009B02B8" w:rsidRPr="00BF7D68" w:rsidRDefault="009B02B8" w:rsidP="009B02B8">
      <w:pPr>
        <w:pStyle w:val="notepara"/>
      </w:pPr>
      <w:r w:rsidRPr="00BF7D68">
        <w:t>(b)</w:t>
      </w:r>
      <w:r w:rsidRPr="00BF7D68">
        <w:tab/>
        <w:t>details of how the registered entity’s activities outside Australia enabled it to pursue and achieve its purpose;</w:t>
      </w:r>
    </w:p>
    <w:p w:rsidR="009B02B8" w:rsidRPr="00BF7D68" w:rsidRDefault="009B02B8" w:rsidP="009B02B8">
      <w:pPr>
        <w:pStyle w:val="notepara"/>
      </w:pPr>
      <w:r w:rsidRPr="00BF7D68">
        <w:t>(c)</w:t>
      </w:r>
      <w:r w:rsidRPr="00BF7D68">
        <w:tab/>
        <w:t>details of any procedures and processes that the registered entity used to monitor its overseas activities;</w:t>
      </w:r>
    </w:p>
    <w:p w:rsidR="009B02B8" w:rsidRPr="00BF7D68" w:rsidRDefault="009B02B8" w:rsidP="009B02B8">
      <w:pPr>
        <w:pStyle w:val="notepara"/>
      </w:pPr>
      <w:r w:rsidRPr="00BF7D68">
        <w:t>(d)</w:t>
      </w:r>
      <w:r w:rsidRPr="00BF7D68">
        <w:tab/>
        <w:t>a list of the third parties that the registered entity worked with outside Australia;</w:t>
      </w:r>
    </w:p>
    <w:p w:rsidR="009B02B8" w:rsidRPr="00BF7D68" w:rsidRDefault="009B02B8" w:rsidP="009B02B8">
      <w:pPr>
        <w:pStyle w:val="notepara"/>
      </w:pPr>
      <w:r w:rsidRPr="00BF7D68">
        <w:t>(e)</w:t>
      </w:r>
      <w:r w:rsidRPr="00BF7D68">
        <w:tab/>
        <w:t>details of any documented claims of inappropriate behaviour by the registered entity’s employees or responsible entities outside Australia, and subsequent actions taken by the registered entity as a result.</w:t>
      </w:r>
    </w:p>
    <w:p w:rsidR="009B02B8" w:rsidRPr="00BF7D68" w:rsidRDefault="009B02B8" w:rsidP="009B02B8">
      <w:pPr>
        <w:pStyle w:val="subsection"/>
      </w:pPr>
      <w:r w:rsidRPr="00BF7D68">
        <w:tab/>
        <w:t>(4)</w:t>
      </w:r>
      <w:r w:rsidRPr="00BF7D68">
        <w:tab/>
        <w:t>The records obtained and kept must include information on the registered entity’s expenditure relating to its activities outside Australia on a country by country basis for the financial year.</w:t>
      </w:r>
    </w:p>
    <w:p w:rsidR="009B02B8" w:rsidRPr="00BF7D68" w:rsidRDefault="009B02B8" w:rsidP="009B02B8">
      <w:pPr>
        <w:pStyle w:val="ActHead4"/>
      </w:pPr>
      <w:bookmarkStart w:id="18" w:name="_Toc528663525"/>
      <w:r w:rsidRPr="00BF7D68">
        <w:rPr>
          <w:rStyle w:val="CharSubdNo"/>
        </w:rPr>
        <w:t>Subdivision</w:t>
      </w:r>
      <w:r w:rsidR="00BF7D68" w:rsidRPr="00BF7D68">
        <w:rPr>
          <w:rStyle w:val="CharSubdNo"/>
        </w:rPr>
        <w:t> </w:t>
      </w:r>
      <w:r w:rsidRPr="00BF7D68">
        <w:rPr>
          <w:rStyle w:val="CharSubdNo"/>
        </w:rPr>
        <w:t>50</w:t>
      </w:r>
      <w:r w:rsidR="00BF7D68" w:rsidRPr="00BF7D68">
        <w:rPr>
          <w:rStyle w:val="CharSubdNo"/>
        </w:rPr>
        <w:noBreakHyphen/>
      </w:r>
      <w:r w:rsidRPr="00BF7D68">
        <w:rPr>
          <w:rStyle w:val="CharSubdNo"/>
        </w:rPr>
        <w:t>C</w:t>
      </w:r>
      <w:r w:rsidRPr="00BF7D68">
        <w:t>—</w:t>
      </w:r>
      <w:r w:rsidRPr="00BF7D68">
        <w:rPr>
          <w:rStyle w:val="CharSubdText"/>
        </w:rPr>
        <w:t>Standards about conduct outside Australia</w:t>
      </w:r>
      <w:bookmarkEnd w:id="18"/>
    </w:p>
    <w:p w:rsidR="009B02B8" w:rsidRPr="00BF7D68" w:rsidRDefault="009B02B8" w:rsidP="009B02B8">
      <w:pPr>
        <w:pStyle w:val="ActHead5"/>
      </w:pPr>
      <w:bookmarkStart w:id="19" w:name="_Toc528663526"/>
      <w:r w:rsidRPr="00BF7D68">
        <w:rPr>
          <w:rStyle w:val="CharSectno"/>
        </w:rPr>
        <w:t>50.30</w:t>
      </w:r>
      <w:r w:rsidRPr="00BF7D68">
        <w:t xml:space="preserve">  Standard 3—Anti</w:t>
      </w:r>
      <w:r w:rsidR="00BF7D68">
        <w:noBreakHyphen/>
      </w:r>
      <w:r w:rsidRPr="00BF7D68">
        <w:t>fraud and anti</w:t>
      </w:r>
      <w:r w:rsidR="00BF7D68">
        <w:noBreakHyphen/>
      </w:r>
      <w:r w:rsidRPr="00BF7D68">
        <w:t>corruption</w:t>
      </w:r>
      <w:bookmarkEnd w:id="19"/>
    </w:p>
    <w:p w:rsidR="009B02B8" w:rsidRPr="00BF7D68" w:rsidRDefault="009B02B8" w:rsidP="009B02B8">
      <w:pPr>
        <w:pStyle w:val="SubsectionHead"/>
      </w:pPr>
      <w:r w:rsidRPr="00BF7D68">
        <w:t>Object</w:t>
      </w:r>
    </w:p>
    <w:p w:rsidR="009B02B8" w:rsidRPr="00BF7D68" w:rsidRDefault="009B02B8" w:rsidP="009B02B8">
      <w:pPr>
        <w:pStyle w:val="subsection"/>
      </w:pPr>
      <w:r w:rsidRPr="00BF7D68">
        <w:tab/>
        <w:t>(1)</w:t>
      </w:r>
      <w:r w:rsidRPr="00BF7D68">
        <w:tab/>
        <w:t>The object of this external conduct standard is to give the public (including members, donors, employees, volunteers and benefit recipients of a registered entity to which the standard applies) confidence that the registered entity is managed in a way that:</w:t>
      </w:r>
    </w:p>
    <w:p w:rsidR="009B02B8" w:rsidRPr="00BF7D68" w:rsidRDefault="009B02B8" w:rsidP="009B02B8">
      <w:pPr>
        <w:pStyle w:val="paragraph"/>
      </w:pPr>
      <w:r w:rsidRPr="00BF7D68">
        <w:tab/>
        <w:t>(a)</w:t>
      </w:r>
      <w:r w:rsidRPr="00BF7D68">
        <w:tab/>
        <w:t>ensures that the registered entity remains solvent; and</w:t>
      </w:r>
    </w:p>
    <w:p w:rsidR="009B02B8" w:rsidRPr="00BF7D68" w:rsidRDefault="009B02B8" w:rsidP="009B02B8">
      <w:pPr>
        <w:pStyle w:val="paragraph"/>
      </w:pPr>
      <w:r w:rsidRPr="00BF7D68">
        <w:tab/>
        <w:t>(b)</w:t>
      </w:r>
      <w:r w:rsidRPr="00BF7D68">
        <w:tab/>
        <w:t>minimises the risks to the registered entity’s assets; and</w:t>
      </w:r>
    </w:p>
    <w:p w:rsidR="009B02B8" w:rsidRPr="00BF7D68" w:rsidRDefault="009B02B8" w:rsidP="009B02B8">
      <w:pPr>
        <w:pStyle w:val="paragraph"/>
      </w:pPr>
      <w:r w:rsidRPr="00BF7D68">
        <w:tab/>
        <w:t>(c)</w:t>
      </w:r>
      <w:r w:rsidRPr="00BF7D68">
        <w:tab/>
        <w:t>ensures that the registered entity, and its resources, are furthering the registered entity’s purposes; and</w:t>
      </w:r>
    </w:p>
    <w:p w:rsidR="009B02B8" w:rsidRPr="00BF7D68" w:rsidRDefault="009B02B8" w:rsidP="009B02B8">
      <w:pPr>
        <w:pStyle w:val="paragraph"/>
      </w:pPr>
      <w:r w:rsidRPr="00BF7D68">
        <w:tab/>
        <w:t>(d)</w:t>
      </w:r>
      <w:r w:rsidRPr="00BF7D68">
        <w:tab/>
        <w:t>ensures that the registered entity is operating in a way that is consistent with its purpose and character as a not</w:t>
      </w:r>
      <w:r w:rsidR="00BF7D68">
        <w:noBreakHyphen/>
      </w:r>
      <w:r w:rsidRPr="00BF7D68">
        <w:t>for</w:t>
      </w:r>
      <w:r w:rsidR="00BF7D68">
        <w:noBreakHyphen/>
      </w:r>
      <w:r w:rsidRPr="00BF7D68">
        <w:t>profit entity.</w:t>
      </w:r>
    </w:p>
    <w:p w:rsidR="009B02B8" w:rsidRPr="00BF7D68" w:rsidRDefault="009B02B8" w:rsidP="009B02B8">
      <w:pPr>
        <w:pStyle w:val="SubsectionHead"/>
      </w:pPr>
      <w:r w:rsidRPr="00BF7D68">
        <w:t>Application</w:t>
      </w:r>
    </w:p>
    <w:p w:rsidR="009B02B8" w:rsidRPr="00BF7D68" w:rsidRDefault="009B02B8" w:rsidP="009B02B8">
      <w:pPr>
        <w:pStyle w:val="subsection"/>
      </w:pPr>
      <w:r w:rsidRPr="00BF7D68">
        <w:tab/>
        <w:t>(2)</w:t>
      </w:r>
      <w:r w:rsidRPr="00BF7D68">
        <w:tab/>
        <w:t>This standard applies to a registered entity that is:</w:t>
      </w:r>
    </w:p>
    <w:p w:rsidR="009B02B8" w:rsidRPr="00BF7D68" w:rsidRDefault="009B02B8" w:rsidP="009B02B8">
      <w:pPr>
        <w:pStyle w:val="paragraph"/>
      </w:pPr>
      <w:r w:rsidRPr="00BF7D68">
        <w:tab/>
        <w:t>(a)</w:t>
      </w:r>
      <w:r w:rsidRPr="00BF7D68">
        <w:tab/>
        <w:t>operating outside Australia; or</w:t>
      </w:r>
    </w:p>
    <w:p w:rsidR="009B02B8" w:rsidRPr="00BF7D68" w:rsidRDefault="009B02B8" w:rsidP="009B02B8">
      <w:pPr>
        <w:pStyle w:val="paragraph"/>
      </w:pPr>
      <w:r w:rsidRPr="00BF7D68">
        <w:tab/>
        <w:t>(b)</w:t>
      </w:r>
      <w:r w:rsidRPr="00BF7D68">
        <w:tab/>
        <w:t>working with third parties that are operating outside Australia.</w:t>
      </w:r>
    </w:p>
    <w:p w:rsidR="009B02B8" w:rsidRPr="00BF7D68" w:rsidRDefault="009B02B8" w:rsidP="009B02B8">
      <w:pPr>
        <w:pStyle w:val="SubsectionHead"/>
      </w:pPr>
      <w:r w:rsidRPr="00BF7D68">
        <w:t>Standard</w:t>
      </w:r>
    </w:p>
    <w:p w:rsidR="009B02B8" w:rsidRPr="00BF7D68" w:rsidRDefault="009B02B8" w:rsidP="009B02B8">
      <w:pPr>
        <w:pStyle w:val="subsection"/>
      </w:pPr>
      <w:r w:rsidRPr="00BF7D68">
        <w:tab/>
        <w:t>(3)</w:t>
      </w:r>
      <w:r w:rsidRPr="00BF7D68">
        <w:tab/>
        <w:t>The registered entity must take reasonable steps to:</w:t>
      </w:r>
    </w:p>
    <w:p w:rsidR="009B02B8" w:rsidRPr="00BF7D68" w:rsidRDefault="009B02B8" w:rsidP="009B02B8">
      <w:pPr>
        <w:pStyle w:val="paragraph"/>
      </w:pPr>
      <w:r w:rsidRPr="00BF7D68">
        <w:tab/>
        <w:t>(a)</w:t>
      </w:r>
      <w:r w:rsidRPr="00BF7D68">
        <w:tab/>
        <w:t>minimise any risk of corruption, fraud, bribery or other financial impropriety by its responsible entities, employees, volunteers and third parties outside Australia; and</w:t>
      </w:r>
    </w:p>
    <w:p w:rsidR="009B02B8" w:rsidRPr="00BF7D68" w:rsidRDefault="009B02B8" w:rsidP="009B02B8">
      <w:pPr>
        <w:pStyle w:val="paragraph"/>
      </w:pPr>
      <w:r w:rsidRPr="00BF7D68">
        <w:tab/>
        <w:t>(b)</w:t>
      </w:r>
      <w:r w:rsidRPr="00BF7D68">
        <w:tab/>
        <w:t>identify and document any perceived or actual material conflicts of interest for their employees, volunteers, third parties and responsible entities outside Australia.</w:t>
      </w:r>
    </w:p>
    <w:p w:rsidR="009B02B8" w:rsidRPr="00BF7D68" w:rsidRDefault="009B02B8" w:rsidP="009B02B8">
      <w:pPr>
        <w:pStyle w:val="notetext"/>
      </w:pPr>
      <w:r w:rsidRPr="00BF7D68">
        <w:t>Note:</w:t>
      </w:r>
      <w:r w:rsidRPr="00BF7D68">
        <w:tab/>
        <w:t>A responsible entity of a registered entity must also disclose all material conflicts of interest as one of their duties under governance standard 5—see section</w:t>
      </w:r>
      <w:r w:rsidR="00BF7D68" w:rsidRPr="00BF7D68">
        <w:t> </w:t>
      </w:r>
      <w:r w:rsidRPr="00BF7D68">
        <w:t>45.25.</w:t>
      </w:r>
    </w:p>
    <w:p w:rsidR="009B02B8" w:rsidRPr="00BF7D68" w:rsidRDefault="009B02B8" w:rsidP="009B02B8">
      <w:pPr>
        <w:pStyle w:val="ActHead5"/>
      </w:pPr>
      <w:bookmarkStart w:id="20" w:name="_Toc528663527"/>
      <w:r w:rsidRPr="00BF7D68">
        <w:rPr>
          <w:rStyle w:val="CharSectno"/>
        </w:rPr>
        <w:t>50.35</w:t>
      </w:r>
      <w:r w:rsidRPr="00BF7D68">
        <w:t xml:space="preserve">  Standard 4—Protection of vulnerable individuals</w:t>
      </w:r>
      <w:bookmarkEnd w:id="20"/>
    </w:p>
    <w:p w:rsidR="009B02B8" w:rsidRPr="00BF7D68" w:rsidRDefault="009B02B8" w:rsidP="009B02B8">
      <w:pPr>
        <w:pStyle w:val="SubsectionHead"/>
      </w:pPr>
      <w:r w:rsidRPr="00BF7D68">
        <w:t>Object</w:t>
      </w:r>
    </w:p>
    <w:p w:rsidR="009B02B8" w:rsidRPr="00BF7D68" w:rsidRDefault="009B02B8" w:rsidP="009B02B8">
      <w:pPr>
        <w:pStyle w:val="subsection"/>
      </w:pPr>
      <w:r w:rsidRPr="00BF7D68">
        <w:tab/>
        <w:t>(1)</w:t>
      </w:r>
      <w:r w:rsidRPr="00BF7D68">
        <w:tab/>
        <w:t>The object of this external conduct standard is to ensure that when a registered entity to which the standard applies operates outside Australia, it operates in a manner that minimises the risk to vulnerable individuals of exploitation or abuse.</w:t>
      </w:r>
    </w:p>
    <w:p w:rsidR="009B02B8" w:rsidRPr="00BF7D68" w:rsidRDefault="009B02B8" w:rsidP="009B02B8">
      <w:pPr>
        <w:pStyle w:val="SubsectionHead"/>
      </w:pPr>
      <w:r w:rsidRPr="00BF7D68">
        <w:t>Application</w:t>
      </w:r>
    </w:p>
    <w:p w:rsidR="009B02B8" w:rsidRPr="00BF7D68" w:rsidRDefault="009B02B8" w:rsidP="009B02B8">
      <w:pPr>
        <w:pStyle w:val="subsection"/>
      </w:pPr>
      <w:r w:rsidRPr="00BF7D68">
        <w:tab/>
        <w:t>(2)</w:t>
      </w:r>
      <w:r w:rsidRPr="00BF7D68">
        <w:tab/>
        <w:t>This standard applies to a registered entity that is:</w:t>
      </w:r>
    </w:p>
    <w:p w:rsidR="009B02B8" w:rsidRPr="00BF7D68" w:rsidRDefault="009B02B8" w:rsidP="009B02B8">
      <w:pPr>
        <w:pStyle w:val="paragraph"/>
      </w:pPr>
      <w:r w:rsidRPr="00BF7D68">
        <w:tab/>
        <w:t>(a)</w:t>
      </w:r>
      <w:r w:rsidRPr="00BF7D68">
        <w:tab/>
        <w:t>operating outside Australia; or</w:t>
      </w:r>
    </w:p>
    <w:p w:rsidR="009B02B8" w:rsidRPr="00BF7D68" w:rsidRDefault="009B02B8" w:rsidP="009B02B8">
      <w:pPr>
        <w:pStyle w:val="paragraph"/>
      </w:pPr>
      <w:r w:rsidRPr="00BF7D68">
        <w:tab/>
        <w:t>(b)</w:t>
      </w:r>
      <w:r w:rsidRPr="00BF7D68">
        <w:tab/>
        <w:t>working with third parties that are operating outside Australia.</w:t>
      </w:r>
    </w:p>
    <w:p w:rsidR="009B02B8" w:rsidRPr="00BF7D68" w:rsidRDefault="009B02B8" w:rsidP="009B02B8">
      <w:pPr>
        <w:pStyle w:val="SubsectionHead"/>
      </w:pPr>
      <w:r w:rsidRPr="00BF7D68">
        <w:t>Standard</w:t>
      </w:r>
    </w:p>
    <w:p w:rsidR="009B02B8" w:rsidRPr="00BF7D68" w:rsidRDefault="009B02B8" w:rsidP="009B02B8">
      <w:pPr>
        <w:pStyle w:val="subsection"/>
      </w:pPr>
      <w:r w:rsidRPr="00BF7D68">
        <w:tab/>
        <w:t>(3)</w:t>
      </w:r>
      <w:r w:rsidRPr="00BF7D68">
        <w:tab/>
        <w:t>The registered entity must take reasonable steps to ensure the safety of vulnerable individuals outside Australia to the extent that those individuals are being provided with services, or accessing benefits, under programs provided by:</w:t>
      </w:r>
    </w:p>
    <w:p w:rsidR="009B02B8" w:rsidRPr="00BF7D68" w:rsidRDefault="009B02B8" w:rsidP="009B02B8">
      <w:pPr>
        <w:pStyle w:val="paragraph"/>
      </w:pPr>
      <w:r w:rsidRPr="00BF7D68">
        <w:tab/>
        <w:t>(a)</w:t>
      </w:r>
      <w:r w:rsidRPr="00BF7D68">
        <w:tab/>
        <w:t>the registered entity; or</w:t>
      </w:r>
    </w:p>
    <w:p w:rsidR="009B02B8" w:rsidRPr="00BF7D68" w:rsidRDefault="009B02B8" w:rsidP="009B02B8">
      <w:pPr>
        <w:pStyle w:val="paragraph"/>
      </w:pPr>
      <w:r w:rsidRPr="00BF7D68">
        <w:tab/>
        <w:t>(b)</w:t>
      </w:r>
      <w:r w:rsidRPr="00BF7D68">
        <w:tab/>
        <w:t>a third party in collaboration with the registered entity.</w:t>
      </w:r>
    </w:p>
    <w:p w:rsidR="009B02B8" w:rsidRPr="00BF7D68" w:rsidRDefault="009B02B8" w:rsidP="009B02B8">
      <w:pPr>
        <w:pStyle w:val="subsection"/>
      </w:pPr>
      <w:r w:rsidRPr="00BF7D68">
        <w:tab/>
        <w:t>(4)</w:t>
      </w:r>
      <w:r w:rsidRPr="00BF7D68">
        <w:tab/>
        <w:t>The registered entity must take reasonable steps to ensure the safety of vulnerable individuals outside Australia to the extent that those individuals are engaged by:</w:t>
      </w:r>
    </w:p>
    <w:p w:rsidR="009B02B8" w:rsidRPr="00BF7D68" w:rsidRDefault="009B02B8" w:rsidP="009B02B8">
      <w:pPr>
        <w:pStyle w:val="paragraph"/>
      </w:pPr>
      <w:r w:rsidRPr="00BF7D68">
        <w:tab/>
        <w:t>(a)</w:t>
      </w:r>
      <w:r w:rsidRPr="00BF7D68">
        <w:tab/>
        <w:t>the registered entity; or</w:t>
      </w:r>
    </w:p>
    <w:p w:rsidR="009B02B8" w:rsidRPr="00BF7D68" w:rsidRDefault="009B02B8" w:rsidP="009B02B8">
      <w:pPr>
        <w:pStyle w:val="paragraph"/>
      </w:pPr>
      <w:r w:rsidRPr="00BF7D68">
        <w:tab/>
        <w:t>(b)</w:t>
      </w:r>
      <w:r w:rsidRPr="00BF7D68">
        <w:tab/>
        <w:t>a third party in collaboration with the registered entity;</w:t>
      </w:r>
    </w:p>
    <w:p w:rsidR="0084172C" w:rsidRPr="00BF7D68" w:rsidRDefault="009B02B8" w:rsidP="009B02B8">
      <w:pPr>
        <w:pStyle w:val="subsection2"/>
      </w:pPr>
      <w:r w:rsidRPr="00BF7D68">
        <w:t>to provide services or benefits on behalf of the registered entity or the third party.</w:t>
      </w:r>
    </w:p>
    <w:sectPr w:rsidR="0084172C" w:rsidRPr="00BF7D68" w:rsidSect="00A4268D">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70" w:rsidRDefault="004D0E70" w:rsidP="0048364F">
      <w:pPr>
        <w:spacing w:line="240" w:lineRule="auto"/>
      </w:pPr>
      <w:r>
        <w:separator/>
      </w:r>
    </w:p>
  </w:endnote>
  <w:endnote w:type="continuationSeparator" w:id="0">
    <w:p w:rsidR="004D0E70" w:rsidRDefault="004D0E7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A4268D" w:rsidRDefault="00A4268D" w:rsidP="00A4268D">
    <w:pPr>
      <w:pStyle w:val="Footer"/>
      <w:tabs>
        <w:tab w:val="clear" w:pos="4153"/>
        <w:tab w:val="clear" w:pos="8306"/>
        <w:tab w:val="center" w:pos="4150"/>
        <w:tab w:val="right" w:pos="8307"/>
      </w:tabs>
      <w:spacing w:before="120"/>
      <w:rPr>
        <w:i/>
        <w:sz w:val="18"/>
      </w:rPr>
    </w:pPr>
    <w:r w:rsidRPr="00A4268D">
      <w:rPr>
        <w:i/>
        <w:sz w:val="18"/>
      </w:rPr>
      <w:t>OPC63638 -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Default="009B02B8" w:rsidP="00E97334"/>
  <w:p w:rsidR="009B02B8" w:rsidRPr="00A4268D" w:rsidRDefault="00A4268D" w:rsidP="00A4268D">
    <w:pPr>
      <w:rPr>
        <w:rFonts w:cs="Times New Roman"/>
        <w:i/>
        <w:sz w:val="18"/>
      </w:rPr>
    </w:pPr>
    <w:r w:rsidRPr="00A4268D">
      <w:rPr>
        <w:rFonts w:cs="Times New Roman"/>
        <w:i/>
        <w:sz w:val="18"/>
      </w:rPr>
      <w:t>OPC63638 -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A4268D" w:rsidRDefault="00A4268D" w:rsidP="00A4268D">
    <w:pPr>
      <w:pStyle w:val="Footer"/>
      <w:tabs>
        <w:tab w:val="clear" w:pos="4153"/>
        <w:tab w:val="clear" w:pos="8306"/>
        <w:tab w:val="center" w:pos="4150"/>
        <w:tab w:val="right" w:pos="8307"/>
      </w:tabs>
      <w:spacing w:before="120"/>
      <w:rPr>
        <w:i/>
        <w:sz w:val="18"/>
      </w:rPr>
    </w:pPr>
    <w:r w:rsidRPr="00A4268D">
      <w:rPr>
        <w:i/>
        <w:sz w:val="18"/>
      </w:rPr>
      <w:t>OPC63638 -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E33C1C" w:rsidRDefault="009B02B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02B8" w:rsidTr="00103E5E">
      <w:tc>
        <w:tcPr>
          <w:tcW w:w="709" w:type="dxa"/>
          <w:tcBorders>
            <w:top w:val="nil"/>
            <w:left w:val="nil"/>
            <w:bottom w:val="nil"/>
            <w:right w:val="nil"/>
          </w:tcBorders>
        </w:tcPr>
        <w:p w:rsidR="009B02B8" w:rsidRDefault="009B02B8" w:rsidP="00FA0E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D75">
            <w:rPr>
              <w:i/>
              <w:noProof/>
              <w:sz w:val="18"/>
            </w:rPr>
            <w:t>ii</w:t>
          </w:r>
          <w:r w:rsidRPr="00ED79B6">
            <w:rPr>
              <w:i/>
              <w:sz w:val="18"/>
            </w:rPr>
            <w:fldChar w:fldCharType="end"/>
          </w:r>
        </w:p>
      </w:tc>
      <w:tc>
        <w:tcPr>
          <w:tcW w:w="6379" w:type="dxa"/>
          <w:tcBorders>
            <w:top w:val="nil"/>
            <w:left w:val="nil"/>
            <w:bottom w:val="nil"/>
            <w:right w:val="nil"/>
          </w:tcBorders>
        </w:tcPr>
        <w:p w:rsidR="009B02B8" w:rsidRDefault="009B02B8" w:rsidP="00FA0E0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33398">
            <w:rPr>
              <w:i/>
              <w:noProof/>
              <w:sz w:val="18"/>
            </w:rPr>
            <w:t>Australian Charities and Not-for-profits Commission Amendment (2018 Measures No. 2) Regulations 2018</w:t>
          </w:r>
          <w:r>
            <w:rPr>
              <w:i/>
              <w:sz w:val="18"/>
            </w:rPr>
            <w:fldChar w:fldCharType="end"/>
          </w:r>
        </w:p>
      </w:tc>
      <w:tc>
        <w:tcPr>
          <w:tcW w:w="1384" w:type="dxa"/>
          <w:tcBorders>
            <w:top w:val="nil"/>
            <w:left w:val="nil"/>
            <w:bottom w:val="nil"/>
            <w:right w:val="nil"/>
          </w:tcBorders>
        </w:tcPr>
        <w:p w:rsidR="009B02B8" w:rsidRDefault="009B02B8" w:rsidP="00FA0E06">
          <w:pPr>
            <w:spacing w:line="0" w:lineRule="atLeast"/>
            <w:jc w:val="right"/>
            <w:rPr>
              <w:sz w:val="18"/>
            </w:rPr>
          </w:pPr>
        </w:p>
      </w:tc>
    </w:tr>
  </w:tbl>
  <w:p w:rsidR="009B02B8" w:rsidRPr="00A4268D" w:rsidRDefault="00A4268D" w:rsidP="00A4268D">
    <w:pPr>
      <w:rPr>
        <w:rFonts w:cs="Times New Roman"/>
        <w:i/>
        <w:sz w:val="18"/>
      </w:rPr>
    </w:pPr>
    <w:r w:rsidRPr="00A4268D">
      <w:rPr>
        <w:rFonts w:cs="Times New Roman"/>
        <w:i/>
        <w:sz w:val="18"/>
      </w:rPr>
      <w:t>OPC63638 -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E33C1C" w:rsidRDefault="009B02B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B02B8" w:rsidTr="00103E5E">
      <w:tc>
        <w:tcPr>
          <w:tcW w:w="1383" w:type="dxa"/>
          <w:tcBorders>
            <w:top w:val="nil"/>
            <w:left w:val="nil"/>
            <w:bottom w:val="nil"/>
            <w:right w:val="nil"/>
          </w:tcBorders>
        </w:tcPr>
        <w:p w:rsidR="009B02B8" w:rsidRDefault="009B02B8" w:rsidP="00FA0E06">
          <w:pPr>
            <w:spacing w:line="0" w:lineRule="atLeast"/>
            <w:rPr>
              <w:sz w:val="18"/>
            </w:rPr>
          </w:pPr>
        </w:p>
      </w:tc>
      <w:tc>
        <w:tcPr>
          <w:tcW w:w="6379" w:type="dxa"/>
          <w:tcBorders>
            <w:top w:val="nil"/>
            <w:left w:val="nil"/>
            <w:bottom w:val="nil"/>
            <w:right w:val="nil"/>
          </w:tcBorders>
        </w:tcPr>
        <w:p w:rsidR="009B02B8" w:rsidRDefault="009B02B8"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91352">
            <w:rPr>
              <w:i/>
              <w:noProof/>
              <w:sz w:val="18"/>
            </w:rPr>
            <w:t>Australian Charities and Not-for-profits Commission Amendment (2018 Measures No. 2) Regulations 2018</w:t>
          </w:r>
          <w:r>
            <w:rPr>
              <w:i/>
              <w:sz w:val="18"/>
            </w:rPr>
            <w:fldChar w:fldCharType="end"/>
          </w:r>
        </w:p>
      </w:tc>
      <w:tc>
        <w:tcPr>
          <w:tcW w:w="710" w:type="dxa"/>
          <w:tcBorders>
            <w:top w:val="nil"/>
            <w:left w:val="nil"/>
            <w:bottom w:val="nil"/>
            <w:right w:val="nil"/>
          </w:tcBorders>
        </w:tcPr>
        <w:p w:rsidR="009B02B8" w:rsidRDefault="009B02B8" w:rsidP="00FA0E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1352">
            <w:rPr>
              <w:i/>
              <w:noProof/>
              <w:sz w:val="18"/>
            </w:rPr>
            <w:t>i</w:t>
          </w:r>
          <w:r w:rsidRPr="00ED79B6">
            <w:rPr>
              <w:i/>
              <w:sz w:val="18"/>
            </w:rPr>
            <w:fldChar w:fldCharType="end"/>
          </w:r>
        </w:p>
      </w:tc>
    </w:tr>
  </w:tbl>
  <w:p w:rsidR="009B02B8" w:rsidRPr="00A4268D" w:rsidRDefault="00A4268D" w:rsidP="00A4268D">
    <w:pPr>
      <w:rPr>
        <w:rFonts w:cs="Times New Roman"/>
        <w:i/>
        <w:sz w:val="18"/>
      </w:rPr>
    </w:pPr>
    <w:r w:rsidRPr="00A4268D">
      <w:rPr>
        <w:rFonts w:cs="Times New Roman"/>
        <w:i/>
        <w:sz w:val="18"/>
      </w:rPr>
      <w:t>OPC63638 -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BF7D68">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1352">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3398">
            <w:rPr>
              <w:i/>
              <w:sz w:val="18"/>
            </w:rPr>
            <w:t>Australian Charities and Not-for-profits Commission Amendment (2018 Measures No. 2)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A4268D" w:rsidRDefault="00A4268D" w:rsidP="00A4268D">
    <w:pPr>
      <w:rPr>
        <w:rFonts w:cs="Times New Roman"/>
        <w:i/>
        <w:sz w:val="18"/>
      </w:rPr>
    </w:pPr>
    <w:r w:rsidRPr="00A4268D">
      <w:rPr>
        <w:rFonts w:cs="Times New Roman"/>
        <w:i/>
        <w:sz w:val="18"/>
      </w:rPr>
      <w:t>OPC63638 -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3398">
            <w:rPr>
              <w:i/>
              <w:sz w:val="18"/>
            </w:rPr>
            <w:t>Australian Charities and Not-for-profits Commission Amendment (2018 Measures No. 2)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1352">
            <w:rPr>
              <w:i/>
              <w:noProof/>
              <w:sz w:val="18"/>
            </w:rPr>
            <w:t>1</w:t>
          </w:r>
          <w:r w:rsidRPr="00ED79B6">
            <w:rPr>
              <w:i/>
              <w:sz w:val="18"/>
            </w:rPr>
            <w:fldChar w:fldCharType="end"/>
          </w:r>
        </w:p>
      </w:tc>
    </w:tr>
  </w:tbl>
  <w:p w:rsidR="007A6863" w:rsidRPr="00A4268D" w:rsidRDefault="00A4268D" w:rsidP="00A4268D">
    <w:pPr>
      <w:rPr>
        <w:rFonts w:cs="Times New Roman"/>
        <w:i/>
        <w:sz w:val="18"/>
      </w:rPr>
    </w:pPr>
    <w:r w:rsidRPr="00A4268D">
      <w:rPr>
        <w:rFonts w:cs="Times New Roman"/>
        <w:i/>
        <w:sz w:val="18"/>
      </w:rPr>
      <w:t>OPC63638 -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3398">
            <w:rPr>
              <w:i/>
              <w:sz w:val="18"/>
            </w:rPr>
            <w:t>Australian Charities and Not-for-profits Commission Amendment (2018 Measures No. 2)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D75">
            <w:rPr>
              <w:i/>
              <w:noProof/>
              <w:sz w:val="18"/>
            </w:rPr>
            <w:t>2</w:t>
          </w:r>
          <w:r w:rsidRPr="00ED79B6">
            <w:rPr>
              <w:i/>
              <w:sz w:val="18"/>
            </w:rPr>
            <w:fldChar w:fldCharType="end"/>
          </w:r>
        </w:p>
      </w:tc>
    </w:tr>
  </w:tbl>
  <w:p w:rsidR="00A136F5" w:rsidRPr="00A4268D" w:rsidRDefault="00A4268D" w:rsidP="00A4268D">
    <w:pPr>
      <w:rPr>
        <w:rFonts w:cs="Times New Roman"/>
        <w:i/>
        <w:sz w:val="18"/>
      </w:rPr>
    </w:pPr>
    <w:r w:rsidRPr="00A4268D">
      <w:rPr>
        <w:rFonts w:cs="Times New Roman"/>
        <w:i/>
        <w:sz w:val="18"/>
      </w:rPr>
      <w:t>OPC63638 -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70" w:rsidRDefault="004D0E70" w:rsidP="0048364F">
      <w:pPr>
        <w:spacing w:line="240" w:lineRule="auto"/>
      </w:pPr>
      <w:r>
        <w:separator/>
      </w:r>
    </w:p>
  </w:footnote>
  <w:footnote w:type="continuationSeparator" w:id="0">
    <w:p w:rsidR="004D0E70" w:rsidRDefault="004D0E7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5F1388" w:rsidRDefault="009B02B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5F1388" w:rsidRDefault="009B02B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5F1388" w:rsidRDefault="009B02B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ED79B6" w:rsidRDefault="009B02B8"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ED79B6" w:rsidRDefault="009B02B8"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8" w:rsidRPr="00ED79B6" w:rsidRDefault="009B02B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291352">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291352">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70"/>
    <w:rsid w:val="00000263"/>
    <w:rsid w:val="000113BC"/>
    <w:rsid w:val="000136AF"/>
    <w:rsid w:val="0004044E"/>
    <w:rsid w:val="0005120E"/>
    <w:rsid w:val="00054577"/>
    <w:rsid w:val="000614BF"/>
    <w:rsid w:val="0007169C"/>
    <w:rsid w:val="00077593"/>
    <w:rsid w:val="000776F5"/>
    <w:rsid w:val="00083F48"/>
    <w:rsid w:val="000A7DF9"/>
    <w:rsid w:val="000D05EF"/>
    <w:rsid w:val="000D5485"/>
    <w:rsid w:val="000F21C1"/>
    <w:rsid w:val="00105D72"/>
    <w:rsid w:val="0010745C"/>
    <w:rsid w:val="00117277"/>
    <w:rsid w:val="00160BD7"/>
    <w:rsid w:val="001643C9"/>
    <w:rsid w:val="00165568"/>
    <w:rsid w:val="00166082"/>
    <w:rsid w:val="00166C2F"/>
    <w:rsid w:val="001716C9"/>
    <w:rsid w:val="00184261"/>
    <w:rsid w:val="00190DF5"/>
    <w:rsid w:val="00193461"/>
    <w:rsid w:val="001939E1"/>
    <w:rsid w:val="00195382"/>
    <w:rsid w:val="001A3B9F"/>
    <w:rsid w:val="001A65C0"/>
    <w:rsid w:val="001A7831"/>
    <w:rsid w:val="001B6456"/>
    <w:rsid w:val="001B7A5D"/>
    <w:rsid w:val="001C69C4"/>
    <w:rsid w:val="001E0A8D"/>
    <w:rsid w:val="001E3590"/>
    <w:rsid w:val="001E7407"/>
    <w:rsid w:val="00201D27"/>
    <w:rsid w:val="0020300C"/>
    <w:rsid w:val="00220A0C"/>
    <w:rsid w:val="00223E4A"/>
    <w:rsid w:val="002302EA"/>
    <w:rsid w:val="00240749"/>
    <w:rsid w:val="002468D7"/>
    <w:rsid w:val="00285CDD"/>
    <w:rsid w:val="00291167"/>
    <w:rsid w:val="00291352"/>
    <w:rsid w:val="00297ECB"/>
    <w:rsid w:val="002C152A"/>
    <w:rsid w:val="002D043A"/>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096"/>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D0E70"/>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700B2C"/>
    <w:rsid w:val="00713084"/>
    <w:rsid w:val="00720FC2"/>
    <w:rsid w:val="00731E00"/>
    <w:rsid w:val="00732E9D"/>
    <w:rsid w:val="0073491A"/>
    <w:rsid w:val="007440B7"/>
    <w:rsid w:val="00747993"/>
    <w:rsid w:val="00756AD2"/>
    <w:rsid w:val="007634AD"/>
    <w:rsid w:val="007715C9"/>
    <w:rsid w:val="00774EDD"/>
    <w:rsid w:val="007757EC"/>
    <w:rsid w:val="007A115D"/>
    <w:rsid w:val="007A35E6"/>
    <w:rsid w:val="007A6863"/>
    <w:rsid w:val="007D45C1"/>
    <w:rsid w:val="007E7D4A"/>
    <w:rsid w:val="007F48ED"/>
    <w:rsid w:val="007F7947"/>
    <w:rsid w:val="00812F45"/>
    <w:rsid w:val="0084172C"/>
    <w:rsid w:val="00856A31"/>
    <w:rsid w:val="008754D0"/>
    <w:rsid w:val="00877D48"/>
    <w:rsid w:val="0088345B"/>
    <w:rsid w:val="00897D75"/>
    <w:rsid w:val="008A16A5"/>
    <w:rsid w:val="008C2B5D"/>
    <w:rsid w:val="008D0EE0"/>
    <w:rsid w:val="008D5B99"/>
    <w:rsid w:val="008D7A27"/>
    <w:rsid w:val="008E4702"/>
    <w:rsid w:val="008E69AA"/>
    <w:rsid w:val="008F4F1C"/>
    <w:rsid w:val="00922764"/>
    <w:rsid w:val="00932377"/>
    <w:rsid w:val="00933398"/>
    <w:rsid w:val="009351AB"/>
    <w:rsid w:val="00943102"/>
    <w:rsid w:val="0094523D"/>
    <w:rsid w:val="00945895"/>
    <w:rsid w:val="009559E6"/>
    <w:rsid w:val="00976A63"/>
    <w:rsid w:val="00983419"/>
    <w:rsid w:val="009B02B8"/>
    <w:rsid w:val="009C3431"/>
    <w:rsid w:val="009C5989"/>
    <w:rsid w:val="009D08DA"/>
    <w:rsid w:val="009E4C0E"/>
    <w:rsid w:val="00A06860"/>
    <w:rsid w:val="00A136F5"/>
    <w:rsid w:val="00A231E2"/>
    <w:rsid w:val="00A2550D"/>
    <w:rsid w:val="00A4169B"/>
    <w:rsid w:val="00A4268D"/>
    <w:rsid w:val="00A445F2"/>
    <w:rsid w:val="00A50D55"/>
    <w:rsid w:val="00A51126"/>
    <w:rsid w:val="00A5165B"/>
    <w:rsid w:val="00A52FDA"/>
    <w:rsid w:val="00A64912"/>
    <w:rsid w:val="00A70A74"/>
    <w:rsid w:val="00AA0343"/>
    <w:rsid w:val="00AA2A5C"/>
    <w:rsid w:val="00AB78E9"/>
    <w:rsid w:val="00AD3467"/>
    <w:rsid w:val="00AD5641"/>
    <w:rsid w:val="00AE0F9B"/>
    <w:rsid w:val="00AF3657"/>
    <w:rsid w:val="00AF55FF"/>
    <w:rsid w:val="00B032D8"/>
    <w:rsid w:val="00B33B3C"/>
    <w:rsid w:val="00B40D74"/>
    <w:rsid w:val="00B52663"/>
    <w:rsid w:val="00B56DCB"/>
    <w:rsid w:val="00B770D2"/>
    <w:rsid w:val="00BA47A3"/>
    <w:rsid w:val="00BA5026"/>
    <w:rsid w:val="00BB6E79"/>
    <w:rsid w:val="00BE3B31"/>
    <w:rsid w:val="00BE719A"/>
    <w:rsid w:val="00BE720A"/>
    <w:rsid w:val="00BF6650"/>
    <w:rsid w:val="00BF7D68"/>
    <w:rsid w:val="00C067E5"/>
    <w:rsid w:val="00C164CA"/>
    <w:rsid w:val="00C42BF8"/>
    <w:rsid w:val="00C45731"/>
    <w:rsid w:val="00C460AE"/>
    <w:rsid w:val="00C50043"/>
    <w:rsid w:val="00C50A0F"/>
    <w:rsid w:val="00C6633B"/>
    <w:rsid w:val="00C7573B"/>
    <w:rsid w:val="00C76CF3"/>
    <w:rsid w:val="00CA7844"/>
    <w:rsid w:val="00CB58EF"/>
    <w:rsid w:val="00CE7D64"/>
    <w:rsid w:val="00CF0BB2"/>
    <w:rsid w:val="00D13441"/>
    <w:rsid w:val="00D243A3"/>
    <w:rsid w:val="00D3200B"/>
    <w:rsid w:val="00D33440"/>
    <w:rsid w:val="00D35859"/>
    <w:rsid w:val="00D52EFE"/>
    <w:rsid w:val="00D56A0D"/>
    <w:rsid w:val="00D63EF6"/>
    <w:rsid w:val="00D66518"/>
    <w:rsid w:val="00D70DFB"/>
    <w:rsid w:val="00D71EEA"/>
    <w:rsid w:val="00D735CD"/>
    <w:rsid w:val="00D766DF"/>
    <w:rsid w:val="00D95891"/>
    <w:rsid w:val="00DB5CB4"/>
    <w:rsid w:val="00DD7C46"/>
    <w:rsid w:val="00DE149E"/>
    <w:rsid w:val="00E05704"/>
    <w:rsid w:val="00E12F1A"/>
    <w:rsid w:val="00E21CFB"/>
    <w:rsid w:val="00E22935"/>
    <w:rsid w:val="00E534C2"/>
    <w:rsid w:val="00E54292"/>
    <w:rsid w:val="00E60191"/>
    <w:rsid w:val="00E74DC7"/>
    <w:rsid w:val="00E87699"/>
    <w:rsid w:val="00E92E27"/>
    <w:rsid w:val="00E9586B"/>
    <w:rsid w:val="00E97334"/>
    <w:rsid w:val="00EA0D36"/>
    <w:rsid w:val="00EA3A2F"/>
    <w:rsid w:val="00EC75CF"/>
    <w:rsid w:val="00ED4928"/>
    <w:rsid w:val="00EE6190"/>
    <w:rsid w:val="00EF2E3A"/>
    <w:rsid w:val="00EF4769"/>
    <w:rsid w:val="00EF6402"/>
    <w:rsid w:val="00F025DF"/>
    <w:rsid w:val="00F047E2"/>
    <w:rsid w:val="00F04D57"/>
    <w:rsid w:val="00F078DC"/>
    <w:rsid w:val="00F13E86"/>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7D68"/>
    <w:pPr>
      <w:spacing w:line="260" w:lineRule="atLeast"/>
    </w:pPr>
    <w:rPr>
      <w:sz w:val="22"/>
    </w:rPr>
  </w:style>
  <w:style w:type="paragraph" w:styleId="Heading1">
    <w:name w:val="heading 1"/>
    <w:basedOn w:val="Normal"/>
    <w:next w:val="Normal"/>
    <w:link w:val="Heading1Char"/>
    <w:uiPriority w:val="9"/>
    <w:qFormat/>
    <w:rsid w:val="00BF7D6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7D6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7D6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7D6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7D6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7D6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F7D6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F7D6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F7D6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7D68"/>
  </w:style>
  <w:style w:type="paragraph" w:customStyle="1" w:styleId="OPCParaBase">
    <w:name w:val="OPCParaBase"/>
    <w:qFormat/>
    <w:rsid w:val="00BF7D68"/>
    <w:pPr>
      <w:spacing w:line="260" w:lineRule="atLeast"/>
    </w:pPr>
    <w:rPr>
      <w:rFonts w:eastAsia="Times New Roman" w:cs="Times New Roman"/>
      <w:sz w:val="22"/>
      <w:lang w:eastAsia="en-AU"/>
    </w:rPr>
  </w:style>
  <w:style w:type="paragraph" w:customStyle="1" w:styleId="ShortT">
    <w:name w:val="ShortT"/>
    <w:basedOn w:val="OPCParaBase"/>
    <w:next w:val="Normal"/>
    <w:qFormat/>
    <w:rsid w:val="00BF7D68"/>
    <w:pPr>
      <w:spacing w:line="240" w:lineRule="auto"/>
    </w:pPr>
    <w:rPr>
      <w:b/>
      <w:sz w:val="40"/>
    </w:rPr>
  </w:style>
  <w:style w:type="paragraph" w:customStyle="1" w:styleId="ActHead1">
    <w:name w:val="ActHead 1"/>
    <w:aliases w:val="c"/>
    <w:basedOn w:val="OPCParaBase"/>
    <w:next w:val="Normal"/>
    <w:qFormat/>
    <w:rsid w:val="00BF7D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7D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7D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7D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7D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7D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7D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7D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7D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7D68"/>
  </w:style>
  <w:style w:type="paragraph" w:customStyle="1" w:styleId="Blocks">
    <w:name w:val="Blocks"/>
    <w:aliases w:val="bb"/>
    <w:basedOn w:val="OPCParaBase"/>
    <w:qFormat/>
    <w:rsid w:val="00BF7D68"/>
    <w:pPr>
      <w:spacing w:line="240" w:lineRule="auto"/>
    </w:pPr>
    <w:rPr>
      <w:sz w:val="24"/>
    </w:rPr>
  </w:style>
  <w:style w:type="paragraph" w:customStyle="1" w:styleId="BoxText">
    <w:name w:val="BoxText"/>
    <w:aliases w:val="bt"/>
    <w:basedOn w:val="OPCParaBase"/>
    <w:qFormat/>
    <w:rsid w:val="00BF7D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7D68"/>
    <w:rPr>
      <w:b/>
    </w:rPr>
  </w:style>
  <w:style w:type="paragraph" w:customStyle="1" w:styleId="BoxHeadItalic">
    <w:name w:val="BoxHeadItalic"/>
    <w:aliases w:val="bhi"/>
    <w:basedOn w:val="BoxText"/>
    <w:next w:val="BoxStep"/>
    <w:qFormat/>
    <w:rsid w:val="00BF7D68"/>
    <w:rPr>
      <w:i/>
    </w:rPr>
  </w:style>
  <w:style w:type="paragraph" w:customStyle="1" w:styleId="BoxList">
    <w:name w:val="BoxList"/>
    <w:aliases w:val="bl"/>
    <w:basedOn w:val="BoxText"/>
    <w:qFormat/>
    <w:rsid w:val="00BF7D68"/>
    <w:pPr>
      <w:ind w:left="1559" w:hanging="425"/>
    </w:pPr>
  </w:style>
  <w:style w:type="paragraph" w:customStyle="1" w:styleId="BoxNote">
    <w:name w:val="BoxNote"/>
    <w:aliases w:val="bn"/>
    <w:basedOn w:val="BoxText"/>
    <w:qFormat/>
    <w:rsid w:val="00BF7D68"/>
    <w:pPr>
      <w:tabs>
        <w:tab w:val="left" w:pos="1985"/>
      </w:tabs>
      <w:spacing w:before="122" w:line="198" w:lineRule="exact"/>
      <w:ind w:left="2948" w:hanging="1814"/>
    </w:pPr>
    <w:rPr>
      <w:sz w:val="18"/>
    </w:rPr>
  </w:style>
  <w:style w:type="paragraph" w:customStyle="1" w:styleId="BoxPara">
    <w:name w:val="BoxPara"/>
    <w:aliases w:val="bp"/>
    <w:basedOn w:val="BoxText"/>
    <w:qFormat/>
    <w:rsid w:val="00BF7D68"/>
    <w:pPr>
      <w:tabs>
        <w:tab w:val="right" w:pos="2268"/>
      </w:tabs>
      <w:ind w:left="2552" w:hanging="1418"/>
    </w:pPr>
  </w:style>
  <w:style w:type="paragraph" w:customStyle="1" w:styleId="BoxStep">
    <w:name w:val="BoxStep"/>
    <w:aliases w:val="bs"/>
    <w:basedOn w:val="BoxText"/>
    <w:qFormat/>
    <w:rsid w:val="00BF7D68"/>
    <w:pPr>
      <w:ind w:left="1985" w:hanging="851"/>
    </w:pPr>
  </w:style>
  <w:style w:type="character" w:customStyle="1" w:styleId="CharAmPartNo">
    <w:name w:val="CharAmPartNo"/>
    <w:basedOn w:val="OPCCharBase"/>
    <w:qFormat/>
    <w:rsid w:val="00BF7D68"/>
  </w:style>
  <w:style w:type="character" w:customStyle="1" w:styleId="CharAmPartText">
    <w:name w:val="CharAmPartText"/>
    <w:basedOn w:val="OPCCharBase"/>
    <w:qFormat/>
    <w:rsid w:val="00BF7D68"/>
  </w:style>
  <w:style w:type="character" w:customStyle="1" w:styleId="CharAmSchNo">
    <w:name w:val="CharAmSchNo"/>
    <w:basedOn w:val="OPCCharBase"/>
    <w:qFormat/>
    <w:rsid w:val="00BF7D68"/>
  </w:style>
  <w:style w:type="character" w:customStyle="1" w:styleId="CharAmSchText">
    <w:name w:val="CharAmSchText"/>
    <w:basedOn w:val="OPCCharBase"/>
    <w:qFormat/>
    <w:rsid w:val="00BF7D68"/>
  </w:style>
  <w:style w:type="character" w:customStyle="1" w:styleId="CharBoldItalic">
    <w:name w:val="CharBoldItalic"/>
    <w:basedOn w:val="OPCCharBase"/>
    <w:uiPriority w:val="1"/>
    <w:qFormat/>
    <w:rsid w:val="00BF7D68"/>
    <w:rPr>
      <w:b/>
      <w:i/>
    </w:rPr>
  </w:style>
  <w:style w:type="character" w:customStyle="1" w:styleId="CharChapNo">
    <w:name w:val="CharChapNo"/>
    <w:basedOn w:val="OPCCharBase"/>
    <w:uiPriority w:val="1"/>
    <w:qFormat/>
    <w:rsid w:val="00BF7D68"/>
  </w:style>
  <w:style w:type="character" w:customStyle="1" w:styleId="CharChapText">
    <w:name w:val="CharChapText"/>
    <w:basedOn w:val="OPCCharBase"/>
    <w:uiPriority w:val="1"/>
    <w:qFormat/>
    <w:rsid w:val="00BF7D68"/>
  </w:style>
  <w:style w:type="character" w:customStyle="1" w:styleId="CharDivNo">
    <w:name w:val="CharDivNo"/>
    <w:basedOn w:val="OPCCharBase"/>
    <w:uiPriority w:val="1"/>
    <w:qFormat/>
    <w:rsid w:val="00BF7D68"/>
  </w:style>
  <w:style w:type="character" w:customStyle="1" w:styleId="CharDivText">
    <w:name w:val="CharDivText"/>
    <w:basedOn w:val="OPCCharBase"/>
    <w:uiPriority w:val="1"/>
    <w:qFormat/>
    <w:rsid w:val="00BF7D68"/>
  </w:style>
  <w:style w:type="character" w:customStyle="1" w:styleId="CharItalic">
    <w:name w:val="CharItalic"/>
    <w:basedOn w:val="OPCCharBase"/>
    <w:uiPriority w:val="1"/>
    <w:qFormat/>
    <w:rsid w:val="00BF7D68"/>
    <w:rPr>
      <w:i/>
    </w:rPr>
  </w:style>
  <w:style w:type="character" w:customStyle="1" w:styleId="CharPartNo">
    <w:name w:val="CharPartNo"/>
    <w:basedOn w:val="OPCCharBase"/>
    <w:uiPriority w:val="1"/>
    <w:qFormat/>
    <w:rsid w:val="00BF7D68"/>
  </w:style>
  <w:style w:type="character" w:customStyle="1" w:styleId="CharPartText">
    <w:name w:val="CharPartText"/>
    <w:basedOn w:val="OPCCharBase"/>
    <w:uiPriority w:val="1"/>
    <w:qFormat/>
    <w:rsid w:val="00BF7D68"/>
  </w:style>
  <w:style w:type="character" w:customStyle="1" w:styleId="CharSectno">
    <w:name w:val="CharSectno"/>
    <w:basedOn w:val="OPCCharBase"/>
    <w:qFormat/>
    <w:rsid w:val="00BF7D68"/>
  </w:style>
  <w:style w:type="character" w:customStyle="1" w:styleId="CharSubdNo">
    <w:name w:val="CharSubdNo"/>
    <w:basedOn w:val="OPCCharBase"/>
    <w:uiPriority w:val="1"/>
    <w:qFormat/>
    <w:rsid w:val="00BF7D68"/>
  </w:style>
  <w:style w:type="character" w:customStyle="1" w:styleId="CharSubdText">
    <w:name w:val="CharSubdText"/>
    <w:basedOn w:val="OPCCharBase"/>
    <w:uiPriority w:val="1"/>
    <w:qFormat/>
    <w:rsid w:val="00BF7D68"/>
  </w:style>
  <w:style w:type="paragraph" w:customStyle="1" w:styleId="CTA--">
    <w:name w:val="CTA --"/>
    <w:basedOn w:val="OPCParaBase"/>
    <w:next w:val="Normal"/>
    <w:rsid w:val="00BF7D68"/>
    <w:pPr>
      <w:spacing w:before="60" w:line="240" w:lineRule="atLeast"/>
      <w:ind w:left="142" w:hanging="142"/>
    </w:pPr>
    <w:rPr>
      <w:sz w:val="20"/>
    </w:rPr>
  </w:style>
  <w:style w:type="paragraph" w:customStyle="1" w:styleId="CTA-">
    <w:name w:val="CTA -"/>
    <w:basedOn w:val="OPCParaBase"/>
    <w:rsid w:val="00BF7D68"/>
    <w:pPr>
      <w:spacing w:before="60" w:line="240" w:lineRule="atLeast"/>
      <w:ind w:left="85" w:hanging="85"/>
    </w:pPr>
    <w:rPr>
      <w:sz w:val="20"/>
    </w:rPr>
  </w:style>
  <w:style w:type="paragraph" w:customStyle="1" w:styleId="CTA---">
    <w:name w:val="CTA ---"/>
    <w:basedOn w:val="OPCParaBase"/>
    <w:next w:val="Normal"/>
    <w:rsid w:val="00BF7D68"/>
    <w:pPr>
      <w:spacing w:before="60" w:line="240" w:lineRule="atLeast"/>
      <w:ind w:left="198" w:hanging="198"/>
    </w:pPr>
    <w:rPr>
      <w:sz w:val="20"/>
    </w:rPr>
  </w:style>
  <w:style w:type="paragraph" w:customStyle="1" w:styleId="CTA----">
    <w:name w:val="CTA ----"/>
    <w:basedOn w:val="OPCParaBase"/>
    <w:next w:val="Normal"/>
    <w:rsid w:val="00BF7D68"/>
    <w:pPr>
      <w:spacing w:before="60" w:line="240" w:lineRule="atLeast"/>
      <w:ind w:left="255" w:hanging="255"/>
    </w:pPr>
    <w:rPr>
      <w:sz w:val="20"/>
    </w:rPr>
  </w:style>
  <w:style w:type="paragraph" w:customStyle="1" w:styleId="CTA1a">
    <w:name w:val="CTA 1(a)"/>
    <w:basedOn w:val="OPCParaBase"/>
    <w:rsid w:val="00BF7D68"/>
    <w:pPr>
      <w:tabs>
        <w:tab w:val="right" w:pos="414"/>
      </w:tabs>
      <w:spacing w:before="40" w:line="240" w:lineRule="atLeast"/>
      <w:ind w:left="675" w:hanging="675"/>
    </w:pPr>
    <w:rPr>
      <w:sz w:val="20"/>
    </w:rPr>
  </w:style>
  <w:style w:type="paragraph" w:customStyle="1" w:styleId="CTA1ai">
    <w:name w:val="CTA 1(a)(i)"/>
    <w:basedOn w:val="OPCParaBase"/>
    <w:rsid w:val="00BF7D68"/>
    <w:pPr>
      <w:tabs>
        <w:tab w:val="right" w:pos="1004"/>
      </w:tabs>
      <w:spacing w:before="40" w:line="240" w:lineRule="atLeast"/>
      <w:ind w:left="1253" w:hanging="1253"/>
    </w:pPr>
    <w:rPr>
      <w:sz w:val="20"/>
    </w:rPr>
  </w:style>
  <w:style w:type="paragraph" w:customStyle="1" w:styleId="CTA2a">
    <w:name w:val="CTA 2(a)"/>
    <w:basedOn w:val="OPCParaBase"/>
    <w:rsid w:val="00BF7D68"/>
    <w:pPr>
      <w:tabs>
        <w:tab w:val="right" w:pos="482"/>
      </w:tabs>
      <w:spacing w:before="40" w:line="240" w:lineRule="atLeast"/>
      <w:ind w:left="748" w:hanging="748"/>
    </w:pPr>
    <w:rPr>
      <w:sz w:val="20"/>
    </w:rPr>
  </w:style>
  <w:style w:type="paragraph" w:customStyle="1" w:styleId="CTA2ai">
    <w:name w:val="CTA 2(a)(i)"/>
    <w:basedOn w:val="OPCParaBase"/>
    <w:rsid w:val="00BF7D68"/>
    <w:pPr>
      <w:tabs>
        <w:tab w:val="right" w:pos="1089"/>
      </w:tabs>
      <w:spacing w:before="40" w:line="240" w:lineRule="atLeast"/>
      <w:ind w:left="1327" w:hanging="1327"/>
    </w:pPr>
    <w:rPr>
      <w:sz w:val="20"/>
    </w:rPr>
  </w:style>
  <w:style w:type="paragraph" w:customStyle="1" w:styleId="CTA3a">
    <w:name w:val="CTA 3(a)"/>
    <w:basedOn w:val="OPCParaBase"/>
    <w:rsid w:val="00BF7D68"/>
    <w:pPr>
      <w:tabs>
        <w:tab w:val="right" w:pos="556"/>
      </w:tabs>
      <w:spacing w:before="40" w:line="240" w:lineRule="atLeast"/>
      <w:ind w:left="805" w:hanging="805"/>
    </w:pPr>
    <w:rPr>
      <w:sz w:val="20"/>
    </w:rPr>
  </w:style>
  <w:style w:type="paragraph" w:customStyle="1" w:styleId="CTA3ai">
    <w:name w:val="CTA 3(a)(i)"/>
    <w:basedOn w:val="OPCParaBase"/>
    <w:rsid w:val="00BF7D68"/>
    <w:pPr>
      <w:tabs>
        <w:tab w:val="right" w:pos="1140"/>
      </w:tabs>
      <w:spacing w:before="40" w:line="240" w:lineRule="atLeast"/>
      <w:ind w:left="1361" w:hanging="1361"/>
    </w:pPr>
    <w:rPr>
      <w:sz w:val="20"/>
    </w:rPr>
  </w:style>
  <w:style w:type="paragraph" w:customStyle="1" w:styleId="CTA4a">
    <w:name w:val="CTA 4(a)"/>
    <w:basedOn w:val="OPCParaBase"/>
    <w:rsid w:val="00BF7D68"/>
    <w:pPr>
      <w:tabs>
        <w:tab w:val="right" w:pos="624"/>
      </w:tabs>
      <w:spacing w:before="40" w:line="240" w:lineRule="atLeast"/>
      <w:ind w:left="873" w:hanging="873"/>
    </w:pPr>
    <w:rPr>
      <w:sz w:val="20"/>
    </w:rPr>
  </w:style>
  <w:style w:type="paragraph" w:customStyle="1" w:styleId="CTA4ai">
    <w:name w:val="CTA 4(a)(i)"/>
    <w:basedOn w:val="OPCParaBase"/>
    <w:rsid w:val="00BF7D68"/>
    <w:pPr>
      <w:tabs>
        <w:tab w:val="right" w:pos="1213"/>
      </w:tabs>
      <w:spacing w:before="40" w:line="240" w:lineRule="atLeast"/>
      <w:ind w:left="1452" w:hanging="1452"/>
    </w:pPr>
    <w:rPr>
      <w:sz w:val="20"/>
    </w:rPr>
  </w:style>
  <w:style w:type="paragraph" w:customStyle="1" w:styleId="CTACAPS">
    <w:name w:val="CTA CAPS"/>
    <w:basedOn w:val="OPCParaBase"/>
    <w:rsid w:val="00BF7D68"/>
    <w:pPr>
      <w:spacing w:before="60" w:line="240" w:lineRule="atLeast"/>
    </w:pPr>
    <w:rPr>
      <w:sz w:val="20"/>
    </w:rPr>
  </w:style>
  <w:style w:type="paragraph" w:customStyle="1" w:styleId="CTAright">
    <w:name w:val="CTA right"/>
    <w:basedOn w:val="OPCParaBase"/>
    <w:rsid w:val="00BF7D68"/>
    <w:pPr>
      <w:spacing w:before="60" w:line="240" w:lineRule="auto"/>
      <w:jc w:val="right"/>
    </w:pPr>
    <w:rPr>
      <w:sz w:val="20"/>
    </w:rPr>
  </w:style>
  <w:style w:type="paragraph" w:customStyle="1" w:styleId="subsection">
    <w:name w:val="subsection"/>
    <w:aliases w:val="ss,Subsection"/>
    <w:basedOn w:val="OPCParaBase"/>
    <w:link w:val="subsectionChar"/>
    <w:rsid w:val="00BF7D68"/>
    <w:pPr>
      <w:tabs>
        <w:tab w:val="right" w:pos="1021"/>
      </w:tabs>
      <w:spacing w:before="180" w:line="240" w:lineRule="auto"/>
      <w:ind w:left="1134" w:hanging="1134"/>
    </w:pPr>
  </w:style>
  <w:style w:type="paragraph" w:customStyle="1" w:styleId="Definition">
    <w:name w:val="Definition"/>
    <w:aliases w:val="dd"/>
    <w:basedOn w:val="OPCParaBase"/>
    <w:rsid w:val="00BF7D68"/>
    <w:pPr>
      <w:spacing w:before="180" w:line="240" w:lineRule="auto"/>
      <w:ind w:left="1134"/>
    </w:pPr>
  </w:style>
  <w:style w:type="paragraph" w:customStyle="1" w:styleId="ETAsubitem">
    <w:name w:val="ETA(subitem)"/>
    <w:basedOn w:val="OPCParaBase"/>
    <w:rsid w:val="00BF7D68"/>
    <w:pPr>
      <w:tabs>
        <w:tab w:val="right" w:pos="340"/>
      </w:tabs>
      <w:spacing w:before="60" w:line="240" w:lineRule="auto"/>
      <w:ind w:left="454" w:hanging="454"/>
    </w:pPr>
    <w:rPr>
      <w:sz w:val="20"/>
    </w:rPr>
  </w:style>
  <w:style w:type="paragraph" w:customStyle="1" w:styleId="ETApara">
    <w:name w:val="ETA(para)"/>
    <w:basedOn w:val="OPCParaBase"/>
    <w:rsid w:val="00BF7D68"/>
    <w:pPr>
      <w:tabs>
        <w:tab w:val="right" w:pos="754"/>
      </w:tabs>
      <w:spacing w:before="60" w:line="240" w:lineRule="auto"/>
      <w:ind w:left="828" w:hanging="828"/>
    </w:pPr>
    <w:rPr>
      <w:sz w:val="20"/>
    </w:rPr>
  </w:style>
  <w:style w:type="paragraph" w:customStyle="1" w:styleId="ETAsubpara">
    <w:name w:val="ETA(subpara)"/>
    <w:basedOn w:val="OPCParaBase"/>
    <w:rsid w:val="00BF7D68"/>
    <w:pPr>
      <w:tabs>
        <w:tab w:val="right" w:pos="1083"/>
      </w:tabs>
      <w:spacing w:before="60" w:line="240" w:lineRule="auto"/>
      <w:ind w:left="1191" w:hanging="1191"/>
    </w:pPr>
    <w:rPr>
      <w:sz w:val="20"/>
    </w:rPr>
  </w:style>
  <w:style w:type="paragraph" w:customStyle="1" w:styleId="ETAsub-subpara">
    <w:name w:val="ETA(sub-subpara)"/>
    <w:basedOn w:val="OPCParaBase"/>
    <w:rsid w:val="00BF7D68"/>
    <w:pPr>
      <w:tabs>
        <w:tab w:val="right" w:pos="1412"/>
      </w:tabs>
      <w:spacing w:before="60" w:line="240" w:lineRule="auto"/>
      <w:ind w:left="1525" w:hanging="1525"/>
    </w:pPr>
    <w:rPr>
      <w:sz w:val="20"/>
    </w:rPr>
  </w:style>
  <w:style w:type="paragraph" w:customStyle="1" w:styleId="Formula">
    <w:name w:val="Formula"/>
    <w:basedOn w:val="OPCParaBase"/>
    <w:rsid w:val="00BF7D68"/>
    <w:pPr>
      <w:spacing w:line="240" w:lineRule="auto"/>
      <w:ind w:left="1134"/>
    </w:pPr>
    <w:rPr>
      <w:sz w:val="20"/>
    </w:rPr>
  </w:style>
  <w:style w:type="paragraph" w:styleId="Header">
    <w:name w:val="header"/>
    <w:basedOn w:val="OPCParaBase"/>
    <w:link w:val="HeaderChar"/>
    <w:unhideWhenUsed/>
    <w:rsid w:val="00BF7D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7D68"/>
    <w:rPr>
      <w:rFonts w:eastAsia="Times New Roman" w:cs="Times New Roman"/>
      <w:sz w:val="16"/>
      <w:lang w:eastAsia="en-AU"/>
    </w:rPr>
  </w:style>
  <w:style w:type="paragraph" w:customStyle="1" w:styleId="House">
    <w:name w:val="House"/>
    <w:basedOn w:val="OPCParaBase"/>
    <w:rsid w:val="00BF7D68"/>
    <w:pPr>
      <w:spacing w:line="240" w:lineRule="auto"/>
    </w:pPr>
    <w:rPr>
      <w:sz w:val="28"/>
    </w:rPr>
  </w:style>
  <w:style w:type="paragraph" w:customStyle="1" w:styleId="Item">
    <w:name w:val="Item"/>
    <w:aliases w:val="i"/>
    <w:basedOn w:val="OPCParaBase"/>
    <w:next w:val="ItemHead"/>
    <w:rsid w:val="00BF7D68"/>
    <w:pPr>
      <w:keepLines/>
      <w:spacing w:before="80" w:line="240" w:lineRule="auto"/>
      <w:ind w:left="709"/>
    </w:pPr>
  </w:style>
  <w:style w:type="paragraph" w:customStyle="1" w:styleId="ItemHead">
    <w:name w:val="ItemHead"/>
    <w:aliases w:val="ih"/>
    <w:basedOn w:val="OPCParaBase"/>
    <w:next w:val="Item"/>
    <w:rsid w:val="00BF7D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7D68"/>
    <w:pPr>
      <w:spacing w:line="240" w:lineRule="auto"/>
    </w:pPr>
    <w:rPr>
      <w:b/>
      <w:sz w:val="32"/>
    </w:rPr>
  </w:style>
  <w:style w:type="paragraph" w:customStyle="1" w:styleId="notedraft">
    <w:name w:val="note(draft)"/>
    <w:aliases w:val="nd"/>
    <w:basedOn w:val="OPCParaBase"/>
    <w:rsid w:val="00BF7D68"/>
    <w:pPr>
      <w:spacing w:before="240" w:line="240" w:lineRule="auto"/>
      <w:ind w:left="284" w:hanging="284"/>
    </w:pPr>
    <w:rPr>
      <w:i/>
      <w:sz w:val="24"/>
    </w:rPr>
  </w:style>
  <w:style w:type="paragraph" w:customStyle="1" w:styleId="notemargin">
    <w:name w:val="note(margin)"/>
    <w:aliases w:val="nm"/>
    <w:basedOn w:val="OPCParaBase"/>
    <w:rsid w:val="00BF7D68"/>
    <w:pPr>
      <w:tabs>
        <w:tab w:val="left" w:pos="709"/>
      </w:tabs>
      <w:spacing w:before="122" w:line="198" w:lineRule="exact"/>
      <w:ind w:left="709" w:hanging="709"/>
    </w:pPr>
    <w:rPr>
      <w:sz w:val="18"/>
    </w:rPr>
  </w:style>
  <w:style w:type="paragraph" w:customStyle="1" w:styleId="noteToPara">
    <w:name w:val="noteToPara"/>
    <w:aliases w:val="ntp"/>
    <w:basedOn w:val="OPCParaBase"/>
    <w:rsid w:val="00BF7D68"/>
    <w:pPr>
      <w:spacing w:before="122" w:line="198" w:lineRule="exact"/>
      <w:ind w:left="2353" w:hanging="709"/>
    </w:pPr>
    <w:rPr>
      <w:sz w:val="18"/>
    </w:rPr>
  </w:style>
  <w:style w:type="paragraph" w:customStyle="1" w:styleId="noteParlAmend">
    <w:name w:val="note(ParlAmend)"/>
    <w:aliases w:val="npp"/>
    <w:basedOn w:val="OPCParaBase"/>
    <w:next w:val="ParlAmend"/>
    <w:rsid w:val="00BF7D68"/>
    <w:pPr>
      <w:spacing w:line="240" w:lineRule="auto"/>
      <w:jc w:val="right"/>
    </w:pPr>
    <w:rPr>
      <w:rFonts w:ascii="Arial" w:hAnsi="Arial"/>
      <w:b/>
      <w:i/>
    </w:rPr>
  </w:style>
  <w:style w:type="paragraph" w:customStyle="1" w:styleId="Page1">
    <w:name w:val="Page1"/>
    <w:basedOn w:val="OPCParaBase"/>
    <w:rsid w:val="00BF7D68"/>
    <w:pPr>
      <w:spacing w:before="5600" w:line="240" w:lineRule="auto"/>
    </w:pPr>
    <w:rPr>
      <w:b/>
      <w:sz w:val="32"/>
    </w:rPr>
  </w:style>
  <w:style w:type="paragraph" w:customStyle="1" w:styleId="PageBreak">
    <w:name w:val="PageBreak"/>
    <w:aliases w:val="pb"/>
    <w:basedOn w:val="OPCParaBase"/>
    <w:rsid w:val="00BF7D68"/>
    <w:pPr>
      <w:spacing w:line="240" w:lineRule="auto"/>
    </w:pPr>
    <w:rPr>
      <w:sz w:val="20"/>
    </w:rPr>
  </w:style>
  <w:style w:type="paragraph" w:customStyle="1" w:styleId="paragraphsub">
    <w:name w:val="paragraph(sub)"/>
    <w:aliases w:val="aa"/>
    <w:basedOn w:val="OPCParaBase"/>
    <w:rsid w:val="00BF7D68"/>
    <w:pPr>
      <w:tabs>
        <w:tab w:val="right" w:pos="1985"/>
      </w:tabs>
      <w:spacing w:before="40" w:line="240" w:lineRule="auto"/>
      <w:ind w:left="2098" w:hanging="2098"/>
    </w:pPr>
  </w:style>
  <w:style w:type="paragraph" w:customStyle="1" w:styleId="paragraphsub-sub">
    <w:name w:val="paragraph(sub-sub)"/>
    <w:aliases w:val="aaa"/>
    <w:basedOn w:val="OPCParaBase"/>
    <w:rsid w:val="00BF7D68"/>
    <w:pPr>
      <w:tabs>
        <w:tab w:val="right" w:pos="2722"/>
      </w:tabs>
      <w:spacing w:before="40" w:line="240" w:lineRule="auto"/>
      <w:ind w:left="2835" w:hanging="2835"/>
    </w:pPr>
  </w:style>
  <w:style w:type="paragraph" w:customStyle="1" w:styleId="paragraph">
    <w:name w:val="paragraph"/>
    <w:aliases w:val="a"/>
    <w:basedOn w:val="OPCParaBase"/>
    <w:rsid w:val="00BF7D68"/>
    <w:pPr>
      <w:tabs>
        <w:tab w:val="right" w:pos="1531"/>
      </w:tabs>
      <w:spacing w:before="40" w:line="240" w:lineRule="auto"/>
      <w:ind w:left="1644" w:hanging="1644"/>
    </w:pPr>
  </w:style>
  <w:style w:type="paragraph" w:customStyle="1" w:styleId="ParlAmend">
    <w:name w:val="ParlAmend"/>
    <w:aliases w:val="pp"/>
    <w:basedOn w:val="OPCParaBase"/>
    <w:rsid w:val="00BF7D68"/>
    <w:pPr>
      <w:spacing w:before="240" w:line="240" w:lineRule="atLeast"/>
      <w:ind w:hanging="567"/>
    </w:pPr>
    <w:rPr>
      <w:sz w:val="24"/>
    </w:rPr>
  </w:style>
  <w:style w:type="paragraph" w:customStyle="1" w:styleId="Penalty">
    <w:name w:val="Penalty"/>
    <w:basedOn w:val="OPCParaBase"/>
    <w:rsid w:val="00BF7D68"/>
    <w:pPr>
      <w:tabs>
        <w:tab w:val="left" w:pos="2977"/>
      </w:tabs>
      <w:spacing w:before="180" w:line="240" w:lineRule="auto"/>
      <w:ind w:left="1985" w:hanging="851"/>
    </w:pPr>
  </w:style>
  <w:style w:type="paragraph" w:customStyle="1" w:styleId="Portfolio">
    <w:name w:val="Portfolio"/>
    <w:basedOn w:val="OPCParaBase"/>
    <w:rsid w:val="00BF7D68"/>
    <w:pPr>
      <w:spacing w:line="240" w:lineRule="auto"/>
    </w:pPr>
    <w:rPr>
      <w:i/>
      <w:sz w:val="20"/>
    </w:rPr>
  </w:style>
  <w:style w:type="paragraph" w:customStyle="1" w:styleId="Preamble">
    <w:name w:val="Preamble"/>
    <w:basedOn w:val="OPCParaBase"/>
    <w:next w:val="Normal"/>
    <w:rsid w:val="00BF7D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7D68"/>
    <w:pPr>
      <w:spacing w:line="240" w:lineRule="auto"/>
    </w:pPr>
    <w:rPr>
      <w:i/>
      <w:sz w:val="20"/>
    </w:rPr>
  </w:style>
  <w:style w:type="paragraph" w:customStyle="1" w:styleId="Session">
    <w:name w:val="Session"/>
    <w:basedOn w:val="OPCParaBase"/>
    <w:rsid w:val="00BF7D68"/>
    <w:pPr>
      <w:spacing w:line="240" w:lineRule="auto"/>
    </w:pPr>
    <w:rPr>
      <w:sz w:val="28"/>
    </w:rPr>
  </w:style>
  <w:style w:type="paragraph" w:customStyle="1" w:styleId="Sponsor">
    <w:name w:val="Sponsor"/>
    <w:basedOn w:val="OPCParaBase"/>
    <w:rsid w:val="00BF7D68"/>
    <w:pPr>
      <w:spacing w:line="240" w:lineRule="auto"/>
    </w:pPr>
    <w:rPr>
      <w:i/>
    </w:rPr>
  </w:style>
  <w:style w:type="paragraph" w:customStyle="1" w:styleId="Subitem">
    <w:name w:val="Subitem"/>
    <w:aliases w:val="iss"/>
    <w:basedOn w:val="OPCParaBase"/>
    <w:rsid w:val="00BF7D68"/>
    <w:pPr>
      <w:spacing w:before="180" w:line="240" w:lineRule="auto"/>
      <w:ind w:left="709" w:hanging="709"/>
    </w:pPr>
  </w:style>
  <w:style w:type="paragraph" w:customStyle="1" w:styleId="SubitemHead">
    <w:name w:val="SubitemHead"/>
    <w:aliases w:val="issh"/>
    <w:basedOn w:val="OPCParaBase"/>
    <w:rsid w:val="00BF7D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7D68"/>
    <w:pPr>
      <w:spacing w:before="40" w:line="240" w:lineRule="auto"/>
      <w:ind w:left="1134"/>
    </w:pPr>
  </w:style>
  <w:style w:type="paragraph" w:customStyle="1" w:styleId="SubsectionHead">
    <w:name w:val="SubsectionHead"/>
    <w:aliases w:val="ssh"/>
    <w:basedOn w:val="OPCParaBase"/>
    <w:next w:val="subsection"/>
    <w:rsid w:val="00BF7D68"/>
    <w:pPr>
      <w:keepNext/>
      <w:keepLines/>
      <w:spacing w:before="240" w:line="240" w:lineRule="auto"/>
      <w:ind w:left="1134"/>
    </w:pPr>
    <w:rPr>
      <w:i/>
    </w:rPr>
  </w:style>
  <w:style w:type="paragraph" w:customStyle="1" w:styleId="Tablea">
    <w:name w:val="Table(a)"/>
    <w:aliases w:val="ta"/>
    <w:basedOn w:val="OPCParaBase"/>
    <w:rsid w:val="00BF7D68"/>
    <w:pPr>
      <w:spacing w:before="60" w:line="240" w:lineRule="auto"/>
      <w:ind w:left="284" w:hanging="284"/>
    </w:pPr>
    <w:rPr>
      <w:sz w:val="20"/>
    </w:rPr>
  </w:style>
  <w:style w:type="paragraph" w:customStyle="1" w:styleId="TableAA">
    <w:name w:val="Table(AA)"/>
    <w:aliases w:val="taaa"/>
    <w:basedOn w:val="OPCParaBase"/>
    <w:rsid w:val="00BF7D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7D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7D68"/>
    <w:pPr>
      <w:spacing w:before="60" w:line="240" w:lineRule="atLeast"/>
    </w:pPr>
    <w:rPr>
      <w:sz w:val="20"/>
    </w:rPr>
  </w:style>
  <w:style w:type="paragraph" w:customStyle="1" w:styleId="TLPBoxTextnote">
    <w:name w:val="TLPBoxText(note"/>
    <w:aliases w:val="right)"/>
    <w:basedOn w:val="OPCParaBase"/>
    <w:rsid w:val="00BF7D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7D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7D68"/>
    <w:pPr>
      <w:spacing w:before="122" w:line="198" w:lineRule="exact"/>
      <w:ind w:left="1985" w:hanging="851"/>
      <w:jc w:val="right"/>
    </w:pPr>
    <w:rPr>
      <w:sz w:val="18"/>
    </w:rPr>
  </w:style>
  <w:style w:type="paragraph" w:customStyle="1" w:styleId="TLPTableBullet">
    <w:name w:val="TLPTableBullet"/>
    <w:aliases w:val="ttb"/>
    <w:basedOn w:val="OPCParaBase"/>
    <w:rsid w:val="00BF7D68"/>
    <w:pPr>
      <w:spacing w:line="240" w:lineRule="exact"/>
      <w:ind w:left="284" w:hanging="284"/>
    </w:pPr>
    <w:rPr>
      <w:sz w:val="20"/>
    </w:rPr>
  </w:style>
  <w:style w:type="paragraph" w:styleId="TOC1">
    <w:name w:val="toc 1"/>
    <w:basedOn w:val="Normal"/>
    <w:next w:val="Normal"/>
    <w:uiPriority w:val="39"/>
    <w:unhideWhenUsed/>
    <w:rsid w:val="00BF7D6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F7D6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F7D6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F7D6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F7D6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F7D6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F7D6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F7D6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F7D6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F7D68"/>
    <w:pPr>
      <w:keepLines/>
      <w:spacing w:before="240" w:after="120" w:line="240" w:lineRule="auto"/>
      <w:ind w:left="794"/>
    </w:pPr>
    <w:rPr>
      <w:b/>
      <w:kern w:val="28"/>
      <w:sz w:val="20"/>
    </w:rPr>
  </w:style>
  <w:style w:type="paragraph" w:customStyle="1" w:styleId="TofSectsHeading">
    <w:name w:val="TofSects(Heading)"/>
    <w:basedOn w:val="OPCParaBase"/>
    <w:rsid w:val="00BF7D68"/>
    <w:pPr>
      <w:spacing w:before="240" w:after="120" w:line="240" w:lineRule="auto"/>
    </w:pPr>
    <w:rPr>
      <w:b/>
      <w:sz w:val="24"/>
    </w:rPr>
  </w:style>
  <w:style w:type="paragraph" w:customStyle="1" w:styleId="TofSectsSection">
    <w:name w:val="TofSects(Section)"/>
    <w:basedOn w:val="OPCParaBase"/>
    <w:rsid w:val="00BF7D68"/>
    <w:pPr>
      <w:keepLines/>
      <w:spacing w:before="40" w:line="240" w:lineRule="auto"/>
      <w:ind w:left="1588" w:hanging="794"/>
    </w:pPr>
    <w:rPr>
      <w:kern w:val="28"/>
      <w:sz w:val="18"/>
    </w:rPr>
  </w:style>
  <w:style w:type="paragraph" w:customStyle="1" w:styleId="TofSectsSubdiv">
    <w:name w:val="TofSects(Subdiv)"/>
    <w:basedOn w:val="OPCParaBase"/>
    <w:rsid w:val="00BF7D68"/>
    <w:pPr>
      <w:keepLines/>
      <w:spacing w:before="80" w:line="240" w:lineRule="auto"/>
      <w:ind w:left="1588" w:hanging="794"/>
    </w:pPr>
    <w:rPr>
      <w:kern w:val="28"/>
    </w:rPr>
  </w:style>
  <w:style w:type="paragraph" w:customStyle="1" w:styleId="WRStyle">
    <w:name w:val="WR Style"/>
    <w:aliases w:val="WR"/>
    <w:basedOn w:val="OPCParaBase"/>
    <w:rsid w:val="00BF7D68"/>
    <w:pPr>
      <w:spacing w:before="240" w:line="240" w:lineRule="auto"/>
      <w:ind w:left="284" w:hanging="284"/>
    </w:pPr>
    <w:rPr>
      <w:b/>
      <w:i/>
      <w:kern w:val="28"/>
      <w:sz w:val="24"/>
    </w:rPr>
  </w:style>
  <w:style w:type="paragraph" w:customStyle="1" w:styleId="notepara">
    <w:name w:val="note(para)"/>
    <w:aliases w:val="na"/>
    <w:basedOn w:val="OPCParaBase"/>
    <w:rsid w:val="00BF7D68"/>
    <w:pPr>
      <w:spacing w:before="40" w:line="198" w:lineRule="exact"/>
      <w:ind w:left="2354" w:hanging="369"/>
    </w:pPr>
    <w:rPr>
      <w:sz w:val="18"/>
    </w:rPr>
  </w:style>
  <w:style w:type="paragraph" w:styleId="Footer">
    <w:name w:val="footer"/>
    <w:link w:val="FooterChar"/>
    <w:rsid w:val="00BF7D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7D68"/>
    <w:rPr>
      <w:rFonts w:eastAsia="Times New Roman" w:cs="Times New Roman"/>
      <w:sz w:val="22"/>
      <w:szCs w:val="24"/>
      <w:lang w:eastAsia="en-AU"/>
    </w:rPr>
  </w:style>
  <w:style w:type="character" w:styleId="LineNumber">
    <w:name w:val="line number"/>
    <w:basedOn w:val="OPCCharBase"/>
    <w:uiPriority w:val="99"/>
    <w:unhideWhenUsed/>
    <w:rsid w:val="00BF7D68"/>
    <w:rPr>
      <w:sz w:val="16"/>
    </w:rPr>
  </w:style>
  <w:style w:type="table" w:customStyle="1" w:styleId="CFlag">
    <w:name w:val="CFlag"/>
    <w:basedOn w:val="TableNormal"/>
    <w:uiPriority w:val="99"/>
    <w:rsid w:val="00BF7D68"/>
    <w:rPr>
      <w:rFonts w:eastAsia="Times New Roman" w:cs="Times New Roman"/>
      <w:lang w:eastAsia="en-AU"/>
    </w:rPr>
    <w:tblPr/>
  </w:style>
  <w:style w:type="paragraph" w:styleId="BalloonText">
    <w:name w:val="Balloon Text"/>
    <w:basedOn w:val="Normal"/>
    <w:link w:val="BalloonTextChar"/>
    <w:uiPriority w:val="99"/>
    <w:unhideWhenUsed/>
    <w:rsid w:val="00BF7D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7D68"/>
    <w:rPr>
      <w:rFonts w:ascii="Tahoma" w:hAnsi="Tahoma" w:cs="Tahoma"/>
      <w:sz w:val="16"/>
      <w:szCs w:val="16"/>
    </w:rPr>
  </w:style>
  <w:style w:type="table" w:styleId="TableGrid">
    <w:name w:val="Table Grid"/>
    <w:basedOn w:val="TableNormal"/>
    <w:uiPriority w:val="59"/>
    <w:rsid w:val="00BF7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7D68"/>
    <w:rPr>
      <w:b/>
      <w:sz w:val="28"/>
      <w:szCs w:val="32"/>
    </w:rPr>
  </w:style>
  <w:style w:type="paragraph" w:customStyle="1" w:styleId="LegislationMadeUnder">
    <w:name w:val="LegislationMadeUnder"/>
    <w:basedOn w:val="OPCParaBase"/>
    <w:next w:val="Normal"/>
    <w:rsid w:val="00BF7D68"/>
    <w:rPr>
      <w:i/>
      <w:sz w:val="32"/>
      <w:szCs w:val="32"/>
    </w:rPr>
  </w:style>
  <w:style w:type="paragraph" w:customStyle="1" w:styleId="SignCoverPageEnd">
    <w:name w:val="SignCoverPageEnd"/>
    <w:basedOn w:val="OPCParaBase"/>
    <w:next w:val="Normal"/>
    <w:rsid w:val="00BF7D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7D68"/>
    <w:pPr>
      <w:pBdr>
        <w:top w:val="single" w:sz="4" w:space="1" w:color="auto"/>
      </w:pBdr>
      <w:spacing w:before="360"/>
      <w:ind w:right="397"/>
      <w:jc w:val="both"/>
    </w:pPr>
  </w:style>
  <w:style w:type="paragraph" w:customStyle="1" w:styleId="NotesHeading1">
    <w:name w:val="NotesHeading 1"/>
    <w:basedOn w:val="OPCParaBase"/>
    <w:next w:val="Normal"/>
    <w:rsid w:val="00BF7D68"/>
    <w:rPr>
      <w:b/>
      <w:sz w:val="28"/>
      <w:szCs w:val="28"/>
    </w:rPr>
  </w:style>
  <w:style w:type="paragraph" w:customStyle="1" w:styleId="NotesHeading2">
    <w:name w:val="NotesHeading 2"/>
    <w:basedOn w:val="OPCParaBase"/>
    <w:next w:val="Normal"/>
    <w:rsid w:val="00BF7D68"/>
    <w:rPr>
      <w:b/>
      <w:sz w:val="28"/>
      <w:szCs w:val="28"/>
    </w:rPr>
  </w:style>
  <w:style w:type="paragraph" w:customStyle="1" w:styleId="ENotesText">
    <w:name w:val="ENotesText"/>
    <w:aliases w:val="Ent"/>
    <w:basedOn w:val="OPCParaBase"/>
    <w:next w:val="Normal"/>
    <w:rsid w:val="00BF7D68"/>
    <w:pPr>
      <w:spacing w:before="120"/>
    </w:pPr>
  </w:style>
  <w:style w:type="paragraph" w:customStyle="1" w:styleId="CompiledActNo">
    <w:name w:val="CompiledActNo"/>
    <w:basedOn w:val="OPCParaBase"/>
    <w:next w:val="Normal"/>
    <w:rsid w:val="00BF7D68"/>
    <w:rPr>
      <w:b/>
      <w:sz w:val="24"/>
      <w:szCs w:val="24"/>
    </w:rPr>
  </w:style>
  <w:style w:type="paragraph" w:customStyle="1" w:styleId="CompiledMadeUnder">
    <w:name w:val="CompiledMadeUnder"/>
    <w:basedOn w:val="OPCParaBase"/>
    <w:next w:val="Normal"/>
    <w:rsid w:val="00BF7D68"/>
    <w:rPr>
      <w:i/>
      <w:sz w:val="24"/>
      <w:szCs w:val="24"/>
    </w:rPr>
  </w:style>
  <w:style w:type="paragraph" w:customStyle="1" w:styleId="Paragraphsub-sub-sub">
    <w:name w:val="Paragraph(sub-sub-sub)"/>
    <w:aliases w:val="aaaa"/>
    <w:basedOn w:val="OPCParaBase"/>
    <w:rsid w:val="00BF7D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7D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7D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7D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7D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F7D68"/>
    <w:pPr>
      <w:spacing w:before="60" w:line="240" w:lineRule="auto"/>
    </w:pPr>
    <w:rPr>
      <w:rFonts w:cs="Arial"/>
      <w:sz w:val="20"/>
      <w:szCs w:val="22"/>
    </w:rPr>
  </w:style>
  <w:style w:type="paragraph" w:customStyle="1" w:styleId="NoteToSubpara">
    <w:name w:val="NoteToSubpara"/>
    <w:aliases w:val="nts"/>
    <w:basedOn w:val="OPCParaBase"/>
    <w:rsid w:val="00BF7D68"/>
    <w:pPr>
      <w:spacing w:before="40" w:line="198" w:lineRule="exact"/>
      <w:ind w:left="2835" w:hanging="709"/>
    </w:pPr>
    <w:rPr>
      <w:sz w:val="18"/>
    </w:rPr>
  </w:style>
  <w:style w:type="paragraph" w:customStyle="1" w:styleId="ENoteTableHeading">
    <w:name w:val="ENoteTableHeading"/>
    <w:aliases w:val="enth"/>
    <w:basedOn w:val="OPCParaBase"/>
    <w:rsid w:val="00BF7D68"/>
    <w:pPr>
      <w:keepNext/>
      <w:spacing w:before="60" w:line="240" w:lineRule="atLeast"/>
    </w:pPr>
    <w:rPr>
      <w:rFonts w:ascii="Arial" w:hAnsi="Arial"/>
      <w:b/>
      <w:sz w:val="16"/>
    </w:rPr>
  </w:style>
  <w:style w:type="paragraph" w:customStyle="1" w:styleId="ENoteTTi">
    <w:name w:val="ENoteTTi"/>
    <w:aliases w:val="entti"/>
    <w:basedOn w:val="OPCParaBase"/>
    <w:rsid w:val="00BF7D68"/>
    <w:pPr>
      <w:keepNext/>
      <w:spacing w:before="60" w:line="240" w:lineRule="atLeast"/>
      <w:ind w:left="170"/>
    </w:pPr>
    <w:rPr>
      <w:sz w:val="16"/>
    </w:rPr>
  </w:style>
  <w:style w:type="paragraph" w:customStyle="1" w:styleId="ENotesHeading1">
    <w:name w:val="ENotesHeading 1"/>
    <w:aliases w:val="Enh1"/>
    <w:basedOn w:val="OPCParaBase"/>
    <w:next w:val="Normal"/>
    <w:rsid w:val="00BF7D68"/>
    <w:pPr>
      <w:spacing w:before="120"/>
      <w:outlineLvl w:val="1"/>
    </w:pPr>
    <w:rPr>
      <w:b/>
      <w:sz w:val="28"/>
      <w:szCs w:val="28"/>
    </w:rPr>
  </w:style>
  <w:style w:type="paragraph" w:customStyle="1" w:styleId="ENotesHeading2">
    <w:name w:val="ENotesHeading 2"/>
    <w:aliases w:val="Enh2"/>
    <w:basedOn w:val="OPCParaBase"/>
    <w:next w:val="Normal"/>
    <w:rsid w:val="00BF7D68"/>
    <w:pPr>
      <w:spacing w:before="120" w:after="120"/>
      <w:outlineLvl w:val="2"/>
    </w:pPr>
    <w:rPr>
      <w:b/>
      <w:sz w:val="24"/>
      <w:szCs w:val="28"/>
    </w:rPr>
  </w:style>
  <w:style w:type="paragraph" w:customStyle="1" w:styleId="ENoteTTIndentHeading">
    <w:name w:val="ENoteTTIndentHeading"/>
    <w:aliases w:val="enTTHi"/>
    <w:basedOn w:val="OPCParaBase"/>
    <w:rsid w:val="00BF7D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7D68"/>
    <w:pPr>
      <w:spacing w:before="60" w:line="240" w:lineRule="atLeast"/>
    </w:pPr>
    <w:rPr>
      <w:sz w:val="16"/>
    </w:rPr>
  </w:style>
  <w:style w:type="paragraph" w:customStyle="1" w:styleId="MadeunderText">
    <w:name w:val="MadeunderText"/>
    <w:basedOn w:val="OPCParaBase"/>
    <w:next w:val="Normal"/>
    <w:rsid w:val="00BF7D68"/>
    <w:pPr>
      <w:spacing w:before="240"/>
    </w:pPr>
    <w:rPr>
      <w:sz w:val="24"/>
      <w:szCs w:val="24"/>
    </w:rPr>
  </w:style>
  <w:style w:type="paragraph" w:customStyle="1" w:styleId="ENotesHeading3">
    <w:name w:val="ENotesHeading 3"/>
    <w:aliases w:val="Enh3"/>
    <w:basedOn w:val="OPCParaBase"/>
    <w:next w:val="Normal"/>
    <w:rsid w:val="00BF7D68"/>
    <w:pPr>
      <w:keepNext/>
      <w:spacing w:before="120" w:line="240" w:lineRule="auto"/>
      <w:outlineLvl w:val="4"/>
    </w:pPr>
    <w:rPr>
      <w:b/>
      <w:szCs w:val="24"/>
    </w:rPr>
  </w:style>
  <w:style w:type="character" w:customStyle="1" w:styleId="CharSubPartTextCASA">
    <w:name w:val="CharSubPartText(CASA)"/>
    <w:basedOn w:val="OPCCharBase"/>
    <w:uiPriority w:val="1"/>
    <w:rsid w:val="00BF7D68"/>
  </w:style>
  <w:style w:type="character" w:customStyle="1" w:styleId="CharSubPartNoCASA">
    <w:name w:val="CharSubPartNo(CASA)"/>
    <w:basedOn w:val="OPCCharBase"/>
    <w:uiPriority w:val="1"/>
    <w:rsid w:val="00BF7D68"/>
  </w:style>
  <w:style w:type="paragraph" w:customStyle="1" w:styleId="ENoteTTIndentHeadingSub">
    <w:name w:val="ENoteTTIndentHeadingSub"/>
    <w:aliases w:val="enTTHis"/>
    <w:basedOn w:val="OPCParaBase"/>
    <w:rsid w:val="00BF7D68"/>
    <w:pPr>
      <w:keepNext/>
      <w:spacing w:before="60" w:line="240" w:lineRule="atLeast"/>
      <w:ind w:left="340"/>
    </w:pPr>
    <w:rPr>
      <w:b/>
      <w:sz w:val="16"/>
    </w:rPr>
  </w:style>
  <w:style w:type="paragraph" w:customStyle="1" w:styleId="ENoteTTiSub">
    <w:name w:val="ENoteTTiSub"/>
    <w:aliases w:val="enttis"/>
    <w:basedOn w:val="OPCParaBase"/>
    <w:rsid w:val="00BF7D68"/>
    <w:pPr>
      <w:keepNext/>
      <w:spacing w:before="60" w:line="240" w:lineRule="atLeast"/>
      <w:ind w:left="340"/>
    </w:pPr>
    <w:rPr>
      <w:sz w:val="16"/>
    </w:rPr>
  </w:style>
  <w:style w:type="paragraph" w:customStyle="1" w:styleId="SubDivisionMigration">
    <w:name w:val="SubDivisionMigration"/>
    <w:aliases w:val="sdm"/>
    <w:basedOn w:val="OPCParaBase"/>
    <w:rsid w:val="00BF7D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7D6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F7D6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F7D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7D68"/>
    <w:rPr>
      <w:sz w:val="22"/>
    </w:rPr>
  </w:style>
  <w:style w:type="paragraph" w:customStyle="1" w:styleId="SOTextNote">
    <w:name w:val="SO TextNote"/>
    <w:aliases w:val="sont"/>
    <w:basedOn w:val="SOText"/>
    <w:qFormat/>
    <w:rsid w:val="00BF7D68"/>
    <w:pPr>
      <w:spacing w:before="122" w:line="198" w:lineRule="exact"/>
      <w:ind w:left="1843" w:hanging="709"/>
    </w:pPr>
    <w:rPr>
      <w:sz w:val="18"/>
    </w:rPr>
  </w:style>
  <w:style w:type="paragraph" w:customStyle="1" w:styleId="SOPara">
    <w:name w:val="SO Para"/>
    <w:aliases w:val="soa"/>
    <w:basedOn w:val="SOText"/>
    <w:link w:val="SOParaChar"/>
    <w:qFormat/>
    <w:rsid w:val="00BF7D68"/>
    <w:pPr>
      <w:tabs>
        <w:tab w:val="right" w:pos="1786"/>
      </w:tabs>
      <w:spacing w:before="40"/>
      <w:ind w:left="2070" w:hanging="936"/>
    </w:pPr>
  </w:style>
  <w:style w:type="character" w:customStyle="1" w:styleId="SOParaChar">
    <w:name w:val="SO Para Char"/>
    <w:aliases w:val="soa Char"/>
    <w:basedOn w:val="DefaultParagraphFont"/>
    <w:link w:val="SOPara"/>
    <w:rsid w:val="00BF7D68"/>
    <w:rPr>
      <w:sz w:val="22"/>
    </w:rPr>
  </w:style>
  <w:style w:type="paragraph" w:customStyle="1" w:styleId="FileName">
    <w:name w:val="FileName"/>
    <w:basedOn w:val="Normal"/>
    <w:rsid w:val="00BF7D68"/>
  </w:style>
  <w:style w:type="paragraph" w:customStyle="1" w:styleId="TableHeading">
    <w:name w:val="TableHeading"/>
    <w:aliases w:val="th"/>
    <w:basedOn w:val="OPCParaBase"/>
    <w:next w:val="Tabletext"/>
    <w:rsid w:val="00BF7D68"/>
    <w:pPr>
      <w:keepNext/>
      <w:spacing w:before="60" w:line="240" w:lineRule="atLeast"/>
    </w:pPr>
    <w:rPr>
      <w:b/>
      <w:sz w:val="20"/>
    </w:rPr>
  </w:style>
  <w:style w:type="paragraph" w:customStyle="1" w:styleId="SOHeadBold">
    <w:name w:val="SO HeadBold"/>
    <w:aliases w:val="sohb"/>
    <w:basedOn w:val="SOText"/>
    <w:next w:val="SOText"/>
    <w:link w:val="SOHeadBoldChar"/>
    <w:qFormat/>
    <w:rsid w:val="00BF7D68"/>
    <w:rPr>
      <w:b/>
    </w:rPr>
  </w:style>
  <w:style w:type="character" w:customStyle="1" w:styleId="SOHeadBoldChar">
    <w:name w:val="SO HeadBold Char"/>
    <w:aliases w:val="sohb Char"/>
    <w:basedOn w:val="DefaultParagraphFont"/>
    <w:link w:val="SOHeadBold"/>
    <w:rsid w:val="00BF7D68"/>
    <w:rPr>
      <w:b/>
      <w:sz w:val="22"/>
    </w:rPr>
  </w:style>
  <w:style w:type="paragraph" w:customStyle="1" w:styleId="SOHeadItalic">
    <w:name w:val="SO HeadItalic"/>
    <w:aliases w:val="sohi"/>
    <w:basedOn w:val="SOText"/>
    <w:next w:val="SOText"/>
    <w:link w:val="SOHeadItalicChar"/>
    <w:qFormat/>
    <w:rsid w:val="00BF7D68"/>
    <w:rPr>
      <w:i/>
    </w:rPr>
  </w:style>
  <w:style w:type="character" w:customStyle="1" w:styleId="SOHeadItalicChar">
    <w:name w:val="SO HeadItalic Char"/>
    <w:aliases w:val="sohi Char"/>
    <w:basedOn w:val="DefaultParagraphFont"/>
    <w:link w:val="SOHeadItalic"/>
    <w:rsid w:val="00BF7D68"/>
    <w:rPr>
      <w:i/>
      <w:sz w:val="22"/>
    </w:rPr>
  </w:style>
  <w:style w:type="paragraph" w:customStyle="1" w:styleId="SOBullet">
    <w:name w:val="SO Bullet"/>
    <w:aliases w:val="sotb"/>
    <w:basedOn w:val="SOText"/>
    <w:link w:val="SOBulletChar"/>
    <w:qFormat/>
    <w:rsid w:val="00BF7D68"/>
    <w:pPr>
      <w:ind w:left="1559" w:hanging="425"/>
    </w:pPr>
  </w:style>
  <w:style w:type="character" w:customStyle="1" w:styleId="SOBulletChar">
    <w:name w:val="SO Bullet Char"/>
    <w:aliases w:val="sotb Char"/>
    <w:basedOn w:val="DefaultParagraphFont"/>
    <w:link w:val="SOBullet"/>
    <w:rsid w:val="00BF7D68"/>
    <w:rPr>
      <w:sz w:val="22"/>
    </w:rPr>
  </w:style>
  <w:style w:type="paragraph" w:customStyle="1" w:styleId="SOBulletNote">
    <w:name w:val="SO BulletNote"/>
    <w:aliases w:val="sonb"/>
    <w:basedOn w:val="SOTextNote"/>
    <w:link w:val="SOBulletNoteChar"/>
    <w:qFormat/>
    <w:rsid w:val="00BF7D68"/>
    <w:pPr>
      <w:tabs>
        <w:tab w:val="left" w:pos="1560"/>
      </w:tabs>
      <w:ind w:left="2268" w:hanging="1134"/>
    </w:pPr>
  </w:style>
  <w:style w:type="character" w:customStyle="1" w:styleId="SOBulletNoteChar">
    <w:name w:val="SO BulletNote Char"/>
    <w:aliases w:val="sonb Char"/>
    <w:basedOn w:val="DefaultParagraphFont"/>
    <w:link w:val="SOBulletNote"/>
    <w:rsid w:val="00BF7D68"/>
    <w:rPr>
      <w:sz w:val="18"/>
    </w:rPr>
  </w:style>
  <w:style w:type="paragraph" w:customStyle="1" w:styleId="SOText2">
    <w:name w:val="SO Text2"/>
    <w:aliases w:val="sot2"/>
    <w:basedOn w:val="Normal"/>
    <w:next w:val="SOText"/>
    <w:link w:val="SOText2Char"/>
    <w:rsid w:val="00BF7D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7D68"/>
    <w:rPr>
      <w:sz w:val="22"/>
    </w:rPr>
  </w:style>
  <w:style w:type="paragraph" w:customStyle="1" w:styleId="SubPartCASA">
    <w:name w:val="SubPart(CASA)"/>
    <w:aliases w:val="csp"/>
    <w:basedOn w:val="OPCParaBase"/>
    <w:next w:val="ActHead3"/>
    <w:rsid w:val="00BF7D6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F7D68"/>
    <w:rPr>
      <w:rFonts w:eastAsia="Times New Roman" w:cs="Times New Roman"/>
      <w:sz w:val="22"/>
      <w:lang w:eastAsia="en-AU"/>
    </w:rPr>
  </w:style>
  <w:style w:type="character" w:customStyle="1" w:styleId="notetextChar">
    <w:name w:val="note(text) Char"/>
    <w:aliases w:val="n Char"/>
    <w:basedOn w:val="DefaultParagraphFont"/>
    <w:link w:val="notetext"/>
    <w:rsid w:val="00BF7D68"/>
    <w:rPr>
      <w:rFonts w:eastAsia="Times New Roman" w:cs="Times New Roman"/>
      <w:sz w:val="18"/>
      <w:lang w:eastAsia="en-AU"/>
    </w:rPr>
  </w:style>
  <w:style w:type="character" w:customStyle="1" w:styleId="Heading1Char">
    <w:name w:val="Heading 1 Char"/>
    <w:basedOn w:val="DefaultParagraphFont"/>
    <w:link w:val="Heading1"/>
    <w:uiPriority w:val="9"/>
    <w:rsid w:val="00BF7D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7D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7D6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F7D6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F7D6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F7D6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F7D6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F7D6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F7D6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F7D68"/>
  </w:style>
  <w:style w:type="character" w:customStyle="1" w:styleId="charlegsubtitle1">
    <w:name w:val="charlegsubtitle1"/>
    <w:basedOn w:val="DefaultParagraphFont"/>
    <w:rsid w:val="00BF7D68"/>
    <w:rPr>
      <w:rFonts w:ascii="Arial" w:hAnsi="Arial" w:cs="Arial" w:hint="default"/>
      <w:b/>
      <w:bCs/>
      <w:sz w:val="28"/>
      <w:szCs w:val="28"/>
    </w:rPr>
  </w:style>
  <w:style w:type="paragraph" w:styleId="Index1">
    <w:name w:val="index 1"/>
    <w:basedOn w:val="Normal"/>
    <w:next w:val="Normal"/>
    <w:autoRedefine/>
    <w:rsid w:val="00BF7D68"/>
    <w:pPr>
      <w:ind w:left="240" w:hanging="240"/>
    </w:pPr>
  </w:style>
  <w:style w:type="paragraph" w:styleId="Index2">
    <w:name w:val="index 2"/>
    <w:basedOn w:val="Normal"/>
    <w:next w:val="Normal"/>
    <w:autoRedefine/>
    <w:rsid w:val="00BF7D68"/>
    <w:pPr>
      <w:ind w:left="480" w:hanging="240"/>
    </w:pPr>
  </w:style>
  <w:style w:type="paragraph" w:styleId="Index3">
    <w:name w:val="index 3"/>
    <w:basedOn w:val="Normal"/>
    <w:next w:val="Normal"/>
    <w:autoRedefine/>
    <w:rsid w:val="00BF7D68"/>
    <w:pPr>
      <w:ind w:left="720" w:hanging="240"/>
    </w:pPr>
  </w:style>
  <w:style w:type="paragraph" w:styleId="Index4">
    <w:name w:val="index 4"/>
    <w:basedOn w:val="Normal"/>
    <w:next w:val="Normal"/>
    <w:autoRedefine/>
    <w:rsid w:val="00BF7D68"/>
    <w:pPr>
      <w:ind w:left="960" w:hanging="240"/>
    </w:pPr>
  </w:style>
  <w:style w:type="paragraph" w:styleId="Index5">
    <w:name w:val="index 5"/>
    <w:basedOn w:val="Normal"/>
    <w:next w:val="Normal"/>
    <w:autoRedefine/>
    <w:rsid w:val="00BF7D68"/>
    <w:pPr>
      <w:ind w:left="1200" w:hanging="240"/>
    </w:pPr>
  </w:style>
  <w:style w:type="paragraph" w:styleId="Index6">
    <w:name w:val="index 6"/>
    <w:basedOn w:val="Normal"/>
    <w:next w:val="Normal"/>
    <w:autoRedefine/>
    <w:rsid w:val="00BF7D68"/>
    <w:pPr>
      <w:ind w:left="1440" w:hanging="240"/>
    </w:pPr>
  </w:style>
  <w:style w:type="paragraph" w:styleId="Index7">
    <w:name w:val="index 7"/>
    <w:basedOn w:val="Normal"/>
    <w:next w:val="Normal"/>
    <w:autoRedefine/>
    <w:rsid w:val="00BF7D68"/>
    <w:pPr>
      <w:ind w:left="1680" w:hanging="240"/>
    </w:pPr>
  </w:style>
  <w:style w:type="paragraph" w:styleId="Index8">
    <w:name w:val="index 8"/>
    <w:basedOn w:val="Normal"/>
    <w:next w:val="Normal"/>
    <w:autoRedefine/>
    <w:rsid w:val="00BF7D68"/>
    <w:pPr>
      <w:ind w:left="1920" w:hanging="240"/>
    </w:pPr>
  </w:style>
  <w:style w:type="paragraph" w:styleId="Index9">
    <w:name w:val="index 9"/>
    <w:basedOn w:val="Normal"/>
    <w:next w:val="Normal"/>
    <w:autoRedefine/>
    <w:rsid w:val="00BF7D68"/>
    <w:pPr>
      <w:ind w:left="2160" w:hanging="240"/>
    </w:pPr>
  </w:style>
  <w:style w:type="paragraph" w:styleId="NormalIndent">
    <w:name w:val="Normal Indent"/>
    <w:basedOn w:val="Normal"/>
    <w:rsid w:val="00BF7D68"/>
    <w:pPr>
      <w:ind w:left="720"/>
    </w:pPr>
  </w:style>
  <w:style w:type="paragraph" w:styleId="FootnoteText">
    <w:name w:val="footnote text"/>
    <w:basedOn w:val="Normal"/>
    <w:link w:val="FootnoteTextChar"/>
    <w:rsid w:val="00BF7D68"/>
    <w:rPr>
      <w:sz w:val="20"/>
    </w:rPr>
  </w:style>
  <w:style w:type="character" w:customStyle="1" w:styleId="FootnoteTextChar">
    <w:name w:val="Footnote Text Char"/>
    <w:basedOn w:val="DefaultParagraphFont"/>
    <w:link w:val="FootnoteText"/>
    <w:rsid w:val="00BF7D68"/>
  </w:style>
  <w:style w:type="paragraph" w:styleId="CommentText">
    <w:name w:val="annotation text"/>
    <w:basedOn w:val="Normal"/>
    <w:link w:val="CommentTextChar"/>
    <w:rsid w:val="00BF7D68"/>
    <w:rPr>
      <w:sz w:val="20"/>
    </w:rPr>
  </w:style>
  <w:style w:type="character" w:customStyle="1" w:styleId="CommentTextChar">
    <w:name w:val="Comment Text Char"/>
    <w:basedOn w:val="DefaultParagraphFont"/>
    <w:link w:val="CommentText"/>
    <w:rsid w:val="00BF7D68"/>
  </w:style>
  <w:style w:type="paragraph" w:styleId="IndexHeading">
    <w:name w:val="index heading"/>
    <w:basedOn w:val="Normal"/>
    <w:next w:val="Index1"/>
    <w:rsid w:val="00BF7D68"/>
    <w:rPr>
      <w:rFonts w:ascii="Arial" w:hAnsi="Arial" w:cs="Arial"/>
      <w:b/>
      <w:bCs/>
    </w:rPr>
  </w:style>
  <w:style w:type="paragraph" w:styleId="Caption">
    <w:name w:val="caption"/>
    <w:basedOn w:val="Normal"/>
    <w:next w:val="Normal"/>
    <w:qFormat/>
    <w:rsid w:val="00BF7D68"/>
    <w:pPr>
      <w:spacing w:before="120" w:after="120"/>
    </w:pPr>
    <w:rPr>
      <w:b/>
      <w:bCs/>
      <w:sz w:val="20"/>
    </w:rPr>
  </w:style>
  <w:style w:type="paragraph" w:styleId="TableofFigures">
    <w:name w:val="table of figures"/>
    <w:basedOn w:val="Normal"/>
    <w:next w:val="Normal"/>
    <w:rsid w:val="00BF7D68"/>
    <w:pPr>
      <w:ind w:left="480" w:hanging="480"/>
    </w:pPr>
  </w:style>
  <w:style w:type="paragraph" w:styleId="EnvelopeAddress">
    <w:name w:val="envelope address"/>
    <w:basedOn w:val="Normal"/>
    <w:rsid w:val="00BF7D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7D68"/>
    <w:rPr>
      <w:rFonts w:ascii="Arial" w:hAnsi="Arial" w:cs="Arial"/>
      <w:sz w:val="20"/>
    </w:rPr>
  </w:style>
  <w:style w:type="character" w:styleId="FootnoteReference">
    <w:name w:val="footnote reference"/>
    <w:basedOn w:val="DefaultParagraphFont"/>
    <w:rsid w:val="00BF7D68"/>
    <w:rPr>
      <w:rFonts w:ascii="Times New Roman" w:hAnsi="Times New Roman"/>
      <w:sz w:val="20"/>
      <w:vertAlign w:val="superscript"/>
    </w:rPr>
  </w:style>
  <w:style w:type="character" w:styleId="CommentReference">
    <w:name w:val="annotation reference"/>
    <w:basedOn w:val="DefaultParagraphFont"/>
    <w:rsid w:val="00BF7D68"/>
    <w:rPr>
      <w:sz w:val="16"/>
      <w:szCs w:val="16"/>
    </w:rPr>
  </w:style>
  <w:style w:type="character" w:styleId="PageNumber">
    <w:name w:val="page number"/>
    <w:basedOn w:val="DefaultParagraphFont"/>
    <w:rsid w:val="00BF7D68"/>
  </w:style>
  <w:style w:type="character" w:styleId="EndnoteReference">
    <w:name w:val="endnote reference"/>
    <w:basedOn w:val="DefaultParagraphFont"/>
    <w:rsid w:val="00BF7D68"/>
    <w:rPr>
      <w:vertAlign w:val="superscript"/>
    </w:rPr>
  </w:style>
  <w:style w:type="paragraph" w:styleId="EndnoteText">
    <w:name w:val="endnote text"/>
    <w:basedOn w:val="Normal"/>
    <w:link w:val="EndnoteTextChar"/>
    <w:rsid w:val="00BF7D68"/>
    <w:rPr>
      <w:sz w:val="20"/>
    </w:rPr>
  </w:style>
  <w:style w:type="character" w:customStyle="1" w:styleId="EndnoteTextChar">
    <w:name w:val="Endnote Text Char"/>
    <w:basedOn w:val="DefaultParagraphFont"/>
    <w:link w:val="EndnoteText"/>
    <w:rsid w:val="00BF7D68"/>
  </w:style>
  <w:style w:type="paragraph" w:styleId="TableofAuthorities">
    <w:name w:val="table of authorities"/>
    <w:basedOn w:val="Normal"/>
    <w:next w:val="Normal"/>
    <w:rsid w:val="00BF7D68"/>
    <w:pPr>
      <w:ind w:left="240" w:hanging="240"/>
    </w:pPr>
  </w:style>
  <w:style w:type="paragraph" w:styleId="MacroText">
    <w:name w:val="macro"/>
    <w:link w:val="MacroTextChar"/>
    <w:rsid w:val="00BF7D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F7D68"/>
    <w:rPr>
      <w:rFonts w:ascii="Courier New" w:eastAsia="Times New Roman" w:hAnsi="Courier New" w:cs="Courier New"/>
      <w:lang w:eastAsia="en-AU"/>
    </w:rPr>
  </w:style>
  <w:style w:type="paragraph" w:styleId="TOAHeading">
    <w:name w:val="toa heading"/>
    <w:basedOn w:val="Normal"/>
    <w:next w:val="Normal"/>
    <w:rsid w:val="00BF7D68"/>
    <w:pPr>
      <w:spacing w:before="120"/>
    </w:pPr>
    <w:rPr>
      <w:rFonts w:ascii="Arial" w:hAnsi="Arial" w:cs="Arial"/>
      <w:b/>
      <w:bCs/>
    </w:rPr>
  </w:style>
  <w:style w:type="paragraph" w:styleId="List">
    <w:name w:val="List"/>
    <w:basedOn w:val="Normal"/>
    <w:rsid w:val="00BF7D68"/>
    <w:pPr>
      <w:ind w:left="283" w:hanging="283"/>
    </w:pPr>
  </w:style>
  <w:style w:type="paragraph" w:styleId="ListBullet">
    <w:name w:val="List Bullet"/>
    <w:basedOn w:val="Normal"/>
    <w:autoRedefine/>
    <w:rsid w:val="00BF7D68"/>
    <w:pPr>
      <w:tabs>
        <w:tab w:val="num" w:pos="360"/>
      </w:tabs>
      <w:ind w:left="360" w:hanging="360"/>
    </w:pPr>
  </w:style>
  <w:style w:type="paragraph" w:styleId="ListNumber">
    <w:name w:val="List Number"/>
    <w:basedOn w:val="Normal"/>
    <w:rsid w:val="00BF7D68"/>
    <w:pPr>
      <w:tabs>
        <w:tab w:val="num" w:pos="360"/>
      </w:tabs>
      <w:ind w:left="360" w:hanging="360"/>
    </w:pPr>
  </w:style>
  <w:style w:type="paragraph" w:styleId="List2">
    <w:name w:val="List 2"/>
    <w:basedOn w:val="Normal"/>
    <w:rsid w:val="00BF7D68"/>
    <w:pPr>
      <w:ind w:left="566" w:hanging="283"/>
    </w:pPr>
  </w:style>
  <w:style w:type="paragraph" w:styleId="List3">
    <w:name w:val="List 3"/>
    <w:basedOn w:val="Normal"/>
    <w:rsid w:val="00BF7D68"/>
    <w:pPr>
      <w:ind w:left="849" w:hanging="283"/>
    </w:pPr>
  </w:style>
  <w:style w:type="paragraph" w:styleId="List4">
    <w:name w:val="List 4"/>
    <w:basedOn w:val="Normal"/>
    <w:rsid w:val="00BF7D68"/>
    <w:pPr>
      <w:ind w:left="1132" w:hanging="283"/>
    </w:pPr>
  </w:style>
  <w:style w:type="paragraph" w:styleId="List5">
    <w:name w:val="List 5"/>
    <w:basedOn w:val="Normal"/>
    <w:rsid w:val="00BF7D68"/>
    <w:pPr>
      <w:ind w:left="1415" w:hanging="283"/>
    </w:pPr>
  </w:style>
  <w:style w:type="paragraph" w:styleId="ListBullet2">
    <w:name w:val="List Bullet 2"/>
    <w:basedOn w:val="Normal"/>
    <w:autoRedefine/>
    <w:rsid w:val="00BF7D68"/>
    <w:pPr>
      <w:tabs>
        <w:tab w:val="num" w:pos="360"/>
      </w:tabs>
    </w:pPr>
  </w:style>
  <w:style w:type="paragraph" w:styleId="ListBullet3">
    <w:name w:val="List Bullet 3"/>
    <w:basedOn w:val="Normal"/>
    <w:autoRedefine/>
    <w:rsid w:val="00BF7D68"/>
    <w:pPr>
      <w:tabs>
        <w:tab w:val="num" w:pos="926"/>
      </w:tabs>
      <w:ind w:left="926" w:hanging="360"/>
    </w:pPr>
  </w:style>
  <w:style w:type="paragraph" w:styleId="ListBullet4">
    <w:name w:val="List Bullet 4"/>
    <w:basedOn w:val="Normal"/>
    <w:autoRedefine/>
    <w:rsid w:val="00BF7D68"/>
    <w:pPr>
      <w:tabs>
        <w:tab w:val="num" w:pos="1209"/>
      </w:tabs>
      <w:ind w:left="1209" w:hanging="360"/>
    </w:pPr>
  </w:style>
  <w:style w:type="paragraph" w:styleId="ListBullet5">
    <w:name w:val="List Bullet 5"/>
    <w:basedOn w:val="Normal"/>
    <w:autoRedefine/>
    <w:rsid w:val="00BF7D68"/>
    <w:pPr>
      <w:tabs>
        <w:tab w:val="num" w:pos="1492"/>
      </w:tabs>
      <w:ind w:left="1492" w:hanging="360"/>
    </w:pPr>
  </w:style>
  <w:style w:type="paragraph" w:styleId="ListNumber2">
    <w:name w:val="List Number 2"/>
    <w:basedOn w:val="Normal"/>
    <w:rsid w:val="00BF7D68"/>
    <w:pPr>
      <w:tabs>
        <w:tab w:val="num" w:pos="643"/>
      </w:tabs>
      <w:ind w:left="643" w:hanging="360"/>
    </w:pPr>
  </w:style>
  <w:style w:type="paragraph" w:styleId="ListNumber3">
    <w:name w:val="List Number 3"/>
    <w:basedOn w:val="Normal"/>
    <w:rsid w:val="00BF7D68"/>
    <w:pPr>
      <w:tabs>
        <w:tab w:val="num" w:pos="926"/>
      </w:tabs>
      <w:ind w:left="926" w:hanging="360"/>
    </w:pPr>
  </w:style>
  <w:style w:type="paragraph" w:styleId="ListNumber4">
    <w:name w:val="List Number 4"/>
    <w:basedOn w:val="Normal"/>
    <w:rsid w:val="00BF7D68"/>
    <w:pPr>
      <w:tabs>
        <w:tab w:val="num" w:pos="1209"/>
      </w:tabs>
      <w:ind w:left="1209" w:hanging="360"/>
    </w:pPr>
  </w:style>
  <w:style w:type="paragraph" w:styleId="ListNumber5">
    <w:name w:val="List Number 5"/>
    <w:basedOn w:val="Normal"/>
    <w:rsid w:val="00BF7D68"/>
    <w:pPr>
      <w:tabs>
        <w:tab w:val="num" w:pos="1492"/>
      </w:tabs>
      <w:ind w:left="1492" w:hanging="360"/>
    </w:pPr>
  </w:style>
  <w:style w:type="paragraph" w:styleId="Title">
    <w:name w:val="Title"/>
    <w:basedOn w:val="Normal"/>
    <w:link w:val="TitleChar"/>
    <w:qFormat/>
    <w:rsid w:val="00BF7D68"/>
    <w:pPr>
      <w:spacing w:before="240" w:after="60"/>
    </w:pPr>
    <w:rPr>
      <w:rFonts w:ascii="Arial" w:hAnsi="Arial" w:cs="Arial"/>
      <w:b/>
      <w:bCs/>
      <w:sz w:val="40"/>
      <w:szCs w:val="40"/>
    </w:rPr>
  </w:style>
  <w:style w:type="character" w:customStyle="1" w:styleId="TitleChar">
    <w:name w:val="Title Char"/>
    <w:basedOn w:val="DefaultParagraphFont"/>
    <w:link w:val="Title"/>
    <w:rsid w:val="00BF7D68"/>
    <w:rPr>
      <w:rFonts w:ascii="Arial" w:hAnsi="Arial" w:cs="Arial"/>
      <w:b/>
      <w:bCs/>
      <w:sz w:val="40"/>
      <w:szCs w:val="40"/>
    </w:rPr>
  </w:style>
  <w:style w:type="paragraph" w:styleId="Closing">
    <w:name w:val="Closing"/>
    <w:basedOn w:val="Normal"/>
    <w:link w:val="ClosingChar"/>
    <w:rsid w:val="00BF7D68"/>
    <w:pPr>
      <w:ind w:left="4252"/>
    </w:pPr>
  </w:style>
  <w:style w:type="character" w:customStyle="1" w:styleId="ClosingChar">
    <w:name w:val="Closing Char"/>
    <w:basedOn w:val="DefaultParagraphFont"/>
    <w:link w:val="Closing"/>
    <w:rsid w:val="00BF7D68"/>
    <w:rPr>
      <w:sz w:val="22"/>
    </w:rPr>
  </w:style>
  <w:style w:type="paragraph" w:styleId="Signature">
    <w:name w:val="Signature"/>
    <w:basedOn w:val="Normal"/>
    <w:link w:val="SignatureChar"/>
    <w:rsid w:val="00BF7D68"/>
    <w:pPr>
      <w:ind w:left="4252"/>
    </w:pPr>
  </w:style>
  <w:style w:type="character" w:customStyle="1" w:styleId="SignatureChar">
    <w:name w:val="Signature Char"/>
    <w:basedOn w:val="DefaultParagraphFont"/>
    <w:link w:val="Signature"/>
    <w:rsid w:val="00BF7D68"/>
    <w:rPr>
      <w:sz w:val="22"/>
    </w:rPr>
  </w:style>
  <w:style w:type="paragraph" w:styleId="BodyText">
    <w:name w:val="Body Text"/>
    <w:basedOn w:val="Normal"/>
    <w:link w:val="BodyTextChar"/>
    <w:rsid w:val="00BF7D68"/>
    <w:pPr>
      <w:spacing w:after="120"/>
    </w:pPr>
  </w:style>
  <w:style w:type="character" w:customStyle="1" w:styleId="BodyTextChar">
    <w:name w:val="Body Text Char"/>
    <w:basedOn w:val="DefaultParagraphFont"/>
    <w:link w:val="BodyText"/>
    <w:rsid w:val="00BF7D68"/>
    <w:rPr>
      <w:sz w:val="22"/>
    </w:rPr>
  </w:style>
  <w:style w:type="paragraph" w:styleId="BodyTextIndent">
    <w:name w:val="Body Text Indent"/>
    <w:basedOn w:val="Normal"/>
    <w:link w:val="BodyTextIndentChar"/>
    <w:rsid w:val="00BF7D68"/>
    <w:pPr>
      <w:spacing w:after="120"/>
      <w:ind w:left="283"/>
    </w:pPr>
  </w:style>
  <w:style w:type="character" w:customStyle="1" w:styleId="BodyTextIndentChar">
    <w:name w:val="Body Text Indent Char"/>
    <w:basedOn w:val="DefaultParagraphFont"/>
    <w:link w:val="BodyTextIndent"/>
    <w:rsid w:val="00BF7D68"/>
    <w:rPr>
      <w:sz w:val="22"/>
    </w:rPr>
  </w:style>
  <w:style w:type="paragraph" w:styleId="ListContinue">
    <w:name w:val="List Continue"/>
    <w:basedOn w:val="Normal"/>
    <w:rsid w:val="00BF7D68"/>
    <w:pPr>
      <w:spacing w:after="120"/>
      <w:ind w:left="283"/>
    </w:pPr>
  </w:style>
  <w:style w:type="paragraph" w:styleId="ListContinue2">
    <w:name w:val="List Continue 2"/>
    <w:basedOn w:val="Normal"/>
    <w:rsid w:val="00BF7D68"/>
    <w:pPr>
      <w:spacing w:after="120"/>
      <w:ind w:left="566"/>
    </w:pPr>
  </w:style>
  <w:style w:type="paragraph" w:styleId="ListContinue3">
    <w:name w:val="List Continue 3"/>
    <w:basedOn w:val="Normal"/>
    <w:rsid w:val="00BF7D68"/>
    <w:pPr>
      <w:spacing w:after="120"/>
      <w:ind w:left="849"/>
    </w:pPr>
  </w:style>
  <w:style w:type="paragraph" w:styleId="ListContinue4">
    <w:name w:val="List Continue 4"/>
    <w:basedOn w:val="Normal"/>
    <w:rsid w:val="00BF7D68"/>
    <w:pPr>
      <w:spacing w:after="120"/>
      <w:ind w:left="1132"/>
    </w:pPr>
  </w:style>
  <w:style w:type="paragraph" w:styleId="ListContinue5">
    <w:name w:val="List Continue 5"/>
    <w:basedOn w:val="Normal"/>
    <w:rsid w:val="00BF7D68"/>
    <w:pPr>
      <w:spacing w:after="120"/>
      <w:ind w:left="1415"/>
    </w:pPr>
  </w:style>
  <w:style w:type="paragraph" w:styleId="MessageHeader">
    <w:name w:val="Message Header"/>
    <w:basedOn w:val="Normal"/>
    <w:link w:val="MessageHeaderChar"/>
    <w:rsid w:val="00BF7D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F7D68"/>
    <w:rPr>
      <w:rFonts w:ascii="Arial" w:hAnsi="Arial" w:cs="Arial"/>
      <w:sz w:val="22"/>
      <w:shd w:val="pct20" w:color="auto" w:fill="auto"/>
    </w:rPr>
  </w:style>
  <w:style w:type="paragraph" w:styleId="Subtitle">
    <w:name w:val="Subtitle"/>
    <w:basedOn w:val="Normal"/>
    <w:link w:val="SubtitleChar"/>
    <w:qFormat/>
    <w:rsid w:val="00BF7D68"/>
    <w:pPr>
      <w:spacing w:after="60"/>
      <w:jc w:val="center"/>
      <w:outlineLvl w:val="1"/>
    </w:pPr>
    <w:rPr>
      <w:rFonts w:ascii="Arial" w:hAnsi="Arial" w:cs="Arial"/>
    </w:rPr>
  </w:style>
  <w:style w:type="character" w:customStyle="1" w:styleId="SubtitleChar">
    <w:name w:val="Subtitle Char"/>
    <w:basedOn w:val="DefaultParagraphFont"/>
    <w:link w:val="Subtitle"/>
    <w:rsid w:val="00BF7D68"/>
    <w:rPr>
      <w:rFonts w:ascii="Arial" w:hAnsi="Arial" w:cs="Arial"/>
      <w:sz w:val="22"/>
    </w:rPr>
  </w:style>
  <w:style w:type="paragraph" w:styleId="Salutation">
    <w:name w:val="Salutation"/>
    <w:basedOn w:val="Normal"/>
    <w:next w:val="Normal"/>
    <w:link w:val="SalutationChar"/>
    <w:rsid w:val="00BF7D68"/>
  </w:style>
  <w:style w:type="character" w:customStyle="1" w:styleId="SalutationChar">
    <w:name w:val="Salutation Char"/>
    <w:basedOn w:val="DefaultParagraphFont"/>
    <w:link w:val="Salutation"/>
    <w:rsid w:val="00BF7D68"/>
    <w:rPr>
      <w:sz w:val="22"/>
    </w:rPr>
  </w:style>
  <w:style w:type="paragraph" w:styleId="Date">
    <w:name w:val="Date"/>
    <w:basedOn w:val="Normal"/>
    <w:next w:val="Normal"/>
    <w:link w:val="DateChar"/>
    <w:rsid w:val="00BF7D68"/>
  </w:style>
  <w:style w:type="character" w:customStyle="1" w:styleId="DateChar">
    <w:name w:val="Date Char"/>
    <w:basedOn w:val="DefaultParagraphFont"/>
    <w:link w:val="Date"/>
    <w:rsid w:val="00BF7D68"/>
    <w:rPr>
      <w:sz w:val="22"/>
    </w:rPr>
  </w:style>
  <w:style w:type="paragraph" w:styleId="BodyTextFirstIndent">
    <w:name w:val="Body Text First Indent"/>
    <w:basedOn w:val="BodyText"/>
    <w:link w:val="BodyTextFirstIndentChar"/>
    <w:rsid w:val="00BF7D68"/>
    <w:pPr>
      <w:ind w:firstLine="210"/>
    </w:pPr>
  </w:style>
  <w:style w:type="character" w:customStyle="1" w:styleId="BodyTextFirstIndentChar">
    <w:name w:val="Body Text First Indent Char"/>
    <w:basedOn w:val="BodyTextChar"/>
    <w:link w:val="BodyTextFirstIndent"/>
    <w:rsid w:val="00BF7D68"/>
    <w:rPr>
      <w:sz w:val="22"/>
    </w:rPr>
  </w:style>
  <w:style w:type="paragraph" w:styleId="BodyTextFirstIndent2">
    <w:name w:val="Body Text First Indent 2"/>
    <w:basedOn w:val="BodyTextIndent"/>
    <w:link w:val="BodyTextFirstIndent2Char"/>
    <w:rsid w:val="00BF7D68"/>
    <w:pPr>
      <w:ind w:firstLine="210"/>
    </w:pPr>
  </w:style>
  <w:style w:type="character" w:customStyle="1" w:styleId="BodyTextFirstIndent2Char">
    <w:name w:val="Body Text First Indent 2 Char"/>
    <w:basedOn w:val="BodyTextIndentChar"/>
    <w:link w:val="BodyTextFirstIndent2"/>
    <w:rsid w:val="00BF7D68"/>
    <w:rPr>
      <w:sz w:val="22"/>
    </w:rPr>
  </w:style>
  <w:style w:type="paragraph" w:styleId="BodyText2">
    <w:name w:val="Body Text 2"/>
    <w:basedOn w:val="Normal"/>
    <w:link w:val="BodyText2Char"/>
    <w:rsid w:val="00BF7D68"/>
    <w:pPr>
      <w:spacing w:after="120" w:line="480" w:lineRule="auto"/>
    </w:pPr>
  </w:style>
  <w:style w:type="character" w:customStyle="1" w:styleId="BodyText2Char">
    <w:name w:val="Body Text 2 Char"/>
    <w:basedOn w:val="DefaultParagraphFont"/>
    <w:link w:val="BodyText2"/>
    <w:rsid w:val="00BF7D68"/>
    <w:rPr>
      <w:sz w:val="22"/>
    </w:rPr>
  </w:style>
  <w:style w:type="paragraph" w:styleId="BodyText3">
    <w:name w:val="Body Text 3"/>
    <w:basedOn w:val="Normal"/>
    <w:link w:val="BodyText3Char"/>
    <w:rsid w:val="00BF7D68"/>
    <w:pPr>
      <w:spacing w:after="120"/>
    </w:pPr>
    <w:rPr>
      <w:sz w:val="16"/>
      <w:szCs w:val="16"/>
    </w:rPr>
  </w:style>
  <w:style w:type="character" w:customStyle="1" w:styleId="BodyText3Char">
    <w:name w:val="Body Text 3 Char"/>
    <w:basedOn w:val="DefaultParagraphFont"/>
    <w:link w:val="BodyText3"/>
    <w:rsid w:val="00BF7D68"/>
    <w:rPr>
      <w:sz w:val="16"/>
      <w:szCs w:val="16"/>
    </w:rPr>
  </w:style>
  <w:style w:type="paragraph" w:styleId="BodyTextIndent2">
    <w:name w:val="Body Text Indent 2"/>
    <w:basedOn w:val="Normal"/>
    <w:link w:val="BodyTextIndent2Char"/>
    <w:rsid w:val="00BF7D68"/>
    <w:pPr>
      <w:spacing w:after="120" w:line="480" w:lineRule="auto"/>
      <w:ind w:left="283"/>
    </w:pPr>
  </w:style>
  <w:style w:type="character" w:customStyle="1" w:styleId="BodyTextIndent2Char">
    <w:name w:val="Body Text Indent 2 Char"/>
    <w:basedOn w:val="DefaultParagraphFont"/>
    <w:link w:val="BodyTextIndent2"/>
    <w:rsid w:val="00BF7D68"/>
    <w:rPr>
      <w:sz w:val="22"/>
    </w:rPr>
  </w:style>
  <w:style w:type="paragraph" w:styleId="BodyTextIndent3">
    <w:name w:val="Body Text Indent 3"/>
    <w:basedOn w:val="Normal"/>
    <w:link w:val="BodyTextIndent3Char"/>
    <w:rsid w:val="00BF7D68"/>
    <w:pPr>
      <w:spacing w:after="120"/>
      <w:ind w:left="283"/>
    </w:pPr>
    <w:rPr>
      <w:sz w:val="16"/>
      <w:szCs w:val="16"/>
    </w:rPr>
  </w:style>
  <w:style w:type="character" w:customStyle="1" w:styleId="BodyTextIndent3Char">
    <w:name w:val="Body Text Indent 3 Char"/>
    <w:basedOn w:val="DefaultParagraphFont"/>
    <w:link w:val="BodyTextIndent3"/>
    <w:rsid w:val="00BF7D68"/>
    <w:rPr>
      <w:sz w:val="16"/>
      <w:szCs w:val="16"/>
    </w:rPr>
  </w:style>
  <w:style w:type="paragraph" w:styleId="BlockText">
    <w:name w:val="Block Text"/>
    <w:basedOn w:val="Normal"/>
    <w:rsid w:val="00BF7D68"/>
    <w:pPr>
      <w:spacing w:after="120"/>
      <w:ind w:left="1440" w:right="1440"/>
    </w:pPr>
  </w:style>
  <w:style w:type="character" w:styleId="Hyperlink">
    <w:name w:val="Hyperlink"/>
    <w:basedOn w:val="DefaultParagraphFont"/>
    <w:rsid w:val="00BF7D68"/>
    <w:rPr>
      <w:color w:val="0000FF"/>
      <w:u w:val="single"/>
    </w:rPr>
  </w:style>
  <w:style w:type="character" w:styleId="FollowedHyperlink">
    <w:name w:val="FollowedHyperlink"/>
    <w:basedOn w:val="DefaultParagraphFont"/>
    <w:rsid w:val="00BF7D68"/>
    <w:rPr>
      <w:color w:val="800080"/>
      <w:u w:val="single"/>
    </w:rPr>
  </w:style>
  <w:style w:type="character" w:styleId="Strong">
    <w:name w:val="Strong"/>
    <w:basedOn w:val="DefaultParagraphFont"/>
    <w:qFormat/>
    <w:rsid w:val="00BF7D68"/>
    <w:rPr>
      <w:b/>
      <w:bCs/>
    </w:rPr>
  </w:style>
  <w:style w:type="character" w:styleId="Emphasis">
    <w:name w:val="Emphasis"/>
    <w:basedOn w:val="DefaultParagraphFont"/>
    <w:qFormat/>
    <w:rsid w:val="00BF7D68"/>
    <w:rPr>
      <w:i/>
      <w:iCs/>
    </w:rPr>
  </w:style>
  <w:style w:type="paragraph" w:styleId="DocumentMap">
    <w:name w:val="Document Map"/>
    <w:basedOn w:val="Normal"/>
    <w:link w:val="DocumentMapChar"/>
    <w:rsid w:val="00BF7D68"/>
    <w:pPr>
      <w:shd w:val="clear" w:color="auto" w:fill="000080"/>
    </w:pPr>
    <w:rPr>
      <w:rFonts w:ascii="Tahoma" w:hAnsi="Tahoma" w:cs="Tahoma"/>
    </w:rPr>
  </w:style>
  <w:style w:type="character" w:customStyle="1" w:styleId="DocumentMapChar">
    <w:name w:val="Document Map Char"/>
    <w:basedOn w:val="DefaultParagraphFont"/>
    <w:link w:val="DocumentMap"/>
    <w:rsid w:val="00BF7D68"/>
    <w:rPr>
      <w:rFonts w:ascii="Tahoma" w:hAnsi="Tahoma" w:cs="Tahoma"/>
      <w:sz w:val="22"/>
      <w:shd w:val="clear" w:color="auto" w:fill="000080"/>
    </w:rPr>
  </w:style>
  <w:style w:type="paragraph" w:styleId="PlainText">
    <w:name w:val="Plain Text"/>
    <w:basedOn w:val="Normal"/>
    <w:link w:val="PlainTextChar"/>
    <w:rsid w:val="00BF7D68"/>
    <w:rPr>
      <w:rFonts w:ascii="Courier New" w:hAnsi="Courier New" w:cs="Courier New"/>
      <w:sz w:val="20"/>
    </w:rPr>
  </w:style>
  <w:style w:type="character" w:customStyle="1" w:styleId="PlainTextChar">
    <w:name w:val="Plain Text Char"/>
    <w:basedOn w:val="DefaultParagraphFont"/>
    <w:link w:val="PlainText"/>
    <w:rsid w:val="00BF7D68"/>
    <w:rPr>
      <w:rFonts w:ascii="Courier New" w:hAnsi="Courier New" w:cs="Courier New"/>
    </w:rPr>
  </w:style>
  <w:style w:type="paragraph" w:styleId="E-mailSignature">
    <w:name w:val="E-mail Signature"/>
    <w:basedOn w:val="Normal"/>
    <w:link w:val="E-mailSignatureChar"/>
    <w:rsid w:val="00BF7D68"/>
  </w:style>
  <w:style w:type="character" w:customStyle="1" w:styleId="E-mailSignatureChar">
    <w:name w:val="E-mail Signature Char"/>
    <w:basedOn w:val="DefaultParagraphFont"/>
    <w:link w:val="E-mailSignature"/>
    <w:rsid w:val="00BF7D68"/>
    <w:rPr>
      <w:sz w:val="22"/>
    </w:rPr>
  </w:style>
  <w:style w:type="paragraph" w:styleId="NormalWeb">
    <w:name w:val="Normal (Web)"/>
    <w:basedOn w:val="Normal"/>
    <w:rsid w:val="00BF7D68"/>
  </w:style>
  <w:style w:type="character" w:styleId="HTMLAcronym">
    <w:name w:val="HTML Acronym"/>
    <w:basedOn w:val="DefaultParagraphFont"/>
    <w:rsid w:val="00BF7D68"/>
  </w:style>
  <w:style w:type="paragraph" w:styleId="HTMLAddress">
    <w:name w:val="HTML Address"/>
    <w:basedOn w:val="Normal"/>
    <w:link w:val="HTMLAddressChar"/>
    <w:rsid w:val="00BF7D68"/>
    <w:rPr>
      <w:i/>
      <w:iCs/>
    </w:rPr>
  </w:style>
  <w:style w:type="character" w:customStyle="1" w:styleId="HTMLAddressChar">
    <w:name w:val="HTML Address Char"/>
    <w:basedOn w:val="DefaultParagraphFont"/>
    <w:link w:val="HTMLAddress"/>
    <w:rsid w:val="00BF7D68"/>
    <w:rPr>
      <w:i/>
      <w:iCs/>
      <w:sz w:val="22"/>
    </w:rPr>
  </w:style>
  <w:style w:type="character" w:styleId="HTMLCite">
    <w:name w:val="HTML Cite"/>
    <w:basedOn w:val="DefaultParagraphFont"/>
    <w:rsid w:val="00BF7D68"/>
    <w:rPr>
      <w:i/>
      <w:iCs/>
    </w:rPr>
  </w:style>
  <w:style w:type="character" w:styleId="HTMLCode">
    <w:name w:val="HTML Code"/>
    <w:basedOn w:val="DefaultParagraphFont"/>
    <w:rsid w:val="00BF7D68"/>
    <w:rPr>
      <w:rFonts w:ascii="Courier New" w:hAnsi="Courier New" w:cs="Courier New"/>
      <w:sz w:val="20"/>
      <w:szCs w:val="20"/>
    </w:rPr>
  </w:style>
  <w:style w:type="character" w:styleId="HTMLDefinition">
    <w:name w:val="HTML Definition"/>
    <w:basedOn w:val="DefaultParagraphFont"/>
    <w:rsid w:val="00BF7D68"/>
    <w:rPr>
      <w:i/>
      <w:iCs/>
    </w:rPr>
  </w:style>
  <w:style w:type="character" w:styleId="HTMLKeyboard">
    <w:name w:val="HTML Keyboard"/>
    <w:basedOn w:val="DefaultParagraphFont"/>
    <w:rsid w:val="00BF7D68"/>
    <w:rPr>
      <w:rFonts w:ascii="Courier New" w:hAnsi="Courier New" w:cs="Courier New"/>
      <w:sz w:val="20"/>
      <w:szCs w:val="20"/>
    </w:rPr>
  </w:style>
  <w:style w:type="paragraph" w:styleId="HTMLPreformatted">
    <w:name w:val="HTML Preformatted"/>
    <w:basedOn w:val="Normal"/>
    <w:link w:val="HTMLPreformattedChar"/>
    <w:rsid w:val="00BF7D68"/>
    <w:rPr>
      <w:rFonts w:ascii="Courier New" w:hAnsi="Courier New" w:cs="Courier New"/>
      <w:sz w:val="20"/>
    </w:rPr>
  </w:style>
  <w:style w:type="character" w:customStyle="1" w:styleId="HTMLPreformattedChar">
    <w:name w:val="HTML Preformatted Char"/>
    <w:basedOn w:val="DefaultParagraphFont"/>
    <w:link w:val="HTMLPreformatted"/>
    <w:rsid w:val="00BF7D68"/>
    <w:rPr>
      <w:rFonts w:ascii="Courier New" w:hAnsi="Courier New" w:cs="Courier New"/>
    </w:rPr>
  </w:style>
  <w:style w:type="character" w:styleId="HTMLSample">
    <w:name w:val="HTML Sample"/>
    <w:basedOn w:val="DefaultParagraphFont"/>
    <w:rsid w:val="00BF7D68"/>
    <w:rPr>
      <w:rFonts w:ascii="Courier New" w:hAnsi="Courier New" w:cs="Courier New"/>
    </w:rPr>
  </w:style>
  <w:style w:type="character" w:styleId="HTMLTypewriter">
    <w:name w:val="HTML Typewriter"/>
    <w:basedOn w:val="DefaultParagraphFont"/>
    <w:rsid w:val="00BF7D68"/>
    <w:rPr>
      <w:rFonts w:ascii="Courier New" w:hAnsi="Courier New" w:cs="Courier New"/>
      <w:sz w:val="20"/>
      <w:szCs w:val="20"/>
    </w:rPr>
  </w:style>
  <w:style w:type="character" w:styleId="HTMLVariable">
    <w:name w:val="HTML Variable"/>
    <w:basedOn w:val="DefaultParagraphFont"/>
    <w:rsid w:val="00BF7D68"/>
    <w:rPr>
      <w:i/>
      <w:iCs/>
    </w:rPr>
  </w:style>
  <w:style w:type="paragraph" w:styleId="CommentSubject">
    <w:name w:val="annotation subject"/>
    <w:basedOn w:val="CommentText"/>
    <w:next w:val="CommentText"/>
    <w:link w:val="CommentSubjectChar"/>
    <w:rsid w:val="00BF7D68"/>
    <w:rPr>
      <w:b/>
      <w:bCs/>
    </w:rPr>
  </w:style>
  <w:style w:type="character" w:customStyle="1" w:styleId="CommentSubjectChar">
    <w:name w:val="Comment Subject Char"/>
    <w:basedOn w:val="CommentTextChar"/>
    <w:link w:val="CommentSubject"/>
    <w:rsid w:val="00BF7D68"/>
    <w:rPr>
      <w:b/>
      <w:bCs/>
    </w:rPr>
  </w:style>
  <w:style w:type="numbering" w:styleId="1ai">
    <w:name w:val="Outline List 1"/>
    <w:basedOn w:val="NoList"/>
    <w:rsid w:val="00BF7D68"/>
    <w:pPr>
      <w:numPr>
        <w:numId w:val="14"/>
      </w:numPr>
    </w:pPr>
  </w:style>
  <w:style w:type="numbering" w:styleId="111111">
    <w:name w:val="Outline List 2"/>
    <w:basedOn w:val="NoList"/>
    <w:rsid w:val="00BF7D68"/>
    <w:pPr>
      <w:numPr>
        <w:numId w:val="15"/>
      </w:numPr>
    </w:pPr>
  </w:style>
  <w:style w:type="numbering" w:styleId="ArticleSection">
    <w:name w:val="Outline List 3"/>
    <w:basedOn w:val="NoList"/>
    <w:rsid w:val="00BF7D68"/>
    <w:pPr>
      <w:numPr>
        <w:numId w:val="17"/>
      </w:numPr>
    </w:pPr>
  </w:style>
  <w:style w:type="table" w:styleId="TableSimple1">
    <w:name w:val="Table Simple 1"/>
    <w:basedOn w:val="TableNormal"/>
    <w:rsid w:val="00BF7D6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7D6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7D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F7D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7D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7D6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7D6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7D6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7D6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7D6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7D6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7D6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7D6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7D6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7D6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F7D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7D6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7D6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7D6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7D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7D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7D6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7D6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7D6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7D6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7D6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7D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7D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7D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7D6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7D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F7D6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7D6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7D6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F7D6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7D6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F7D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7D6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7D6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F7D6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7D6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7D6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F7D6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F7D6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7D68"/>
    <w:pPr>
      <w:spacing w:line="260" w:lineRule="atLeast"/>
    </w:pPr>
    <w:rPr>
      <w:sz w:val="22"/>
    </w:rPr>
  </w:style>
  <w:style w:type="paragraph" w:styleId="Heading1">
    <w:name w:val="heading 1"/>
    <w:basedOn w:val="Normal"/>
    <w:next w:val="Normal"/>
    <w:link w:val="Heading1Char"/>
    <w:uiPriority w:val="9"/>
    <w:qFormat/>
    <w:rsid w:val="00BF7D6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7D6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7D6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7D6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7D6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7D6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F7D6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F7D6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F7D6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7D68"/>
  </w:style>
  <w:style w:type="paragraph" w:customStyle="1" w:styleId="OPCParaBase">
    <w:name w:val="OPCParaBase"/>
    <w:qFormat/>
    <w:rsid w:val="00BF7D68"/>
    <w:pPr>
      <w:spacing w:line="260" w:lineRule="atLeast"/>
    </w:pPr>
    <w:rPr>
      <w:rFonts w:eastAsia="Times New Roman" w:cs="Times New Roman"/>
      <w:sz w:val="22"/>
      <w:lang w:eastAsia="en-AU"/>
    </w:rPr>
  </w:style>
  <w:style w:type="paragraph" w:customStyle="1" w:styleId="ShortT">
    <w:name w:val="ShortT"/>
    <w:basedOn w:val="OPCParaBase"/>
    <w:next w:val="Normal"/>
    <w:qFormat/>
    <w:rsid w:val="00BF7D68"/>
    <w:pPr>
      <w:spacing w:line="240" w:lineRule="auto"/>
    </w:pPr>
    <w:rPr>
      <w:b/>
      <w:sz w:val="40"/>
    </w:rPr>
  </w:style>
  <w:style w:type="paragraph" w:customStyle="1" w:styleId="ActHead1">
    <w:name w:val="ActHead 1"/>
    <w:aliases w:val="c"/>
    <w:basedOn w:val="OPCParaBase"/>
    <w:next w:val="Normal"/>
    <w:qFormat/>
    <w:rsid w:val="00BF7D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7D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7D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7D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7D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7D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7D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7D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7D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7D68"/>
  </w:style>
  <w:style w:type="paragraph" w:customStyle="1" w:styleId="Blocks">
    <w:name w:val="Blocks"/>
    <w:aliases w:val="bb"/>
    <w:basedOn w:val="OPCParaBase"/>
    <w:qFormat/>
    <w:rsid w:val="00BF7D68"/>
    <w:pPr>
      <w:spacing w:line="240" w:lineRule="auto"/>
    </w:pPr>
    <w:rPr>
      <w:sz w:val="24"/>
    </w:rPr>
  </w:style>
  <w:style w:type="paragraph" w:customStyle="1" w:styleId="BoxText">
    <w:name w:val="BoxText"/>
    <w:aliases w:val="bt"/>
    <w:basedOn w:val="OPCParaBase"/>
    <w:qFormat/>
    <w:rsid w:val="00BF7D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7D68"/>
    <w:rPr>
      <w:b/>
    </w:rPr>
  </w:style>
  <w:style w:type="paragraph" w:customStyle="1" w:styleId="BoxHeadItalic">
    <w:name w:val="BoxHeadItalic"/>
    <w:aliases w:val="bhi"/>
    <w:basedOn w:val="BoxText"/>
    <w:next w:val="BoxStep"/>
    <w:qFormat/>
    <w:rsid w:val="00BF7D68"/>
    <w:rPr>
      <w:i/>
    </w:rPr>
  </w:style>
  <w:style w:type="paragraph" w:customStyle="1" w:styleId="BoxList">
    <w:name w:val="BoxList"/>
    <w:aliases w:val="bl"/>
    <w:basedOn w:val="BoxText"/>
    <w:qFormat/>
    <w:rsid w:val="00BF7D68"/>
    <w:pPr>
      <w:ind w:left="1559" w:hanging="425"/>
    </w:pPr>
  </w:style>
  <w:style w:type="paragraph" w:customStyle="1" w:styleId="BoxNote">
    <w:name w:val="BoxNote"/>
    <w:aliases w:val="bn"/>
    <w:basedOn w:val="BoxText"/>
    <w:qFormat/>
    <w:rsid w:val="00BF7D68"/>
    <w:pPr>
      <w:tabs>
        <w:tab w:val="left" w:pos="1985"/>
      </w:tabs>
      <w:spacing w:before="122" w:line="198" w:lineRule="exact"/>
      <w:ind w:left="2948" w:hanging="1814"/>
    </w:pPr>
    <w:rPr>
      <w:sz w:val="18"/>
    </w:rPr>
  </w:style>
  <w:style w:type="paragraph" w:customStyle="1" w:styleId="BoxPara">
    <w:name w:val="BoxPara"/>
    <w:aliases w:val="bp"/>
    <w:basedOn w:val="BoxText"/>
    <w:qFormat/>
    <w:rsid w:val="00BF7D68"/>
    <w:pPr>
      <w:tabs>
        <w:tab w:val="right" w:pos="2268"/>
      </w:tabs>
      <w:ind w:left="2552" w:hanging="1418"/>
    </w:pPr>
  </w:style>
  <w:style w:type="paragraph" w:customStyle="1" w:styleId="BoxStep">
    <w:name w:val="BoxStep"/>
    <w:aliases w:val="bs"/>
    <w:basedOn w:val="BoxText"/>
    <w:qFormat/>
    <w:rsid w:val="00BF7D68"/>
    <w:pPr>
      <w:ind w:left="1985" w:hanging="851"/>
    </w:pPr>
  </w:style>
  <w:style w:type="character" w:customStyle="1" w:styleId="CharAmPartNo">
    <w:name w:val="CharAmPartNo"/>
    <w:basedOn w:val="OPCCharBase"/>
    <w:qFormat/>
    <w:rsid w:val="00BF7D68"/>
  </w:style>
  <w:style w:type="character" w:customStyle="1" w:styleId="CharAmPartText">
    <w:name w:val="CharAmPartText"/>
    <w:basedOn w:val="OPCCharBase"/>
    <w:qFormat/>
    <w:rsid w:val="00BF7D68"/>
  </w:style>
  <w:style w:type="character" w:customStyle="1" w:styleId="CharAmSchNo">
    <w:name w:val="CharAmSchNo"/>
    <w:basedOn w:val="OPCCharBase"/>
    <w:qFormat/>
    <w:rsid w:val="00BF7D68"/>
  </w:style>
  <w:style w:type="character" w:customStyle="1" w:styleId="CharAmSchText">
    <w:name w:val="CharAmSchText"/>
    <w:basedOn w:val="OPCCharBase"/>
    <w:qFormat/>
    <w:rsid w:val="00BF7D68"/>
  </w:style>
  <w:style w:type="character" w:customStyle="1" w:styleId="CharBoldItalic">
    <w:name w:val="CharBoldItalic"/>
    <w:basedOn w:val="OPCCharBase"/>
    <w:uiPriority w:val="1"/>
    <w:qFormat/>
    <w:rsid w:val="00BF7D68"/>
    <w:rPr>
      <w:b/>
      <w:i/>
    </w:rPr>
  </w:style>
  <w:style w:type="character" w:customStyle="1" w:styleId="CharChapNo">
    <w:name w:val="CharChapNo"/>
    <w:basedOn w:val="OPCCharBase"/>
    <w:uiPriority w:val="1"/>
    <w:qFormat/>
    <w:rsid w:val="00BF7D68"/>
  </w:style>
  <w:style w:type="character" w:customStyle="1" w:styleId="CharChapText">
    <w:name w:val="CharChapText"/>
    <w:basedOn w:val="OPCCharBase"/>
    <w:uiPriority w:val="1"/>
    <w:qFormat/>
    <w:rsid w:val="00BF7D68"/>
  </w:style>
  <w:style w:type="character" w:customStyle="1" w:styleId="CharDivNo">
    <w:name w:val="CharDivNo"/>
    <w:basedOn w:val="OPCCharBase"/>
    <w:uiPriority w:val="1"/>
    <w:qFormat/>
    <w:rsid w:val="00BF7D68"/>
  </w:style>
  <w:style w:type="character" w:customStyle="1" w:styleId="CharDivText">
    <w:name w:val="CharDivText"/>
    <w:basedOn w:val="OPCCharBase"/>
    <w:uiPriority w:val="1"/>
    <w:qFormat/>
    <w:rsid w:val="00BF7D68"/>
  </w:style>
  <w:style w:type="character" w:customStyle="1" w:styleId="CharItalic">
    <w:name w:val="CharItalic"/>
    <w:basedOn w:val="OPCCharBase"/>
    <w:uiPriority w:val="1"/>
    <w:qFormat/>
    <w:rsid w:val="00BF7D68"/>
    <w:rPr>
      <w:i/>
    </w:rPr>
  </w:style>
  <w:style w:type="character" w:customStyle="1" w:styleId="CharPartNo">
    <w:name w:val="CharPartNo"/>
    <w:basedOn w:val="OPCCharBase"/>
    <w:uiPriority w:val="1"/>
    <w:qFormat/>
    <w:rsid w:val="00BF7D68"/>
  </w:style>
  <w:style w:type="character" w:customStyle="1" w:styleId="CharPartText">
    <w:name w:val="CharPartText"/>
    <w:basedOn w:val="OPCCharBase"/>
    <w:uiPriority w:val="1"/>
    <w:qFormat/>
    <w:rsid w:val="00BF7D68"/>
  </w:style>
  <w:style w:type="character" w:customStyle="1" w:styleId="CharSectno">
    <w:name w:val="CharSectno"/>
    <w:basedOn w:val="OPCCharBase"/>
    <w:qFormat/>
    <w:rsid w:val="00BF7D68"/>
  </w:style>
  <w:style w:type="character" w:customStyle="1" w:styleId="CharSubdNo">
    <w:name w:val="CharSubdNo"/>
    <w:basedOn w:val="OPCCharBase"/>
    <w:uiPriority w:val="1"/>
    <w:qFormat/>
    <w:rsid w:val="00BF7D68"/>
  </w:style>
  <w:style w:type="character" w:customStyle="1" w:styleId="CharSubdText">
    <w:name w:val="CharSubdText"/>
    <w:basedOn w:val="OPCCharBase"/>
    <w:uiPriority w:val="1"/>
    <w:qFormat/>
    <w:rsid w:val="00BF7D68"/>
  </w:style>
  <w:style w:type="paragraph" w:customStyle="1" w:styleId="CTA--">
    <w:name w:val="CTA --"/>
    <w:basedOn w:val="OPCParaBase"/>
    <w:next w:val="Normal"/>
    <w:rsid w:val="00BF7D68"/>
    <w:pPr>
      <w:spacing w:before="60" w:line="240" w:lineRule="atLeast"/>
      <w:ind w:left="142" w:hanging="142"/>
    </w:pPr>
    <w:rPr>
      <w:sz w:val="20"/>
    </w:rPr>
  </w:style>
  <w:style w:type="paragraph" w:customStyle="1" w:styleId="CTA-">
    <w:name w:val="CTA -"/>
    <w:basedOn w:val="OPCParaBase"/>
    <w:rsid w:val="00BF7D68"/>
    <w:pPr>
      <w:spacing w:before="60" w:line="240" w:lineRule="atLeast"/>
      <w:ind w:left="85" w:hanging="85"/>
    </w:pPr>
    <w:rPr>
      <w:sz w:val="20"/>
    </w:rPr>
  </w:style>
  <w:style w:type="paragraph" w:customStyle="1" w:styleId="CTA---">
    <w:name w:val="CTA ---"/>
    <w:basedOn w:val="OPCParaBase"/>
    <w:next w:val="Normal"/>
    <w:rsid w:val="00BF7D68"/>
    <w:pPr>
      <w:spacing w:before="60" w:line="240" w:lineRule="atLeast"/>
      <w:ind w:left="198" w:hanging="198"/>
    </w:pPr>
    <w:rPr>
      <w:sz w:val="20"/>
    </w:rPr>
  </w:style>
  <w:style w:type="paragraph" w:customStyle="1" w:styleId="CTA----">
    <w:name w:val="CTA ----"/>
    <w:basedOn w:val="OPCParaBase"/>
    <w:next w:val="Normal"/>
    <w:rsid w:val="00BF7D68"/>
    <w:pPr>
      <w:spacing w:before="60" w:line="240" w:lineRule="atLeast"/>
      <w:ind w:left="255" w:hanging="255"/>
    </w:pPr>
    <w:rPr>
      <w:sz w:val="20"/>
    </w:rPr>
  </w:style>
  <w:style w:type="paragraph" w:customStyle="1" w:styleId="CTA1a">
    <w:name w:val="CTA 1(a)"/>
    <w:basedOn w:val="OPCParaBase"/>
    <w:rsid w:val="00BF7D68"/>
    <w:pPr>
      <w:tabs>
        <w:tab w:val="right" w:pos="414"/>
      </w:tabs>
      <w:spacing w:before="40" w:line="240" w:lineRule="atLeast"/>
      <w:ind w:left="675" w:hanging="675"/>
    </w:pPr>
    <w:rPr>
      <w:sz w:val="20"/>
    </w:rPr>
  </w:style>
  <w:style w:type="paragraph" w:customStyle="1" w:styleId="CTA1ai">
    <w:name w:val="CTA 1(a)(i)"/>
    <w:basedOn w:val="OPCParaBase"/>
    <w:rsid w:val="00BF7D68"/>
    <w:pPr>
      <w:tabs>
        <w:tab w:val="right" w:pos="1004"/>
      </w:tabs>
      <w:spacing w:before="40" w:line="240" w:lineRule="atLeast"/>
      <w:ind w:left="1253" w:hanging="1253"/>
    </w:pPr>
    <w:rPr>
      <w:sz w:val="20"/>
    </w:rPr>
  </w:style>
  <w:style w:type="paragraph" w:customStyle="1" w:styleId="CTA2a">
    <w:name w:val="CTA 2(a)"/>
    <w:basedOn w:val="OPCParaBase"/>
    <w:rsid w:val="00BF7D68"/>
    <w:pPr>
      <w:tabs>
        <w:tab w:val="right" w:pos="482"/>
      </w:tabs>
      <w:spacing w:before="40" w:line="240" w:lineRule="atLeast"/>
      <w:ind w:left="748" w:hanging="748"/>
    </w:pPr>
    <w:rPr>
      <w:sz w:val="20"/>
    </w:rPr>
  </w:style>
  <w:style w:type="paragraph" w:customStyle="1" w:styleId="CTA2ai">
    <w:name w:val="CTA 2(a)(i)"/>
    <w:basedOn w:val="OPCParaBase"/>
    <w:rsid w:val="00BF7D68"/>
    <w:pPr>
      <w:tabs>
        <w:tab w:val="right" w:pos="1089"/>
      </w:tabs>
      <w:spacing w:before="40" w:line="240" w:lineRule="atLeast"/>
      <w:ind w:left="1327" w:hanging="1327"/>
    </w:pPr>
    <w:rPr>
      <w:sz w:val="20"/>
    </w:rPr>
  </w:style>
  <w:style w:type="paragraph" w:customStyle="1" w:styleId="CTA3a">
    <w:name w:val="CTA 3(a)"/>
    <w:basedOn w:val="OPCParaBase"/>
    <w:rsid w:val="00BF7D68"/>
    <w:pPr>
      <w:tabs>
        <w:tab w:val="right" w:pos="556"/>
      </w:tabs>
      <w:spacing w:before="40" w:line="240" w:lineRule="atLeast"/>
      <w:ind w:left="805" w:hanging="805"/>
    </w:pPr>
    <w:rPr>
      <w:sz w:val="20"/>
    </w:rPr>
  </w:style>
  <w:style w:type="paragraph" w:customStyle="1" w:styleId="CTA3ai">
    <w:name w:val="CTA 3(a)(i)"/>
    <w:basedOn w:val="OPCParaBase"/>
    <w:rsid w:val="00BF7D68"/>
    <w:pPr>
      <w:tabs>
        <w:tab w:val="right" w:pos="1140"/>
      </w:tabs>
      <w:spacing w:before="40" w:line="240" w:lineRule="atLeast"/>
      <w:ind w:left="1361" w:hanging="1361"/>
    </w:pPr>
    <w:rPr>
      <w:sz w:val="20"/>
    </w:rPr>
  </w:style>
  <w:style w:type="paragraph" w:customStyle="1" w:styleId="CTA4a">
    <w:name w:val="CTA 4(a)"/>
    <w:basedOn w:val="OPCParaBase"/>
    <w:rsid w:val="00BF7D68"/>
    <w:pPr>
      <w:tabs>
        <w:tab w:val="right" w:pos="624"/>
      </w:tabs>
      <w:spacing w:before="40" w:line="240" w:lineRule="atLeast"/>
      <w:ind w:left="873" w:hanging="873"/>
    </w:pPr>
    <w:rPr>
      <w:sz w:val="20"/>
    </w:rPr>
  </w:style>
  <w:style w:type="paragraph" w:customStyle="1" w:styleId="CTA4ai">
    <w:name w:val="CTA 4(a)(i)"/>
    <w:basedOn w:val="OPCParaBase"/>
    <w:rsid w:val="00BF7D68"/>
    <w:pPr>
      <w:tabs>
        <w:tab w:val="right" w:pos="1213"/>
      </w:tabs>
      <w:spacing w:before="40" w:line="240" w:lineRule="atLeast"/>
      <w:ind w:left="1452" w:hanging="1452"/>
    </w:pPr>
    <w:rPr>
      <w:sz w:val="20"/>
    </w:rPr>
  </w:style>
  <w:style w:type="paragraph" w:customStyle="1" w:styleId="CTACAPS">
    <w:name w:val="CTA CAPS"/>
    <w:basedOn w:val="OPCParaBase"/>
    <w:rsid w:val="00BF7D68"/>
    <w:pPr>
      <w:spacing w:before="60" w:line="240" w:lineRule="atLeast"/>
    </w:pPr>
    <w:rPr>
      <w:sz w:val="20"/>
    </w:rPr>
  </w:style>
  <w:style w:type="paragraph" w:customStyle="1" w:styleId="CTAright">
    <w:name w:val="CTA right"/>
    <w:basedOn w:val="OPCParaBase"/>
    <w:rsid w:val="00BF7D68"/>
    <w:pPr>
      <w:spacing w:before="60" w:line="240" w:lineRule="auto"/>
      <w:jc w:val="right"/>
    </w:pPr>
    <w:rPr>
      <w:sz w:val="20"/>
    </w:rPr>
  </w:style>
  <w:style w:type="paragraph" w:customStyle="1" w:styleId="subsection">
    <w:name w:val="subsection"/>
    <w:aliases w:val="ss,Subsection"/>
    <w:basedOn w:val="OPCParaBase"/>
    <w:link w:val="subsectionChar"/>
    <w:rsid w:val="00BF7D68"/>
    <w:pPr>
      <w:tabs>
        <w:tab w:val="right" w:pos="1021"/>
      </w:tabs>
      <w:spacing w:before="180" w:line="240" w:lineRule="auto"/>
      <w:ind w:left="1134" w:hanging="1134"/>
    </w:pPr>
  </w:style>
  <w:style w:type="paragraph" w:customStyle="1" w:styleId="Definition">
    <w:name w:val="Definition"/>
    <w:aliases w:val="dd"/>
    <w:basedOn w:val="OPCParaBase"/>
    <w:rsid w:val="00BF7D68"/>
    <w:pPr>
      <w:spacing w:before="180" w:line="240" w:lineRule="auto"/>
      <w:ind w:left="1134"/>
    </w:pPr>
  </w:style>
  <w:style w:type="paragraph" w:customStyle="1" w:styleId="ETAsubitem">
    <w:name w:val="ETA(subitem)"/>
    <w:basedOn w:val="OPCParaBase"/>
    <w:rsid w:val="00BF7D68"/>
    <w:pPr>
      <w:tabs>
        <w:tab w:val="right" w:pos="340"/>
      </w:tabs>
      <w:spacing w:before="60" w:line="240" w:lineRule="auto"/>
      <w:ind w:left="454" w:hanging="454"/>
    </w:pPr>
    <w:rPr>
      <w:sz w:val="20"/>
    </w:rPr>
  </w:style>
  <w:style w:type="paragraph" w:customStyle="1" w:styleId="ETApara">
    <w:name w:val="ETA(para)"/>
    <w:basedOn w:val="OPCParaBase"/>
    <w:rsid w:val="00BF7D68"/>
    <w:pPr>
      <w:tabs>
        <w:tab w:val="right" w:pos="754"/>
      </w:tabs>
      <w:spacing w:before="60" w:line="240" w:lineRule="auto"/>
      <w:ind w:left="828" w:hanging="828"/>
    </w:pPr>
    <w:rPr>
      <w:sz w:val="20"/>
    </w:rPr>
  </w:style>
  <w:style w:type="paragraph" w:customStyle="1" w:styleId="ETAsubpara">
    <w:name w:val="ETA(subpara)"/>
    <w:basedOn w:val="OPCParaBase"/>
    <w:rsid w:val="00BF7D68"/>
    <w:pPr>
      <w:tabs>
        <w:tab w:val="right" w:pos="1083"/>
      </w:tabs>
      <w:spacing w:before="60" w:line="240" w:lineRule="auto"/>
      <w:ind w:left="1191" w:hanging="1191"/>
    </w:pPr>
    <w:rPr>
      <w:sz w:val="20"/>
    </w:rPr>
  </w:style>
  <w:style w:type="paragraph" w:customStyle="1" w:styleId="ETAsub-subpara">
    <w:name w:val="ETA(sub-subpara)"/>
    <w:basedOn w:val="OPCParaBase"/>
    <w:rsid w:val="00BF7D68"/>
    <w:pPr>
      <w:tabs>
        <w:tab w:val="right" w:pos="1412"/>
      </w:tabs>
      <w:spacing w:before="60" w:line="240" w:lineRule="auto"/>
      <w:ind w:left="1525" w:hanging="1525"/>
    </w:pPr>
    <w:rPr>
      <w:sz w:val="20"/>
    </w:rPr>
  </w:style>
  <w:style w:type="paragraph" w:customStyle="1" w:styleId="Formula">
    <w:name w:val="Formula"/>
    <w:basedOn w:val="OPCParaBase"/>
    <w:rsid w:val="00BF7D68"/>
    <w:pPr>
      <w:spacing w:line="240" w:lineRule="auto"/>
      <w:ind w:left="1134"/>
    </w:pPr>
    <w:rPr>
      <w:sz w:val="20"/>
    </w:rPr>
  </w:style>
  <w:style w:type="paragraph" w:styleId="Header">
    <w:name w:val="header"/>
    <w:basedOn w:val="OPCParaBase"/>
    <w:link w:val="HeaderChar"/>
    <w:unhideWhenUsed/>
    <w:rsid w:val="00BF7D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7D68"/>
    <w:rPr>
      <w:rFonts w:eastAsia="Times New Roman" w:cs="Times New Roman"/>
      <w:sz w:val="16"/>
      <w:lang w:eastAsia="en-AU"/>
    </w:rPr>
  </w:style>
  <w:style w:type="paragraph" w:customStyle="1" w:styleId="House">
    <w:name w:val="House"/>
    <w:basedOn w:val="OPCParaBase"/>
    <w:rsid w:val="00BF7D68"/>
    <w:pPr>
      <w:spacing w:line="240" w:lineRule="auto"/>
    </w:pPr>
    <w:rPr>
      <w:sz w:val="28"/>
    </w:rPr>
  </w:style>
  <w:style w:type="paragraph" w:customStyle="1" w:styleId="Item">
    <w:name w:val="Item"/>
    <w:aliases w:val="i"/>
    <w:basedOn w:val="OPCParaBase"/>
    <w:next w:val="ItemHead"/>
    <w:rsid w:val="00BF7D68"/>
    <w:pPr>
      <w:keepLines/>
      <w:spacing w:before="80" w:line="240" w:lineRule="auto"/>
      <w:ind w:left="709"/>
    </w:pPr>
  </w:style>
  <w:style w:type="paragraph" w:customStyle="1" w:styleId="ItemHead">
    <w:name w:val="ItemHead"/>
    <w:aliases w:val="ih"/>
    <w:basedOn w:val="OPCParaBase"/>
    <w:next w:val="Item"/>
    <w:rsid w:val="00BF7D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7D68"/>
    <w:pPr>
      <w:spacing w:line="240" w:lineRule="auto"/>
    </w:pPr>
    <w:rPr>
      <w:b/>
      <w:sz w:val="32"/>
    </w:rPr>
  </w:style>
  <w:style w:type="paragraph" w:customStyle="1" w:styleId="notedraft">
    <w:name w:val="note(draft)"/>
    <w:aliases w:val="nd"/>
    <w:basedOn w:val="OPCParaBase"/>
    <w:rsid w:val="00BF7D68"/>
    <w:pPr>
      <w:spacing w:before="240" w:line="240" w:lineRule="auto"/>
      <w:ind w:left="284" w:hanging="284"/>
    </w:pPr>
    <w:rPr>
      <w:i/>
      <w:sz w:val="24"/>
    </w:rPr>
  </w:style>
  <w:style w:type="paragraph" w:customStyle="1" w:styleId="notemargin">
    <w:name w:val="note(margin)"/>
    <w:aliases w:val="nm"/>
    <w:basedOn w:val="OPCParaBase"/>
    <w:rsid w:val="00BF7D68"/>
    <w:pPr>
      <w:tabs>
        <w:tab w:val="left" w:pos="709"/>
      </w:tabs>
      <w:spacing w:before="122" w:line="198" w:lineRule="exact"/>
      <w:ind w:left="709" w:hanging="709"/>
    </w:pPr>
    <w:rPr>
      <w:sz w:val="18"/>
    </w:rPr>
  </w:style>
  <w:style w:type="paragraph" w:customStyle="1" w:styleId="noteToPara">
    <w:name w:val="noteToPara"/>
    <w:aliases w:val="ntp"/>
    <w:basedOn w:val="OPCParaBase"/>
    <w:rsid w:val="00BF7D68"/>
    <w:pPr>
      <w:spacing w:before="122" w:line="198" w:lineRule="exact"/>
      <w:ind w:left="2353" w:hanging="709"/>
    </w:pPr>
    <w:rPr>
      <w:sz w:val="18"/>
    </w:rPr>
  </w:style>
  <w:style w:type="paragraph" w:customStyle="1" w:styleId="noteParlAmend">
    <w:name w:val="note(ParlAmend)"/>
    <w:aliases w:val="npp"/>
    <w:basedOn w:val="OPCParaBase"/>
    <w:next w:val="ParlAmend"/>
    <w:rsid w:val="00BF7D68"/>
    <w:pPr>
      <w:spacing w:line="240" w:lineRule="auto"/>
      <w:jc w:val="right"/>
    </w:pPr>
    <w:rPr>
      <w:rFonts w:ascii="Arial" w:hAnsi="Arial"/>
      <w:b/>
      <w:i/>
    </w:rPr>
  </w:style>
  <w:style w:type="paragraph" w:customStyle="1" w:styleId="Page1">
    <w:name w:val="Page1"/>
    <w:basedOn w:val="OPCParaBase"/>
    <w:rsid w:val="00BF7D68"/>
    <w:pPr>
      <w:spacing w:before="5600" w:line="240" w:lineRule="auto"/>
    </w:pPr>
    <w:rPr>
      <w:b/>
      <w:sz w:val="32"/>
    </w:rPr>
  </w:style>
  <w:style w:type="paragraph" w:customStyle="1" w:styleId="PageBreak">
    <w:name w:val="PageBreak"/>
    <w:aliases w:val="pb"/>
    <w:basedOn w:val="OPCParaBase"/>
    <w:rsid w:val="00BF7D68"/>
    <w:pPr>
      <w:spacing w:line="240" w:lineRule="auto"/>
    </w:pPr>
    <w:rPr>
      <w:sz w:val="20"/>
    </w:rPr>
  </w:style>
  <w:style w:type="paragraph" w:customStyle="1" w:styleId="paragraphsub">
    <w:name w:val="paragraph(sub)"/>
    <w:aliases w:val="aa"/>
    <w:basedOn w:val="OPCParaBase"/>
    <w:rsid w:val="00BF7D68"/>
    <w:pPr>
      <w:tabs>
        <w:tab w:val="right" w:pos="1985"/>
      </w:tabs>
      <w:spacing w:before="40" w:line="240" w:lineRule="auto"/>
      <w:ind w:left="2098" w:hanging="2098"/>
    </w:pPr>
  </w:style>
  <w:style w:type="paragraph" w:customStyle="1" w:styleId="paragraphsub-sub">
    <w:name w:val="paragraph(sub-sub)"/>
    <w:aliases w:val="aaa"/>
    <w:basedOn w:val="OPCParaBase"/>
    <w:rsid w:val="00BF7D68"/>
    <w:pPr>
      <w:tabs>
        <w:tab w:val="right" w:pos="2722"/>
      </w:tabs>
      <w:spacing w:before="40" w:line="240" w:lineRule="auto"/>
      <w:ind w:left="2835" w:hanging="2835"/>
    </w:pPr>
  </w:style>
  <w:style w:type="paragraph" w:customStyle="1" w:styleId="paragraph">
    <w:name w:val="paragraph"/>
    <w:aliases w:val="a"/>
    <w:basedOn w:val="OPCParaBase"/>
    <w:rsid w:val="00BF7D68"/>
    <w:pPr>
      <w:tabs>
        <w:tab w:val="right" w:pos="1531"/>
      </w:tabs>
      <w:spacing w:before="40" w:line="240" w:lineRule="auto"/>
      <w:ind w:left="1644" w:hanging="1644"/>
    </w:pPr>
  </w:style>
  <w:style w:type="paragraph" w:customStyle="1" w:styleId="ParlAmend">
    <w:name w:val="ParlAmend"/>
    <w:aliases w:val="pp"/>
    <w:basedOn w:val="OPCParaBase"/>
    <w:rsid w:val="00BF7D68"/>
    <w:pPr>
      <w:spacing w:before="240" w:line="240" w:lineRule="atLeast"/>
      <w:ind w:hanging="567"/>
    </w:pPr>
    <w:rPr>
      <w:sz w:val="24"/>
    </w:rPr>
  </w:style>
  <w:style w:type="paragraph" w:customStyle="1" w:styleId="Penalty">
    <w:name w:val="Penalty"/>
    <w:basedOn w:val="OPCParaBase"/>
    <w:rsid w:val="00BF7D68"/>
    <w:pPr>
      <w:tabs>
        <w:tab w:val="left" w:pos="2977"/>
      </w:tabs>
      <w:spacing w:before="180" w:line="240" w:lineRule="auto"/>
      <w:ind w:left="1985" w:hanging="851"/>
    </w:pPr>
  </w:style>
  <w:style w:type="paragraph" w:customStyle="1" w:styleId="Portfolio">
    <w:name w:val="Portfolio"/>
    <w:basedOn w:val="OPCParaBase"/>
    <w:rsid w:val="00BF7D68"/>
    <w:pPr>
      <w:spacing w:line="240" w:lineRule="auto"/>
    </w:pPr>
    <w:rPr>
      <w:i/>
      <w:sz w:val="20"/>
    </w:rPr>
  </w:style>
  <w:style w:type="paragraph" w:customStyle="1" w:styleId="Preamble">
    <w:name w:val="Preamble"/>
    <w:basedOn w:val="OPCParaBase"/>
    <w:next w:val="Normal"/>
    <w:rsid w:val="00BF7D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7D68"/>
    <w:pPr>
      <w:spacing w:line="240" w:lineRule="auto"/>
    </w:pPr>
    <w:rPr>
      <w:i/>
      <w:sz w:val="20"/>
    </w:rPr>
  </w:style>
  <w:style w:type="paragraph" w:customStyle="1" w:styleId="Session">
    <w:name w:val="Session"/>
    <w:basedOn w:val="OPCParaBase"/>
    <w:rsid w:val="00BF7D68"/>
    <w:pPr>
      <w:spacing w:line="240" w:lineRule="auto"/>
    </w:pPr>
    <w:rPr>
      <w:sz w:val="28"/>
    </w:rPr>
  </w:style>
  <w:style w:type="paragraph" w:customStyle="1" w:styleId="Sponsor">
    <w:name w:val="Sponsor"/>
    <w:basedOn w:val="OPCParaBase"/>
    <w:rsid w:val="00BF7D68"/>
    <w:pPr>
      <w:spacing w:line="240" w:lineRule="auto"/>
    </w:pPr>
    <w:rPr>
      <w:i/>
    </w:rPr>
  </w:style>
  <w:style w:type="paragraph" w:customStyle="1" w:styleId="Subitem">
    <w:name w:val="Subitem"/>
    <w:aliases w:val="iss"/>
    <w:basedOn w:val="OPCParaBase"/>
    <w:rsid w:val="00BF7D68"/>
    <w:pPr>
      <w:spacing w:before="180" w:line="240" w:lineRule="auto"/>
      <w:ind w:left="709" w:hanging="709"/>
    </w:pPr>
  </w:style>
  <w:style w:type="paragraph" w:customStyle="1" w:styleId="SubitemHead">
    <w:name w:val="SubitemHead"/>
    <w:aliases w:val="issh"/>
    <w:basedOn w:val="OPCParaBase"/>
    <w:rsid w:val="00BF7D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7D68"/>
    <w:pPr>
      <w:spacing w:before="40" w:line="240" w:lineRule="auto"/>
      <w:ind w:left="1134"/>
    </w:pPr>
  </w:style>
  <w:style w:type="paragraph" w:customStyle="1" w:styleId="SubsectionHead">
    <w:name w:val="SubsectionHead"/>
    <w:aliases w:val="ssh"/>
    <w:basedOn w:val="OPCParaBase"/>
    <w:next w:val="subsection"/>
    <w:rsid w:val="00BF7D68"/>
    <w:pPr>
      <w:keepNext/>
      <w:keepLines/>
      <w:spacing w:before="240" w:line="240" w:lineRule="auto"/>
      <w:ind w:left="1134"/>
    </w:pPr>
    <w:rPr>
      <w:i/>
    </w:rPr>
  </w:style>
  <w:style w:type="paragraph" w:customStyle="1" w:styleId="Tablea">
    <w:name w:val="Table(a)"/>
    <w:aliases w:val="ta"/>
    <w:basedOn w:val="OPCParaBase"/>
    <w:rsid w:val="00BF7D68"/>
    <w:pPr>
      <w:spacing w:before="60" w:line="240" w:lineRule="auto"/>
      <w:ind w:left="284" w:hanging="284"/>
    </w:pPr>
    <w:rPr>
      <w:sz w:val="20"/>
    </w:rPr>
  </w:style>
  <w:style w:type="paragraph" w:customStyle="1" w:styleId="TableAA">
    <w:name w:val="Table(AA)"/>
    <w:aliases w:val="taaa"/>
    <w:basedOn w:val="OPCParaBase"/>
    <w:rsid w:val="00BF7D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7D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7D68"/>
    <w:pPr>
      <w:spacing w:before="60" w:line="240" w:lineRule="atLeast"/>
    </w:pPr>
    <w:rPr>
      <w:sz w:val="20"/>
    </w:rPr>
  </w:style>
  <w:style w:type="paragraph" w:customStyle="1" w:styleId="TLPBoxTextnote">
    <w:name w:val="TLPBoxText(note"/>
    <w:aliases w:val="right)"/>
    <w:basedOn w:val="OPCParaBase"/>
    <w:rsid w:val="00BF7D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7D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7D68"/>
    <w:pPr>
      <w:spacing w:before="122" w:line="198" w:lineRule="exact"/>
      <w:ind w:left="1985" w:hanging="851"/>
      <w:jc w:val="right"/>
    </w:pPr>
    <w:rPr>
      <w:sz w:val="18"/>
    </w:rPr>
  </w:style>
  <w:style w:type="paragraph" w:customStyle="1" w:styleId="TLPTableBullet">
    <w:name w:val="TLPTableBullet"/>
    <w:aliases w:val="ttb"/>
    <w:basedOn w:val="OPCParaBase"/>
    <w:rsid w:val="00BF7D68"/>
    <w:pPr>
      <w:spacing w:line="240" w:lineRule="exact"/>
      <w:ind w:left="284" w:hanging="284"/>
    </w:pPr>
    <w:rPr>
      <w:sz w:val="20"/>
    </w:rPr>
  </w:style>
  <w:style w:type="paragraph" w:styleId="TOC1">
    <w:name w:val="toc 1"/>
    <w:basedOn w:val="Normal"/>
    <w:next w:val="Normal"/>
    <w:uiPriority w:val="39"/>
    <w:unhideWhenUsed/>
    <w:rsid w:val="00BF7D6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F7D6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F7D6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F7D6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F7D6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F7D6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F7D6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F7D6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F7D6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F7D68"/>
    <w:pPr>
      <w:keepLines/>
      <w:spacing w:before="240" w:after="120" w:line="240" w:lineRule="auto"/>
      <w:ind w:left="794"/>
    </w:pPr>
    <w:rPr>
      <w:b/>
      <w:kern w:val="28"/>
      <w:sz w:val="20"/>
    </w:rPr>
  </w:style>
  <w:style w:type="paragraph" w:customStyle="1" w:styleId="TofSectsHeading">
    <w:name w:val="TofSects(Heading)"/>
    <w:basedOn w:val="OPCParaBase"/>
    <w:rsid w:val="00BF7D68"/>
    <w:pPr>
      <w:spacing w:before="240" w:after="120" w:line="240" w:lineRule="auto"/>
    </w:pPr>
    <w:rPr>
      <w:b/>
      <w:sz w:val="24"/>
    </w:rPr>
  </w:style>
  <w:style w:type="paragraph" w:customStyle="1" w:styleId="TofSectsSection">
    <w:name w:val="TofSects(Section)"/>
    <w:basedOn w:val="OPCParaBase"/>
    <w:rsid w:val="00BF7D68"/>
    <w:pPr>
      <w:keepLines/>
      <w:spacing w:before="40" w:line="240" w:lineRule="auto"/>
      <w:ind w:left="1588" w:hanging="794"/>
    </w:pPr>
    <w:rPr>
      <w:kern w:val="28"/>
      <w:sz w:val="18"/>
    </w:rPr>
  </w:style>
  <w:style w:type="paragraph" w:customStyle="1" w:styleId="TofSectsSubdiv">
    <w:name w:val="TofSects(Subdiv)"/>
    <w:basedOn w:val="OPCParaBase"/>
    <w:rsid w:val="00BF7D68"/>
    <w:pPr>
      <w:keepLines/>
      <w:spacing w:before="80" w:line="240" w:lineRule="auto"/>
      <w:ind w:left="1588" w:hanging="794"/>
    </w:pPr>
    <w:rPr>
      <w:kern w:val="28"/>
    </w:rPr>
  </w:style>
  <w:style w:type="paragraph" w:customStyle="1" w:styleId="WRStyle">
    <w:name w:val="WR Style"/>
    <w:aliases w:val="WR"/>
    <w:basedOn w:val="OPCParaBase"/>
    <w:rsid w:val="00BF7D68"/>
    <w:pPr>
      <w:spacing w:before="240" w:line="240" w:lineRule="auto"/>
      <w:ind w:left="284" w:hanging="284"/>
    </w:pPr>
    <w:rPr>
      <w:b/>
      <w:i/>
      <w:kern w:val="28"/>
      <w:sz w:val="24"/>
    </w:rPr>
  </w:style>
  <w:style w:type="paragraph" w:customStyle="1" w:styleId="notepara">
    <w:name w:val="note(para)"/>
    <w:aliases w:val="na"/>
    <w:basedOn w:val="OPCParaBase"/>
    <w:rsid w:val="00BF7D68"/>
    <w:pPr>
      <w:spacing w:before="40" w:line="198" w:lineRule="exact"/>
      <w:ind w:left="2354" w:hanging="369"/>
    </w:pPr>
    <w:rPr>
      <w:sz w:val="18"/>
    </w:rPr>
  </w:style>
  <w:style w:type="paragraph" w:styleId="Footer">
    <w:name w:val="footer"/>
    <w:link w:val="FooterChar"/>
    <w:rsid w:val="00BF7D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7D68"/>
    <w:rPr>
      <w:rFonts w:eastAsia="Times New Roman" w:cs="Times New Roman"/>
      <w:sz w:val="22"/>
      <w:szCs w:val="24"/>
      <w:lang w:eastAsia="en-AU"/>
    </w:rPr>
  </w:style>
  <w:style w:type="character" w:styleId="LineNumber">
    <w:name w:val="line number"/>
    <w:basedOn w:val="OPCCharBase"/>
    <w:uiPriority w:val="99"/>
    <w:unhideWhenUsed/>
    <w:rsid w:val="00BF7D68"/>
    <w:rPr>
      <w:sz w:val="16"/>
    </w:rPr>
  </w:style>
  <w:style w:type="table" w:customStyle="1" w:styleId="CFlag">
    <w:name w:val="CFlag"/>
    <w:basedOn w:val="TableNormal"/>
    <w:uiPriority w:val="99"/>
    <w:rsid w:val="00BF7D68"/>
    <w:rPr>
      <w:rFonts w:eastAsia="Times New Roman" w:cs="Times New Roman"/>
      <w:lang w:eastAsia="en-AU"/>
    </w:rPr>
    <w:tblPr/>
  </w:style>
  <w:style w:type="paragraph" w:styleId="BalloonText">
    <w:name w:val="Balloon Text"/>
    <w:basedOn w:val="Normal"/>
    <w:link w:val="BalloonTextChar"/>
    <w:uiPriority w:val="99"/>
    <w:unhideWhenUsed/>
    <w:rsid w:val="00BF7D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7D68"/>
    <w:rPr>
      <w:rFonts w:ascii="Tahoma" w:hAnsi="Tahoma" w:cs="Tahoma"/>
      <w:sz w:val="16"/>
      <w:szCs w:val="16"/>
    </w:rPr>
  </w:style>
  <w:style w:type="table" w:styleId="TableGrid">
    <w:name w:val="Table Grid"/>
    <w:basedOn w:val="TableNormal"/>
    <w:uiPriority w:val="59"/>
    <w:rsid w:val="00BF7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7D68"/>
    <w:rPr>
      <w:b/>
      <w:sz w:val="28"/>
      <w:szCs w:val="32"/>
    </w:rPr>
  </w:style>
  <w:style w:type="paragraph" w:customStyle="1" w:styleId="LegislationMadeUnder">
    <w:name w:val="LegislationMadeUnder"/>
    <w:basedOn w:val="OPCParaBase"/>
    <w:next w:val="Normal"/>
    <w:rsid w:val="00BF7D68"/>
    <w:rPr>
      <w:i/>
      <w:sz w:val="32"/>
      <w:szCs w:val="32"/>
    </w:rPr>
  </w:style>
  <w:style w:type="paragraph" w:customStyle="1" w:styleId="SignCoverPageEnd">
    <w:name w:val="SignCoverPageEnd"/>
    <w:basedOn w:val="OPCParaBase"/>
    <w:next w:val="Normal"/>
    <w:rsid w:val="00BF7D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7D68"/>
    <w:pPr>
      <w:pBdr>
        <w:top w:val="single" w:sz="4" w:space="1" w:color="auto"/>
      </w:pBdr>
      <w:spacing w:before="360"/>
      <w:ind w:right="397"/>
      <w:jc w:val="both"/>
    </w:pPr>
  </w:style>
  <w:style w:type="paragraph" w:customStyle="1" w:styleId="NotesHeading1">
    <w:name w:val="NotesHeading 1"/>
    <w:basedOn w:val="OPCParaBase"/>
    <w:next w:val="Normal"/>
    <w:rsid w:val="00BF7D68"/>
    <w:rPr>
      <w:b/>
      <w:sz w:val="28"/>
      <w:szCs w:val="28"/>
    </w:rPr>
  </w:style>
  <w:style w:type="paragraph" w:customStyle="1" w:styleId="NotesHeading2">
    <w:name w:val="NotesHeading 2"/>
    <w:basedOn w:val="OPCParaBase"/>
    <w:next w:val="Normal"/>
    <w:rsid w:val="00BF7D68"/>
    <w:rPr>
      <w:b/>
      <w:sz w:val="28"/>
      <w:szCs w:val="28"/>
    </w:rPr>
  </w:style>
  <w:style w:type="paragraph" w:customStyle="1" w:styleId="ENotesText">
    <w:name w:val="ENotesText"/>
    <w:aliases w:val="Ent"/>
    <w:basedOn w:val="OPCParaBase"/>
    <w:next w:val="Normal"/>
    <w:rsid w:val="00BF7D68"/>
    <w:pPr>
      <w:spacing w:before="120"/>
    </w:pPr>
  </w:style>
  <w:style w:type="paragraph" w:customStyle="1" w:styleId="CompiledActNo">
    <w:name w:val="CompiledActNo"/>
    <w:basedOn w:val="OPCParaBase"/>
    <w:next w:val="Normal"/>
    <w:rsid w:val="00BF7D68"/>
    <w:rPr>
      <w:b/>
      <w:sz w:val="24"/>
      <w:szCs w:val="24"/>
    </w:rPr>
  </w:style>
  <w:style w:type="paragraph" w:customStyle="1" w:styleId="CompiledMadeUnder">
    <w:name w:val="CompiledMadeUnder"/>
    <w:basedOn w:val="OPCParaBase"/>
    <w:next w:val="Normal"/>
    <w:rsid w:val="00BF7D68"/>
    <w:rPr>
      <w:i/>
      <w:sz w:val="24"/>
      <w:szCs w:val="24"/>
    </w:rPr>
  </w:style>
  <w:style w:type="paragraph" w:customStyle="1" w:styleId="Paragraphsub-sub-sub">
    <w:name w:val="Paragraph(sub-sub-sub)"/>
    <w:aliases w:val="aaaa"/>
    <w:basedOn w:val="OPCParaBase"/>
    <w:rsid w:val="00BF7D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7D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7D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7D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7D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F7D68"/>
    <w:pPr>
      <w:spacing w:before="60" w:line="240" w:lineRule="auto"/>
    </w:pPr>
    <w:rPr>
      <w:rFonts w:cs="Arial"/>
      <w:sz w:val="20"/>
      <w:szCs w:val="22"/>
    </w:rPr>
  </w:style>
  <w:style w:type="paragraph" w:customStyle="1" w:styleId="NoteToSubpara">
    <w:name w:val="NoteToSubpara"/>
    <w:aliases w:val="nts"/>
    <w:basedOn w:val="OPCParaBase"/>
    <w:rsid w:val="00BF7D68"/>
    <w:pPr>
      <w:spacing w:before="40" w:line="198" w:lineRule="exact"/>
      <w:ind w:left="2835" w:hanging="709"/>
    </w:pPr>
    <w:rPr>
      <w:sz w:val="18"/>
    </w:rPr>
  </w:style>
  <w:style w:type="paragraph" w:customStyle="1" w:styleId="ENoteTableHeading">
    <w:name w:val="ENoteTableHeading"/>
    <w:aliases w:val="enth"/>
    <w:basedOn w:val="OPCParaBase"/>
    <w:rsid w:val="00BF7D68"/>
    <w:pPr>
      <w:keepNext/>
      <w:spacing w:before="60" w:line="240" w:lineRule="atLeast"/>
    </w:pPr>
    <w:rPr>
      <w:rFonts w:ascii="Arial" w:hAnsi="Arial"/>
      <w:b/>
      <w:sz w:val="16"/>
    </w:rPr>
  </w:style>
  <w:style w:type="paragraph" w:customStyle="1" w:styleId="ENoteTTi">
    <w:name w:val="ENoteTTi"/>
    <w:aliases w:val="entti"/>
    <w:basedOn w:val="OPCParaBase"/>
    <w:rsid w:val="00BF7D68"/>
    <w:pPr>
      <w:keepNext/>
      <w:spacing w:before="60" w:line="240" w:lineRule="atLeast"/>
      <w:ind w:left="170"/>
    </w:pPr>
    <w:rPr>
      <w:sz w:val="16"/>
    </w:rPr>
  </w:style>
  <w:style w:type="paragraph" w:customStyle="1" w:styleId="ENotesHeading1">
    <w:name w:val="ENotesHeading 1"/>
    <w:aliases w:val="Enh1"/>
    <w:basedOn w:val="OPCParaBase"/>
    <w:next w:val="Normal"/>
    <w:rsid w:val="00BF7D68"/>
    <w:pPr>
      <w:spacing w:before="120"/>
      <w:outlineLvl w:val="1"/>
    </w:pPr>
    <w:rPr>
      <w:b/>
      <w:sz w:val="28"/>
      <w:szCs w:val="28"/>
    </w:rPr>
  </w:style>
  <w:style w:type="paragraph" w:customStyle="1" w:styleId="ENotesHeading2">
    <w:name w:val="ENotesHeading 2"/>
    <w:aliases w:val="Enh2"/>
    <w:basedOn w:val="OPCParaBase"/>
    <w:next w:val="Normal"/>
    <w:rsid w:val="00BF7D68"/>
    <w:pPr>
      <w:spacing w:before="120" w:after="120"/>
      <w:outlineLvl w:val="2"/>
    </w:pPr>
    <w:rPr>
      <w:b/>
      <w:sz w:val="24"/>
      <w:szCs w:val="28"/>
    </w:rPr>
  </w:style>
  <w:style w:type="paragraph" w:customStyle="1" w:styleId="ENoteTTIndentHeading">
    <w:name w:val="ENoteTTIndentHeading"/>
    <w:aliases w:val="enTTHi"/>
    <w:basedOn w:val="OPCParaBase"/>
    <w:rsid w:val="00BF7D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7D68"/>
    <w:pPr>
      <w:spacing w:before="60" w:line="240" w:lineRule="atLeast"/>
    </w:pPr>
    <w:rPr>
      <w:sz w:val="16"/>
    </w:rPr>
  </w:style>
  <w:style w:type="paragraph" w:customStyle="1" w:styleId="MadeunderText">
    <w:name w:val="MadeunderText"/>
    <w:basedOn w:val="OPCParaBase"/>
    <w:next w:val="Normal"/>
    <w:rsid w:val="00BF7D68"/>
    <w:pPr>
      <w:spacing w:before="240"/>
    </w:pPr>
    <w:rPr>
      <w:sz w:val="24"/>
      <w:szCs w:val="24"/>
    </w:rPr>
  </w:style>
  <w:style w:type="paragraph" w:customStyle="1" w:styleId="ENotesHeading3">
    <w:name w:val="ENotesHeading 3"/>
    <w:aliases w:val="Enh3"/>
    <w:basedOn w:val="OPCParaBase"/>
    <w:next w:val="Normal"/>
    <w:rsid w:val="00BF7D68"/>
    <w:pPr>
      <w:keepNext/>
      <w:spacing w:before="120" w:line="240" w:lineRule="auto"/>
      <w:outlineLvl w:val="4"/>
    </w:pPr>
    <w:rPr>
      <w:b/>
      <w:szCs w:val="24"/>
    </w:rPr>
  </w:style>
  <w:style w:type="character" w:customStyle="1" w:styleId="CharSubPartTextCASA">
    <w:name w:val="CharSubPartText(CASA)"/>
    <w:basedOn w:val="OPCCharBase"/>
    <w:uiPriority w:val="1"/>
    <w:rsid w:val="00BF7D68"/>
  </w:style>
  <w:style w:type="character" w:customStyle="1" w:styleId="CharSubPartNoCASA">
    <w:name w:val="CharSubPartNo(CASA)"/>
    <w:basedOn w:val="OPCCharBase"/>
    <w:uiPriority w:val="1"/>
    <w:rsid w:val="00BF7D68"/>
  </w:style>
  <w:style w:type="paragraph" w:customStyle="1" w:styleId="ENoteTTIndentHeadingSub">
    <w:name w:val="ENoteTTIndentHeadingSub"/>
    <w:aliases w:val="enTTHis"/>
    <w:basedOn w:val="OPCParaBase"/>
    <w:rsid w:val="00BF7D68"/>
    <w:pPr>
      <w:keepNext/>
      <w:spacing w:before="60" w:line="240" w:lineRule="atLeast"/>
      <w:ind w:left="340"/>
    </w:pPr>
    <w:rPr>
      <w:b/>
      <w:sz w:val="16"/>
    </w:rPr>
  </w:style>
  <w:style w:type="paragraph" w:customStyle="1" w:styleId="ENoteTTiSub">
    <w:name w:val="ENoteTTiSub"/>
    <w:aliases w:val="enttis"/>
    <w:basedOn w:val="OPCParaBase"/>
    <w:rsid w:val="00BF7D68"/>
    <w:pPr>
      <w:keepNext/>
      <w:spacing w:before="60" w:line="240" w:lineRule="atLeast"/>
      <w:ind w:left="340"/>
    </w:pPr>
    <w:rPr>
      <w:sz w:val="16"/>
    </w:rPr>
  </w:style>
  <w:style w:type="paragraph" w:customStyle="1" w:styleId="SubDivisionMigration">
    <w:name w:val="SubDivisionMigration"/>
    <w:aliases w:val="sdm"/>
    <w:basedOn w:val="OPCParaBase"/>
    <w:rsid w:val="00BF7D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7D6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F7D6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F7D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7D68"/>
    <w:rPr>
      <w:sz w:val="22"/>
    </w:rPr>
  </w:style>
  <w:style w:type="paragraph" w:customStyle="1" w:styleId="SOTextNote">
    <w:name w:val="SO TextNote"/>
    <w:aliases w:val="sont"/>
    <w:basedOn w:val="SOText"/>
    <w:qFormat/>
    <w:rsid w:val="00BF7D68"/>
    <w:pPr>
      <w:spacing w:before="122" w:line="198" w:lineRule="exact"/>
      <w:ind w:left="1843" w:hanging="709"/>
    </w:pPr>
    <w:rPr>
      <w:sz w:val="18"/>
    </w:rPr>
  </w:style>
  <w:style w:type="paragraph" w:customStyle="1" w:styleId="SOPara">
    <w:name w:val="SO Para"/>
    <w:aliases w:val="soa"/>
    <w:basedOn w:val="SOText"/>
    <w:link w:val="SOParaChar"/>
    <w:qFormat/>
    <w:rsid w:val="00BF7D68"/>
    <w:pPr>
      <w:tabs>
        <w:tab w:val="right" w:pos="1786"/>
      </w:tabs>
      <w:spacing w:before="40"/>
      <w:ind w:left="2070" w:hanging="936"/>
    </w:pPr>
  </w:style>
  <w:style w:type="character" w:customStyle="1" w:styleId="SOParaChar">
    <w:name w:val="SO Para Char"/>
    <w:aliases w:val="soa Char"/>
    <w:basedOn w:val="DefaultParagraphFont"/>
    <w:link w:val="SOPara"/>
    <w:rsid w:val="00BF7D68"/>
    <w:rPr>
      <w:sz w:val="22"/>
    </w:rPr>
  </w:style>
  <w:style w:type="paragraph" w:customStyle="1" w:styleId="FileName">
    <w:name w:val="FileName"/>
    <w:basedOn w:val="Normal"/>
    <w:rsid w:val="00BF7D68"/>
  </w:style>
  <w:style w:type="paragraph" w:customStyle="1" w:styleId="TableHeading">
    <w:name w:val="TableHeading"/>
    <w:aliases w:val="th"/>
    <w:basedOn w:val="OPCParaBase"/>
    <w:next w:val="Tabletext"/>
    <w:rsid w:val="00BF7D68"/>
    <w:pPr>
      <w:keepNext/>
      <w:spacing w:before="60" w:line="240" w:lineRule="atLeast"/>
    </w:pPr>
    <w:rPr>
      <w:b/>
      <w:sz w:val="20"/>
    </w:rPr>
  </w:style>
  <w:style w:type="paragraph" w:customStyle="1" w:styleId="SOHeadBold">
    <w:name w:val="SO HeadBold"/>
    <w:aliases w:val="sohb"/>
    <w:basedOn w:val="SOText"/>
    <w:next w:val="SOText"/>
    <w:link w:val="SOHeadBoldChar"/>
    <w:qFormat/>
    <w:rsid w:val="00BF7D68"/>
    <w:rPr>
      <w:b/>
    </w:rPr>
  </w:style>
  <w:style w:type="character" w:customStyle="1" w:styleId="SOHeadBoldChar">
    <w:name w:val="SO HeadBold Char"/>
    <w:aliases w:val="sohb Char"/>
    <w:basedOn w:val="DefaultParagraphFont"/>
    <w:link w:val="SOHeadBold"/>
    <w:rsid w:val="00BF7D68"/>
    <w:rPr>
      <w:b/>
      <w:sz w:val="22"/>
    </w:rPr>
  </w:style>
  <w:style w:type="paragraph" w:customStyle="1" w:styleId="SOHeadItalic">
    <w:name w:val="SO HeadItalic"/>
    <w:aliases w:val="sohi"/>
    <w:basedOn w:val="SOText"/>
    <w:next w:val="SOText"/>
    <w:link w:val="SOHeadItalicChar"/>
    <w:qFormat/>
    <w:rsid w:val="00BF7D68"/>
    <w:rPr>
      <w:i/>
    </w:rPr>
  </w:style>
  <w:style w:type="character" w:customStyle="1" w:styleId="SOHeadItalicChar">
    <w:name w:val="SO HeadItalic Char"/>
    <w:aliases w:val="sohi Char"/>
    <w:basedOn w:val="DefaultParagraphFont"/>
    <w:link w:val="SOHeadItalic"/>
    <w:rsid w:val="00BF7D68"/>
    <w:rPr>
      <w:i/>
      <w:sz w:val="22"/>
    </w:rPr>
  </w:style>
  <w:style w:type="paragraph" w:customStyle="1" w:styleId="SOBullet">
    <w:name w:val="SO Bullet"/>
    <w:aliases w:val="sotb"/>
    <w:basedOn w:val="SOText"/>
    <w:link w:val="SOBulletChar"/>
    <w:qFormat/>
    <w:rsid w:val="00BF7D68"/>
    <w:pPr>
      <w:ind w:left="1559" w:hanging="425"/>
    </w:pPr>
  </w:style>
  <w:style w:type="character" w:customStyle="1" w:styleId="SOBulletChar">
    <w:name w:val="SO Bullet Char"/>
    <w:aliases w:val="sotb Char"/>
    <w:basedOn w:val="DefaultParagraphFont"/>
    <w:link w:val="SOBullet"/>
    <w:rsid w:val="00BF7D68"/>
    <w:rPr>
      <w:sz w:val="22"/>
    </w:rPr>
  </w:style>
  <w:style w:type="paragraph" w:customStyle="1" w:styleId="SOBulletNote">
    <w:name w:val="SO BulletNote"/>
    <w:aliases w:val="sonb"/>
    <w:basedOn w:val="SOTextNote"/>
    <w:link w:val="SOBulletNoteChar"/>
    <w:qFormat/>
    <w:rsid w:val="00BF7D68"/>
    <w:pPr>
      <w:tabs>
        <w:tab w:val="left" w:pos="1560"/>
      </w:tabs>
      <w:ind w:left="2268" w:hanging="1134"/>
    </w:pPr>
  </w:style>
  <w:style w:type="character" w:customStyle="1" w:styleId="SOBulletNoteChar">
    <w:name w:val="SO BulletNote Char"/>
    <w:aliases w:val="sonb Char"/>
    <w:basedOn w:val="DefaultParagraphFont"/>
    <w:link w:val="SOBulletNote"/>
    <w:rsid w:val="00BF7D68"/>
    <w:rPr>
      <w:sz w:val="18"/>
    </w:rPr>
  </w:style>
  <w:style w:type="paragraph" w:customStyle="1" w:styleId="SOText2">
    <w:name w:val="SO Text2"/>
    <w:aliases w:val="sot2"/>
    <w:basedOn w:val="Normal"/>
    <w:next w:val="SOText"/>
    <w:link w:val="SOText2Char"/>
    <w:rsid w:val="00BF7D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7D68"/>
    <w:rPr>
      <w:sz w:val="22"/>
    </w:rPr>
  </w:style>
  <w:style w:type="paragraph" w:customStyle="1" w:styleId="SubPartCASA">
    <w:name w:val="SubPart(CASA)"/>
    <w:aliases w:val="csp"/>
    <w:basedOn w:val="OPCParaBase"/>
    <w:next w:val="ActHead3"/>
    <w:rsid w:val="00BF7D6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F7D68"/>
    <w:rPr>
      <w:rFonts w:eastAsia="Times New Roman" w:cs="Times New Roman"/>
      <w:sz w:val="22"/>
      <w:lang w:eastAsia="en-AU"/>
    </w:rPr>
  </w:style>
  <w:style w:type="character" w:customStyle="1" w:styleId="notetextChar">
    <w:name w:val="note(text) Char"/>
    <w:aliases w:val="n Char"/>
    <w:basedOn w:val="DefaultParagraphFont"/>
    <w:link w:val="notetext"/>
    <w:rsid w:val="00BF7D68"/>
    <w:rPr>
      <w:rFonts w:eastAsia="Times New Roman" w:cs="Times New Roman"/>
      <w:sz w:val="18"/>
      <w:lang w:eastAsia="en-AU"/>
    </w:rPr>
  </w:style>
  <w:style w:type="character" w:customStyle="1" w:styleId="Heading1Char">
    <w:name w:val="Heading 1 Char"/>
    <w:basedOn w:val="DefaultParagraphFont"/>
    <w:link w:val="Heading1"/>
    <w:uiPriority w:val="9"/>
    <w:rsid w:val="00BF7D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7D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7D6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F7D6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F7D6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F7D6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F7D6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F7D6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F7D6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F7D68"/>
  </w:style>
  <w:style w:type="character" w:customStyle="1" w:styleId="charlegsubtitle1">
    <w:name w:val="charlegsubtitle1"/>
    <w:basedOn w:val="DefaultParagraphFont"/>
    <w:rsid w:val="00BF7D68"/>
    <w:rPr>
      <w:rFonts w:ascii="Arial" w:hAnsi="Arial" w:cs="Arial" w:hint="default"/>
      <w:b/>
      <w:bCs/>
      <w:sz w:val="28"/>
      <w:szCs w:val="28"/>
    </w:rPr>
  </w:style>
  <w:style w:type="paragraph" w:styleId="Index1">
    <w:name w:val="index 1"/>
    <w:basedOn w:val="Normal"/>
    <w:next w:val="Normal"/>
    <w:autoRedefine/>
    <w:rsid w:val="00BF7D68"/>
    <w:pPr>
      <w:ind w:left="240" w:hanging="240"/>
    </w:pPr>
  </w:style>
  <w:style w:type="paragraph" w:styleId="Index2">
    <w:name w:val="index 2"/>
    <w:basedOn w:val="Normal"/>
    <w:next w:val="Normal"/>
    <w:autoRedefine/>
    <w:rsid w:val="00BF7D68"/>
    <w:pPr>
      <w:ind w:left="480" w:hanging="240"/>
    </w:pPr>
  </w:style>
  <w:style w:type="paragraph" w:styleId="Index3">
    <w:name w:val="index 3"/>
    <w:basedOn w:val="Normal"/>
    <w:next w:val="Normal"/>
    <w:autoRedefine/>
    <w:rsid w:val="00BF7D68"/>
    <w:pPr>
      <w:ind w:left="720" w:hanging="240"/>
    </w:pPr>
  </w:style>
  <w:style w:type="paragraph" w:styleId="Index4">
    <w:name w:val="index 4"/>
    <w:basedOn w:val="Normal"/>
    <w:next w:val="Normal"/>
    <w:autoRedefine/>
    <w:rsid w:val="00BF7D68"/>
    <w:pPr>
      <w:ind w:left="960" w:hanging="240"/>
    </w:pPr>
  </w:style>
  <w:style w:type="paragraph" w:styleId="Index5">
    <w:name w:val="index 5"/>
    <w:basedOn w:val="Normal"/>
    <w:next w:val="Normal"/>
    <w:autoRedefine/>
    <w:rsid w:val="00BF7D68"/>
    <w:pPr>
      <w:ind w:left="1200" w:hanging="240"/>
    </w:pPr>
  </w:style>
  <w:style w:type="paragraph" w:styleId="Index6">
    <w:name w:val="index 6"/>
    <w:basedOn w:val="Normal"/>
    <w:next w:val="Normal"/>
    <w:autoRedefine/>
    <w:rsid w:val="00BF7D68"/>
    <w:pPr>
      <w:ind w:left="1440" w:hanging="240"/>
    </w:pPr>
  </w:style>
  <w:style w:type="paragraph" w:styleId="Index7">
    <w:name w:val="index 7"/>
    <w:basedOn w:val="Normal"/>
    <w:next w:val="Normal"/>
    <w:autoRedefine/>
    <w:rsid w:val="00BF7D68"/>
    <w:pPr>
      <w:ind w:left="1680" w:hanging="240"/>
    </w:pPr>
  </w:style>
  <w:style w:type="paragraph" w:styleId="Index8">
    <w:name w:val="index 8"/>
    <w:basedOn w:val="Normal"/>
    <w:next w:val="Normal"/>
    <w:autoRedefine/>
    <w:rsid w:val="00BF7D68"/>
    <w:pPr>
      <w:ind w:left="1920" w:hanging="240"/>
    </w:pPr>
  </w:style>
  <w:style w:type="paragraph" w:styleId="Index9">
    <w:name w:val="index 9"/>
    <w:basedOn w:val="Normal"/>
    <w:next w:val="Normal"/>
    <w:autoRedefine/>
    <w:rsid w:val="00BF7D68"/>
    <w:pPr>
      <w:ind w:left="2160" w:hanging="240"/>
    </w:pPr>
  </w:style>
  <w:style w:type="paragraph" w:styleId="NormalIndent">
    <w:name w:val="Normal Indent"/>
    <w:basedOn w:val="Normal"/>
    <w:rsid w:val="00BF7D68"/>
    <w:pPr>
      <w:ind w:left="720"/>
    </w:pPr>
  </w:style>
  <w:style w:type="paragraph" w:styleId="FootnoteText">
    <w:name w:val="footnote text"/>
    <w:basedOn w:val="Normal"/>
    <w:link w:val="FootnoteTextChar"/>
    <w:rsid w:val="00BF7D68"/>
    <w:rPr>
      <w:sz w:val="20"/>
    </w:rPr>
  </w:style>
  <w:style w:type="character" w:customStyle="1" w:styleId="FootnoteTextChar">
    <w:name w:val="Footnote Text Char"/>
    <w:basedOn w:val="DefaultParagraphFont"/>
    <w:link w:val="FootnoteText"/>
    <w:rsid w:val="00BF7D68"/>
  </w:style>
  <w:style w:type="paragraph" w:styleId="CommentText">
    <w:name w:val="annotation text"/>
    <w:basedOn w:val="Normal"/>
    <w:link w:val="CommentTextChar"/>
    <w:rsid w:val="00BF7D68"/>
    <w:rPr>
      <w:sz w:val="20"/>
    </w:rPr>
  </w:style>
  <w:style w:type="character" w:customStyle="1" w:styleId="CommentTextChar">
    <w:name w:val="Comment Text Char"/>
    <w:basedOn w:val="DefaultParagraphFont"/>
    <w:link w:val="CommentText"/>
    <w:rsid w:val="00BF7D68"/>
  </w:style>
  <w:style w:type="paragraph" w:styleId="IndexHeading">
    <w:name w:val="index heading"/>
    <w:basedOn w:val="Normal"/>
    <w:next w:val="Index1"/>
    <w:rsid w:val="00BF7D68"/>
    <w:rPr>
      <w:rFonts w:ascii="Arial" w:hAnsi="Arial" w:cs="Arial"/>
      <w:b/>
      <w:bCs/>
    </w:rPr>
  </w:style>
  <w:style w:type="paragraph" w:styleId="Caption">
    <w:name w:val="caption"/>
    <w:basedOn w:val="Normal"/>
    <w:next w:val="Normal"/>
    <w:qFormat/>
    <w:rsid w:val="00BF7D68"/>
    <w:pPr>
      <w:spacing w:before="120" w:after="120"/>
    </w:pPr>
    <w:rPr>
      <w:b/>
      <w:bCs/>
      <w:sz w:val="20"/>
    </w:rPr>
  </w:style>
  <w:style w:type="paragraph" w:styleId="TableofFigures">
    <w:name w:val="table of figures"/>
    <w:basedOn w:val="Normal"/>
    <w:next w:val="Normal"/>
    <w:rsid w:val="00BF7D68"/>
    <w:pPr>
      <w:ind w:left="480" w:hanging="480"/>
    </w:pPr>
  </w:style>
  <w:style w:type="paragraph" w:styleId="EnvelopeAddress">
    <w:name w:val="envelope address"/>
    <w:basedOn w:val="Normal"/>
    <w:rsid w:val="00BF7D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7D68"/>
    <w:rPr>
      <w:rFonts w:ascii="Arial" w:hAnsi="Arial" w:cs="Arial"/>
      <w:sz w:val="20"/>
    </w:rPr>
  </w:style>
  <w:style w:type="character" w:styleId="FootnoteReference">
    <w:name w:val="footnote reference"/>
    <w:basedOn w:val="DefaultParagraphFont"/>
    <w:rsid w:val="00BF7D68"/>
    <w:rPr>
      <w:rFonts w:ascii="Times New Roman" w:hAnsi="Times New Roman"/>
      <w:sz w:val="20"/>
      <w:vertAlign w:val="superscript"/>
    </w:rPr>
  </w:style>
  <w:style w:type="character" w:styleId="CommentReference">
    <w:name w:val="annotation reference"/>
    <w:basedOn w:val="DefaultParagraphFont"/>
    <w:rsid w:val="00BF7D68"/>
    <w:rPr>
      <w:sz w:val="16"/>
      <w:szCs w:val="16"/>
    </w:rPr>
  </w:style>
  <w:style w:type="character" w:styleId="PageNumber">
    <w:name w:val="page number"/>
    <w:basedOn w:val="DefaultParagraphFont"/>
    <w:rsid w:val="00BF7D68"/>
  </w:style>
  <w:style w:type="character" w:styleId="EndnoteReference">
    <w:name w:val="endnote reference"/>
    <w:basedOn w:val="DefaultParagraphFont"/>
    <w:rsid w:val="00BF7D68"/>
    <w:rPr>
      <w:vertAlign w:val="superscript"/>
    </w:rPr>
  </w:style>
  <w:style w:type="paragraph" w:styleId="EndnoteText">
    <w:name w:val="endnote text"/>
    <w:basedOn w:val="Normal"/>
    <w:link w:val="EndnoteTextChar"/>
    <w:rsid w:val="00BF7D68"/>
    <w:rPr>
      <w:sz w:val="20"/>
    </w:rPr>
  </w:style>
  <w:style w:type="character" w:customStyle="1" w:styleId="EndnoteTextChar">
    <w:name w:val="Endnote Text Char"/>
    <w:basedOn w:val="DefaultParagraphFont"/>
    <w:link w:val="EndnoteText"/>
    <w:rsid w:val="00BF7D68"/>
  </w:style>
  <w:style w:type="paragraph" w:styleId="TableofAuthorities">
    <w:name w:val="table of authorities"/>
    <w:basedOn w:val="Normal"/>
    <w:next w:val="Normal"/>
    <w:rsid w:val="00BF7D68"/>
    <w:pPr>
      <w:ind w:left="240" w:hanging="240"/>
    </w:pPr>
  </w:style>
  <w:style w:type="paragraph" w:styleId="MacroText">
    <w:name w:val="macro"/>
    <w:link w:val="MacroTextChar"/>
    <w:rsid w:val="00BF7D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F7D68"/>
    <w:rPr>
      <w:rFonts w:ascii="Courier New" w:eastAsia="Times New Roman" w:hAnsi="Courier New" w:cs="Courier New"/>
      <w:lang w:eastAsia="en-AU"/>
    </w:rPr>
  </w:style>
  <w:style w:type="paragraph" w:styleId="TOAHeading">
    <w:name w:val="toa heading"/>
    <w:basedOn w:val="Normal"/>
    <w:next w:val="Normal"/>
    <w:rsid w:val="00BF7D68"/>
    <w:pPr>
      <w:spacing w:before="120"/>
    </w:pPr>
    <w:rPr>
      <w:rFonts w:ascii="Arial" w:hAnsi="Arial" w:cs="Arial"/>
      <w:b/>
      <w:bCs/>
    </w:rPr>
  </w:style>
  <w:style w:type="paragraph" w:styleId="List">
    <w:name w:val="List"/>
    <w:basedOn w:val="Normal"/>
    <w:rsid w:val="00BF7D68"/>
    <w:pPr>
      <w:ind w:left="283" w:hanging="283"/>
    </w:pPr>
  </w:style>
  <w:style w:type="paragraph" w:styleId="ListBullet">
    <w:name w:val="List Bullet"/>
    <w:basedOn w:val="Normal"/>
    <w:autoRedefine/>
    <w:rsid w:val="00BF7D68"/>
    <w:pPr>
      <w:tabs>
        <w:tab w:val="num" w:pos="360"/>
      </w:tabs>
      <w:ind w:left="360" w:hanging="360"/>
    </w:pPr>
  </w:style>
  <w:style w:type="paragraph" w:styleId="ListNumber">
    <w:name w:val="List Number"/>
    <w:basedOn w:val="Normal"/>
    <w:rsid w:val="00BF7D68"/>
    <w:pPr>
      <w:tabs>
        <w:tab w:val="num" w:pos="360"/>
      </w:tabs>
      <w:ind w:left="360" w:hanging="360"/>
    </w:pPr>
  </w:style>
  <w:style w:type="paragraph" w:styleId="List2">
    <w:name w:val="List 2"/>
    <w:basedOn w:val="Normal"/>
    <w:rsid w:val="00BF7D68"/>
    <w:pPr>
      <w:ind w:left="566" w:hanging="283"/>
    </w:pPr>
  </w:style>
  <w:style w:type="paragraph" w:styleId="List3">
    <w:name w:val="List 3"/>
    <w:basedOn w:val="Normal"/>
    <w:rsid w:val="00BF7D68"/>
    <w:pPr>
      <w:ind w:left="849" w:hanging="283"/>
    </w:pPr>
  </w:style>
  <w:style w:type="paragraph" w:styleId="List4">
    <w:name w:val="List 4"/>
    <w:basedOn w:val="Normal"/>
    <w:rsid w:val="00BF7D68"/>
    <w:pPr>
      <w:ind w:left="1132" w:hanging="283"/>
    </w:pPr>
  </w:style>
  <w:style w:type="paragraph" w:styleId="List5">
    <w:name w:val="List 5"/>
    <w:basedOn w:val="Normal"/>
    <w:rsid w:val="00BF7D68"/>
    <w:pPr>
      <w:ind w:left="1415" w:hanging="283"/>
    </w:pPr>
  </w:style>
  <w:style w:type="paragraph" w:styleId="ListBullet2">
    <w:name w:val="List Bullet 2"/>
    <w:basedOn w:val="Normal"/>
    <w:autoRedefine/>
    <w:rsid w:val="00BF7D68"/>
    <w:pPr>
      <w:tabs>
        <w:tab w:val="num" w:pos="360"/>
      </w:tabs>
    </w:pPr>
  </w:style>
  <w:style w:type="paragraph" w:styleId="ListBullet3">
    <w:name w:val="List Bullet 3"/>
    <w:basedOn w:val="Normal"/>
    <w:autoRedefine/>
    <w:rsid w:val="00BF7D68"/>
    <w:pPr>
      <w:tabs>
        <w:tab w:val="num" w:pos="926"/>
      </w:tabs>
      <w:ind w:left="926" w:hanging="360"/>
    </w:pPr>
  </w:style>
  <w:style w:type="paragraph" w:styleId="ListBullet4">
    <w:name w:val="List Bullet 4"/>
    <w:basedOn w:val="Normal"/>
    <w:autoRedefine/>
    <w:rsid w:val="00BF7D68"/>
    <w:pPr>
      <w:tabs>
        <w:tab w:val="num" w:pos="1209"/>
      </w:tabs>
      <w:ind w:left="1209" w:hanging="360"/>
    </w:pPr>
  </w:style>
  <w:style w:type="paragraph" w:styleId="ListBullet5">
    <w:name w:val="List Bullet 5"/>
    <w:basedOn w:val="Normal"/>
    <w:autoRedefine/>
    <w:rsid w:val="00BF7D68"/>
    <w:pPr>
      <w:tabs>
        <w:tab w:val="num" w:pos="1492"/>
      </w:tabs>
      <w:ind w:left="1492" w:hanging="360"/>
    </w:pPr>
  </w:style>
  <w:style w:type="paragraph" w:styleId="ListNumber2">
    <w:name w:val="List Number 2"/>
    <w:basedOn w:val="Normal"/>
    <w:rsid w:val="00BF7D68"/>
    <w:pPr>
      <w:tabs>
        <w:tab w:val="num" w:pos="643"/>
      </w:tabs>
      <w:ind w:left="643" w:hanging="360"/>
    </w:pPr>
  </w:style>
  <w:style w:type="paragraph" w:styleId="ListNumber3">
    <w:name w:val="List Number 3"/>
    <w:basedOn w:val="Normal"/>
    <w:rsid w:val="00BF7D68"/>
    <w:pPr>
      <w:tabs>
        <w:tab w:val="num" w:pos="926"/>
      </w:tabs>
      <w:ind w:left="926" w:hanging="360"/>
    </w:pPr>
  </w:style>
  <w:style w:type="paragraph" w:styleId="ListNumber4">
    <w:name w:val="List Number 4"/>
    <w:basedOn w:val="Normal"/>
    <w:rsid w:val="00BF7D68"/>
    <w:pPr>
      <w:tabs>
        <w:tab w:val="num" w:pos="1209"/>
      </w:tabs>
      <w:ind w:left="1209" w:hanging="360"/>
    </w:pPr>
  </w:style>
  <w:style w:type="paragraph" w:styleId="ListNumber5">
    <w:name w:val="List Number 5"/>
    <w:basedOn w:val="Normal"/>
    <w:rsid w:val="00BF7D68"/>
    <w:pPr>
      <w:tabs>
        <w:tab w:val="num" w:pos="1492"/>
      </w:tabs>
      <w:ind w:left="1492" w:hanging="360"/>
    </w:pPr>
  </w:style>
  <w:style w:type="paragraph" w:styleId="Title">
    <w:name w:val="Title"/>
    <w:basedOn w:val="Normal"/>
    <w:link w:val="TitleChar"/>
    <w:qFormat/>
    <w:rsid w:val="00BF7D68"/>
    <w:pPr>
      <w:spacing w:before="240" w:after="60"/>
    </w:pPr>
    <w:rPr>
      <w:rFonts w:ascii="Arial" w:hAnsi="Arial" w:cs="Arial"/>
      <w:b/>
      <w:bCs/>
      <w:sz w:val="40"/>
      <w:szCs w:val="40"/>
    </w:rPr>
  </w:style>
  <w:style w:type="character" w:customStyle="1" w:styleId="TitleChar">
    <w:name w:val="Title Char"/>
    <w:basedOn w:val="DefaultParagraphFont"/>
    <w:link w:val="Title"/>
    <w:rsid w:val="00BF7D68"/>
    <w:rPr>
      <w:rFonts w:ascii="Arial" w:hAnsi="Arial" w:cs="Arial"/>
      <w:b/>
      <w:bCs/>
      <w:sz w:val="40"/>
      <w:szCs w:val="40"/>
    </w:rPr>
  </w:style>
  <w:style w:type="paragraph" w:styleId="Closing">
    <w:name w:val="Closing"/>
    <w:basedOn w:val="Normal"/>
    <w:link w:val="ClosingChar"/>
    <w:rsid w:val="00BF7D68"/>
    <w:pPr>
      <w:ind w:left="4252"/>
    </w:pPr>
  </w:style>
  <w:style w:type="character" w:customStyle="1" w:styleId="ClosingChar">
    <w:name w:val="Closing Char"/>
    <w:basedOn w:val="DefaultParagraphFont"/>
    <w:link w:val="Closing"/>
    <w:rsid w:val="00BF7D68"/>
    <w:rPr>
      <w:sz w:val="22"/>
    </w:rPr>
  </w:style>
  <w:style w:type="paragraph" w:styleId="Signature">
    <w:name w:val="Signature"/>
    <w:basedOn w:val="Normal"/>
    <w:link w:val="SignatureChar"/>
    <w:rsid w:val="00BF7D68"/>
    <w:pPr>
      <w:ind w:left="4252"/>
    </w:pPr>
  </w:style>
  <w:style w:type="character" w:customStyle="1" w:styleId="SignatureChar">
    <w:name w:val="Signature Char"/>
    <w:basedOn w:val="DefaultParagraphFont"/>
    <w:link w:val="Signature"/>
    <w:rsid w:val="00BF7D68"/>
    <w:rPr>
      <w:sz w:val="22"/>
    </w:rPr>
  </w:style>
  <w:style w:type="paragraph" w:styleId="BodyText">
    <w:name w:val="Body Text"/>
    <w:basedOn w:val="Normal"/>
    <w:link w:val="BodyTextChar"/>
    <w:rsid w:val="00BF7D68"/>
    <w:pPr>
      <w:spacing w:after="120"/>
    </w:pPr>
  </w:style>
  <w:style w:type="character" w:customStyle="1" w:styleId="BodyTextChar">
    <w:name w:val="Body Text Char"/>
    <w:basedOn w:val="DefaultParagraphFont"/>
    <w:link w:val="BodyText"/>
    <w:rsid w:val="00BF7D68"/>
    <w:rPr>
      <w:sz w:val="22"/>
    </w:rPr>
  </w:style>
  <w:style w:type="paragraph" w:styleId="BodyTextIndent">
    <w:name w:val="Body Text Indent"/>
    <w:basedOn w:val="Normal"/>
    <w:link w:val="BodyTextIndentChar"/>
    <w:rsid w:val="00BF7D68"/>
    <w:pPr>
      <w:spacing w:after="120"/>
      <w:ind w:left="283"/>
    </w:pPr>
  </w:style>
  <w:style w:type="character" w:customStyle="1" w:styleId="BodyTextIndentChar">
    <w:name w:val="Body Text Indent Char"/>
    <w:basedOn w:val="DefaultParagraphFont"/>
    <w:link w:val="BodyTextIndent"/>
    <w:rsid w:val="00BF7D68"/>
    <w:rPr>
      <w:sz w:val="22"/>
    </w:rPr>
  </w:style>
  <w:style w:type="paragraph" w:styleId="ListContinue">
    <w:name w:val="List Continue"/>
    <w:basedOn w:val="Normal"/>
    <w:rsid w:val="00BF7D68"/>
    <w:pPr>
      <w:spacing w:after="120"/>
      <w:ind w:left="283"/>
    </w:pPr>
  </w:style>
  <w:style w:type="paragraph" w:styleId="ListContinue2">
    <w:name w:val="List Continue 2"/>
    <w:basedOn w:val="Normal"/>
    <w:rsid w:val="00BF7D68"/>
    <w:pPr>
      <w:spacing w:after="120"/>
      <w:ind w:left="566"/>
    </w:pPr>
  </w:style>
  <w:style w:type="paragraph" w:styleId="ListContinue3">
    <w:name w:val="List Continue 3"/>
    <w:basedOn w:val="Normal"/>
    <w:rsid w:val="00BF7D68"/>
    <w:pPr>
      <w:spacing w:after="120"/>
      <w:ind w:left="849"/>
    </w:pPr>
  </w:style>
  <w:style w:type="paragraph" w:styleId="ListContinue4">
    <w:name w:val="List Continue 4"/>
    <w:basedOn w:val="Normal"/>
    <w:rsid w:val="00BF7D68"/>
    <w:pPr>
      <w:spacing w:after="120"/>
      <w:ind w:left="1132"/>
    </w:pPr>
  </w:style>
  <w:style w:type="paragraph" w:styleId="ListContinue5">
    <w:name w:val="List Continue 5"/>
    <w:basedOn w:val="Normal"/>
    <w:rsid w:val="00BF7D68"/>
    <w:pPr>
      <w:spacing w:after="120"/>
      <w:ind w:left="1415"/>
    </w:pPr>
  </w:style>
  <w:style w:type="paragraph" w:styleId="MessageHeader">
    <w:name w:val="Message Header"/>
    <w:basedOn w:val="Normal"/>
    <w:link w:val="MessageHeaderChar"/>
    <w:rsid w:val="00BF7D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F7D68"/>
    <w:rPr>
      <w:rFonts w:ascii="Arial" w:hAnsi="Arial" w:cs="Arial"/>
      <w:sz w:val="22"/>
      <w:shd w:val="pct20" w:color="auto" w:fill="auto"/>
    </w:rPr>
  </w:style>
  <w:style w:type="paragraph" w:styleId="Subtitle">
    <w:name w:val="Subtitle"/>
    <w:basedOn w:val="Normal"/>
    <w:link w:val="SubtitleChar"/>
    <w:qFormat/>
    <w:rsid w:val="00BF7D68"/>
    <w:pPr>
      <w:spacing w:after="60"/>
      <w:jc w:val="center"/>
      <w:outlineLvl w:val="1"/>
    </w:pPr>
    <w:rPr>
      <w:rFonts w:ascii="Arial" w:hAnsi="Arial" w:cs="Arial"/>
    </w:rPr>
  </w:style>
  <w:style w:type="character" w:customStyle="1" w:styleId="SubtitleChar">
    <w:name w:val="Subtitle Char"/>
    <w:basedOn w:val="DefaultParagraphFont"/>
    <w:link w:val="Subtitle"/>
    <w:rsid w:val="00BF7D68"/>
    <w:rPr>
      <w:rFonts w:ascii="Arial" w:hAnsi="Arial" w:cs="Arial"/>
      <w:sz w:val="22"/>
    </w:rPr>
  </w:style>
  <w:style w:type="paragraph" w:styleId="Salutation">
    <w:name w:val="Salutation"/>
    <w:basedOn w:val="Normal"/>
    <w:next w:val="Normal"/>
    <w:link w:val="SalutationChar"/>
    <w:rsid w:val="00BF7D68"/>
  </w:style>
  <w:style w:type="character" w:customStyle="1" w:styleId="SalutationChar">
    <w:name w:val="Salutation Char"/>
    <w:basedOn w:val="DefaultParagraphFont"/>
    <w:link w:val="Salutation"/>
    <w:rsid w:val="00BF7D68"/>
    <w:rPr>
      <w:sz w:val="22"/>
    </w:rPr>
  </w:style>
  <w:style w:type="paragraph" w:styleId="Date">
    <w:name w:val="Date"/>
    <w:basedOn w:val="Normal"/>
    <w:next w:val="Normal"/>
    <w:link w:val="DateChar"/>
    <w:rsid w:val="00BF7D68"/>
  </w:style>
  <w:style w:type="character" w:customStyle="1" w:styleId="DateChar">
    <w:name w:val="Date Char"/>
    <w:basedOn w:val="DefaultParagraphFont"/>
    <w:link w:val="Date"/>
    <w:rsid w:val="00BF7D68"/>
    <w:rPr>
      <w:sz w:val="22"/>
    </w:rPr>
  </w:style>
  <w:style w:type="paragraph" w:styleId="BodyTextFirstIndent">
    <w:name w:val="Body Text First Indent"/>
    <w:basedOn w:val="BodyText"/>
    <w:link w:val="BodyTextFirstIndentChar"/>
    <w:rsid w:val="00BF7D68"/>
    <w:pPr>
      <w:ind w:firstLine="210"/>
    </w:pPr>
  </w:style>
  <w:style w:type="character" w:customStyle="1" w:styleId="BodyTextFirstIndentChar">
    <w:name w:val="Body Text First Indent Char"/>
    <w:basedOn w:val="BodyTextChar"/>
    <w:link w:val="BodyTextFirstIndent"/>
    <w:rsid w:val="00BF7D68"/>
    <w:rPr>
      <w:sz w:val="22"/>
    </w:rPr>
  </w:style>
  <w:style w:type="paragraph" w:styleId="BodyTextFirstIndent2">
    <w:name w:val="Body Text First Indent 2"/>
    <w:basedOn w:val="BodyTextIndent"/>
    <w:link w:val="BodyTextFirstIndent2Char"/>
    <w:rsid w:val="00BF7D68"/>
    <w:pPr>
      <w:ind w:firstLine="210"/>
    </w:pPr>
  </w:style>
  <w:style w:type="character" w:customStyle="1" w:styleId="BodyTextFirstIndent2Char">
    <w:name w:val="Body Text First Indent 2 Char"/>
    <w:basedOn w:val="BodyTextIndentChar"/>
    <w:link w:val="BodyTextFirstIndent2"/>
    <w:rsid w:val="00BF7D68"/>
    <w:rPr>
      <w:sz w:val="22"/>
    </w:rPr>
  </w:style>
  <w:style w:type="paragraph" w:styleId="BodyText2">
    <w:name w:val="Body Text 2"/>
    <w:basedOn w:val="Normal"/>
    <w:link w:val="BodyText2Char"/>
    <w:rsid w:val="00BF7D68"/>
    <w:pPr>
      <w:spacing w:after="120" w:line="480" w:lineRule="auto"/>
    </w:pPr>
  </w:style>
  <w:style w:type="character" w:customStyle="1" w:styleId="BodyText2Char">
    <w:name w:val="Body Text 2 Char"/>
    <w:basedOn w:val="DefaultParagraphFont"/>
    <w:link w:val="BodyText2"/>
    <w:rsid w:val="00BF7D68"/>
    <w:rPr>
      <w:sz w:val="22"/>
    </w:rPr>
  </w:style>
  <w:style w:type="paragraph" w:styleId="BodyText3">
    <w:name w:val="Body Text 3"/>
    <w:basedOn w:val="Normal"/>
    <w:link w:val="BodyText3Char"/>
    <w:rsid w:val="00BF7D68"/>
    <w:pPr>
      <w:spacing w:after="120"/>
    </w:pPr>
    <w:rPr>
      <w:sz w:val="16"/>
      <w:szCs w:val="16"/>
    </w:rPr>
  </w:style>
  <w:style w:type="character" w:customStyle="1" w:styleId="BodyText3Char">
    <w:name w:val="Body Text 3 Char"/>
    <w:basedOn w:val="DefaultParagraphFont"/>
    <w:link w:val="BodyText3"/>
    <w:rsid w:val="00BF7D68"/>
    <w:rPr>
      <w:sz w:val="16"/>
      <w:szCs w:val="16"/>
    </w:rPr>
  </w:style>
  <w:style w:type="paragraph" w:styleId="BodyTextIndent2">
    <w:name w:val="Body Text Indent 2"/>
    <w:basedOn w:val="Normal"/>
    <w:link w:val="BodyTextIndent2Char"/>
    <w:rsid w:val="00BF7D68"/>
    <w:pPr>
      <w:spacing w:after="120" w:line="480" w:lineRule="auto"/>
      <w:ind w:left="283"/>
    </w:pPr>
  </w:style>
  <w:style w:type="character" w:customStyle="1" w:styleId="BodyTextIndent2Char">
    <w:name w:val="Body Text Indent 2 Char"/>
    <w:basedOn w:val="DefaultParagraphFont"/>
    <w:link w:val="BodyTextIndent2"/>
    <w:rsid w:val="00BF7D68"/>
    <w:rPr>
      <w:sz w:val="22"/>
    </w:rPr>
  </w:style>
  <w:style w:type="paragraph" w:styleId="BodyTextIndent3">
    <w:name w:val="Body Text Indent 3"/>
    <w:basedOn w:val="Normal"/>
    <w:link w:val="BodyTextIndent3Char"/>
    <w:rsid w:val="00BF7D68"/>
    <w:pPr>
      <w:spacing w:after="120"/>
      <w:ind w:left="283"/>
    </w:pPr>
    <w:rPr>
      <w:sz w:val="16"/>
      <w:szCs w:val="16"/>
    </w:rPr>
  </w:style>
  <w:style w:type="character" w:customStyle="1" w:styleId="BodyTextIndent3Char">
    <w:name w:val="Body Text Indent 3 Char"/>
    <w:basedOn w:val="DefaultParagraphFont"/>
    <w:link w:val="BodyTextIndent3"/>
    <w:rsid w:val="00BF7D68"/>
    <w:rPr>
      <w:sz w:val="16"/>
      <w:szCs w:val="16"/>
    </w:rPr>
  </w:style>
  <w:style w:type="paragraph" w:styleId="BlockText">
    <w:name w:val="Block Text"/>
    <w:basedOn w:val="Normal"/>
    <w:rsid w:val="00BF7D68"/>
    <w:pPr>
      <w:spacing w:after="120"/>
      <w:ind w:left="1440" w:right="1440"/>
    </w:pPr>
  </w:style>
  <w:style w:type="character" w:styleId="Hyperlink">
    <w:name w:val="Hyperlink"/>
    <w:basedOn w:val="DefaultParagraphFont"/>
    <w:rsid w:val="00BF7D68"/>
    <w:rPr>
      <w:color w:val="0000FF"/>
      <w:u w:val="single"/>
    </w:rPr>
  </w:style>
  <w:style w:type="character" w:styleId="FollowedHyperlink">
    <w:name w:val="FollowedHyperlink"/>
    <w:basedOn w:val="DefaultParagraphFont"/>
    <w:rsid w:val="00BF7D68"/>
    <w:rPr>
      <w:color w:val="800080"/>
      <w:u w:val="single"/>
    </w:rPr>
  </w:style>
  <w:style w:type="character" w:styleId="Strong">
    <w:name w:val="Strong"/>
    <w:basedOn w:val="DefaultParagraphFont"/>
    <w:qFormat/>
    <w:rsid w:val="00BF7D68"/>
    <w:rPr>
      <w:b/>
      <w:bCs/>
    </w:rPr>
  </w:style>
  <w:style w:type="character" w:styleId="Emphasis">
    <w:name w:val="Emphasis"/>
    <w:basedOn w:val="DefaultParagraphFont"/>
    <w:qFormat/>
    <w:rsid w:val="00BF7D68"/>
    <w:rPr>
      <w:i/>
      <w:iCs/>
    </w:rPr>
  </w:style>
  <w:style w:type="paragraph" w:styleId="DocumentMap">
    <w:name w:val="Document Map"/>
    <w:basedOn w:val="Normal"/>
    <w:link w:val="DocumentMapChar"/>
    <w:rsid w:val="00BF7D68"/>
    <w:pPr>
      <w:shd w:val="clear" w:color="auto" w:fill="000080"/>
    </w:pPr>
    <w:rPr>
      <w:rFonts w:ascii="Tahoma" w:hAnsi="Tahoma" w:cs="Tahoma"/>
    </w:rPr>
  </w:style>
  <w:style w:type="character" w:customStyle="1" w:styleId="DocumentMapChar">
    <w:name w:val="Document Map Char"/>
    <w:basedOn w:val="DefaultParagraphFont"/>
    <w:link w:val="DocumentMap"/>
    <w:rsid w:val="00BF7D68"/>
    <w:rPr>
      <w:rFonts w:ascii="Tahoma" w:hAnsi="Tahoma" w:cs="Tahoma"/>
      <w:sz w:val="22"/>
      <w:shd w:val="clear" w:color="auto" w:fill="000080"/>
    </w:rPr>
  </w:style>
  <w:style w:type="paragraph" w:styleId="PlainText">
    <w:name w:val="Plain Text"/>
    <w:basedOn w:val="Normal"/>
    <w:link w:val="PlainTextChar"/>
    <w:rsid w:val="00BF7D68"/>
    <w:rPr>
      <w:rFonts w:ascii="Courier New" w:hAnsi="Courier New" w:cs="Courier New"/>
      <w:sz w:val="20"/>
    </w:rPr>
  </w:style>
  <w:style w:type="character" w:customStyle="1" w:styleId="PlainTextChar">
    <w:name w:val="Plain Text Char"/>
    <w:basedOn w:val="DefaultParagraphFont"/>
    <w:link w:val="PlainText"/>
    <w:rsid w:val="00BF7D68"/>
    <w:rPr>
      <w:rFonts w:ascii="Courier New" w:hAnsi="Courier New" w:cs="Courier New"/>
    </w:rPr>
  </w:style>
  <w:style w:type="paragraph" w:styleId="E-mailSignature">
    <w:name w:val="E-mail Signature"/>
    <w:basedOn w:val="Normal"/>
    <w:link w:val="E-mailSignatureChar"/>
    <w:rsid w:val="00BF7D68"/>
  </w:style>
  <w:style w:type="character" w:customStyle="1" w:styleId="E-mailSignatureChar">
    <w:name w:val="E-mail Signature Char"/>
    <w:basedOn w:val="DefaultParagraphFont"/>
    <w:link w:val="E-mailSignature"/>
    <w:rsid w:val="00BF7D68"/>
    <w:rPr>
      <w:sz w:val="22"/>
    </w:rPr>
  </w:style>
  <w:style w:type="paragraph" w:styleId="NormalWeb">
    <w:name w:val="Normal (Web)"/>
    <w:basedOn w:val="Normal"/>
    <w:rsid w:val="00BF7D68"/>
  </w:style>
  <w:style w:type="character" w:styleId="HTMLAcronym">
    <w:name w:val="HTML Acronym"/>
    <w:basedOn w:val="DefaultParagraphFont"/>
    <w:rsid w:val="00BF7D68"/>
  </w:style>
  <w:style w:type="paragraph" w:styleId="HTMLAddress">
    <w:name w:val="HTML Address"/>
    <w:basedOn w:val="Normal"/>
    <w:link w:val="HTMLAddressChar"/>
    <w:rsid w:val="00BF7D68"/>
    <w:rPr>
      <w:i/>
      <w:iCs/>
    </w:rPr>
  </w:style>
  <w:style w:type="character" w:customStyle="1" w:styleId="HTMLAddressChar">
    <w:name w:val="HTML Address Char"/>
    <w:basedOn w:val="DefaultParagraphFont"/>
    <w:link w:val="HTMLAddress"/>
    <w:rsid w:val="00BF7D68"/>
    <w:rPr>
      <w:i/>
      <w:iCs/>
      <w:sz w:val="22"/>
    </w:rPr>
  </w:style>
  <w:style w:type="character" w:styleId="HTMLCite">
    <w:name w:val="HTML Cite"/>
    <w:basedOn w:val="DefaultParagraphFont"/>
    <w:rsid w:val="00BF7D68"/>
    <w:rPr>
      <w:i/>
      <w:iCs/>
    </w:rPr>
  </w:style>
  <w:style w:type="character" w:styleId="HTMLCode">
    <w:name w:val="HTML Code"/>
    <w:basedOn w:val="DefaultParagraphFont"/>
    <w:rsid w:val="00BF7D68"/>
    <w:rPr>
      <w:rFonts w:ascii="Courier New" w:hAnsi="Courier New" w:cs="Courier New"/>
      <w:sz w:val="20"/>
      <w:szCs w:val="20"/>
    </w:rPr>
  </w:style>
  <w:style w:type="character" w:styleId="HTMLDefinition">
    <w:name w:val="HTML Definition"/>
    <w:basedOn w:val="DefaultParagraphFont"/>
    <w:rsid w:val="00BF7D68"/>
    <w:rPr>
      <w:i/>
      <w:iCs/>
    </w:rPr>
  </w:style>
  <w:style w:type="character" w:styleId="HTMLKeyboard">
    <w:name w:val="HTML Keyboard"/>
    <w:basedOn w:val="DefaultParagraphFont"/>
    <w:rsid w:val="00BF7D68"/>
    <w:rPr>
      <w:rFonts w:ascii="Courier New" w:hAnsi="Courier New" w:cs="Courier New"/>
      <w:sz w:val="20"/>
      <w:szCs w:val="20"/>
    </w:rPr>
  </w:style>
  <w:style w:type="paragraph" w:styleId="HTMLPreformatted">
    <w:name w:val="HTML Preformatted"/>
    <w:basedOn w:val="Normal"/>
    <w:link w:val="HTMLPreformattedChar"/>
    <w:rsid w:val="00BF7D68"/>
    <w:rPr>
      <w:rFonts w:ascii="Courier New" w:hAnsi="Courier New" w:cs="Courier New"/>
      <w:sz w:val="20"/>
    </w:rPr>
  </w:style>
  <w:style w:type="character" w:customStyle="1" w:styleId="HTMLPreformattedChar">
    <w:name w:val="HTML Preformatted Char"/>
    <w:basedOn w:val="DefaultParagraphFont"/>
    <w:link w:val="HTMLPreformatted"/>
    <w:rsid w:val="00BF7D68"/>
    <w:rPr>
      <w:rFonts w:ascii="Courier New" w:hAnsi="Courier New" w:cs="Courier New"/>
    </w:rPr>
  </w:style>
  <w:style w:type="character" w:styleId="HTMLSample">
    <w:name w:val="HTML Sample"/>
    <w:basedOn w:val="DefaultParagraphFont"/>
    <w:rsid w:val="00BF7D68"/>
    <w:rPr>
      <w:rFonts w:ascii="Courier New" w:hAnsi="Courier New" w:cs="Courier New"/>
    </w:rPr>
  </w:style>
  <w:style w:type="character" w:styleId="HTMLTypewriter">
    <w:name w:val="HTML Typewriter"/>
    <w:basedOn w:val="DefaultParagraphFont"/>
    <w:rsid w:val="00BF7D68"/>
    <w:rPr>
      <w:rFonts w:ascii="Courier New" w:hAnsi="Courier New" w:cs="Courier New"/>
      <w:sz w:val="20"/>
      <w:szCs w:val="20"/>
    </w:rPr>
  </w:style>
  <w:style w:type="character" w:styleId="HTMLVariable">
    <w:name w:val="HTML Variable"/>
    <w:basedOn w:val="DefaultParagraphFont"/>
    <w:rsid w:val="00BF7D68"/>
    <w:rPr>
      <w:i/>
      <w:iCs/>
    </w:rPr>
  </w:style>
  <w:style w:type="paragraph" w:styleId="CommentSubject">
    <w:name w:val="annotation subject"/>
    <w:basedOn w:val="CommentText"/>
    <w:next w:val="CommentText"/>
    <w:link w:val="CommentSubjectChar"/>
    <w:rsid w:val="00BF7D68"/>
    <w:rPr>
      <w:b/>
      <w:bCs/>
    </w:rPr>
  </w:style>
  <w:style w:type="character" w:customStyle="1" w:styleId="CommentSubjectChar">
    <w:name w:val="Comment Subject Char"/>
    <w:basedOn w:val="CommentTextChar"/>
    <w:link w:val="CommentSubject"/>
    <w:rsid w:val="00BF7D68"/>
    <w:rPr>
      <w:b/>
      <w:bCs/>
    </w:rPr>
  </w:style>
  <w:style w:type="numbering" w:styleId="1ai">
    <w:name w:val="Outline List 1"/>
    <w:basedOn w:val="NoList"/>
    <w:rsid w:val="00BF7D68"/>
    <w:pPr>
      <w:numPr>
        <w:numId w:val="14"/>
      </w:numPr>
    </w:pPr>
  </w:style>
  <w:style w:type="numbering" w:styleId="111111">
    <w:name w:val="Outline List 2"/>
    <w:basedOn w:val="NoList"/>
    <w:rsid w:val="00BF7D68"/>
    <w:pPr>
      <w:numPr>
        <w:numId w:val="15"/>
      </w:numPr>
    </w:pPr>
  </w:style>
  <w:style w:type="numbering" w:styleId="ArticleSection">
    <w:name w:val="Outline List 3"/>
    <w:basedOn w:val="NoList"/>
    <w:rsid w:val="00BF7D68"/>
    <w:pPr>
      <w:numPr>
        <w:numId w:val="17"/>
      </w:numPr>
    </w:pPr>
  </w:style>
  <w:style w:type="table" w:styleId="TableSimple1">
    <w:name w:val="Table Simple 1"/>
    <w:basedOn w:val="TableNormal"/>
    <w:rsid w:val="00BF7D6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7D6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7D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F7D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7D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7D6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7D6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7D6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7D6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7D6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7D6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7D6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7D6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7D6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7D6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F7D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7D6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7D6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7D6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7D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7D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7D6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7D6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7D6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7D6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7D6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7D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7D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7D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7D6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7D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F7D6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7D6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7D6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F7D6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7D6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F7D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7D6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7D6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F7D6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7D6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7D6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F7D6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F7D6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11</Pages>
  <Words>3137</Words>
  <Characters>11012</Characters>
  <Application>Microsoft Office Word</Application>
  <DocSecurity>0</DocSecurity>
  <PresentationFormat/>
  <Lines>1001</Lines>
  <Paragraphs>744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2019-07-24T02:29:00Z</dcterms:created>
  <dcterms:modified xsi:type="dcterms:W3CDTF">2019-07-24T02:30:00Z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Australian Charities and Not-for-profits Commission Amendment (2018 Measures No. 2)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21 November 2018</vt:lpwstr>
  </property>
  <property fmtid="{D5CDD505-2E9C-101B-9397-08002B2CF9AE}" pid="10" name="ID">
    <vt:lpwstr>OPC63638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22 November 2018</vt:lpwstr>
  </property>
</Properties>
</file>