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787" w:rsidRDefault="00272787"/>
    <w:p w:rsidR="00272787" w:rsidRPr="00272787" w:rsidRDefault="00272787" w:rsidP="00272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en-AU"/>
        </w:rPr>
      </w:pPr>
      <w:r w:rsidRPr="002727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AU"/>
        </w:rPr>
        <w:t>EXPLANATORY</w:t>
      </w:r>
      <w:r w:rsidRPr="00272787">
        <w:rPr>
          <w:rFonts w:ascii="Times New Roman" w:eastAsia="Times New Roman" w:hAnsi="Times New Roman" w:cs="Times New Roman"/>
          <w:b/>
          <w:color w:val="000000"/>
          <w:spacing w:val="-39"/>
          <w:sz w:val="24"/>
          <w:szCs w:val="24"/>
          <w:lang w:eastAsia="en-AU"/>
        </w:rPr>
        <w:t xml:space="preserve"> </w:t>
      </w:r>
      <w:r w:rsidRPr="0027278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en-AU"/>
        </w:rPr>
        <w:t xml:space="preserve">STATEMENT </w:t>
      </w:r>
    </w:p>
    <w:p w:rsidR="00272787" w:rsidRPr="00272787" w:rsidRDefault="00272787" w:rsidP="00272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en-AU"/>
        </w:rPr>
      </w:pPr>
      <w:r w:rsidRPr="0027278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en-AU"/>
        </w:rPr>
        <w:br/>
      </w:r>
      <w:r w:rsidRPr="00272787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en-AU"/>
        </w:rPr>
        <w:t>ASIC Corporations (Amendment) Instrument 201</w:t>
      </w:r>
      <w:r w:rsidRPr="00272787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en-AU"/>
        </w:rPr>
        <w:t>8</w:t>
      </w:r>
      <w:r w:rsidRPr="00272787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en-AU"/>
        </w:rPr>
        <w:t>/</w:t>
      </w:r>
      <w:r w:rsidR="00047A96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en-AU"/>
        </w:rPr>
        <w:t>1028</w:t>
      </w:r>
    </w:p>
    <w:p w:rsidR="00272787" w:rsidRPr="00272787" w:rsidRDefault="00272787" w:rsidP="00272787">
      <w:pPr>
        <w:tabs>
          <w:tab w:val="left" w:pos="567"/>
          <w:tab w:val="left" w:pos="68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2787" w:rsidRPr="00272787" w:rsidRDefault="00272787" w:rsidP="00272787">
      <w:pPr>
        <w:tabs>
          <w:tab w:val="left" w:pos="567"/>
          <w:tab w:val="left" w:pos="68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2787">
        <w:rPr>
          <w:rFonts w:ascii="Times New Roman" w:eastAsia="Times New Roman" w:hAnsi="Times New Roman" w:cs="Times New Roman"/>
          <w:sz w:val="24"/>
          <w:szCs w:val="24"/>
        </w:rPr>
        <w:t>Prepared by the Australian Securities and Investments Commission</w:t>
      </w:r>
    </w:p>
    <w:p w:rsidR="00272787" w:rsidRPr="00272787" w:rsidRDefault="00272787" w:rsidP="002727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272787" w:rsidRPr="00272787" w:rsidRDefault="00272787" w:rsidP="002727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72787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Corporations Act 2001</w:t>
      </w:r>
    </w:p>
    <w:p w:rsidR="00272787" w:rsidRPr="00272787" w:rsidRDefault="00272787" w:rsidP="00272787">
      <w:pPr>
        <w:tabs>
          <w:tab w:val="left" w:pos="567"/>
          <w:tab w:val="left" w:pos="6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2787" w:rsidRPr="00272787" w:rsidRDefault="00272787" w:rsidP="0027278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727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Australian Securities and </w:t>
      </w:r>
      <w:r w:rsidRPr="002727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Investments</w:t>
      </w:r>
      <w:r w:rsidRPr="002727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27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Commission</w:t>
      </w:r>
      <w:r w:rsidRPr="002727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27278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ASIC</w:t>
      </w:r>
      <w:r w:rsidRPr="002727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2727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makes</w:t>
      </w:r>
      <w:r w:rsidRPr="002727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Pr="0027278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ASIC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  <w:r w:rsidRPr="0027278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Corporations (Amendment) Instrument 201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8</w:t>
      </w:r>
      <w:r w:rsidRPr="0027278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</w:t>
      </w:r>
      <w:r w:rsidR="00047A9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1028</w:t>
      </w:r>
      <w:r w:rsidRPr="0027278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CF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(the </w:t>
      </w:r>
      <w:r w:rsidR="00CF284C" w:rsidRPr="00CF284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amending instrument</w:t>
      </w:r>
      <w:r w:rsidR="00CF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2727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under subsections 992</w:t>
      </w:r>
      <w:proofErr w:type="gramStart"/>
      <w:r w:rsidRPr="002727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B(</w:t>
      </w:r>
      <w:proofErr w:type="gramEnd"/>
      <w:r w:rsidRPr="002727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1) and 1020F(1) of the </w:t>
      </w:r>
      <w:r w:rsidRPr="00272787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Corporations Act 2001</w:t>
      </w:r>
      <w:r w:rsidRPr="002727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(the </w:t>
      </w:r>
      <w:r w:rsidRPr="00272787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</w:rPr>
        <w:t>Act</w:t>
      </w:r>
      <w:r w:rsidRPr="002727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). </w:t>
      </w:r>
    </w:p>
    <w:p w:rsidR="00272787" w:rsidRPr="00272787" w:rsidRDefault="00272787" w:rsidP="00272787">
      <w:pPr>
        <w:tabs>
          <w:tab w:val="left" w:pos="567"/>
          <w:tab w:val="left" w:pos="6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272787" w:rsidRPr="00272787" w:rsidRDefault="00272787" w:rsidP="00272787">
      <w:pPr>
        <w:tabs>
          <w:tab w:val="left" w:pos="567"/>
          <w:tab w:val="left" w:pos="6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Subsections </w:t>
      </w:r>
      <w:r w:rsidRPr="002727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992</w:t>
      </w:r>
      <w:proofErr w:type="gramStart"/>
      <w:r w:rsidRPr="002727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B(</w:t>
      </w:r>
      <w:proofErr w:type="gramEnd"/>
      <w:r w:rsidRPr="002727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and 1020F(1) </w:t>
      </w:r>
      <w:r w:rsidRPr="002727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of the Act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respectively </w:t>
      </w:r>
      <w:r w:rsidRPr="002727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provide that ASIC may exempt a person or class of persons from all or specified provisions of Part 7.8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and 7.9 </w:t>
      </w:r>
      <w:r w:rsidRPr="002727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of the Act.</w:t>
      </w:r>
    </w:p>
    <w:p w:rsidR="00272787" w:rsidRPr="00272787" w:rsidRDefault="00272787" w:rsidP="00272787">
      <w:pPr>
        <w:tabs>
          <w:tab w:val="left" w:pos="567"/>
          <w:tab w:val="left" w:pos="6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272787" w:rsidRDefault="00272787" w:rsidP="00272787">
      <w:pPr>
        <w:tabs>
          <w:tab w:val="left" w:pos="567"/>
          <w:tab w:val="left" w:pos="6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727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Under subsection 33(3) of the </w:t>
      </w:r>
      <w:r w:rsidRPr="002727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Acts Interpretation Act 1901</w:t>
      </w:r>
      <w:r w:rsidRPr="002727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(as in force as at 1 January 2005 and as applicable to th</w:t>
      </w:r>
      <w:bookmarkStart w:id="0" w:name="_GoBack"/>
      <w:bookmarkEnd w:id="0"/>
      <w:r w:rsidRPr="002727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 relevant powers because of section 5C of the Act), where an Act confers a power to make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727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an instrument, the power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is </w:t>
      </w:r>
      <w:r w:rsidRPr="002727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construed as including a power exercisable in the like manner to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amend </w:t>
      </w:r>
      <w:r w:rsidR="009123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the instrument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. </w:t>
      </w:r>
    </w:p>
    <w:p w:rsidR="00272787" w:rsidRPr="00272787" w:rsidRDefault="00272787" w:rsidP="00272787">
      <w:pPr>
        <w:tabs>
          <w:tab w:val="left" w:pos="567"/>
          <w:tab w:val="left" w:pos="6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272787" w:rsidRPr="00272787" w:rsidRDefault="00272787" w:rsidP="00272787">
      <w:pPr>
        <w:spacing w:after="0" w:line="240" w:lineRule="auto"/>
        <w:ind w:left="567" w:hanging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en-AU"/>
        </w:rPr>
      </w:pPr>
      <w:bookmarkStart w:id="1" w:name="1._Background"/>
      <w:bookmarkEnd w:id="1"/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AU"/>
        </w:rPr>
        <w:t>1.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AU"/>
        </w:rPr>
        <w:tab/>
      </w:r>
      <w:r w:rsidRPr="00272787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AU"/>
        </w:rPr>
        <w:t>Background</w:t>
      </w:r>
    </w:p>
    <w:p w:rsidR="00272787" w:rsidRPr="00272787" w:rsidRDefault="00272787" w:rsidP="00272787">
      <w:pPr>
        <w:spacing w:after="0" w:line="240" w:lineRule="auto"/>
        <w:ind w:left="284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en-AU"/>
        </w:rPr>
      </w:pPr>
    </w:p>
    <w:p w:rsidR="007929B2" w:rsidRDefault="007929B2" w:rsidP="007929B2">
      <w:pPr>
        <w:pStyle w:val="Default"/>
        <w:ind w:left="567" w:hanging="567"/>
      </w:pPr>
      <w:r>
        <w:rPr>
          <w:rFonts w:eastAsia="Times New Roman"/>
          <w:spacing w:val="-1"/>
        </w:rPr>
        <w:t>1.1</w:t>
      </w:r>
      <w:r>
        <w:rPr>
          <w:rFonts w:eastAsia="Times New Roman"/>
          <w:spacing w:val="-1"/>
        </w:rPr>
        <w:tab/>
      </w:r>
      <w:r w:rsidR="00272787">
        <w:rPr>
          <w:rFonts w:eastAsia="Times New Roman"/>
          <w:spacing w:val="-1"/>
        </w:rPr>
        <w:t xml:space="preserve">ASIC Class Order [CO 13/763] </w:t>
      </w:r>
      <w:r>
        <w:rPr>
          <w:rFonts w:eastAsia="Times New Roman"/>
          <w:spacing w:val="-1"/>
        </w:rPr>
        <w:t xml:space="preserve">(the </w:t>
      </w:r>
      <w:r w:rsidRPr="007929B2">
        <w:rPr>
          <w:rFonts w:eastAsia="Times New Roman"/>
          <w:b/>
          <w:i/>
          <w:spacing w:val="-1"/>
        </w:rPr>
        <w:t>principal instrument</w:t>
      </w:r>
      <w:r>
        <w:rPr>
          <w:rFonts w:eastAsia="Times New Roman"/>
          <w:spacing w:val="-1"/>
        </w:rPr>
        <w:t xml:space="preserve">) </w:t>
      </w:r>
      <w:r w:rsidR="00272787">
        <w:rPr>
          <w:rFonts w:eastAsia="Times New Roman"/>
          <w:spacing w:val="-1"/>
        </w:rPr>
        <w:t>implements ASIC’s policy in relation to investor</w:t>
      </w:r>
      <w:r>
        <w:rPr>
          <w:rFonts w:eastAsia="Times New Roman"/>
          <w:spacing w:val="-1"/>
        </w:rPr>
        <w:t xml:space="preserve"> </w:t>
      </w:r>
      <w:r w:rsidR="00272787">
        <w:rPr>
          <w:rFonts w:eastAsia="Times New Roman"/>
          <w:spacing w:val="-1"/>
        </w:rPr>
        <w:t>directed portfolio services (IDPSs).</w:t>
      </w:r>
      <w:r>
        <w:rPr>
          <w:rFonts w:eastAsia="Times New Roman"/>
          <w:spacing w:val="-1"/>
        </w:rPr>
        <w:t xml:space="preserve"> </w:t>
      </w:r>
      <w:bookmarkStart w:id="2" w:name="_Hlk529437902"/>
      <w:r>
        <w:rPr>
          <w:rFonts w:eastAsia="Times New Roman"/>
          <w:spacing w:val="-1"/>
        </w:rPr>
        <w:t>An IDPS is a kind of ‘platform’ which</w:t>
      </w:r>
      <w:r w:rsidR="00052331"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-1"/>
        </w:rPr>
        <w:t xml:space="preserve">provides </w:t>
      </w:r>
      <w:r w:rsidRPr="007929B2">
        <w:t>custodial, transactional and reporting services where the investor makes</w:t>
      </w:r>
      <w:r>
        <w:t> </w:t>
      </w:r>
      <w:r w:rsidRPr="007929B2">
        <w:t>the investment</w:t>
      </w:r>
      <w:r>
        <w:t> </w:t>
      </w:r>
      <w:r w:rsidRPr="007929B2">
        <w:t xml:space="preserve">decisions. </w:t>
      </w:r>
      <w:bookmarkEnd w:id="2"/>
      <w:r w:rsidR="00A94728">
        <w:t xml:space="preserve">An IDPS operator must hold an Australian financial services licence authorising it to operate an IDPS.      </w:t>
      </w:r>
    </w:p>
    <w:p w:rsidR="00DB7ADA" w:rsidRPr="007929B2" w:rsidRDefault="00DB7ADA" w:rsidP="007929B2">
      <w:pPr>
        <w:pStyle w:val="Default"/>
        <w:ind w:left="567" w:hanging="567"/>
      </w:pPr>
    </w:p>
    <w:p w:rsidR="00DB7ADA" w:rsidRDefault="00DB7ADA" w:rsidP="00DB7ADA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 w:rsidR="00A94728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 xml:space="preserve">IDPS </w:t>
      </w:r>
      <w:r w:rsidR="00A94728">
        <w:rPr>
          <w:rFonts w:ascii="Times New Roman" w:hAnsi="Times New Roman" w:cs="Times New Roman"/>
          <w:sz w:val="24"/>
          <w:szCs w:val="24"/>
        </w:rPr>
        <w:t xml:space="preserve">is a </w:t>
      </w:r>
      <w:r>
        <w:rPr>
          <w:rFonts w:ascii="Times New Roman" w:hAnsi="Times New Roman" w:cs="Times New Roman"/>
          <w:sz w:val="24"/>
          <w:szCs w:val="24"/>
        </w:rPr>
        <w:t xml:space="preserve">managed investment scheme. ASIC’s policy is to exempt </w:t>
      </w:r>
      <w:r w:rsidR="009E37BF">
        <w:rPr>
          <w:rFonts w:ascii="Times New Roman" w:hAnsi="Times New Roman" w:cs="Times New Roman"/>
          <w:sz w:val="24"/>
          <w:szCs w:val="24"/>
        </w:rPr>
        <w:t xml:space="preserve">IDPS </w:t>
      </w:r>
      <w:r>
        <w:rPr>
          <w:rFonts w:ascii="Times New Roman" w:hAnsi="Times New Roman" w:cs="Times New Roman"/>
          <w:sz w:val="24"/>
          <w:szCs w:val="24"/>
        </w:rPr>
        <w:t xml:space="preserve">operators from the requirement to register the IDPS under Chapter 5C and from </w:t>
      </w:r>
      <w:r>
        <w:rPr>
          <w:rFonts w:ascii="Times New Roman" w:hAnsi="Times New Roman" w:cs="Times New Roman"/>
          <w:sz w:val="24"/>
          <w:szCs w:val="24"/>
        </w:rPr>
        <w:t xml:space="preserve">Division 8 of </w:t>
      </w:r>
      <w:r>
        <w:rPr>
          <w:rFonts w:ascii="Times New Roman" w:hAnsi="Times New Roman" w:cs="Times New Roman"/>
          <w:sz w:val="24"/>
          <w:szCs w:val="24"/>
        </w:rPr>
        <w:t>Part 7.8 (the hawking prohibition) and Part 7.9 (which deals with, among other</w:t>
      </w:r>
      <w:r w:rsidR="00D91BD2">
        <w:rPr>
          <w:rFonts w:ascii="Times New Roman" w:hAnsi="Times New Roman" w:cs="Times New Roman"/>
          <w:sz w:val="24"/>
          <w:szCs w:val="24"/>
        </w:rPr>
        <w:t xml:space="preserve"> things</w:t>
      </w:r>
      <w:r>
        <w:rPr>
          <w:rFonts w:ascii="Times New Roman" w:hAnsi="Times New Roman" w:cs="Times New Roman"/>
          <w:sz w:val="24"/>
          <w:szCs w:val="24"/>
        </w:rPr>
        <w:t xml:space="preserve">, financial product disclosure) </w:t>
      </w:r>
      <w:r w:rsidR="00912343">
        <w:rPr>
          <w:rFonts w:ascii="Times New Roman" w:hAnsi="Times New Roman" w:cs="Times New Roman"/>
          <w:sz w:val="24"/>
          <w:szCs w:val="24"/>
        </w:rPr>
        <w:t xml:space="preserve">of the Act </w:t>
      </w:r>
      <w:r>
        <w:rPr>
          <w:rFonts w:ascii="Times New Roman" w:hAnsi="Times New Roman" w:cs="Times New Roman"/>
          <w:sz w:val="24"/>
          <w:szCs w:val="24"/>
        </w:rPr>
        <w:t xml:space="preserve">in relation </w:t>
      </w:r>
      <w:r w:rsidRPr="00650A0A">
        <w:rPr>
          <w:rFonts w:ascii="Times New Roman" w:hAnsi="Times New Roman" w:cs="Times New Roman"/>
          <w:sz w:val="24"/>
          <w:szCs w:val="24"/>
          <w:lang w:val="en-US"/>
        </w:rPr>
        <w:t>to a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50A0A">
        <w:rPr>
          <w:rFonts w:ascii="Times New Roman" w:hAnsi="Times New Roman" w:cs="Times New Roman"/>
          <w:sz w:val="24"/>
          <w:szCs w:val="24"/>
          <w:lang w:val="en-US"/>
        </w:rPr>
        <w:t xml:space="preserve">financial product that is </w:t>
      </w:r>
      <w:r w:rsidRPr="00650A0A">
        <w:rPr>
          <w:rFonts w:ascii="Times New Roman" w:hAnsi="Times New Roman" w:cs="Times New Roman"/>
          <w:sz w:val="24"/>
          <w:szCs w:val="24"/>
        </w:rPr>
        <w:t xml:space="preserve">an interest in </w:t>
      </w:r>
      <w:r>
        <w:rPr>
          <w:rFonts w:ascii="Times New Roman" w:hAnsi="Times New Roman" w:cs="Times New Roman"/>
          <w:sz w:val="24"/>
          <w:szCs w:val="24"/>
        </w:rPr>
        <w:t xml:space="preserve">the IDPS </w:t>
      </w:r>
      <w:r w:rsidRPr="00650A0A">
        <w:rPr>
          <w:rFonts w:ascii="Times New Roman" w:hAnsi="Times New Roman" w:cs="Times New Roman"/>
          <w:sz w:val="24"/>
          <w:szCs w:val="24"/>
        </w:rPr>
        <w:t>scheme arising out of participation in</w:t>
      </w:r>
      <w:r w:rsidR="00912343">
        <w:rPr>
          <w:rFonts w:ascii="Times New Roman" w:hAnsi="Times New Roman" w:cs="Times New Roman"/>
          <w:sz w:val="24"/>
          <w:szCs w:val="24"/>
        </w:rPr>
        <w:t> </w:t>
      </w:r>
      <w:r w:rsidRPr="00650A0A">
        <w:rPr>
          <w:rFonts w:ascii="Times New Roman" w:hAnsi="Times New Roman" w:cs="Times New Roman"/>
          <w:sz w:val="24"/>
          <w:szCs w:val="24"/>
        </w:rPr>
        <w:t>the IDPS.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7ADA" w:rsidRDefault="00DB7ADA" w:rsidP="00DB7ADA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DB7ADA" w:rsidRDefault="00DB7ADA" w:rsidP="00DB7ADA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>
        <w:rPr>
          <w:rFonts w:ascii="Times New Roman" w:hAnsi="Times New Roman" w:cs="Times New Roman"/>
          <w:sz w:val="24"/>
          <w:szCs w:val="24"/>
        </w:rPr>
        <w:tab/>
      </w:r>
      <w:r w:rsidR="00912343">
        <w:rPr>
          <w:rFonts w:ascii="Times New Roman" w:hAnsi="Times New Roman" w:cs="Times New Roman"/>
          <w:sz w:val="24"/>
          <w:szCs w:val="24"/>
        </w:rPr>
        <w:t xml:space="preserve">In lieu of the requirement to give a Product Disclosure Statement for the financial product that is an interest in the IDPS scheme, an </w:t>
      </w:r>
      <w:r>
        <w:rPr>
          <w:rFonts w:ascii="Times New Roman" w:hAnsi="Times New Roman" w:cs="Times New Roman"/>
          <w:sz w:val="24"/>
          <w:szCs w:val="24"/>
        </w:rPr>
        <w:t xml:space="preserve">IDPS operator </w:t>
      </w:r>
      <w:r w:rsidR="00912343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required</w:t>
      </w:r>
      <w:r w:rsidR="0091234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to</w:t>
      </w:r>
      <w:r w:rsidR="0091234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give an IDPS Guide</w:t>
      </w:r>
      <w:r w:rsidR="00912343">
        <w:rPr>
          <w:rFonts w:ascii="Times New Roman" w:hAnsi="Times New Roman" w:cs="Times New Roman"/>
          <w:sz w:val="24"/>
          <w:szCs w:val="24"/>
        </w:rPr>
        <w:t>. The IDP</w:t>
      </w:r>
      <w:r w:rsidR="00052331">
        <w:rPr>
          <w:rFonts w:ascii="Times New Roman" w:hAnsi="Times New Roman" w:cs="Times New Roman"/>
          <w:sz w:val="24"/>
          <w:szCs w:val="24"/>
        </w:rPr>
        <w:t>S</w:t>
      </w:r>
      <w:r w:rsidR="00912343">
        <w:rPr>
          <w:rFonts w:ascii="Times New Roman" w:hAnsi="Times New Roman" w:cs="Times New Roman"/>
          <w:sz w:val="24"/>
          <w:szCs w:val="24"/>
        </w:rPr>
        <w:t xml:space="preserve"> Guide </w:t>
      </w:r>
      <w:r>
        <w:rPr>
          <w:rFonts w:ascii="Times New Roman" w:hAnsi="Times New Roman" w:cs="Times New Roman"/>
          <w:sz w:val="24"/>
          <w:szCs w:val="24"/>
        </w:rPr>
        <w:t xml:space="preserve">must include </w:t>
      </w:r>
      <w:r w:rsidRPr="00F90E0C">
        <w:rPr>
          <w:rFonts w:ascii="Times New Roman" w:hAnsi="Times New Roman" w:cs="Times New Roman"/>
          <w:sz w:val="24"/>
          <w:szCs w:val="24"/>
        </w:rPr>
        <w:t xml:space="preserve">all information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Pr="00F90E0C">
        <w:rPr>
          <w:rFonts w:ascii="Times New Roman" w:hAnsi="Times New Roman" w:cs="Times New Roman"/>
          <w:sz w:val="24"/>
          <w:szCs w:val="24"/>
        </w:rPr>
        <w:t>a</w:t>
      </w:r>
      <w:r w:rsidR="00912343">
        <w:rPr>
          <w:rFonts w:ascii="Times New Roman" w:hAnsi="Times New Roman" w:cs="Times New Roman"/>
          <w:sz w:val="24"/>
          <w:szCs w:val="24"/>
        </w:rPr>
        <w:t> </w:t>
      </w:r>
      <w:r w:rsidRPr="00F90E0C">
        <w:rPr>
          <w:rFonts w:ascii="Times New Roman" w:hAnsi="Times New Roman" w:cs="Times New Roman"/>
          <w:sz w:val="24"/>
          <w:szCs w:val="24"/>
        </w:rPr>
        <w:t xml:space="preserve">person would reasonably require </w:t>
      </w:r>
      <w:proofErr w:type="gramStart"/>
      <w:r w:rsidR="00CF284C">
        <w:rPr>
          <w:rFonts w:ascii="Times New Roman" w:hAnsi="Times New Roman" w:cs="Times New Roman"/>
          <w:sz w:val="24"/>
          <w:szCs w:val="24"/>
        </w:rPr>
        <w:t>to make</w:t>
      </w:r>
      <w:proofErr w:type="gramEnd"/>
      <w:r w:rsidR="00CF284C">
        <w:rPr>
          <w:rFonts w:ascii="Times New Roman" w:hAnsi="Times New Roman" w:cs="Times New Roman"/>
          <w:sz w:val="24"/>
          <w:szCs w:val="24"/>
        </w:rPr>
        <w:t xml:space="preserve"> </w:t>
      </w:r>
      <w:r w:rsidRPr="00F90E0C">
        <w:rPr>
          <w:rFonts w:ascii="Times New Roman" w:hAnsi="Times New Roman" w:cs="Times New Roman"/>
          <w:sz w:val="24"/>
          <w:szCs w:val="24"/>
        </w:rPr>
        <w:t>a decision, as a retail client, whether to</w:t>
      </w:r>
      <w:r w:rsidR="00912343">
        <w:rPr>
          <w:rFonts w:ascii="Times New Roman" w:hAnsi="Times New Roman" w:cs="Times New Roman"/>
          <w:sz w:val="24"/>
          <w:szCs w:val="24"/>
        </w:rPr>
        <w:t xml:space="preserve"> </w:t>
      </w:r>
      <w:r w:rsidRPr="00F90E0C">
        <w:rPr>
          <w:rFonts w:ascii="Times New Roman" w:hAnsi="Times New Roman" w:cs="Times New Roman"/>
          <w:sz w:val="24"/>
          <w:szCs w:val="24"/>
        </w:rPr>
        <w:t>become a client of the IDPS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7ADA" w:rsidRDefault="00DB7ADA" w:rsidP="00DB7ADA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CF284C" w:rsidRDefault="007929B2" w:rsidP="00CF284C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1.</w:t>
      </w:r>
      <w:r w:rsidR="00DB7A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ab/>
        <w:t xml:space="preserve">ASIC made </w:t>
      </w:r>
      <w:r w:rsidR="00650A0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amendments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to the principal instrument</w:t>
      </w:r>
      <w:r w:rsidR="00650A0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in </w:t>
      </w:r>
      <w:r w:rsidR="009123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December </w:t>
      </w:r>
      <w:r w:rsidR="00650A0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2016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 The</w:t>
      </w:r>
      <w:r w:rsidR="009123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amendments were made by the </w:t>
      </w:r>
      <w:r w:rsidRPr="00650A0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ASIC Corporations (Amendment) Instrum</w:t>
      </w:r>
      <w:r w:rsidR="00650A0A" w:rsidRPr="00650A0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e</w:t>
      </w:r>
      <w:r w:rsidRPr="00650A0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 xml:space="preserve">nt </w:t>
      </w:r>
      <w:r w:rsidR="00650A0A" w:rsidRPr="00650A0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2016/1158</w:t>
      </w:r>
      <w:r w:rsidR="00650A0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9123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At that time, </w:t>
      </w:r>
      <w:r w:rsidR="00650A0A" w:rsidRPr="00650A0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ASIC </w:t>
      </w:r>
      <w:r w:rsidR="009123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inadvertently </w:t>
      </w:r>
      <w:r w:rsidR="00650A0A" w:rsidRPr="00650A0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removed the exemption </w:t>
      </w:r>
      <w:r w:rsidR="00F90E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granted to ID</w:t>
      </w:r>
      <w:r w:rsidR="000523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</w:t>
      </w:r>
      <w:r w:rsidR="00F90E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S operators </w:t>
      </w:r>
      <w:r w:rsidR="00650A0A" w:rsidRPr="00650A0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from </w:t>
      </w:r>
      <w:r w:rsidR="00DB7ADA">
        <w:rPr>
          <w:rFonts w:ascii="Times New Roman" w:hAnsi="Times New Roman" w:cs="Times New Roman"/>
          <w:sz w:val="24"/>
          <w:szCs w:val="24"/>
        </w:rPr>
        <w:t>Division 8 of Part 7.8</w:t>
      </w:r>
      <w:r w:rsidR="00DB7ADA">
        <w:rPr>
          <w:rFonts w:ascii="Times New Roman" w:hAnsi="Times New Roman" w:cs="Times New Roman"/>
          <w:sz w:val="24"/>
          <w:szCs w:val="24"/>
        </w:rPr>
        <w:t xml:space="preserve">, </w:t>
      </w:r>
      <w:r w:rsidR="00DB7ADA">
        <w:rPr>
          <w:rFonts w:ascii="Times New Roman" w:hAnsi="Times New Roman" w:cs="Times New Roman"/>
          <w:sz w:val="24"/>
          <w:szCs w:val="24"/>
        </w:rPr>
        <w:t>and Part 7</w:t>
      </w:r>
      <w:r w:rsidR="00DB7ADA">
        <w:rPr>
          <w:rFonts w:ascii="Times New Roman" w:hAnsi="Times New Roman" w:cs="Times New Roman"/>
          <w:sz w:val="24"/>
          <w:szCs w:val="24"/>
        </w:rPr>
        <w:t>.9,</w:t>
      </w:r>
      <w:r w:rsidR="00650A0A" w:rsidRPr="00650A0A">
        <w:rPr>
          <w:rFonts w:ascii="Times New Roman" w:hAnsi="Times New Roman" w:cs="Times New Roman"/>
          <w:sz w:val="24"/>
          <w:szCs w:val="24"/>
          <w:lang w:val="en-US"/>
        </w:rPr>
        <w:t xml:space="preserve"> in relation to a financial product that is</w:t>
      </w:r>
      <w:r w:rsidR="00650A0A" w:rsidRPr="00650A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50A0A" w:rsidRPr="00650A0A">
        <w:rPr>
          <w:rFonts w:ascii="Times New Roman" w:hAnsi="Times New Roman" w:cs="Times New Roman"/>
          <w:sz w:val="24"/>
          <w:szCs w:val="24"/>
        </w:rPr>
        <w:t>an interest in a managed investment scheme arising out of participation in the IDPS</w:t>
      </w:r>
      <w:r w:rsidR="00650A0A" w:rsidRPr="00650A0A">
        <w:rPr>
          <w:rFonts w:ascii="Times New Roman" w:hAnsi="Times New Roman" w:cs="Times New Roman"/>
          <w:sz w:val="24"/>
          <w:szCs w:val="24"/>
        </w:rPr>
        <w:t>.</w:t>
      </w:r>
      <w:r w:rsidR="00CF284C">
        <w:rPr>
          <w:rFonts w:ascii="Times New Roman" w:hAnsi="Times New Roman" w:cs="Times New Roman"/>
          <w:sz w:val="24"/>
          <w:szCs w:val="24"/>
        </w:rPr>
        <w:br w:type="page"/>
      </w:r>
    </w:p>
    <w:p w:rsidR="00F90E0C" w:rsidRDefault="00F90E0C" w:rsidP="00F90E0C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272787" w:rsidRPr="00272787" w:rsidRDefault="00272787" w:rsidP="00272787">
      <w:pPr>
        <w:tabs>
          <w:tab w:val="left" w:pos="567"/>
          <w:tab w:val="left" w:pos="6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72787" w:rsidRPr="00272787" w:rsidRDefault="00CF284C" w:rsidP="00CF284C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AU"/>
        </w:rPr>
      </w:pPr>
      <w:bookmarkStart w:id="3" w:name="2._Purpose_of_the_class_order_"/>
      <w:bookmarkEnd w:id="3"/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AU"/>
        </w:rPr>
        <w:t>2.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AU"/>
        </w:rPr>
        <w:tab/>
      </w:r>
      <w:r w:rsidR="00272787" w:rsidRPr="00272787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AU"/>
        </w:rPr>
        <w:t xml:space="preserve">Purpose of the </w:t>
      </w:r>
      <w:r w:rsidR="00272787" w:rsidRPr="00272787">
        <w:rPr>
          <w:rFonts w:ascii="Times New Roman" w:eastAsia="Arial" w:hAnsi="Times New Roman" w:cs="Times New Roman"/>
          <w:b/>
          <w:sz w:val="24"/>
          <w:szCs w:val="24"/>
          <w:lang w:eastAsia="en-AU"/>
        </w:rPr>
        <w:t>instrument</w:t>
      </w:r>
    </w:p>
    <w:p w:rsidR="00272787" w:rsidRPr="00272787" w:rsidRDefault="00272787" w:rsidP="0027278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284C" w:rsidRDefault="00CF284C" w:rsidP="00CF284C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72787" w:rsidRPr="00272787">
        <w:rPr>
          <w:rFonts w:ascii="Times New Roman" w:eastAsia="Times New Roman" w:hAnsi="Times New Roman" w:cs="Times New Roman"/>
          <w:sz w:val="24"/>
          <w:szCs w:val="24"/>
        </w:rPr>
        <w:t xml:space="preserve">The purpose of </w:t>
      </w:r>
      <w:r>
        <w:rPr>
          <w:rFonts w:ascii="Times New Roman" w:eastAsia="Times New Roman" w:hAnsi="Times New Roman" w:cs="Times New Roman"/>
          <w:sz w:val="24"/>
          <w:szCs w:val="24"/>
        </w:rPr>
        <w:t>the instrument is to reinstate the exemptions</w:t>
      </w:r>
      <w:r w:rsidRPr="00CF28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previously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granted to IPDS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operators </w:t>
      </w:r>
      <w:r w:rsidRPr="00650A0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from </w:t>
      </w:r>
      <w:r>
        <w:rPr>
          <w:rFonts w:ascii="Times New Roman" w:hAnsi="Times New Roman" w:cs="Times New Roman"/>
          <w:sz w:val="24"/>
          <w:szCs w:val="24"/>
        </w:rPr>
        <w:t>Division 8 of Part 7.8, and Part 7.9,</w:t>
      </w:r>
      <w:r w:rsidRPr="00650A0A">
        <w:rPr>
          <w:rFonts w:ascii="Times New Roman" w:hAnsi="Times New Roman" w:cs="Times New Roman"/>
          <w:sz w:val="24"/>
          <w:szCs w:val="24"/>
          <w:lang w:val="en-US"/>
        </w:rPr>
        <w:t xml:space="preserve"> in relation to a financial product that is </w:t>
      </w:r>
      <w:r w:rsidRPr="00650A0A">
        <w:rPr>
          <w:rFonts w:ascii="Times New Roman" w:hAnsi="Times New Roman" w:cs="Times New Roman"/>
          <w:sz w:val="24"/>
          <w:szCs w:val="24"/>
        </w:rPr>
        <w:t>an interest in a managed investment scheme arising out of participation in the IDPS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284C" w:rsidRDefault="00CF284C" w:rsidP="00CF284C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272787" w:rsidRPr="00272787" w:rsidRDefault="00CF284C" w:rsidP="00CF284C">
      <w:pPr>
        <w:keepNext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AU"/>
        </w:rPr>
      </w:pPr>
      <w:bookmarkStart w:id="4" w:name="3._Operation_of_the_class_order_"/>
      <w:bookmarkEnd w:id="4"/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AU"/>
        </w:rPr>
        <w:t>3.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AU"/>
        </w:rPr>
        <w:tab/>
      </w:r>
      <w:r w:rsidR="00272787" w:rsidRPr="00272787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AU"/>
        </w:rPr>
        <w:t>Operation of the instrument</w:t>
      </w:r>
    </w:p>
    <w:p w:rsidR="00272787" w:rsidRPr="00272787" w:rsidRDefault="00272787" w:rsidP="00272787">
      <w:pPr>
        <w:keepNext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912343" w:rsidRDefault="00CF284C" w:rsidP="00CF284C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12343">
        <w:rPr>
          <w:rFonts w:ascii="Times New Roman" w:eastAsia="Times New Roman" w:hAnsi="Times New Roman" w:cs="Times New Roman"/>
          <w:sz w:val="24"/>
          <w:szCs w:val="24"/>
        </w:rPr>
        <w:t>The amending instrument amends the principal instrument by omitting subparagraph 4(b) of the principal instrument and substituting a new subparagraph 4(b) which includes the exemptions that were inadvertently removed in December 2016.</w:t>
      </w:r>
    </w:p>
    <w:p w:rsidR="00A94728" w:rsidRDefault="00A94728" w:rsidP="00CF284C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</w:p>
    <w:p w:rsidR="00A94728" w:rsidRDefault="00A94728" w:rsidP="00CF284C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The amendments do not affect the obligations that are otherwise imposed on IDPS operators under ASIC’s policy for regulating </w:t>
      </w:r>
      <w:r w:rsidR="007C1079">
        <w:rPr>
          <w:rFonts w:ascii="Times New Roman" w:eastAsia="Times New Roman" w:hAnsi="Times New Roman" w:cs="Times New Roman"/>
          <w:sz w:val="24"/>
          <w:szCs w:val="24"/>
        </w:rPr>
        <w:t>IDPSs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2343" w:rsidRDefault="00A94728" w:rsidP="00CF284C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94728" w:rsidRPr="00272787" w:rsidRDefault="00A94728" w:rsidP="00A94728">
      <w:pPr>
        <w:keepNext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AU"/>
        </w:rPr>
        <w:t>4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AU"/>
        </w:rPr>
        <w:t>.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AU"/>
        </w:rPr>
        <w:tab/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AU"/>
        </w:rPr>
        <w:t>Consultation</w:t>
      </w:r>
    </w:p>
    <w:p w:rsidR="00A94728" w:rsidRPr="00272787" w:rsidRDefault="00A94728" w:rsidP="00A94728">
      <w:pPr>
        <w:keepNext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A94728" w:rsidRDefault="00A94728" w:rsidP="00A94728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ASIC did not engage in consultation before making the amending instrument. ASIC</w:t>
      </w:r>
      <w:r w:rsidR="007C1079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did</w:t>
      </w:r>
      <w:r w:rsidR="007C1079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consider </w:t>
      </w:r>
      <w:r w:rsidR="007C1079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consultation was necessary </w:t>
      </w:r>
      <w:r w:rsidR="007C1079">
        <w:rPr>
          <w:rFonts w:ascii="Times New Roman" w:eastAsia="Times New Roman" w:hAnsi="Times New Roman" w:cs="Times New Roman"/>
          <w:sz w:val="24"/>
          <w:szCs w:val="24"/>
        </w:rPr>
        <w:t>because the amendments merely reinstate</w:t>
      </w:r>
      <w:r w:rsidR="00D91BD2">
        <w:rPr>
          <w:rFonts w:ascii="Times New Roman" w:eastAsia="Times New Roman" w:hAnsi="Times New Roman" w:cs="Times New Roman"/>
          <w:sz w:val="24"/>
          <w:szCs w:val="24"/>
        </w:rPr>
        <w:t>s</w:t>
      </w:r>
      <w:r w:rsidR="007C1079">
        <w:rPr>
          <w:rFonts w:ascii="Times New Roman" w:eastAsia="Times New Roman" w:hAnsi="Times New Roman" w:cs="Times New Roman"/>
          <w:sz w:val="24"/>
          <w:szCs w:val="24"/>
        </w:rPr>
        <w:t xml:space="preserve"> an aspect of ASIC’s long-standing policy on IDPSs. </w:t>
      </w:r>
    </w:p>
    <w:p w:rsidR="00A94728" w:rsidRDefault="00A94728" w:rsidP="00CF284C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</w:p>
    <w:p w:rsidR="00052331" w:rsidRDefault="00912343" w:rsidP="007C1079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272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5" w:name="5._Consultation"/>
      <w:bookmarkEnd w:id="5"/>
    </w:p>
    <w:p w:rsidR="00052331" w:rsidRDefault="0005233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272787" w:rsidRDefault="00272787" w:rsidP="007C1079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</w:p>
    <w:p w:rsidR="00272787" w:rsidRPr="00272787" w:rsidRDefault="00272787" w:rsidP="00272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:rsidR="00272787" w:rsidRPr="00272787" w:rsidRDefault="00272787" w:rsidP="00272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272787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Statement of Compatibility with Human Rights</w:t>
      </w:r>
    </w:p>
    <w:p w:rsidR="00272787" w:rsidRPr="00272787" w:rsidRDefault="00272787" w:rsidP="00272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:rsidR="00272787" w:rsidRPr="00272787" w:rsidRDefault="00272787" w:rsidP="002727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72787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Prepared in accordance with Part 3 of the Human Rights (Parliamentary Scrutiny) Act 2011</w:t>
      </w:r>
    </w:p>
    <w:p w:rsidR="00272787" w:rsidRPr="00272787" w:rsidRDefault="00272787" w:rsidP="002727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272787" w:rsidRPr="00272787" w:rsidRDefault="00272787" w:rsidP="00272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</w:pPr>
      <w:r w:rsidRPr="00272787"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  <w:t>ASIC Corporation</w:t>
      </w:r>
      <w:r w:rsidR="00052331" w:rsidRPr="00052331"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  <w:t>s</w:t>
      </w:r>
      <w:r w:rsidRPr="00272787"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  <w:t xml:space="preserve"> (Amendment) Instrument 201</w:t>
      </w:r>
      <w:r w:rsidR="00052331" w:rsidRPr="00052331"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  <w:t>8</w:t>
      </w:r>
      <w:r w:rsidRPr="00272787"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  <w:t>/</w:t>
      </w:r>
      <w:r w:rsidR="00047A96"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  <w:t>1028</w:t>
      </w:r>
    </w:p>
    <w:p w:rsidR="00272787" w:rsidRPr="00272787" w:rsidRDefault="00272787" w:rsidP="002727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</w:pPr>
    </w:p>
    <w:p w:rsidR="00272787" w:rsidRPr="00272787" w:rsidRDefault="00272787" w:rsidP="00272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72787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ASIC Corporation</w:t>
      </w:r>
      <w:r w:rsidR="00052331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s</w:t>
      </w:r>
      <w:r w:rsidRPr="00272787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 xml:space="preserve"> (Amendment) Instrument 201</w:t>
      </w:r>
      <w:r w:rsidR="00052331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8</w:t>
      </w:r>
      <w:r w:rsidRPr="00272787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/</w:t>
      </w:r>
      <w:r w:rsidR="00047A96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1028</w:t>
      </w:r>
      <w:r w:rsidRPr="0027278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compatible with the human rights and freedoms recognised or declared in the international instruments listed in section 3 of the </w:t>
      </w:r>
      <w:r w:rsidRPr="00272787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Human Rights (Parliamentary Scrutiny) Act 2011</w:t>
      </w:r>
      <w:r w:rsidRPr="00272787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272787" w:rsidRPr="00272787" w:rsidRDefault="00272787" w:rsidP="002727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272787" w:rsidRPr="00272787" w:rsidRDefault="00272787" w:rsidP="002727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272787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Overview</w:t>
      </w:r>
    </w:p>
    <w:p w:rsidR="00272787" w:rsidRPr="00272787" w:rsidRDefault="00272787" w:rsidP="002727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:rsidR="008B5550" w:rsidRDefault="00272787" w:rsidP="00052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72787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ASIC Corporation</w:t>
      </w:r>
      <w:r w:rsidR="008B5550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s</w:t>
      </w:r>
      <w:r w:rsidRPr="00272787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 xml:space="preserve"> (Amendment) Instrument 201</w:t>
      </w:r>
      <w:r w:rsidR="00052331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8</w:t>
      </w:r>
      <w:r w:rsidRPr="00272787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/</w:t>
      </w:r>
      <w:r w:rsidR="00CB71C9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1028</w:t>
      </w:r>
      <w:r w:rsidRPr="00272787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 xml:space="preserve"> </w:t>
      </w:r>
      <w:r w:rsidR="008B555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(the </w:t>
      </w:r>
      <w:r w:rsidR="008B5550" w:rsidRPr="008B5550"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  <w:t>amending instrument</w:t>
      </w:r>
      <w:r w:rsidR="008B555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) </w:t>
      </w:r>
      <w:r w:rsidR="00052331">
        <w:rPr>
          <w:rFonts w:ascii="Times New Roman" w:eastAsia="Times New Roman" w:hAnsi="Times New Roman" w:cs="Times New Roman"/>
          <w:sz w:val="24"/>
          <w:szCs w:val="24"/>
          <w:lang w:eastAsia="en-AU"/>
        </w:rPr>
        <w:t>amends ASIC </w:t>
      </w:r>
      <w:r w:rsidRPr="00272787">
        <w:rPr>
          <w:rFonts w:ascii="Times New Roman" w:eastAsia="Times New Roman" w:hAnsi="Times New Roman" w:cs="Times New Roman"/>
          <w:sz w:val="24"/>
          <w:szCs w:val="24"/>
          <w:lang w:eastAsia="en-AU"/>
        </w:rPr>
        <w:t>Class</w:t>
      </w:r>
      <w:r w:rsidR="00052331">
        <w:rPr>
          <w:rFonts w:ascii="Times New Roman" w:eastAsia="Times New Roman" w:hAnsi="Times New Roman" w:cs="Times New Roman"/>
          <w:sz w:val="24"/>
          <w:szCs w:val="24"/>
          <w:lang w:eastAsia="en-AU"/>
        </w:rPr>
        <w:t> </w:t>
      </w:r>
      <w:r w:rsidRPr="00272787">
        <w:rPr>
          <w:rFonts w:ascii="Times New Roman" w:eastAsia="Times New Roman" w:hAnsi="Times New Roman" w:cs="Times New Roman"/>
          <w:sz w:val="24"/>
          <w:szCs w:val="24"/>
          <w:lang w:eastAsia="en-AU"/>
        </w:rPr>
        <w:t>Order [CO 13/763]</w:t>
      </w:r>
      <w:r w:rsidR="008B555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(the </w:t>
      </w:r>
      <w:r w:rsidR="008B5550" w:rsidRPr="008B5550"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  <w:t>principal instrument</w:t>
      </w:r>
      <w:r w:rsidR="008B555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). </w:t>
      </w:r>
    </w:p>
    <w:p w:rsidR="008B5550" w:rsidRDefault="008B5550" w:rsidP="00052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052331" w:rsidRDefault="008B5550" w:rsidP="000523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principal instrument </w:t>
      </w:r>
      <w:r w:rsidR="0005233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implements ASIC’s policy in relation to investor directed portfolio services (IDPSs). </w:t>
      </w:r>
      <w:r w:rsidR="00052331" w:rsidRPr="00052331">
        <w:rPr>
          <w:rFonts w:ascii="Times New Roman" w:eastAsia="Times New Roman" w:hAnsi="Times New Roman" w:cs="Times New Roman"/>
          <w:sz w:val="24"/>
          <w:szCs w:val="24"/>
          <w:lang w:eastAsia="en-AU"/>
        </w:rPr>
        <w:t>An IDPS is a kind of ‘platform’ which</w:t>
      </w:r>
      <w:r w:rsidR="0005233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052331" w:rsidRPr="00052331">
        <w:rPr>
          <w:rFonts w:ascii="Times New Roman" w:eastAsia="Times New Roman" w:hAnsi="Times New Roman" w:cs="Times New Roman"/>
          <w:sz w:val="24"/>
          <w:szCs w:val="24"/>
          <w:lang w:eastAsia="en-AU"/>
        </w:rPr>
        <w:t>provides</w:t>
      </w:r>
      <w:r w:rsidR="00052331">
        <w:rPr>
          <w:rFonts w:ascii="Times New Roman" w:eastAsia="Times New Roman" w:hAnsi="Times New Roman" w:cs="Times New Roman"/>
          <w:sz w:val="24"/>
          <w:szCs w:val="24"/>
          <w:lang w:eastAsia="en-AU"/>
        </w:rPr>
        <w:t> </w:t>
      </w:r>
      <w:r w:rsidR="00052331" w:rsidRPr="00052331">
        <w:rPr>
          <w:rFonts w:ascii="Times New Roman" w:eastAsia="Times New Roman" w:hAnsi="Times New Roman" w:cs="Times New Roman"/>
          <w:sz w:val="24"/>
          <w:szCs w:val="24"/>
          <w:lang w:eastAsia="en-AU"/>
        </w:rPr>
        <w:t>custodial, transactional and reporting services where the investor makes the investment decisions.</w:t>
      </w:r>
      <w:r w:rsidR="00052331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  <w:r w:rsidR="00052331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  <w:r w:rsidR="00052331">
        <w:rPr>
          <w:rFonts w:ascii="Times New Roman" w:hAnsi="Times New Roman" w:cs="Times New Roman"/>
          <w:sz w:val="24"/>
          <w:szCs w:val="24"/>
        </w:rPr>
        <w:t xml:space="preserve">The purpose of the </w:t>
      </w:r>
      <w:r>
        <w:rPr>
          <w:rFonts w:ascii="Times New Roman" w:hAnsi="Times New Roman" w:cs="Times New Roman"/>
          <w:sz w:val="24"/>
          <w:szCs w:val="24"/>
        </w:rPr>
        <w:t xml:space="preserve">amending </w:t>
      </w:r>
      <w:r w:rsidR="00052331">
        <w:rPr>
          <w:rFonts w:ascii="Times New Roman" w:hAnsi="Times New Roman" w:cs="Times New Roman"/>
          <w:sz w:val="24"/>
          <w:szCs w:val="24"/>
        </w:rPr>
        <w:t>instrument is to reinstate some exemptions granted to IDPS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52331">
        <w:rPr>
          <w:rFonts w:ascii="Times New Roman" w:hAnsi="Times New Roman" w:cs="Times New Roman"/>
          <w:sz w:val="24"/>
          <w:szCs w:val="24"/>
        </w:rPr>
        <w:t xml:space="preserve">operators, which were inadvertently removed following amendments made in 2016. </w:t>
      </w:r>
    </w:p>
    <w:p w:rsidR="00052331" w:rsidRDefault="00052331" w:rsidP="000523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2787" w:rsidRPr="00272787" w:rsidRDefault="00052331" w:rsidP="0027278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</w:pPr>
      <w:r>
        <w:rPr>
          <w:rFonts w:ascii="Times New Roman" w:hAnsi="Times New Roman" w:cs="Times New Roman"/>
          <w:sz w:val="24"/>
          <w:szCs w:val="24"/>
        </w:rPr>
        <w:t xml:space="preserve">ASIC’s policy is to exempt operators from Division 8 of Part 7.8 (the hawking prohibition) and Part 7.9 (which deals with, among others, financial product disclosure) of the Act in relation </w:t>
      </w:r>
      <w:r w:rsidRPr="00650A0A">
        <w:rPr>
          <w:rFonts w:ascii="Times New Roman" w:hAnsi="Times New Roman" w:cs="Times New Roman"/>
          <w:sz w:val="24"/>
          <w:szCs w:val="24"/>
          <w:lang w:val="en-US"/>
        </w:rPr>
        <w:t>to a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50A0A">
        <w:rPr>
          <w:rFonts w:ascii="Times New Roman" w:hAnsi="Times New Roman" w:cs="Times New Roman"/>
          <w:sz w:val="24"/>
          <w:szCs w:val="24"/>
          <w:lang w:val="en-US"/>
        </w:rPr>
        <w:t xml:space="preserve">financial product that is </w:t>
      </w:r>
      <w:r w:rsidRPr="00650A0A">
        <w:rPr>
          <w:rFonts w:ascii="Times New Roman" w:hAnsi="Times New Roman" w:cs="Times New Roman"/>
          <w:sz w:val="24"/>
          <w:szCs w:val="24"/>
        </w:rPr>
        <w:t xml:space="preserve">an interest in </w:t>
      </w:r>
      <w:r>
        <w:rPr>
          <w:rFonts w:ascii="Times New Roman" w:hAnsi="Times New Roman" w:cs="Times New Roman"/>
          <w:sz w:val="24"/>
          <w:szCs w:val="24"/>
        </w:rPr>
        <w:t xml:space="preserve">the IDPS </w:t>
      </w:r>
      <w:r w:rsidRPr="00650A0A">
        <w:rPr>
          <w:rFonts w:ascii="Times New Roman" w:hAnsi="Times New Roman" w:cs="Times New Roman"/>
          <w:sz w:val="24"/>
          <w:szCs w:val="24"/>
        </w:rPr>
        <w:t>scheme arising out of participation in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50A0A">
        <w:rPr>
          <w:rFonts w:ascii="Times New Roman" w:hAnsi="Times New Roman" w:cs="Times New Roman"/>
          <w:sz w:val="24"/>
          <w:szCs w:val="24"/>
        </w:rPr>
        <w:t>the IDPS.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5550">
        <w:rPr>
          <w:rFonts w:ascii="Times New Roman" w:hAnsi="Times New Roman" w:cs="Times New Roman"/>
          <w:sz w:val="24"/>
          <w:szCs w:val="24"/>
        </w:rPr>
        <w:t xml:space="preserve">These exemptions have now been reinstated. </w:t>
      </w:r>
    </w:p>
    <w:p w:rsidR="00272787" w:rsidRPr="00272787" w:rsidRDefault="00272787" w:rsidP="002727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:rsidR="00272787" w:rsidRPr="00272787" w:rsidRDefault="00272787" w:rsidP="002727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272787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Human rights implications</w:t>
      </w:r>
    </w:p>
    <w:p w:rsidR="00272787" w:rsidRPr="00272787" w:rsidRDefault="00272787" w:rsidP="00272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272787" w:rsidRPr="00272787" w:rsidRDefault="00272787" w:rsidP="00272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72787">
        <w:rPr>
          <w:rFonts w:ascii="Times New Roman" w:eastAsia="Times New Roman" w:hAnsi="Times New Roman" w:cs="Times New Roman"/>
          <w:sz w:val="24"/>
          <w:szCs w:val="24"/>
          <w:lang w:eastAsia="en-AU"/>
        </w:rPr>
        <w:t>This legislative instrument does not engage any of the applicable rights or freedoms.</w:t>
      </w:r>
    </w:p>
    <w:p w:rsidR="00272787" w:rsidRPr="00272787" w:rsidRDefault="00272787" w:rsidP="002727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:rsidR="00272787" w:rsidRPr="00272787" w:rsidRDefault="00272787" w:rsidP="002727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272787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Conclusion</w:t>
      </w:r>
    </w:p>
    <w:p w:rsidR="00272787" w:rsidRPr="00272787" w:rsidRDefault="00272787" w:rsidP="00272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272787" w:rsidRPr="00272787" w:rsidRDefault="00272787" w:rsidP="00272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72787">
        <w:rPr>
          <w:rFonts w:ascii="Times New Roman" w:eastAsia="Times New Roman" w:hAnsi="Times New Roman" w:cs="Times New Roman"/>
          <w:sz w:val="24"/>
          <w:szCs w:val="24"/>
          <w:lang w:eastAsia="en-AU"/>
        </w:rPr>
        <w:t>This legislative instrument is compatible with human rights as it does not raise any human</w:t>
      </w:r>
      <w:r w:rsidR="00052331">
        <w:rPr>
          <w:rFonts w:ascii="Times New Roman" w:eastAsia="Times New Roman" w:hAnsi="Times New Roman" w:cs="Times New Roman"/>
          <w:sz w:val="24"/>
          <w:szCs w:val="24"/>
          <w:lang w:eastAsia="en-AU"/>
        </w:rPr>
        <w:t> </w:t>
      </w:r>
      <w:r w:rsidRPr="00272787">
        <w:rPr>
          <w:rFonts w:ascii="Times New Roman" w:eastAsia="Times New Roman" w:hAnsi="Times New Roman" w:cs="Times New Roman"/>
          <w:sz w:val="24"/>
          <w:szCs w:val="24"/>
          <w:lang w:eastAsia="en-AU"/>
        </w:rPr>
        <w:t>rights issues.</w:t>
      </w:r>
    </w:p>
    <w:p w:rsidR="00272787" w:rsidRPr="00272787" w:rsidRDefault="00272787" w:rsidP="002727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272787" w:rsidRPr="00272787" w:rsidRDefault="00272787" w:rsidP="00272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272787" w:rsidRPr="00272787" w:rsidRDefault="00272787" w:rsidP="00272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272787" w:rsidRDefault="00272787"/>
    <w:p w:rsidR="00272787" w:rsidRDefault="00272787"/>
    <w:sectPr w:rsidR="00272787" w:rsidSect="008B5550">
      <w:footerReference w:type="default" r:id="rId7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550" w:rsidRDefault="008B5550" w:rsidP="008B5550">
      <w:pPr>
        <w:spacing w:after="0" w:line="240" w:lineRule="auto"/>
      </w:pPr>
      <w:r>
        <w:separator/>
      </w:r>
    </w:p>
  </w:endnote>
  <w:endnote w:type="continuationSeparator" w:id="0">
    <w:p w:rsidR="008B5550" w:rsidRDefault="008B5550" w:rsidP="008B5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14892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5550" w:rsidRDefault="008B55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B5550" w:rsidRDefault="008B55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550" w:rsidRDefault="008B5550" w:rsidP="008B5550">
      <w:pPr>
        <w:spacing w:after="0" w:line="240" w:lineRule="auto"/>
      </w:pPr>
      <w:r>
        <w:separator/>
      </w:r>
    </w:p>
  </w:footnote>
  <w:footnote w:type="continuationSeparator" w:id="0">
    <w:p w:rsidR="008B5550" w:rsidRDefault="008B5550" w:rsidP="008B5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33E7B"/>
    <w:multiLevelType w:val="hybridMultilevel"/>
    <w:tmpl w:val="96D03C20"/>
    <w:lvl w:ilvl="0" w:tplc="0C09000F">
      <w:start w:val="1"/>
      <w:numFmt w:val="decimal"/>
      <w:lvlText w:val="%1."/>
      <w:lvlJc w:val="left"/>
      <w:pPr>
        <w:ind w:left="1591" w:hanging="720"/>
      </w:pPr>
      <w:rPr>
        <w:b/>
        <w:bCs/>
        <w:spacing w:val="-1"/>
        <w:sz w:val="24"/>
        <w:szCs w:val="24"/>
      </w:rPr>
    </w:lvl>
    <w:lvl w:ilvl="1" w:tplc="EBDE478C">
      <w:start w:val="1"/>
      <w:numFmt w:val="bullet"/>
      <w:lvlText w:val="•"/>
      <w:lvlJc w:val="left"/>
      <w:pPr>
        <w:ind w:left="2324" w:hanging="720"/>
      </w:pPr>
    </w:lvl>
    <w:lvl w:ilvl="2" w:tplc="32C2B520">
      <w:start w:val="1"/>
      <w:numFmt w:val="bullet"/>
      <w:lvlText w:val="•"/>
      <w:lvlJc w:val="left"/>
      <w:pPr>
        <w:ind w:left="3057" w:hanging="720"/>
      </w:pPr>
    </w:lvl>
    <w:lvl w:ilvl="3" w:tplc="349E1F8C">
      <w:start w:val="1"/>
      <w:numFmt w:val="bullet"/>
      <w:lvlText w:val="•"/>
      <w:lvlJc w:val="left"/>
      <w:pPr>
        <w:ind w:left="3790" w:hanging="720"/>
      </w:pPr>
    </w:lvl>
    <w:lvl w:ilvl="4" w:tplc="8CB208BC">
      <w:start w:val="1"/>
      <w:numFmt w:val="bullet"/>
      <w:lvlText w:val="•"/>
      <w:lvlJc w:val="left"/>
      <w:pPr>
        <w:ind w:left="4523" w:hanging="720"/>
      </w:pPr>
    </w:lvl>
    <w:lvl w:ilvl="5" w:tplc="6CBE2404">
      <w:start w:val="1"/>
      <w:numFmt w:val="bullet"/>
      <w:lvlText w:val="•"/>
      <w:lvlJc w:val="left"/>
      <w:pPr>
        <w:ind w:left="5255" w:hanging="720"/>
      </w:pPr>
    </w:lvl>
    <w:lvl w:ilvl="6" w:tplc="122C6A98">
      <w:start w:val="1"/>
      <w:numFmt w:val="bullet"/>
      <w:lvlText w:val="•"/>
      <w:lvlJc w:val="left"/>
      <w:pPr>
        <w:ind w:left="5988" w:hanging="720"/>
      </w:pPr>
    </w:lvl>
    <w:lvl w:ilvl="7" w:tplc="B3AA378A">
      <w:start w:val="1"/>
      <w:numFmt w:val="bullet"/>
      <w:lvlText w:val="•"/>
      <w:lvlJc w:val="left"/>
      <w:pPr>
        <w:ind w:left="6721" w:hanging="720"/>
      </w:pPr>
    </w:lvl>
    <w:lvl w:ilvl="8" w:tplc="1C92557E">
      <w:start w:val="1"/>
      <w:numFmt w:val="bullet"/>
      <w:lvlText w:val="•"/>
      <w:lvlJc w:val="left"/>
      <w:pPr>
        <w:ind w:left="7454" w:hanging="72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787"/>
    <w:rsid w:val="00047A96"/>
    <w:rsid w:val="00052331"/>
    <w:rsid w:val="00272787"/>
    <w:rsid w:val="00650A0A"/>
    <w:rsid w:val="007929B2"/>
    <w:rsid w:val="007C1079"/>
    <w:rsid w:val="00823A02"/>
    <w:rsid w:val="008B5550"/>
    <w:rsid w:val="00912343"/>
    <w:rsid w:val="009E37BF"/>
    <w:rsid w:val="00A94728"/>
    <w:rsid w:val="00AD3429"/>
    <w:rsid w:val="00CB71C9"/>
    <w:rsid w:val="00CF284C"/>
    <w:rsid w:val="00D91BD2"/>
    <w:rsid w:val="00DA0411"/>
    <w:rsid w:val="00DB7ADA"/>
    <w:rsid w:val="00F9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7D9FA"/>
  <w15:chartTrackingRefBased/>
  <w15:docId w15:val="{8B8A08BF-9AC7-4838-9737-75FFC133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29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I-BodyTextNumbered">
    <w:name w:val="LI - Body Text Numbered"/>
    <w:basedOn w:val="Normal"/>
    <w:link w:val="LI-BodyTextNumberedChar"/>
    <w:qFormat/>
    <w:rsid w:val="00650A0A"/>
    <w:pPr>
      <w:spacing w:before="240" w:after="0" w:line="240" w:lineRule="auto"/>
      <w:ind w:left="1134" w:hanging="567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I-BodyTextNumberedChar">
    <w:name w:val="LI - Body Text Numbered Char"/>
    <w:link w:val="LI-BodyTextNumbered"/>
    <w:rsid w:val="00650A0A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8B55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550"/>
  </w:style>
  <w:style w:type="paragraph" w:styleId="Footer">
    <w:name w:val="footer"/>
    <w:basedOn w:val="Normal"/>
    <w:link w:val="FooterChar"/>
    <w:uiPriority w:val="99"/>
    <w:unhideWhenUsed/>
    <w:rsid w:val="008B55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4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63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53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080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67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618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109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157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3FC3A1FB886AA841B1151906BEDCBCDF" ma:contentTypeVersion="26" ma:contentTypeDescription="" ma:contentTypeScope="" ma:versionID="2c50bc0ba5eb1e7d71b30fac59e76dca">
  <xsd:schema xmlns:xsd="http://www.w3.org/2001/XMLSchema" xmlns:xs="http://www.w3.org/2001/XMLSchema" xmlns:p="http://schemas.microsoft.com/office/2006/metadata/properties" xmlns:ns2="da7a9ac0-bc47-4684-84e6-3a8e9ac80c12" xmlns:ns3="6fdf923d-1605-456d-9034-49e4c2a6593d" xmlns:ns5="http://schemas.microsoft.com/sharepoint/v4" xmlns:ns6="17f478ab-373e-4295-9ff0-9b833ad01319" targetNamespace="http://schemas.microsoft.com/office/2006/metadata/properties" ma:root="true" ma:fieldsID="5d6006625e76890dfd6513a67b10bc85" ns2:_="" ns3:_="" ns5:_="" ns6:_="">
    <xsd:import namespace="da7a9ac0-bc47-4684-84e6-3a8e9ac80c12"/>
    <xsd:import namespace="6fdf923d-1605-456d-9034-49e4c2a6593d"/>
    <xsd:import namespace="http://schemas.microsoft.com/sharepoint/v4"/>
    <xsd:import namespace="17f478ab-373e-4295-9ff0-9b833ad01319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ObjectiveID" minOccurs="0"/>
                <xsd:element ref="ns2:SenateOrder12" minOccurs="0"/>
                <xsd:element ref="ns2:SignificantFlag" minOccurs="0"/>
                <xsd:element ref="ns2:SignificantReason" minOccurs="0"/>
                <xsd:element ref="ns3:TaxCatchAll" minOccurs="0"/>
                <xsd:element ref="ns3:TaxCatchAllLabel" minOccurs="0"/>
                <xsd:element ref="ns2:ded95d7ab059406991d558011d18c177" minOccurs="0"/>
                <xsd:element ref="ns3:k274875fb6994245bc6e4e8c07243a23" minOccurs="0"/>
                <xsd:element ref="ns5:IconOverlay" minOccurs="0"/>
                <xsd:element ref="ns2:NotesLinks" minOccurs="0"/>
                <xsd:element ref="ns6:Reviewers" minOccurs="0"/>
                <xsd:element ref="ns6:Approv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a9ac0-bc47-4684-84e6-3a8e9ac80c12" elementFormDefault="qualified">
    <xsd:import namespace="http://schemas.microsoft.com/office/2006/documentManagement/types"/>
    <xsd:import namespace="http://schemas.microsoft.com/office/infopath/2007/PartnerControls"/>
    <xsd:element name="RecordNumber" ma:index="1" nillable="true" ma:displayName="Document ID" ma:hidden="true" ma:internalName="RecordNumber">
      <xsd:simpleType>
        <xsd:restriction base="dms:Text">
          <xsd:maxLength value="255"/>
        </xsd:restriction>
      </xsd:simpleType>
    </xsd:element>
    <xsd:element name="ObjectiveID" ma:index="3" nillable="true" ma:displayName="Objective ID" ma:hidden="true" ma:internalName="ObjectiveID">
      <xsd:simpleType>
        <xsd:restriction base="dms:Text">
          <xsd:maxLength value="255"/>
        </xsd:restriction>
      </xsd:simpleType>
    </xsd:element>
    <xsd:element name="SenateOrder12" ma:index="4" nillable="true" ma:displayName="Senate Order #12" ma:default="0" ma:hidden="true" ma:internalName="SenateOrder12">
      <xsd:simpleType>
        <xsd:restriction base="dms:Boolean"/>
      </xsd:simpleType>
    </xsd:element>
    <xsd:element name="SignificantFlag" ma:index="5" nillable="true" ma:displayName="Significant Flag" ma:default="0" ma:hidden="true" ma:internalName="SignificantFlag">
      <xsd:simpleType>
        <xsd:restriction base="dms:Boolean"/>
      </xsd:simpleType>
    </xsd:element>
    <xsd:element name="SignificantReason" ma:index="6" nillable="true" ma:displayName="Significant Reason" ma:hidden="true" ma:internalName="SignificantReason">
      <xsd:simpleType>
        <xsd:restriction base="dms:Text">
          <xsd:maxLength value="255"/>
        </xsd:restriction>
      </xsd:simpleType>
    </xsd:element>
    <xsd:element name="ded95d7ab059406991d558011d18c177" ma:index="15" nillable="true" ma:displayName="SecurityClassification_0" ma:hidden="true" ma:internalName="ded95d7ab059406991d558011d18c177" ma:readOnly="false">
      <xsd:simpleType>
        <xsd:restriction base="dms:Note"/>
      </xsd:simpleType>
    </xsd:element>
    <xsd:element name="NotesLinks" ma:index="20" nillable="true" ma:displayName="Notes &amp; Links" ma:description="Use this field to enter relevant document/site hyperlinks and/or notes." ma:internalName="NotesLink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f923d-1605-456d-9034-49e4c2a6593d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a778175f-e3de-4e80-9ac7-d7a00e6f923a}" ma:internalName="TaxCatchAll" ma:showField="CatchAllData" ma:web="6fdf923d-1605-456d-9034-49e4c2a65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a778175f-e3de-4e80-9ac7-d7a00e6f923a}" ma:internalName="TaxCatchAllLabel" ma:readOnly="true" ma:showField="CatchAllDataLabel" ma:web="6fdf923d-1605-456d-9034-49e4c2a65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274875fb6994245bc6e4e8c07243a23" ma:index="17" ma:taxonomy="true" ma:internalName="k274875fb6994245bc6e4e8c07243a23" ma:taxonomyFieldName="SecurityClassification" ma:displayName="Security Classification" ma:default="7;#Sensitive|19fd2cb8-3e97-4464-ae71-8c2c2095d028" ma:fieldId="{4274875f-b699-4245-bc6e-4e8c07243a23}" ma:sspId="b38671ba-7d76-46f8-b8a5-5fc3a7d6229d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478ab-373e-4295-9ff0-9b833ad01319" elementFormDefault="qualified">
    <xsd:import namespace="http://schemas.microsoft.com/office/2006/documentManagement/types"/>
    <xsd:import namespace="http://schemas.microsoft.com/office/infopath/2007/PartnerControls"/>
    <xsd:element name="Reviewers" ma:index="21" nillable="true" ma:displayName="Reviewers" ma:list="UserInfo" ma:SharePointGroup="0" ma:internalName="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2" nillable="true" ma:displayName="Approvers" ma:list="UserInfo" ma:SharePointGroup="0" ma:internalName="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da7a9ac0-bc47-4684-84e6-3a8e9ac80c12">R20180001790915</RecordNumber>
    <ObjectiveID xmlns="da7a9ac0-bc47-4684-84e6-3a8e9ac80c12" xsi:nil="true"/>
    <IconOverlay xmlns="http://schemas.microsoft.com/sharepoint/v4" xsi:nil="true"/>
    <TaxCatchAll xmlns="6fdf923d-1605-456d-9034-49e4c2a6593d">
      <Value>7</Value>
    </TaxCatchAll>
    <k274875fb6994245bc6e4e8c07243a23 xmlns="6fdf923d-1605-456d-9034-49e4c2a659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19fd2cb8-3e97-4464-ae71-8c2c2095d028</TermId>
        </TermInfo>
      </Terms>
    </k274875fb6994245bc6e4e8c07243a23>
    <SignificantFlag xmlns="da7a9ac0-bc47-4684-84e6-3a8e9ac80c12">false</SignificantFlag>
    <SenateOrder12 xmlns="da7a9ac0-bc47-4684-84e6-3a8e9ac80c12">false</SenateOrder12>
    <ded95d7ab059406991d558011d18c177 xmlns="da7a9ac0-bc47-4684-84e6-3a8e9ac80c12" xsi:nil="true"/>
    <Approvers xmlns="17f478ab-373e-4295-9ff0-9b833ad01319">
      <UserInfo>
        <DisplayName/>
        <AccountId xsi:nil="true"/>
        <AccountType/>
      </UserInfo>
    </Approvers>
    <Reviewers xmlns="17f478ab-373e-4295-9ff0-9b833ad01319">
      <UserInfo>
        <DisplayName/>
        <AccountId xsi:nil="true"/>
        <AccountType/>
      </UserInfo>
    </Reviewers>
    <SignificantReason xmlns="da7a9ac0-bc47-4684-84e6-3a8e9ac80c12" xsi:nil="true"/>
    <NotesLinks xmlns="da7a9ac0-bc47-4684-84e6-3a8e9ac80c12" xsi:nil="true"/>
  </documentManagement>
</p:properties>
</file>

<file path=customXml/itemProps1.xml><?xml version="1.0" encoding="utf-8"?>
<ds:datastoreItem xmlns:ds="http://schemas.openxmlformats.org/officeDocument/2006/customXml" ds:itemID="{2A660F4A-D417-4027-8E05-5EE988AEA770}"/>
</file>

<file path=customXml/itemProps2.xml><?xml version="1.0" encoding="utf-8"?>
<ds:datastoreItem xmlns:ds="http://schemas.openxmlformats.org/officeDocument/2006/customXml" ds:itemID="{9D447255-2493-4EE5-8A01-0D8D5FF0128E}"/>
</file>

<file path=customXml/itemProps3.xml><?xml version="1.0" encoding="utf-8"?>
<ds:datastoreItem xmlns:ds="http://schemas.openxmlformats.org/officeDocument/2006/customXml" ds:itemID="{60AC6D64-670C-4623-A7B3-389EA3BD6A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</dc:title>
  <dc:subject/>
  <dc:creator>Grant Moodie</dc:creator>
  <cp:keywords/>
  <dc:description/>
  <cp:lastModifiedBy>Grant Moodie</cp:lastModifiedBy>
  <cp:revision>5</cp:revision>
  <cp:lastPrinted>2018-11-08T00:06:00Z</cp:lastPrinted>
  <dcterms:created xsi:type="dcterms:W3CDTF">2018-11-07T21:44:00Z</dcterms:created>
  <dcterms:modified xsi:type="dcterms:W3CDTF">2018-11-08T00:25:00Z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0x010100B5F685A1365F544391EF8C813B164F3A003FC3A1FB886AA841B1151906BEDCBCDF</vt:lpwstr>
  </property>
  <property fmtid="{D5CDD505-2E9C-101B-9397-08002B2CF9AE}" pid="3" name="Order">
    <vt:r8>69700</vt:r8>
  </property>
  <property fmtid="{D5CDD505-2E9C-101B-9397-08002B2CF9AE}" pid="4" name="SecurityClassification">
    <vt:lpwstr>7;#Sensitive|19fd2cb8-3e97-4464-ae71-8c2c2095d028</vt:lpwstr>
  </property>
  <property fmtid="{D5CDD505-2E9C-101B-9397-08002B2CF9AE}" pid="5" name="RecordPoint_WorkflowType">
    <vt:lpwstr>ActiveSubmitStub</vt:lpwstr>
  </property>
  <property fmtid="{D5CDD505-2E9C-101B-9397-08002B2CF9AE}" pid="6" name="RecordPoint_ActiveItemListId">
    <vt:lpwstr>{e8634c1b-1868-4a02-8de8-ef4b1316a551}</vt:lpwstr>
  </property>
  <property fmtid="{D5CDD505-2E9C-101B-9397-08002B2CF9AE}" pid="7" name="RecordPoint_ActiveItemUniqueId">
    <vt:lpwstr>{77b0c405-0f44-41df-99f7-f4fe0adf3f2a}</vt:lpwstr>
  </property>
  <property fmtid="{D5CDD505-2E9C-101B-9397-08002B2CF9AE}" pid="8" name="RecordPoint_ActiveItemWebId">
    <vt:lpwstr>{6fdf923d-1605-456d-9034-49e4c2a6593d}</vt:lpwstr>
  </property>
  <property fmtid="{D5CDD505-2E9C-101B-9397-08002B2CF9AE}" pid="9" name="RecordPoint_ActiveItemSiteId">
    <vt:lpwstr>{fa96e6fb-4129-44b7-b105-10ec3844cb78}</vt:lpwstr>
  </property>
  <property fmtid="{D5CDD505-2E9C-101B-9397-08002B2CF9AE}" pid="10" name="RecordPoint_RecordNumberSubmitted">
    <vt:lpwstr>R20180001790915</vt:lpwstr>
  </property>
  <property fmtid="{D5CDD505-2E9C-101B-9397-08002B2CF9AE}" pid="11" name="RecordPoint_SubmissionCompleted">
    <vt:lpwstr>2018-11-08T14:18:29.0009758+11:00</vt:lpwstr>
  </property>
</Properties>
</file>