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225054" w14:textId="77777777" w:rsidR="007D63BF" w:rsidRPr="006809B4" w:rsidRDefault="007D63BF" w:rsidP="00973CC5">
      <w:pPr>
        <w:pStyle w:val="Title"/>
      </w:pPr>
      <w:r w:rsidRPr="006809B4">
        <w:t>EXPLANATORY STATEMENT</w:t>
      </w:r>
    </w:p>
    <w:p w14:paraId="2F707378" w14:textId="77777777" w:rsidR="007D63BF" w:rsidRPr="006809B4" w:rsidRDefault="007D63BF" w:rsidP="00D148F2">
      <w:pPr>
        <w:rPr>
          <w:b/>
          <w:bCs/>
        </w:rPr>
      </w:pPr>
    </w:p>
    <w:p w14:paraId="080A8AFA" w14:textId="77777777" w:rsidR="007D63BF" w:rsidRPr="006809B4" w:rsidRDefault="007D63BF" w:rsidP="00973CC5">
      <w:pPr>
        <w:jc w:val="center"/>
      </w:pPr>
      <w:r w:rsidRPr="006809B4">
        <w:t xml:space="preserve">Issued by the Authority of the Minister for Health </w:t>
      </w:r>
    </w:p>
    <w:p w14:paraId="17825E22" w14:textId="77777777" w:rsidR="007D63BF" w:rsidRPr="006809B4" w:rsidRDefault="007D63BF" w:rsidP="00973CC5">
      <w:pPr>
        <w:jc w:val="center"/>
      </w:pPr>
    </w:p>
    <w:p w14:paraId="7F61F280" w14:textId="77777777" w:rsidR="005C11C6" w:rsidRPr="006809B4" w:rsidRDefault="007D63BF" w:rsidP="00973CC5">
      <w:pPr>
        <w:jc w:val="center"/>
      </w:pPr>
      <w:r w:rsidRPr="006809B4">
        <w:rPr>
          <w:i/>
        </w:rPr>
        <w:t>P</w:t>
      </w:r>
      <w:r w:rsidR="005C11C6" w:rsidRPr="006809B4">
        <w:rPr>
          <w:i/>
        </w:rPr>
        <w:t xml:space="preserve">rivate Health Insurance Act </w:t>
      </w:r>
      <w:r w:rsidR="00883586" w:rsidRPr="006809B4">
        <w:rPr>
          <w:i/>
        </w:rPr>
        <w:t>200</w:t>
      </w:r>
      <w:r w:rsidR="0078397D" w:rsidRPr="006809B4">
        <w:rPr>
          <w:i/>
        </w:rPr>
        <w:t>7</w:t>
      </w:r>
    </w:p>
    <w:p w14:paraId="6BA10285" w14:textId="77777777" w:rsidR="005C11C6" w:rsidRPr="006809B4" w:rsidRDefault="005C11C6" w:rsidP="00973CC5">
      <w:pPr>
        <w:jc w:val="center"/>
        <w:rPr>
          <w:b/>
          <w:u w:val="single"/>
        </w:rPr>
      </w:pPr>
    </w:p>
    <w:p w14:paraId="1AEAA96C" w14:textId="77777777" w:rsidR="00405205" w:rsidRPr="00405205" w:rsidRDefault="00A37928" w:rsidP="00405205">
      <w:pPr>
        <w:jc w:val="center"/>
        <w:rPr>
          <w:i/>
        </w:rPr>
      </w:pPr>
      <w:r w:rsidRPr="0083426D">
        <w:rPr>
          <w:i/>
        </w:rPr>
        <w:t>Private Health Insurance (</w:t>
      </w:r>
      <w:r w:rsidR="00E566D5">
        <w:rPr>
          <w:i/>
        </w:rPr>
        <w:t>Reforms</w:t>
      </w:r>
      <w:r w:rsidR="001C1E87" w:rsidRPr="0083426D">
        <w:rPr>
          <w:i/>
        </w:rPr>
        <w:t xml:space="preserve">) </w:t>
      </w:r>
    </w:p>
    <w:p w14:paraId="37724683" w14:textId="2C4CF755" w:rsidR="00A37928" w:rsidRPr="0083426D" w:rsidRDefault="00405205" w:rsidP="00405205">
      <w:pPr>
        <w:jc w:val="center"/>
        <w:rPr>
          <w:i/>
        </w:rPr>
      </w:pPr>
      <w:r w:rsidRPr="00405205">
        <w:rPr>
          <w:i/>
        </w:rPr>
        <w:t xml:space="preserve">Amendment </w:t>
      </w:r>
      <w:r w:rsidR="00E566D5">
        <w:rPr>
          <w:i/>
        </w:rPr>
        <w:t>Rules (No.</w:t>
      </w:r>
      <w:r w:rsidR="00873992">
        <w:rPr>
          <w:i/>
        </w:rPr>
        <w:t xml:space="preserve"> </w:t>
      </w:r>
      <w:r w:rsidR="0023473B">
        <w:rPr>
          <w:i/>
        </w:rPr>
        <w:t>2</w:t>
      </w:r>
      <w:r w:rsidRPr="00405205">
        <w:rPr>
          <w:i/>
        </w:rPr>
        <w:t>) 2018</w:t>
      </w:r>
    </w:p>
    <w:p w14:paraId="3607E4DC" w14:textId="77777777" w:rsidR="00587B1D" w:rsidRPr="006809B4" w:rsidRDefault="00587B1D" w:rsidP="00973CC5">
      <w:pPr>
        <w:jc w:val="center"/>
        <w:rPr>
          <w:i/>
          <w:szCs w:val="24"/>
        </w:rPr>
      </w:pPr>
    </w:p>
    <w:p w14:paraId="1E9DFD06" w14:textId="0F02B015" w:rsidR="00010101" w:rsidRPr="00010101" w:rsidRDefault="00010101" w:rsidP="00240FF5">
      <w:pPr>
        <w:rPr>
          <w:szCs w:val="24"/>
          <w:u w:val="single"/>
        </w:rPr>
      </w:pPr>
      <w:r w:rsidRPr="00010101">
        <w:rPr>
          <w:szCs w:val="24"/>
          <w:u w:val="single"/>
        </w:rPr>
        <w:t>Authority</w:t>
      </w:r>
      <w:bookmarkStart w:id="0" w:name="_GoBack"/>
      <w:bookmarkEnd w:id="0"/>
    </w:p>
    <w:p w14:paraId="31BA0FF7" w14:textId="2085DB2D" w:rsidR="00E70246" w:rsidRDefault="00545EDC" w:rsidP="00240FF5">
      <w:r w:rsidRPr="00A877BF">
        <w:t xml:space="preserve">Section 333-20 of the </w:t>
      </w:r>
      <w:r w:rsidRPr="00A877BF">
        <w:rPr>
          <w:i/>
          <w:iCs/>
        </w:rPr>
        <w:t xml:space="preserve">Private Health Insurance Act 2007 </w:t>
      </w:r>
      <w:r w:rsidRPr="00A877BF">
        <w:t xml:space="preserve">(the Act) authorises the Minister for Health, by legislative instrument, to make </w:t>
      </w:r>
      <w:r w:rsidR="0018070E">
        <w:t xml:space="preserve">specified </w:t>
      </w:r>
      <w:r w:rsidRPr="00A877BF">
        <w:rPr>
          <w:i/>
        </w:rPr>
        <w:t xml:space="preserve">Private Health Insurance Rules </w:t>
      </w:r>
      <w:r w:rsidRPr="00A877BF">
        <w:t xml:space="preserve">providing for matters required or permitted by the corresponding Chapter, Part or section to be provided or necessary or convenient to be provided in order to carry out or give effect to that Chapter, Part or section. </w:t>
      </w:r>
    </w:p>
    <w:p w14:paraId="7AFD70CE" w14:textId="77777777" w:rsidR="00E70246" w:rsidRDefault="00E70246" w:rsidP="00240FF5"/>
    <w:p w14:paraId="6A579C28" w14:textId="1BAA8398" w:rsidR="00545EDC" w:rsidRDefault="00545EDC" w:rsidP="00240FF5">
      <w:r w:rsidRPr="00A877BF">
        <w:t xml:space="preserve">The </w:t>
      </w:r>
      <w:r w:rsidRPr="00A520AB">
        <w:rPr>
          <w:i/>
        </w:rPr>
        <w:t xml:space="preserve">Private Health Insurance (Reforms) Amendment Rules </w:t>
      </w:r>
      <w:r w:rsidR="00E70246" w:rsidRPr="00A520AB">
        <w:rPr>
          <w:i/>
        </w:rPr>
        <w:t xml:space="preserve">(No. 2) </w:t>
      </w:r>
      <w:r w:rsidRPr="00A520AB">
        <w:rPr>
          <w:i/>
        </w:rPr>
        <w:t>2018</w:t>
      </w:r>
      <w:r w:rsidRPr="00A877BF">
        <w:t xml:space="preserve"> </w:t>
      </w:r>
      <w:r>
        <w:t xml:space="preserve">(the Amendment Rules) </w:t>
      </w:r>
      <w:r w:rsidRPr="00A877BF">
        <w:t xml:space="preserve">makes amendments to the </w:t>
      </w:r>
      <w:r w:rsidR="00E70246" w:rsidRPr="004662EE">
        <w:rPr>
          <w:i/>
        </w:rPr>
        <w:t>Private Health Insurance (Reforms) Amendment Rules 2018</w:t>
      </w:r>
      <w:r w:rsidR="00E70246" w:rsidRPr="00A877BF">
        <w:t xml:space="preserve"> </w:t>
      </w:r>
      <w:r w:rsidR="00E70246">
        <w:t>(the Principal Rules), which in turn amend the</w:t>
      </w:r>
      <w:r w:rsidR="00440CD7">
        <w:t xml:space="preserve"> </w:t>
      </w:r>
      <w:r w:rsidR="00440CD7" w:rsidRPr="00A520AB">
        <w:rPr>
          <w:i/>
        </w:rPr>
        <w:t>Private Health Insurance (Complying Product) Rules 2015</w:t>
      </w:r>
      <w:r w:rsidRPr="00A520AB">
        <w:rPr>
          <w:i/>
        </w:rPr>
        <w:t>.</w:t>
      </w:r>
      <w:r>
        <w:t xml:space="preserve"> </w:t>
      </w:r>
      <w:r w:rsidR="00D13021">
        <w:t xml:space="preserve">The amendments to the Amendment Rules relate to new product tiers and clinical categories </w:t>
      </w:r>
      <w:r w:rsidR="000777FA">
        <w:t xml:space="preserve">for each product tier </w:t>
      </w:r>
      <w:r w:rsidR="001A7BA9">
        <w:t xml:space="preserve">that </w:t>
      </w:r>
      <w:r w:rsidR="00D13021">
        <w:t>commence on 1 April 2019.</w:t>
      </w:r>
      <w:r w:rsidR="001A7BA9">
        <w:t xml:space="preserve"> </w:t>
      </w:r>
      <w:r w:rsidR="00116809">
        <w:t>T</w:t>
      </w:r>
      <w:r w:rsidR="001A7BA9">
        <w:t>h</w:t>
      </w:r>
      <w:r w:rsidR="00116809">
        <w:t>ese additional amendments do not change that commencement date</w:t>
      </w:r>
      <w:r w:rsidR="001A7BA9">
        <w:t>.</w:t>
      </w:r>
    </w:p>
    <w:p w14:paraId="484A56FF" w14:textId="66F84EEC" w:rsidR="00440CD7" w:rsidRDefault="00440CD7" w:rsidP="00240FF5"/>
    <w:p w14:paraId="3A355452" w14:textId="77777777" w:rsidR="00440CD7" w:rsidRPr="00440CD7" w:rsidRDefault="00440CD7" w:rsidP="00440CD7">
      <w:r w:rsidRPr="00440CD7">
        <w:t xml:space="preserve">Under subsection 33 (3) of the </w:t>
      </w:r>
      <w:r w:rsidRPr="00440CD7">
        <w:rPr>
          <w:i/>
        </w:rPr>
        <w:t>Acts Interpretation Act 1901</w:t>
      </w:r>
      <w:r w:rsidRPr="00440CD7">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5EF8AF37" w14:textId="77777777" w:rsidR="00440CD7" w:rsidRDefault="00440CD7" w:rsidP="00240FF5"/>
    <w:p w14:paraId="5ACFA778" w14:textId="77777777" w:rsidR="00587B1D" w:rsidRDefault="00587B1D" w:rsidP="00D47F0E">
      <w:pPr>
        <w:rPr>
          <w:u w:val="single"/>
        </w:rPr>
      </w:pPr>
      <w:r w:rsidRPr="00587B1D">
        <w:rPr>
          <w:u w:val="single"/>
        </w:rPr>
        <w:t>Purpose</w:t>
      </w:r>
    </w:p>
    <w:p w14:paraId="687EAD44" w14:textId="7BD3414D" w:rsidR="00DB1D08" w:rsidRDefault="009824AF" w:rsidP="009F16AD">
      <w:pPr>
        <w:autoSpaceDE w:val="0"/>
        <w:autoSpaceDN w:val="0"/>
        <w:adjustRightInd w:val="0"/>
      </w:pPr>
      <w:r>
        <w:t xml:space="preserve">The purpose of </w:t>
      </w:r>
      <w:r w:rsidR="00F2146D">
        <w:t xml:space="preserve">the </w:t>
      </w:r>
      <w:r w:rsidR="00DB1D08">
        <w:t xml:space="preserve">Amendment Rules is to amend elements of </w:t>
      </w:r>
      <w:r w:rsidR="00DB1D08">
        <w:rPr>
          <w:szCs w:val="24"/>
        </w:rPr>
        <w:t>item 4 of Part 1 of Schedule 3 of t</w:t>
      </w:r>
      <w:r w:rsidR="00DB1D08" w:rsidRPr="00B825A2">
        <w:t>he</w:t>
      </w:r>
      <w:r w:rsidR="00DB1D08" w:rsidRPr="00DE43F0">
        <w:rPr>
          <w:i/>
        </w:rPr>
        <w:t xml:space="preserve"> </w:t>
      </w:r>
      <w:r w:rsidR="00DB1D08">
        <w:t xml:space="preserve">Principal Rules to </w:t>
      </w:r>
      <w:r w:rsidR="00F2146D">
        <w:t>incorporate new</w:t>
      </w:r>
      <w:r w:rsidR="0018070E">
        <w:t xml:space="preserve"> and </w:t>
      </w:r>
      <w:r w:rsidR="00F2146D">
        <w:t xml:space="preserve">remove redundant Medicare Benefit Schedule (MBS) item numbers </w:t>
      </w:r>
      <w:r w:rsidR="00DB1D08">
        <w:t xml:space="preserve">within three separate tables included in this item. </w:t>
      </w:r>
      <w:r w:rsidR="000D5619" w:rsidRPr="00DB1D08">
        <w:t>These</w:t>
      </w:r>
      <w:r w:rsidR="000D5619">
        <w:t xml:space="preserve"> amendments are consequential to changes to the MBS </w:t>
      </w:r>
      <w:r w:rsidR="00DE6294">
        <w:t xml:space="preserve">for these items, </w:t>
      </w:r>
      <w:r w:rsidR="000D5619">
        <w:t>which will take effect on 1</w:t>
      </w:r>
      <w:r w:rsidR="00AE72DC">
        <w:t> </w:t>
      </w:r>
      <w:r w:rsidR="000D5619">
        <w:t>November</w:t>
      </w:r>
      <w:r w:rsidR="00AE72DC">
        <w:t> </w:t>
      </w:r>
      <w:r w:rsidR="000D5619">
        <w:t xml:space="preserve">2018. </w:t>
      </w:r>
      <w:r w:rsidR="00DE6294">
        <w:t xml:space="preserve">The Principal Rules are being amended </w:t>
      </w:r>
      <w:r w:rsidR="00803EFE">
        <w:t>to ensure that the changes</w:t>
      </w:r>
      <w:r w:rsidR="00803EFE" w:rsidRPr="00803EFE">
        <w:t xml:space="preserve"> </w:t>
      </w:r>
      <w:r w:rsidR="00803EFE">
        <w:t xml:space="preserve">to the </w:t>
      </w:r>
      <w:r w:rsidR="00803EFE" w:rsidRPr="00A520AB">
        <w:rPr>
          <w:i/>
        </w:rPr>
        <w:t>Private Health Insurance (Complying Product) Rules 2015</w:t>
      </w:r>
      <w:r w:rsidR="00803EFE">
        <w:t xml:space="preserve"> that commence on 1 April 2019 for product tiers and clinical categories provisions </w:t>
      </w:r>
      <w:r w:rsidR="00803EFE" w:rsidRPr="00D83FF4">
        <w:t>reflect the updated MBS items</w:t>
      </w:r>
      <w:r w:rsidR="00DE6294">
        <w:t xml:space="preserve">. </w:t>
      </w:r>
    </w:p>
    <w:p w14:paraId="3EB6C350" w14:textId="77777777" w:rsidR="009F16AD" w:rsidRDefault="009F16AD" w:rsidP="009F16AD">
      <w:pPr>
        <w:autoSpaceDE w:val="0"/>
        <w:autoSpaceDN w:val="0"/>
        <w:adjustRightInd w:val="0"/>
        <w:rPr>
          <w:color w:val="000000"/>
        </w:rPr>
      </w:pPr>
    </w:p>
    <w:p w14:paraId="046FB300" w14:textId="77777777" w:rsidR="00BD453D" w:rsidRDefault="00587B1D" w:rsidP="00D47F0E">
      <w:pPr>
        <w:rPr>
          <w:u w:val="single"/>
        </w:rPr>
      </w:pPr>
      <w:r w:rsidRPr="00FE1C98">
        <w:rPr>
          <w:u w:val="single"/>
        </w:rPr>
        <w:t>Background</w:t>
      </w:r>
    </w:p>
    <w:p w14:paraId="56F70899" w14:textId="77777777" w:rsidR="00A75F35" w:rsidRPr="00A877BF" w:rsidRDefault="00A75F35" w:rsidP="00A75F35">
      <w:pPr>
        <w:autoSpaceDE w:val="0"/>
        <w:autoSpaceDN w:val="0"/>
        <w:adjustRightInd w:val="0"/>
        <w:rPr>
          <w:highlight w:val="yellow"/>
        </w:rPr>
      </w:pPr>
      <w:r w:rsidRPr="00A877BF">
        <w:t xml:space="preserve">On 13 October 2017, the Government announced a package of reforms designed to make private health insurance simpler and more affordable for all Australians. The </w:t>
      </w:r>
      <w:r w:rsidRPr="00A877BF">
        <w:rPr>
          <w:i/>
        </w:rPr>
        <w:t xml:space="preserve">Private Health Insurance Legislation Amendment Act 2018 </w:t>
      </w:r>
      <w:r w:rsidRPr="00A877BF">
        <w:t>amended the</w:t>
      </w:r>
      <w:r w:rsidRPr="00A877BF">
        <w:rPr>
          <w:i/>
        </w:rPr>
        <w:t xml:space="preserve"> Private</w:t>
      </w:r>
      <w:r>
        <w:rPr>
          <w:i/>
        </w:rPr>
        <w:t> </w:t>
      </w:r>
      <w:r w:rsidRPr="00A877BF">
        <w:rPr>
          <w:i/>
        </w:rPr>
        <w:t>Health Insurance Act 2007</w:t>
      </w:r>
      <w:r w:rsidRPr="00A877BF">
        <w:t xml:space="preserve"> and associated legislation to enable a number of reforms</w:t>
      </w:r>
      <w:r>
        <w:t>,</w:t>
      </w:r>
      <w:r w:rsidRPr="00A877BF">
        <w:t xml:space="preserve"> as well as establishing a framework to support the implementation of some reforms through subordinate legislation. </w:t>
      </w:r>
    </w:p>
    <w:p w14:paraId="5E11BC75" w14:textId="77777777" w:rsidR="00A75F35" w:rsidRPr="00A877BF" w:rsidRDefault="00A75F35" w:rsidP="00A75F35">
      <w:r w:rsidRPr="00A877BF">
        <w:t xml:space="preserve">   </w:t>
      </w:r>
    </w:p>
    <w:p w14:paraId="1BE61748" w14:textId="2359A82C" w:rsidR="00A75F35" w:rsidRPr="00F8094C" w:rsidRDefault="00A75F35" w:rsidP="00A75F35">
      <w:pPr>
        <w:rPr>
          <w:color w:val="000000"/>
          <w:shd w:val="clear" w:color="auto" w:fill="FFFFFF"/>
        </w:rPr>
      </w:pPr>
      <w:r>
        <w:t>The Principal Rules include</w:t>
      </w:r>
      <w:r w:rsidRPr="00A877BF">
        <w:t xml:space="preserve"> amendments </w:t>
      </w:r>
      <w:r w:rsidR="001F0BEE">
        <w:t xml:space="preserve">to introduce new </w:t>
      </w:r>
      <w:r w:rsidRPr="003B4687">
        <w:t>product tiers and clinical categories for hospital cover</w:t>
      </w:r>
      <w:r w:rsidR="000777FA">
        <w:t xml:space="preserve"> in the </w:t>
      </w:r>
      <w:r w:rsidR="000777FA" w:rsidRPr="00A520AB">
        <w:rPr>
          <w:i/>
        </w:rPr>
        <w:t>Private Health Insurance (Complying Product) Rules 2015</w:t>
      </w:r>
      <w:r>
        <w:t>.</w:t>
      </w:r>
      <w:r w:rsidRPr="003B4687">
        <w:t xml:space="preserve"> </w:t>
      </w:r>
      <w:r>
        <w:t xml:space="preserve">The amendments </w:t>
      </w:r>
      <w:r w:rsidR="001F0BEE">
        <w:t>set out</w:t>
      </w:r>
      <w:r w:rsidRPr="001C09DA">
        <w:t xml:space="preserve"> new rules </w:t>
      </w:r>
      <w:r>
        <w:t>to categorise hospital products as either gold, silver, bronze or basic, depending on the services they cover, and to require insurers to use a defined set of clinical categories to describe the coverage they provide.</w:t>
      </w:r>
      <w:r w:rsidR="0027251C">
        <w:t xml:space="preserve"> To assist </w:t>
      </w:r>
      <w:r w:rsidR="0019715D">
        <w:t xml:space="preserve">in the administration </w:t>
      </w:r>
      <w:r w:rsidR="0019715D">
        <w:lastRenderedPageBreak/>
        <w:t xml:space="preserve">of </w:t>
      </w:r>
      <w:r w:rsidR="0027251C">
        <w:t>private health insur</w:t>
      </w:r>
      <w:r w:rsidR="0019715D">
        <w:t>ance</w:t>
      </w:r>
      <w:r w:rsidR="000876A2">
        <w:t xml:space="preserve">, </w:t>
      </w:r>
      <w:r w:rsidR="0027251C">
        <w:t>items</w:t>
      </w:r>
      <w:r w:rsidR="0019715D">
        <w:t xml:space="preserve"> included on the MBS that can be provided in hospitals</w:t>
      </w:r>
      <w:r w:rsidR="00D23736">
        <w:t xml:space="preserve"> have been allocated </w:t>
      </w:r>
      <w:r w:rsidR="0019715D">
        <w:t xml:space="preserve">in Schedule 3 of the Principal Rules </w:t>
      </w:r>
      <w:r w:rsidR="000876A2">
        <w:t>to</w:t>
      </w:r>
      <w:r w:rsidR="0027251C" w:rsidRPr="00F8094C">
        <w:rPr>
          <w:color w:val="000000"/>
          <w:shd w:val="clear" w:color="auto" w:fill="FFFFFF"/>
        </w:rPr>
        <w:t>:</w:t>
      </w:r>
    </w:p>
    <w:p w14:paraId="059BAE09" w14:textId="19A6DC6B" w:rsidR="0027251C" w:rsidRPr="00F8094C" w:rsidRDefault="00D23736" w:rsidP="00A520AB">
      <w:pPr>
        <w:pStyle w:val="ListParagraph"/>
        <w:numPr>
          <w:ilvl w:val="0"/>
          <w:numId w:val="51"/>
        </w:numPr>
        <w:rPr>
          <w:color w:val="000000"/>
          <w:shd w:val="clear" w:color="auto" w:fill="FFFFFF"/>
        </w:rPr>
      </w:pPr>
      <w:r w:rsidRPr="00F8094C">
        <w:rPr>
          <w:color w:val="000000"/>
          <w:shd w:val="clear" w:color="auto" w:fill="FFFFFF"/>
        </w:rPr>
        <w:t xml:space="preserve">Schedule 5, column 3 – for MBS items that are relevant to hospital treatments within the scope of cover </w:t>
      </w:r>
      <w:r w:rsidR="000876A2" w:rsidRPr="00586A3D">
        <w:rPr>
          <w:color w:val="000000"/>
          <w:shd w:val="clear" w:color="auto" w:fill="FFFFFF"/>
        </w:rPr>
        <w:t xml:space="preserve">of </w:t>
      </w:r>
      <w:r w:rsidR="0019715D">
        <w:rPr>
          <w:color w:val="000000"/>
          <w:shd w:val="clear" w:color="auto" w:fill="FFFFFF"/>
        </w:rPr>
        <w:t>the relevant</w:t>
      </w:r>
      <w:r w:rsidR="000876A2" w:rsidRPr="00586A3D">
        <w:rPr>
          <w:color w:val="000000"/>
          <w:shd w:val="clear" w:color="auto" w:fill="FFFFFF"/>
        </w:rPr>
        <w:t xml:space="preserve"> </w:t>
      </w:r>
      <w:r w:rsidRPr="00F8094C">
        <w:rPr>
          <w:color w:val="000000"/>
          <w:shd w:val="clear" w:color="auto" w:fill="FFFFFF"/>
        </w:rPr>
        <w:t>clinical category</w:t>
      </w:r>
      <w:r w:rsidR="0019715D">
        <w:rPr>
          <w:color w:val="000000"/>
          <w:shd w:val="clear" w:color="auto" w:fill="FFFFFF"/>
        </w:rPr>
        <w:t>;</w:t>
      </w:r>
    </w:p>
    <w:p w14:paraId="45239CC0" w14:textId="339A45C5" w:rsidR="0027251C" w:rsidRPr="00F8094C" w:rsidRDefault="00D23736" w:rsidP="00A520AB">
      <w:pPr>
        <w:pStyle w:val="ListParagraph"/>
        <w:numPr>
          <w:ilvl w:val="0"/>
          <w:numId w:val="51"/>
        </w:numPr>
        <w:rPr>
          <w:color w:val="000000"/>
          <w:shd w:val="clear" w:color="auto" w:fill="FFFFFF"/>
        </w:rPr>
      </w:pPr>
      <w:r w:rsidRPr="00F8094C">
        <w:rPr>
          <w:color w:val="000000"/>
          <w:shd w:val="clear" w:color="auto" w:fill="FFFFFF"/>
        </w:rPr>
        <w:t xml:space="preserve">Schedule 6 – for </w:t>
      </w:r>
      <w:r w:rsidR="00DE6294">
        <w:rPr>
          <w:color w:val="000000"/>
          <w:shd w:val="clear" w:color="auto" w:fill="FFFFFF"/>
        </w:rPr>
        <w:t>MBS items</w:t>
      </w:r>
      <w:r>
        <w:rPr>
          <w:color w:val="000000"/>
          <w:shd w:val="clear" w:color="auto" w:fill="FFFFFF"/>
        </w:rPr>
        <w:t xml:space="preserve"> that</w:t>
      </w:r>
      <w:r w:rsidR="00DE6294">
        <w:rPr>
          <w:color w:val="000000"/>
          <w:shd w:val="clear" w:color="auto" w:fill="FFFFFF"/>
        </w:rPr>
        <w:t xml:space="preserve"> </w:t>
      </w:r>
      <w:r w:rsidR="0019715D">
        <w:rPr>
          <w:color w:val="000000"/>
          <w:shd w:val="clear" w:color="auto" w:fill="FFFFFF"/>
        </w:rPr>
        <w:t>are relevant to</w:t>
      </w:r>
      <w:r w:rsidR="00DE6294">
        <w:rPr>
          <w:color w:val="000000"/>
          <w:shd w:val="clear" w:color="auto" w:fill="FFFFFF"/>
        </w:rPr>
        <w:t xml:space="preserve"> treatments commonly used across </w:t>
      </w:r>
      <w:r w:rsidR="0019715D">
        <w:rPr>
          <w:color w:val="000000"/>
          <w:shd w:val="clear" w:color="auto" w:fill="FFFFFF"/>
        </w:rPr>
        <w:t>a number</w:t>
      </w:r>
      <w:r w:rsidR="00DE6294">
        <w:rPr>
          <w:color w:val="000000"/>
          <w:shd w:val="clear" w:color="auto" w:fill="FFFFFF"/>
        </w:rPr>
        <w:t xml:space="preserve"> of the clinical categories listed in Schedule 5</w:t>
      </w:r>
      <w:r>
        <w:rPr>
          <w:color w:val="000000"/>
          <w:shd w:val="clear" w:color="auto" w:fill="FFFFFF"/>
        </w:rPr>
        <w:t xml:space="preserve">; </w:t>
      </w:r>
      <w:r w:rsidR="0027251C" w:rsidRPr="00F8094C">
        <w:rPr>
          <w:color w:val="000000"/>
          <w:shd w:val="clear" w:color="auto" w:fill="FFFFFF"/>
        </w:rPr>
        <w:t>and</w:t>
      </w:r>
    </w:p>
    <w:p w14:paraId="37F32D4A" w14:textId="289B0440" w:rsidR="00A75F35" w:rsidRDefault="00D23736" w:rsidP="00F8094C">
      <w:pPr>
        <w:pStyle w:val="ListParagraph"/>
        <w:numPr>
          <w:ilvl w:val="0"/>
          <w:numId w:val="51"/>
        </w:numPr>
      </w:pPr>
      <w:r w:rsidRPr="00F8094C">
        <w:rPr>
          <w:color w:val="000000"/>
          <w:shd w:val="clear" w:color="auto" w:fill="FFFFFF"/>
        </w:rPr>
        <w:t xml:space="preserve">Schedule 7 - </w:t>
      </w:r>
      <w:r>
        <w:rPr>
          <w:color w:val="000000"/>
          <w:shd w:val="clear" w:color="auto" w:fill="FFFFFF"/>
        </w:rPr>
        <w:t>MBS items that</w:t>
      </w:r>
      <w:r w:rsidR="0019715D">
        <w:rPr>
          <w:color w:val="000000"/>
          <w:shd w:val="clear" w:color="auto" w:fill="FFFFFF"/>
        </w:rPr>
        <w:t xml:space="preserve"> are relevant to treatments that</w:t>
      </w:r>
      <w:r>
        <w:rPr>
          <w:color w:val="000000"/>
          <w:shd w:val="clear" w:color="auto" w:fill="FFFFFF"/>
        </w:rPr>
        <w:t xml:space="preserve"> are commonly used to support the provision of a</w:t>
      </w:r>
      <w:r w:rsidR="0019715D">
        <w:rPr>
          <w:color w:val="000000"/>
          <w:shd w:val="clear" w:color="auto" w:fill="FFFFFF"/>
        </w:rPr>
        <w:t>nother</w:t>
      </w:r>
      <w:r>
        <w:rPr>
          <w:color w:val="000000"/>
          <w:shd w:val="clear" w:color="auto" w:fill="FFFFFF"/>
        </w:rPr>
        <w:t xml:space="preserve"> primary treatment</w:t>
      </w:r>
      <w:r w:rsidR="0019715D">
        <w:rPr>
          <w:color w:val="000000"/>
          <w:shd w:val="clear" w:color="auto" w:fill="FFFFFF"/>
        </w:rPr>
        <w:t xml:space="preserve"> (eg, pathology, </w:t>
      </w:r>
      <w:r w:rsidR="00803EFE">
        <w:rPr>
          <w:color w:val="000000"/>
          <w:shd w:val="clear" w:color="auto" w:fill="FFFFFF"/>
        </w:rPr>
        <w:t xml:space="preserve">and </w:t>
      </w:r>
      <w:r w:rsidR="0019715D">
        <w:rPr>
          <w:color w:val="000000"/>
          <w:shd w:val="clear" w:color="auto" w:fill="FFFFFF"/>
        </w:rPr>
        <w:t>anaesthetics)</w:t>
      </w:r>
      <w:r w:rsidR="0027251C">
        <w:t>.</w:t>
      </w:r>
    </w:p>
    <w:p w14:paraId="7EE0013A" w14:textId="13075E40" w:rsidR="001F0BEE" w:rsidRDefault="001F0BEE" w:rsidP="0027251C"/>
    <w:p w14:paraId="1CB77AC5" w14:textId="72D571A4" w:rsidR="0019715D" w:rsidRDefault="0019715D" w:rsidP="0027251C">
      <w:pPr>
        <w:rPr>
          <w:color w:val="000000"/>
          <w:shd w:val="clear" w:color="auto" w:fill="FFFFFF"/>
        </w:rPr>
      </w:pPr>
      <w:r>
        <w:t>When a health insurance</w:t>
      </w:r>
      <w:r>
        <w:rPr>
          <w:color w:val="000000"/>
          <w:shd w:val="clear" w:color="auto" w:fill="FFFFFF"/>
        </w:rPr>
        <w:t xml:space="preserve"> policy covers a clinical category it must cover all hospital treatment within the scope of cover identified in Schedule 5 column 2</w:t>
      </w:r>
      <w:r w:rsidR="00AE72DC">
        <w:rPr>
          <w:color w:val="000000"/>
          <w:shd w:val="clear" w:color="auto" w:fill="FFFFFF"/>
        </w:rPr>
        <w:t xml:space="preserve"> of the Principal Rules</w:t>
      </w:r>
      <w:r>
        <w:rPr>
          <w:color w:val="000000"/>
          <w:shd w:val="clear" w:color="auto" w:fill="FFFFFF"/>
        </w:rPr>
        <w:t>.  The scope of cover is not limited to the MBS items allocated to the category.  For the convenience of insurers and consumers, each MBS item has been allocated to the category or list where it is most likely to be relevant.</w:t>
      </w:r>
    </w:p>
    <w:p w14:paraId="5BD06E24" w14:textId="77777777" w:rsidR="0019715D" w:rsidRDefault="0019715D" w:rsidP="0027251C"/>
    <w:p w14:paraId="5D74234E" w14:textId="1FB9A0B3" w:rsidR="000876A2" w:rsidRDefault="00AE72DC" w:rsidP="0027251C">
      <w:r>
        <w:t>As</w:t>
      </w:r>
      <w:r w:rsidR="0019715D">
        <w:t xml:space="preserve"> </w:t>
      </w:r>
      <w:r>
        <w:t xml:space="preserve">there are </w:t>
      </w:r>
      <w:r w:rsidR="0019715D">
        <w:t xml:space="preserve">changes </w:t>
      </w:r>
      <w:r>
        <w:t>to MBS items commencing o</w:t>
      </w:r>
      <w:r w:rsidR="0019715D">
        <w:t xml:space="preserve">n 1 November 2018, </w:t>
      </w:r>
      <w:r>
        <w:t xml:space="preserve">the Amendment Rules provide </w:t>
      </w:r>
      <w:r w:rsidR="0019715D">
        <w:t xml:space="preserve">consequential changes to the allocation of those MBS items to clinical categories or </w:t>
      </w:r>
      <w:r>
        <w:t xml:space="preserve">to </w:t>
      </w:r>
      <w:r w:rsidR="0019715D">
        <w:t xml:space="preserve">the common and support treatment lists.  </w:t>
      </w:r>
    </w:p>
    <w:p w14:paraId="0CCA45ED" w14:textId="77777777" w:rsidR="0019715D" w:rsidRDefault="0019715D" w:rsidP="0027251C"/>
    <w:p w14:paraId="084EDF25" w14:textId="57B9CCC9" w:rsidR="00A75F35" w:rsidRDefault="00A75F35" w:rsidP="00A75F35">
      <w:r w:rsidRPr="001C09DA">
        <w:t>The</w:t>
      </w:r>
      <w:r w:rsidR="0019715D">
        <w:t xml:space="preserve"> creation of gold, silver, bronze and basic product tiers, with related clinical categories</w:t>
      </w:r>
      <w:r w:rsidR="00AE72DC">
        <w:t xml:space="preserve"> and MBS item allocation</w:t>
      </w:r>
      <w:r w:rsidR="0019715D">
        <w:t>,</w:t>
      </w:r>
      <w:r>
        <w:t xml:space="preserve"> </w:t>
      </w:r>
      <w:r w:rsidRPr="001C09DA">
        <w:t xml:space="preserve">will provide consumers with greater certainty about the treatments covered by </w:t>
      </w:r>
      <w:r w:rsidR="0019715D">
        <w:t xml:space="preserve">health insurance </w:t>
      </w:r>
      <w:r w:rsidRPr="001C09DA">
        <w:t>product</w:t>
      </w:r>
      <w:r w:rsidR="00AE72DC">
        <w:t>s</w:t>
      </w:r>
      <w:r w:rsidRPr="001C09DA">
        <w:t xml:space="preserve">. </w:t>
      </w:r>
      <w:r w:rsidR="00AE72DC">
        <w:t xml:space="preserve">Consumers will be able to more easily </w:t>
      </w:r>
      <w:r w:rsidRPr="001C09DA">
        <w:t xml:space="preserve">understand </w:t>
      </w:r>
      <w:r w:rsidR="00AE72DC">
        <w:t xml:space="preserve">and compare </w:t>
      </w:r>
      <w:r w:rsidRPr="001C09DA">
        <w:t>competing policies.</w:t>
      </w:r>
      <w:r>
        <w:t xml:space="preserve"> </w:t>
      </w:r>
    </w:p>
    <w:p w14:paraId="4F2B5C13" w14:textId="09D65D6C" w:rsidR="00A75F35" w:rsidRDefault="00A75F35" w:rsidP="00A520AB">
      <w:pPr>
        <w:contextualSpacing/>
      </w:pPr>
    </w:p>
    <w:p w14:paraId="7FCA9FF1" w14:textId="15F520C7" w:rsidR="007206A8" w:rsidRPr="00A520AB" w:rsidRDefault="007206A8" w:rsidP="00A520AB">
      <w:pPr>
        <w:contextualSpacing/>
        <w:rPr>
          <w:u w:val="single"/>
        </w:rPr>
      </w:pPr>
      <w:r>
        <w:rPr>
          <w:u w:val="single"/>
        </w:rPr>
        <w:t>Commencement</w:t>
      </w:r>
    </w:p>
    <w:p w14:paraId="6C5D25E0" w14:textId="5676A634" w:rsidR="00A75F35" w:rsidRDefault="007206A8" w:rsidP="00D951F7">
      <w:r>
        <w:t xml:space="preserve">The Amendment Rules will commence on </w:t>
      </w:r>
      <w:r w:rsidR="00AE72DC">
        <w:t>1 November 2018</w:t>
      </w:r>
      <w:r w:rsidR="00B71583">
        <w:t>.</w:t>
      </w:r>
    </w:p>
    <w:p w14:paraId="545DCF1B" w14:textId="77777777" w:rsidR="00A75F35" w:rsidRDefault="00A75F35" w:rsidP="00D951F7"/>
    <w:p w14:paraId="768CBE4E" w14:textId="77777777" w:rsidR="00587B1D" w:rsidRDefault="00587B1D" w:rsidP="00587B1D">
      <w:pPr>
        <w:rPr>
          <w:u w:val="single"/>
        </w:rPr>
      </w:pPr>
      <w:r w:rsidRPr="001A053F">
        <w:rPr>
          <w:u w:val="single"/>
        </w:rPr>
        <w:t>Details</w:t>
      </w:r>
    </w:p>
    <w:p w14:paraId="106DA921" w14:textId="1227DD0B" w:rsidR="002A59B5" w:rsidRDefault="002A59B5" w:rsidP="00973CC5">
      <w:pPr>
        <w:jc w:val="both"/>
        <w:rPr>
          <w:szCs w:val="24"/>
        </w:rPr>
      </w:pPr>
      <w:r w:rsidRPr="006809B4">
        <w:rPr>
          <w:szCs w:val="24"/>
        </w:rPr>
        <w:t>Details of the Amend</w:t>
      </w:r>
      <w:r w:rsidR="005F6CF5" w:rsidRPr="006809B4">
        <w:rPr>
          <w:szCs w:val="24"/>
        </w:rPr>
        <w:t>ment</w:t>
      </w:r>
      <w:r w:rsidRPr="006809B4">
        <w:rPr>
          <w:szCs w:val="24"/>
        </w:rPr>
        <w:t xml:space="preserve"> Rules are set out in </w:t>
      </w:r>
      <w:r w:rsidRPr="000F0625">
        <w:rPr>
          <w:b/>
          <w:szCs w:val="24"/>
        </w:rPr>
        <w:t>Attachment</w:t>
      </w:r>
      <w:r w:rsidR="00A520AB">
        <w:rPr>
          <w:b/>
          <w:szCs w:val="24"/>
        </w:rPr>
        <w:t xml:space="preserve"> A</w:t>
      </w:r>
      <w:r w:rsidRPr="006809B4">
        <w:rPr>
          <w:szCs w:val="24"/>
        </w:rPr>
        <w:t>.</w:t>
      </w:r>
    </w:p>
    <w:p w14:paraId="59FE14F4" w14:textId="77777777" w:rsidR="007E7A60" w:rsidRDefault="007E7A60" w:rsidP="00973CC5">
      <w:pPr>
        <w:jc w:val="both"/>
        <w:rPr>
          <w:szCs w:val="24"/>
        </w:rPr>
      </w:pPr>
    </w:p>
    <w:p w14:paraId="0376B6CD" w14:textId="77777777" w:rsidR="002E0949" w:rsidRPr="00587B1D" w:rsidRDefault="00526D8A" w:rsidP="00973CC5">
      <w:pPr>
        <w:jc w:val="both"/>
        <w:rPr>
          <w:szCs w:val="24"/>
          <w:u w:val="single"/>
        </w:rPr>
      </w:pPr>
      <w:r w:rsidRPr="00587B1D">
        <w:rPr>
          <w:szCs w:val="24"/>
          <w:u w:val="single"/>
        </w:rPr>
        <w:t>Consultation</w:t>
      </w:r>
    </w:p>
    <w:p w14:paraId="6D3062EB" w14:textId="569FEE26" w:rsidR="00475C44" w:rsidRPr="00F8094C" w:rsidRDefault="000876A2" w:rsidP="00475C44">
      <w:pPr>
        <w:autoSpaceDE w:val="0"/>
        <w:autoSpaceDN w:val="0"/>
        <w:adjustRightInd w:val="0"/>
        <w:rPr>
          <w:szCs w:val="24"/>
        </w:rPr>
      </w:pPr>
      <w:r w:rsidRPr="00F8094C">
        <w:rPr>
          <w:szCs w:val="24"/>
        </w:rPr>
        <w:t xml:space="preserve">MBS item changes for 1 November 2018 </w:t>
      </w:r>
      <w:r w:rsidR="00475C44" w:rsidRPr="00F8094C">
        <w:rPr>
          <w:szCs w:val="24"/>
        </w:rPr>
        <w:t xml:space="preserve">implement decisions agreed by Government in relation to new and redundant MBS Items following recommendations of the Medical Services Advisory Committee (MSAC) and the MBS Review Taskforce (the Taskforce). </w:t>
      </w:r>
    </w:p>
    <w:p w14:paraId="744FD219" w14:textId="77777777" w:rsidR="00475C44" w:rsidRPr="00F8094C" w:rsidRDefault="00475C44" w:rsidP="00475C44">
      <w:pPr>
        <w:autoSpaceDE w:val="0"/>
        <w:autoSpaceDN w:val="0"/>
        <w:adjustRightInd w:val="0"/>
        <w:rPr>
          <w:szCs w:val="24"/>
        </w:rPr>
      </w:pPr>
    </w:p>
    <w:p w14:paraId="353BFC3F" w14:textId="77777777" w:rsidR="00475C44" w:rsidRPr="00F8094C" w:rsidRDefault="00475C44" w:rsidP="00475C44">
      <w:pPr>
        <w:autoSpaceDE w:val="0"/>
        <w:autoSpaceDN w:val="0"/>
        <w:adjustRightInd w:val="0"/>
        <w:rPr>
          <w:szCs w:val="24"/>
        </w:rPr>
      </w:pPr>
      <w:r w:rsidRPr="00F8094C">
        <w:rPr>
          <w:szCs w:val="24"/>
        </w:rPr>
        <w:t>As part of the MSAC process, consultation was undertaken on the MBS item changes with professional bodies, consumer groups, the public and clinical experts for all applications considered by MSAC.</w:t>
      </w:r>
    </w:p>
    <w:p w14:paraId="5948DDC5" w14:textId="77777777" w:rsidR="00475C44" w:rsidRPr="00F8094C" w:rsidRDefault="00475C44" w:rsidP="00475C44">
      <w:pPr>
        <w:autoSpaceDE w:val="0"/>
        <w:autoSpaceDN w:val="0"/>
        <w:adjustRightInd w:val="0"/>
        <w:rPr>
          <w:color w:val="000000"/>
          <w:szCs w:val="24"/>
        </w:rPr>
      </w:pPr>
    </w:p>
    <w:p w14:paraId="5B70A316" w14:textId="77777777" w:rsidR="00475C44" w:rsidRPr="00F8094C" w:rsidRDefault="00475C44" w:rsidP="00475C44">
      <w:pPr>
        <w:autoSpaceDE w:val="0"/>
        <w:autoSpaceDN w:val="0"/>
        <w:adjustRightInd w:val="0"/>
        <w:rPr>
          <w:szCs w:val="24"/>
        </w:rPr>
      </w:pPr>
      <w:r w:rsidRPr="00F8094C">
        <w:rPr>
          <w:color w:val="000000"/>
          <w:szCs w:val="24"/>
        </w:rPr>
        <w:t>The Taskforce’s recommendations were made on the basis of work by the Diagnostic Imaging Clinical Committee, Endocrinology Clinical Committee, Spinal Surgery committee, Dermatology, Allergy and Immunology Clinical Committee and Thoracic Medicine Clinical Committee. The recommendations were released for public consultation prior to the finalisation of its recommendations to Government</w:t>
      </w:r>
      <w:r w:rsidRPr="00586A3D">
        <w:rPr>
          <w:color w:val="000000"/>
          <w:szCs w:val="24"/>
        </w:rPr>
        <w:t>.</w:t>
      </w:r>
    </w:p>
    <w:p w14:paraId="50761E0B" w14:textId="0CC0425C" w:rsidR="000777FA" w:rsidRDefault="000777FA" w:rsidP="00F8094C">
      <w:pPr>
        <w:autoSpaceDE w:val="0"/>
        <w:autoSpaceDN w:val="0"/>
        <w:adjustRightInd w:val="0"/>
      </w:pPr>
    </w:p>
    <w:p w14:paraId="12214451" w14:textId="57168243" w:rsidR="00CE6C0C" w:rsidRDefault="000876A2" w:rsidP="00AD64A3">
      <w:pPr>
        <w:rPr>
          <w:szCs w:val="24"/>
          <w:lang w:eastAsia="en-US"/>
        </w:rPr>
      </w:pPr>
      <w:r>
        <w:t>C</w:t>
      </w:r>
      <w:r w:rsidR="009A5F19">
        <w:t>onsultation was undertaken with the principal peak organisations for the private health insurance industry about the</w:t>
      </w:r>
      <w:r w:rsidR="00586A3D">
        <w:t xml:space="preserve"> consequential</w:t>
      </w:r>
      <w:r w:rsidR="009A5F19">
        <w:t xml:space="preserve"> amendments </w:t>
      </w:r>
      <w:r>
        <w:t xml:space="preserve">to allocation of MBS items to clinical categories and the common and support treatments lists </w:t>
      </w:r>
      <w:r w:rsidR="009A5F19">
        <w:t xml:space="preserve">in </w:t>
      </w:r>
      <w:r w:rsidR="00586A3D">
        <w:t>the Amendment Rules</w:t>
      </w:r>
      <w:r w:rsidR="009A5F19">
        <w:t xml:space="preserve">. </w:t>
      </w:r>
      <w:r>
        <w:lastRenderedPageBreak/>
        <w:t>T</w:t>
      </w:r>
      <w:r w:rsidR="009A5F19">
        <w:t>he amendments are machinery in nature</w:t>
      </w:r>
      <w:r w:rsidR="00586A3D">
        <w:t>.  T</w:t>
      </w:r>
      <w:r>
        <w:t>hey apply the approach to allocation of the</w:t>
      </w:r>
      <w:r w:rsidR="00586A3D">
        <w:t xml:space="preserve"> relevant</w:t>
      </w:r>
      <w:r>
        <w:t xml:space="preserve"> MBS items that </w:t>
      </w:r>
      <w:r w:rsidR="00586A3D">
        <w:t xml:space="preserve">was </w:t>
      </w:r>
      <w:r>
        <w:t xml:space="preserve">the subject </w:t>
      </w:r>
      <w:r w:rsidR="00586A3D">
        <w:t xml:space="preserve">of </w:t>
      </w:r>
      <w:r>
        <w:t>previous consultation</w:t>
      </w:r>
      <w:r w:rsidR="00586A3D">
        <w:t xml:space="preserve"> for the Principal Rules</w:t>
      </w:r>
      <w:r w:rsidR="000601E3">
        <w:t xml:space="preserve">. </w:t>
      </w:r>
    </w:p>
    <w:p w14:paraId="24B08817" w14:textId="77777777" w:rsidR="007206A8" w:rsidRDefault="007206A8" w:rsidP="00AD64A3">
      <w:pPr>
        <w:rPr>
          <w:szCs w:val="24"/>
          <w:lang w:eastAsia="en-US"/>
        </w:rPr>
      </w:pPr>
    </w:p>
    <w:p w14:paraId="3F7BB853" w14:textId="77777777" w:rsidR="007206A8" w:rsidRDefault="007206A8" w:rsidP="00AD64A3">
      <w:pPr>
        <w:rPr>
          <w:szCs w:val="24"/>
          <w:lang w:eastAsia="en-US"/>
        </w:rPr>
      </w:pPr>
      <w:r>
        <w:rPr>
          <w:szCs w:val="24"/>
          <w:u w:val="single"/>
          <w:lang w:eastAsia="en-US"/>
        </w:rPr>
        <w:t>Statement of Compatibility with human rights</w:t>
      </w:r>
    </w:p>
    <w:p w14:paraId="2909A013" w14:textId="0BA66D1B" w:rsidR="00024783" w:rsidRPr="00CE6C0C" w:rsidRDefault="00D461FF" w:rsidP="00AD64A3">
      <w:pPr>
        <w:rPr>
          <w:color w:val="1F497D"/>
        </w:rPr>
      </w:pPr>
      <w:r>
        <w:rPr>
          <w:szCs w:val="24"/>
          <w:lang w:eastAsia="en-US"/>
        </w:rPr>
        <w:t xml:space="preserve">Subsection 9(1) of the </w:t>
      </w:r>
      <w:r>
        <w:rPr>
          <w:i/>
          <w:szCs w:val="24"/>
          <w:lang w:eastAsia="en-US"/>
        </w:rPr>
        <w:t xml:space="preserve">Human Rights (Parliamentary Scrutiny) Act 2011 </w:t>
      </w:r>
      <w:r>
        <w:rPr>
          <w:szCs w:val="24"/>
          <w:lang w:eastAsia="en-US"/>
        </w:rPr>
        <w:t xml:space="preserve">requires the rule-maker in </w:t>
      </w:r>
      <w:r w:rsidR="00BA3FF3">
        <w:rPr>
          <w:szCs w:val="24"/>
          <w:lang w:eastAsia="en-US"/>
        </w:rPr>
        <w:t xml:space="preserve">relation to a legislative instrument to which section 42 (disallowance) of the </w:t>
      </w:r>
      <w:r w:rsidR="00BA3FF3">
        <w:rPr>
          <w:i/>
          <w:szCs w:val="24"/>
          <w:lang w:eastAsia="en-US"/>
        </w:rPr>
        <w:t>Legislation Act 2003</w:t>
      </w:r>
      <w:r w:rsidR="00BA3FF3">
        <w:rPr>
          <w:szCs w:val="24"/>
          <w:lang w:eastAsia="en-US"/>
        </w:rPr>
        <w:t xml:space="preserve"> applies to cause a statement of compatibility to be prepared in respect of that legislative instrument. The Statement of Compatibility has been prepared to meet that requirement and is included at </w:t>
      </w:r>
      <w:r w:rsidR="00BA3FF3">
        <w:rPr>
          <w:b/>
          <w:szCs w:val="24"/>
          <w:lang w:eastAsia="en-US"/>
        </w:rPr>
        <w:t>Attachment B.</w:t>
      </w:r>
      <w:r w:rsidR="00B24C3C">
        <w:rPr>
          <w:szCs w:val="24"/>
          <w:lang w:eastAsia="en-US"/>
        </w:rPr>
        <w:br w:type="page"/>
      </w:r>
    </w:p>
    <w:p w14:paraId="714ED37D" w14:textId="28E0D9B8" w:rsidR="00260997" w:rsidRDefault="00260997" w:rsidP="00260997">
      <w:pPr>
        <w:ind w:left="1701" w:firstLine="567"/>
        <w:jc w:val="right"/>
        <w:rPr>
          <w:b/>
        </w:rPr>
      </w:pPr>
      <w:r>
        <w:rPr>
          <w:b/>
        </w:rPr>
        <w:lastRenderedPageBreak/>
        <w:t>ATTACHMENT</w:t>
      </w:r>
      <w:r w:rsidR="007206A8">
        <w:rPr>
          <w:b/>
        </w:rPr>
        <w:t xml:space="preserve"> A</w:t>
      </w:r>
    </w:p>
    <w:p w14:paraId="78145366" w14:textId="77777777" w:rsidR="00260997" w:rsidRDefault="00260997" w:rsidP="00260997">
      <w:pPr>
        <w:jc w:val="center"/>
        <w:rPr>
          <w:b/>
        </w:rPr>
      </w:pPr>
    </w:p>
    <w:p w14:paraId="3ED06CF6" w14:textId="59385EAE" w:rsidR="00260997" w:rsidRDefault="00260997" w:rsidP="00260997">
      <w:pPr>
        <w:jc w:val="center"/>
        <w:rPr>
          <w:b/>
          <w:i/>
        </w:rPr>
      </w:pPr>
      <w:r w:rsidRPr="00C81642">
        <w:rPr>
          <w:b/>
        </w:rPr>
        <w:t xml:space="preserve">DETAILS </w:t>
      </w:r>
      <w:r>
        <w:rPr>
          <w:b/>
        </w:rPr>
        <w:t xml:space="preserve">OF THE </w:t>
      </w:r>
      <w:r w:rsidRPr="00C81642">
        <w:rPr>
          <w:b/>
          <w:i/>
        </w:rPr>
        <w:t>PRIVATE HEALTH INSURANCE (</w:t>
      </w:r>
      <w:r w:rsidR="00161272">
        <w:rPr>
          <w:b/>
          <w:i/>
        </w:rPr>
        <w:t>REFORMS</w:t>
      </w:r>
      <w:r w:rsidRPr="00C81642">
        <w:rPr>
          <w:b/>
          <w:i/>
        </w:rPr>
        <w:t xml:space="preserve">) </w:t>
      </w:r>
      <w:r w:rsidR="001C1E87">
        <w:rPr>
          <w:b/>
          <w:i/>
        </w:rPr>
        <w:br/>
      </w:r>
      <w:r w:rsidR="001C1E87" w:rsidRPr="00C81642">
        <w:rPr>
          <w:b/>
          <w:i/>
        </w:rPr>
        <w:t>AMENDMENT</w:t>
      </w:r>
      <w:r w:rsidR="00A77AF8">
        <w:rPr>
          <w:b/>
          <w:i/>
        </w:rPr>
        <w:t xml:space="preserve"> </w:t>
      </w:r>
      <w:r w:rsidRPr="00C81642">
        <w:rPr>
          <w:b/>
          <w:i/>
        </w:rPr>
        <w:t>RULES</w:t>
      </w:r>
      <w:r w:rsidR="00161272">
        <w:rPr>
          <w:b/>
          <w:i/>
        </w:rPr>
        <w:t xml:space="preserve"> (No</w:t>
      </w:r>
      <w:r w:rsidR="00873992">
        <w:rPr>
          <w:b/>
          <w:i/>
        </w:rPr>
        <w:t xml:space="preserve">. </w:t>
      </w:r>
      <w:r w:rsidR="00161272">
        <w:rPr>
          <w:b/>
          <w:i/>
        </w:rPr>
        <w:t xml:space="preserve">2) </w:t>
      </w:r>
      <w:r w:rsidRPr="00C81642">
        <w:rPr>
          <w:b/>
          <w:i/>
        </w:rPr>
        <w:t>20</w:t>
      </w:r>
      <w:r>
        <w:rPr>
          <w:b/>
          <w:i/>
        </w:rPr>
        <w:t>1</w:t>
      </w:r>
      <w:r w:rsidR="001C1E87">
        <w:rPr>
          <w:b/>
          <w:i/>
        </w:rPr>
        <w:t>8</w:t>
      </w:r>
    </w:p>
    <w:p w14:paraId="5CF0EB6A" w14:textId="77777777" w:rsidR="00260997" w:rsidRDefault="00260997" w:rsidP="00260997">
      <w:pPr>
        <w:rPr>
          <w:b/>
          <w:i/>
        </w:rPr>
      </w:pPr>
    </w:p>
    <w:p w14:paraId="21841761" w14:textId="77777777" w:rsidR="00260997" w:rsidRPr="00FD090C" w:rsidRDefault="00260997" w:rsidP="00260997">
      <w:pPr>
        <w:spacing w:before="120" w:after="120"/>
      </w:pPr>
      <w:r>
        <w:rPr>
          <w:b/>
        </w:rPr>
        <w:t>Section 1</w:t>
      </w:r>
      <w:r>
        <w:rPr>
          <w:b/>
        </w:rPr>
        <w:tab/>
        <w:t>Name of Rules</w:t>
      </w:r>
    </w:p>
    <w:p w14:paraId="63819DDB" w14:textId="1CB31001" w:rsidR="00260997" w:rsidRDefault="00260997" w:rsidP="00260997">
      <w:pPr>
        <w:spacing w:before="120" w:after="120"/>
      </w:pPr>
      <w:r>
        <w:t>Section 1 provides that t</w:t>
      </w:r>
      <w:r w:rsidR="00BA3FF3">
        <w:t xml:space="preserve">his instrument </w:t>
      </w:r>
      <w:r>
        <w:t xml:space="preserve">is the </w:t>
      </w:r>
      <w:r w:rsidR="001C1E87" w:rsidRPr="001C1E87">
        <w:rPr>
          <w:i/>
        </w:rPr>
        <w:t>Private Health</w:t>
      </w:r>
      <w:r w:rsidR="00734E4D">
        <w:rPr>
          <w:i/>
        </w:rPr>
        <w:t xml:space="preserve"> Insurance (</w:t>
      </w:r>
      <w:r w:rsidR="00161272">
        <w:rPr>
          <w:i/>
        </w:rPr>
        <w:t>Reforms</w:t>
      </w:r>
      <w:r w:rsidR="00734E4D">
        <w:rPr>
          <w:i/>
        </w:rPr>
        <w:t xml:space="preserve">) </w:t>
      </w:r>
      <w:r w:rsidR="001C1E87" w:rsidRPr="001C1E87">
        <w:rPr>
          <w:i/>
        </w:rPr>
        <w:t>Amendment</w:t>
      </w:r>
      <w:r w:rsidR="00734E4D">
        <w:rPr>
          <w:i/>
        </w:rPr>
        <w:t>)</w:t>
      </w:r>
      <w:r w:rsidR="00B519DD">
        <w:rPr>
          <w:i/>
        </w:rPr>
        <w:t xml:space="preserve"> </w:t>
      </w:r>
      <w:r w:rsidR="001C1E87" w:rsidRPr="001C1E87">
        <w:rPr>
          <w:i/>
        </w:rPr>
        <w:t xml:space="preserve">Rules </w:t>
      </w:r>
      <w:r w:rsidR="00161272">
        <w:rPr>
          <w:i/>
        </w:rPr>
        <w:t xml:space="preserve">(No. 2) </w:t>
      </w:r>
      <w:r w:rsidR="001C1E87" w:rsidRPr="001C1E87">
        <w:rPr>
          <w:i/>
        </w:rPr>
        <w:t xml:space="preserve">2018 </w:t>
      </w:r>
      <w:r>
        <w:t>(the Amendment Rules).</w:t>
      </w:r>
    </w:p>
    <w:p w14:paraId="7E91CE8B" w14:textId="77777777" w:rsidR="00E91E8B" w:rsidRPr="00C81642" w:rsidRDefault="00E91E8B" w:rsidP="00260997">
      <w:pPr>
        <w:spacing w:before="120" w:after="120"/>
      </w:pPr>
    </w:p>
    <w:p w14:paraId="3AADB198" w14:textId="77777777" w:rsidR="00260997" w:rsidRPr="00FD090C" w:rsidRDefault="00260997" w:rsidP="00260997">
      <w:pPr>
        <w:spacing w:before="120" w:after="120"/>
      </w:pPr>
      <w:r>
        <w:rPr>
          <w:b/>
        </w:rPr>
        <w:t>Section 2</w:t>
      </w:r>
      <w:r>
        <w:rPr>
          <w:b/>
        </w:rPr>
        <w:tab/>
        <w:t>Commencement</w:t>
      </w:r>
    </w:p>
    <w:p w14:paraId="3482DAE1" w14:textId="5713232A" w:rsidR="00260997" w:rsidRDefault="00E91E8B" w:rsidP="00260997">
      <w:pPr>
        <w:spacing w:before="120" w:after="120"/>
      </w:pPr>
      <w:r>
        <w:t xml:space="preserve">Section 2 sets out </w:t>
      </w:r>
      <w:r w:rsidR="00BA3FF3">
        <w:t xml:space="preserve">when the </w:t>
      </w:r>
      <w:r>
        <w:t>Amendment Rules</w:t>
      </w:r>
      <w:r w:rsidR="00BA3FF3">
        <w:t xml:space="preserve"> commence, which is </w:t>
      </w:r>
      <w:r w:rsidR="00586A3D">
        <w:t>1 November 2018</w:t>
      </w:r>
      <w:r w:rsidR="00112C22">
        <w:t>.</w:t>
      </w:r>
      <w:r w:rsidR="00161272">
        <w:t xml:space="preserve"> </w:t>
      </w:r>
      <w:r w:rsidR="002D5B40">
        <w:t xml:space="preserve">  </w:t>
      </w:r>
    </w:p>
    <w:p w14:paraId="1B13A83B" w14:textId="77777777" w:rsidR="00734E4D" w:rsidRDefault="00734E4D" w:rsidP="00260997">
      <w:pPr>
        <w:spacing w:before="120" w:after="120"/>
        <w:rPr>
          <w:b/>
        </w:rPr>
      </w:pPr>
    </w:p>
    <w:p w14:paraId="5C29A5A4" w14:textId="77777777" w:rsidR="00734E4D" w:rsidRDefault="00734E4D" w:rsidP="00260997">
      <w:pPr>
        <w:spacing w:before="120" w:after="120"/>
        <w:rPr>
          <w:b/>
        </w:rPr>
      </w:pPr>
      <w:r>
        <w:rPr>
          <w:b/>
        </w:rPr>
        <w:t xml:space="preserve">Section 3 Authority </w:t>
      </w:r>
    </w:p>
    <w:p w14:paraId="44C465FC" w14:textId="1438DDAC" w:rsidR="00734E4D" w:rsidRDefault="004C41ED" w:rsidP="00260997">
      <w:pPr>
        <w:spacing w:before="120" w:after="120"/>
      </w:pPr>
      <w:r w:rsidRPr="004C41ED">
        <w:t>Section 3 provides that the Authority for</w:t>
      </w:r>
      <w:r w:rsidR="00586A3D">
        <w:t xml:space="preserve"> </w:t>
      </w:r>
      <w:r w:rsidR="00E91E8B">
        <w:t xml:space="preserve">the Amendment Rules </w:t>
      </w:r>
      <w:r w:rsidRPr="004C41ED">
        <w:t xml:space="preserve">is </w:t>
      </w:r>
      <w:r w:rsidR="00586A3D">
        <w:t>section 333</w:t>
      </w:r>
      <w:r w:rsidR="00586A3D">
        <w:noBreakHyphen/>
        <w:t xml:space="preserve">20 of </w:t>
      </w:r>
      <w:r w:rsidRPr="004C41ED">
        <w:t xml:space="preserve">the </w:t>
      </w:r>
      <w:r w:rsidRPr="004C41ED">
        <w:rPr>
          <w:i/>
        </w:rPr>
        <w:t>Private Health Insurance Act 2007</w:t>
      </w:r>
      <w:r w:rsidRPr="004C41ED">
        <w:t xml:space="preserve"> (the Act).</w:t>
      </w:r>
    </w:p>
    <w:p w14:paraId="3D89537B" w14:textId="77777777" w:rsidR="00734E4D" w:rsidRPr="00734E4D" w:rsidRDefault="00734E4D" w:rsidP="00260997">
      <w:pPr>
        <w:spacing w:before="120" w:after="120"/>
      </w:pPr>
    </w:p>
    <w:p w14:paraId="585474D7" w14:textId="77777777" w:rsidR="00734E4D" w:rsidRDefault="00734E4D" w:rsidP="00260997">
      <w:pPr>
        <w:spacing w:before="120" w:after="120"/>
        <w:rPr>
          <w:b/>
        </w:rPr>
      </w:pPr>
      <w:r>
        <w:rPr>
          <w:b/>
        </w:rPr>
        <w:t>Section 4 Schedules</w:t>
      </w:r>
    </w:p>
    <w:p w14:paraId="3B13502C" w14:textId="50E33635" w:rsidR="00734E4D" w:rsidRDefault="00260997" w:rsidP="00260997">
      <w:pPr>
        <w:spacing w:before="120" w:after="120"/>
      </w:pPr>
      <w:r>
        <w:t xml:space="preserve">Section </w:t>
      </w:r>
      <w:r w:rsidR="00734E4D">
        <w:t>4</w:t>
      </w:r>
      <w:r>
        <w:t xml:space="preserve"> provides that Schedule</w:t>
      </w:r>
      <w:r w:rsidR="00112C22">
        <w:t xml:space="preserve"> </w:t>
      </w:r>
      <w:r w:rsidR="00BA3FF3">
        <w:t xml:space="preserve">1 </w:t>
      </w:r>
      <w:r>
        <w:t>to the Amendment Rules amends</w:t>
      </w:r>
      <w:r w:rsidR="00446FB5">
        <w:t xml:space="preserve"> provisions in</w:t>
      </w:r>
      <w:r>
        <w:t xml:space="preserve"> the </w:t>
      </w:r>
      <w:r>
        <w:rPr>
          <w:i/>
        </w:rPr>
        <w:t>Private Health Insurance (</w:t>
      </w:r>
      <w:r w:rsidR="00161272">
        <w:rPr>
          <w:i/>
        </w:rPr>
        <w:t>Reforms</w:t>
      </w:r>
      <w:r>
        <w:rPr>
          <w:i/>
        </w:rPr>
        <w:t xml:space="preserve">) </w:t>
      </w:r>
      <w:r w:rsidR="00161272">
        <w:rPr>
          <w:i/>
        </w:rPr>
        <w:t xml:space="preserve">Amendment </w:t>
      </w:r>
      <w:r>
        <w:rPr>
          <w:i/>
        </w:rPr>
        <w:t xml:space="preserve">Rules </w:t>
      </w:r>
      <w:r w:rsidR="00CC140A" w:rsidRPr="00A520AB">
        <w:t>201</w:t>
      </w:r>
      <w:r w:rsidR="00161272" w:rsidRPr="00A520AB">
        <w:t>8</w:t>
      </w:r>
      <w:r w:rsidR="00586A3D">
        <w:t xml:space="preserve"> that come into effect on 1 April 2019</w:t>
      </w:r>
      <w:r w:rsidR="000601E3">
        <w:t xml:space="preserve">. </w:t>
      </w:r>
      <w:r w:rsidR="00446FB5">
        <w:t>These amendments ensure that the changes</w:t>
      </w:r>
      <w:r w:rsidR="00803EFE" w:rsidRPr="00803EFE">
        <w:t xml:space="preserve"> </w:t>
      </w:r>
      <w:r w:rsidR="00803EFE">
        <w:t xml:space="preserve">to the </w:t>
      </w:r>
      <w:r w:rsidR="00803EFE" w:rsidRPr="00A520AB">
        <w:rPr>
          <w:i/>
        </w:rPr>
        <w:t>Private Health Insurance (Complying Product) Rules 2015</w:t>
      </w:r>
      <w:r w:rsidR="00446FB5">
        <w:t xml:space="preserve"> </w:t>
      </w:r>
      <w:r w:rsidR="00803EFE">
        <w:t xml:space="preserve">that commence on 1 April 2019 for product tiers and clinical categories provisions </w:t>
      </w:r>
      <w:r w:rsidR="00446FB5" w:rsidRPr="00D83FF4">
        <w:t>reflect the updated MBS items</w:t>
      </w:r>
      <w:r w:rsidR="00446FB5">
        <w:t>.</w:t>
      </w:r>
    </w:p>
    <w:p w14:paraId="6EF76952" w14:textId="77777777" w:rsidR="00260997" w:rsidRDefault="00260997" w:rsidP="00260997">
      <w:pPr>
        <w:spacing w:before="120" w:after="120"/>
      </w:pPr>
      <w:r>
        <w:t xml:space="preserve"> </w:t>
      </w:r>
    </w:p>
    <w:p w14:paraId="2490579E" w14:textId="77777777" w:rsidR="00260997" w:rsidRDefault="00260997" w:rsidP="00260997">
      <w:pPr>
        <w:spacing w:before="120" w:after="120"/>
        <w:rPr>
          <w:b/>
        </w:rPr>
      </w:pPr>
      <w:r>
        <w:rPr>
          <w:b/>
        </w:rPr>
        <w:t xml:space="preserve">Schedule </w:t>
      </w:r>
      <w:r w:rsidR="00E91E8B">
        <w:rPr>
          <w:b/>
        </w:rPr>
        <w:t xml:space="preserve">1 </w:t>
      </w:r>
      <w:r>
        <w:rPr>
          <w:b/>
        </w:rPr>
        <w:t>– Amendments</w:t>
      </w:r>
    </w:p>
    <w:p w14:paraId="507E005F" w14:textId="60CB3D48" w:rsidR="00260997" w:rsidRDefault="00260997" w:rsidP="00260997">
      <w:r>
        <w:rPr>
          <w:b/>
        </w:rPr>
        <w:t xml:space="preserve">Item 1 </w:t>
      </w:r>
      <w:r w:rsidR="0083415B">
        <w:rPr>
          <w:b/>
        </w:rPr>
        <w:tab/>
        <w:t xml:space="preserve"> Item [4] of Schedule 3 (table to section 2 of Schedule 5)</w:t>
      </w:r>
    </w:p>
    <w:p w14:paraId="42319DE5" w14:textId="048330BD" w:rsidR="0083415B" w:rsidRDefault="0083415B" w:rsidP="00260997"/>
    <w:p w14:paraId="37F16E45" w14:textId="0B872427" w:rsidR="0083415B" w:rsidRDefault="00FE797B" w:rsidP="00260997">
      <w:r>
        <w:t xml:space="preserve">Item 1 </w:t>
      </w:r>
      <w:r w:rsidR="00112C22">
        <w:t xml:space="preserve">amends Item 4 of Schedule 3 of the Principal Rules to </w:t>
      </w:r>
      <w:r>
        <w:t xml:space="preserve">omit the </w:t>
      </w:r>
      <w:r w:rsidR="00112C22">
        <w:t>table set out in section</w:t>
      </w:r>
      <w:r w:rsidR="00827E45">
        <w:t> </w:t>
      </w:r>
      <w:r w:rsidR="00112C22">
        <w:t xml:space="preserve">2 of Schedule 5 and substitute </w:t>
      </w:r>
      <w:r w:rsidR="00927EB5">
        <w:t>an amended table</w:t>
      </w:r>
      <w:r w:rsidR="00827E45">
        <w:t xml:space="preserve"> in Schedule 5</w:t>
      </w:r>
      <w:r w:rsidR="00927EB5">
        <w:t xml:space="preserve"> which updates selected MBS item numbers to ensure th</w:t>
      </w:r>
      <w:r w:rsidR="004D2FC7">
        <w:t>e</w:t>
      </w:r>
      <w:r w:rsidR="00927EB5">
        <w:t xml:space="preserve"> MBS item numbers set out in the table are consistent with the MBS as at 1</w:t>
      </w:r>
      <w:r w:rsidR="00265E6C">
        <w:t> </w:t>
      </w:r>
      <w:r w:rsidR="00927EB5">
        <w:t>November 2018</w:t>
      </w:r>
      <w:r w:rsidR="00586A3D">
        <w:t>. Column 3 of t</w:t>
      </w:r>
      <w:r w:rsidR="00D13071">
        <w:t>h</w:t>
      </w:r>
      <w:r w:rsidR="00803EFE">
        <w:t>e</w:t>
      </w:r>
      <w:r w:rsidR="00D13071">
        <w:t xml:space="preserve"> table sets out </w:t>
      </w:r>
      <w:r w:rsidR="00FA4ED5">
        <w:t xml:space="preserve">certain </w:t>
      </w:r>
      <w:r w:rsidR="00AD7EB6">
        <w:t xml:space="preserve">hospital </w:t>
      </w:r>
      <w:r w:rsidR="00D13071">
        <w:t>tr</w:t>
      </w:r>
      <w:r w:rsidR="00AD7EB6">
        <w:t xml:space="preserve">eatments that must be covered (identified by their individual MBS item number) that are in the scope of cover of a clinical category in relation to which a policy provides </w:t>
      </w:r>
      <w:r w:rsidR="00BA3FF3">
        <w:t xml:space="preserve">hospital </w:t>
      </w:r>
      <w:r w:rsidR="00AD7EB6">
        <w:t xml:space="preserve">cover. </w:t>
      </w:r>
    </w:p>
    <w:p w14:paraId="4455FB27" w14:textId="3190D731" w:rsidR="00927EB5" w:rsidRDefault="00927EB5" w:rsidP="00260997"/>
    <w:p w14:paraId="3A8E0446" w14:textId="5F86D65F" w:rsidR="00FA4ED5" w:rsidRDefault="00927EB5" w:rsidP="00FA4ED5">
      <w:r>
        <w:t xml:space="preserve">The effect </w:t>
      </w:r>
      <w:r w:rsidRPr="00FA4ED5">
        <w:t>of this amendment</w:t>
      </w:r>
      <w:r w:rsidR="00E70246" w:rsidRPr="00FA4ED5">
        <w:t xml:space="preserve"> includes</w:t>
      </w:r>
      <w:r w:rsidR="00FA4ED5" w:rsidRPr="00FA4ED5">
        <w:t xml:space="preserve"> </w:t>
      </w:r>
      <w:r w:rsidR="00FA4ED5" w:rsidRPr="004D2FC7">
        <w:t xml:space="preserve">a </w:t>
      </w:r>
      <w:r w:rsidR="00FA4ED5" w:rsidRPr="00F8094C">
        <w:t xml:space="preserve">significant number of changes to the MBS items mentioned for the clinical category “back, neck and spine” (55 new MBS items and 65 MBS items deleted).  There are also some deletions and new numbers in other </w:t>
      </w:r>
      <w:r w:rsidR="00803EFE">
        <w:t xml:space="preserve">clinical </w:t>
      </w:r>
      <w:r w:rsidR="00FA4ED5" w:rsidRPr="00F8094C">
        <w:t>categories, including new items in “</w:t>
      </w:r>
      <w:r w:rsidR="00FA4ED5">
        <w:t>B</w:t>
      </w:r>
      <w:r w:rsidR="00FA4ED5" w:rsidRPr="00F8094C">
        <w:t>ack, neck and spine”, “</w:t>
      </w:r>
      <w:r w:rsidR="00FA4ED5" w:rsidRPr="00FA4ED5">
        <w:t>Sk</w:t>
      </w:r>
      <w:r w:rsidR="00FA4ED5" w:rsidRPr="00F8094C">
        <w:t>in”, “</w:t>
      </w:r>
      <w:r w:rsidR="00FA4ED5">
        <w:t>S</w:t>
      </w:r>
      <w:r w:rsidR="00FA4ED5" w:rsidRPr="00F8094C">
        <w:t>leep studies”, “Breast surgery (medically necessary)”, Assisted reproductive services”, Eye (not cataracts)”, and “Kidney and bladder”</w:t>
      </w:r>
      <w:r w:rsidR="00FA4ED5">
        <w:t>.</w:t>
      </w:r>
    </w:p>
    <w:p w14:paraId="34B22D1D" w14:textId="77777777" w:rsidR="00FA4ED5" w:rsidRDefault="00FA4ED5" w:rsidP="00FA4ED5"/>
    <w:p w14:paraId="1C9C4C58" w14:textId="567B8753" w:rsidR="004D2FC7" w:rsidRDefault="00803EFE" w:rsidP="00FA4ED5">
      <w:r>
        <w:t>Details about specific MBS item changes taking effect on 1 November 2018 can be found on the Department of Health MBS Online website</w:t>
      </w:r>
      <w:r w:rsidR="00827E45">
        <w:t xml:space="preserve">. </w:t>
      </w:r>
    </w:p>
    <w:p w14:paraId="77E6D3A1" w14:textId="77777777" w:rsidR="004D2FC7" w:rsidRDefault="004D2FC7">
      <w:r>
        <w:br w:type="page"/>
      </w:r>
    </w:p>
    <w:p w14:paraId="58E58087" w14:textId="104CEAB5" w:rsidR="0083415B" w:rsidRDefault="0083415B" w:rsidP="00260997">
      <w:r>
        <w:rPr>
          <w:b/>
        </w:rPr>
        <w:lastRenderedPageBreak/>
        <w:t>Item 2</w:t>
      </w:r>
      <w:r>
        <w:rPr>
          <w:b/>
        </w:rPr>
        <w:tab/>
        <w:t>Item [4] of Schedule 3 (table to section 1 of Schedule 6)</w:t>
      </w:r>
    </w:p>
    <w:p w14:paraId="13CDB5E3" w14:textId="77777777" w:rsidR="00927EB5" w:rsidRDefault="00927EB5" w:rsidP="00927EB5"/>
    <w:p w14:paraId="55C79437" w14:textId="7AF2E07A" w:rsidR="00927EB5" w:rsidRDefault="00927EB5" w:rsidP="00927EB5">
      <w:r>
        <w:t>Item 2 amends Item 4 of Schedule 3 of the Principal Rules to omit the table set out in section</w:t>
      </w:r>
      <w:r w:rsidR="00827E45">
        <w:t> </w:t>
      </w:r>
      <w:r>
        <w:t>1 of Schedule 6 and substitute an amended table which updates selected MBS item numbers to ensure that MBS item numbers set out in the table are consistent with the MBS as at 1</w:t>
      </w:r>
      <w:r w:rsidR="00FA4ED5">
        <w:t> </w:t>
      </w:r>
      <w:r>
        <w:t>November 2018.</w:t>
      </w:r>
      <w:r w:rsidR="008167DE">
        <w:t xml:space="preserve"> This table sets out MBS items </w:t>
      </w:r>
      <w:r w:rsidR="004D2FC7">
        <w:rPr>
          <w:color w:val="000000"/>
          <w:shd w:val="clear" w:color="auto" w:fill="FFFFFF"/>
        </w:rPr>
        <w:t>that are relevant to treatments commonly used across a number of the clinical categories listed in Schedule 5</w:t>
      </w:r>
      <w:r w:rsidR="004D2FC7">
        <w:t>.</w:t>
      </w:r>
    </w:p>
    <w:p w14:paraId="58644C45" w14:textId="77777777" w:rsidR="00803EFE" w:rsidRDefault="00803EFE" w:rsidP="00927EB5"/>
    <w:p w14:paraId="6465F935" w14:textId="40C7F407" w:rsidR="004D2FC7" w:rsidRDefault="008167DE" w:rsidP="00827E45">
      <w:r>
        <w:t>The effect of this amendment is</w:t>
      </w:r>
      <w:r w:rsidR="00924A5C">
        <w:t xml:space="preserve"> to</w:t>
      </w:r>
      <w:r w:rsidR="00FA4ED5">
        <w:t xml:space="preserve"> </w:t>
      </w:r>
      <w:r w:rsidR="00827E45">
        <w:t>delete</w:t>
      </w:r>
      <w:r w:rsidR="00B85BF1">
        <w:t xml:space="preserve"> </w:t>
      </w:r>
      <w:r w:rsidR="00827E45">
        <w:t>two</w:t>
      </w:r>
      <w:r w:rsidR="00265E6C">
        <w:t xml:space="preserve"> </w:t>
      </w:r>
      <w:r w:rsidR="00B85BF1">
        <w:t>MBS item</w:t>
      </w:r>
      <w:r w:rsidR="00803EFE">
        <w:t xml:space="preserve">s </w:t>
      </w:r>
      <w:r w:rsidR="00FA4ED5">
        <w:t xml:space="preserve">and </w:t>
      </w:r>
      <w:r w:rsidR="00B85BF1">
        <w:t xml:space="preserve">insert </w:t>
      </w:r>
      <w:r w:rsidR="00827E45">
        <w:t>four</w:t>
      </w:r>
      <w:r w:rsidR="00265E6C">
        <w:t xml:space="preserve"> </w:t>
      </w:r>
      <w:r w:rsidR="00B85BF1">
        <w:t>MBS it</w:t>
      </w:r>
      <w:r w:rsidR="00803EFE">
        <w:t>em</w:t>
      </w:r>
      <w:r w:rsidR="00B85BF1">
        <w:t>s</w:t>
      </w:r>
      <w:r w:rsidR="00FA4ED5">
        <w:t>.</w:t>
      </w:r>
      <w:r w:rsidR="004D2FC7">
        <w:t xml:space="preserve"> </w:t>
      </w:r>
    </w:p>
    <w:p w14:paraId="6BF06707" w14:textId="77777777" w:rsidR="004D2FC7" w:rsidRDefault="004D2FC7" w:rsidP="00827E45"/>
    <w:p w14:paraId="1C6F1CF5" w14:textId="20FA1BFD" w:rsidR="00827E45" w:rsidRPr="00FA4ED5" w:rsidRDefault="00827E45" w:rsidP="00827E45">
      <w:r>
        <w:t xml:space="preserve">Details </w:t>
      </w:r>
      <w:r w:rsidR="00803EFE">
        <w:t>about specific MBS item c</w:t>
      </w:r>
      <w:r>
        <w:t xml:space="preserve">hanges taking effect on 1 November 2018 can be found on the Department of Health MBS Online website. </w:t>
      </w:r>
    </w:p>
    <w:p w14:paraId="3868A8B3" w14:textId="221CBEC2" w:rsidR="0083415B" w:rsidRDefault="0083415B" w:rsidP="00260997"/>
    <w:p w14:paraId="43CEE940" w14:textId="4D0E4BC3" w:rsidR="0083415B" w:rsidRPr="00A520AB" w:rsidRDefault="0083415B" w:rsidP="00260997">
      <w:r>
        <w:rPr>
          <w:b/>
        </w:rPr>
        <w:t>Item 3</w:t>
      </w:r>
      <w:r>
        <w:rPr>
          <w:b/>
        </w:rPr>
        <w:tab/>
        <w:t>Item [4] of Schedule 3 (table to section 1 of Schedule 7)</w:t>
      </w:r>
    </w:p>
    <w:p w14:paraId="38C01441" w14:textId="77777777" w:rsidR="00927EB5" w:rsidRDefault="00927EB5" w:rsidP="00927EB5"/>
    <w:p w14:paraId="3BD5D396" w14:textId="7C981996" w:rsidR="00927EB5" w:rsidRDefault="00927EB5" w:rsidP="00927EB5">
      <w:r>
        <w:t>Item 1 amends Item 4 of Schedule 3 of the Principal Rules to omit the table set out in section</w:t>
      </w:r>
      <w:r w:rsidR="00265E6C">
        <w:t> </w:t>
      </w:r>
      <w:r>
        <w:t>1 of Schedule 7 and substitute an amended table which updates selected MBS item numbers to ensure that MBS item numbers set out in the table are consistent with the MBS as at 1</w:t>
      </w:r>
      <w:r w:rsidR="00265E6C">
        <w:t> </w:t>
      </w:r>
      <w:r>
        <w:t>November 2018.</w:t>
      </w:r>
      <w:r w:rsidR="008167DE">
        <w:t xml:space="preserve"> This table sets out the MBS items </w:t>
      </w:r>
      <w:r w:rsidR="004D2FC7">
        <w:rPr>
          <w:color w:val="000000"/>
          <w:shd w:val="clear" w:color="auto" w:fill="FFFFFF"/>
        </w:rPr>
        <w:t xml:space="preserve">that are relevant to treatments that are commonly used to support the provision of another primary treatment (eg, pathology, </w:t>
      </w:r>
      <w:r w:rsidR="00803EFE">
        <w:rPr>
          <w:color w:val="000000"/>
          <w:shd w:val="clear" w:color="auto" w:fill="FFFFFF"/>
        </w:rPr>
        <w:t xml:space="preserve">and </w:t>
      </w:r>
      <w:r w:rsidR="004D2FC7">
        <w:rPr>
          <w:color w:val="000000"/>
          <w:shd w:val="clear" w:color="auto" w:fill="FFFFFF"/>
        </w:rPr>
        <w:t>anaesthetics)</w:t>
      </w:r>
      <w:r w:rsidR="00A50179">
        <w:t>.</w:t>
      </w:r>
    </w:p>
    <w:p w14:paraId="1522F065" w14:textId="77777777" w:rsidR="00927EB5" w:rsidRDefault="00927EB5" w:rsidP="00927EB5"/>
    <w:p w14:paraId="5B2544FC" w14:textId="67D4462D" w:rsidR="00924A5C" w:rsidRDefault="00924A5C" w:rsidP="00F8094C">
      <w:r>
        <w:t>The effect of this amendment is to</w:t>
      </w:r>
      <w:r w:rsidR="004D2FC7">
        <w:t xml:space="preserve"> </w:t>
      </w:r>
      <w:r w:rsidR="00803EFE">
        <w:t>delete six</w:t>
      </w:r>
      <w:r w:rsidR="00265E6C">
        <w:t xml:space="preserve"> </w:t>
      </w:r>
      <w:r>
        <w:t>MBS item</w:t>
      </w:r>
      <w:r w:rsidR="00803EFE">
        <w:t xml:space="preserve">s </w:t>
      </w:r>
      <w:r w:rsidR="004D2FC7">
        <w:t xml:space="preserve">and </w:t>
      </w:r>
      <w:r>
        <w:t xml:space="preserve">insert </w:t>
      </w:r>
      <w:r w:rsidR="00265E6C">
        <w:t xml:space="preserve">13 </w:t>
      </w:r>
      <w:r>
        <w:t>MBS item</w:t>
      </w:r>
      <w:r w:rsidR="00803EFE">
        <w:t>s</w:t>
      </w:r>
      <w:r w:rsidR="004D2FC7">
        <w:t>.</w:t>
      </w:r>
    </w:p>
    <w:p w14:paraId="68C778FA" w14:textId="77777777" w:rsidR="00827E45" w:rsidRDefault="00827E45" w:rsidP="00827E45"/>
    <w:p w14:paraId="5550F5FE" w14:textId="5F7C9E4B" w:rsidR="00E70246" w:rsidRDefault="00827E45" w:rsidP="00827E45">
      <w:r>
        <w:t xml:space="preserve">Details </w:t>
      </w:r>
      <w:r w:rsidR="00803EFE">
        <w:t>about specific MBS item</w:t>
      </w:r>
      <w:r>
        <w:t xml:space="preserve"> changes taking effect on 1 November 2018 can be found on the Department of Health MBS Online website.</w:t>
      </w:r>
      <w:r w:rsidR="00E70246">
        <w:br w:type="page"/>
      </w:r>
    </w:p>
    <w:p w14:paraId="51B79857" w14:textId="50B3410C" w:rsidR="004D2FC7" w:rsidRPr="00F8094C" w:rsidRDefault="004D2FC7" w:rsidP="00F8094C">
      <w:pPr>
        <w:ind w:left="1701" w:firstLine="567"/>
        <w:jc w:val="right"/>
        <w:rPr>
          <w:b/>
        </w:rPr>
      </w:pPr>
      <w:r w:rsidRPr="00F8094C">
        <w:rPr>
          <w:b/>
        </w:rPr>
        <w:lastRenderedPageBreak/>
        <w:t>ATTACHMENT B</w:t>
      </w:r>
    </w:p>
    <w:p w14:paraId="427966E0" w14:textId="5B8A6FC4" w:rsidR="00E70246" w:rsidRPr="00E4135E" w:rsidRDefault="00E70246" w:rsidP="00E70246">
      <w:pPr>
        <w:spacing w:before="360" w:after="120"/>
        <w:jc w:val="center"/>
        <w:rPr>
          <w:b/>
          <w:sz w:val="28"/>
          <w:szCs w:val="28"/>
        </w:rPr>
      </w:pPr>
      <w:r w:rsidRPr="00E4135E">
        <w:rPr>
          <w:b/>
          <w:sz w:val="28"/>
          <w:szCs w:val="28"/>
        </w:rPr>
        <w:t>Statement of Compatibility with Human Rights</w:t>
      </w:r>
    </w:p>
    <w:p w14:paraId="466C680E" w14:textId="501A1BAF" w:rsidR="00E70246" w:rsidRPr="00E4135E" w:rsidRDefault="00E70246" w:rsidP="00E70246">
      <w:pPr>
        <w:spacing w:before="120" w:after="120"/>
        <w:jc w:val="center"/>
        <w:rPr>
          <w:szCs w:val="24"/>
        </w:rPr>
      </w:pPr>
      <w:r w:rsidRPr="00E4135E">
        <w:rPr>
          <w:i/>
          <w:szCs w:val="24"/>
        </w:rPr>
        <w:t>Prepared in accordance with Part 3 of the Human Rights (Parliamentary Scrutiny) Act 2011</w:t>
      </w:r>
    </w:p>
    <w:p w14:paraId="47E0C245" w14:textId="77777777" w:rsidR="00E70246" w:rsidRPr="00E4135E" w:rsidRDefault="00E70246" w:rsidP="00E70246">
      <w:pPr>
        <w:jc w:val="center"/>
        <w:rPr>
          <w:szCs w:val="24"/>
        </w:rPr>
      </w:pPr>
    </w:p>
    <w:p w14:paraId="14899B19" w14:textId="4F5221EB" w:rsidR="00E70246" w:rsidRDefault="00E70246" w:rsidP="00E70246">
      <w:pPr>
        <w:spacing w:before="120" w:after="120"/>
        <w:jc w:val="center"/>
        <w:rPr>
          <w:b/>
          <w:szCs w:val="24"/>
        </w:rPr>
      </w:pPr>
      <w:r w:rsidRPr="00657833">
        <w:rPr>
          <w:b/>
          <w:szCs w:val="24"/>
        </w:rPr>
        <w:t>Private Health Insurance (</w:t>
      </w:r>
      <w:r w:rsidR="007206A8">
        <w:rPr>
          <w:b/>
          <w:szCs w:val="24"/>
        </w:rPr>
        <w:t>Reforms</w:t>
      </w:r>
      <w:r w:rsidRPr="00657833">
        <w:rPr>
          <w:b/>
          <w:szCs w:val="24"/>
        </w:rPr>
        <w:t xml:space="preserve">) Amendment Rules </w:t>
      </w:r>
      <w:r w:rsidR="007206A8">
        <w:rPr>
          <w:b/>
          <w:szCs w:val="24"/>
        </w:rPr>
        <w:t xml:space="preserve">(No.2) </w:t>
      </w:r>
      <w:r w:rsidRPr="00657833">
        <w:rPr>
          <w:b/>
          <w:szCs w:val="24"/>
        </w:rPr>
        <w:t>2018</w:t>
      </w:r>
    </w:p>
    <w:p w14:paraId="7E0FD33D" w14:textId="77777777" w:rsidR="00E70246" w:rsidRPr="00E4135E" w:rsidRDefault="00E70246" w:rsidP="00E70246">
      <w:pPr>
        <w:spacing w:before="120" w:after="120"/>
        <w:rPr>
          <w:szCs w:val="24"/>
        </w:rPr>
      </w:pPr>
      <w:r w:rsidRPr="00E4135E">
        <w:rPr>
          <w:szCs w:val="24"/>
        </w:rPr>
        <w:t>Thi</w:t>
      </w:r>
      <w:r>
        <w:rPr>
          <w:szCs w:val="24"/>
        </w:rPr>
        <w:t xml:space="preserve">s </w:t>
      </w:r>
      <w:r w:rsidRPr="00E4135E">
        <w:rPr>
          <w:szCs w:val="24"/>
        </w:rPr>
        <w:t xml:space="preserve">Legislative Instrument is compatible with the human rights and freedoms recognised or declared in the international instruments listed in section 3 of the </w:t>
      </w:r>
      <w:r w:rsidRPr="00E4135E">
        <w:rPr>
          <w:i/>
          <w:szCs w:val="24"/>
        </w:rPr>
        <w:t>Human Rights (Parliamentary Scrutiny) Act 2011</w:t>
      </w:r>
      <w:r w:rsidRPr="00E4135E">
        <w:rPr>
          <w:szCs w:val="24"/>
        </w:rPr>
        <w:t>.</w:t>
      </w:r>
    </w:p>
    <w:p w14:paraId="4027BE1A" w14:textId="77777777" w:rsidR="00E70246" w:rsidRDefault="00E70246" w:rsidP="00E70246">
      <w:pPr>
        <w:jc w:val="both"/>
        <w:rPr>
          <w:b/>
          <w:szCs w:val="24"/>
        </w:rPr>
      </w:pPr>
    </w:p>
    <w:p w14:paraId="4FB4B77F" w14:textId="77777777" w:rsidR="00E70246" w:rsidRPr="00A163C5" w:rsidRDefault="00E70246" w:rsidP="00E70246">
      <w:pPr>
        <w:spacing w:before="120" w:after="120"/>
        <w:jc w:val="both"/>
        <w:rPr>
          <w:b/>
          <w:szCs w:val="24"/>
        </w:rPr>
      </w:pPr>
      <w:r w:rsidRPr="00A163C5">
        <w:rPr>
          <w:b/>
          <w:szCs w:val="24"/>
        </w:rPr>
        <w:t>Overview of the Legislative Instrument</w:t>
      </w:r>
    </w:p>
    <w:p w14:paraId="598D4283" w14:textId="6ABD1016" w:rsidR="004D2FC7" w:rsidRDefault="00E70246" w:rsidP="00E70246">
      <w:pPr>
        <w:autoSpaceDE w:val="0"/>
        <w:autoSpaceDN w:val="0"/>
        <w:adjustRightInd w:val="0"/>
        <w:spacing w:before="120" w:after="120"/>
      </w:pPr>
      <w:r>
        <w:rPr>
          <w:szCs w:val="24"/>
        </w:rPr>
        <w:t xml:space="preserve">The </w:t>
      </w:r>
      <w:r w:rsidRPr="00657833">
        <w:rPr>
          <w:i/>
          <w:szCs w:val="24"/>
        </w:rPr>
        <w:t>Private Health Insurance (</w:t>
      </w:r>
      <w:r>
        <w:rPr>
          <w:i/>
          <w:szCs w:val="24"/>
        </w:rPr>
        <w:t>Reforms</w:t>
      </w:r>
      <w:r w:rsidRPr="00657833">
        <w:rPr>
          <w:i/>
          <w:szCs w:val="24"/>
        </w:rPr>
        <w:t xml:space="preserve">) Amendment Rules </w:t>
      </w:r>
      <w:r>
        <w:rPr>
          <w:i/>
          <w:szCs w:val="24"/>
        </w:rPr>
        <w:t>(No. 2)</w:t>
      </w:r>
      <w:r w:rsidR="004D2FC7">
        <w:rPr>
          <w:i/>
          <w:szCs w:val="24"/>
        </w:rPr>
        <w:t xml:space="preserve"> </w:t>
      </w:r>
      <w:r w:rsidRPr="00657833">
        <w:rPr>
          <w:i/>
          <w:szCs w:val="24"/>
        </w:rPr>
        <w:t xml:space="preserve">2018 </w:t>
      </w:r>
      <w:r>
        <w:rPr>
          <w:szCs w:val="24"/>
        </w:rPr>
        <w:t>(the Amendment Rules) amends</w:t>
      </w:r>
      <w:r w:rsidRPr="00821B06">
        <w:rPr>
          <w:szCs w:val="24"/>
        </w:rPr>
        <w:t xml:space="preserve"> </w:t>
      </w:r>
      <w:r>
        <w:rPr>
          <w:szCs w:val="24"/>
        </w:rPr>
        <w:t xml:space="preserve">the </w:t>
      </w:r>
      <w:r>
        <w:rPr>
          <w:i/>
          <w:szCs w:val="24"/>
        </w:rPr>
        <w:t>Private Health Insurance (Reforms) Amendment Rules 2018</w:t>
      </w:r>
      <w:r>
        <w:rPr>
          <w:szCs w:val="24"/>
        </w:rPr>
        <w:t xml:space="preserve"> (the Principal Rules) </w:t>
      </w:r>
      <w:r>
        <w:t xml:space="preserve">to omit and substitute individual Medicare Benefit Schedule (MBS) item numbers to ensure that the MBS item numbers set out in the Amendment Rules are consistent with amendments to the </w:t>
      </w:r>
      <w:r w:rsidRPr="00A520AB">
        <w:t>MBS</w:t>
      </w:r>
      <w:r>
        <w:t xml:space="preserve"> which come into effect on 1 November 2018. </w:t>
      </w:r>
    </w:p>
    <w:p w14:paraId="62F06AFC" w14:textId="6A2CF3AE" w:rsidR="00E70246" w:rsidRPr="00E00DEC" w:rsidRDefault="00E70246" w:rsidP="00E70246">
      <w:pPr>
        <w:autoSpaceDE w:val="0"/>
        <w:autoSpaceDN w:val="0"/>
        <w:adjustRightInd w:val="0"/>
        <w:spacing w:before="120" w:after="120"/>
        <w:rPr>
          <w:szCs w:val="24"/>
        </w:rPr>
      </w:pPr>
      <w:r>
        <w:t>The inclusion of MBS items in the Principal Rules are part of the reforms to simplify the nomenclature of, and introduce standardised clinical categories for, private health insurance policies offering hospital cover. The effect of these reforms is to make it easier for consumers to understand the information they receive about insurance policies and select policies best suited for their needs.</w:t>
      </w:r>
    </w:p>
    <w:p w14:paraId="472778B7" w14:textId="77777777" w:rsidR="00E70246" w:rsidRPr="00A163C5" w:rsidRDefault="00E70246" w:rsidP="00E70246">
      <w:pPr>
        <w:spacing w:before="120" w:after="120"/>
        <w:rPr>
          <w:b/>
          <w:szCs w:val="24"/>
        </w:rPr>
      </w:pPr>
      <w:r w:rsidRPr="00A163C5">
        <w:rPr>
          <w:b/>
          <w:szCs w:val="24"/>
        </w:rPr>
        <w:t>Human rights implications</w:t>
      </w:r>
    </w:p>
    <w:p w14:paraId="504EF266" w14:textId="721F1958" w:rsidR="00E70246" w:rsidRPr="002865A3" w:rsidRDefault="00E70246" w:rsidP="00E70246">
      <w:pPr>
        <w:autoSpaceDE w:val="0"/>
        <w:autoSpaceDN w:val="0"/>
        <w:adjustRightInd w:val="0"/>
        <w:spacing w:before="120" w:after="120"/>
      </w:pPr>
      <w:r>
        <w:rPr>
          <w:color w:val="000000"/>
          <w:szCs w:val="24"/>
        </w:rPr>
        <w:t xml:space="preserve">This legislative instrument engages Article 12 of the International Covenant on Economic, Social and Cultural Rights by assisting with the progressive realisation by all appropriate means of </w:t>
      </w:r>
      <w:r w:rsidRPr="002865A3">
        <w:t xml:space="preserve">the right of everyone to the enjoyment of the highest attainable standard of physical and mental health. </w:t>
      </w:r>
    </w:p>
    <w:p w14:paraId="08C87FF5" w14:textId="76B1F0DE" w:rsidR="00E70246" w:rsidRDefault="00E70246" w:rsidP="002865A3">
      <w:pPr>
        <w:autoSpaceDE w:val="0"/>
        <w:autoSpaceDN w:val="0"/>
        <w:adjustRightInd w:val="0"/>
        <w:spacing w:before="120" w:after="120"/>
        <w:rPr>
          <w:color w:val="000000"/>
          <w:szCs w:val="24"/>
        </w:rPr>
      </w:pPr>
      <w:r w:rsidRPr="002865A3">
        <w:t>Private health insurance</w:t>
      </w:r>
      <w:r>
        <w:rPr>
          <w:color w:val="000000"/>
          <w:szCs w:val="24"/>
        </w:rPr>
        <w:t xml:space="preserve"> regulation assists with the advancement of the right</w:t>
      </w:r>
      <w:r w:rsidR="008654E5">
        <w:rPr>
          <w:color w:val="000000"/>
          <w:szCs w:val="24"/>
        </w:rPr>
        <w:t xml:space="preserve"> to health</w:t>
      </w:r>
      <w:r>
        <w:rPr>
          <w:color w:val="000000"/>
          <w:szCs w:val="24"/>
        </w:rPr>
        <w:t xml:space="preserve"> by improving the governing framework for private health insurance in the interests of consumers.  Private health insurance regulation aims to encourage insurers and providers of private health goods and services to provide better value for money to consumers, to improve information provided to consumers of private health services to allow consumers to make more informed choices when purchasing services, and requires insurers not to differentiate the premiums they charge according to individual health characteristics such as poor health.  </w:t>
      </w:r>
    </w:p>
    <w:p w14:paraId="7FCF2467" w14:textId="77777777" w:rsidR="00E70246" w:rsidRDefault="00E70246" w:rsidP="00F8094C">
      <w:pPr>
        <w:keepNext/>
        <w:rPr>
          <w:b/>
          <w:szCs w:val="24"/>
        </w:rPr>
      </w:pPr>
      <w:r>
        <w:rPr>
          <w:b/>
          <w:szCs w:val="24"/>
        </w:rPr>
        <w:t>Conclusion</w:t>
      </w:r>
    </w:p>
    <w:p w14:paraId="48B473BC" w14:textId="79ABD8EC" w:rsidR="00E70246" w:rsidRDefault="00E70246" w:rsidP="00F8094C">
      <w:pPr>
        <w:keepNext/>
        <w:spacing w:before="120" w:after="120"/>
        <w:rPr>
          <w:b/>
          <w:szCs w:val="24"/>
        </w:rPr>
      </w:pPr>
      <w:r>
        <w:rPr>
          <w:szCs w:val="24"/>
        </w:rPr>
        <w:t xml:space="preserve">This legislative instrument is compatible </w:t>
      </w:r>
      <w:r w:rsidR="00B71583">
        <w:rPr>
          <w:szCs w:val="24"/>
        </w:rPr>
        <w:t xml:space="preserve">and advance the protection of the </w:t>
      </w:r>
      <w:r>
        <w:rPr>
          <w:szCs w:val="24"/>
        </w:rPr>
        <w:t>human right</w:t>
      </w:r>
      <w:r w:rsidR="00B71583">
        <w:rPr>
          <w:szCs w:val="24"/>
        </w:rPr>
        <w:t xml:space="preserve"> to health. </w:t>
      </w:r>
    </w:p>
    <w:p w14:paraId="4DC8D7ED" w14:textId="1B3D6F70" w:rsidR="00E70246" w:rsidRDefault="00E70246" w:rsidP="00F8094C">
      <w:pPr>
        <w:keepNext/>
        <w:jc w:val="center"/>
        <w:rPr>
          <w:b/>
          <w:szCs w:val="24"/>
        </w:rPr>
      </w:pPr>
    </w:p>
    <w:p w14:paraId="1EE8D8FB" w14:textId="77777777" w:rsidR="004D2FC7" w:rsidRDefault="004D2FC7" w:rsidP="00F8094C">
      <w:pPr>
        <w:keepNext/>
        <w:jc w:val="center"/>
        <w:rPr>
          <w:b/>
          <w:szCs w:val="24"/>
        </w:rPr>
      </w:pPr>
    </w:p>
    <w:p w14:paraId="2D1076C4" w14:textId="77777777" w:rsidR="00E70246" w:rsidRDefault="00E70246" w:rsidP="00F8094C">
      <w:pPr>
        <w:keepNext/>
        <w:rPr>
          <w:b/>
          <w:szCs w:val="24"/>
        </w:rPr>
      </w:pPr>
      <w:r>
        <w:rPr>
          <w:b/>
          <w:szCs w:val="24"/>
        </w:rPr>
        <w:t>Susan Azmi</w:t>
      </w:r>
    </w:p>
    <w:p w14:paraId="6BA9049C" w14:textId="77777777" w:rsidR="00E70246" w:rsidRDefault="00E70246" w:rsidP="00A520AB">
      <w:pPr>
        <w:rPr>
          <w:b/>
          <w:szCs w:val="24"/>
        </w:rPr>
      </w:pPr>
      <w:r>
        <w:rPr>
          <w:b/>
          <w:szCs w:val="24"/>
        </w:rPr>
        <w:t>Acting Assistant Secretary</w:t>
      </w:r>
    </w:p>
    <w:p w14:paraId="4E22B27B" w14:textId="77777777" w:rsidR="00E70246" w:rsidRDefault="00E70246" w:rsidP="00A520AB">
      <w:pPr>
        <w:rPr>
          <w:b/>
          <w:szCs w:val="24"/>
        </w:rPr>
      </w:pPr>
      <w:r>
        <w:rPr>
          <w:b/>
          <w:szCs w:val="24"/>
        </w:rPr>
        <w:t xml:space="preserve">Private Health Insurance Branch </w:t>
      </w:r>
    </w:p>
    <w:p w14:paraId="6B9BD0B1" w14:textId="50ADC321" w:rsidR="00024783" w:rsidRDefault="00E70246" w:rsidP="00F8094C">
      <w:pPr>
        <w:rPr>
          <w:rFonts w:ascii="Calibri" w:eastAsia="Calibri" w:hAnsi="Calibri"/>
          <w:sz w:val="22"/>
          <w:szCs w:val="22"/>
          <w:lang w:eastAsia="en-US"/>
        </w:rPr>
      </w:pPr>
      <w:r>
        <w:rPr>
          <w:b/>
          <w:szCs w:val="24"/>
        </w:rPr>
        <w:t>Medical Benefits Division</w:t>
      </w:r>
    </w:p>
    <w:sectPr w:rsidR="00024783" w:rsidSect="007B6273">
      <w:headerReference w:type="even" r:id="rId8"/>
      <w:headerReference w:type="default" r:id="rId9"/>
      <w:type w:val="continuous"/>
      <w:pgSz w:w="11906" w:h="16838"/>
      <w:pgMar w:top="1440" w:right="1440" w:bottom="1440" w:left="1440" w:header="720" w:footer="7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154A8" w14:textId="77777777" w:rsidR="00E13D66" w:rsidRDefault="00E13D66">
      <w:r>
        <w:separator/>
      </w:r>
    </w:p>
  </w:endnote>
  <w:endnote w:type="continuationSeparator" w:id="0">
    <w:p w14:paraId="1923565A" w14:textId="77777777" w:rsidR="00E13D66" w:rsidRDefault="00E13D66">
      <w:r>
        <w:continuationSeparator/>
      </w:r>
    </w:p>
  </w:endnote>
  <w:endnote w:type="continuationNotice" w:id="1">
    <w:p w14:paraId="57AAD4D9" w14:textId="77777777" w:rsidR="00E13D66" w:rsidRDefault="00E13D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698684" w14:textId="77777777" w:rsidR="00E13D66" w:rsidRDefault="00E13D66">
      <w:r>
        <w:separator/>
      </w:r>
    </w:p>
  </w:footnote>
  <w:footnote w:type="continuationSeparator" w:id="0">
    <w:p w14:paraId="78CCCA57" w14:textId="77777777" w:rsidR="00E13D66" w:rsidRDefault="00E13D66">
      <w:r>
        <w:continuationSeparator/>
      </w:r>
    </w:p>
  </w:footnote>
  <w:footnote w:type="continuationNotice" w:id="1">
    <w:p w14:paraId="1103549A" w14:textId="77777777" w:rsidR="00E13D66" w:rsidRDefault="00E13D6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85572" w14:textId="77777777" w:rsidR="004709C4" w:rsidRDefault="004709C4">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2B2D5A6" w14:textId="77777777" w:rsidR="004709C4" w:rsidRDefault="004709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6D509" w14:textId="2654BF52" w:rsidR="004709C4" w:rsidRDefault="004709C4">
    <w:pPr>
      <w:pStyle w:val="Header"/>
      <w:framePr w:wrap="around" w:vAnchor="text" w:hAnchor="margin" w:xAlign="center" w:y="1"/>
      <w:rPr>
        <w:rStyle w:val="PageNumber"/>
      </w:rPr>
    </w:pPr>
  </w:p>
  <w:p w14:paraId="2567A379" w14:textId="77777777" w:rsidR="004709C4" w:rsidRPr="00D0290E" w:rsidRDefault="004709C4" w:rsidP="00D0290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802FD"/>
    <w:multiLevelType w:val="hybridMultilevel"/>
    <w:tmpl w:val="662C04FA"/>
    <w:lvl w:ilvl="0" w:tplc="0409000F">
      <w:start w:val="3"/>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7F17D4"/>
    <w:multiLevelType w:val="hybridMultilevel"/>
    <w:tmpl w:val="99DAEF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D26E35"/>
    <w:multiLevelType w:val="hybridMultilevel"/>
    <w:tmpl w:val="6A78D63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B4150"/>
    <w:multiLevelType w:val="multilevel"/>
    <w:tmpl w:val="691A9262"/>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AF4F0E"/>
    <w:multiLevelType w:val="hybridMultilevel"/>
    <w:tmpl w:val="FECA1BE2"/>
    <w:lvl w:ilvl="0" w:tplc="A9221CE6">
      <w:start w:val="1"/>
      <w:numFmt w:val="decimal"/>
      <w:lvlText w:val="%1."/>
      <w:lvlJc w:val="left"/>
      <w:pPr>
        <w:ind w:left="360" w:hanging="360"/>
      </w:pPr>
      <w:rPr>
        <w:rFonts w:hint="default"/>
        <w:b w: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FE1610F"/>
    <w:multiLevelType w:val="hybridMultilevel"/>
    <w:tmpl w:val="445027DA"/>
    <w:lvl w:ilvl="0" w:tplc="77E645EE">
      <w:start w:val="8"/>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1256BA0"/>
    <w:multiLevelType w:val="hybridMultilevel"/>
    <w:tmpl w:val="64548308"/>
    <w:lvl w:ilvl="0" w:tplc="3662A1B6">
      <w:start w:val="1"/>
      <w:numFmt w:val="lowerLetter"/>
      <w:lvlText w:val="%1)"/>
      <w:lvlJc w:val="left"/>
      <w:pPr>
        <w:tabs>
          <w:tab w:val="num" w:pos="1875"/>
        </w:tabs>
        <w:ind w:left="1875" w:hanging="390"/>
      </w:pPr>
      <w:rPr>
        <w:rFonts w:hint="default"/>
      </w:rPr>
    </w:lvl>
    <w:lvl w:ilvl="1" w:tplc="4EE61E84">
      <w:start w:val="17"/>
      <w:numFmt w:val="decimal"/>
      <w:lvlText w:val="%2."/>
      <w:lvlJc w:val="left"/>
      <w:pPr>
        <w:tabs>
          <w:tab w:val="num" w:pos="2565"/>
        </w:tabs>
        <w:ind w:left="2565" w:hanging="360"/>
      </w:pPr>
      <w:rPr>
        <w:rFonts w:hint="default"/>
      </w:rPr>
    </w:lvl>
    <w:lvl w:ilvl="2" w:tplc="0409001B" w:tentative="1">
      <w:start w:val="1"/>
      <w:numFmt w:val="lowerRoman"/>
      <w:lvlText w:val="%3."/>
      <w:lvlJc w:val="right"/>
      <w:pPr>
        <w:tabs>
          <w:tab w:val="num" w:pos="3285"/>
        </w:tabs>
        <w:ind w:left="3285" w:hanging="180"/>
      </w:pPr>
    </w:lvl>
    <w:lvl w:ilvl="3" w:tplc="0409000F" w:tentative="1">
      <w:start w:val="1"/>
      <w:numFmt w:val="decimal"/>
      <w:lvlText w:val="%4."/>
      <w:lvlJc w:val="left"/>
      <w:pPr>
        <w:tabs>
          <w:tab w:val="num" w:pos="4005"/>
        </w:tabs>
        <w:ind w:left="4005" w:hanging="360"/>
      </w:pPr>
    </w:lvl>
    <w:lvl w:ilvl="4" w:tplc="04090019" w:tentative="1">
      <w:start w:val="1"/>
      <w:numFmt w:val="lowerLetter"/>
      <w:lvlText w:val="%5."/>
      <w:lvlJc w:val="left"/>
      <w:pPr>
        <w:tabs>
          <w:tab w:val="num" w:pos="4725"/>
        </w:tabs>
        <w:ind w:left="4725" w:hanging="360"/>
      </w:pPr>
    </w:lvl>
    <w:lvl w:ilvl="5" w:tplc="0409001B" w:tentative="1">
      <w:start w:val="1"/>
      <w:numFmt w:val="lowerRoman"/>
      <w:lvlText w:val="%6."/>
      <w:lvlJc w:val="right"/>
      <w:pPr>
        <w:tabs>
          <w:tab w:val="num" w:pos="5445"/>
        </w:tabs>
        <w:ind w:left="5445" w:hanging="180"/>
      </w:pPr>
    </w:lvl>
    <w:lvl w:ilvl="6" w:tplc="0409000F" w:tentative="1">
      <w:start w:val="1"/>
      <w:numFmt w:val="decimal"/>
      <w:lvlText w:val="%7."/>
      <w:lvlJc w:val="left"/>
      <w:pPr>
        <w:tabs>
          <w:tab w:val="num" w:pos="6165"/>
        </w:tabs>
        <w:ind w:left="6165" w:hanging="360"/>
      </w:pPr>
    </w:lvl>
    <w:lvl w:ilvl="7" w:tplc="04090019" w:tentative="1">
      <w:start w:val="1"/>
      <w:numFmt w:val="lowerLetter"/>
      <w:lvlText w:val="%8."/>
      <w:lvlJc w:val="left"/>
      <w:pPr>
        <w:tabs>
          <w:tab w:val="num" w:pos="6885"/>
        </w:tabs>
        <w:ind w:left="6885" w:hanging="360"/>
      </w:pPr>
    </w:lvl>
    <w:lvl w:ilvl="8" w:tplc="0409001B" w:tentative="1">
      <w:start w:val="1"/>
      <w:numFmt w:val="lowerRoman"/>
      <w:lvlText w:val="%9."/>
      <w:lvlJc w:val="right"/>
      <w:pPr>
        <w:tabs>
          <w:tab w:val="num" w:pos="7605"/>
        </w:tabs>
        <w:ind w:left="7605" w:hanging="180"/>
      </w:pPr>
    </w:lvl>
  </w:abstractNum>
  <w:abstractNum w:abstractNumId="7" w15:restartNumberingAfterBreak="0">
    <w:nsid w:val="117A2CCD"/>
    <w:multiLevelType w:val="hybridMultilevel"/>
    <w:tmpl w:val="0E74F976"/>
    <w:lvl w:ilvl="0" w:tplc="9C2026F6">
      <w:start w:val="1"/>
      <w:numFmt w:val="lowerRoman"/>
      <w:lvlText w:val="(%1)"/>
      <w:lvlJc w:val="left"/>
      <w:pPr>
        <w:tabs>
          <w:tab w:val="num" w:pos="1140"/>
        </w:tabs>
        <w:ind w:left="1140" w:hanging="720"/>
      </w:pPr>
      <w:rPr>
        <w:rFonts w:hint="default"/>
      </w:r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8" w15:restartNumberingAfterBreak="0">
    <w:nsid w:val="11897249"/>
    <w:multiLevelType w:val="hybridMultilevel"/>
    <w:tmpl w:val="8F58C85C"/>
    <w:lvl w:ilvl="0" w:tplc="DDC43382">
      <w:start w:val="5"/>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9" w15:restartNumberingAfterBreak="0">
    <w:nsid w:val="11A2307E"/>
    <w:multiLevelType w:val="singleLevel"/>
    <w:tmpl w:val="0C09000F"/>
    <w:lvl w:ilvl="0">
      <w:start w:val="1"/>
      <w:numFmt w:val="decimal"/>
      <w:lvlText w:val="%1."/>
      <w:lvlJc w:val="left"/>
      <w:pPr>
        <w:tabs>
          <w:tab w:val="num" w:pos="360"/>
        </w:tabs>
        <w:ind w:left="360" w:hanging="360"/>
      </w:pPr>
    </w:lvl>
  </w:abstractNum>
  <w:abstractNum w:abstractNumId="10" w15:restartNumberingAfterBreak="0">
    <w:nsid w:val="134A2CE2"/>
    <w:multiLevelType w:val="hybridMultilevel"/>
    <w:tmpl w:val="5114D3AC"/>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E530CCE"/>
    <w:multiLevelType w:val="hybridMultilevel"/>
    <w:tmpl w:val="1B5AB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853A12"/>
    <w:multiLevelType w:val="hybridMultilevel"/>
    <w:tmpl w:val="43B62C0A"/>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832497F"/>
    <w:multiLevelType w:val="hybridMultilevel"/>
    <w:tmpl w:val="B6D0D3A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5770F8"/>
    <w:multiLevelType w:val="hybridMultilevel"/>
    <w:tmpl w:val="6E1EFF80"/>
    <w:lvl w:ilvl="0" w:tplc="A9221CE6">
      <w:start w:val="1"/>
      <w:numFmt w:val="decimal"/>
      <w:lvlText w:val="%1."/>
      <w:lvlJc w:val="left"/>
      <w:pPr>
        <w:ind w:left="360" w:hanging="360"/>
      </w:pPr>
      <w:rPr>
        <w:rFonts w:hint="default"/>
        <w:b w:val="0"/>
      </w:rPr>
    </w:lvl>
    <w:lvl w:ilvl="1" w:tplc="0C090017">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2C852BA6"/>
    <w:multiLevelType w:val="hybridMultilevel"/>
    <w:tmpl w:val="69542568"/>
    <w:lvl w:ilvl="0" w:tplc="BD2A76A6">
      <w:start w:val="1"/>
      <w:numFmt w:val="bullet"/>
      <w:lvlText w:val=""/>
      <w:lvlJc w:val="left"/>
      <w:pPr>
        <w:tabs>
          <w:tab w:val="num" w:pos="283"/>
        </w:tabs>
        <w:ind w:left="283" w:hanging="283"/>
      </w:pPr>
      <w:rPr>
        <w:rFonts w:ascii="Symbol" w:hAnsi="Symbol" w:cs="Symbol" w:hint="default"/>
        <w:sz w:val="20"/>
        <w:szCs w:val="20"/>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start w:val="1"/>
      <w:numFmt w:val="bullet"/>
      <w:lvlText w:val="o"/>
      <w:lvlJc w:val="left"/>
      <w:pPr>
        <w:tabs>
          <w:tab w:val="num" w:pos="3240"/>
        </w:tabs>
        <w:ind w:left="3240" w:hanging="360"/>
      </w:pPr>
      <w:rPr>
        <w:rFonts w:ascii="Courier New" w:hAnsi="Courier New" w:cs="Courier New" w:hint="default"/>
      </w:rPr>
    </w:lvl>
    <w:lvl w:ilvl="5" w:tplc="0C090005">
      <w:start w:val="1"/>
      <w:numFmt w:val="bullet"/>
      <w:lvlText w:val=""/>
      <w:lvlJc w:val="left"/>
      <w:pPr>
        <w:tabs>
          <w:tab w:val="num" w:pos="3960"/>
        </w:tabs>
        <w:ind w:left="3960" w:hanging="360"/>
      </w:pPr>
      <w:rPr>
        <w:rFonts w:ascii="Wingdings" w:hAnsi="Wingdings" w:hint="default"/>
      </w:rPr>
    </w:lvl>
    <w:lvl w:ilvl="6" w:tplc="0C090001">
      <w:start w:val="1"/>
      <w:numFmt w:val="bullet"/>
      <w:lvlText w:val=""/>
      <w:lvlJc w:val="left"/>
      <w:pPr>
        <w:tabs>
          <w:tab w:val="num" w:pos="4680"/>
        </w:tabs>
        <w:ind w:left="4680" w:hanging="360"/>
      </w:pPr>
      <w:rPr>
        <w:rFonts w:ascii="Symbol" w:hAnsi="Symbol" w:hint="default"/>
      </w:rPr>
    </w:lvl>
    <w:lvl w:ilvl="7" w:tplc="0C090003">
      <w:start w:val="1"/>
      <w:numFmt w:val="bullet"/>
      <w:lvlText w:val="o"/>
      <w:lvlJc w:val="left"/>
      <w:pPr>
        <w:tabs>
          <w:tab w:val="num" w:pos="5400"/>
        </w:tabs>
        <w:ind w:left="5400" w:hanging="360"/>
      </w:pPr>
      <w:rPr>
        <w:rFonts w:ascii="Courier New" w:hAnsi="Courier New" w:cs="Courier New" w:hint="default"/>
      </w:rPr>
    </w:lvl>
    <w:lvl w:ilvl="8" w:tplc="0C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25D6305"/>
    <w:multiLevelType w:val="hybridMultilevel"/>
    <w:tmpl w:val="121AC71A"/>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7" w15:restartNumberingAfterBreak="0">
    <w:nsid w:val="328A0469"/>
    <w:multiLevelType w:val="hybridMultilevel"/>
    <w:tmpl w:val="C4660E54"/>
    <w:lvl w:ilvl="0" w:tplc="C952E44A">
      <w:start w:val="1"/>
      <w:numFmt w:val="bullet"/>
      <w:lvlText w:val=""/>
      <w:lvlJc w:val="left"/>
      <w:pPr>
        <w:tabs>
          <w:tab w:val="num" w:pos="720"/>
        </w:tabs>
        <w:ind w:left="720" w:hanging="360"/>
      </w:pPr>
      <w:rPr>
        <w:rFonts w:ascii="Symbol" w:hAnsi="Symbol" w:hint="default"/>
        <w:color w:val="auto"/>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6C6109"/>
    <w:multiLevelType w:val="hybridMultilevel"/>
    <w:tmpl w:val="5C08093C"/>
    <w:lvl w:ilvl="0" w:tplc="C486D582">
      <w:start w:val="6"/>
      <w:numFmt w:val="decimal"/>
      <w:lvlText w:val="%1."/>
      <w:lvlJc w:val="left"/>
      <w:pPr>
        <w:tabs>
          <w:tab w:val="num" w:pos="924"/>
        </w:tabs>
        <w:ind w:left="924" w:hanging="56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3BDC1845"/>
    <w:multiLevelType w:val="hybridMultilevel"/>
    <w:tmpl w:val="E634F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F211B9B"/>
    <w:multiLevelType w:val="multilevel"/>
    <w:tmpl w:val="7876ABD0"/>
    <w:lvl w:ilvl="0">
      <w:start w:val="1"/>
      <w:numFmt w:val="bullet"/>
      <w:lvlText w:val=""/>
      <w:lvlJc w:val="left"/>
      <w:pPr>
        <w:tabs>
          <w:tab w:val="num" w:pos="720"/>
        </w:tabs>
        <w:ind w:left="720" w:hanging="360"/>
      </w:pPr>
      <w:rPr>
        <w:rFonts w:ascii="Symbol" w:hAnsi="Symbol" w:hint="default"/>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387135"/>
    <w:multiLevelType w:val="hybridMultilevel"/>
    <w:tmpl w:val="8286F1E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7632AA"/>
    <w:multiLevelType w:val="hybridMultilevel"/>
    <w:tmpl w:val="BFEEC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E345F2"/>
    <w:multiLevelType w:val="hybridMultilevel"/>
    <w:tmpl w:val="44C8428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24" w15:restartNumberingAfterBreak="0">
    <w:nsid w:val="4BA245B4"/>
    <w:multiLevelType w:val="hybridMultilevel"/>
    <w:tmpl w:val="7876ABD0"/>
    <w:lvl w:ilvl="0" w:tplc="182803E0">
      <w:start w:val="1"/>
      <w:numFmt w:val="bullet"/>
      <w:lvlText w:val=""/>
      <w:lvlJc w:val="left"/>
      <w:pPr>
        <w:tabs>
          <w:tab w:val="num" w:pos="720"/>
        </w:tabs>
        <w:ind w:left="720" w:hanging="360"/>
      </w:pPr>
      <w:rPr>
        <w:rFonts w:ascii="Symbol" w:hAnsi="Symbol" w:hint="default"/>
        <w:color w:val="auto"/>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4C71B8"/>
    <w:multiLevelType w:val="hybridMultilevel"/>
    <w:tmpl w:val="F0C4453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42C69"/>
    <w:multiLevelType w:val="hybridMultilevel"/>
    <w:tmpl w:val="3868436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1B4D82"/>
    <w:multiLevelType w:val="hybridMultilevel"/>
    <w:tmpl w:val="6862DAD2"/>
    <w:lvl w:ilvl="0" w:tplc="66DED830">
      <w:start w:val="1"/>
      <w:numFmt w:val="bullet"/>
      <w:lvlText w:val=""/>
      <w:lvlJc w:val="left"/>
      <w:pPr>
        <w:tabs>
          <w:tab w:val="num" w:pos="357"/>
        </w:tabs>
        <w:ind w:left="357" w:hanging="357"/>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144413"/>
    <w:multiLevelType w:val="multilevel"/>
    <w:tmpl w:val="86CEFCD8"/>
    <w:lvl w:ilvl="0">
      <w:start w:val="1"/>
      <w:numFmt w:val="decimal"/>
      <w:lvlRestart w:val="0"/>
      <w:lvlText w:val="%1."/>
      <w:lvlJc w:val="left"/>
      <w:pPr>
        <w:tabs>
          <w:tab w:val="num" w:pos="850"/>
        </w:tabs>
        <w:ind w:left="850" w:hanging="850"/>
      </w:pPr>
      <w:rPr>
        <w:rFonts w:hint="default"/>
        <w:sz w:val="24"/>
        <w:szCs w:val="24"/>
      </w:rPr>
    </w:lvl>
    <w:lvl w:ilvl="1">
      <w:start w:val="1"/>
      <w:numFmt w:val="upperLetter"/>
      <w:lvlText w:val="%1%2"/>
      <w:lvlJc w:val="left"/>
      <w:pPr>
        <w:tabs>
          <w:tab w:val="num" w:pos="850"/>
        </w:tabs>
        <w:ind w:left="850" w:hanging="850"/>
      </w:pPr>
      <w:rPr>
        <w:rFonts w:hint="default"/>
      </w:rPr>
    </w:lvl>
    <w:lvl w:ilvl="2">
      <w:start w:val="1"/>
      <w:numFmt w:val="bullet"/>
      <w:lvlText w:val=""/>
      <w:lvlJc w:val="left"/>
      <w:pPr>
        <w:tabs>
          <w:tab w:val="num" w:pos="1561"/>
        </w:tabs>
        <w:ind w:left="1561" w:hanging="851"/>
      </w:pPr>
      <w:rPr>
        <w:rFonts w:ascii="Symbol" w:hAnsi="Symbol" w:hint="default"/>
      </w:rPr>
    </w:lvl>
    <w:lvl w:ilvl="3">
      <w:start w:val="1"/>
      <w:numFmt w:val="lowerRoman"/>
      <w:lvlText w:val="(%4)"/>
      <w:lvlJc w:val="left"/>
      <w:pPr>
        <w:tabs>
          <w:tab w:val="num" w:pos="2551"/>
        </w:tabs>
        <w:ind w:left="2551" w:hanging="850"/>
      </w:pPr>
      <w:rPr>
        <w:rFonts w:hint="default"/>
      </w:rPr>
    </w:lvl>
    <w:lvl w:ilvl="4">
      <w:start w:val="1"/>
      <w:numFmt w:val="upperLetter"/>
      <w:lvlText w:val="(%5)"/>
      <w:lvlJc w:val="left"/>
      <w:pPr>
        <w:tabs>
          <w:tab w:val="num" w:pos="3402"/>
        </w:tabs>
        <w:ind w:left="3402" w:hanging="851"/>
      </w:pPr>
      <w:rPr>
        <w:rFonts w:hint="default"/>
      </w:rPr>
    </w:lvl>
    <w:lvl w:ilvl="5">
      <w:start w:val="1"/>
      <w:numFmt w:val="decimal"/>
      <w:lvlRestart w:val="2"/>
      <w:lvlText w:val="(%6)"/>
      <w:lvlJc w:val="left"/>
      <w:pPr>
        <w:tabs>
          <w:tab w:val="num" w:pos="936"/>
        </w:tabs>
        <w:ind w:left="936" w:hanging="510"/>
      </w:pPr>
      <w:rPr>
        <w:rFonts w:hint="default"/>
      </w:rPr>
    </w:lvl>
    <w:lvl w:ilvl="6">
      <w:start w:val="1"/>
      <w:numFmt w:val="upperLetter"/>
      <w:lvlText w:val="(%6%7)"/>
      <w:lvlJc w:val="left"/>
      <w:pPr>
        <w:tabs>
          <w:tab w:val="num" w:pos="850"/>
        </w:tabs>
        <w:ind w:left="850" w:hanging="51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567"/>
        </w:tabs>
        <w:ind w:left="1582" w:hanging="1582"/>
      </w:pPr>
      <w:rPr>
        <w:rFonts w:hint="default"/>
      </w:rPr>
    </w:lvl>
  </w:abstractNum>
  <w:abstractNum w:abstractNumId="29" w15:restartNumberingAfterBreak="0">
    <w:nsid w:val="5AF236D6"/>
    <w:multiLevelType w:val="hybridMultilevel"/>
    <w:tmpl w:val="34A2AD1A"/>
    <w:lvl w:ilvl="0" w:tplc="6F021FB2">
      <w:start w:val="10"/>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5FBD236F"/>
    <w:multiLevelType w:val="hybridMultilevel"/>
    <w:tmpl w:val="B6E60480"/>
    <w:lvl w:ilvl="0" w:tplc="09DC891A">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170EEC"/>
    <w:multiLevelType w:val="hybridMultilevel"/>
    <w:tmpl w:val="0F1E34FC"/>
    <w:lvl w:ilvl="0" w:tplc="E866484C">
      <w:start w:val="1"/>
      <w:numFmt w:val="lowerRoman"/>
      <w:lvlText w:val="(%1)"/>
      <w:lvlJc w:val="left"/>
      <w:pPr>
        <w:tabs>
          <w:tab w:val="num" w:pos="1080"/>
        </w:tabs>
        <w:ind w:left="1080" w:hanging="72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61194F36"/>
    <w:multiLevelType w:val="hybridMultilevel"/>
    <w:tmpl w:val="09A2C786"/>
    <w:lvl w:ilvl="0" w:tplc="F40052A0">
      <w:start w:val="1"/>
      <w:numFmt w:val="bullet"/>
      <w:lvlText w:val=""/>
      <w:lvlJc w:val="left"/>
      <w:pPr>
        <w:tabs>
          <w:tab w:val="num" w:pos="624"/>
        </w:tabs>
        <w:ind w:left="68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1E7A15"/>
    <w:multiLevelType w:val="hybridMultilevel"/>
    <w:tmpl w:val="DB889F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3091B7D"/>
    <w:multiLevelType w:val="hybridMultilevel"/>
    <w:tmpl w:val="5EE887CE"/>
    <w:lvl w:ilvl="0" w:tplc="78909D8A">
      <w:start w:val="1"/>
      <w:numFmt w:val="lowerLetter"/>
      <w:lvlText w:val="(%1)"/>
      <w:lvlJc w:val="left"/>
      <w:pPr>
        <w:ind w:left="930" w:hanging="36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35" w15:restartNumberingAfterBreak="0">
    <w:nsid w:val="64902E71"/>
    <w:multiLevelType w:val="hybridMultilevel"/>
    <w:tmpl w:val="3D160254"/>
    <w:lvl w:ilvl="0" w:tplc="0409000F">
      <w:start w:val="5"/>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65541893"/>
    <w:multiLevelType w:val="hybridMultilevel"/>
    <w:tmpl w:val="39E45DAC"/>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5720D31"/>
    <w:multiLevelType w:val="hybridMultilevel"/>
    <w:tmpl w:val="691A9262"/>
    <w:lvl w:ilvl="0" w:tplc="24D464CA">
      <w:start w:val="1"/>
      <w:numFmt w:val="bullet"/>
      <w:lvlText w:val=""/>
      <w:lvlJc w:val="left"/>
      <w:pPr>
        <w:tabs>
          <w:tab w:val="num" w:pos="720"/>
        </w:tabs>
        <w:ind w:left="720" w:hanging="360"/>
      </w:pPr>
      <w:rPr>
        <w:rFonts w:ascii="Symbol" w:hAnsi="Symbol" w:hint="default"/>
        <w:sz w:val="16"/>
        <w:szCs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0005A8"/>
    <w:multiLevelType w:val="hybridMultilevel"/>
    <w:tmpl w:val="F16A311C"/>
    <w:lvl w:ilvl="0" w:tplc="FA3C858C">
      <w:start w:val="1"/>
      <w:numFmt w:val="lowerRoman"/>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6E4B09E5"/>
    <w:multiLevelType w:val="hybridMultilevel"/>
    <w:tmpl w:val="367CA87E"/>
    <w:lvl w:ilvl="0" w:tplc="DC88E9F6">
      <w:start w:val="5"/>
      <w:numFmt w:val="decimal"/>
      <w:lvlText w:val="%1."/>
      <w:lvlJc w:val="left"/>
      <w:pPr>
        <w:tabs>
          <w:tab w:val="num" w:pos="924"/>
        </w:tabs>
        <w:ind w:left="924" w:hanging="564"/>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703023F3"/>
    <w:multiLevelType w:val="hybridMultilevel"/>
    <w:tmpl w:val="127A1FF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9E7869"/>
    <w:multiLevelType w:val="hybridMultilevel"/>
    <w:tmpl w:val="36E0B91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2F56416"/>
    <w:multiLevelType w:val="hybridMultilevel"/>
    <w:tmpl w:val="01D22AAC"/>
    <w:lvl w:ilvl="0" w:tplc="0C090001">
      <w:start w:val="1"/>
      <w:numFmt w:val="bullet"/>
      <w:lvlText w:val=""/>
      <w:lvlJc w:val="left"/>
      <w:pPr>
        <w:tabs>
          <w:tab w:val="num" w:pos="1080"/>
        </w:tabs>
        <w:ind w:left="1080" w:hanging="360"/>
      </w:pPr>
      <w:rPr>
        <w:rFonts w:ascii="Symbol" w:hAnsi="Symbol" w:hint="default"/>
      </w:rPr>
    </w:lvl>
    <w:lvl w:ilvl="1" w:tplc="8DD49256">
      <w:start w:val="1"/>
      <w:numFmt w:val="bullet"/>
      <w:lvlText w:val=""/>
      <w:lvlJc w:val="left"/>
      <w:pPr>
        <w:tabs>
          <w:tab w:val="num" w:pos="1803"/>
        </w:tabs>
        <w:ind w:left="1803" w:hanging="363"/>
      </w:pPr>
      <w:rPr>
        <w:rFonts w:ascii="Symbol" w:hAnsi="Symbol"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7357255"/>
    <w:multiLevelType w:val="multilevel"/>
    <w:tmpl w:val="112E5034"/>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44" w15:restartNumberingAfterBreak="0">
    <w:nsid w:val="779605B9"/>
    <w:multiLevelType w:val="hybridMultilevel"/>
    <w:tmpl w:val="E51E575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9191271"/>
    <w:multiLevelType w:val="hybridMultilevel"/>
    <w:tmpl w:val="D2162492"/>
    <w:lvl w:ilvl="0" w:tplc="0C09000F">
      <w:start w:val="5"/>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6" w15:restartNumberingAfterBreak="0">
    <w:nsid w:val="79AB5809"/>
    <w:multiLevelType w:val="hybridMultilevel"/>
    <w:tmpl w:val="70A29672"/>
    <w:lvl w:ilvl="0" w:tplc="F588140C">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B541095"/>
    <w:multiLevelType w:val="hybridMultilevel"/>
    <w:tmpl w:val="A18CF2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D686147"/>
    <w:multiLevelType w:val="hybridMultilevel"/>
    <w:tmpl w:val="5EF8BCAA"/>
    <w:lvl w:ilvl="0" w:tplc="F93049D0">
      <w:start w:val="1"/>
      <w:numFmt w:val="low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3"/>
  </w:num>
  <w:num w:numId="2">
    <w:abstractNumId w:val="40"/>
  </w:num>
  <w:num w:numId="3">
    <w:abstractNumId w:val="42"/>
  </w:num>
  <w:num w:numId="4">
    <w:abstractNumId w:val="36"/>
  </w:num>
  <w:num w:numId="5">
    <w:abstractNumId w:val="39"/>
  </w:num>
  <w:num w:numId="6">
    <w:abstractNumId w:val="18"/>
  </w:num>
  <w:num w:numId="7">
    <w:abstractNumId w:val="9"/>
  </w:num>
  <w:num w:numId="8">
    <w:abstractNumId w:val="29"/>
  </w:num>
  <w:num w:numId="9">
    <w:abstractNumId w:val="25"/>
  </w:num>
  <w:num w:numId="10">
    <w:abstractNumId w:val="2"/>
  </w:num>
  <w:num w:numId="11">
    <w:abstractNumId w:val="21"/>
  </w:num>
  <w:num w:numId="12">
    <w:abstractNumId w:val="31"/>
  </w:num>
  <w:num w:numId="13">
    <w:abstractNumId w:val="38"/>
  </w:num>
  <w:num w:numId="14">
    <w:abstractNumId w:val="10"/>
  </w:num>
  <w:num w:numId="15">
    <w:abstractNumId w:val="7"/>
  </w:num>
  <w:num w:numId="16">
    <w:abstractNumId w:val="8"/>
  </w:num>
  <w:num w:numId="17">
    <w:abstractNumId w:val="45"/>
  </w:num>
  <w:num w:numId="18">
    <w:abstractNumId w:val="5"/>
  </w:num>
  <w:num w:numId="19">
    <w:abstractNumId w:val="27"/>
  </w:num>
  <w:num w:numId="20">
    <w:abstractNumId w:val="13"/>
  </w:num>
  <w:num w:numId="21">
    <w:abstractNumId w:val="26"/>
  </w:num>
  <w:num w:numId="22">
    <w:abstractNumId w:val="41"/>
  </w:num>
  <w:num w:numId="23">
    <w:abstractNumId w:val="30"/>
  </w:num>
  <w:num w:numId="24">
    <w:abstractNumId w:val="37"/>
  </w:num>
  <w:num w:numId="25">
    <w:abstractNumId w:val="0"/>
  </w:num>
  <w:num w:numId="26">
    <w:abstractNumId w:val="48"/>
  </w:num>
  <w:num w:numId="27">
    <w:abstractNumId w:val="47"/>
  </w:num>
  <w:num w:numId="28">
    <w:abstractNumId w:val="44"/>
  </w:num>
  <w:num w:numId="29">
    <w:abstractNumId w:val="12"/>
  </w:num>
  <w:num w:numId="30">
    <w:abstractNumId w:val="32"/>
  </w:num>
  <w:num w:numId="31">
    <w:abstractNumId w:val="6"/>
  </w:num>
  <w:num w:numId="32">
    <w:abstractNumId w:val="35"/>
  </w:num>
  <w:num w:numId="33">
    <w:abstractNumId w:val="3"/>
  </w:num>
  <w:num w:numId="34">
    <w:abstractNumId w:val="24"/>
  </w:num>
  <w:num w:numId="35">
    <w:abstractNumId w:val="20"/>
  </w:num>
  <w:num w:numId="36">
    <w:abstractNumId w:val="17"/>
  </w:num>
  <w:num w:numId="37">
    <w:abstractNumId w:val="34"/>
  </w:num>
  <w:num w:numId="38">
    <w:abstractNumId w:val="46"/>
  </w:num>
  <w:num w:numId="39">
    <w:abstractNumId w:val="16"/>
  </w:num>
  <w:num w:numId="40">
    <w:abstractNumId w:val="28"/>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15"/>
  </w:num>
  <w:num w:numId="46">
    <w:abstractNumId w:val="11"/>
  </w:num>
  <w:num w:numId="47">
    <w:abstractNumId w:val="14"/>
  </w:num>
  <w:num w:numId="48">
    <w:abstractNumId w:val="4"/>
  </w:num>
  <w:num w:numId="49">
    <w:abstractNumId w:val="33"/>
  </w:num>
  <w:num w:numId="50">
    <w:abstractNumId w:val="1"/>
  </w:num>
  <w:num w:numId="51">
    <w:abstractNumId w:val="22"/>
  </w:num>
  <w:num w:numId="52">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07C"/>
    <w:rsid w:val="00000683"/>
    <w:rsid w:val="0000205F"/>
    <w:rsid w:val="00002813"/>
    <w:rsid w:val="00003072"/>
    <w:rsid w:val="0000321D"/>
    <w:rsid w:val="0000395C"/>
    <w:rsid w:val="00003ADD"/>
    <w:rsid w:val="000065DC"/>
    <w:rsid w:val="00010101"/>
    <w:rsid w:val="00010F79"/>
    <w:rsid w:val="0001141A"/>
    <w:rsid w:val="00012E15"/>
    <w:rsid w:val="00013CB6"/>
    <w:rsid w:val="00014753"/>
    <w:rsid w:val="00014798"/>
    <w:rsid w:val="0001486F"/>
    <w:rsid w:val="00014C68"/>
    <w:rsid w:val="0001616C"/>
    <w:rsid w:val="000172CE"/>
    <w:rsid w:val="00020719"/>
    <w:rsid w:val="00021AFA"/>
    <w:rsid w:val="0002234B"/>
    <w:rsid w:val="00023AEF"/>
    <w:rsid w:val="000241B1"/>
    <w:rsid w:val="000244EA"/>
    <w:rsid w:val="00024783"/>
    <w:rsid w:val="00025876"/>
    <w:rsid w:val="000259ED"/>
    <w:rsid w:val="00034212"/>
    <w:rsid w:val="00034F5B"/>
    <w:rsid w:val="00034F7D"/>
    <w:rsid w:val="00040C8D"/>
    <w:rsid w:val="000435C1"/>
    <w:rsid w:val="000438CE"/>
    <w:rsid w:val="0004476D"/>
    <w:rsid w:val="0004484A"/>
    <w:rsid w:val="00045559"/>
    <w:rsid w:val="000502A5"/>
    <w:rsid w:val="00051856"/>
    <w:rsid w:val="0005565B"/>
    <w:rsid w:val="00055773"/>
    <w:rsid w:val="000601E3"/>
    <w:rsid w:val="000602E8"/>
    <w:rsid w:val="00060380"/>
    <w:rsid w:val="00061D1A"/>
    <w:rsid w:val="00062206"/>
    <w:rsid w:val="00062BB9"/>
    <w:rsid w:val="000656AF"/>
    <w:rsid w:val="000662ED"/>
    <w:rsid w:val="0006664A"/>
    <w:rsid w:val="000674BC"/>
    <w:rsid w:val="000703A1"/>
    <w:rsid w:val="00070623"/>
    <w:rsid w:val="00071FE1"/>
    <w:rsid w:val="00072044"/>
    <w:rsid w:val="00077015"/>
    <w:rsid w:val="00077490"/>
    <w:rsid w:val="000777FA"/>
    <w:rsid w:val="00081855"/>
    <w:rsid w:val="00083EDC"/>
    <w:rsid w:val="00084D5C"/>
    <w:rsid w:val="00085A5A"/>
    <w:rsid w:val="00086AA6"/>
    <w:rsid w:val="000876A2"/>
    <w:rsid w:val="00094FE0"/>
    <w:rsid w:val="0009712F"/>
    <w:rsid w:val="00097A3A"/>
    <w:rsid w:val="000B0838"/>
    <w:rsid w:val="000B196C"/>
    <w:rsid w:val="000B1A63"/>
    <w:rsid w:val="000B2988"/>
    <w:rsid w:val="000B2B48"/>
    <w:rsid w:val="000B7EE0"/>
    <w:rsid w:val="000C1862"/>
    <w:rsid w:val="000C1AA4"/>
    <w:rsid w:val="000C1FDD"/>
    <w:rsid w:val="000C3A29"/>
    <w:rsid w:val="000C70F1"/>
    <w:rsid w:val="000D06A4"/>
    <w:rsid w:val="000D20EA"/>
    <w:rsid w:val="000D2111"/>
    <w:rsid w:val="000D3B54"/>
    <w:rsid w:val="000D3F0F"/>
    <w:rsid w:val="000D4177"/>
    <w:rsid w:val="000D5619"/>
    <w:rsid w:val="000D6592"/>
    <w:rsid w:val="000D66E6"/>
    <w:rsid w:val="000D6B44"/>
    <w:rsid w:val="000D6D60"/>
    <w:rsid w:val="000E16CA"/>
    <w:rsid w:val="000E2841"/>
    <w:rsid w:val="000E3025"/>
    <w:rsid w:val="000E3586"/>
    <w:rsid w:val="000E4BF6"/>
    <w:rsid w:val="000E5FCA"/>
    <w:rsid w:val="000E7AC5"/>
    <w:rsid w:val="000F0625"/>
    <w:rsid w:val="000F1772"/>
    <w:rsid w:val="000F3A0C"/>
    <w:rsid w:val="000F3A18"/>
    <w:rsid w:val="000F4B0E"/>
    <w:rsid w:val="000F6A3B"/>
    <w:rsid w:val="00100B9A"/>
    <w:rsid w:val="00103FB5"/>
    <w:rsid w:val="00105190"/>
    <w:rsid w:val="00112B00"/>
    <w:rsid w:val="00112C22"/>
    <w:rsid w:val="00113801"/>
    <w:rsid w:val="001150E2"/>
    <w:rsid w:val="0011548B"/>
    <w:rsid w:val="001158B8"/>
    <w:rsid w:val="00116809"/>
    <w:rsid w:val="001173E1"/>
    <w:rsid w:val="001305FA"/>
    <w:rsid w:val="00131099"/>
    <w:rsid w:val="00133072"/>
    <w:rsid w:val="00136EF4"/>
    <w:rsid w:val="00140CBA"/>
    <w:rsid w:val="00143E01"/>
    <w:rsid w:val="00143F16"/>
    <w:rsid w:val="0014638F"/>
    <w:rsid w:val="0014661E"/>
    <w:rsid w:val="001477D5"/>
    <w:rsid w:val="00147F9D"/>
    <w:rsid w:val="001502B6"/>
    <w:rsid w:val="001507DC"/>
    <w:rsid w:val="001519AA"/>
    <w:rsid w:val="0015342B"/>
    <w:rsid w:val="00154F2A"/>
    <w:rsid w:val="00156EBC"/>
    <w:rsid w:val="00160A11"/>
    <w:rsid w:val="00160E2C"/>
    <w:rsid w:val="00161272"/>
    <w:rsid w:val="0016152E"/>
    <w:rsid w:val="00161E1F"/>
    <w:rsid w:val="0016231E"/>
    <w:rsid w:val="0016460C"/>
    <w:rsid w:val="00164845"/>
    <w:rsid w:val="00165C2E"/>
    <w:rsid w:val="001666A8"/>
    <w:rsid w:val="001673D6"/>
    <w:rsid w:val="00167472"/>
    <w:rsid w:val="00167CDE"/>
    <w:rsid w:val="00170085"/>
    <w:rsid w:val="00170257"/>
    <w:rsid w:val="00171489"/>
    <w:rsid w:val="00173245"/>
    <w:rsid w:val="00174E75"/>
    <w:rsid w:val="00175206"/>
    <w:rsid w:val="001778EB"/>
    <w:rsid w:val="0018070E"/>
    <w:rsid w:val="00180E60"/>
    <w:rsid w:val="0018151D"/>
    <w:rsid w:val="001829D3"/>
    <w:rsid w:val="001844E3"/>
    <w:rsid w:val="00185EED"/>
    <w:rsid w:val="0018601F"/>
    <w:rsid w:val="00192124"/>
    <w:rsid w:val="00194A4D"/>
    <w:rsid w:val="00196C24"/>
    <w:rsid w:val="0019715D"/>
    <w:rsid w:val="001A2C97"/>
    <w:rsid w:val="001A45DA"/>
    <w:rsid w:val="001A4F98"/>
    <w:rsid w:val="001A6261"/>
    <w:rsid w:val="001A630B"/>
    <w:rsid w:val="001A7530"/>
    <w:rsid w:val="001A7BA9"/>
    <w:rsid w:val="001B0002"/>
    <w:rsid w:val="001B1763"/>
    <w:rsid w:val="001B188D"/>
    <w:rsid w:val="001B1891"/>
    <w:rsid w:val="001B1BA7"/>
    <w:rsid w:val="001B1BBD"/>
    <w:rsid w:val="001B2A13"/>
    <w:rsid w:val="001B3545"/>
    <w:rsid w:val="001B4B15"/>
    <w:rsid w:val="001B5541"/>
    <w:rsid w:val="001B6364"/>
    <w:rsid w:val="001B7409"/>
    <w:rsid w:val="001C073D"/>
    <w:rsid w:val="001C1E87"/>
    <w:rsid w:val="001C217A"/>
    <w:rsid w:val="001C22B3"/>
    <w:rsid w:val="001C4872"/>
    <w:rsid w:val="001C514B"/>
    <w:rsid w:val="001C6271"/>
    <w:rsid w:val="001C66DD"/>
    <w:rsid w:val="001C6FA7"/>
    <w:rsid w:val="001D05DC"/>
    <w:rsid w:val="001D0D42"/>
    <w:rsid w:val="001D2AEE"/>
    <w:rsid w:val="001D4B25"/>
    <w:rsid w:val="001D58AA"/>
    <w:rsid w:val="001D76AC"/>
    <w:rsid w:val="001D788B"/>
    <w:rsid w:val="001E1817"/>
    <w:rsid w:val="001E1E7E"/>
    <w:rsid w:val="001E2A7B"/>
    <w:rsid w:val="001E419F"/>
    <w:rsid w:val="001E430E"/>
    <w:rsid w:val="001E60DD"/>
    <w:rsid w:val="001F0BEE"/>
    <w:rsid w:val="001F2C05"/>
    <w:rsid w:val="001F414D"/>
    <w:rsid w:val="001F4B1B"/>
    <w:rsid w:val="001F7C23"/>
    <w:rsid w:val="002076F9"/>
    <w:rsid w:val="002119D8"/>
    <w:rsid w:val="00216412"/>
    <w:rsid w:val="00216521"/>
    <w:rsid w:val="002167CC"/>
    <w:rsid w:val="002173D2"/>
    <w:rsid w:val="0022117D"/>
    <w:rsid w:val="00224143"/>
    <w:rsid w:val="00230033"/>
    <w:rsid w:val="002309C4"/>
    <w:rsid w:val="00231758"/>
    <w:rsid w:val="0023205E"/>
    <w:rsid w:val="002327B4"/>
    <w:rsid w:val="00233436"/>
    <w:rsid w:val="0023363E"/>
    <w:rsid w:val="00233CE9"/>
    <w:rsid w:val="0023473B"/>
    <w:rsid w:val="00234DE1"/>
    <w:rsid w:val="002362A8"/>
    <w:rsid w:val="00236497"/>
    <w:rsid w:val="00240FF5"/>
    <w:rsid w:val="002419EA"/>
    <w:rsid w:val="00241BC6"/>
    <w:rsid w:val="00241C11"/>
    <w:rsid w:val="0024225B"/>
    <w:rsid w:val="00243E61"/>
    <w:rsid w:val="00245AD5"/>
    <w:rsid w:val="00245B4C"/>
    <w:rsid w:val="00247E9E"/>
    <w:rsid w:val="00250685"/>
    <w:rsid w:val="00253DA5"/>
    <w:rsid w:val="00254FF6"/>
    <w:rsid w:val="00256C3D"/>
    <w:rsid w:val="00256F81"/>
    <w:rsid w:val="00260997"/>
    <w:rsid w:val="00261485"/>
    <w:rsid w:val="002615A7"/>
    <w:rsid w:val="00265E6C"/>
    <w:rsid w:val="002700B9"/>
    <w:rsid w:val="0027145F"/>
    <w:rsid w:val="00271B06"/>
    <w:rsid w:val="0027251C"/>
    <w:rsid w:val="0027338B"/>
    <w:rsid w:val="002750AA"/>
    <w:rsid w:val="00276EBA"/>
    <w:rsid w:val="00277013"/>
    <w:rsid w:val="002778AB"/>
    <w:rsid w:val="00277D71"/>
    <w:rsid w:val="00282F18"/>
    <w:rsid w:val="002833DB"/>
    <w:rsid w:val="00283518"/>
    <w:rsid w:val="00284395"/>
    <w:rsid w:val="00286224"/>
    <w:rsid w:val="002865A3"/>
    <w:rsid w:val="00287DAA"/>
    <w:rsid w:val="00287E1D"/>
    <w:rsid w:val="0029055E"/>
    <w:rsid w:val="002909E7"/>
    <w:rsid w:val="002917F1"/>
    <w:rsid w:val="002920A2"/>
    <w:rsid w:val="00292BFB"/>
    <w:rsid w:val="002973A6"/>
    <w:rsid w:val="002975FF"/>
    <w:rsid w:val="00297BE3"/>
    <w:rsid w:val="002A1384"/>
    <w:rsid w:val="002A15B9"/>
    <w:rsid w:val="002A2F0A"/>
    <w:rsid w:val="002A3E3F"/>
    <w:rsid w:val="002A59B5"/>
    <w:rsid w:val="002A5DA0"/>
    <w:rsid w:val="002A77AE"/>
    <w:rsid w:val="002A7A04"/>
    <w:rsid w:val="002B151F"/>
    <w:rsid w:val="002B4B59"/>
    <w:rsid w:val="002C28DE"/>
    <w:rsid w:val="002C343F"/>
    <w:rsid w:val="002C4A12"/>
    <w:rsid w:val="002C546F"/>
    <w:rsid w:val="002C556B"/>
    <w:rsid w:val="002C67B2"/>
    <w:rsid w:val="002C6B5B"/>
    <w:rsid w:val="002D0A2F"/>
    <w:rsid w:val="002D0E29"/>
    <w:rsid w:val="002D0FC9"/>
    <w:rsid w:val="002D15E3"/>
    <w:rsid w:val="002D441D"/>
    <w:rsid w:val="002D5038"/>
    <w:rsid w:val="002D5B40"/>
    <w:rsid w:val="002E0949"/>
    <w:rsid w:val="002E1BEC"/>
    <w:rsid w:val="002E2BA9"/>
    <w:rsid w:val="002E3183"/>
    <w:rsid w:val="002E332C"/>
    <w:rsid w:val="002E3495"/>
    <w:rsid w:val="002E3858"/>
    <w:rsid w:val="002E44C9"/>
    <w:rsid w:val="002E45FF"/>
    <w:rsid w:val="002E46B1"/>
    <w:rsid w:val="002E5427"/>
    <w:rsid w:val="002E548A"/>
    <w:rsid w:val="002E67E2"/>
    <w:rsid w:val="002F0299"/>
    <w:rsid w:val="002F2501"/>
    <w:rsid w:val="002F25D7"/>
    <w:rsid w:val="002F27EA"/>
    <w:rsid w:val="002F29E5"/>
    <w:rsid w:val="002F3146"/>
    <w:rsid w:val="002F4262"/>
    <w:rsid w:val="002F4988"/>
    <w:rsid w:val="002F4A73"/>
    <w:rsid w:val="002F4CBD"/>
    <w:rsid w:val="002F5C09"/>
    <w:rsid w:val="002F6285"/>
    <w:rsid w:val="002F732B"/>
    <w:rsid w:val="002F73A3"/>
    <w:rsid w:val="00300A1C"/>
    <w:rsid w:val="00303999"/>
    <w:rsid w:val="00304B14"/>
    <w:rsid w:val="00307F61"/>
    <w:rsid w:val="0031037C"/>
    <w:rsid w:val="0031065D"/>
    <w:rsid w:val="0031298D"/>
    <w:rsid w:val="00313AA7"/>
    <w:rsid w:val="00315C42"/>
    <w:rsid w:val="00321C60"/>
    <w:rsid w:val="003272B6"/>
    <w:rsid w:val="003300AA"/>
    <w:rsid w:val="00331B20"/>
    <w:rsid w:val="00332FEB"/>
    <w:rsid w:val="00333B56"/>
    <w:rsid w:val="003344BB"/>
    <w:rsid w:val="003404D8"/>
    <w:rsid w:val="00342B44"/>
    <w:rsid w:val="00343E4F"/>
    <w:rsid w:val="00343EC1"/>
    <w:rsid w:val="00344652"/>
    <w:rsid w:val="00344FC9"/>
    <w:rsid w:val="00345397"/>
    <w:rsid w:val="003470F4"/>
    <w:rsid w:val="0034772B"/>
    <w:rsid w:val="00350756"/>
    <w:rsid w:val="00350982"/>
    <w:rsid w:val="00350F3D"/>
    <w:rsid w:val="003548E0"/>
    <w:rsid w:val="003553CA"/>
    <w:rsid w:val="00357665"/>
    <w:rsid w:val="00360468"/>
    <w:rsid w:val="003612B5"/>
    <w:rsid w:val="00365BB7"/>
    <w:rsid w:val="00365BF2"/>
    <w:rsid w:val="00365C2E"/>
    <w:rsid w:val="0036709E"/>
    <w:rsid w:val="00367795"/>
    <w:rsid w:val="00367879"/>
    <w:rsid w:val="00370123"/>
    <w:rsid w:val="0037092D"/>
    <w:rsid w:val="003715AE"/>
    <w:rsid w:val="00374D39"/>
    <w:rsid w:val="0037566F"/>
    <w:rsid w:val="00375BDB"/>
    <w:rsid w:val="00375F29"/>
    <w:rsid w:val="00376562"/>
    <w:rsid w:val="00376FDE"/>
    <w:rsid w:val="00377D10"/>
    <w:rsid w:val="00380294"/>
    <w:rsid w:val="00380FA3"/>
    <w:rsid w:val="00384126"/>
    <w:rsid w:val="00384A31"/>
    <w:rsid w:val="00385FDF"/>
    <w:rsid w:val="00386463"/>
    <w:rsid w:val="003879F3"/>
    <w:rsid w:val="00390178"/>
    <w:rsid w:val="00390E8C"/>
    <w:rsid w:val="0039186D"/>
    <w:rsid w:val="00392973"/>
    <w:rsid w:val="003945BE"/>
    <w:rsid w:val="00394728"/>
    <w:rsid w:val="00394992"/>
    <w:rsid w:val="00394B83"/>
    <w:rsid w:val="0039705A"/>
    <w:rsid w:val="003A0560"/>
    <w:rsid w:val="003A0884"/>
    <w:rsid w:val="003A2CAE"/>
    <w:rsid w:val="003A42FF"/>
    <w:rsid w:val="003A7E5E"/>
    <w:rsid w:val="003B054D"/>
    <w:rsid w:val="003B22E3"/>
    <w:rsid w:val="003B3335"/>
    <w:rsid w:val="003B34CA"/>
    <w:rsid w:val="003B5FE6"/>
    <w:rsid w:val="003B6473"/>
    <w:rsid w:val="003B705E"/>
    <w:rsid w:val="003B7340"/>
    <w:rsid w:val="003C040F"/>
    <w:rsid w:val="003C0ECF"/>
    <w:rsid w:val="003C528B"/>
    <w:rsid w:val="003C66E9"/>
    <w:rsid w:val="003D174F"/>
    <w:rsid w:val="003D25B4"/>
    <w:rsid w:val="003D27C3"/>
    <w:rsid w:val="003D4004"/>
    <w:rsid w:val="003D4D70"/>
    <w:rsid w:val="003D7967"/>
    <w:rsid w:val="003E14D5"/>
    <w:rsid w:val="003E22A8"/>
    <w:rsid w:val="003E372C"/>
    <w:rsid w:val="003E520D"/>
    <w:rsid w:val="003E78C0"/>
    <w:rsid w:val="003E7B55"/>
    <w:rsid w:val="003E7B8D"/>
    <w:rsid w:val="003E7E18"/>
    <w:rsid w:val="003F713F"/>
    <w:rsid w:val="004008A7"/>
    <w:rsid w:val="00400DB2"/>
    <w:rsid w:val="00402421"/>
    <w:rsid w:val="00403B5D"/>
    <w:rsid w:val="00405205"/>
    <w:rsid w:val="00405CF7"/>
    <w:rsid w:val="00406446"/>
    <w:rsid w:val="00406964"/>
    <w:rsid w:val="00412334"/>
    <w:rsid w:val="00412788"/>
    <w:rsid w:val="00412877"/>
    <w:rsid w:val="0041329F"/>
    <w:rsid w:val="0041494D"/>
    <w:rsid w:val="00414E71"/>
    <w:rsid w:val="0041638B"/>
    <w:rsid w:val="00421C60"/>
    <w:rsid w:val="00421D71"/>
    <w:rsid w:val="00423B5F"/>
    <w:rsid w:val="0042406B"/>
    <w:rsid w:val="004256F4"/>
    <w:rsid w:val="00425811"/>
    <w:rsid w:val="00427285"/>
    <w:rsid w:val="00432C38"/>
    <w:rsid w:val="004344DF"/>
    <w:rsid w:val="004354C4"/>
    <w:rsid w:val="00435BAA"/>
    <w:rsid w:val="00435CCC"/>
    <w:rsid w:val="004373E0"/>
    <w:rsid w:val="00440CD7"/>
    <w:rsid w:val="0044196B"/>
    <w:rsid w:val="00441C72"/>
    <w:rsid w:val="0044276A"/>
    <w:rsid w:val="00443763"/>
    <w:rsid w:val="00444001"/>
    <w:rsid w:val="0044480D"/>
    <w:rsid w:val="0044585B"/>
    <w:rsid w:val="00445FFC"/>
    <w:rsid w:val="004462F5"/>
    <w:rsid w:val="004467F9"/>
    <w:rsid w:val="00446C80"/>
    <w:rsid w:val="00446FB5"/>
    <w:rsid w:val="00447751"/>
    <w:rsid w:val="00451BE1"/>
    <w:rsid w:val="004527AE"/>
    <w:rsid w:val="00453252"/>
    <w:rsid w:val="0045394B"/>
    <w:rsid w:val="00456323"/>
    <w:rsid w:val="004564CD"/>
    <w:rsid w:val="00457D21"/>
    <w:rsid w:val="00460781"/>
    <w:rsid w:val="004616A1"/>
    <w:rsid w:val="0046256F"/>
    <w:rsid w:val="00464C1B"/>
    <w:rsid w:val="004655D3"/>
    <w:rsid w:val="0046692A"/>
    <w:rsid w:val="004709C4"/>
    <w:rsid w:val="00470B92"/>
    <w:rsid w:val="00471339"/>
    <w:rsid w:val="00471552"/>
    <w:rsid w:val="00471AA2"/>
    <w:rsid w:val="004735D1"/>
    <w:rsid w:val="00473DF6"/>
    <w:rsid w:val="004747E8"/>
    <w:rsid w:val="00475C44"/>
    <w:rsid w:val="004764E8"/>
    <w:rsid w:val="004766BF"/>
    <w:rsid w:val="00476B47"/>
    <w:rsid w:val="00477E67"/>
    <w:rsid w:val="004816AF"/>
    <w:rsid w:val="00481ADE"/>
    <w:rsid w:val="00481BB2"/>
    <w:rsid w:val="00482A75"/>
    <w:rsid w:val="00483509"/>
    <w:rsid w:val="00485438"/>
    <w:rsid w:val="004854AF"/>
    <w:rsid w:val="00485A74"/>
    <w:rsid w:val="00486037"/>
    <w:rsid w:val="00490A2D"/>
    <w:rsid w:val="00493CB2"/>
    <w:rsid w:val="00495DE2"/>
    <w:rsid w:val="00496084"/>
    <w:rsid w:val="004963BC"/>
    <w:rsid w:val="00496B12"/>
    <w:rsid w:val="00497721"/>
    <w:rsid w:val="004A4785"/>
    <w:rsid w:val="004A5BE7"/>
    <w:rsid w:val="004A7CB2"/>
    <w:rsid w:val="004B1FFD"/>
    <w:rsid w:val="004B22AE"/>
    <w:rsid w:val="004B2452"/>
    <w:rsid w:val="004B3FD7"/>
    <w:rsid w:val="004B5813"/>
    <w:rsid w:val="004B6038"/>
    <w:rsid w:val="004B679F"/>
    <w:rsid w:val="004B6FD8"/>
    <w:rsid w:val="004C1DF0"/>
    <w:rsid w:val="004C2331"/>
    <w:rsid w:val="004C3238"/>
    <w:rsid w:val="004C3BD4"/>
    <w:rsid w:val="004C41ED"/>
    <w:rsid w:val="004C5166"/>
    <w:rsid w:val="004C5571"/>
    <w:rsid w:val="004D0194"/>
    <w:rsid w:val="004D02E9"/>
    <w:rsid w:val="004D072B"/>
    <w:rsid w:val="004D2FC7"/>
    <w:rsid w:val="004D5F7C"/>
    <w:rsid w:val="004D60B9"/>
    <w:rsid w:val="004D6670"/>
    <w:rsid w:val="004D686B"/>
    <w:rsid w:val="004D6FB3"/>
    <w:rsid w:val="004D7BDB"/>
    <w:rsid w:val="004E49FE"/>
    <w:rsid w:val="004E4B3A"/>
    <w:rsid w:val="004E5443"/>
    <w:rsid w:val="004E5688"/>
    <w:rsid w:val="004E58C3"/>
    <w:rsid w:val="004E5F2B"/>
    <w:rsid w:val="004E6613"/>
    <w:rsid w:val="004E79B9"/>
    <w:rsid w:val="004F0448"/>
    <w:rsid w:val="004F11D3"/>
    <w:rsid w:val="004F1FC0"/>
    <w:rsid w:val="004F48C0"/>
    <w:rsid w:val="004F4F60"/>
    <w:rsid w:val="004F5CC3"/>
    <w:rsid w:val="004F71AB"/>
    <w:rsid w:val="00500D13"/>
    <w:rsid w:val="0050272C"/>
    <w:rsid w:val="00504FC6"/>
    <w:rsid w:val="00505331"/>
    <w:rsid w:val="00505F8E"/>
    <w:rsid w:val="005061F6"/>
    <w:rsid w:val="005126E2"/>
    <w:rsid w:val="00513731"/>
    <w:rsid w:val="00514C4A"/>
    <w:rsid w:val="0051711C"/>
    <w:rsid w:val="005200BD"/>
    <w:rsid w:val="00521722"/>
    <w:rsid w:val="0052219B"/>
    <w:rsid w:val="00526D8A"/>
    <w:rsid w:val="0053024E"/>
    <w:rsid w:val="00530DD7"/>
    <w:rsid w:val="00531987"/>
    <w:rsid w:val="00531AE0"/>
    <w:rsid w:val="0053207C"/>
    <w:rsid w:val="00532747"/>
    <w:rsid w:val="005409D1"/>
    <w:rsid w:val="00541A8B"/>
    <w:rsid w:val="005439D6"/>
    <w:rsid w:val="00545283"/>
    <w:rsid w:val="00545EDC"/>
    <w:rsid w:val="00545FF9"/>
    <w:rsid w:val="005466F6"/>
    <w:rsid w:val="00546D0B"/>
    <w:rsid w:val="005470AD"/>
    <w:rsid w:val="005520B7"/>
    <w:rsid w:val="00553749"/>
    <w:rsid w:val="005541DD"/>
    <w:rsid w:val="00554258"/>
    <w:rsid w:val="005548DF"/>
    <w:rsid w:val="005549C3"/>
    <w:rsid w:val="00554B74"/>
    <w:rsid w:val="005571AB"/>
    <w:rsid w:val="005572A2"/>
    <w:rsid w:val="005572C5"/>
    <w:rsid w:val="00560D42"/>
    <w:rsid w:val="00562997"/>
    <w:rsid w:val="00563298"/>
    <w:rsid w:val="005636FC"/>
    <w:rsid w:val="005679F8"/>
    <w:rsid w:val="00571FFC"/>
    <w:rsid w:val="00573B58"/>
    <w:rsid w:val="00574215"/>
    <w:rsid w:val="00575A24"/>
    <w:rsid w:val="00576F78"/>
    <w:rsid w:val="005775B1"/>
    <w:rsid w:val="005807D6"/>
    <w:rsid w:val="0058305B"/>
    <w:rsid w:val="005836DA"/>
    <w:rsid w:val="00586A3D"/>
    <w:rsid w:val="00586C54"/>
    <w:rsid w:val="00587B1D"/>
    <w:rsid w:val="0059108D"/>
    <w:rsid w:val="00591AC2"/>
    <w:rsid w:val="005925E5"/>
    <w:rsid w:val="005928F0"/>
    <w:rsid w:val="005949E2"/>
    <w:rsid w:val="0059597A"/>
    <w:rsid w:val="0059600E"/>
    <w:rsid w:val="00596227"/>
    <w:rsid w:val="00596597"/>
    <w:rsid w:val="005A0141"/>
    <w:rsid w:val="005A0275"/>
    <w:rsid w:val="005A096A"/>
    <w:rsid w:val="005A1082"/>
    <w:rsid w:val="005A2817"/>
    <w:rsid w:val="005A2A60"/>
    <w:rsid w:val="005A54B6"/>
    <w:rsid w:val="005A557D"/>
    <w:rsid w:val="005B2411"/>
    <w:rsid w:val="005B390E"/>
    <w:rsid w:val="005B4219"/>
    <w:rsid w:val="005B4A50"/>
    <w:rsid w:val="005B61E0"/>
    <w:rsid w:val="005B6354"/>
    <w:rsid w:val="005C01C3"/>
    <w:rsid w:val="005C0F67"/>
    <w:rsid w:val="005C11C6"/>
    <w:rsid w:val="005C217C"/>
    <w:rsid w:val="005C4CD9"/>
    <w:rsid w:val="005D2A41"/>
    <w:rsid w:val="005D3D89"/>
    <w:rsid w:val="005D4E5C"/>
    <w:rsid w:val="005E123E"/>
    <w:rsid w:val="005E2D86"/>
    <w:rsid w:val="005E50CA"/>
    <w:rsid w:val="005E7BA0"/>
    <w:rsid w:val="005F2D7C"/>
    <w:rsid w:val="005F3B70"/>
    <w:rsid w:val="005F44C4"/>
    <w:rsid w:val="005F5A36"/>
    <w:rsid w:val="005F6CF5"/>
    <w:rsid w:val="006011A5"/>
    <w:rsid w:val="0061048D"/>
    <w:rsid w:val="006111E5"/>
    <w:rsid w:val="006169E9"/>
    <w:rsid w:val="00620973"/>
    <w:rsid w:val="00620F4D"/>
    <w:rsid w:val="006215D8"/>
    <w:rsid w:val="00623CDD"/>
    <w:rsid w:val="006273F2"/>
    <w:rsid w:val="00632653"/>
    <w:rsid w:val="0063475F"/>
    <w:rsid w:val="00637415"/>
    <w:rsid w:val="006378B1"/>
    <w:rsid w:val="006424D6"/>
    <w:rsid w:val="0064299E"/>
    <w:rsid w:val="006437A7"/>
    <w:rsid w:val="00643D30"/>
    <w:rsid w:val="00643D37"/>
    <w:rsid w:val="00644163"/>
    <w:rsid w:val="00645D3F"/>
    <w:rsid w:val="006466B7"/>
    <w:rsid w:val="006467CD"/>
    <w:rsid w:val="00646DBB"/>
    <w:rsid w:val="006527ED"/>
    <w:rsid w:val="00652C7A"/>
    <w:rsid w:val="0065391E"/>
    <w:rsid w:val="0065398B"/>
    <w:rsid w:val="0065491C"/>
    <w:rsid w:val="00655EEF"/>
    <w:rsid w:val="00657833"/>
    <w:rsid w:val="006579EA"/>
    <w:rsid w:val="00657FB1"/>
    <w:rsid w:val="006612A2"/>
    <w:rsid w:val="00664B10"/>
    <w:rsid w:val="00666CDA"/>
    <w:rsid w:val="00667E6F"/>
    <w:rsid w:val="00670246"/>
    <w:rsid w:val="00670D92"/>
    <w:rsid w:val="006753A2"/>
    <w:rsid w:val="0067582A"/>
    <w:rsid w:val="00676ABE"/>
    <w:rsid w:val="00677186"/>
    <w:rsid w:val="00677281"/>
    <w:rsid w:val="006809B4"/>
    <w:rsid w:val="006809E2"/>
    <w:rsid w:val="006817B0"/>
    <w:rsid w:val="00684795"/>
    <w:rsid w:val="0069145A"/>
    <w:rsid w:val="0069318B"/>
    <w:rsid w:val="00693BF2"/>
    <w:rsid w:val="00694301"/>
    <w:rsid w:val="006950EB"/>
    <w:rsid w:val="00695A29"/>
    <w:rsid w:val="00696129"/>
    <w:rsid w:val="00696C5C"/>
    <w:rsid w:val="00697CB9"/>
    <w:rsid w:val="006A0238"/>
    <w:rsid w:val="006A1186"/>
    <w:rsid w:val="006A2EF1"/>
    <w:rsid w:val="006A6B2C"/>
    <w:rsid w:val="006B1335"/>
    <w:rsid w:val="006B1E07"/>
    <w:rsid w:val="006B34C6"/>
    <w:rsid w:val="006B561F"/>
    <w:rsid w:val="006B593E"/>
    <w:rsid w:val="006B6E67"/>
    <w:rsid w:val="006B7354"/>
    <w:rsid w:val="006B7904"/>
    <w:rsid w:val="006C004D"/>
    <w:rsid w:val="006C0380"/>
    <w:rsid w:val="006C04B0"/>
    <w:rsid w:val="006C146B"/>
    <w:rsid w:val="006C1D55"/>
    <w:rsid w:val="006C3857"/>
    <w:rsid w:val="006C3C82"/>
    <w:rsid w:val="006C74ED"/>
    <w:rsid w:val="006D0133"/>
    <w:rsid w:val="006D027D"/>
    <w:rsid w:val="006D2F41"/>
    <w:rsid w:val="006D4C48"/>
    <w:rsid w:val="006D4CBF"/>
    <w:rsid w:val="006D5F1F"/>
    <w:rsid w:val="006D7663"/>
    <w:rsid w:val="006D7A8C"/>
    <w:rsid w:val="006E03AB"/>
    <w:rsid w:val="006E3144"/>
    <w:rsid w:val="006E333D"/>
    <w:rsid w:val="006E407F"/>
    <w:rsid w:val="006E5AE1"/>
    <w:rsid w:val="006F0475"/>
    <w:rsid w:val="006F1D16"/>
    <w:rsid w:val="006F369C"/>
    <w:rsid w:val="006F5840"/>
    <w:rsid w:val="006F5F58"/>
    <w:rsid w:val="006F7179"/>
    <w:rsid w:val="00700D55"/>
    <w:rsid w:val="00701459"/>
    <w:rsid w:val="00701BFB"/>
    <w:rsid w:val="0070260B"/>
    <w:rsid w:val="00705005"/>
    <w:rsid w:val="007051BD"/>
    <w:rsid w:val="00706F5E"/>
    <w:rsid w:val="00710FBF"/>
    <w:rsid w:val="00713703"/>
    <w:rsid w:val="007206A8"/>
    <w:rsid w:val="00720850"/>
    <w:rsid w:val="00721001"/>
    <w:rsid w:val="00722B6B"/>
    <w:rsid w:val="00723A50"/>
    <w:rsid w:val="00723F7C"/>
    <w:rsid w:val="00724372"/>
    <w:rsid w:val="0072447C"/>
    <w:rsid w:val="00724A8E"/>
    <w:rsid w:val="007254C8"/>
    <w:rsid w:val="00725C1E"/>
    <w:rsid w:val="00726FF7"/>
    <w:rsid w:val="00730772"/>
    <w:rsid w:val="00730F5B"/>
    <w:rsid w:val="007311E0"/>
    <w:rsid w:val="0073288F"/>
    <w:rsid w:val="007344DE"/>
    <w:rsid w:val="007349C3"/>
    <w:rsid w:val="00734E4D"/>
    <w:rsid w:val="007356F4"/>
    <w:rsid w:val="00741A63"/>
    <w:rsid w:val="00742AD7"/>
    <w:rsid w:val="0074346B"/>
    <w:rsid w:val="00744CDF"/>
    <w:rsid w:val="00745012"/>
    <w:rsid w:val="00745480"/>
    <w:rsid w:val="00746B05"/>
    <w:rsid w:val="00751132"/>
    <w:rsid w:val="00751AF6"/>
    <w:rsid w:val="007549C0"/>
    <w:rsid w:val="00754A98"/>
    <w:rsid w:val="00760C96"/>
    <w:rsid w:val="00766639"/>
    <w:rsid w:val="00766CDB"/>
    <w:rsid w:val="00771E4C"/>
    <w:rsid w:val="0077437D"/>
    <w:rsid w:val="00775D3A"/>
    <w:rsid w:val="00775EA8"/>
    <w:rsid w:val="00776D1E"/>
    <w:rsid w:val="007776E1"/>
    <w:rsid w:val="0077789D"/>
    <w:rsid w:val="007779F2"/>
    <w:rsid w:val="00781A12"/>
    <w:rsid w:val="0078397D"/>
    <w:rsid w:val="00786AAE"/>
    <w:rsid w:val="007915E4"/>
    <w:rsid w:val="00792727"/>
    <w:rsid w:val="0079343D"/>
    <w:rsid w:val="00793B2F"/>
    <w:rsid w:val="00794DFE"/>
    <w:rsid w:val="007955A0"/>
    <w:rsid w:val="007A1E9C"/>
    <w:rsid w:val="007A3599"/>
    <w:rsid w:val="007A35AC"/>
    <w:rsid w:val="007A4D4C"/>
    <w:rsid w:val="007A50BA"/>
    <w:rsid w:val="007A538B"/>
    <w:rsid w:val="007B0F35"/>
    <w:rsid w:val="007B14C1"/>
    <w:rsid w:val="007B2BF9"/>
    <w:rsid w:val="007B2E03"/>
    <w:rsid w:val="007B345A"/>
    <w:rsid w:val="007B3D8C"/>
    <w:rsid w:val="007B3F03"/>
    <w:rsid w:val="007B5141"/>
    <w:rsid w:val="007B534D"/>
    <w:rsid w:val="007B5BFB"/>
    <w:rsid w:val="007B6273"/>
    <w:rsid w:val="007B6468"/>
    <w:rsid w:val="007B6FCE"/>
    <w:rsid w:val="007C01BE"/>
    <w:rsid w:val="007C21B8"/>
    <w:rsid w:val="007C3140"/>
    <w:rsid w:val="007C417D"/>
    <w:rsid w:val="007C5769"/>
    <w:rsid w:val="007C6BFD"/>
    <w:rsid w:val="007C7BA2"/>
    <w:rsid w:val="007D2A44"/>
    <w:rsid w:val="007D63BF"/>
    <w:rsid w:val="007D68B0"/>
    <w:rsid w:val="007E4934"/>
    <w:rsid w:val="007E5F8B"/>
    <w:rsid w:val="007E63D6"/>
    <w:rsid w:val="007E7875"/>
    <w:rsid w:val="007E7A60"/>
    <w:rsid w:val="007E7C32"/>
    <w:rsid w:val="007F1AC9"/>
    <w:rsid w:val="007F1D5B"/>
    <w:rsid w:val="007F367B"/>
    <w:rsid w:val="007F3CAC"/>
    <w:rsid w:val="007F5BFA"/>
    <w:rsid w:val="007F6293"/>
    <w:rsid w:val="007F6549"/>
    <w:rsid w:val="00801D23"/>
    <w:rsid w:val="0080358D"/>
    <w:rsid w:val="00803DB6"/>
    <w:rsid w:val="00803EFE"/>
    <w:rsid w:val="00804776"/>
    <w:rsid w:val="00804F36"/>
    <w:rsid w:val="00805E9C"/>
    <w:rsid w:val="00805EFA"/>
    <w:rsid w:val="008060C5"/>
    <w:rsid w:val="00807CDF"/>
    <w:rsid w:val="00810236"/>
    <w:rsid w:val="0081160C"/>
    <w:rsid w:val="00811E34"/>
    <w:rsid w:val="00813DC4"/>
    <w:rsid w:val="00814988"/>
    <w:rsid w:val="00814B24"/>
    <w:rsid w:val="00814C5B"/>
    <w:rsid w:val="00814D01"/>
    <w:rsid w:val="0081507E"/>
    <w:rsid w:val="008152DF"/>
    <w:rsid w:val="00815BC2"/>
    <w:rsid w:val="008161BD"/>
    <w:rsid w:val="008167DE"/>
    <w:rsid w:val="00820FAA"/>
    <w:rsid w:val="00821B06"/>
    <w:rsid w:val="00822744"/>
    <w:rsid w:val="00823E86"/>
    <w:rsid w:val="0082445D"/>
    <w:rsid w:val="00824855"/>
    <w:rsid w:val="00825927"/>
    <w:rsid w:val="0082647A"/>
    <w:rsid w:val="00827E45"/>
    <w:rsid w:val="00830C82"/>
    <w:rsid w:val="008311F0"/>
    <w:rsid w:val="0083415B"/>
    <w:rsid w:val="0083426D"/>
    <w:rsid w:val="00834A37"/>
    <w:rsid w:val="0084010A"/>
    <w:rsid w:val="008407B3"/>
    <w:rsid w:val="00842EDC"/>
    <w:rsid w:val="0084794C"/>
    <w:rsid w:val="008479B9"/>
    <w:rsid w:val="00847FE9"/>
    <w:rsid w:val="00850972"/>
    <w:rsid w:val="00850B39"/>
    <w:rsid w:val="008513E5"/>
    <w:rsid w:val="008531B3"/>
    <w:rsid w:val="008546F3"/>
    <w:rsid w:val="0085489B"/>
    <w:rsid w:val="008615D7"/>
    <w:rsid w:val="00861B96"/>
    <w:rsid w:val="00862769"/>
    <w:rsid w:val="008634D6"/>
    <w:rsid w:val="00863762"/>
    <w:rsid w:val="00864A66"/>
    <w:rsid w:val="008654E5"/>
    <w:rsid w:val="00866C65"/>
    <w:rsid w:val="008670E5"/>
    <w:rsid w:val="00867561"/>
    <w:rsid w:val="00873992"/>
    <w:rsid w:val="00874125"/>
    <w:rsid w:val="00874370"/>
    <w:rsid w:val="0087694F"/>
    <w:rsid w:val="00876C99"/>
    <w:rsid w:val="00882D11"/>
    <w:rsid w:val="00882FB1"/>
    <w:rsid w:val="0088328B"/>
    <w:rsid w:val="00883586"/>
    <w:rsid w:val="0088528A"/>
    <w:rsid w:val="00893117"/>
    <w:rsid w:val="00894789"/>
    <w:rsid w:val="008974D4"/>
    <w:rsid w:val="008A093F"/>
    <w:rsid w:val="008A0F95"/>
    <w:rsid w:val="008A0FCE"/>
    <w:rsid w:val="008A103A"/>
    <w:rsid w:val="008A2EF1"/>
    <w:rsid w:val="008A670B"/>
    <w:rsid w:val="008A6A00"/>
    <w:rsid w:val="008B1EE7"/>
    <w:rsid w:val="008B32F9"/>
    <w:rsid w:val="008B3497"/>
    <w:rsid w:val="008B3C39"/>
    <w:rsid w:val="008B4837"/>
    <w:rsid w:val="008B782C"/>
    <w:rsid w:val="008C0C13"/>
    <w:rsid w:val="008C3AEA"/>
    <w:rsid w:val="008C5916"/>
    <w:rsid w:val="008C76D1"/>
    <w:rsid w:val="008C7A52"/>
    <w:rsid w:val="008D21FE"/>
    <w:rsid w:val="008D2931"/>
    <w:rsid w:val="008D3222"/>
    <w:rsid w:val="008D4717"/>
    <w:rsid w:val="008E10F1"/>
    <w:rsid w:val="008E281D"/>
    <w:rsid w:val="008E651C"/>
    <w:rsid w:val="008E6DE9"/>
    <w:rsid w:val="008E7F4C"/>
    <w:rsid w:val="008F03D4"/>
    <w:rsid w:val="008F09D1"/>
    <w:rsid w:val="008F1C04"/>
    <w:rsid w:val="008F20AA"/>
    <w:rsid w:val="008F5662"/>
    <w:rsid w:val="00901CD2"/>
    <w:rsid w:val="00901EDF"/>
    <w:rsid w:val="00902619"/>
    <w:rsid w:val="00902CD0"/>
    <w:rsid w:val="009068E0"/>
    <w:rsid w:val="009073BA"/>
    <w:rsid w:val="00907AD8"/>
    <w:rsid w:val="00910912"/>
    <w:rsid w:val="00910DE9"/>
    <w:rsid w:val="009117F0"/>
    <w:rsid w:val="00911EE6"/>
    <w:rsid w:val="0091363D"/>
    <w:rsid w:val="0091410B"/>
    <w:rsid w:val="00920829"/>
    <w:rsid w:val="00920B1F"/>
    <w:rsid w:val="00920D51"/>
    <w:rsid w:val="00922B3A"/>
    <w:rsid w:val="00924A5C"/>
    <w:rsid w:val="009256CA"/>
    <w:rsid w:val="00925D4C"/>
    <w:rsid w:val="00926C9F"/>
    <w:rsid w:val="00927EB5"/>
    <w:rsid w:val="009308A8"/>
    <w:rsid w:val="00930FAA"/>
    <w:rsid w:val="0093133C"/>
    <w:rsid w:val="0093190C"/>
    <w:rsid w:val="00936049"/>
    <w:rsid w:val="009362F4"/>
    <w:rsid w:val="009404E4"/>
    <w:rsid w:val="0094266F"/>
    <w:rsid w:val="00942D1D"/>
    <w:rsid w:val="0094451A"/>
    <w:rsid w:val="009456CF"/>
    <w:rsid w:val="00945DC9"/>
    <w:rsid w:val="00947F93"/>
    <w:rsid w:val="00952156"/>
    <w:rsid w:val="00954065"/>
    <w:rsid w:val="009563CE"/>
    <w:rsid w:val="00960C17"/>
    <w:rsid w:val="009664A0"/>
    <w:rsid w:val="00966559"/>
    <w:rsid w:val="0096662F"/>
    <w:rsid w:val="0097006B"/>
    <w:rsid w:val="00970E39"/>
    <w:rsid w:val="00971F0F"/>
    <w:rsid w:val="0097213C"/>
    <w:rsid w:val="00973CC5"/>
    <w:rsid w:val="00976C24"/>
    <w:rsid w:val="00977A3E"/>
    <w:rsid w:val="0098101E"/>
    <w:rsid w:val="00981066"/>
    <w:rsid w:val="009824AF"/>
    <w:rsid w:val="0098343D"/>
    <w:rsid w:val="0098369C"/>
    <w:rsid w:val="0098370C"/>
    <w:rsid w:val="0098565F"/>
    <w:rsid w:val="00985D5E"/>
    <w:rsid w:val="009863AE"/>
    <w:rsid w:val="00987DE5"/>
    <w:rsid w:val="00995754"/>
    <w:rsid w:val="009A02C6"/>
    <w:rsid w:val="009A1DA5"/>
    <w:rsid w:val="009A244C"/>
    <w:rsid w:val="009A28CA"/>
    <w:rsid w:val="009A490A"/>
    <w:rsid w:val="009A4948"/>
    <w:rsid w:val="009A5D1A"/>
    <w:rsid w:val="009A5F19"/>
    <w:rsid w:val="009B05B1"/>
    <w:rsid w:val="009B45B4"/>
    <w:rsid w:val="009B4E32"/>
    <w:rsid w:val="009B59AD"/>
    <w:rsid w:val="009C3374"/>
    <w:rsid w:val="009C429B"/>
    <w:rsid w:val="009C4500"/>
    <w:rsid w:val="009C500D"/>
    <w:rsid w:val="009C534D"/>
    <w:rsid w:val="009C6674"/>
    <w:rsid w:val="009C7CD7"/>
    <w:rsid w:val="009D011D"/>
    <w:rsid w:val="009D1483"/>
    <w:rsid w:val="009D1894"/>
    <w:rsid w:val="009D1FD2"/>
    <w:rsid w:val="009D2A44"/>
    <w:rsid w:val="009D3BCF"/>
    <w:rsid w:val="009D596A"/>
    <w:rsid w:val="009D775D"/>
    <w:rsid w:val="009E41D7"/>
    <w:rsid w:val="009E5BFC"/>
    <w:rsid w:val="009E7191"/>
    <w:rsid w:val="009E7895"/>
    <w:rsid w:val="009F16AD"/>
    <w:rsid w:val="009F1E2C"/>
    <w:rsid w:val="009F25C8"/>
    <w:rsid w:val="009F7CD2"/>
    <w:rsid w:val="00A01A7B"/>
    <w:rsid w:val="00A02349"/>
    <w:rsid w:val="00A03099"/>
    <w:rsid w:val="00A040E4"/>
    <w:rsid w:val="00A0519C"/>
    <w:rsid w:val="00A07364"/>
    <w:rsid w:val="00A1063C"/>
    <w:rsid w:val="00A10DDD"/>
    <w:rsid w:val="00A11DB6"/>
    <w:rsid w:val="00A1321C"/>
    <w:rsid w:val="00A15C40"/>
    <w:rsid w:val="00A163C5"/>
    <w:rsid w:val="00A17433"/>
    <w:rsid w:val="00A2130E"/>
    <w:rsid w:val="00A21745"/>
    <w:rsid w:val="00A2211B"/>
    <w:rsid w:val="00A22E80"/>
    <w:rsid w:val="00A23A29"/>
    <w:rsid w:val="00A2450F"/>
    <w:rsid w:val="00A2459C"/>
    <w:rsid w:val="00A25DD2"/>
    <w:rsid w:val="00A26DB2"/>
    <w:rsid w:val="00A30AD0"/>
    <w:rsid w:val="00A315E4"/>
    <w:rsid w:val="00A317CC"/>
    <w:rsid w:val="00A31A47"/>
    <w:rsid w:val="00A32F26"/>
    <w:rsid w:val="00A37928"/>
    <w:rsid w:val="00A41784"/>
    <w:rsid w:val="00A43800"/>
    <w:rsid w:val="00A45EAC"/>
    <w:rsid w:val="00A50179"/>
    <w:rsid w:val="00A50535"/>
    <w:rsid w:val="00A50C93"/>
    <w:rsid w:val="00A514B2"/>
    <w:rsid w:val="00A520AB"/>
    <w:rsid w:val="00A5297D"/>
    <w:rsid w:val="00A531D4"/>
    <w:rsid w:val="00A636AF"/>
    <w:rsid w:val="00A63B38"/>
    <w:rsid w:val="00A63D23"/>
    <w:rsid w:val="00A64082"/>
    <w:rsid w:val="00A65576"/>
    <w:rsid w:val="00A679AE"/>
    <w:rsid w:val="00A70676"/>
    <w:rsid w:val="00A753B6"/>
    <w:rsid w:val="00A75F35"/>
    <w:rsid w:val="00A76546"/>
    <w:rsid w:val="00A77AF8"/>
    <w:rsid w:val="00A77E81"/>
    <w:rsid w:val="00A8012A"/>
    <w:rsid w:val="00A804E6"/>
    <w:rsid w:val="00A8119B"/>
    <w:rsid w:val="00A832EA"/>
    <w:rsid w:val="00A85711"/>
    <w:rsid w:val="00A867BC"/>
    <w:rsid w:val="00A90783"/>
    <w:rsid w:val="00A91C26"/>
    <w:rsid w:val="00A93416"/>
    <w:rsid w:val="00A94F46"/>
    <w:rsid w:val="00A96CF0"/>
    <w:rsid w:val="00A977FD"/>
    <w:rsid w:val="00AA0340"/>
    <w:rsid w:val="00AA08E2"/>
    <w:rsid w:val="00AA2AB1"/>
    <w:rsid w:val="00AA4808"/>
    <w:rsid w:val="00AA5253"/>
    <w:rsid w:val="00AB060A"/>
    <w:rsid w:val="00AB096E"/>
    <w:rsid w:val="00AB2EC7"/>
    <w:rsid w:val="00AB3BD3"/>
    <w:rsid w:val="00AB414C"/>
    <w:rsid w:val="00AB4217"/>
    <w:rsid w:val="00AB51D5"/>
    <w:rsid w:val="00AB5518"/>
    <w:rsid w:val="00AB64AC"/>
    <w:rsid w:val="00AB6729"/>
    <w:rsid w:val="00AB71C4"/>
    <w:rsid w:val="00AB7C3C"/>
    <w:rsid w:val="00AC426C"/>
    <w:rsid w:val="00AC6B4D"/>
    <w:rsid w:val="00AD189D"/>
    <w:rsid w:val="00AD2196"/>
    <w:rsid w:val="00AD2AC5"/>
    <w:rsid w:val="00AD64A3"/>
    <w:rsid w:val="00AD72C9"/>
    <w:rsid w:val="00AD7EB6"/>
    <w:rsid w:val="00AE0A4F"/>
    <w:rsid w:val="00AE16E6"/>
    <w:rsid w:val="00AE1A27"/>
    <w:rsid w:val="00AE50CA"/>
    <w:rsid w:val="00AE72DC"/>
    <w:rsid w:val="00AE733D"/>
    <w:rsid w:val="00AF5A3E"/>
    <w:rsid w:val="00AF5AFF"/>
    <w:rsid w:val="00AF67F8"/>
    <w:rsid w:val="00B00475"/>
    <w:rsid w:val="00B0299C"/>
    <w:rsid w:val="00B05A3C"/>
    <w:rsid w:val="00B0713C"/>
    <w:rsid w:val="00B114CC"/>
    <w:rsid w:val="00B12741"/>
    <w:rsid w:val="00B136DC"/>
    <w:rsid w:val="00B15B80"/>
    <w:rsid w:val="00B15CE3"/>
    <w:rsid w:val="00B17001"/>
    <w:rsid w:val="00B17B97"/>
    <w:rsid w:val="00B20139"/>
    <w:rsid w:val="00B21186"/>
    <w:rsid w:val="00B23D61"/>
    <w:rsid w:val="00B23E43"/>
    <w:rsid w:val="00B24631"/>
    <w:rsid w:val="00B24C3C"/>
    <w:rsid w:val="00B26151"/>
    <w:rsid w:val="00B26416"/>
    <w:rsid w:val="00B26E79"/>
    <w:rsid w:val="00B33A8C"/>
    <w:rsid w:val="00B3464B"/>
    <w:rsid w:val="00B354CD"/>
    <w:rsid w:val="00B417C2"/>
    <w:rsid w:val="00B41824"/>
    <w:rsid w:val="00B421D0"/>
    <w:rsid w:val="00B4289F"/>
    <w:rsid w:val="00B45C00"/>
    <w:rsid w:val="00B4749D"/>
    <w:rsid w:val="00B47FF1"/>
    <w:rsid w:val="00B5077A"/>
    <w:rsid w:val="00B519DD"/>
    <w:rsid w:val="00B51A6A"/>
    <w:rsid w:val="00B53675"/>
    <w:rsid w:val="00B53BDA"/>
    <w:rsid w:val="00B53F50"/>
    <w:rsid w:val="00B54F5B"/>
    <w:rsid w:val="00B6025C"/>
    <w:rsid w:val="00B61CE1"/>
    <w:rsid w:val="00B628A1"/>
    <w:rsid w:val="00B6496C"/>
    <w:rsid w:val="00B64B99"/>
    <w:rsid w:val="00B65E65"/>
    <w:rsid w:val="00B66F7B"/>
    <w:rsid w:val="00B71583"/>
    <w:rsid w:val="00B71C53"/>
    <w:rsid w:val="00B73131"/>
    <w:rsid w:val="00B767A4"/>
    <w:rsid w:val="00B76C68"/>
    <w:rsid w:val="00B77623"/>
    <w:rsid w:val="00B80517"/>
    <w:rsid w:val="00B80D6E"/>
    <w:rsid w:val="00B82BC4"/>
    <w:rsid w:val="00B831F7"/>
    <w:rsid w:val="00B83456"/>
    <w:rsid w:val="00B83714"/>
    <w:rsid w:val="00B84E23"/>
    <w:rsid w:val="00B85BF1"/>
    <w:rsid w:val="00B9188B"/>
    <w:rsid w:val="00B922D2"/>
    <w:rsid w:val="00B9299E"/>
    <w:rsid w:val="00B9591F"/>
    <w:rsid w:val="00BA1DF4"/>
    <w:rsid w:val="00BA297E"/>
    <w:rsid w:val="00BA3FF3"/>
    <w:rsid w:val="00BA4B1D"/>
    <w:rsid w:val="00BA5A2D"/>
    <w:rsid w:val="00BA6A62"/>
    <w:rsid w:val="00BA7243"/>
    <w:rsid w:val="00BB3236"/>
    <w:rsid w:val="00BB4079"/>
    <w:rsid w:val="00BB4E81"/>
    <w:rsid w:val="00BB5049"/>
    <w:rsid w:val="00BB57B6"/>
    <w:rsid w:val="00BB6645"/>
    <w:rsid w:val="00BB6DFB"/>
    <w:rsid w:val="00BB7CA0"/>
    <w:rsid w:val="00BC1E85"/>
    <w:rsid w:val="00BC490B"/>
    <w:rsid w:val="00BC6599"/>
    <w:rsid w:val="00BC7BCB"/>
    <w:rsid w:val="00BD453D"/>
    <w:rsid w:val="00BD62F3"/>
    <w:rsid w:val="00BD686F"/>
    <w:rsid w:val="00BE24E7"/>
    <w:rsid w:val="00BE2B40"/>
    <w:rsid w:val="00BE3320"/>
    <w:rsid w:val="00BE430C"/>
    <w:rsid w:val="00BE50A2"/>
    <w:rsid w:val="00BE56CC"/>
    <w:rsid w:val="00BF08E8"/>
    <w:rsid w:val="00BF32DA"/>
    <w:rsid w:val="00BF41A8"/>
    <w:rsid w:val="00BF4946"/>
    <w:rsid w:val="00BF5A2D"/>
    <w:rsid w:val="00BF601C"/>
    <w:rsid w:val="00BF627D"/>
    <w:rsid w:val="00BF6A77"/>
    <w:rsid w:val="00C035D7"/>
    <w:rsid w:val="00C03F46"/>
    <w:rsid w:val="00C04349"/>
    <w:rsid w:val="00C107BB"/>
    <w:rsid w:val="00C1089E"/>
    <w:rsid w:val="00C12710"/>
    <w:rsid w:val="00C14BD5"/>
    <w:rsid w:val="00C14DC2"/>
    <w:rsid w:val="00C1621F"/>
    <w:rsid w:val="00C170A8"/>
    <w:rsid w:val="00C179D6"/>
    <w:rsid w:val="00C23656"/>
    <w:rsid w:val="00C24DCA"/>
    <w:rsid w:val="00C27F1D"/>
    <w:rsid w:val="00C30F14"/>
    <w:rsid w:val="00C31644"/>
    <w:rsid w:val="00C439C1"/>
    <w:rsid w:val="00C43EA0"/>
    <w:rsid w:val="00C445A1"/>
    <w:rsid w:val="00C44630"/>
    <w:rsid w:val="00C45058"/>
    <w:rsid w:val="00C45114"/>
    <w:rsid w:val="00C51BD1"/>
    <w:rsid w:val="00C53A04"/>
    <w:rsid w:val="00C54C8E"/>
    <w:rsid w:val="00C55222"/>
    <w:rsid w:val="00C55B16"/>
    <w:rsid w:val="00C56AC1"/>
    <w:rsid w:val="00C60843"/>
    <w:rsid w:val="00C614EB"/>
    <w:rsid w:val="00C62AD8"/>
    <w:rsid w:val="00C65977"/>
    <w:rsid w:val="00C664DC"/>
    <w:rsid w:val="00C66A3B"/>
    <w:rsid w:val="00C70D6F"/>
    <w:rsid w:val="00C70F1E"/>
    <w:rsid w:val="00C74F26"/>
    <w:rsid w:val="00C755F8"/>
    <w:rsid w:val="00C768A3"/>
    <w:rsid w:val="00C81852"/>
    <w:rsid w:val="00C820EF"/>
    <w:rsid w:val="00C82264"/>
    <w:rsid w:val="00C83B57"/>
    <w:rsid w:val="00C8630D"/>
    <w:rsid w:val="00C87554"/>
    <w:rsid w:val="00C87978"/>
    <w:rsid w:val="00C87BB3"/>
    <w:rsid w:val="00C91612"/>
    <w:rsid w:val="00C932E8"/>
    <w:rsid w:val="00C97770"/>
    <w:rsid w:val="00CA107E"/>
    <w:rsid w:val="00CA3368"/>
    <w:rsid w:val="00CA6375"/>
    <w:rsid w:val="00CA7011"/>
    <w:rsid w:val="00CB0412"/>
    <w:rsid w:val="00CB0A99"/>
    <w:rsid w:val="00CB269B"/>
    <w:rsid w:val="00CB33EA"/>
    <w:rsid w:val="00CB5DD3"/>
    <w:rsid w:val="00CB6FE1"/>
    <w:rsid w:val="00CC129C"/>
    <w:rsid w:val="00CC13B7"/>
    <w:rsid w:val="00CC140A"/>
    <w:rsid w:val="00CC18AD"/>
    <w:rsid w:val="00CC1C2A"/>
    <w:rsid w:val="00CC35AB"/>
    <w:rsid w:val="00CC42DC"/>
    <w:rsid w:val="00CC6105"/>
    <w:rsid w:val="00CC7761"/>
    <w:rsid w:val="00CD24BF"/>
    <w:rsid w:val="00CD24D6"/>
    <w:rsid w:val="00CD291B"/>
    <w:rsid w:val="00CD342E"/>
    <w:rsid w:val="00CD4A52"/>
    <w:rsid w:val="00CD61C7"/>
    <w:rsid w:val="00CD6F24"/>
    <w:rsid w:val="00CD7E73"/>
    <w:rsid w:val="00CE063A"/>
    <w:rsid w:val="00CE1B84"/>
    <w:rsid w:val="00CE1C70"/>
    <w:rsid w:val="00CE6C0C"/>
    <w:rsid w:val="00CE6D28"/>
    <w:rsid w:val="00CE7F08"/>
    <w:rsid w:val="00CF24DB"/>
    <w:rsid w:val="00CF3F6C"/>
    <w:rsid w:val="00CF53B5"/>
    <w:rsid w:val="00D007E2"/>
    <w:rsid w:val="00D01F1B"/>
    <w:rsid w:val="00D0290E"/>
    <w:rsid w:val="00D02F4B"/>
    <w:rsid w:val="00D05461"/>
    <w:rsid w:val="00D059F4"/>
    <w:rsid w:val="00D05BAB"/>
    <w:rsid w:val="00D067D7"/>
    <w:rsid w:val="00D06ABD"/>
    <w:rsid w:val="00D07833"/>
    <w:rsid w:val="00D11689"/>
    <w:rsid w:val="00D13021"/>
    <w:rsid w:val="00D13071"/>
    <w:rsid w:val="00D148F2"/>
    <w:rsid w:val="00D15DA2"/>
    <w:rsid w:val="00D200DD"/>
    <w:rsid w:val="00D20DCB"/>
    <w:rsid w:val="00D23736"/>
    <w:rsid w:val="00D24061"/>
    <w:rsid w:val="00D25F88"/>
    <w:rsid w:val="00D26701"/>
    <w:rsid w:val="00D26711"/>
    <w:rsid w:val="00D27976"/>
    <w:rsid w:val="00D3052A"/>
    <w:rsid w:val="00D32103"/>
    <w:rsid w:val="00D326CE"/>
    <w:rsid w:val="00D33CAE"/>
    <w:rsid w:val="00D3496E"/>
    <w:rsid w:val="00D354E0"/>
    <w:rsid w:val="00D35DC6"/>
    <w:rsid w:val="00D362CC"/>
    <w:rsid w:val="00D36D31"/>
    <w:rsid w:val="00D37A82"/>
    <w:rsid w:val="00D401EB"/>
    <w:rsid w:val="00D404FF"/>
    <w:rsid w:val="00D422BD"/>
    <w:rsid w:val="00D43DBF"/>
    <w:rsid w:val="00D45135"/>
    <w:rsid w:val="00D461FF"/>
    <w:rsid w:val="00D46EFE"/>
    <w:rsid w:val="00D47F0E"/>
    <w:rsid w:val="00D5012B"/>
    <w:rsid w:val="00D50C4B"/>
    <w:rsid w:val="00D51838"/>
    <w:rsid w:val="00D519AB"/>
    <w:rsid w:val="00D51A27"/>
    <w:rsid w:val="00D51D93"/>
    <w:rsid w:val="00D531CC"/>
    <w:rsid w:val="00D53FC1"/>
    <w:rsid w:val="00D56399"/>
    <w:rsid w:val="00D56E0C"/>
    <w:rsid w:val="00D570E8"/>
    <w:rsid w:val="00D57F1E"/>
    <w:rsid w:val="00D607A2"/>
    <w:rsid w:val="00D64348"/>
    <w:rsid w:val="00D64B10"/>
    <w:rsid w:val="00D67876"/>
    <w:rsid w:val="00D72377"/>
    <w:rsid w:val="00D74429"/>
    <w:rsid w:val="00D75177"/>
    <w:rsid w:val="00D7533D"/>
    <w:rsid w:val="00D76509"/>
    <w:rsid w:val="00D80B3A"/>
    <w:rsid w:val="00D81A66"/>
    <w:rsid w:val="00D82D81"/>
    <w:rsid w:val="00D831E6"/>
    <w:rsid w:val="00D83F1F"/>
    <w:rsid w:val="00D8496B"/>
    <w:rsid w:val="00D91E92"/>
    <w:rsid w:val="00D94CD9"/>
    <w:rsid w:val="00D951F7"/>
    <w:rsid w:val="00D955F4"/>
    <w:rsid w:val="00D9652F"/>
    <w:rsid w:val="00D97DF6"/>
    <w:rsid w:val="00DA03E9"/>
    <w:rsid w:val="00DA0A16"/>
    <w:rsid w:val="00DA0D81"/>
    <w:rsid w:val="00DA3BD4"/>
    <w:rsid w:val="00DA47E2"/>
    <w:rsid w:val="00DA510F"/>
    <w:rsid w:val="00DA52F4"/>
    <w:rsid w:val="00DB0BD6"/>
    <w:rsid w:val="00DB1582"/>
    <w:rsid w:val="00DB1D08"/>
    <w:rsid w:val="00DB1EBB"/>
    <w:rsid w:val="00DB2307"/>
    <w:rsid w:val="00DB2AB5"/>
    <w:rsid w:val="00DB2D48"/>
    <w:rsid w:val="00DB4CC6"/>
    <w:rsid w:val="00DB719C"/>
    <w:rsid w:val="00DB7D9F"/>
    <w:rsid w:val="00DC04A3"/>
    <w:rsid w:val="00DC16DC"/>
    <w:rsid w:val="00DC32F4"/>
    <w:rsid w:val="00DC6DA8"/>
    <w:rsid w:val="00DC761B"/>
    <w:rsid w:val="00DD1819"/>
    <w:rsid w:val="00DD3939"/>
    <w:rsid w:val="00DD39FA"/>
    <w:rsid w:val="00DE06D4"/>
    <w:rsid w:val="00DE325E"/>
    <w:rsid w:val="00DE36C8"/>
    <w:rsid w:val="00DE45B2"/>
    <w:rsid w:val="00DE479A"/>
    <w:rsid w:val="00DE55DF"/>
    <w:rsid w:val="00DE6294"/>
    <w:rsid w:val="00DE70D5"/>
    <w:rsid w:val="00DE7B09"/>
    <w:rsid w:val="00DE7BB7"/>
    <w:rsid w:val="00DE7C8F"/>
    <w:rsid w:val="00DF00D3"/>
    <w:rsid w:val="00DF3B48"/>
    <w:rsid w:val="00DF4087"/>
    <w:rsid w:val="00DF7344"/>
    <w:rsid w:val="00DF7E08"/>
    <w:rsid w:val="00E00449"/>
    <w:rsid w:val="00E00BEC"/>
    <w:rsid w:val="00E017F0"/>
    <w:rsid w:val="00E040FE"/>
    <w:rsid w:val="00E0623F"/>
    <w:rsid w:val="00E070B6"/>
    <w:rsid w:val="00E07A09"/>
    <w:rsid w:val="00E101CA"/>
    <w:rsid w:val="00E10651"/>
    <w:rsid w:val="00E13D51"/>
    <w:rsid w:val="00E13D66"/>
    <w:rsid w:val="00E154E9"/>
    <w:rsid w:val="00E16AB1"/>
    <w:rsid w:val="00E17433"/>
    <w:rsid w:val="00E17ED6"/>
    <w:rsid w:val="00E17FB7"/>
    <w:rsid w:val="00E21818"/>
    <w:rsid w:val="00E24910"/>
    <w:rsid w:val="00E27369"/>
    <w:rsid w:val="00E33A53"/>
    <w:rsid w:val="00E33B76"/>
    <w:rsid w:val="00E3476D"/>
    <w:rsid w:val="00E35BC9"/>
    <w:rsid w:val="00E3601E"/>
    <w:rsid w:val="00E411E0"/>
    <w:rsid w:val="00E41C95"/>
    <w:rsid w:val="00E4308E"/>
    <w:rsid w:val="00E444BC"/>
    <w:rsid w:val="00E456CD"/>
    <w:rsid w:val="00E45C64"/>
    <w:rsid w:val="00E526C7"/>
    <w:rsid w:val="00E52AC3"/>
    <w:rsid w:val="00E52D68"/>
    <w:rsid w:val="00E53580"/>
    <w:rsid w:val="00E53806"/>
    <w:rsid w:val="00E54110"/>
    <w:rsid w:val="00E5471B"/>
    <w:rsid w:val="00E54D15"/>
    <w:rsid w:val="00E557E2"/>
    <w:rsid w:val="00E558FE"/>
    <w:rsid w:val="00E566D5"/>
    <w:rsid w:val="00E57478"/>
    <w:rsid w:val="00E606AA"/>
    <w:rsid w:val="00E62A84"/>
    <w:rsid w:val="00E647AE"/>
    <w:rsid w:val="00E64AE2"/>
    <w:rsid w:val="00E70246"/>
    <w:rsid w:val="00E732F1"/>
    <w:rsid w:val="00E74990"/>
    <w:rsid w:val="00E7565A"/>
    <w:rsid w:val="00E80149"/>
    <w:rsid w:val="00E8020A"/>
    <w:rsid w:val="00E805E3"/>
    <w:rsid w:val="00E819A6"/>
    <w:rsid w:val="00E81AE4"/>
    <w:rsid w:val="00E8209E"/>
    <w:rsid w:val="00E856E6"/>
    <w:rsid w:val="00E86AC3"/>
    <w:rsid w:val="00E90315"/>
    <w:rsid w:val="00E90503"/>
    <w:rsid w:val="00E913DF"/>
    <w:rsid w:val="00E91E8B"/>
    <w:rsid w:val="00E941EB"/>
    <w:rsid w:val="00E9622E"/>
    <w:rsid w:val="00E9636F"/>
    <w:rsid w:val="00E96C17"/>
    <w:rsid w:val="00EA025C"/>
    <w:rsid w:val="00EA0606"/>
    <w:rsid w:val="00EA07D4"/>
    <w:rsid w:val="00EA1F62"/>
    <w:rsid w:val="00EA30AD"/>
    <w:rsid w:val="00EA39FB"/>
    <w:rsid w:val="00EA4648"/>
    <w:rsid w:val="00EB1C3F"/>
    <w:rsid w:val="00EB342A"/>
    <w:rsid w:val="00EB4237"/>
    <w:rsid w:val="00EB6506"/>
    <w:rsid w:val="00EB7D16"/>
    <w:rsid w:val="00EC1D4C"/>
    <w:rsid w:val="00EC2564"/>
    <w:rsid w:val="00EC3E1C"/>
    <w:rsid w:val="00EC4331"/>
    <w:rsid w:val="00EC6CCA"/>
    <w:rsid w:val="00ED1686"/>
    <w:rsid w:val="00ED3815"/>
    <w:rsid w:val="00ED45EE"/>
    <w:rsid w:val="00ED68E1"/>
    <w:rsid w:val="00ED69D2"/>
    <w:rsid w:val="00EE2563"/>
    <w:rsid w:val="00EE277A"/>
    <w:rsid w:val="00EE331E"/>
    <w:rsid w:val="00EE3B62"/>
    <w:rsid w:val="00EE65DE"/>
    <w:rsid w:val="00EF15B6"/>
    <w:rsid w:val="00EF374D"/>
    <w:rsid w:val="00EF4586"/>
    <w:rsid w:val="00EF471C"/>
    <w:rsid w:val="00EF592F"/>
    <w:rsid w:val="00EF5EC6"/>
    <w:rsid w:val="00EF6747"/>
    <w:rsid w:val="00F01F3F"/>
    <w:rsid w:val="00F0272B"/>
    <w:rsid w:val="00F02ED9"/>
    <w:rsid w:val="00F045D0"/>
    <w:rsid w:val="00F04703"/>
    <w:rsid w:val="00F0490D"/>
    <w:rsid w:val="00F0508D"/>
    <w:rsid w:val="00F11F31"/>
    <w:rsid w:val="00F126F2"/>
    <w:rsid w:val="00F12A56"/>
    <w:rsid w:val="00F1411D"/>
    <w:rsid w:val="00F14861"/>
    <w:rsid w:val="00F16832"/>
    <w:rsid w:val="00F16BEB"/>
    <w:rsid w:val="00F208C1"/>
    <w:rsid w:val="00F212A0"/>
    <w:rsid w:val="00F2146D"/>
    <w:rsid w:val="00F23353"/>
    <w:rsid w:val="00F23D11"/>
    <w:rsid w:val="00F240BC"/>
    <w:rsid w:val="00F24A2D"/>
    <w:rsid w:val="00F25E02"/>
    <w:rsid w:val="00F25EB9"/>
    <w:rsid w:val="00F27C18"/>
    <w:rsid w:val="00F300FF"/>
    <w:rsid w:val="00F3089A"/>
    <w:rsid w:val="00F30ADF"/>
    <w:rsid w:val="00F314B6"/>
    <w:rsid w:val="00F31EB3"/>
    <w:rsid w:val="00F32035"/>
    <w:rsid w:val="00F32412"/>
    <w:rsid w:val="00F3275A"/>
    <w:rsid w:val="00F3282A"/>
    <w:rsid w:val="00F33CDC"/>
    <w:rsid w:val="00F3465C"/>
    <w:rsid w:val="00F34ABD"/>
    <w:rsid w:val="00F3717E"/>
    <w:rsid w:val="00F37A29"/>
    <w:rsid w:val="00F41D89"/>
    <w:rsid w:val="00F4434B"/>
    <w:rsid w:val="00F447F5"/>
    <w:rsid w:val="00F452F4"/>
    <w:rsid w:val="00F5034C"/>
    <w:rsid w:val="00F53D61"/>
    <w:rsid w:val="00F55B3B"/>
    <w:rsid w:val="00F62D37"/>
    <w:rsid w:val="00F6492A"/>
    <w:rsid w:val="00F6543E"/>
    <w:rsid w:val="00F672C1"/>
    <w:rsid w:val="00F714CB"/>
    <w:rsid w:val="00F718EC"/>
    <w:rsid w:val="00F75692"/>
    <w:rsid w:val="00F75844"/>
    <w:rsid w:val="00F765A6"/>
    <w:rsid w:val="00F7667A"/>
    <w:rsid w:val="00F76765"/>
    <w:rsid w:val="00F779EB"/>
    <w:rsid w:val="00F77E50"/>
    <w:rsid w:val="00F8094C"/>
    <w:rsid w:val="00F84536"/>
    <w:rsid w:val="00F848DB"/>
    <w:rsid w:val="00F86CCC"/>
    <w:rsid w:val="00F9054B"/>
    <w:rsid w:val="00F92DB5"/>
    <w:rsid w:val="00F93869"/>
    <w:rsid w:val="00F94C81"/>
    <w:rsid w:val="00F953E8"/>
    <w:rsid w:val="00F96190"/>
    <w:rsid w:val="00FA3E14"/>
    <w:rsid w:val="00FA4ED5"/>
    <w:rsid w:val="00FA4FEC"/>
    <w:rsid w:val="00FA679C"/>
    <w:rsid w:val="00FA7516"/>
    <w:rsid w:val="00FB01AB"/>
    <w:rsid w:val="00FB286A"/>
    <w:rsid w:val="00FB3C17"/>
    <w:rsid w:val="00FB465C"/>
    <w:rsid w:val="00FB6C82"/>
    <w:rsid w:val="00FC3B08"/>
    <w:rsid w:val="00FC51EE"/>
    <w:rsid w:val="00FD059A"/>
    <w:rsid w:val="00FD2ECF"/>
    <w:rsid w:val="00FD3B22"/>
    <w:rsid w:val="00FE1967"/>
    <w:rsid w:val="00FE1E8E"/>
    <w:rsid w:val="00FE5348"/>
    <w:rsid w:val="00FE797B"/>
    <w:rsid w:val="00FF01AB"/>
    <w:rsid w:val="00FF02F8"/>
    <w:rsid w:val="00FF310E"/>
    <w:rsid w:val="00FF446E"/>
    <w:rsid w:val="00FF5BD0"/>
    <w:rsid w:val="00FF7AD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0C8C5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aliases w:val="h1,c"/>
    <w:basedOn w:val="Normal"/>
    <w:next w:val="Normal"/>
    <w:qFormat/>
    <w:pPr>
      <w:keepNext/>
      <w:outlineLvl w:val="0"/>
    </w:pPr>
    <w:rPr>
      <w:b/>
    </w:rPr>
  </w:style>
  <w:style w:type="paragraph" w:styleId="Heading2">
    <w:name w:val="heading 2"/>
    <w:basedOn w:val="Normal"/>
    <w:next w:val="Normal"/>
    <w:qFormat/>
    <w:pPr>
      <w:keepNext/>
      <w:outlineLvl w:val="1"/>
    </w:pPr>
    <w:rPr>
      <w:b/>
      <w:u w:val="single"/>
    </w:rPr>
  </w:style>
  <w:style w:type="paragraph" w:styleId="Heading3">
    <w:name w:val="heading 3"/>
    <w:basedOn w:val="Normal"/>
    <w:next w:val="Normal"/>
    <w:qFormat/>
    <w:pPr>
      <w:keepNext/>
      <w:outlineLvl w:val="2"/>
    </w:pPr>
    <w:rPr>
      <w:u w:val="single"/>
    </w:rPr>
  </w:style>
  <w:style w:type="paragraph" w:styleId="Heading6">
    <w:name w:val="heading 6"/>
    <w:basedOn w:val="Normal"/>
    <w:next w:val="Normal"/>
    <w:qFormat/>
    <w:pPr>
      <w:keepNext/>
      <w:widowControl w:val="0"/>
      <w:jc w:val="center"/>
      <w:outlineLvl w:val="5"/>
    </w:pPr>
    <w:rPr>
      <w:b/>
      <w:i/>
      <w:snapToGrid w:val="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rPr>
      <w:u w:val="single"/>
    </w:rPr>
  </w:style>
  <w:style w:type="paragraph" w:styleId="BodyText">
    <w:name w:val="Body Text"/>
    <w:basedOn w:val="Normal"/>
    <w:rPr>
      <w:b/>
    </w:rPr>
  </w:style>
  <w:style w:type="paragraph" w:styleId="BodyText2">
    <w:name w:val="Body Text 2"/>
    <w:basedOn w:val="Normal"/>
    <w:rPr>
      <w:snapToGrid w:val="0"/>
      <w:color w:val="000000"/>
      <w:lang w:eastAsia="en-US"/>
    </w:rPr>
  </w:style>
  <w:style w:type="paragraph" w:styleId="Header">
    <w:name w:val="header"/>
    <w:basedOn w:val="Normal"/>
    <w:pPr>
      <w:widowControl w:val="0"/>
      <w:tabs>
        <w:tab w:val="center" w:pos="4153"/>
        <w:tab w:val="right" w:pos="8306"/>
      </w:tabs>
    </w:pPr>
    <w:rPr>
      <w:snapToGrid w:val="0"/>
      <w:lang w:val="en-US" w:eastAsia="en-US"/>
    </w:rPr>
  </w:style>
  <w:style w:type="character" w:styleId="PageNumber">
    <w:name w:val="page number"/>
    <w:basedOn w:val="DefaultParagraphFont"/>
  </w:style>
  <w:style w:type="paragraph" w:styleId="Footer">
    <w:name w:val="footer"/>
    <w:basedOn w:val="Normal"/>
    <w:rsid w:val="00775D3A"/>
    <w:pPr>
      <w:tabs>
        <w:tab w:val="center" w:pos="4153"/>
        <w:tab w:val="right" w:pos="8306"/>
      </w:tabs>
    </w:pPr>
  </w:style>
  <w:style w:type="paragraph" w:styleId="NormalWeb">
    <w:name w:val="Normal (Web)"/>
    <w:basedOn w:val="Normal"/>
    <w:rsid w:val="00BF08E8"/>
    <w:pPr>
      <w:spacing w:before="100" w:beforeAutospacing="1" w:after="100" w:afterAutospacing="1"/>
    </w:pPr>
    <w:rPr>
      <w:rFonts w:ascii="Verdana" w:hAnsi="Verdana"/>
      <w:szCs w:val="24"/>
    </w:rPr>
  </w:style>
  <w:style w:type="character" w:styleId="Emphasis">
    <w:name w:val="Emphasis"/>
    <w:qFormat/>
    <w:rsid w:val="00BF08E8"/>
    <w:rPr>
      <w:i/>
      <w:iCs/>
    </w:rPr>
  </w:style>
  <w:style w:type="paragraph" w:styleId="BalloonText">
    <w:name w:val="Balloon Text"/>
    <w:basedOn w:val="Normal"/>
    <w:semiHidden/>
    <w:rsid w:val="0001486F"/>
    <w:rPr>
      <w:rFonts w:ascii="Tahoma" w:hAnsi="Tahoma" w:cs="Tahoma"/>
      <w:sz w:val="16"/>
      <w:szCs w:val="16"/>
    </w:rPr>
  </w:style>
  <w:style w:type="character" w:styleId="CommentReference">
    <w:name w:val="annotation reference"/>
    <w:semiHidden/>
    <w:rsid w:val="003612B5"/>
    <w:rPr>
      <w:sz w:val="16"/>
      <w:szCs w:val="16"/>
    </w:rPr>
  </w:style>
  <w:style w:type="paragraph" w:styleId="CommentText">
    <w:name w:val="annotation text"/>
    <w:basedOn w:val="Normal"/>
    <w:semiHidden/>
    <w:rsid w:val="003612B5"/>
    <w:rPr>
      <w:sz w:val="20"/>
    </w:rPr>
  </w:style>
  <w:style w:type="paragraph" w:styleId="CommentSubject">
    <w:name w:val="annotation subject"/>
    <w:basedOn w:val="CommentText"/>
    <w:next w:val="CommentText"/>
    <w:semiHidden/>
    <w:rsid w:val="003612B5"/>
    <w:rPr>
      <w:b/>
      <w:bCs/>
    </w:rPr>
  </w:style>
  <w:style w:type="paragraph" w:customStyle="1" w:styleId="CharCharCharCharCharCharCharCharCharCharCharCharCharCharCharChar1">
    <w:name w:val="Char Char Char Char Char Char Char Char Char Char Char Char Char Char Char Char1"/>
    <w:basedOn w:val="Normal"/>
    <w:rsid w:val="007D63BF"/>
    <w:rPr>
      <w:rFonts w:ascii="Arial" w:hAnsi="Arial" w:cs="Arial"/>
      <w:sz w:val="22"/>
      <w:szCs w:val="22"/>
      <w:lang w:eastAsia="en-US"/>
    </w:rPr>
  </w:style>
  <w:style w:type="table" w:styleId="TableGrid">
    <w:name w:val="Table Grid"/>
    <w:basedOn w:val="TableNormal"/>
    <w:rsid w:val="009D5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ED69D2"/>
    <w:rPr>
      <w:rFonts w:ascii="Arial" w:hAnsi="Arial" w:cs="Arial"/>
      <w:sz w:val="22"/>
      <w:szCs w:val="22"/>
      <w:lang w:eastAsia="en-US"/>
    </w:rPr>
  </w:style>
  <w:style w:type="paragraph" w:customStyle="1" w:styleId="CharCharCharCharCharCharChar">
    <w:name w:val="Char Char Char Char Char Char Char"/>
    <w:basedOn w:val="Normal"/>
    <w:rsid w:val="001D58AA"/>
    <w:rPr>
      <w:rFonts w:ascii="Arial" w:hAnsi="Arial" w:cs="Arial"/>
      <w:sz w:val="22"/>
      <w:szCs w:val="22"/>
      <w:lang w:eastAsia="en-US"/>
    </w:rPr>
  </w:style>
  <w:style w:type="paragraph" w:customStyle="1" w:styleId="CharCharCharCharCharCharCharCharCharCharCharCharCharCharCharChar">
    <w:name w:val="Char Char Char Char Char Char Char Char Char Char Char Char Char Char Char Char"/>
    <w:basedOn w:val="Normal"/>
    <w:rsid w:val="004616A1"/>
    <w:rPr>
      <w:rFonts w:ascii="Arial" w:hAnsi="Arial" w:cs="Arial"/>
      <w:sz w:val="22"/>
      <w:szCs w:val="22"/>
      <w:lang w:eastAsia="en-US"/>
    </w:rPr>
  </w:style>
  <w:style w:type="paragraph" w:customStyle="1" w:styleId="HealthLevel2">
    <w:name w:val="Health Level 2"/>
    <w:basedOn w:val="Normal"/>
    <w:rsid w:val="009C6674"/>
    <w:pPr>
      <w:tabs>
        <w:tab w:val="left" w:pos="851"/>
      </w:tabs>
      <w:autoSpaceDE w:val="0"/>
      <w:autoSpaceDN w:val="0"/>
      <w:spacing w:before="120" w:line="260" w:lineRule="exact"/>
      <w:ind w:left="1701"/>
    </w:pPr>
    <w:rPr>
      <w:color w:val="000000"/>
      <w:szCs w:val="24"/>
      <w:lang w:eastAsia="en-US"/>
    </w:rPr>
  </w:style>
  <w:style w:type="paragraph" w:customStyle="1" w:styleId="Char1">
    <w:name w:val="Char1"/>
    <w:basedOn w:val="Normal"/>
    <w:rsid w:val="00D422BD"/>
    <w:rPr>
      <w:rFonts w:ascii="Arial" w:hAnsi="Arial" w:cs="Arial"/>
      <w:sz w:val="22"/>
      <w:szCs w:val="22"/>
      <w:lang w:eastAsia="en-US"/>
    </w:rPr>
  </w:style>
  <w:style w:type="paragraph" w:customStyle="1" w:styleId="Char1CharCharChar">
    <w:name w:val="Char1 Char Char Char"/>
    <w:basedOn w:val="Normal"/>
    <w:rsid w:val="00BA4B1D"/>
    <w:rPr>
      <w:rFonts w:ascii="Arial" w:hAnsi="Arial" w:cs="Arial"/>
      <w:sz w:val="22"/>
      <w:szCs w:val="22"/>
      <w:lang w:eastAsia="en-US"/>
    </w:rPr>
  </w:style>
  <w:style w:type="paragraph" w:customStyle="1" w:styleId="HealthnumLevel3">
    <w:name w:val="Health (num) Level 3"/>
    <w:basedOn w:val="Normal"/>
    <w:rsid w:val="00B83714"/>
    <w:pPr>
      <w:tabs>
        <w:tab w:val="num" w:pos="2551"/>
      </w:tabs>
      <w:autoSpaceDE w:val="0"/>
      <w:autoSpaceDN w:val="0"/>
      <w:spacing w:before="60" w:line="260" w:lineRule="exact"/>
      <w:ind w:left="2551" w:hanging="850"/>
      <w:jc w:val="both"/>
    </w:pPr>
    <w:rPr>
      <w:color w:val="000000"/>
      <w:szCs w:val="24"/>
      <w:lang w:eastAsia="en-US"/>
    </w:rPr>
  </w:style>
  <w:style w:type="paragraph" w:customStyle="1" w:styleId="CharCharCharCharCharCharCharCharCharCharCharCharChar">
    <w:name w:val="Char Char Char Char Char Char Char Char Char Char Char Char Char"/>
    <w:basedOn w:val="Normal"/>
    <w:rsid w:val="00333B56"/>
    <w:rPr>
      <w:rFonts w:ascii="Arial" w:hAnsi="Arial" w:cs="Arial"/>
      <w:sz w:val="22"/>
      <w:szCs w:val="22"/>
      <w:lang w:eastAsia="en-US"/>
    </w:rPr>
  </w:style>
  <w:style w:type="paragraph" w:customStyle="1" w:styleId="HealthnumLevel5">
    <w:name w:val="Health (num) Level 5"/>
    <w:basedOn w:val="Normal"/>
    <w:link w:val="HealthnumLevel5Char"/>
    <w:rsid w:val="00BC1E85"/>
    <w:pPr>
      <w:autoSpaceDE w:val="0"/>
      <w:autoSpaceDN w:val="0"/>
      <w:spacing w:before="180" w:line="260" w:lineRule="exact"/>
    </w:pPr>
    <w:rPr>
      <w:szCs w:val="24"/>
      <w:lang w:eastAsia="en-US"/>
    </w:rPr>
  </w:style>
  <w:style w:type="character" w:customStyle="1" w:styleId="HealthnumLevel5Char">
    <w:name w:val="Health (num) Level 5 Char"/>
    <w:link w:val="HealthnumLevel5"/>
    <w:rsid w:val="00BC1E85"/>
    <w:rPr>
      <w:sz w:val="24"/>
      <w:szCs w:val="24"/>
      <w:lang w:eastAsia="en-US"/>
    </w:rPr>
  </w:style>
  <w:style w:type="paragraph" w:customStyle="1" w:styleId="Default">
    <w:name w:val="Default"/>
    <w:rsid w:val="00BC1E85"/>
    <w:pPr>
      <w:autoSpaceDE w:val="0"/>
      <w:autoSpaceDN w:val="0"/>
      <w:adjustRightInd w:val="0"/>
    </w:pPr>
    <w:rPr>
      <w:color w:val="000000"/>
      <w:sz w:val="24"/>
      <w:szCs w:val="24"/>
    </w:rPr>
  </w:style>
  <w:style w:type="paragraph" w:customStyle="1" w:styleId="Healthnote">
    <w:name w:val="Health note"/>
    <w:basedOn w:val="Normal"/>
    <w:link w:val="HealthnoteChar"/>
    <w:rsid w:val="00BC1E85"/>
    <w:pPr>
      <w:tabs>
        <w:tab w:val="left" w:pos="567"/>
      </w:tabs>
      <w:autoSpaceDE w:val="0"/>
      <w:autoSpaceDN w:val="0"/>
      <w:spacing w:before="120" w:line="220" w:lineRule="exact"/>
      <w:ind w:left="851"/>
    </w:pPr>
    <w:rPr>
      <w:iCs/>
      <w:color w:val="000000"/>
      <w:sz w:val="20"/>
      <w:lang w:eastAsia="en-US"/>
    </w:rPr>
  </w:style>
  <w:style w:type="character" w:customStyle="1" w:styleId="HealthnoteChar">
    <w:name w:val="Health note Char"/>
    <w:link w:val="Healthnote"/>
    <w:rsid w:val="00BC1E85"/>
    <w:rPr>
      <w:iCs/>
      <w:color w:val="000000"/>
      <w:lang w:eastAsia="en-US"/>
    </w:rPr>
  </w:style>
  <w:style w:type="character" w:customStyle="1" w:styleId="HealthLevel1Char">
    <w:name w:val="Health Level 1 Char"/>
    <w:link w:val="HealthLevel1"/>
    <w:locked/>
    <w:rsid w:val="009F16AD"/>
    <w:rPr>
      <w:color w:val="000000"/>
      <w:sz w:val="24"/>
      <w:szCs w:val="24"/>
      <w:lang w:eastAsia="en-US"/>
    </w:rPr>
  </w:style>
  <w:style w:type="paragraph" w:customStyle="1" w:styleId="HealthLevel1">
    <w:name w:val="Health Level 1"/>
    <w:basedOn w:val="Normal"/>
    <w:link w:val="HealthLevel1Char"/>
    <w:rsid w:val="009F16AD"/>
    <w:pPr>
      <w:tabs>
        <w:tab w:val="left" w:pos="851"/>
      </w:tabs>
      <w:autoSpaceDE w:val="0"/>
      <w:autoSpaceDN w:val="0"/>
      <w:spacing w:before="120" w:line="260" w:lineRule="exact"/>
      <w:ind w:left="851"/>
    </w:pPr>
    <w:rPr>
      <w:color w:val="000000"/>
      <w:szCs w:val="24"/>
      <w:lang w:eastAsia="en-US"/>
    </w:rPr>
  </w:style>
  <w:style w:type="paragraph" w:styleId="ListParagraph">
    <w:name w:val="List Paragraph"/>
    <w:basedOn w:val="Normal"/>
    <w:uiPriority w:val="34"/>
    <w:qFormat/>
    <w:rsid w:val="002D5B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95827">
      <w:bodyDiv w:val="1"/>
      <w:marLeft w:val="0"/>
      <w:marRight w:val="0"/>
      <w:marTop w:val="0"/>
      <w:marBottom w:val="0"/>
      <w:divBdr>
        <w:top w:val="none" w:sz="0" w:space="0" w:color="auto"/>
        <w:left w:val="none" w:sz="0" w:space="0" w:color="auto"/>
        <w:bottom w:val="none" w:sz="0" w:space="0" w:color="auto"/>
        <w:right w:val="none" w:sz="0" w:space="0" w:color="auto"/>
      </w:divBdr>
    </w:div>
    <w:div w:id="223101793">
      <w:bodyDiv w:val="1"/>
      <w:marLeft w:val="0"/>
      <w:marRight w:val="0"/>
      <w:marTop w:val="0"/>
      <w:marBottom w:val="0"/>
      <w:divBdr>
        <w:top w:val="none" w:sz="0" w:space="0" w:color="auto"/>
        <w:left w:val="none" w:sz="0" w:space="0" w:color="auto"/>
        <w:bottom w:val="none" w:sz="0" w:space="0" w:color="auto"/>
        <w:right w:val="none" w:sz="0" w:space="0" w:color="auto"/>
      </w:divBdr>
    </w:div>
    <w:div w:id="258755062">
      <w:bodyDiv w:val="1"/>
      <w:marLeft w:val="0"/>
      <w:marRight w:val="0"/>
      <w:marTop w:val="0"/>
      <w:marBottom w:val="0"/>
      <w:divBdr>
        <w:top w:val="none" w:sz="0" w:space="0" w:color="auto"/>
        <w:left w:val="none" w:sz="0" w:space="0" w:color="auto"/>
        <w:bottom w:val="none" w:sz="0" w:space="0" w:color="auto"/>
        <w:right w:val="none" w:sz="0" w:space="0" w:color="auto"/>
      </w:divBdr>
      <w:divsChild>
        <w:div w:id="1749229567">
          <w:marLeft w:val="0"/>
          <w:marRight w:val="0"/>
          <w:marTop w:val="0"/>
          <w:marBottom w:val="0"/>
          <w:divBdr>
            <w:top w:val="none" w:sz="0" w:space="0" w:color="auto"/>
            <w:left w:val="none" w:sz="0" w:space="0" w:color="auto"/>
            <w:bottom w:val="none" w:sz="0" w:space="0" w:color="auto"/>
            <w:right w:val="none" w:sz="0" w:space="0" w:color="auto"/>
          </w:divBdr>
          <w:divsChild>
            <w:div w:id="1644919616">
              <w:marLeft w:val="0"/>
              <w:marRight w:val="0"/>
              <w:marTop w:val="0"/>
              <w:marBottom w:val="0"/>
              <w:divBdr>
                <w:top w:val="none" w:sz="0" w:space="0" w:color="auto"/>
                <w:left w:val="none" w:sz="0" w:space="0" w:color="auto"/>
                <w:bottom w:val="none" w:sz="0" w:space="0" w:color="auto"/>
                <w:right w:val="none" w:sz="0" w:space="0" w:color="auto"/>
              </w:divBdr>
              <w:divsChild>
                <w:div w:id="1951355782">
                  <w:marLeft w:val="0"/>
                  <w:marRight w:val="0"/>
                  <w:marTop w:val="0"/>
                  <w:marBottom w:val="0"/>
                  <w:divBdr>
                    <w:top w:val="none" w:sz="0" w:space="0" w:color="auto"/>
                    <w:left w:val="none" w:sz="0" w:space="0" w:color="auto"/>
                    <w:bottom w:val="none" w:sz="0" w:space="0" w:color="auto"/>
                    <w:right w:val="none" w:sz="0" w:space="0" w:color="auto"/>
                  </w:divBdr>
                  <w:divsChild>
                    <w:div w:id="2094013845">
                      <w:marLeft w:val="0"/>
                      <w:marRight w:val="0"/>
                      <w:marTop w:val="0"/>
                      <w:marBottom w:val="0"/>
                      <w:divBdr>
                        <w:top w:val="none" w:sz="0" w:space="0" w:color="auto"/>
                        <w:left w:val="none" w:sz="0" w:space="0" w:color="auto"/>
                        <w:bottom w:val="none" w:sz="0" w:space="0" w:color="auto"/>
                        <w:right w:val="none" w:sz="0" w:space="0" w:color="auto"/>
                      </w:divBdr>
                      <w:divsChild>
                        <w:div w:id="1383289301">
                          <w:marLeft w:val="0"/>
                          <w:marRight w:val="0"/>
                          <w:marTop w:val="0"/>
                          <w:marBottom w:val="0"/>
                          <w:divBdr>
                            <w:top w:val="single" w:sz="4" w:space="0" w:color="828282"/>
                            <w:left w:val="single" w:sz="4" w:space="0" w:color="828282"/>
                            <w:bottom w:val="single" w:sz="4" w:space="0" w:color="828282"/>
                            <w:right w:val="single" w:sz="4" w:space="0" w:color="828282"/>
                          </w:divBdr>
                          <w:divsChild>
                            <w:div w:id="1224213366">
                              <w:marLeft w:val="0"/>
                              <w:marRight w:val="0"/>
                              <w:marTop w:val="0"/>
                              <w:marBottom w:val="0"/>
                              <w:divBdr>
                                <w:top w:val="none" w:sz="0" w:space="0" w:color="auto"/>
                                <w:left w:val="none" w:sz="0" w:space="0" w:color="auto"/>
                                <w:bottom w:val="none" w:sz="0" w:space="0" w:color="auto"/>
                                <w:right w:val="none" w:sz="0" w:space="0" w:color="auto"/>
                              </w:divBdr>
                              <w:divsChild>
                                <w:div w:id="1996642322">
                                  <w:marLeft w:val="0"/>
                                  <w:marRight w:val="0"/>
                                  <w:marTop w:val="0"/>
                                  <w:marBottom w:val="0"/>
                                  <w:divBdr>
                                    <w:top w:val="none" w:sz="0" w:space="0" w:color="auto"/>
                                    <w:left w:val="none" w:sz="0" w:space="0" w:color="auto"/>
                                    <w:bottom w:val="none" w:sz="0" w:space="0" w:color="auto"/>
                                    <w:right w:val="none" w:sz="0" w:space="0" w:color="auto"/>
                                  </w:divBdr>
                                  <w:divsChild>
                                    <w:div w:id="1363357112">
                                      <w:marLeft w:val="0"/>
                                      <w:marRight w:val="0"/>
                                      <w:marTop w:val="0"/>
                                      <w:marBottom w:val="0"/>
                                      <w:divBdr>
                                        <w:top w:val="none" w:sz="0" w:space="0" w:color="auto"/>
                                        <w:left w:val="none" w:sz="0" w:space="0" w:color="auto"/>
                                        <w:bottom w:val="none" w:sz="0" w:space="0" w:color="auto"/>
                                        <w:right w:val="none" w:sz="0" w:space="0" w:color="auto"/>
                                      </w:divBdr>
                                      <w:divsChild>
                                        <w:div w:id="1911580184">
                                          <w:marLeft w:val="0"/>
                                          <w:marRight w:val="0"/>
                                          <w:marTop w:val="0"/>
                                          <w:marBottom w:val="0"/>
                                          <w:divBdr>
                                            <w:top w:val="none" w:sz="0" w:space="0" w:color="auto"/>
                                            <w:left w:val="none" w:sz="0" w:space="0" w:color="auto"/>
                                            <w:bottom w:val="none" w:sz="0" w:space="0" w:color="auto"/>
                                            <w:right w:val="none" w:sz="0" w:space="0" w:color="auto"/>
                                          </w:divBdr>
                                          <w:divsChild>
                                            <w:div w:id="1559633568">
                                              <w:marLeft w:val="0"/>
                                              <w:marRight w:val="0"/>
                                              <w:marTop w:val="0"/>
                                              <w:marBottom w:val="0"/>
                                              <w:divBdr>
                                                <w:top w:val="none" w:sz="0" w:space="0" w:color="auto"/>
                                                <w:left w:val="none" w:sz="0" w:space="0" w:color="auto"/>
                                                <w:bottom w:val="none" w:sz="0" w:space="0" w:color="auto"/>
                                                <w:right w:val="none" w:sz="0" w:space="0" w:color="auto"/>
                                              </w:divBdr>
                                              <w:divsChild>
                                                <w:div w:id="10010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8012340">
      <w:bodyDiv w:val="1"/>
      <w:marLeft w:val="0"/>
      <w:marRight w:val="0"/>
      <w:marTop w:val="0"/>
      <w:marBottom w:val="0"/>
      <w:divBdr>
        <w:top w:val="none" w:sz="0" w:space="0" w:color="auto"/>
        <w:left w:val="none" w:sz="0" w:space="0" w:color="auto"/>
        <w:bottom w:val="none" w:sz="0" w:space="0" w:color="auto"/>
        <w:right w:val="none" w:sz="0" w:space="0" w:color="auto"/>
      </w:divBdr>
      <w:divsChild>
        <w:div w:id="561064317">
          <w:marLeft w:val="0"/>
          <w:marRight w:val="0"/>
          <w:marTop w:val="0"/>
          <w:marBottom w:val="0"/>
          <w:divBdr>
            <w:top w:val="none" w:sz="0" w:space="0" w:color="auto"/>
            <w:left w:val="none" w:sz="0" w:space="0" w:color="auto"/>
            <w:bottom w:val="none" w:sz="0" w:space="0" w:color="auto"/>
            <w:right w:val="none" w:sz="0" w:space="0" w:color="auto"/>
          </w:divBdr>
          <w:divsChild>
            <w:div w:id="773406515">
              <w:marLeft w:val="0"/>
              <w:marRight w:val="0"/>
              <w:marTop w:val="0"/>
              <w:marBottom w:val="0"/>
              <w:divBdr>
                <w:top w:val="none" w:sz="0" w:space="0" w:color="auto"/>
                <w:left w:val="none" w:sz="0" w:space="0" w:color="auto"/>
                <w:bottom w:val="none" w:sz="0" w:space="0" w:color="auto"/>
                <w:right w:val="none" w:sz="0" w:space="0" w:color="auto"/>
              </w:divBdr>
              <w:divsChild>
                <w:div w:id="828444804">
                  <w:marLeft w:val="0"/>
                  <w:marRight w:val="0"/>
                  <w:marTop w:val="0"/>
                  <w:marBottom w:val="0"/>
                  <w:divBdr>
                    <w:top w:val="none" w:sz="0" w:space="0" w:color="auto"/>
                    <w:left w:val="none" w:sz="0" w:space="0" w:color="auto"/>
                    <w:bottom w:val="none" w:sz="0" w:space="0" w:color="auto"/>
                    <w:right w:val="none" w:sz="0" w:space="0" w:color="auto"/>
                  </w:divBdr>
                  <w:divsChild>
                    <w:div w:id="1068915466">
                      <w:marLeft w:val="0"/>
                      <w:marRight w:val="0"/>
                      <w:marTop w:val="0"/>
                      <w:marBottom w:val="0"/>
                      <w:divBdr>
                        <w:top w:val="none" w:sz="0" w:space="0" w:color="auto"/>
                        <w:left w:val="none" w:sz="0" w:space="0" w:color="auto"/>
                        <w:bottom w:val="none" w:sz="0" w:space="0" w:color="auto"/>
                        <w:right w:val="none" w:sz="0" w:space="0" w:color="auto"/>
                      </w:divBdr>
                      <w:divsChild>
                        <w:div w:id="1090466521">
                          <w:marLeft w:val="0"/>
                          <w:marRight w:val="0"/>
                          <w:marTop w:val="0"/>
                          <w:marBottom w:val="0"/>
                          <w:divBdr>
                            <w:top w:val="single" w:sz="4" w:space="0" w:color="828282"/>
                            <w:left w:val="single" w:sz="4" w:space="0" w:color="828282"/>
                            <w:bottom w:val="single" w:sz="4" w:space="0" w:color="828282"/>
                            <w:right w:val="single" w:sz="4" w:space="0" w:color="828282"/>
                          </w:divBdr>
                          <w:divsChild>
                            <w:div w:id="1486434022">
                              <w:marLeft w:val="0"/>
                              <w:marRight w:val="0"/>
                              <w:marTop w:val="0"/>
                              <w:marBottom w:val="0"/>
                              <w:divBdr>
                                <w:top w:val="none" w:sz="0" w:space="0" w:color="auto"/>
                                <w:left w:val="none" w:sz="0" w:space="0" w:color="auto"/>
                                <w:bottom w:val="none" w:sz="0" w:space="0" w:color="auto"/>
                                <w:right w:val="none" w:sz="0" w:space="0" w:color="auto"/>
                              </w:divBdr>
                              <w:divsChild>
                                <w:div w:id="19792274">
                                  <w:marLeft w:val="0"/>
                                  <w:marRight w:val="0"/>
                                  <w:marTop w:val="0"/>
                                  <w:marBottom w:val="0"/>
                                  <w:divBdr>
                                    <w:top w:val="none" w:sz="0" w:space="0" w:color="auto"/>
                                    <w:left w:val="none" w:sz="0" w:space="0" w:color="auto"/>
                                    <w:bottom w:val="none" w:sz="0" w:space="0" w:color="auto"/>
                                    <w:right w:val="none" w:sz="0" w:space="0" w:color="auto"/>
                                  </w:divBdr>
                                  <w:divsChild>
                                    <w:div w:id="1902522405">
                                      <w:marLeft w:val="0"/>
                                      <w:marRight w:val="0"/>
                                      <w:marTop w:val="0"/>
                                      <w:marBottom w:val="0"/>
                                      <w:divBdr>
                                        <w:top w:val="none" w:sz="0" w:space="0" w:color="auto"/>
                                        <w:left w:val="none" w:sz="0" w:space="0" w:color="auto"/>
                                        <w:bottom w:val="none" w:sz="0" w:space="0" w:color="auto"/>
                                        <w:right w:val="none" w:sz="0" w:space="0" w:color="auto"/>
                                      </w:divBdr>
                                      <w:divsChild>
                                        <w:div w:id="334380479">
                                          <w:marLeft w:val="0"/>
                                          <w:marRight w:val="0"/>
                                          <w:marTop w:val="0"/>
                                          <w:marBottom w:val="0"/>
                                          <w:divBdr>
                                            <w:top w:val="none" w:sz="0" w:space="0" w:color="auto"/>
                                            <w:left w:val="none" w:sz="0" w:space="0" w:color="auto"/>
                                            <w:bottom w:val="none" w:sz="0" w:space="0" w:color="auto"/>
                                            <w:right w:val="none" w:sz="0" w:space="0" w:color="auto"/>
                                          </w:divBdr>
                                          <w:divsChild>
                                            <w:div w:id="1066148837">
                                              <w:marLeft w:val="0"/>
                                              <w:marRight w:val="0"/>
                                              <w:marTop w:val="0"/>
                                              <w:marBottom w:val="0"/>
                                              <w:divBdr>
                                                <w:top w:val="none" w:sz="0" w:space="0" w:color="auto"/>
                                                <w:left w:val="none" w:sz="0" w:space="0" w:color="auto"/>
                                                <w:bottom w:val="none" w:sz="0" w:space="0" w:color="auto"/>
                                                <w:right w:val="none" w:sz="0" w:space="0" w:color="auto"/>
                                              </w:divBdr>
                                              <w:divsChild>
                                                <w:div w:id="15762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0483738">
      <w:bodyDiv w:val="1"/>
      <w:marLeft w:val="0"/>
      <w:marRight w:val="0"/>
      <w:marTop w:val="0"/>
      <w:marBottom w:val="0"/>
      <w:divBdr>
        <w:top w:val="none" w:sz="0" w:space="0" w:color="auto"/>
        <w:left w:val="none" w:sz="0" w:space="0" w:color="auto"/>
        <w:bottom w:val="none" w:sz="0" w:space="0" w:color="auto"/>
        <w:right w:val="none" w:sz="0" w:space="0" w:color="auto"/>
      </w:divBdr>
    </w:div>
    <w:div w:id="926962181">
      <w:bodyDiv w:val="1"/>
      <w:marLeft w:val="0"/>
      <w:marRight w:val="0"/>
      <w:marTop w:val="0"/>
      <w:marBottom w:val="0"/>
      <w:divBdr>
        <w:top w:val="none" w:sz="0" w:space="0" w:color="auto"/>
        <w:left w:val="none" w:sz="0" w:space="0" w:color="auto"/>
        <w:bottom w:val="none" w:sz="0" w:space="0" w:color="auto"/>
        <w:right w:val="none" w:sz="0" w:space="0" w:color="auto"/>
      </w:divBdr>
      <w:divsChild>
        <w:div w:id="2026125017">
          <w:marLeft w:val="0"/>
          <w:marRight w:val="0"/>
          <w:marTop w:val="0"/>
          <w:marBottom w:val="0"/>
          <w:divBdr>
            <w:top w:val="none" w:sz="0" w:space="0" w:color="auto"/>
            <w:left w:val="none" w:sz="0" w:space="0" w:color="auto"/>
            <w:bottom w:val="none" w:sz="0" w:space="0" w:color="auto"/>
            <w:right w:val="none" w:sz="0" w:space="0" w:color="auto"/>
          </w:divBdr>
          <w:divsChild>
            <w:div w:id="2057699534">
              <w:marLeft w:val="0"/>
              <w:marRight w:val="0"/>
              <w:marTop w:val="0"/>
              <w:marBottom w:val="0"/>
              <w:divBdr>
                <w:top w:val="none" w:sz="0" w:space="0" w:color="auto"/>
                <w:left w:val="none" w:sz="0" w:space="0" w:color="auto"/>
                <w:bottom w:val="none" w:sz="0" w:space="0" w:color="auto"/>
                <w:right w:val="none" w:sz="0" w:space="0" w:color="auto"/>
              </w:divBdr>
              <w:divsChild>
                <w:div w:id="1354116553">
                  <w:marLeft w:val="0"/>
                  <w:marRight w:val="0"/>
                  <w:marTop w:val="0"/>
                  <w:marBottom w:val="0"/>
                  <w:divBdr>
                    <w:top w:val="none" w:sz="0" w:space="0" w:color="auto"/>
                    <w:left w:val="none" w:sz="0" w:space="0" w:color="auto"/>
                    <w:bottom w:val="none" w:sz="0" w:space="0" w:color="auto"/>
                    <w:right w:val="none" w:sz="0" w:space="0" w:color="auto"/>
                  </w:divBdr>
                  <w:divsChild>
                    <w:div w:id="1365252003">
                      <w:marLeft w:val="0"/>
                      <w:marRight w:val="0"/>
                      <w:marTop w:val="0"/>
                      <w:marBottom w:val="0"/>
                      <w:divBdr>
                        <w:top w:val="none" w:sz="0" w:space="0" w:color="auto"/>
                        <w:left w:val="none" w:sz="0" w:space="0" w:color="auto"/>
                        <w:bottom w:val="none" w:sz="0" w:space="0" w:color="auto"/>
                        <w:right w:val="none" w:sz="0" w:space="0" w:color="auto"/>
                      </w:divBdr>
                      <w:divsChild>
                        <w:div w:id="1307198411">
                          <w:marLeft w:val="0"/>
                          <w:marRight w:val="0"/>
                          <w:marTop w:val="0"/>
                          <w:marBottom w:val="0"/>
                          <w:divBdr>
                            <w:top w:val="single" w:sz="4" w:space="0" w:color="828282"/>
                            <w:left w:val="single" w:sz="4" w:space="0" w:color="828282"/>
                            <w:bottom w:val="single" w:sz="4" w:space="0" w:color="828282"/>
                            <w:right w:val="single" w:sz="4" w:space="0" w:color="828282"/>
                          </w:divBdr>
                          <w:divsChild>
                            <w:div w:id="1002321389">
                              <w:marLeft w:val="0"/>
                              <w:marRight w:val="0"/>
                              <w:marTop w:val="0"/>
                              <w:marBottom w:val="0"/>
                              <w:divBdr>
                                <w:top w:val="none" w:sz="0" w:space="0" w:color="auto"/>
                                <w:left w:val="none" w:sz="0" w:space="0" w:color="auto"/>
                                <w:bottom w:val="none" w:sz="0" w:space="0" w:color="auto"/>
                                <w:right w:val="none" w:sz="0" w:space="0" w:color="auto"/>
                              </w:divBdr>
                              <w:divsChild>
                                <w:div w:id="819618978">
                                  <w:marLeft w:val="0"/>
                                  <w:marRight w:val="0"/>
                                  <w:marTop w:val="0"/>
                                  <w:marBottom w:val="0"/>
                                  <w:divBdr>
                                    <w:top w:val="none" w:sz="0" w:space="0" w:color="auto"/>
                                    <w:left w:val="none" w:sz="0" w:space="0" w:color="auto"/>
                                    <w:bottom w:val="none" w:sz="0" w:space="0" w:color="auto"/>
                                    <w:right w:val="none" w:sz="0" w:space="0" w:color="auto"/>
                                  </w:divBdr>
                                  <w:divsChild>
                                    <w:div w:id="1161232499">
                                      <w:marLeft w:val="0"/>
                                      <w:marRight w:val="0"/>
                                      <w:marTop w:val="0"/>
                                      <w:marBottom w:val="0"/>
                                      <w:divBdr>
                                        <w:top w:val="none" w:sz="0" w:space="0" w:color="auto"/>
                                        <w:left w:val="none" w:sz="0" w:space="0" w:color="auto"/>
                                        <w:bottom w:val="none" w:sz="0" w:space="0" w:color="auto"/>
                                        <w:right w:val="none" w:sz="0" w:space="0" w:color="auto"/>
                                      </w:divBdr>
                                      <w:divsChild>
                                        <w:div w:id="926571488">
                                          <w:marLeft w:val="0"/>
                                          <w:marRight w:val="0"/>
                                          <w:marTop w:val="0"/>
                                          <w:marBottom w:val="0"/>
                                          <w:divBdr>
                                            <w:top w:val="none" w:sz="0" w:space="0" w:color="auto"/>
                                            <w:left w:val="none" w:sz="0" w:space="0" w:color="auto"/>
                                            <w:bottom w:val="none" w:sz="0" w:space="0" w:color="auto"/>
                                            <w:right w:val="none" w:sz="0" w:space="0" w:color="auto"/>
                                          </w:divBdr>
                                          <w:divsChild>
                                            <w:div w:id="887954669">
                                              <w:marLeft w:val="0"/>
                                              <w:marRight w:val="0"/>
                                              <w:marTop w:val="0"/>
                                              <w:marBottom w:val="0"/>
                                              <w:divBdr>
                                                <w:top w:val="none" w:sz="0" w:space="0" w:color="auto"/>
                                                <w:left w:val="none" w:sz="0" w:space="0" w:color="auto"/>
                                                <w:bottom w:val="none" w:sz="0" w:space="0" w:color="auto"/>
                                                <w:right w:val="none" w:sz="0" w:space="0" w:color="auto"/>
                                              </w:divBdr>
                                              <w:divsChild>
                                                <w:div w:id="111333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17384496">
      <w:bodyDiv w:val="1"/>
      <w:marLeft w:val="0"/>
      <w:marRight w:val="0"/>
      <w:marTop w:val="0"/>
      <w:marBottom w:val="0"/>
      <w:divBdr>
        <w:top w:val="none" w:sz="0" w:space="0" w:color="auto"/>
        <w:left w:val="none" w:sz="0" w:space="0" w:color="auto"/>
        <w:bottom w:val="none" w:sz="0" w:space="0" w:color="auto"/>
        <w:right w:val="none" w:sz="0" w:space="0" w:color="auto"/>
      </w:divBdr>
    </w:div>
    <w:div w:id="1243562823">
      <w:bodyDiv w:val="1"/>
      <w:marLeft w:val="0"/>
      <w:marRight w:val="0"/>
      <w:marTop w:val="0"/>
      <w:marBottom w:val="0"/>
      <w:divBdr>
        <w:top w:val="none" w:sz="0" w:space="0" w:color="auto"/>
        <w:left w:val="none" w:sz="0" w:space="0" w:color="auto"/>
        <w:bottom w:val="none" w:sz="0" w:space="0" w:color="auto"/>
        <w:right w:val="none" w:sz="0" w:space="0" w:color="auto"/>
      </w:divBdr>
    </w:div>
    <w:div w:id="1711103682">
      <w:bodyDiv w:val="1"/>
      <w:marLeft w:val="0"/>
      <w:marRight w:val="0"/>
      <w:marTop w:val="0"/>
      <w:marBottom w:val="0"/>
      <w:divBdr>
        <w:top w:val="none" w:sz="0" w:space="0" w:color="auto"/>
        <w:left w:val="none" w:sz="0" w:space="0" w:color="auto"/>
        <w:bottom w:val="none" w:sz="0" w:space="0" w:color="auto"/>
        <w:right w:val="none" w:sz="0" w:space="0" w:color="auto"/>
      </w:divBdr>
    </w:div>
    <w:div w:id="1933315958">
      <w:bodyDiv w:val="1"/>
      <w:marLeft w:val="0"/>
      <w:marRight w:val="0"/>
      <w:marTop w:val="0"/>
      <w:marBottom w:val="0"/>
      <w:divBdr>
        <w:top w:val="none" w:sz="0" w:space="0" w:color="auto"/>
        <w:left w:val="none" w:sz="0" w:space="0" w:color="auto"/>
        <w:bottom w:val="none" w:sz="0" w:space="0" w:color="auto"/>
        <w:right w:val="none" w:sz="0" w:space="0" w:color="auto"/>
      </w:divBdr>
    </w:div>
    <w:div w:id="2006543479">
      <w:bodyDiv w:val="1"/>
      <w:marLeft w:val="0"/>
      <w:marRight w:val="0"/>
      <w:marTop w:val="0"/>
      <w:marBottom w:val="0"/>
      <w:divBdr>
        <w:top w:val="none" w:sz="0" w:space="0" w:color="auto"/>
        <w:left w:val="none" w:sz="0" w:space="0" w:color="auto"/>
        <w:bottom w:val="none" w:sz="0" w:space="0" w:color="auto"/>
        <w:right w:val="none" w:sz="0" w:space="0" w:color="auto"/>
      </w:divBdr>
    </w:div>
    <w:div w:id="2012246732">
      <w:bodyDiv w:val="1"/>
      <w:marLeft w:val="0"/>
      <w:marRight w:val="0"/>
      <w:marTop w:val="0"/>
      <w:marBottom w:val="0"/>
      <w:divBdr>
        <w:top w:val="none" w:sz="0" w:space="0" w:color="auto"/>
        <w:left w:val="none" w:sz="0" w:space="0" w:color="auto"/>
        <w:bottom w:val="none" w:sz="0" w:space="0" w:color="auto"/>
        <w:right w:val="none" w:sz="0" w:space="0" w:color="auto"/>
      </w:divBdr>
    </w:div>
    <w:div w:id="206748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3DBF65-6A86-4825-B999-9156DAC09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1968</Words>
  <Characters>10513</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EXPLANATORY MEMORANDUM</vt:lpstr>
    </vt:vector>
  </TitlesOfParts>
  <LinksUpToDate>false</LinksUpToDate>
  <CharactersWithSpaces>12457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
  <cp:lastModifiedBy/>
  <cp:revision>1</cp:revision>
  <cp:lastPrinted>2012-03-13T07:46:00Z</cp:lastPrinted>
  <dcterms:created xsi:type="dcterms:W3CDTF">2018-10-29T05:28:00Z</dcterms:created>
  <dcterms:modified xsi:type="dcterms:W3CDTF">2018-10-29T05:28:00Z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