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2A967" w14:textId="77777777" w:rsidR="006818C0" w:rsidRPr="009932DB" w:rsidRDefault="00143A54" w:rsidP="006818C0">
      <w:pPr>
        <w:spacing w:after="120"/>
        <w:contextualSpacing/>
        <w:jc w:val="center"/>
        <w:rPr>
          <w:rFonts w:ascii="Times New Roman" w:hAnsi="Times New Roman"/>
          <w:sz w:val="24"/>
          <w:szCs w:val="24"/>
        </w:rPr>
      </w:pPr>
      <w:r w:rsidRPr="009932DB">
        <w:rPr>
          <w:rFonts w:ascii="Times New Roman" w:hAnsi="Times New Roman"/>
          <w:b/>
          <w:sz w:val="24"/>
          <w:szCs w:val="24"/>
          <w:u w:val="single"/>
        </w:rPr>
        <w:t>EXPLANATORY STATEMENT</w:t>
      </w:r>
    </w:p>
    <w:p w14:paraId="2922A968" w14:textId="77777777" w:rsidR="006818C0" w:rsidRPr="009932DB" w:rsidRDefault="002B22CB" w:rsidP="00D07DB9">
      <w:pPr>
        <w:spacing w:after="120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922A969" w14:textId="2D8E5BD2" w:rsidR="00BD55C1" w:rsidRDefault="00143A54" w:rsidP="00BD55C1">
      <w:pPr>
        <w:spacing w:after="12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Issued by the Authority of the </w:t>
      </w:r>
      <w:r w:rsidR="00D34D8B">
        <w:rPr>
          <w:rFonts w:ascii="Times New Roman" w:hAnsi="Times New Roman"/>
          <w:b/>
          <w:bCs/>
          <w:color w:val="000000"/>
          <w:sz w:val="24"/>
          <w:szCs w:val="24"/>
        </w:rPr>
        <w:t xml:space="preserve">Special </w:t>
      </w:r>
      <w:r w:rsidR="008523B2" w:rsidRPr="008523B2">
        <w:rPr>
          <w:rFonts w:ascii="Times New Roman" w:hAnsi="Times New Roman"/>
          <w:b/>
          <w:bCs/>
          <w:color w:val="000000"/>
          <w:sz w:val="24"/>
          <w:szCs w:val="24"/>
        </w:rPr>
        <w:t xml:space="preserve">Minister </w:t>
      </w:r>
      <w:r w:rsidR="00D34D8B">
        <w:rPr>
          <w:rFonts w:ascii="Times New Roman" w:hAnsi="Times New Roman"/>
          <w:b/>
          <w:bCs/>
          <w:color w:val="000000"/>
          <w:sz w:val="24"/>
          <w:szCs w:val="24"/>
        </w:rPr>
        <w:t>of State</w:t>
      </w:r>
    </w:p>
    <w:p w14:paraId="2922A96A" w14:textId="77777777" w:rsidR="00BD55C1" w:rsidRDefault="002B22CB" w:rsidP="00BD55C1">
      <w:pPr>
        <w:spacing w:after="12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922A96B" w14:textId="13801A3E" w:rsidR="00BD55C1" w:rsidRDefault="00FE44EE" w:rsidP="00BD55C1">
      <w:pPr>
        <w:spacing w:after="120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Parliamentary Retirement Travel Act 2002</w:t>
      </w:r>
    </w:p>
    <w:p w14:paraId="2922A96C" w14:textId="77777777" w:rsidR="00BD55C1" w:rsidRDefault="002B22CB" w:rsidP="00BD55C1">
      <w:pPr>
        <w:spacing w:after="12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922A96D" w14:textId="568475E4" w:rsidR="00BD55C1" w:rsidRDefault="00FE44EE" w:rsidP="00BD55C1">
      <w:pPr>
        <w:spacing w:after="120"/>
        <w:contextualSpacing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Parliamentary Retirement Travel Regulations 2018</w:t>
      </w:r>
    </w:p>
    <w:p w14:paraId="2922A96E" w14:textId="77777777" w:rsidR="00BD55C1" w:rsidRDefault="002B22CB" w:rsidP="00BD55C1">
      <w:pPr>
        <w:spacing w:before="240" w:after="12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BA377E8" w14:textId="00CC8FDF" w:rsidR="00AB52BF" w:rsidRPr="00AB52BF" w:rsidRDefault="00AB52BF" w:rsidP="00BD55C1">
      <w:pPr>
        <w:spacing w:before="24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General outline</w:t>
      </w:r>
    </w:p>
    <w:p w14:paraId="1E12F2FE" w14:textId="5E00726F" w:rsidR="007D476B" w:rsidRDefault="00143A54" w:rsidP="00BD55C1">
      <w:pPr>
        <w:spacing w:before="24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FE44EE">
        <w:rPr>
          <w:rFonts w:ascii="Times New Roman" w:hAnsi="Times New Roman"/>
          <w:i/>
          <w:iCs/>
          <w:sz w:val="24"/>
          <w:szCs w:val="24"/>
        </w:rPr>
        <w:t>Parliamentary Retirement Travel Act 2002</w:t>
      </w:r>
      <w:r w:rsidR="00AB5F14">
        <w:rPr>
          <w:rFonts w:ascii="Times New Roman" w:hAnsi="Times New Roman"/>
          <w:sz w:val="24"/>
          <w:szCs w:val="24"/>
        </w:rPr>
        <w:t xml:space="preserve"> (the Act, formerly the </w:t>
      </w:r>
      <w:r w:rsidR="004A2786">
        <w:rPr>
          <w:rFonts w:ascii="Times New Roman" w:hAnsi="Times New Roman"/>
          <w:i/>
          <w:sz w:val="24"/>
          <w:szCs w:val="24"/>
        </w:rPr>
        <w:t>Members of Parliament (L</w:t>
      </w:r>
      <w:r w:rsidR="00AB5F14">
        <w:rPr>
          <w:rFonts w:ascii="Times New Roman" w:hAnsi="Times New Roman"/>
          <w:i/>
          <w:sz w:val="24"/>
          <w:szCs w:val="24"/>
        </w:rPr>
        <w:t>ife Gold Pass</w:t>
      </w:r>
      <w:r w:rsidR="004A2786">
        <w:rPr>
          <w:rFonts w:ascii="Times New Roman" w:hAnsi="Times New Roman"/>
          <w:i/>
          <w:sz w:val="24"/>
          <w:szCs w:val="24"/>
        </w:rPr>
        <w:t>)</w:t>
      </w:r>
      <w:r w:rsidR="00AB5F14">
        <w:rPr>
          <w:rFonts w:ascii="Times New Roman" w:hAnsi="Times New Roman"/>
          <w:i/>
          <w:sz w:val="24"/>
          <w:szCs w:val="24"/>
        </w:rPr>
        <w:t xml:space="preserve"> Act </w:t>
      </w:r>
      <w:r w:rsidR="00AB5F14" w:rsidRPr="00AB5F14">
        <w:rPr>
          <w:rFonts w:ascii="Times New Roman" w:hAnsi="Times New Roman"/>
          <w:i/>
          <w:sz w:val="24"/>
          <w:szCs w:val="24"/>
        </w:rPr>
        <w:t>2002</w:t>
      </w:r>
      <w:r w:rsidR="00AB5F14">
        <w:rPr>
          <w:rFonts w:ascii="Times New Roman" w:hAnsi="Times New Roman"/>
          <w:sz w:val="24"/>
          <w:szCs w:val="24"/>
        </w:rPr>
        <w:t xml:space="preserve">) </w:t>
      </w:r>
      <w:r w:rsidRPr="00AB5F14">
        <w:rPr>
          <w:rFonts w:ascii="Times New Roman" w:hAnsi="Times New Roman"/>
          <w:sz w:val="24"/>
          <w:szCs w:val="24"/>
        </w:rPr>
        <w:t>provides</w:t>
      </w:r>
      <w:r>
        <w:rPr>
          <w:rFonts w:ascii="Times New Roman" w:hAnsi="Times New Roman"/>
          <w:sz w:val="24"/>
          <w:szCs w:val="24"/>
        </w:rPr>
        <w:t xml:space="preserve"> </w:t>
      </w:r>
      <w:r w:rsidR="00AB5F14">
        <w:rPr>
          <w:rFonts w:ascii="Times New Roman" w:hAnsi="Times New Roman"/>
          <w:sz w:val="24"/>
          <w:szCs w:val="24"/>
        </w:rPr>
        <w:t>travel at Commonwealth expense (known as a ‘Parliamentary Retirement Travel Entitlement’</w:t>
      </w:r>
      <w:r w:rsidR="007D476B">
        <w:rPr>
          <w:rFonts w:ascii="Times New Roman" w:hAnsi="Times New Roman"/>
          <w:sz w:val="24"/>
          <w:szCs w:val="24"/>
        </w:rPr>
        <w:t xml:space="preserve"> (PRT Entitlement)</w:t>
      </w:r>
      <w:r w:rsidR="00560E52">
        <w:rPr>
          <w:rFonts w:ascii="Times New Roman" w:hAnsi="Times New Roman"/>
          <w:sz w:val="24"/>
          <w:szCs w:val="24"/>
        </w:rPr>
        <w:t>)</w:t>
      </w:r>
      <w:r w:rsidR="005547B0">
        <w:rPr>
          <w:rFonts w:ascii="Times New Roman" w:hAnsi="Times New Roman"/>
          <w:sz w:val="24"/>
          <w:szCs w:val="24"/>
        </w:rPr>
        <w:t xml:space="preserve"> to former Prime </w:t>
      </w:r>
      <w:r w:rsidR="007D476B">
        <w:rPr>
          <w:rFonts w:ascii="Times New Roman" w:hAnsi="Times New Roman"/>
          <w:sz w:val="24"/>
          <w:szCs w:val="24"/>
        </w:rPr>
        <w:t xml:space="preserve">Ministers </w:t>
      </w:r>
      <w:r w:rsidR="00907FEE">
        <w:rPr>
          <w:rFonts w:ascii="Times New Roman" w:hAnsi="Times New Roman"/>
          <w:sz w:val="24"/>
          <w:szCs w:val="24"/>
        </w:rPr>
        <w:t>who meet certain qualifying cri</w:t>
      </w:r>
      <w:r w:rsidR="007D476B">
        <w:rPr>
          <w:rFonts w:ascii="Times New Roman" w:hAnsi="Times New Roman"/>
          <w:sz w:val="24"/>
          <w:szCs w:val="24"/>
        </w:rPr>
        <w:t>t</w:t>
      </w:r>
      <w:r w:rsidR="00907FEE">
        <w:rPr>
          <w:rFonts w:ascii="Times New Roman" w:hAnsi="Times New Roman"/>
          <w:sz w:val="24"/>
          <w:szCs w:val="24"/>
        </w:rPr>
        <w:t>er</w:t>
      </w:r>
      <w:r w:rsidR="007D476B">
        <w:rPr>
          <w:rFonts w:ascii="Times New Roman" w:hAnsi="Times New Roman"/>
          <w:sz w:val="24"/>
          <w:szCs w:val="24"/>
        </w:rPr>
        <w:t xml:space="preserve">ia (see section 30 of the Act) and a qualifying former Prime Minister’s spouse or de facto partner. </w:t>
      </w:r>
    </w:p>
    <w:p w14:paraId="3E1440BC" w14:textId="58CE9187" w:rsidR="007D476B" w:rsidRDefault="007D476B" w:rsidP="00BD55C1">
      <w:pPr>
        <w:spacing w:before="24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Section 10 of the Act places a cap on the number of domestic return trips that can be met at Commonwealth expense for </w:t>
      </w:r>
      <w:r w:rsidR="00560E52">
        <w:rPr>
          <w:rFonts w:ascii="Times New Roman" w:hAnsi="Times New Roman"/>
          <w:sz w:val="24"/>
          <w:szCs w:val="24"/>
        </w:rPr>
        <w:t>eligible travellers</w:t>
      </w:r>
      <w:r>
        <w:rPr>
          <w:rFonts w:ascii="Times New Roman" w:hAnsi="Times New Roman"/>
          <w:sz w:val="24"/>
          <w:szCs w:val="24"/>
        </w:rPr>
        <w:t>. A ‘domestic return trip’ is defined in section 4 of the Act as a return trip that:</w:t>
      </w:r>
    </w:p>
    <w:p w14:paraId="01B06923" w14:textId="77777777" w:rsidR="007D476B" w:rsidRDefault="007D476B" w:rsidP="00173548">
      <w:pPr>
        <w:pStyle w:val="ListParagraph"/>
        <w:numPr>
          <w:ilvl w:val="0"/>
          <w:numId w:val="22"/>
        </w:numPr>
        <w:spacing w:before="240" w:after="120"/>
        <w:rPr>
          <w:szCs w:val="24"/>
        </w:rPr>
      </w:pPr>
      <w:r>
        <w:rPr>
          <w:szCs w:val="24"/>
        </w:rPr>
        <w:t>is wholly within Australia</w:t>
      </w:r>
    </w:p>
    <w:p w14:paraId="28751584" w14:textId="09EBE6E4" w:rsidR="007D476B" w:rsidRDefault="007D476B" w:rsidP="00173548">
      <w:pPr>
        <w:pStyle w:val="ListParagraph"/>
        <w:numPr>
          <w:ilvl w:val="0"/>
          <w:numId w:val="22"/>
        </w:numPr>
        <w:spacing w:before="240" w:after="120"/>
        <w:rPr>
          <w:szCs w:val="24"/>
        </w:rPr>
      </w:pPr>
      <w:r>
        <w:rPr>
          <w:szCs w:val="24"/>
        </w:rPr>
        <w:t xml:space="preserve">satisfies the purpose test </w:t>
      </w:r>
      <w:r w:rsidR="00907FEE">
        <w:rPr>
          <w:szCs w:val="24"/>
        </w:rPr>
        <w:t>s</w:t>
      </w:r>
      <w:r>
        <w:rPr>
          <w:szCs w:val="24"/>
        </w:rPr>
        <w:t xml:space="preserve">pecified in section 4AA, and </w:t>
      </w:r>
    </w:p>
    <w:p w14:paraId="387B5082" w14:textId="6A42F7D3" w:rsidR="007D476B" w:rsidRDefault="007D476B" w:rsidP="00173548">
      <w:pPr>
        <w:pStyle w:val="ListParagraph"/>
        <w:numPr>
          <w:ilvl w:val="0"/>
          <w:numId w:val="22"/>
        </w:numPr>
        <w:spacing w:before="240" w:after="120"/>
        <w:rPr>
          <w:szCs w:val="24"/>
        </w:rPr>
      </w:pPr>
      <w:proofErr w:type="gramStart"/>
      <w:r>
        <w:rPr>
          <w:szCs w:val="24"/>
        </w:rPr>
        <w:t>is</w:t>
      </w:r>
      <w:proofErr w:type="gramEnd"/>
      <w:r>
        <w:rPr>
          <w:szCs w:val="24"/>
        </w:rPr>
        <w:t xml:space="preserve"> on a scheduled transport service or combination of scheduled transport service</w:t>
      </w:r>
      <w:r w:rsidR="00560E52">
        <w:rPr>
          <w:szCs w:val="24"/>
        </w:rPr>
        <w:t>s</w:t>
      </w:r>
      <w:r>
        <w:rPr>
          <w:szCs w:val="24"/>
        </w:rPr>
        <w:t xml:space="preserve">. </w:t>
      </w:r>
    </w:p>
    <w:p w14:paraId="56346CCE" w14:textId="36E5231B" w:rsidR="00560E52" w:rsidRDefault="00560E52" w:rsidP="007D476B">
      <w:pPr>
        <w:spacing w:before="24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560E52">
        <w:rPr>
          <w:rFonts w:ascii="Times New Roman" w:hAnsi="Times New Roman"/>
          <w:sz w:val="24"/>
          <w:szCs w:val="24"/>
        </w:rPr>
        <w:t>‘</w:t>
      </w:r>
      <w:r>
        <w:rPr>
          <w:rFonts w:ascii="Times New Roman" w:hAnsi="Times New Roman"/>
          <w:sz w:val="24"/>
          <w:szCs w:val="24"/>
        </w:rPr>
        <w:t>s</w:t>
      </w:r>
      <w:r w:rsidRPr="00560E52">
        <w:rPr>
          <w:rFonts w:ascii="Times New Roman" w:hAnsi="Times New Roman"/>
          <w:sz w:val="24"/>
          <w:szCs w:val="24"/>
        </w:rPr>
        <w:t>cheduled transport service’ is defined in section 4 of the Act to mean scheduled air, rail, bus, tram, ferry, or vehicular service</w:t>
      </w:r>
      <w:r w:rsidR="004F5061">
        <w:rPr>
          <w:rFonts w:ascii="Times New Roman" w:hAnsi="Times New Roman"/>
          <w:sz w:val="24"/>
          <w:szCs w:val="24"/>
        </w:rPr>
        <w:t>s</w:t>
      </w:r>
      <w:r w:rsidRPr="00560E52">
        <w:rPr>
          <w:rFonts w:ascii="Times New Roman" w:hAnsi="Times New Roman"/>
          <w:sz w:val="24"/>
          <w:szCs w:val="24"/>
        </w:rPr>
        <w:t xml:space="preserve">. </w:t>
      </w:r>
    </w:p>
    <w:p w14:paraId="57986EB4" w14:textId="359736BE" w:rsidR="00410830" w:rsidRDefault="00410830" w:rsidP="007D476B">
      <w:pPr>
        <w:spacing w:before="24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 7 of the Act sets out a </w:t>
      </w:r>
      <w:r w:rsidR="00301074">
        <w:rPr>
          <w:rFonts w:ascii="Times New Roman" w:hAnsi="Times New Roman"/>
          <w:sz w:val="24"/>
          <w:szCs w:val="24"/>
        </w:rPr>
        <w:t>‘</w:t>
      </w:r>
      <w:r>
        <w:rPr>
          <w:rFonts w:ascii="Times New Roman" w:hAnsi="Times New Roman"/>
          <w:sz w:val="24"/>
          <w:szCs w:val="24"/>
        </w:rPr>
        <w:t>stop-over rule</w:t>
      </w:r>
      <w:r w:rsidR="00301074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which provides that if a</w:t>
      </w:r>
      <w:r w:rsidR="00301074">
        <w:rPr>
          <w:rFonts w:ascii="Times New Roman" w:hAnsi="Times New Roman"/>
          <w:sz w:val="24"/>
          <w:szCs w:val="24"/>
        </w:rPr>
        <w:t xml:space="preserve">n eligible traveller </w:t>
      </w:r>
      <w:r>
        <w:rPr>
          <w:rFonts w:ascii="Times New Roman" w:hAnsi="Times New Roman"/>
          <w:sz w:val="24"/>
          <w:szCs w:val="24"/>
        </w:rPr>
        <w:t xml:space="preserve">has a stop-over </w:t>
      </w:r>
      <w:r w:rsidR="00C74818">
        <w:rPr>
          <w:rFonts w:ascii="Times New Roman" w:hAnsi="Times New Roman"/>
          <w:sz w:val="24"/>
          <w:szCs w:val="24"/>
        </w:rPr>
        <w:t xml:space="preserve">during a domestic return trip </w:t>
      </w:r>
      <w:r>
        <w:rPr>
          <w:rFonts w:ascii="Times New Roman" w:hAnsi="Times New Roman"/>
          <w:sz w:val="24"/>
          <w:szCs w:val="24"/>
        </w:rPr>
        <w:t xml:space="preserve">that is longer than 24 hours, </w:t>
      </w:r>
      <w:r w:rsidR="00C74818">
        <w:rPr>
          <w:rFonts w:ascii="Times New Roman" w:hAnsi="Times New Roman"/>
          <w:sz w:val="24"/>
          <w:szCs w:val="24"/>
        </w:rPr>
        <w:t xml:space="preserve">the traveller is taken to have completed an additional </w:t>
      </w:r>
      <w:r>
        <w:rPr>
          <w:rFonts w:ascii="Times New Roman" w:hAnsi="Times New Roman"/>
          <w:sz w:val="24"/>
          <w:szCs w:val="24"/>
        </w:rPr>
        <w:t xml:space="preserve">0.5 domestic return trips </w:t>
      </w:r>
      <w:r w:rsidR="00C74818">
        <w:rPr>
          <w:rFonts w:ascii="Times New Roman" w:hAnsi="Times New Roman"/>
          <w:sz w:val="24"/>
          <w:szCs w:val="24"/>
        </w:rPr>
        <w:t>(that is the travel is counted as 1.5 domestic return</w:t>
      </w:r>
      <w:r>
        <w:rPr>
          <w:rFonts w:ascii="Times New Roman" w:hAnsi="Times New Roman"/>
          <w:sz w:val="24"/>
          <w:szCs w:val="24"/>
        </w:rPr>
        <w:t xml:space="preserve"> trips</w:t>
      </w:r>
      <w:r w:rsidR="00C7481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Section 4 of the Act provides that a ‘stop-over’ means a ‘stop-over in the forward or return part of the trip’. </w:t>
      </w:r>
    </w:p>
    <w:p w14:paraId="1C400475" w14:textId="274DEAB5" w:rsidR="00410830" w:rsidRDefault="00410830" w:rsidP="007D476B">
      <w:pPr>
        <w:spacing w:before="24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Subparagraphs 21(c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="004F5061">
        <w:rPr>
          <w:rFonts w:ascii="Times New Roman" w:hAnsi="Times New Roman"/>
          <w:sz w:val="24"/>
          <w:szCs w:val="24"/>
        </w:rPr>
        <w:t>(</w:t>
      </w:r>
      <w:proofErr w:type="gramEnd"/>
      <w:r w:rsidR="004F5061">
        <w:rPr>
          <w:rFonts w:ascii="Times New Roman" w:hAnsi="Times New Roman"/>
          <w:sz w:val="24"/>
          <w:szCs w:val="24"/>
        </w:rPr>
        <w:t>ii) and 22(d</w:t>
      </w:r>
      <w:r>
        <w:rPr>
          <w:rFonts w:ascii="Times New Roman" w:hAnsi="Times New Roman"/>
          <w:sz w:val="24"/>
          <w:szCs w:val="24"/>
        </w:rPr>
        <w:t xml:space="preserve">)(ii) of the Act allow regulations to declare ‘exceptional circumstances’ which are exempt from the stop-over rule. Section 35 of the Act provides that the Governor-General may make regulations required or permitted by the Act. </w:t>
      </w:r>
    </w:p>
    <w:p w14:paraId="5D5F1018" w14:textId="7A8E2BF9" w:rsidR="0062689A" w:rsidRDefault="00410830" w:rsidP="0062689A">
      <w:pPr>
        <w:spacing w:before="24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301074">
        <w:rPr>
          <w:rFonts w:ascii="Times New Roman" w:hAnsi="Times New Roman"/>
          <w:i/>
          <w:sz w:val="24"/>
          <w:szCs w:val="24"/>
        </w:rPr>
        <w:t xml:space="preserve">Parliamentary Retirement Travel Regulations 2018 </w:t>
      </w:r>
      <w:r w:rsidR="00301074">
        <w:rPr>
          <w:rFonts w:ascii="Times New Roman" w:hAnsi="Times New Roman"/>
          <w:sz w:val="24"/>
          <w:szCs w:val="24"/>
        </w:rPr>
        <w:t xml:space="preserve">(the </w:t>
      </w:r>
      <w:r>
        <w:rPr>
          <w:rFonts w:ascii="Times New Roman" w:hAnsi="Times New Roman"/>
          <w:sz w:val="24"/>
          <w:szCs w:val="24"/>
        </w:rPr>
        <w:t>Regulations</w:t>
      </w:r>
      <w:r w:rsidR="0030107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repeal and replace the </w:t>
      </w:r>
      <w:r>
        <w:rPr>
          <w:rFonts w:ascii="Times New Roman" w:hAnsi="Times New Roman"/>
          <w:i/>
          <w:sz w:val="24"/>
          <w:szCs w:val="24"/>
        </w:rPr>
        <w:t xml:space="preserve">Members of Parliament (Life Gold Pass) Regulations 2002 </w:t>
      </w:r>
      <w:r>
        <w:rPr>
          <w:rFonts w:ascii="Times New Roman" w:hAnsi="Times New Roman"/>
          <w:sz w:val="24"/>
          <w:szCs w:val="24"/>
        </w:rPr>
        <w:t>(LGP Regulations)</w:t>
      </w:r>
      <w:r w:rsidR="00A34A6F">
        <w:rPr>
          <w:rFonts w:ascii="Times New Roman" w:hAnsi="Times New Roman"/>
          <w:sz w:val="24"/>
          <w:szCs w:val="24"/>
        </w:rPr>
        <w:t xml:space="preserve"> which were due to sunset on 1 October 2019. </w:t>
      </w:r>
      <w:r w:rsidR="0062689A">
        <w:rPr>
          <w:rFonts w:ascii="Times New Roman" w:hAnsi="Times New Roman"/>
          <w:sz w:val="24"/>
          <w:szCs w:val="24"/>
        </w:rPr>
        <w:t>The LGP Regulations previously declared two broad categories of exceptional circumstances for the purposes of subparagraphs 21(c</w:t>
      </w:r>
      <w:proofErr w:type="gramStart"/>
      <w:r w:rsidR="0062689A">
        <w:rPr>
          <w:rFonts w:ascii="Times New Roman" w:hAnsi="Times New Roman"/>
          <w:sz w:val="24"/>
          <w:szCs w:val="24"/>
        </w:rPr>
        <w:t>)(</w:t>
      </w:r>
      <w:proofErr w:type="gramEnd"/>
      <w:r w:rsidR="0062689A">
        <w:rPr>
          <w:rFonts w:ascii="Times New Roman" w:hAnsi="Times New Roman"/>
          <w:sz w:val="24"/>
          <w:szCs w:val="24"/>
        </w:rPr>
        <w:t xml:space="preserve">ii), 22(d)(ii), 23(d)(ii), and 24(c)(ii) of the Act. These categories were health reasons (where an injury or illness prevents travel from being undertaken within 24 hours </w:t>
      </w:r>
      <w:r w:rsidR="00412FC9">
        <w:rPr>
          <w:rFonts w:ascii="Times New Roman" w:hAnsi="Times New Roman"/>
          <w:sz w:val="24"/>
          <w:szCs w:val="24"/>
        </w:rPr>
        <w:t xml:space="preserve">after </w:t>
      </w:r>
      <w:r w:rsidR="0062689A">
        <w:rPr>
          <w:rFonts w:ascii="Times New Roman" w:hAnsi="Times New Roman"/>
          <w:sz w:val="24"/>
          <w:szCs w:val="24"/>
        </w:rPr>
        <w:t>the beginning of the stop</w:t>
      </w:r>
      <w:r w:rsidR="00606BF1">
        <w:rPr>
          <w:rFonts w:ascii="Times New Roman" w:hAnsi="Times New Roman"/>
          <w:sz w:val="24"/>
          <w:szCs w:val="24"/>
        </w:rPr>
        <w:noBreakHyphen/>
      </w:r>
      <w:r w:rsidR="0062689A">
        <w:rPr>
          <w:rFonts w:ascii="Times New Roman" w:hAnsi="Times New Roman"/>
          <w:sz w:val="24"/>
          <w:szCs w:val="24"/>
        </w:rPr>
        <w:t xml:space="preserve">over) and transport reasons (where a delay or cancellation in a scheduled transport service prevents travel from being undertaken within 24 hours </w:t>
      </w:r>
      <w:r w:rsidR="00412FC9">
        <w:rPr>
          <w:rFonts w:ascii="Times New Roman" w:hAnsi="Times New Roman"/>
          <w:sz w:val="24"/>
          <w:szCs w:val="24"/>
        </w:rPr>
        <w:t xml:space="preserve">after </w:t>
      </w:r>
      <w:r w:rsidR="0062689A">
        <w:rPr>
          <w:rFonts w:ascii="Times New Roman" w:hAnsi="Times New Roman"/>
          <w:sz w:val="24"/>
          <w:szCs w:val="24"/>
        </w:rPr>
        <w:t>the beginning of the stop</w:t>
      </w:r>
      <w:r w:rsidR="00606BF1">
        <w:rPr>
          <w:rFonts w:ascii="Times New Roman" w:hAnsi="Times New Roman"/>
          <w:sz w:val="24"/>
          <w:szCs w:val="24"/>
        </w:rPr>
        <w:noBreakHyphen/>
      </w:r>
      <w:r w:rsidR="0062689A">
        <w:rPr>
          <w:rFonts w:ascii="Times New Roman" w:hAnsi="Times New Roman"/>
          <w:sz w:val="24"/>
          <w:szCs w:val="24"/>
        </w:rPr>
        <w:t xml:space="preserve">over). </w:t>
      </w:r>
    </w:p>
    <w:p w14:paraId="7381D79E" w14:textId="258612AC" w:rsidR="00570C08" w:rsidRDefault="00751D65" w:rsidP="00122FB5">
      <w:pPr>
        <w:spacing w:before="240" w:after="12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Consistent with the </w:t>
      </w:r>
      <w:r>
        <w:rPr>
          <w:rFonts w:ascii="Times New Roman" w:hAnsi="Times New Roman"/>
          <w:i/>
          <w:sz w:val="24"/>
          <w:szCs w:val="24"/>
        </w:rPr>
        <w:t xml:space="preserve">Guide to Managing </w:t>
      </w:r>
      <w:proofErr w:type="spellStart"/>
      <w:r>
        <w:rPr>
          <w:rFonts w:ascii="Times New Roman" w:hAnsi="Times New Roman"/>
          <w:i/>
          <w:sz w:val="24"/>
          <w:szCs w:val="24"/>
        </w:rPr>
        <w:t>Sunsetting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of Legislative Instruments </w:t>
      </w:r>
      <w:r>
        <w:rPr>
          <w:rFonts w:ascii="Times New Roman" w:hAnsi="Times New Roman"/>
          <w:sz w:val="24"/>
          <w:szCs w:val="24"/>
        </w:rPr>
        <w:t>issued by the Attorney-General’s Department, the Department of Finance conduc</w:t>
      </w:r>
      <w:r w:rsidR="00122FB5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d a review of the LGP</w:t>
      </w:r>
      <w:r w:rsidR="00570C0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Regulations to determine if th</w:t>
      </w:r>
      <w:r w:rsidR="00570C08">
        <w:rPr>
          <w:rFonts w:ascii="Times New Roman" w:hAnsi="Times New Roman"/>
          <w:sz w:val="24"/>
          <w:szCs w:val="24"/>
        </w:rPr>
        <w:t>ose</w:t>
      </w:r>
      <w:r>
        <w:rPr>
          <w:rFonts w:ascii="Times New Roman" w:hAnsi="Times New Roman"/>
          <w:sz w:val="24"/>
          <w:szCs w:val="24"/>
        </w:rPr>
        <w:t xml:space="preserve"> regulations were still necessary</w:t>
      </w:r>
      <w:r w:rsidR="00570C08">
        <w:rPr>
          <w:rFonts w:ascii="Times New Roman" w:hAnsi="Times New Roman"/>
          <w:sz w:val="24"/>
          <w:szCs w:val="24"/>
        </w:rPr>
        <w:t xml:space="preserve"> and, if so,</w:t>
      </w:r>
      <w:r>
        <w:rPr>
          <w:rFonts w:ascii="Times New Roman" w:hAnsi="Times New Roman"/>
          <w:sz w:val="24"/>
          <w:szCs w:val="24"/>
        </w:rPr>
        <w:t xml:space="preserve"> fit</w:t>
      </w:r>
      <w:r w:rsidR="00570C08"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</w:rPr>
        <w:t>for</w:t>
      </w:r>
      <w:r w:rsidR="00570C08"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</w:rPr>
        <w:t xml:space="preserve">purpose. </w:t>
      </w:r>
      <w:r w:rsidR="003665EC" w:rsidRPr="003665EC">
        <w:rPr>
          <w:rFonts w:ascii="Times New Roman" w:eastAsia="Times New Roman" w:hAnsi="Times New Roman"/>
          <w:sz w:val="24"/>
          <w:szCs w:val="20"/>
        </w:rPr>
        <w:t xml:space="preserve">The </w:t>
      </w:r>
      <w:r w:rsidR="00570C08">
        <w:rPr>
          <w:rFonts w:ascii="Times New Roman" w:eastAsia="Times New Roman" w:hAnsi="Times New Roman"/>
          <w:sz w:val="24"/>
          <w:szCs w:val="20"/>
        </w:rPr>
        <w:t>report from the review</w:t>
      </w:r>
      <w:r w:rsidR="003665EC" w:rsidRPr="003665EC">
        <w:rPr>
          <w:rFonts w:ascii="Times New Roman" w:eastAsia="Times New Roman" w:hAnsi="Times New Roman"/>
          <w:sz w:val="24"/>
          <w:szCs w:val="20"/>
        </w:rPr>
        <w:t xml:space="preserve"> recommended that the LGP Regulations be </w:t>
      </w:r>
      <w:r w:rsidR="003665EC" w:rsidRPr="003665EC">
        <w:rPr>
          <w:rFonts w:ascii="Times New Roman" w:eastAsia="Times New Roman" w:hAnsi="Times New Roman"/>
          <w:sz w:val="24"/>
          <w:szCs w:val="20"/>
        </w:rPr>
        <w:lastRenderedPageBreak/>
        <w:t xml:space="preserve">remade, as it </w:t>
      </w:r>
      <w:r w:rsidR="00570C08">
        <w:rPr>
          <w:rFonts w:ascii="Times New Roman" w:eastAsia="Times New Roman" w:hAnsi="Times New Roman"/>
          <w:sz w:val="24"/>
          <w:szCs w:val="20"/>
        </w:rPr>
        <w:t>is</w:t>
      </w:r>
      <w:r w:rsidR="003665EC" w:rsidRPr="003665EC">
        <w:rPr>
          <w:rFonts w:ascii="Times New Roman" w:eastAsia="Times New Roman" w:hAnsi="Times New Roman"/>
          <w:sz w:val="24"/>
          <w:szCs w:val="20"/>
        </w:rPr>
        <w:t xml:space="preserve"> appropriate that exemptions for health and transport reasons continue to be provided so that eligible travellers are not penalised </w:t>
      </w:r>
      <w:r w:rsidR="00C81CA8">
        <w:rPr>
          <w:rFonts w:ascii="Times New Roman" w:eastAsia="Times New Roman" w:hAnsi="Times New Roman"/>
          <w:sz w:val="24"/>
          <w:szCs w:val="20"/>
        </w:rPr>
        <w:t>in</w:t>
      </w:r>
      <w:r w:rsidR="003665EC" w:rsidRPr="003665EC">
        <w:rPr>
          <w:rFonts w:ascii="Times New Roman" w:eastAsia="Times New Roman" w:hAnsi="Times New Roman"/>
          <w:sz w:val="24"/>
          <w:szCs w:val="20"/>
        </w:rPr>
        <w:t xml:space="preserve"> situations that are effectively beyond their control. </w:t>
      </w:r>
    </w:p>
    <w:p w14:paraId="0BF342FF" w14:textId="1738A796" w:rsidR="00751D65" w:rsidRDefault="00122FB5" w:rsidP="00122FB5">
      <w:pPr>
        <w:spacing w:before="24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However, the report determined that the LGP Regulations should be remade with the following minor technical and policy amendments:</w:t>
      </w:r>
    </w:p>
    <w:p w14:paraId="106C9586" w14:textId="467F70F1" w:rsidR="002A007A" w:rsidRDefault="00C66654" w:rsidP="002A007A">
      <w:pPr>
        <w:pStyle w:val="ListParagraph"/>
        <w:numPr>
          <w:ilvl w:val="0"/>
          <w:numId w:val="27"/>
        </w:numPr>
        <w:spacing w:before="240" w:after="120"/>
        <w:rPr>
          <w:szCs w:val="24"/>
        </w:rPr>
      </w:pPr>
      <w:r>
        <w:rPr>
          <w:szCs w:val="24"/>
        </w:rPr>
        <w:t>changes to the name of the regulations to</w:t>
      </w:r>
      <w:r w:rsidR="002A007A">
        <w:rPr>
          <w:szCs w:val="24"/>
        </w:rPr>
        <w:t xml:space="preserve"> reflect the name change of the Act</w:t>
      </w:r>
    </w:p>
    <w:p w14:paraId="0E651DE9" w14:textId="09B31200" w:rsidR="002A007A" w:rsidRDefault="002A007A" w:rsidP="002A007A">
      <w:pPr>
        <w:pStyle w:val="ListParagraph"/>
        <w:numPr>
          <w:ilvl w:val="0"/>
          <w:numId w:val="27"/>
        </w:numPr>
        <w:spacing w:before="240" w:after="120"/>
        <w:rPr>
          <w:szCs w:val="24"/>
        </w:rPr>
      </w:pPr>
      <w:r>
        <w:rPr>
          <w:szCs w:val="24"/>
        </w:rPr>
        <w:t xml:space="preserve">references to the </w:t>
      </w:r>
      <w:r>
        <w:rPr>
          <w:i/>
          <w:szCs w:val="24"/>
        </w:rPr>
        <w:t xml:space="preserve">Members of Parliament (Life Gold Pass) Act 2002 </w:t>
      </w:r>
      <w:r>
        <w:rPr>
          <w:szCs w:val="24"/>
        </w:rPr>
        <w:t xml:space="preserve">updated to the </w:t>
      </w:r>
      <w:r>
        <w:rPr>
          <w:i/>
          <w:szCs w:val="24"/>
        </w:rPr>
        <w:t xml:space="preserve">Parliamentary Retirement Travel Act 2002 </w:t>
      </w:r>
      <w:r w:rsidR="00C66654">
        <w:rPr>
          <w:szCs w:val="24"/>
        </w:rPr>
        <w:t>to reflect the name change of the Act</w:t>
      </w:r>
    </w:p>
    <w:p w14:paraId="4D395EE7" w14:textId="09267F1F" w:rsidR="002A007A" w:rsidRDefault="002A007A" w:rsidP="009D609B">
      <w:pPr>
        <w:pStyle w:val="ListParagraph"/>
        <w:numPr>
          <w:ilvl w:val="0"/>
          <w:numId w:val="27"/>
        </w:numPr>
        <w:spacing w:before="240" w:after="120"/>
        <w:rPr>
          <w:szCs w:val="24"/>
        </w:rPr>
      </w:pPr>
      <w:r>
        <w:rPr>
          <w:szCs w:val="24"/>
        </w:rPr>
        <w:t>references to section</w:t>
      </w:r>
      <w:r w:rsidR="00C66654">
        <w:rPr>
          <w:szCs w:val="24"/>
        </w:rPr>
        <w:t>s</w:t>
      </w:r>
      <w:r>
        <w:rPr>
          <w:szCs w:val="24"/>
        </w:rPr>
        <w:t xml:space="preserve"> 23 and 24 of the Act removed to </w:t>
      </w:r>
      <w:r w:rsidR="00C55D1D">
        <w:rPr>
          <w:szCs w:val="24"/>
        </w:rPr>
        <w:t>recognise their</w:t>
      </w:r>
      <w:r>
        <w:rPr>
          <w:szCs w:val="24"/>
        </w:rPr>
        <w:t xml:space="preserve"> repeal from the Act</w:t>
      </w:r>
    </w:p>
    <w:p w14:paraId="4318C80F" w14:textId="1E181020" w:rsidR="002A007A" w:rsidRDefault="002A007A" w:rsidP="009D609B">
      <w:pPr>
        <w:pStyle w:val="ListParagraph"/>
        <w:numPr>
          <w:ilvl w:val="0"/>
          <w:numId w:val="27"/>
        </w:numPr>
        <w:spacing w:before="240" w:after="120"/>
        <w:rPr>
          <w:szCs w:val="24"/>
        </w:rPr>
      </w:pPr>
      <w:r>
        <w:rPr>
          <w:szCs w:val="24"/>
        </w:rPr>
        <w:t>reference</w:t>
      </w:r>
      <w:r w:rsidR="00C55D1D">
        <w:rPr>
          <w:szCs w:val="24"/>
        </w:rPr>
        <w:t>s</w:t>
      </w:r>
      <w:r>
        <w:rPr>
          <w:szCs w:val="24"/>
        </w:rPr>
        <w:t xml:space="preserve"> to ‘members’ and the spouse or de facto partner of a member removed in recognition of the closure of the PRT Entitlement to members other than </w:t>
      </w:r>
      <w:r w:rsidR="00706174">
        <w:rPr>
          <w:szCs w:val="24"/>
        </w:rPr>
        <w:t xml:space="preserve">eligible </w:t>
      </w:r>
      <w:r>
        <w:rPr>
          <w:szCs w:val="24"/>
        </w:rPr>
        <w:t>former Prime Ministers and their spouse or de f</w:t>
      </w:r>
      <w:r w:rsidR="00C55D1D">
        <w:rPr>
          <w:szCs w:val="24"/>
        </w:rPr>
        <w:t>acto partner</w:t>
      </w:r>
    </w:p>
    <w:p w14:paraId="37C5B24A" w14:textId="70CBBB79" w:rsidR="00706174" w:rsidRDefault="00C55D1D" w:rsidP="00D3632F">
      <w:pPr>
        <w:pStyle w:val="ListParagraph"/>
        <w:numPr>
          <w:ilvl w:val="0"/>
          <w:numId w:val="27"/>
        </w:numPr>
        <w:spacing w:before="240" w:after="120"/>
        <w:rPr>
          <w:szCs w:val="24"/>
        </w:rPr>
      </w:pPr>
      <w:r w:rsidRPr="00706174">
        <w:rPr>
          <w:szCs w:val="24"/>
        </w:rPr>
        <w:t>r</w:t>
      </w:r>
      <w:r w:rsidR="002A007A" w:rsidRPr="00706174">
        <w:rPr>
          <w:szCs w:val="24"/>
        </w:rPr>
        <w:t xml:space="preserve">eferences to ‘Life Gold Pass’ removed in recognition of the name change of the </w:t>
      </w:r>
      <w:r w:rsidR="00706174" w:rsidRPr="00706174">
        <w:rPr>
          <w:szCs w:val="24"/>
        </w:rPr>
        <w:t>PRT E</w:t>
      </w:r>
      <w:r w:rsidR="002A007A" w:rsidRPr="00706174">
        <w:rPr>
          <w:szCs w:val="24"/>
        </w:rPr>
        <w:t>ntitlement</w:t>
      </w:r>
    </w:p>
    <w:p w14:paraId="3E1A0F7E" w14:textId="22BB3435" w:rsidR="002A007A" w:rsidRPr="00706174" w:rsidRDefault="00706174" w:rsidP="00D3632F">
      <w:pPr>
        <w:pStyle w:val="ListParagraph"/>
        <w:numPr>
          <w:ilvl w:val="0"/>
          <w:numId w:val="27"/>
        </w:numPr>
        <w:spacing w:before="240" w:after="120"/>
        <w:rPr>
          <w:szCs w:val="24"/>
        </w:rPr>
      </w:pPr>
      <w:r>
        <w:rPr>
          <w:szCs w:val="24"/>
        </w:rPr>
        <w:t xml:space="preserve">replace the </w:t>
      </w:r>
      <w:r w:rsidR="00C55D1D" w:rsidRPr="00706174">
        <w:rPr>
          <w:szCs w:val="24"/>
        </w:rPr>
        <w:t>requirement to provide evidence to the Minister with a requirement to provide evidence to the administrator of the PRT Entitlement to better reflect current adminis</w:t>
      </w:r>
      <w:r w:rsidR="00644DAD" w:rsidRPr="00706174">
        <w:rPr>
          <w:szCs w:val="24"/>
        </w:rPr>
        <w:t>trative practices</w:t>
      </w:r>
      <w:r>
        <w:rPr>
          <w:szCs w:val="24"/>
        </w:rPr>
        <w:t xml:space="preserve"> in the parliamentary work expenses framework</w:t>
      </w:r>
      <w:r w:rsidR="00644DAD" w:rsidRPr="00706174">
        <w:rPr>
          <w:szCs w:val="24"/>
        </w:rPr>
        <w:t>, and</w:t>
      </w:r>
    </w:p>
    <w:p w14:paraId="22D434D6" w14:textId="5FB16AA0" w:rsidR="00644DAD" w:rsidRPr="002A007A" w:rsidRDefault="00644DAD" w:rsidP="009D609B">
      <w:pPr>
        <w:pStyle w:val="ListParagraph"/>
        <w:numPr>
          <w:ilvl w:val="0"/>
          <w:numId w:val="27"/>
        </w:numPr>
        <w:spacing w:before="240" w:after="120"/>
        <w:rPr>
          <w:szCs w:val="24"/>
        </w:rPr>
      </w:pPr>
      <w:proofErr w:type="gramStart"/>
      <w:r>
        <w:rPr>
          <w:szCs w:val="24"/>
        </w:rPr>
        <w:t>updates</w:t>
      </w:r>
      <w:proofErr w:type="gramEnd"/>
      <w:r>
        <w:rPr>
          <w:szCs w:val="24"/>
        </w:rPr>
        <w:t xml:space="preserve"> to current drafting practices and style. </w:t>
      </w:r>
    </w:p>
    <w:p w14:paraId="2922A976" w14:textId="77777777" w:rsidR="00BD55C1" w:rsidRDefault="00143A54" w:rsidP="009D609B">
      <w:pPr>
        <w:spacing w:before="240"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Details of the Regulations are set out at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Attachment A</w:t>
      </w:r>
      <w:r>
        <w:rPr>
          <w:rFonts w:ascii="Times New Roman" w:hAnsi="Times New Roman"/>
          <w:color w:val="000000"/>
          <w:sz w:val="24"/>
          <w:szCs w:val="24"/>
        </w:rPr>
        <w:t xml:space="preserve">. A Statement of Compatibility with Human Rights is at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Attachment B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922A977" w14:textId="77777777" w:rsidR="00BD55C1" w:rsidRDefault="00143A54" w:rsidP="009D609B">
      <w:pPr>
        <w:spacing w:before="240"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Regulations are a legislative instrument for the purposes of the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Legislation Act 2003.  </w:t>
      </w:r>
    </w:p>
    <w:p w14:paraId="2922A978" w14:textId="77777777" w:rsidR="00BD55C1" w:rsidRDefault="00143A54" w:rsidP="009D609B">
      <w:pPr>
        <w:keepNext/>
        <w:spacing w:before="240"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Commencement</w:t>
      </w:r>
    </w:p>
    <w:p w14:paraId="2922A979" w14:textId="77777777" w:rsidR="00BD55C1" w:rsidRDefault="00143A54" w:rsidP="009D609B">
      <w:pPr>
        <w:keepNext/>
        <w:spacing w:before="240"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Regulations commence on the day after registration on the Federal Register of Legislation.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922A97A" w14:textId="129BD09D" w:rsidR="00BD55C1" w:rsidRDefault="00143A54" w:rsidP="009D609B">
      <w:pPr>
        <w:spacing w:before="240"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Consultation </w:t>
      </w:r>
    </w:p>
    <w:p w14:paraId="2922A97B" w14:textId="38E87313" w:rsidR="00BD55C1" w:rsidRDefault="00143A54" w:rsidP="009D609B">
      <w:pPr>
        <w:spacing w:before="24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relation to section 17 of the </w:t>
      </w:r>
      <w:r>
        <w:rPr>
          <w:rFonts w:ascii="Times New Roman" w:hAnsi="Times New Roman"/>
          <w:i/>
          <w:iCs/>
          <w:sz w:val="24"/>
          <w:szCs w:val="24"/>
        </w:rPr>
        <w:t>Legislation Act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2003</w:t>
      </w:r>
      <w:r>
        <w:rPr>
          <w:rFonts w:ascii="Times New Roman" w:hAnsi="Times New Roman"/>
          <w:sz w:val="24"/>
          <w:szCs w:val="24"/>
        </w:rPr>
        <w:t xml:space="preserve">, consultation was undertaken with the </w:t>
      </w:r>
      <w:r w:rsidR="007D476B">
        <w:rPr>
          <w:rFonts w:ascii="Times New Roman" w:hAnsi="Times New Roman"/>
          <w:sz w:val="24"/>
          <w:szCs w:val="24"/>
        </w:rPr>
        <w:t>Independent Parliame</w:t>
      </w:r>
      <w:r w:rsidR="00706174">
        <w:rPr>
          <w:rFonts w:ascii="Times New Roman" w:hAnsi="Times New Roman"/>
          <w:sz w:val="24"/>
          <w:szCs w:val="24"/>
        </w:rPr>
        <w:t xml:space="preserve">ntary Expenses Authority (IPEA) </w:t>
      </w:r>
      <w:r w:rsidR="007D476B">
        <w:rPr>
          <w:rFonts w:ascii="Times New Roman" w:hAnsi="Times New Roman"/>
          <w:sz w:val="24"/>
          <w:szCs w:val="24"/>
        </w:rPr>
        <w:t xml:space="preserve">who administer </w:t>
      </w:r>
      <w:r w:rsidR="00415572">
        <w:rPr>
          <w:rFonts w:ascii="Times New Roman" w:hAnsi="Times New Roman"/>
          <w:sz w:val="24"/>
          <w:szCs w:val="24"/>
        </w:rPr>
        <w:t>the PRT Entitlement</w:t>
      </w:r>
      <w:r w:rsidR="00706174">
        <w:rPr>
          <w:rFonts w:ascii="Times New Roman" w:hAnsi="Times New Roman"/>
          <w:sz w:val="24"/>
          <w:szCs w:val="24"/>
        </w:rPr>
        <w:t>. IPEA supports the recommendations of the review report and the text of the new Regulations. Further consultation was</w:t>
      </w:r>
      <w:r>
        <w:rPr>
          <w:rFonts w:ascii="Times New Roman" w:hAnsi="Times New Roman"/>
          <w:sz w:val="24"/>
          <w:szCs w:val="24"/>
        </w:rPr>
        <w:t xml:space="preserve"> not considered necessary or appropriate as the </w:t>
      </w:r>
      <w:r w:rsidR="00415572">
        <w:rPr>
          <w:rFonts w:ascii="Times New Roman" w:hAnsi="Times New Roman"/>
          <w:sz w:val="24"/>
          <w:szCs w:val="24"/>
        </w:rPr>
        <w:t xml:space="preserve">Regulations effectively mirror existing arrangements without substantive amendment. </w:t>
      </w:r>
    </w:p>
    <w:p w14:paraId="5B99D91A" w14:textId="4D8E5DC7" w:rsidR="00CD0295" w:rsidRPr="00CD0295" w:rsidRDefault="00CD0295" w:rsidP="009D609B">
      <w:pPr>
        <w:spacing w:before="24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Regulatory Impact Statement</w:t>
      </w:r>
    </w:p>
    <w:p w14:paraId="2922A97C" w14:textId="0C17D5E9" w:rsidR="00BD55C1" w:rsidRDefault="00143A54" w:rsidP="009D609B">
      <w:pPr>
        <w:spacing w:before="24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Office of Best Practice Regulation (OBPR) has agreed that proposals such as these have no regulatory impact on businesses, individuals or organisations and therefore the regulatory costs are nil. </w:t>
      </w:r>
      <w:r w:rsidR="00415572">
        <w:rPr>
          <w:rFonts w:ascii="Times New Roman" w:hAnsi="Times New Roman"/>
          <w:sz w:val="24"/>
          <w:szCs w:val="24"/>
        </w:rPr>
        <w:t>Consequently,</w:t>
      </w:r>
      <w:r w:rsidR="007D476B">
        <w:rPr>
          <w:rFonts w:ascii="Times New Roman" w:hAnsi="Times New Roman"/>
          <w:sz w:val="24"/>
          <w:szCs w:val="24"/>
        </w:rPr>
        <w:t xml:space="preserve"> OBPR has advised that a RIS is not required</w:t>
      </w:r>
      <w:r w:rsidR="00415572">
        <w:rPr>
          <w:rFonts w:ascii="Times New Roman" w:hAnsi="Times New Roman"/>
          <w:sz w:val="24"/>
          <w:szCs w:val="24"/>
        </w:rPr>
        <w:t>.</w:t>
      </w:r>
      <w:r w:rsidR="007D47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OBPR ID Number:</w:t>
      </w:r>
      <w:r w:rsidR="002B22CB">
        <w:rPr>
          <w:rFonts w:ascii="Times New Roman" w:hAnsi="Times New Roman"/>
          <w:sz w:val="24"/>
          <w:szCs w:val="24"/>
        </w:rPr>
        <w:t> </w:t>
      </w:r>
      <w:r w:rsidR="007D476B">
        <w:rPr>
          <w:rFonts w:ascii="Times New Roman" w:hAnsi="Times New Roman"/>
          <w:sz w:val="24"/>
          <w:szCs w:val="24"/>
        </w:rPr>
        <w:t>23811</w:t>
      </w:r>
      <w:r>
        <w:rPr>
          <w:rFonts w:ascii="Times New Roman" w:hAnsi="Times New Roman"/>
          <w:sz w:val="24"/>
          <w:szCs w:val="24"/>
        </w:rPr>
        <w:t>.</w:t>
      </w:r>
    </w:p>
    <w:p w14:paraId="2922A97D" w14:textId="77777777" w:rsidR="006818C0" w:rsidRPr="00122705" w:rsidRDefault="002B22CB" w:rsidP="009D609B">
      <w:pPr>
        <w:pStyle w:val="ParaNumbering"/>
        <w:tabs>
          <w:tab w:val="clear" w:pos="360"/>
          <w:tab w:val="clear" w:pos="567"/>
        </w:tabs>
        <w:spacing w:after="120" w:line="240" w:lineRule="auto"/>
        <w:contextualSpacing/>
        <w:rPr>
          <w:bCs/>
          <w:color w:val="000000" w:themeColor="text1"/>
          <w:szCs w:val="24"/>
          <w:highlight w:val="yellow"/>
        </w:rPr>
      </w:pPr>
    </w:p>
    <w:p w14:paraId="2922A97E" w14:textId="77777777" w:rsidR="00B044BA" w:rsidRDefault="00143A54" w:rsidP="009D609B">
      <w:pPr>
        <w:spacing w:after="120"/>
        <w:contextualSpacing/>
        <w:rPr>
          <w:rFonts w:ascii="Times New Roman" w:hAnsi="Times New Roman"/>
          <w:iCs/>
          <w:sz w:val="24"/>
          <w:szCs w:val="24"/>
        </w:rPr>
      </w:pPr>
      <w:r w:rsidRPr="009932DB">
        <w:rPr>
          <w:rFonts w:ascii="Times New Roman" w:hAnsi="Times New Roman"/>
          <w:iCs/>
          <w:sz w:val="24"/>
          <w:szCs w:val="24"/>
        </w:rPr>
        <w:t xml:space="preserve"> </w:t>
      </w:r>
    </w:p>
    <w:p w14:paraId="2922A97F" w14:textId="77777777" w:rsidR="00B044BA" w:rsidRDefault="002B22CB" w:rsidP="009D609B">
      <w:pPr>
        <w:spacing w:after="120"/>
        <w:contextualSpacing/>
        <w:rPr>
          <w:rFonts w:ascii="Times New Roman" w:hAnsi="Times New Roman"/>
          <w:iCs/>
          <w:sz w:val="24"/>
          <w:szCs w:val="24"/>
        </w:rPr>
      </w:pPr>
    </w:p>
    <w:p w14:paraId="2922A980" w14:textId="77777777" w:rsidR="006818C0" w:rsidRPr="009932DB" w:rsidRDefault="00143A54" w:rsidP="009D609B">
      <w:pPr>
        <w:spacing w:after="120"/>
        <w:contextualSpacing/>
        <w:rPr>
          <w:rFonts w:ascii="Times New Roman" w:hAnsi="Times New Roman"/>
          <w:color w:val="000000" w:themeColor="text1"/>
          <w:sz w:val="24"/>
          <w:szCs w:val="24"/>
        </w:rPr>
        <w:sectPr w:rsidR="006818C0" w:rsidRPr="009932DB" w:rsidSect="004D676F">
          <w:headerReference w:type="default" r:id="rId11"/>
          <w:headerReference w:type="first" r:id="rId12"/>
          <w:pgSz w:w="11906" w:h="16838"/>
          <w:pgMar w:top="1418" w:right="1440" w:bottom="1332" w:left="1440" w:header="709" w:footer="709" w:gutter="0"/>
          <w:pgNumType w:start="1"/>
          <w:cols w:space="708"/>
          <w:titlePg/>
          <w:docGrid w:linePitch="360"/>
        </w:sectPr>
      </w:pPr>
      <w:r w:rsidRPr="009932DB">
        <w:rPr>
          <w:rFonts w:ascii="Times New Roman" w:hAnsi="Times New Roman"/>
          <w:iCs/>
          <w:sz w:val="24"/>
          <w:szCs w:val="24"/>
        </w:rPr>
        <w:t xml:space="preserve"> </w:t>
      </w:r>
    </w:p>
    <w:p w14:paraId="2922A981" w14:textId="58DBA54A" w:rsidR="00BD55C1" w:rsidRDefault="00143A54" w:rsidP="00BD55C1">
      <w:pPr>
        <w:spacing w:after="120"/>
        <w:contextualSpacing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 xml:space="preserve">Details of the </w:t>
      </w:r>
      <w:r w:rsidR="00CD225B"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</w:rPr>
        <w:t>Parliamentary Retirement Travel Regulations 2018</w:t>
      </w:r>
    </w:p>
    <w:p w14:paraId="2922A982" w14:textId="77777777" w:rsidR="00BD55C1" w:rsidRDefault="002B22CB" w:rsidP="00BD55C1">
      <w:pPr>
        <w:spacing w:after="120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2922A983" w14:textId="77777777" w:rsidR="00BD55C1" w:rsidRPr="00A5490B" w:rsidRDefault="00143A54" w:rsidP="00BD55C1">
      <w:pPr>
        <w:spacing w:after="120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A5490B">
        <w:rPr>
          <w:rFonts w:ascii="Times New Roman" w:hAnsi="Times New Roman"/>
          <w:b/>
          <w:color w:val="000000"/>
          <w:sz w:val="24"/>
          <w:szCs w:val="24"/>
        </w:rPr>
        <w:t xml:space="preserve">Section 1 – Name </w:t>
      </w:r>
    </w:p>
    <w:p w14:paraId="2922A984" w14:textId="77777777" w:rsidR="00BD55C1" w:rsidRDefault="002B22CB" w:rsidP="00BD55C1">
      <w:pPr>
        <w:spacing w:after="12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2922A985" w14:textId="36FE1E3E" w:rsidR="00BD55C1" w:rsidRPr="00C82B71" w:rsidRDefault="00143A54" w:rsidP="00C82B71">
      <w:pPr>
        <w:pStyle w:val="ListParagraph"/>
        <w:numPr>
          <w:ilvl w:val="0"/>
          <w:numId w:val="23"/>
        </w:numPr>
        <w:spacing w:after="120"/>
        <w:rPr>
          <w:color w:val="000000"/>
          <w:szCs w:val="24"/>
        </w:rPr>
      </w:pPr>
      <w:r w:rsidRPr="00C82B71">
        <w:rPr>
          <w:color w:val="000000"/>
          <w:szCs w:val="24"/>
        </w:rPr>
        <w:t xml:space="preserve">This section provides that the title of the Regulations </w:t>
      </w:r>
      <w:r w:rsidRPr="00C82B71">
        <w:rPr>
          <w:szCs w:val="24"/>
        </w:rPr>
        <w:t>is</w:t>
      </w:r>
      <w:r w:rsidRPr="00C82B71">
        <w:rPr>
          <w:color w:val="000000"/>
          <w:szCs w:val="24"/>
        </w:rPr>
        <w:t xml:space="preserve"> the </w:t>
      </w:r>
      <w:r w:rsidRPr="00C82B71">
        <w:rPr>
          <w:i/>
          <w:iCs/>
          <w:color w:val="000000"/>
          <w:szCs w:val="24"/>
        </w:rPr>
        <w:t xml:space="preserve">Parliamentary </w:t>
      </w:r>
      <w:r w:rsidR="00CD225B" w:rsidRPr="00C82B71">
        <w:rPr>
          <w:i/>
          <w:iCs/>
          <w:color w:val="000000"/>
          <w:szCs w:val="24"/>
        </w:rPr>
        <w:t>Retirement Travel</w:t>
      </w:r>
      <w:r w:rsidRPr="00C82B71">
        <w:rPr>
          <w:i/>
          <w:iCs/>
          <w:color w:val="000000"/>
          <w:szCs w:val="24"/>
        </w:rPr>
        <w:t xml:space="preserve"> Regulations 201</w:t>
      </w:r>
      <w:r w:rsidR="00CD225B" w:rsidRPr="00C82B71">
        <w:rPr>
          <w:i/>
          <w:iCs/>
          <w:color w:val="000000"/>
          <w:szCs w:val="24"/>
        </w:rPr>
        <w:t>8</w:t>
      </w:r>
      <w:r w:rsidRPr="00C82B71">
        <w:rPr>
          <w:i/>
          <w:iCs/>
          <w:color w:val="000000"/>
          <w:szCs w:val="24"/>
        </w:rPr>
        <w:t xml:space="preserve"> </w:t>
      </w:r>
      <w:r w:rsidRPr="00C82B71">
        <w:rPr>
          <w:color w:val="000000"/>
          <w:szCs w:val="24"/>
        </w:rPr>
        <w:t>(the Regulations)</w:t>
      </w:r>
      <w:r w:rsidRPr="00C82B71">
        <w:rPr>
          <w:szCs w:val="24"/>
        </w:rPr>
        <w:t>.</w:t>
      </w:r>
    </w:p>
    <w:p w14:paraId="2922A986" w14:textId="77777777" w:rsidR="00BD55C1" w:rsidRDefault="002B22CB" w:rsidP="00BD55C1">
      <w:pPr>
        <w:spacing w:after="12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2922A987" w14:textId="77777777" w:rsidR="00BD55C1" w:rsidRPr="00A5490B" w:rsidRDefault="00143A54" w:rsidP="00BD55C1">
      <w:pPr>
        <w:spacing w:after="120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A5490B">
        <w:rPr>
          <w:rFonts w:ascii="Times New Roman" w:hAnsi="Times New Roman"/>
          <w:b/>
          <w:color w:val="000000"/>
          <w:sz w:val="24"/>
          <w:szCs w:val="24"/>
        </w:rPr>
        <w:t xml:space="preserve">Section 2 – Commencement </w:t>
      </w:r>
    </w:p>
    <w:p w14:paraId="2922A988" w14:textId="77777777" w:rsidR="00BD55C1" w:rsidRDefault="002B22CB" w:rsidP="00BD55C1">
      <w:pPr>
        <w:spacing w:after="12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1B2FE2C" w14:textId="77777777" w:rsidR="00C82B71" w:rsidRDefault="00143A54" w:rsidP="00BD55C1">
      <w:pPr>
        <w:pStyle w:val="ListParagraph"/>
        <w:numPr>
          <w:ilvl w:val="0"/>
          <w:numId w:val="23"/>
        </w:numPr>
        <w:ind w:right="91"/>
        <w:rPr>
          <w:szCs w:val="24"/>
        </w:rPr>
      </w:pPr>
      <w:r w:rsidRPr="00C82B71">
        <w:rPr>
          <w:szCs w:val="24"/>
        </w:rPr>
        <w:t>This section provides that the Regulations commence in accordance with column 2 of the table in subsection 2(1).</w:t>
      </w:r>
    </w:p>
    <w:p w14:paraId="5E126DDA" w14:textId="77777777" w:rsidR="00C82B71" w:rsidRDefault="00C82B71" w:rsidP="00C82B71">
      <w:pPr>
        <w:pStyle w:val="ListParagraph"/>
        <w:ind w:left="360" w:right="91"/>
        <w:rPr>
          <w:szCs w:val="24"/>
        </w:rPr>
      </w:pPr>
    </w:p>
    <w:p w14:paraId="2922A98B" w14:textId="1ACDA3D2" w:rsidR="00BD55C1" w:rsidRPr="00C82B71" w:rsidRDefault="00143A54" w:rsidP="00BD55C1">
      <w:pPr>
        <w:pStyle w:val="ListParagraph"/>
        <w:numPr>
          <w:ilvl w:val="0"/>
          <w:numId w:val="23"/>
        </w:numPr>
        <w:ind w:right="91"/>
        <w:rPr>
          <w:szCs w:val="24"/>
        </w:rPr>
      </w:pPr>
      <w:r w:rsidRPr="00C82B71">
        <w:rPr>
          <w:szCs w:val="24"/>
        </w:rPr>
        <w:t>Item 1 of the table provides that the whole of the instrument commences on the day after the Regulations are registered on the Federal Register of Legislation.</w:t>
      </w:r>
    </w:p>
    <w:p w14:paraId="2922A98C" w14:textId="77777777" w:rsidR="00BD55C1" w:rsidRDefault="002B22CB" w:rsidP="00BD55C1">
      <w:pPr>
        <w:spacing w:after="12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2922A98D" w14:textId="77777777" w:rsidR="00BD55C1" w:rsidRPr="00A5490B" w:rsidRDefault="00143A54" w:rsidP="00BD55C1">
      <w:pPr>
        <w:spacing w:after="120"/>
        <w:contextualSpacing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A5490B">
        <w:rPr>
          <w:rFonts w:ascii="Times New Roman" w:hAnsi="Times New Roman"/>
          <w:b/>
          <w:color w:val="000000"/>
          <w:sz w:val="24"/>
          <w:szCs w:val="24"/>
        </w:rPr>
        <w:t>Section 3 – Authority</w:t>
      </w:r>
      <w:r w:rsidRPr="00A5490B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</w:p>
    <w:p w14:paraId="2922A98E" w14:textId="77777777" w:rsidR="00BD55C1" w:rsidRDefault="002B22CB" w:rsidP="00BD55C1">
      <w:pPr>
        <w:spacing w:after="12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2922A98F" w14:textId="2702AC12" w:rsidR="00BD55C1" w:rsidRPr="00C82B71" w:rsidRDefault="00143A54" w:rsidP="00C82B71">
      <w:pPr>
        <w:pStyle w:val="ListParagraph"/>
        <w:numPr>
          <w:ilvl w:val="0"/>
          <w:numId w:val="23"/>
        </w:numPr>
        <w:spacing w:after="120"/>
        <w:rPr>
          <w:color w:val="000000"/>
          <w:szCs w:val="24"/>
        </w:rPr>
      </w:pPr>
      <w:r w:rsidRPr="00C82B71">
        <w:rPr>
          <w:color w:val="000000"/>
          <w:szCs w:val="24"/>
        </w:rPr>
        <w:t xml:space="preserve">This section states that the Regulations are made under the </w:t>
      </w:r>
      <w:r w:rsidRPr="00C82B71">
        <w:rPr>
          <w:i/>
          <w:iCs/>
          <w:color w:val="000000"/>
          <w:szCs w:val="24"/>
        </w:rPr>
        <w:t xml:space="preserve">Parliamentary </w:t>
      </w:r>
      <w:r w:rsidR="00CD225B" w:rsidRPr="00C82B71">
        <w:rPr>
          <w:i/>
          <w:iCs/>
          <w:color w:val="000000"/>
          <w:szCs w:val="24"/>
        </w:rPr>
        <w:t>Retirement Travel Act 2002</w:t>
      </w:r>
      <w:r w:rsidRPr="00C82B71">
        <w:rPr>
          <w:i/>
          <w:iCs/>
          <w:color w:val="000000"/>
          <w:szCs w:val="24"/>
        </w:rPr>
        <w:t xml:space="preserve"> </w:t>
      </w:r>
      <w:r w:rsidRPr="00C82B71">
        <w:rPr>
          <w:color w:val="000000"/>
          <w:szCs w:val="24"/>
        </w:rPr>
        <w:t>(the Act).</w:t>
      </w:r>
    </w:p>
    <w:p w14:paraId="2922A990" w14:textId="77777777" w:rsidR="00BD55C1" w:rsidRDefault="002B22CB" w:rsidP="00BD55C1">
      <w:pPr>
        <w:spacing w:after="12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429CF3FC" w14:textId="77777777" w:rsidR="00CD225B" w:rsidRPr="00A5490B" w:rsidRDefault="00CD225B" w:rsidP="00CD225B">
      <w:pPr>
        <w:spacing w:after="120"/>
        <w:contextualSpacing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A5490B">
        <w:rPr>
          <w:rFonts w:ascii="Times New Roman" w:hAnsi="Times New Roman"/>
          <w:b/>
          <w:color w:val="000000"/>
          <w:sz w:val="24"/>
          <w:szCs w:val="24"/>
        </w:rPr>
        <w:t>Section 4 – Schedules</w:t>
      </w:r>
      <w:r w:rsidRPr="00A5490B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</w:p>
    <w:p w14:paraId="1A48DCF8" w14:textId="77777777" w:rsidR="00CD225B" w:rsidRDefault="00CD225B" w:rsidP="00CD225B">
      <w:pPr>
        <w:spacing w:after="12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7851E870" w14:textId="77777777" w:rsidR="00CD225B" w:rsidRPr="00C82B71" w:rsidRDefault="00CD225B" w:rsidP="00C82B71">
      <w:pPr>
        <w:pStyle w:val="ListParagraph"/>
        <w:numPr>
          <w:ilvl w:val="0"/>
          <w:numId w:val="23"/>
        </w:numPr>
        <w:ind w:right="91"/>
        <w:rPr>
          <w:szCs w:val="24"/>
        </w:rPr>
      </w:pPr>
      <w:r w:rsidRPr="00C82B71">
        <w:rPr>
          <w:szCs w:val="24"/>
        </w:rPr>
        <w:t>This section provides that each instrument specified in a Schedule to the Regulations is amended or repealed as set out in the Schedule, and that any other item in a Schedule has effect according to its terms.</w:t>
      </w:r>
    </w:p>
    <w:p w14:paraId="1D4A0B95" w14:textId="77777777" w:rsidR="00CD225B" w:rsidRDefault="00CD225B" w:rsidP="00CD225B">
      <w:pPr>
        <w:spacing w:after="120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794F026D" w14:textId="14C47376" w:rsidR="00CD225B" w:rsidRPr="00A5490B" w:rsidRDefault="00CD225B" w:rsidP="00CD225B">
      <w:pPr>
        <w:spacing w:after="120"/>
        <w:contextualSpacing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A5490B">
        <w:rPr>
          <w:rFonts w:ascii="Times New Roman" w:hAnsi="Times New Roman"/>
          <w:b/>
          <w:color w:val="000000"/>
          <w:sz w:val="24"/>
          <w:szCs w:val="24"/>
        </w:rPr>
        <w:t>Section 5 – Definitions</w:t>
      </w:r>
      <w:r w:rsidRPr="00A5490B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</w:p>
    <w:p w14:paraId="671D059C" w14:textId="77777777" w:rsidR="00CD225B" w:rsidRDefault="00CD225B" w:rsidP="00CD225B">
      <w:pPr>
        <w:spacing w:after="12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5F6D0ECE" w14:textId="3674483A" w:rsidR="00CD225B" w:rsidRPr="00C82B71" w:rsidRDefault="00E04CB6" w:rsidP="00C82B71">
      <w:pPr>
        <w:pStyle w:val="ListParagraph"/>
        <w:numPr>
          <w:ilvl w:val="0"/>
          <w:numId w:val="23"/>
        </w:numPr>
        <w:ind w:right="91"/>
        <w:rPr>
          <w:szCs w:val="24"/>
        </w:rPr>
      </w:pPr>
      <w:r w:rsidRPr="00C82B71">
        <w:rPr>
          <w:szCs w:val="24"/>
        </w:rPr>
        <w:t>This section provides definitions to support the operation of the Regulations.</w:t>
      </w:r>
    </w:p>
    <w:p w14:paraId="49D92604" w14:textId="77777777" w:rsidR="00CD225B" w:rsidRDefault="00CD225B" w:rsidP="00CD225B">
      <w:pPr>
        <w:spacing w:after="120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1F456938" w14:textId="77777777" w:rsidR="00CD225B" w:rsidRPr="00A5490B" w:rsidRDefault="00CD225B" w:rsidP="00CD225B">
      <w:pPr>
        <w:spacing w:after="120"/>
        <w:contextualSpacing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A5490B">
        <w:rPr>
          <w:rFonts w:ascii="Times New Roman" w:hAnsi="Times New Roman"/>
          <w:b/>
          <w:color w:val="000000"/>
          <w:sz w:val="24"/>
          <w:szCs w:val="24"/>
        </w:rPr>
        <w:t>Section 6 – Exceptional circumstances</w:t>
      </w:r>
      <w:r w:rsidRPr="00A5490B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</w:p>
    <w:p w14:paraId="44E24450" w14:textId="77777777" w:rsidR="00CD225B" w:rsidRDefault="00CD225B" w:rsidP="00CD225B">
      <w:pPr>
        <w:spacing w:after="12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29362F3" w14:textId="77BD830B" w:rsidR="0048646D" w:rsidRDefault="00173548" w:rsidP="00880BA5">
      <w:pPr>
        <w:pStyle w:val="ListParagraph"/>
        <w:numPr>
          <w:ilvl w:val="0"/>
          <w:numId w:val="23"/>
        </w:numPr>
        <w:ind w:right="91"/>
        <w:rPr>
          <w:szCs w:val="24"/>
        </w:rPr>
      </w:pPr>
      <w:r w:rsidRPr="00C82B71">
        <w:rPr>
          <w:szCs w:val="24"/>
        </w:rPr>
        <w:t xml:space="preserve">This section declares the exceptional </w:t>
      </w:r>
      <w:r w:rsidR="00C82B71" w:rsidRPr="00C82B71">
        <w:rPr>
          <w:szCs w:val="24"/>
        </w:rPr>
        <w:t>circumstances</w:t>
      </w:r>
      <w:r w:rsidRPr="00C82B71">
        <w:rPr>
          <w:szCs w:val="24"/>
        </w:rPr>
        <w:t xml:space="preserve"> for the purposes of </w:t>
      </w:r>
      <w:r w:rsidR="00C82B71" w:rsidRPr="00C82B71">
        <w:rPr>
          <w:szCs w:val="24"/>
        </w:rPr>
        <w:t>subparagraphs</w:t>
      </w:r>
      <w:r w:rsidR="002B22CB">
        <w:rPr>
          <w:szCs w:val="24"/>
        </w:rPr>
        <w:t> </w:t>
      </w:r>
      <w:bookmarkStart w:id="0" w:name="_GoBack"/>
      <w:bookmarkEnd w:id="0"/>
      <w:r w:rsidRPr="00C82B71">
        <w:rPr>
          <w:szCs w:val="24"/>
        </w:rPr>
        <w:t>21(c</w:t>
      </w:r>
      <w:proofErr w:type="gramStart"/>
      <w:r w:rsidRPr="00C82B71">
        <w:rPr>
          <w:szCs w:val="24"/>
        </w:rPr>
        <w:t>)(</w:t>
      </w:r>
      <w:proofErr w:type="gramEnd"/>
      <w:r w:rsidRPr="00C82B71">
        <w:rPr>
          <w:szCs w:val="24"/>
        </w:rPr>
        <w:t xml:space="preserve">ii) and 22(d)(ii) of the Act. </w:t>
      </w:r>
    </w:p>
    <w:p w14:paraId="4C2A18B6" w14:textId="77777777" w:rsidR="0048646D" w:rsidRDefault="0048646D" w:rsidP="0048646D">
      <w:pPr>
        <w:pStyle w:val="ListParagraph"/>
        <w:ind w:left="360" w:right="91"/>
        <w:rPr>
          <w:szCs w:val="24"/>
        </w:rPr>
      </w:pPr>
    </w:p>
    <w:p w14:paraId="570E06FB" w14:textId="6FF7B2B8" w:rsidR="00880BA5" w:rsidRPr="00880BA5" w:rsidRDefault="00880BA5" w:rsidP="00880BA5">
      <w:pPr>
        <w:pStyle w:val="ListParagraph"/>
        <w:numPr>
          <w:ilvl w:val="0"/>
          <w:numId w:val="23"/>
        </w:numPr>
        <w:ind w:right="91"/>
        <w:rPr>
          <w:szCs w:val="24"/>
        </w:rPr>
      </w:pPr>
      <w:r w:rsidRPr="00880BA5">
        <w:rPr>
          <w:szCs w:val="24"/>
        </w:rPr>
        <w:t>Paragraphs 6(a) to (c) provide exemptions for health reasons</w:t>
      </w:r>
      <w:r w:rsidR="006F55AA">
        <w:rPr>
          <w:szCs w:val="24"/>
        </w:rPr>
        <w:t>. This is</w:t>
      </w:r>
      <w:r w:rsidRPr="00880BA5">
        <w:rPr>
          <w:szCs w:val="24"/>
        </w:rPr>
        <w:t xml:space="preserve"> where an injury or illness prevents travel within 24 hours </w:t>
      </w:r>
      <w:r w:rsidR="00412FC9">
        <w:rPr>
          <w:szCs w:val="24"/>
        </w:rPr>
        <w:t>after</w:t>
      </w:r>
      <w:r w:rsidR="00412FC9" w:rsidRPr="00880BA5">
        <w:rPr>
          <w:szCs w:val="24"/>
        </w:rPr>
        <w:t xml:space="preserve"> </w:t>
      </w:r>
      <w:r w:rsidRPr="00880BA5">
        <w:rPr>
          <w:szCs w:val="24"/>
        </w:rPr>
        <w:t xml:space="preserve">the beginning of the stop-over. </w:t>
      </w:r>
    </w:p>
    <w:p w14:paraId="502EAA1E" w14:textId="77777777" w:rsidR="00880BA5" w:rsidRPr="00880BA5" w:rsidRDefault="00880BA5" w:rsidP="00880BA5">
      <w:pPr>
        <w:pStyle w:val="ListParagraph"/>
        <w:rPr>
          <w:szCs w:val="24"/>
        </w:rPr>
      </w:pPr>
    </w:p>
    <w:p w14:paraId="7993F691" w14:textId="4FC52A4C" w:rsidR="00880BA5" w:rsidRDefault="00880BA5" w:rsidP="00880BA5">
      <w:pPr>
        <w:pStyle w:val="ListParagraph"/>
        <w:numPr>
          <w:ilvl w:val="0"/>
          <w:numId w:val="23"/>
        </w:numPr>
        <w:ind w:right="91"/>
        <w:rPr>
          <w:szCs w:val="24"/>
        </w:rPr>
      </w:pPr>
      <w:r>
        <w:rPr>
          <w:szCs w:val="24"/>
        </w:rPr>
        <w:t>Paragraph 6(a) covers the situation where an eligible</w:t>
      </w:r>
      <w:r w:rsidR="0048646D">
        <w:rPr>
          <w:szCs w:val="24"/>
        </w:rPr>
        <w:t xml:space="preserve"> traveller</w:t>
      </w:r>
      <w:r>
        <w:rPr>
          <w:szCs w:val="24"/>
        </w:rPr>
        <w:t xml:space="preserve"> </w:t>
      </w:r>
      <w:r w:rsidR="0048646D">
        <w:rPr>
          <w:szCs w:val="24"/>
        </w:rPr>
        <w:t>(either a</w:t>
      </w:r>
      <w:r w:rsidR="002228A7">
        <w:rPr>
          <w:szCs w:val="24"/>
        </w:rPr>
        <w:t xml:space="preserve"> </w:t>
      </w:r>
      <w:r>
        <w:rPr>
          <w:szCs w:val="24"/>
        </w:rPr>
        <w:t>former Prime Minister, or the spouse or de facto partner of a</w:t>
      </w:r>
      <w:r w:rsidR="002228A7">
        <w:rPr>
          <w:szCs w:val="24"/>
        </w:rPr>
        <w:t xml:space="preserve"> </w:t>
      </w:r>
      <w:r>
        <w:rPr>
          <w:szCs w:val="24"/>
        </w:rPr>
        <w:t>f</w:t>
      </w:r>
      <w:r w:rsidR="0048646D">
        <w:rPr>
          <w:szCs w:val="24"/>
        </w:rPr>
        <w:t>ormer Prime Minister)</w:t>
      </w:r>
      <w:r>
        <w:rPr>
          <w:szCs w:val="24"/>
        </w:rPr>
        <w:t xml:space="preserve"> is unable to travel </w:t>
      </w:r>
      <w:r w:rsidR="006F55AA">
        <w:rPr>
          <w:szCs w:val="24"/>
        </w:rPr>
        <w:t xml:space="preserve">within 24 hours </w:t>
      </w:r>
      <w:r w:rsidR="00412FC9">
        <w:rPr>
          <w:szCs w:val="24"/>
        </w:rPr>
        <w:t xml:space="preserve">after </w:t>
      </w:r>
      <w:r w:rsidR="006F55AA">
        <w:rPr>
          <w:szCs w:val="24"/>
        </w:rPr>
        <w:t>the beginning of the stop-over</w:t>
      </w:r>
      <w:r>
        <w:rPr>
          <w:szCs w:val="24"/>
        </w:rPr>
        <w:t xml:space="preserve"> due to health reasons. </w:t>
      </w:r>
    </w:p>
    <w:p w14:paraId="3C671309" w14:textId="77777777" w:rsidR="00880BA5" w:rsidRPr="00880BA5" w:rsidRDefault="00880BA5" w:rsidP="00880BA5">
      <w:pPr>
        <w:pStyle w:val="ListParagraph"/>
        <w:rPr>
          <w:szCs w:val="24"/>
        </w:rPr>
      </w:pPr>
    </w:p>
    <w:p w14:paraId="368F058E" w14:textId="0DA22244" w:rsidR="00880BA5" w:rsidRDefault="00880BA5" w:rsidP="00880BA5">
      <w:pPr>
        <w:pStyle w:val="ListParagraph"/>
        <w:numPr>
          <w:ilvl w:val="0"/>
          <w:numId w:val="23"/>
        </w:numPr>
        <w:ind w:right="91"/>
        <w:rPr>
          <w:szCs w:val="24"/>
        </w:rPr>
      </w:pPr>
      <w:r>
        <w:rPr>
          <w:szCs w:val="24"/>
        </w:rPr>
        <w:t>Paragraph 6(b) covers the situation where the eligible traveller is a former Prime Minister and they are accompanied by their spouse or de facto</w:t>
      </w:r>
      <w:r w:rsidR="00702882">
        <w:rPr>
          <w:szCs w:val="24"/>
        </w:rPr>
        <w:t xml:space="preserve"> partner</w:t>
      </w:r>
      <w:r>
        <w:rPr>
          <w:szCs w:val="24"/>
        </w:rPr>
        <w:t xml:space="preserve">, and their spouse or de facto has health reasons that prevent the </w:t>
      </w:r>
      <w:r w:rsidR="0048646D">
        <w:rPr>
          <w:szCs w:val="24"/>
        </w:rPr>
        <w:t>spouse or de facto partner from travelling within</w:t>
      </w:r>
      <w:r>
        <w:rPr>
          <w:szCs w:val="24"/>
        </w:rPr>
        <w:t xml:space="preserve"> </w:t>
      </w:r>
      <w:r w:rsidR="002228A7">
        <w:rPr>
          <w:szCs w:val="24"/>
        </w:rPr>
        <w:t xml:space="preserve">24 hours </w:t>
      </w:r>
      <w:r w:rsidR="00B47A44">
        <w:rPr>
          <w:szCs w:val="24"/>
        </w:rPr>
        <w:t xml:space="preserve">after </w:t>
      </w:r>
      <w:r w:rsidR="002228A7">
        <w:rPr>
          <w:szCs w:val="24"/>
        </w:rPr>
        <w:t>the beginning of the stop-over</w:t>
      </w:r>
      <w:r w:rsidR="0048646D">
        <w:rPr>
          <w:szCs w:val="24"/>
        </w:rPr>
        <w:t xml:space="preserve">. In this instance the former Prime Minister is exempt from the stop-over rule </w:t>
      </w:r>
      <w:r w:rsidR="00A364F7">
        <w:rPr>
          <w:szCs w:val="24"/>
        </w:rPr>
        <w:t>in addition to</w:t>
      </w:r>
      <w:r>
        <w:rPr>
          <w:szCs w:val="24"/>
        </w:rPr>
        <w:t xml:space="preserve"> their spouse or de facto partn</w:t>
      </w:r>
      <w:r w:rsidR="0048646D">
        <w:rPr>
          <w:szCs w:val="24"/>
        </w:rPr>
        <w:t xml:space="preserve">er </w:t>
      </w:r>
      <w:r w:rsidR="0048646D">
        <w:rPr>
          <w:szCs w:val="24"/>
        </w:rPr>
        <w:lastRenderedPageBreak/>
        <w:t>who is</w:t>
      </w:r>
      <w:r w:rsidR="00702882">
        <w:rPr>
          <w:szCs w:val="24"/>
        </w:rPr>
        <w:t xml:space="preserve"> also</w:t>
      </w:r>
      <w:r w:rsidR="0048646D">
        <w:rPr>
          <w:szCs w:val="24"/>
        </w:rPr>
        <w:t xml:space="preserve"> exempt from the stop-over rule under paragraph 6(a) (see above)</w:t>
      </w:r>
      <w:r>
        <w:rPr>
          <w:szCs w:val="24"/>
        </w:rPr>
        <w:t>.</w:t>
      </w:r>
      <w:r w:rsidR="00A364F7">
        <w:rPr>
          <w:szCs w:val="24"/>
        </w:rPr>
        <w:t xml:space="preserve"> This exemption recognises the caring responsibilities that the former Prime Minster may have for their spouse or de facto partner. </w:t>
      </w:r>
    </w:p>
    <w:p w14:paraId="1C027CDA" w14:textId="77777777" w:rsidR="00880BA5" w:rsidRPr="00880BA5" w:rsidRDefault="00880BA5" w:rsidP="00880BA5">
      <w:pPr>
        <w:pStyle w:val="ListParagraph"/>
        <w:rPr>
          <w:szCs w:val="24"/>
        </w:rPr>
      </w:pPr>
    </w:p>
    <w:p w14:paraId="67ED050E" w14:textId="22AC0872" w:rsidR="00880BA5" w:rsidRPr="00880BA5" w:rsidRDefault="00880BA5" w:rsidP="00880BA5">
      <w:pPr>
        <w:pStyle w:val="ListParagraph"/>
        <w:numPr>
          <w:ilvl w:val="0"/>
          <w:numId w:val="23"/>
        </w:numPr>
        <w:ind w:right="91"/>
        <w:rPr>
          <w:szCs w:val="24"/>
        </w:rPr>
      </w:pPr>
      <w:r>
        <w:rPr>
          <w:szCs w:val="24"/>
        </w:rPr>
        <w:t>Paragraph 6(c) covers the situation where the elig</w:t>
      </w:r>
      <w:r w:rsidR="0048646D">
        <w:rPr>
          <w:szCs w:val="24"/>
        </w:rPr>
        <w:t>ible traveller is the spouse or</w:t>
      </w:r>
      <w:r>
        <w:rPr>
          <w:szCs w:val="24"/>
        </w:rPr>
        <w:t xml:space="preserve"> de facto partner of a former Prime Minister a</w:t>
      </w:r>
      <w:r w:rsidR="0048646D">
        <w:rPr>
          <w:szCs w:val="24"/>
        </w:rPr>
        <w:t>nd they are accompanied by the f</w:t>
      </w:r>
      <w:r>
        <w:rPr>
          <w:szCs w:val="24"/>
        </w:rPr>
        <w:t xml:space="preserve">ormer Prime </w:t>
      </w:r>
      <w:r w:rsidR="0048646D">
        <w:rPr>
          <w:szCs w:val="24"/>
        </w:rPr>
        <w:t>Minister</w:t>
      </w:r>
      <w:r>
        <w:rPr>
          <w:szCs w:val="24"/>
        </w:rPr>
        <w:t xml:space="preserve">, and the former Prime </w:t>
      </w:r>
      <w:r w:rsidR="0048646D">
        <w:rPr>
          <w:szCs w:val="24"/>
        </w:rPr>
        <w:t>Minister</w:t>
      </w:r>
      <w:r>
        <w:rPr>
          <w:szCs w:val="24"/>
        </w:rPr>
        <w:t xml:space="preserve"> has </w:t>
      </w:r>
      <w:r w:rsidR="00A364F7">
        <w:rPr>
          <w:szCs w:val="24"/>
        </w:rPr>
        <w:t>health reasons</w:t>
      </w:r>
      <w:r>
        <w:rPr>
          <w:szCs w:val="24"/>
        </w:rPr>
        <w:t xml:space="preserve"> that prevent </w:t>
      </w:r>
      <w:r w:rsidR="0048646D">
        <w:rPr>
          <w:szCs w:val="24"/>
        </w:rPr>
        <w:t xml:space="preserve">the former Prime Minister from travelling within </w:t>
      </w:r>
      <w:r w:rsidR="00A364F7">
        <w:rPr>
          <w:szCs w:val="24"/>
        </w:rPr>
        <w:t xml:space="preserve">24 hours </w:t>
      </w:r>
      <w:r w:rsidR="00B47A44">
        <w:rPr>
          <w:szCs w:val="24"/>
        </w:rPr>
        <w:t>after</w:t>
      </w:r>
      <w:r w:rsidR="00A64506">
        <w:rPr>
          <w:szCs w:val="24"/>
        </w:rPr>
        <w:t xml:space="preserve"> </w:t>
      </w:r>
      <w:r w:rsidR="00A364F7">
        <w:rPr>
          <w:szCs w:val="24"/>
        </w:rPr>
        <w:t>the beginning of the stop-over</w:t>
      </w:r>
      <w:r w:rsidR="0048646D">
        <w:rPr>
          <w:szCs w:val="24"/>
        </w:rPr>
        <w:t>. In this instance the spouse or de facto partner is exempt fro</w:t>
      </w:r>
      <w:r w:rsidR="00A364F7">
        <w:rPr>
          <w:szCs w:val="24"/>
        </w:rPr>
        <w:t>m the stop-over rule in addition to the</w:t>
      </w:r>
      <w:r w:rsidR="0048646D">
        <w:rPr>
          <w:szCs w:val="24"/>
        </w:rPr>
        <w:t xml:space="preserve"> form</w:t>
      </w:r>
      <w:r w:rsidR="00702882">
        <w:rPr>
          <w:szCs w:val="24"/>
        </w:rPr>
        <w:t>er</w:t>
      </w:r>
      <w:r w:rsidR="0048646D">
        <w:rPr>
          <w:szCs w:val="24"/>
        </w:rPr>
        <w:t xml:space="preserve"> Prime Minister who is </w:t>
      </w:r>
      <w:r w:rsidR="00702882">
        <w:rPr>
          <w:szCs w:val="24"/>
        </w:rPr>
        <w:t xml:space="preserve">also </w:t>
      </w:r>
      <w:r w:rsidR="0048646D">
        <w:rPr>
          <w:szCs w:val="24"/>
        </w:rPr>
        <w:t>exempt from the stop-over rule under paragraph 6</w:t>
      </w:r>
      <w:r w:rsidR="00A364F7">
        <w:rPr>
          <w:szCs w:val="24"/>
        </w:rPr>
        <w:t>(</w:t>
      </w:r>
      <w:r w:rsidR="0048646D">
        <w:rPr>
          <w:szCs w:val="24"/>
        </w:rPr>
        <w:t>a</w:t>
      </w:r>
      <w:r w:rsidR="00A364F7">
        <w:rPr>
          <w:szCs w:val="24"/>
        </w:rPr>
        <w:t>)</w:t>
      </w:r>
      <w:r w:rsidR="0048646D">
        <w:rPr>
          <w:szCs w:val="24"/>
        </w:rPr>
        <w:t xml:space="preserve"> (see above).</w:t>
      </w:r>
      <w:r w:rsidR="00A364F7">
        <w:rPr>
          <w:szCs w:val="24"/>
        </w:rPr>
        <w:t xml:space="preserve"> This exemption recognises the caring responsibilities that the spouse or de factor partner may have for the former Prime Minster. </w:t>
      </w:r>
      <w:r>
        <w:rPr>
          <w:szCs w:val="24"/>
        </w:rPr>
        <w:t xml:space="preserve">  </w:t>
      </w:r>
    </w:p>
    <w:p w14:paraId="5E86A1BD" w14:textId="77777777" w:rsidR="005D5A8F" w:rsidRDefault="005D5A8F" w:rsidP="005D5A8F">
      <w:pPr>
        <w:pStyle w:val="ListParagraph"/>
        <w:ind w:left="360" w:right="91"/>
        <w:rPr>
          <w:szCs w:val="24"/>
        </w:rPr>
      </w:pPr>
    </w:p>
    <w:p w14:paraId="37638907" w14:textId="14D68CDF" w:rsidR="00CD225B" w:rsidRPr="00C82B71" w:rsidRDefault="0048646D" w:rsidP="00C82B71">
      <w:pPr>
        <w:pStyle w:val="ListParagraph"/>
        <w:numPr>
          <w:ilvl w:val="0"/>
          <w:numId w:val="23"/>
        </w:numPr>
        <w:ind w:right="91"/>
        <w:rPr>
          <w:szCs w:val="24"/>
        </w:rPr>
      </w:pPr>
      <w:r>
        <w:rPr>
          <w:szCs w:val="24"/>
        </w:rPr>
        <w:t>Paragraph 6(d) provides an exemption for transport reasons, where a delay or cancellation of a scheduled transport service prevents the eligible traveller (either a former Prime Minister, or the spouse or de facto partner of a former Prime Mi</w:t>
      </w:r>
      <w:r w:rsidR="00702882">
        <w:rPr>
          <w:szCs w:val="24"/>
        </w:rPr>
        <w:t xml:space="preserve">nister) from travelling within </w:t>
      </w:r>
      <w:r>
        <w:rPr>
          <w:szCs w:val="24"/>
        </w:rPr>
        <w:t xml:space="preserve">24 hours after </w:t>
      </w:r>
      <w:r w:rsidRPr="009F3FA1">
        <w:rPr>
          <w:szCs w:val="24"/>
        </w:rPr>
        <w:t xml:space="preserve">the beginning of the stop-over. </w:t>
      </w:r>
      <w:r w:rsidR="00A364F7">
        <w:rPr>
          <w:szCs w:val="24"/>
        </w:rPr>
        <w:t>For example, where an airline cancels or delays a flight and the eligible traveller is unable to access an alte</w:t>
      </w:r>
      <w:r w:rsidR="0053793F">
        <w:rPr>
          <w:szCs w:val="24"/>
        </w:rPr>
        <w:t>rnate flight within the 24 hour</w:t>
      </w:r>
      <w:r w:rsidR="00A364F7">
        <w:rPr>
          <w:szCs w:val="24"/>
        </w:rPr>
        <w:t xml:space="preserve"> period.</w:t>
      </w:r>
    </w:p>
    <w:p w14:paraId="008CB4D4" w14:textId="77777777" w:rsidR="00CD225B" w:rsidRPr="009932DB" w:rsidRDefault="00CD225B" w:rsidP="00CD225B">
      <w:pPr>
        <w:spacing w:after="120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4D9C0332" w14:textId="7E3B4F68" w:rsidR="00CD225B" w:rsidRPr="00A5490B" w:rsidRDefault="00CD225B" w:rsidP="00CD225B">
      <w:pPr>
        <w:spacing w:after="120"/>
        <w:contextualSpacing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A5490B">
        <w:rPr>
          <w:rFonts w:ascii="Times New Roman" w:hAnsi="Times New Roman"/>
          <w:b/>
          <w:color w:val="000000"/>
          <w:sz w:val="24"/>
          <w:szCs w:val="24"/>
        </w:rPr>
        <w:t>Section 7 – Evidence of exceptional circumstances</w:t>
      </w:r>
      <w:r w:rsidRPr="00A5490B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</w:p>
    <w:p w14:paraId="75337F56" w14:textId="77777777" w:rsidR="00CD225B" w:rsidRDefault="00CD225B" w:rsidP="00CD225B">
      <w:pPr>
        <w:spacing w:after="12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53A8EED7" w14:textId="2FAF69CB" w:rsidR="00CD225B" w:rsidRDefault="00596F90" w:rsidP="00C82B71">
      <w:pPr>
        <w:pStyle w:val="ListParagraph"/>
        <w:numPr>
          <w:ilvl w:val="0"/>
          <w:numId w:val="23"/>
        </w:numPr>
        <w:ind w:right="91"/>
        <w:rPr>
          <w:szCs w:val="24"/>
        </w:rPr>
      </w:pPr>
      <w:r>
        <w:rPr>
          <w:szCs w:val="24"/>
        </w:rPr>
        <w:t>Section 7</w:t>
      </w:r>
      <w:r w:rsidR="00702882">
        <w:rPr>
          <w:szCs w:val="24"/>
        </w:rPr>
        <w:t xml:space="preserve"> sets out the evidentiary requirements for </w:t>
      </w:r>
      <w:r w:rsidR="007103B2">
        <w:rPr>
          <w:szCs w:val="24"/>
        </w:rPr>
        <w:t>eligible travellers seeking to rely on the exemptions in section 6.</w:t>
      </w:r>
      <w:r w:rsidR="00702882">
        <w:rPr>
          <w:szCs w:val="24"/>
        </w:rPr>
        <w:t xml:space="preserve"> Unlike the </w:t>
      </w:r>
      <w:r w:rsidR="00702882">
        <w:rPr>
          <w:i/>
          <w:szCs w:val="24"/>
        </w:rPr>
        <w:t xml:space="preserve">Members of Parliament (Life Gold Pass) Regulations 2002 </w:t>
      </w:r>
      <w:r w:rsidR="00702882">
        <w:rPr>
          <w:szCs w:val="24"/>
        </w:rPr>
        <w:t xml:space="preserve">which these Regulations </w:t>
      </w:r>
      <w:r>
        <w:rPr>
          <w:szCs w:val="24"/>
        </w:rPr>
        <w:t>repeal and replace</w:t>
      </w:r>
      <w:r w:rsidR="00702882">
        <w:rPr>
          <w:szCs w:val="24"/>
        </w:rPr>
        <w:t xml:space="preserve">, evidence </w:t>
      </w:r>
      <w:r>
        <w:rPr>
          <w:szCs w:val="24"/>
        </w:rPr>
        <w:t>to support a claim of</w:t>
      </w:r>
      <w:r w:rsidR="00702882">
        <w:rPr>
          <w:szCs w:val="24"/>
        </w:rPr>
        <w:t xml:space="preserve"> exceptional circumstances does not have to be provided to the Minister administering the Act. Rather, </w:t>
      </w:r>
      <w:r>
        <w:rPr>
          <w:szCs w:val="24"/>
        </w:rPr>
        <w:t>section 7</w:t>
      </w:r>
      <w:r w:rsidR="00702882">
        <w:rPr>
          <w:szCs w:val="24"/>
        </w:rPr>
        <w:t xml:space="preserve"> is drafted </w:t>
      </w:r>
      <w:r>
        <w:rPr>
          <w:szCs w:val="24"/>
        </w:rPr>
        <w:t>to require that</w:t>
      </w:r>
      <w:r w:rsidR="00702882">
        <w:rPr>
          <w:szCs w:val="24"/>
        </w:rPr>
        <w:t xml:space="preserve"> evidence is provided with the claim to the relevant administrator. At the present time the Independent Parliamentary Expenses Authority administers </w:t>
      </w:r>
      <w:r>
        <w:rPr>
          <w:szCs w:val="24"/>
        </w:rPr>
        <w:t>PRT Entitlement travel</w:t>
      </w:r>
      <w:r w:rsidR="00702882">
        <w:rPr>
          <w:szCs w:val="24"/>
        </w:rPr>
        <w:t>. This new practice better reflects the</w:t>
      </w:r>
      <w:r>
        <w:rPr>
          <w:szCs w:val="24"/>
        </w:rPr>
        <w:t xml:space="preserve"> current</w:t>
      </w:r>
      <w:r w:rsidR="00702882">
        <w:rPr>
          <w:szCs w:val="24"/>
        </w:rPr>
        <w:t xml:space="preserve"> </w:t>
      </w:r>
      <w:r w:rsidR="005A5315">
        <w:rPr>
          <w:szCs w:val="24"/>
        </w:rPr>
        <w:t xml:space="preserve">administrative arrangements for travel under the Act, and </w:t>
      </w:r>
      <w:r w:rsidR="00702882">
        <w:rPr>
          <w:szCs w:val="24"/>
        </w:rPr>
        <w:t>parliamentary work expenses</w:t>
      </w:r>
      <w:r w:rsidR="005A5315">
        <w:rPr>
          <w:szCs w:val="24"/>
        </w:rPr>
        <w:t xml:space="preserve"> generally</w:t>
      </w:r>
      <w:r w:rsidR="00702882">
        <w:rPr>
          <w:szCs w:val="24"/>
        </w:rPr>
        <w:t>.</w:t>
      </w:r>
    </w:p>
    <w:p w14:paraId="116C97AD" w14:textId="1E62F1F1" w:rsidR="00D83B87" w:rsidRDefault="00D83B87" w:rsidP="00D83B87">
      <w:pPr>
        <w:pStyle w:val="ListParagraph"/>
        <w:ind w:left="360" w:right="91"/>
        <w:rPr>
          <w:szCs w:val="24"/>
        </w:rPr>
      </w:pPr>
    </w:p>
    <w:p w14:paraId="4946D691" w14:textId="358030C7" w:rsidR="00D83B87" w:rsidRDefault="00D83B87" w:rsidP="00C82B71">
      <w:pPr>
        <w:pStyle w:val="ListParagraph"/>
        <w:numPr>
          <w:ilvl w:val="0"/>
          <w:numId w:val="23"/>
        </w:numPr>
        <w:ind w:right="91"/>
        <w:rPr>
          <w:szCs w:val="24"/>
        </w:rPr>
      </w:pPr>
      <w:r>
        <w:rPr>
          <w:szCs w:val="24"/>
        </w:rPr>
        <w:t xml:space="preserve">Paragraph 7(a) provides that where a claim for special circumstances is made in respect of health reasons (an injury or illness) it must be accompanied by a medical certificate stating that the injury or illness prevented the person with the injury or illness from travelling within 24 hours </w:t>
      </w:r>
      <w:r w:rsidR="00412FC9">
        <w:rPr>
          <w:szCs w:val="24"/>
        </w:rPr>
        <w:t xml:space="preserve">after </w:t>
      </w:r>
      <w:r>
        <w:rPr>
          <w:szCs w:val="24"/>
        </w:rPr>
        <w:t xml:space="preserve">the beginning of the stop-over. In this context ‘medical certificate’ takes its ordinary </w:t>
      </w:r>
      <w:proofErr w:type="gramStart"/>
      <w:r>
        <w:rPr>
          <w:szCs w:val="24"/>
        </w:rPr>
        <w:t>meaning, that</w:t>
      </w:r>
      <w:proofErr w:type="gramEnd"/>
      <w:r>
        <w:rPr>
          <w:szCs w:val="24"/>
        </w:rPr>
        <w:t xml:space="preserve"> is a certificate made out by a </w:t>
      </w:r>
      <w:r w:rsidRPr="00770FED">
        <w:t>doctor</w:t>
      </w:r>
      <w:r>
        <w:rPr>
          <w:szCs w:val="24"/>
        </w:rPr>
        <w:t xml:space="preserve"> testifying to the state of a person’s health.</w:t>
      </w:r>
    </w:p>
    <w:p w14:paraId="7D5B7E51" w14:textId="77777777" w:rsidR="00D83B87" w:rsidRPr="00D83B87" w:rsidRDefault="00D83B87" w:rsidP="00D83B87">
      <w:pPr>
        <w:pStyle w:val="ListParagraph"/>
        <w:rPr>
          <w:szCs w:val="24"/>
        </w:rPr>
      </w:pPr>
    </w:p>
    <w:p w14:paraId="23A1BC0E" w14:textId="0AE13E02" w:rsidR="00D83B87" w:rsidRPr="00C82B71" w:rsidRDefault="00D83B87" w:rsidP="00C82B71">
      <w:pPr>
        <w:pStyle w:val="ListParagraph"/>
        <w:numPr>
          <w:ilvl w:val="0"/>
          <w:numId w:val="23"/>
        </w:numPr>
        <w:ind w:right="91"/>
        <w:rPr>
          <w:szCs w:val="24"/>
        </w:rPr>
      </w:pPr>
      <w:r>
        <w:rPr>
          <w:szCs w:val="24"/>
        </w:rPr>
        <w:t>Paragraph 7(b) provides that where a claim for special circumstances is made in respect of transport reasons (a delay or cancellation of a scheduled transport service) it must be accompanied by a statutory declaration by the</w:t>
      </w:r>
      <w:r w:rsidR="005547B0">
        <w:rPr>
          <w:szCs w:val="24"/>
        </w:rPr>
        <w:t xml:space="preserve"> eligible traveller</w:t>
      </w:r>
      <w:r>
        <w:rPr>
          <w:szCs w:val="24"/>
        </w:rPr>
        <w:t xml:space="preserve"> that declares that the delay or cancellation prevented the eligible traveller from travelling within 24 hours </w:t>
      </w:r>
      <w:r w:rsidR="00412FC9">
        <w:rPr>
          <w:szCs w:val="24"/>
        </w:rPr>
        <w:t xml:space="preserve">after </w:t>
      </w:r>
      <w:r>
        <w:rPr>
          <w:szCs w:val="24"/>
        </w:rPr>
        <w:t xml:space="preserve">the beginning of the stop-over. </w:t>
      </w:r>
    </w:p>
    <w:p w14:paraId="12DF9DD4" w14:textId="77777777" w:rsidR="00CD225B" w:rsidRPr="009932DB" w:rsidRDefault="00CD225B" w:rsidP="00CD225B">
      <w:pPr>
        <w:spacing w:after="120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00A43400" w14:textId="77777777" w:rsidR="00814221" w:rsidRPr="00A5490B" w:rsidRDefault="00143A54" w:rsidP="00A245AB">
      <w:pPr>
        <w:keepNext/>
        <w:keepLines/>
        <w:spacing w:before="240" w:after="120"/>
        <w:contextualSpacing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5490B">
        <w:rPr>
          <w:rFonts w:ascii="Times New Roman" w:hAnsi="Times New Roman"/>
          <w:b/>
          <w:color w:val="000000"/>
          <w:sz w:val="24"/>
          <w:szCs w:val="24"/>
          <w:u w:val="single"/>
        </w:rPr>
        <w:lastRenderedPageBreak/>
        <w:t xml:space="preserve">Schedule 1 – </w:t>
      </w:r>
      <w:r w:rsidR="00814221" w:rsidRPr="00A5490B">
        <w:rPr>
          <w:rFonts w:ascii="Times New Roman" w:hAnsi="Times New Roman"/>
          <w:b/>
          <w:color w:val="000000"/>
          <w:sz w:val="24"/>
          <w:szCs w:val="24"/>
          <w:u w:val="single"/>
        </w:rPr>
        <w:t>Repeals</w:t>
      </w:r>
    </w:p>
    <w:p w14:paraId="1518674C" w14:textId="77777777" w:rsidR="00814221" w:rsidRDefault="00814221" w:rsidP="00A245AB">
      <w:pPr>
        <w:keepNext/>
        <w:keepLines/>
        <w:spacing w:before="240" w:after="120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4328ECED" w14:textId="4CFCB0D3" w:rsidR="00814221" w:rsidRPr="00814221" w:rsidRDefault="00814221" w:rsidP="00A245AB">
      <w:pPr>
        <w:keepNext/>
        <w:keepLines/>
        <w:spacing w:before="240" w:after="120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Members of Parliament (Life Gold Pass) Regulations 2002</w:t>
      </w:r>
    </w:p>
    <w:p w14:paraId="2AE999E5" w14:textId="77777777" w:rsidR="00814221" w:rsidRDefault="00143A54" w:rsidP="00A245AB">
      <w:pPr>
        <w:keepNext/>
        <w:keepLines/>
        <w:spacing w:before="240" w:after="24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Item [1] </w:t>
      </w:r>
      <w:r w:rsidR="00814221">
        <w:rPr>
          <w:rFonts w:ascii="Times New Roman" w:hAnsi="Times New Roman"/>
          <w:b/>
          <w:bCs/>
          <w:color w:val="000000"/>
          <w:sz w:val="24"/>
          <w:szCs w:val="24"/>
        </w:rPr>
        <w:t xml:space="preserve">– The whole of the instrument </w:t>
      </w:r>
    </w:p>
    <w:p w14:paraId="2922A9A3" w14:textId="7313F06A" w:rsidR="006818C0" w:rsidRPr="00C82B71" w:rsidRDefault="00814221" w:rsidP="00A245AB">
      <w:pPr>
        <w:pStyle w:val="ListParagraph"/>
        <w:keepNext/>
        <w:keepLines/>
        <w:numPr>
          <w:ilvl w:val="0"/>
          <w:numId w:val="23"/>
        </w:numPr>
        <w:spacing w:before="240" w:after="240"/>
        <w:rPr>
          <w:i/>
          <w:szCs w:val="24"/>
        </w:rPr>
      </w:pPr>
      <w:r w:rsidRPr="00C82B71">
        <w:rPr>
          <w:bCs/>
          <w:color w:val="000000"/>
          <w:szCs w:val="24"/>
        </w:rPr>
        <w:t xml:space="preserve">This item repeals the whole of the </w:t>
      </w:r>
      <w:r w:rsidRPr="00C82B71">
        <w:rPr>
          <w:bCs/>
          <w:i/>
          <w:color w:val="000000"/>
          <w:szCs w:val="24"/>
        </w:rPr>
        <w:t xml:space="preserve">Members of Parliament (Life Gold Pass) Regulations 2002 </w:t>
      </w:r>
      <w:r w:rsidRPr="00C82B71">
        <w:rPr>
          <w:bCs/>
          <w:color w:val="000000"/>
          <w:szCs w:val="24"/>
        </w:rPr>
        <w:t xml:space="preserve">which </w:t>
      </w:r>
      <w:r w:rsidR="005547B0">
        <w:rPr>
          <w:bCs/>
          <w:color w:val="000000"/>
          <w:szCs w:val="24"/>
        </w:rPr>
        <w:t>wer</w:t>
      </w:r>
      <w:r w:rsidR="00325958">
        <w:rPr>
          <w:bCs/>
          <w:color w:val="000000"/>
          <w:szCs w:val="24"/>
        </w:rPr>
        <w:t>e</w:t>
      </w:r>
      <w:r w:rsidRPr="00C82B71">
        <w:rPr>
          <w:bCs/>
          <w:color w:val="000000"/>
          <w:szCs w:val="24"/>
        </w:rPr>
        <w:t xml:space="preserve"> due to sunset on 1 October 2019. The </w:t>
      </w:r>
      <w:proofErr w:type="spellStart"/>
      <w:r w:rsidRPr="00C82B71">
        <w:rPr>
          <w:bCs/>
          <w:color w:val="000000"/>
          <w:szCs w:val="24"/>
        </w:rPr>
        <w:t>sunsetting</w:t>
      </w:r>
      <w:proofErr w:type="spellEnd"/>
      <w:r w:rsidRPr="00C82B71">
        <w:rPr>
          <w:bCs/>
          <w:color w:val="000000"/>
          <w:szCs w:val="24"/>
        </w:rPr>
        <w:t xml:space="preserve"> instrument is effectively replaced by these Regulations. </w:t>
      </w:r>
    </w:p>
    <w:p w14:paraId="2922A9A4" w14:textId="77777777" w:rsidR="00BD55C1" w:rsidRPr="00931B0C" w:rsidRDefault="002B22CB" w:rsidP="00302A8F">
      <w:pPr>
        <w:pStyle w:val="ListParagraph"/>
        <w:spacing w:after="120"/>
        <w:ind w:left="0" w:right="-46"/>
        <w:rPr>
          <w:rFonts w:cs="Times New Roman"/>
          <w:i/>
          <w:szCs w:val="24"/>
        </w:rPr>
        <w:sectPr w:rsidR="00BD55C1" w:rsidRPr="00931B0C" w:rsidSect="004D676F">
          <w:headerReference w:type="even" r:id="rId13"/>
          <w:head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2922A9A5" w14:textId="77777777" w:rsidR="006818C0" w:rsidRPr="00331C96" w:rsidRDefault="00143A54" w:rsidP="006818C0">
      <w:pPr>
        <w:spacing w:after="12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31C96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Statement of Compatibility with Human Rights</w:t>
      </w:r>
    </w:p>
    <w:p w14:paraId="2922A9A6" w14:textId="77777777" w:rsidR="006818C0" w:rsidRPr="00331C96" w:rsidRDefault="00143A54" w:rsidP="00354DDF">
      <w:pPr>
        <w:pStyle w:val="paranumbering0"/>
        <w:spacing w:before="0" w:beforeAutospacing="0" w:after="120" w:afterAutospacing="0"/>
        <w:contextualSpacing/>
      </w:pPr>
      <w:r w:rsidRPr="00331C96">
        <w:t xml:space="preserve">Prepared in accordance with Part 3 of the </w:t>
      </w:r>
      <w:r w:rsidRPr="00331C96">
        <w:rPr>
          <w:i/>
        </w:rPr>
        <w:t>Human Rights (Parliamentary Scrutiny) Act 2011</w:t>
      </w:r>
    </w:p>
    <w:p w14:paraId="2922A9A7" w14:textId="77777777" w:rsidR="006818C0" w:rsidRDefault="002B22CB" w:rsidP="006818C0">
      <w:pPr>
        <w:pStyle w:val="paranumbering0"/>
        <w:spacing w:before="0" w:beforeAutospacing="0" w:after="120" w:afterAutospacing="0"/>
        <w:contextualSpacing/>
      </w:pPr>
    </w:p>
    <w:p w14:paraId="2922A9A8" w14:textId="77777777" w:rsidR="00354DDF" w:rsidRPr="00331C96" w:rsidRDefault="002B22CB" w:rsidP="006818C0">
      <w:pPr>
        <w:pStyle w:val="paranumbering0"/>
        <w:spacing w:before="0" w:beforeAutospacing="0" w:after="120" w:afterAutospacing="0"/>
        <w:contextualSpacing/>
      </w:pPr>
    </w:p>
    <w:p w14:paraId="2922A9A9" w14:textId="4DC7A31E" w:rsidR="006818C0" w:rsidRPr="00FE00CC" w:rsidRDefault="00814221" w:rsidP="00354DDF">
      <w:pPr>
        <w:pStyle w:val="paranumbering0"/>
        <w:spacing w:before="240" w:beforeAutospacing="0" w:after="240" w:afterAutospacing="0"/>
        <w:contextualSpacing/>
        <w:jc w:val="center"/>
        <w:rPr>
          <w:b/>
          <w:bCs/>
          <w:i/>
          <w:color w:val="000000" w:themeColor="text1"/>
        </w:rPr>
      </w:pPr>
      <w:r>
        <w:rPr>
          <w:b/>
          <w:bCs/>
          <w:i/>
          <w:color w:val="000000" w:themeColor="text1"/>
        </w:rPr>
        <w:t>Parliamentary Retirement Travel Regulations 2018</w:t>
      </w:r>
    </w:p>
    <w:p w14:paraId="2922A9AA" w14:textId="77777777" w:rsidR="00354DDF" w:rsidRDefault="002B22CB" w:rsidP="00354DDF">
      <w:pPr>
        <w:pStyle w:val="paranumbering0"/>
        <w:spacing w:before="240" w:beforeAutospacing="0" w:after="240" w:afterAutospacing="0"/>
        <w:contextualSpacing/>
      </w:pPr>
    </w:p>
    <w:p w14:paraId="2922A9AB" w14:textId="77777777" w:rsidR="00354DDF" w:rsidRDefault="002B22CB" w:rsidP="00354DDF">
      <w:pPr>
        <w:pStyle w:val="paranumbering0"/>
        <w:spacing w:before="240" w:beforeAutospacing="0" w:after="240" w:afterAutospacing="0"/>
        <w:contextualSpacing/>
      </w:pPr>
    </w:p>
    <w:p w14:paraId="2922A9AC" w14:textId="77777777" w:rsidR="00354DDF" w:rsidRPr="00354DDF" w:rsidRDefault="00143A54" w:rsidP="00354DDF">
      <w:pPr>
        <w:pStyle w:val="paranumbering0"/>
        <w:spacing w:before="240" w:beforeAutospacing="0" w:after="240" w:afterAutospacing="0"/>
        <w:contextualSpacing/>
        <w:rPr>
          <w:i/>
        </w:rPr>
      </w:pPr>
      <w:r w:rsidRPr="00FE00CC">
        <w:t>Th</w:t>
      </w:r>
      <w:r>
        <w:t>e</w:t>
      </w:r>
      <w:r w:rsidRPr="00FE00CC">
        <w:t>s</w:t>
      </w:r>
      <w:r>
        <w:t>e</w:t>
      </w:r>
      <w:r w:rsidRPr="00FE00CC">
        <w:t xml:space="preserve"> Regulation</w:t>
      </w:r>
      <w:r>
        <w:t xml:space="preserve">s are </w:t>
      </w:r>
      <w:r w:rsidRPr="00FE00CC">
        <w:t xml:space="preserve">compatible with the human rights and freedoms recognised or declared in the </w:t>
      </w:r>
      <w:r w:rsidRPr="00354DDF">
        <w:t xml:space="preserve">international instruments listed in section 3 of the </w:t>
      </w:r>
      <w:r w:rsidRPr="00354DDF">
        <w:rPr>
          <w:i/>
        </w:rPr>
        <w:t>Human Rights (Parliamentary Scrutiny) Act 2011.</w:t>
      </w:r>
    </w:p>
    <w:p w14:paraId="2922A9AD" w14:textId="77777777" w:rsidR="00354DDF" w:rsidRPr="00354DDF" w:rsidRDefault="00143A54" w:rsidP="00354DDF">
      <w:pPr>
        <w:spacing w:before="120"/>
        <w:rPr>
          <w:rFonts w:ascii="Times New Roman" w:hAnsi="Times New Roman"/>
          <w:b/>
          <w:sz w:val="24"/>
          <w:szCs w:val="24"/>
        </w:rPr>
      </w:pPr>
      <w:r w:rsidRPr="00354DDF">
        <w:rPr>
          <w:rFonts w:ascii="Times New Roman" w:hAnsi="Times New Roman"/>
          <w:b/>
          <w:sz w:val="24"/>
          <w:szCs w:val="24"/>
        </w:rPr>
        <w:t xml:space="preserve">Overview of the Legislative Instrument </w:t>
      </w:r>
    </w:p>
    <w:p w14:paraId="7560E5A9" w14:textId="77777777" w:rsidR="003D069A" w:rsidRDefault="00143A54" w:rsidP="00354DDF">
      <w:pPr>
        <w:pStyle w:val="paranumbering0"/>
        <w:spacing w:before="240" w:beforeAutospacing="0" w:after="240" w:afterAutospacing="0"/>
        <w:contextualSpacing/>
      </w:pPr>
      <w:r w:rsidRPr="00354DDF">
        <w:t xml:space="preserve">This Legislative Instrument </w:t>
      </w:r>
      <w:r w:rsidR="00F22543">
        <w:t xml:space="preserve">repeals and </w:t>
      </w:r>
      <w:r w:rsidR="003D069A">
        <w:t>replaces</w:t>
      </w:r>
      <w:r w:rsidR="00F22543">
        <w:t xml:space="preserve"> </w:t>
      </w:r>
      <w:proofErr w:type="spellStart"/>
      <w:r w:rsidR="00F22543">
        <w:t>sunsetting</w:t>
      </w:r>
      <w:proofErr w:type="spellEnd"/>
      <w:r w:rsidR="00F22543">
        <w:t xml:space="preserve"> regulations </w:t>
      </w:r>
      <w:r w:rsidR="003D069A">
        <w:t xml:space="preserve">made </w:t>
      </w:r>
      <w:r w:rsidR="00F22543">
        <w:t xml:space="preserve">under the </w:t>
      </w:r>
      <w:r w:rsidR="00F22543">
        <w:rPr>
          <w:i/>
        </w:rPr>
        <w:t xml:space="preserve">Parliamentary Retirement Travel Act 2002 </w:t>
      </w:r>
      <w:r w:rsidR="00F22543">
        <w:t>to</w:t>
      </w:r>
      <w:r w:rsidRPr="00354DDF">
        <w:t xml:space="preserve"> </w:t>
      </w:r>
      <w:r w:rsidR="00F22543">
        <w:t xml:space="preserve">declare exemptions to the stop-over rule </w:t>
      </w:r>
      <w:r w:rsidR="00A26051">
        <w:t>under that</w:t>
      </w:r>
      <w:r w:rsidR="00F22543">
        <w:t xml:space="preserve"> Act.</w:t>
      </w:r>
      <w:r w:rsidR="00743E92">
        <w:t xml:space="preserve"> </w:t>
      </w:r>
    </w:p>
    <w:p w14:paraId="7B69673A" w14:textId="77777777" w:rsidR="003D069A" w:rsidRDefault="003D069A" w:rsidP="00354DDF">
      <w:pPr>
        <w:pStyle w:val="paranumbering0"/>
        <w:spacing w:before="240" w:beforeAutospacing="0" w:after="240" w:afterAutospacing="0"/>
        <w:contextualSpacing/>
      </w:pPr>
    </w:p>
    <w:p w14:paraId="75CDCE70" w14:textId="3971496F" w:rsidR="003D069A" w:rsidRDefault="00F51B1A" w:rsidP="00354DDF">
      <w:pPr>
        <w:pStyle w:val="paranumbering0"/>
        <w:spacing w:before="240" w:beforeAutospacing="0" w:after="240" w:afterAutospacing="0"/>
        <w:contextualSpacing/>
      </w:pPr>
      <w:r>
        <w:t>T</w:t>
      </w:r>
      <w:r w:rsidR="00F22543">
        <w:t xml:space="preserve">he Act </w:t>
      </w:r>
      <w:r>
        <w:t>provides</w:t>
      </w:r>
      <w:r w:rsidR="00F22543">
        <w:t xml:space="preserve"> eligible former Prime Minister</w:t>
      </w:r>
      <w:r>
        <w:t>s</w:t>
      </w:r>
      <w:r w:rsidR="00F22543">
        <w:t xml:space="preserve"> (</w:t>
      </w:r>
      <w:r>
        <w:t>and</w:t>
      </w:r>
      <w:r w:rsidR="00F22543">
        <w:t xml:space="preserve"> their spouse or de facto</w:t>
      </w:r>
      <w:r w:rsidR="003D069A">
        <w:t xml:space="preserve"> partner</w:t>
      </w:r>
      <w:r w:rsidR="00F22543">
        <w:t xml:space="preserve">) </w:t>
      </w:r>
      <w:r w:rsidR="00A26051">
        <w:t xml:space="preserve">with </w:t>
      </w:r>
      <w:r>
        <w:t>access to</w:t>
      </w:r>
      <w:r w:rsidR="00F22543">
        <w:t xml:space="preserve"> travel at Commonwealth expense</w:t>
      </w:r>
      <w:r w:rsidR="003D069A">
        <w:t xml:space="preserve"> in certain circumstances</w:t>
      </w:r>
      <w:r w:rsidR="00F22543">
        <w:t xml:space="preserve">. </w:t>
      </w:r>
      <w:r w:rsidR="00CF5651">
        <w:t xml:space="preserve">The Act includes a cap on the number of domestic return trips that can be met annually at Commonwealth expense for eligible </w:t>
      </w:r>
      <w:r w:rsidR="003D069A">
        <w:t>travellers</w:t>
      </w:r>
      <w:r w:rsidR="00CF5651">
        <w:t>. If</w:t>
      </w:r>
      <w:r w:rsidR="00F22543">
        <w:t xml:space="preserve"> </w:t>
      </w:r>
      <w:r w:rsidR="00CF5651">
        <w:t xml:space="preserve">an eligible </w:t>
      </w:r>
      <w:r w:rsidR="003D069A">
        <w:t>traveller</w:t>
      </w:r>
      <w:r w:rsidR="005702E2">
        <w:t xml:space="preserve"> has</w:t>
      </w:r>
      <w:r w:rsidR="00CF5651">
        <w:t xml:space="preserve"> </w:t>
      </w:r>
      <w:r w:rsidR="00F22543">
        <w:t>a stop-over</w:t>
      </w:r>
      <w:r w:rsidR="00A64506">
        <w:t xml:space="preserve"> during a domestic return trip</w:t>
      </w:r>
      <w:r w:rsidR="00F22543">
        <w:t>, the ‘stop-over rule</w:t>
      </w:r>
      <w:r w:rsidR="00A26051">
        <w:t>’</w:t>
      </w:r>
      <w:r w:rsidR="00F22543">
        <w:t xml:space="preserve"> </w:t>
      </w:r>
      <w:r w:rsidR="00A26051">
        <w:t xml:space="preserve">provides that where </w:t>
      </w:r>
      <w:r w:rsidR="00A64506">
        <w:t>the</w:t>
      </w:r>
      <w:r w:rsidR="00A26051">
        <w:t xml:space="preserve"> stop-over is longer than 24 hours, </w:t>
      </w:r>
      <w:r w:rsidR="00A64506">
        <w:t xml:space="preserve">the traveller is taken to have completed </w:t>
      </w:r>
      <w:r w:rsidR="00A26051">
        <w:t xml:space="preserve">an additional 0.5 </w:t>
      </w:r>
      <w:r w:rsidR="00A64506">
        <w:t xml:space="preserve">domestic </w:t>
      </w:r>
      <w:r w:rsidR="00A26051">
        <w:t>return tri</w:t>
      </w:r>
      <w:r w:rsidR="00CF5651">
        <w:t>ps</w:t>
      </w:r>
      <w:r w:rsidR="00A26051">
        <w:t xml:space="preserve">. </w:t>
      </w:r>
    </w:p>
    <w:p w14:paraId="204D24D4" w14:textId="77777777" w:rsidR="003D069A" w:rsidRDefault="003D069A" w:rsidP="00354DDF">
      <w:pPr>
        <w:pStyle w:val="paranumbering0"/>
        <w:spacing w:before="240" w:beforeAutospacing="0" w:after="240" w:afterAutospacing="0"/>
        <w:contextualSpacing/>
      </w:pPr>
    </w:p>
    <w:p w14:paraId="2922A9AE" w14:textId="69236A64" w:rsidR="00354DDF" w:rsidRDefault="00A26051" w:rsidP="00354DDF">
      <w:pPr>
        <w:pStyle w:val="paranumbering0"/>
        <w:spacing w:before="240" w:beforeAutospacing="0" w:after="240" w:afterAutospacing="0"/>
        <w:contextualSpacing/>
      </w:pPr>
      <w:r>
        <w:t>Regulations</w:t>
      </w:r>
      <w:r w:rsidR="00CF5651">
        <w:t xml:space="preserve"> made under the Act</w:t>
      </w:r>
      <w:r>
        <w:t xml:space="preserve"> may declare</w:t>
      </w:r>
      <w:r w:rsidR="00CF5651">
        <w:t xml:space="preserve"> types of exceptional circumstances that will exempt an eligible </w:t>
      </w:r>
      <w:r w:rsidR="003D069A">
        <w:t>traveller</w:t>
      </w:r>
      <w:r w:rsidR="00CF5651">
        <w:t xml:space="preserve"> from the stop-over rule. This Legislative Instrument declares those circumstances to be health reasons (where an injury or illness prevents </w:t>
      </w:r>
      <w:r w:rsidR="003D069A">
        <w:t>travel</w:t>
      </w:r>
      <w:r w:rsidR="00CF5651">
        <w:t xml:space="preserve"> within 24 hours </w:t>
      </w:r>
      <w:r w:rsidR="00B47A44">
        <w:t xml:space="preserve">after </w:t>
      </w:r>
      <w:r w:rsidR="00CF5651">
        <w:t xml:space="preserve">the beginning of the stop-over) and transport reasons (where a delay or cancellation of a scheduled transport service prevents </w:t>
      </w:r>
      <w:r w:rsidR="003D069A">
        <w:t>travel</w:t>
      </w:r>
      <w:r w:rsidR="00CF5651">
        <w:t xml:space="preserve"> within 24 hours </w:t>
      </w:r>
      <w:r w:rsidR="00B47A44">
        <w:t xml:space="preserve">after </w:t>
      </w:r>
      <w:r w:rsidR="00CF5651">
        <w:t xml:space="preserve">the beginning of the stop-over). </w:t>
      </w:r>
      <w:r w:rsidR="003D069A">
        <w:t>The Legislative Instrument also sets out evidentiary requirements for persons seeking to rely on an exemption.</w:t>
      </w:r>
    </w:p>
    <w:p w14:paraId="2922A9B1" w14:textId="77777777" w:rsidR="00354DDF" w:rsidRPr="00354DDF" w:rsidRDefault="00143A54" w:rsidP="00354DDF">
      <w:pPr>
        <w:spacing w:before="120"/>
        <w:rPr>
          <w:rFonts w:ascii="Times New Roman" w:hAnsi="Times New Roman"/>
          <w:b/>
          <w:sz w:val="24"/>
          <w:szCs w:val="24"/>
        </w:rPr>
      </w:pPr>
      <w:r w:rsidRPr="00354DDF">
        <w:rPr>
          <w:rFonts w:ascii="Times New Roman" w:hAnsi="Times New Roman"/>
          <w:b/>
          <w:sz w:val="24"/>
          <w:szCs w:val="24"/>
        </w:rPr>
        <w:t>Human rights implications</w:t>
      </w:r>
    </w:p>
    <w:p w14:paraId="2922A9B2" w14:textId="77777777" w:rsidR="00354DDF" w:rsidRPr="00354DDF" w:rsidRDefault="00143A54" w:rsidP="00354DDF">
      <w:pPr>
        <w:spacing w:before="120" w:after="240"/>
        <w:rPr>
          <w:rFonts w:ascii="Times New Roman" w:hAnsi="Times New Roman"/>
          <w:sz w:val="24"/>
          <w:szCs w:val="24"/>
        </w:rPr>
      </w:pPr>
      <w:r w:rsidRPr="00354DDF">
        <w:rPr>
          <w:rFonts w:ascii="Times New Roman" w:hAnsi="Times New Roman"/>
          <w:sz w:val="24"/>
          <w:szCs w:val="24"/>
        </w:rPr>
        <w:t xml:space="preserve">This Legislative Instrument does not engage any of the applicable rights or freedoms. </w:t>
      </w:r>
    </w:p>
    <w:p w14:paraId="2922A9B3" w14:textId="77777777" w:rsidR="00354DDF" w:rsidRPr="00354DDF" w:rsidRDefault="00143A54" w:rsidP="00354DDF">
      <w:pPr>
        <w:spacing w:before="120"/>
        <w:rPr>
          <w:rFonts w:ascii="Times New Roman" w:hAnsi="Times New Roman"/>
          <w:b/>
          <w:sz w:val="24"/>
          <w:szCs w:val="24"/>
        </w:rPr>
      </w:pPr>
      <w:r w:rsidRPr="00354DDF">
        <w:rPr>
          <w:rFonts w:ascii="Times New Roman" w:hAnsi="Times New Roman"/>
          <w:b/>
          <w:sz w:val="24"/>
          <w:szCs w:val="24"/>
        </w:rPr>
        <w:t>Conclusion</w:t>
      </w:r>
    </w:p>
    <w:p w14:paraId="2922A9B4" w14:textId="77777777" w:rsidR="00354DDF" w:rsidRPr="00354DDF" w:rsidRDefault="00143A54" w:rsidP="00354DDF">
      <w:pPr>
        <w:spacing w:before="120"/>
        <w:rPr>
          <w:rFonts w:ascii="Times New Roman" w:hAnsi="Times New Roman"/>
          <w:sz w:val="24"/>
          <w:szCs w:val="24"/>
        </w:rPr>
      </w:pPr>
      <w:r w:rsidRPr="00354DDF">
        <w:rPr>
          <w:rFonts w:ascii="Times New Roman" w:hAnsi="Times New Roman"/>
          <w:sz w:val="24"/>
          <w:szCs w:val="24"/>
        </w:rPr>
        <w:t xml:space="preserve">This Legislative Instrument is compatible with human rights as it does not raise any human rights issues. </w:t>
      </w:r>
    </w:p>
    <w:p w14:paraId="2922A9B5" w14:textId="77777777" w:rsidR="006818C0" w:rsidRPr="00354DDF" w:rsidRDefault="002B22CB" w:rsidP="006818C0">
      <w:pPr>
        <w:pStyle w:val="paranumbering0"/>
        <w:spacing w:before="0" w:beforeAutospacing="0" w:after="120" w:afterAutospacing="0"/>
        <w:contextualSpacing/>
      </w:pPr>
    </w:p>
    <w:p w14:paraId="2922A9B6" w14:textId="462E9FC5" w:rsidR="00354DDF" w:rsidRPr="00354DDF" w:rsidRDefault="005C4627" w:rsidP="00354DDF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Alex Hawke</w:t>
      </w:r>
    </w:p>
    <w:p w14:paraId="2922A9B7" w14:textId="3D8B6F0F" w:rsidR="00354DDF" w:rsidRPr="00354DDF" w:rsidRDefault="005C4627" w:rsidP="00354DDF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Special </w:t>
      </w:r>
      <w:r w:rsidR="008523B2" w:rsidRPr="008523B2">
        <w:rPr>
          <w:rFonts w:ascii="Times New Roman" w:hAnsi="Times New Roman"/>
          <w:b/>
          <w:sz w:val="24"/>
          <w:szCs w:val="24"/>
        </w:rPr>
        <w:t xml:space="preserve">Minister </w:t>
      </w:r>
      <w:r>
        <w:rPr>
          <w:rFonts w:ascii="Times New Roman" w:hAnsi="Times New Roman"/>
          <w:b/>
          <w:sz w:val="24"/>
          <w:szCs w:val="24"/>
        </w:rPr>
        <w:t>of State</w:t>
      </w:r>
    </w:p>
    <w:p w14:paraId="2922A9B8" w14:textId="77777777" w:rsidR="00354DDF" w:rsidRPr="00354DDF" w:rsidRDefault="002B22CB" w:rsidP="00354DDF">
      <w:pPr>
        <w:rPr>
          <w:rFonts w:ascii="Times New Roman" w:hAnsi="Times New Roman"/>
          <w:b/>
          <w:sz w:val="24"/>
          <w:szCs w:val="24"/>
          <w:u w:val="single"/>
        </w:rPr>
      </w:pPr>
    </w:p>
    <w:sectPr w:rsidR="00354DDF" w:rsidRPr="00354DDF" w:rsidSect="004D676F">
      <w:headerReference w:type="even" r:id="rId16"/>
      <w:headerReference w:type="default" r:id="rId17"/>
      <w:headerReference w:type="first" r:id="rId18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2A9CC" w14:textId="77777777" w:rsidR="009274CA" w:rsidRDefault="00143A54">
      <w:r>
        <w:separator/>
      </w:r>
    </w:p>
  </w:endnote>
  <w:endnote w:type="continuationSeparator" w:id="0">
    <w:p w14:paraId="2922A9CE" w14:textId="77777777" w:rsidR="009274CA" w:rsidRDefault="0014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2A9C8" w14:textId="77777777" w:rsidR="009274CA" w:rsidRDefault="00143A54">
      <w:r>
        <w:separator/>
      </w:r>
    </w:p>
  </w:footnote>
  <w:footnote w:type="continuationSeparator" w:id="0">
    <w:p w14:paraId="2922A9CA" w14:textId="77777777" w:rsidR="009274CA" w:rsidRDefault="00143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2A9BA" w14:textId="2FA9B42B" w:rsidR="004D676F" w:rsidRDefault="002B22CB">
    <w:pPr>
      <w:pStyle w:val="Header"/>
      <w:jc w:val="center"/>
    </w:pPr>
    <w:sdt>
      <w:sdtPr>
        <w:id w:val="8403760"/>
        <w:docPartObj>
          <w:docPartGallery w:val="Page Numbers (Top of Page)"/>
          <w:docPartUnique/>
        </w:docPartObj>
      </w:sdtPr>
      <w:sdtEndPr/>
      <w:sdtContent>
        <w:r w:rsidR="00143A54">
          <w:fldChar w:fldCharType="begin"/>
        </w:r>
        <w:r w:rsidR="00143A54">
          <w:instrText xml:space="preserve"> PAGE   \* MERGEFORMAT </w:instrText>
        </w:r>
        <w:r w:rsidR="00143A54">
          <w:fldChar w:fldCharType="separate"/>
        </w:r>
        <w:r>
          <w:rPr>
            <w:noProof/>
          </w:rPr>
          <w:t>2</w:t>
        </w:r>
        <w:r w:rsidR="00143A54">
          <w:rPr>
            <w:noProof/>
          </w:rPr>
          <w:fldChar w:fldCharType="end"/>
        </w:r>
      </w:sdtContent>
    </w:sdt>
  </w:p>
  <w:p w14:paraId="2922A9BB" w14:textId="77777777" w:rsidR="004D676F" w:rsidRDefault="002B22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2A9BC" w14:textId="77777777" w:rsidR="004D676F" w:rsidRPr="00CA76CF" w:rsidRDefault="002B22CB" w:rsidP="004D676F">
    <w:pPr>
      <w:pStyle w:val="Header"/>
      <w:jc w:val="right"/>
      <w:rPr>
        <w:b/>
        <w:u w:val="single"/>
      </w:rPr>
    </w:pPr>
  </w:p>
  <w:p w14:paraId="2922A9BD" w14:textId="77777777" w:rsidR="004D676F" w:rsidRDefault="002B22C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2A9BE" w14:textId="77777777" w:rsidR="003C7169" w:rsidRDefault="002B22C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2A9BF" w14:textId="4C43FA59" w:rsidR="004D676F" w:rsidRDefault="002B22CB">
    <w:pPr>
      <w:pStyle w:val="Header"/>
      <w:jc w:val="center"/>
    </w:pPr>
    <w:sdt>
      <w:sdtPr>
        <w:id w:val="1244061364"/>
        <w:docPartObj>
          <w:docPartGallery w:val="Page Numbers (Top of Page)"/>
          <w:docPartUnique/>
        </w:docPartObj>
      </w:sdtPr>
      <w:sdtEndPr/>
      <w:sdtContent>
        <w:r w:rsidR="00143A54">
          <w:fldChar w:fldCharType="begin"/>
        </w:r>
        <w:r w:rsidR="00143A54">
          <w:instrText xml:space="preserve"> PAGE   \* MERGEFORMAT </w:instrText>
        </w:r>
        <w:r w:rsidR="00143A54">
          <w:fldChar w:fldCharType="separate"/>
        </w:r>
        <w:r>
          <w:rPr>
            <w:noProof/>
          </w:rPr>
          <w:t>3</w:t>
        </w:r>
        <w:r w:rsidR="00143A54">
          <w:rPr>
            <w:noProof/>
          </w:rPr>
          <w:fldChar w:fldCharType="end"/>
        </w:r>
      </w:sdtContent>
    </w:sdt>
  </w:p>
  <w:p w14:paraId="2922A9C0" w14:textId="77777777" w:rsidR="004D676F" w:rsidRDefault="002B22C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2A9C1" w14:textId="77777777" w:rsidR="004D676F" w:rsidRPr="00CA76CF" w:rsidRDefault="00143A54" w:rsidP="004D676F">
    <w:pPr>
      <w:pStyle w:val="Header"/>
      <w:jc w:val="right"/>
      <w:rPr>
        <w:b/>
        <w:u w:val="single"/>
      </w:rPr>
    </w:pPr>
    <w:r w:rsidRPr="0088187F">
      <w:rPr>
        <w:b/>
        <w:u w:val="single"/>
      </w:rPr>
      <w:t>Attachment A</w:t>
    </w:r>
  </w:p>
  <w:p w14:paraId="2922A9C2" w14:textId="77777777" w:rsidR="004D676F" w:rsidRDefault="002B22CB">
    <w:pPr>
      <w:pStyle w:val="Header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2A9C3" w14:textId="77777777" w:rsidR="003C7169" w:rsidRDefault="002B22C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2A9C4" w14:textId="77777777" w:rsidR="004D676F" w:rsidRDefault="002B22CB">
    <w:pPr>
      <w:pStyle w:val="Header"/>
      <w:jc w:val="center"/>
    </w:pPr>
    <w:sdt>
      <w:sdtPr>
        <w:id w:val="8403763"/>
        <w:docPartObj>
          <w:docPartGallery w:val="Page Numbers (Top of Page)"/>
          <w:docPartUnique/>
        </w:docPartObj>
      </w:sdtPr>
      <w:sdtEndPr/>
      <w:sdtContent>
        <w:r w:rsidR="00143A54">
          <w:fldChar w:fldCharType="begin"/>
        </w:r>
        <w:r w:rsidR="00143A54">
          <w:instrText xml:space="preserve"> PAGE   \* MERGEFORMAT </w:instrText>
        </w:r>
        <w:r w:rsidR="00143A54">
          <w:fldChar w:fldCharType="separate"/>
        </w:r>
        <w:r w:rsidR="00143A54">
          <w:rPr>
            <w:noProof/>
          </w:rPr>
          <w:t>3</w:t>
        </w:r>
        <w:r w:rsidR="00143A54">
          <w:rPr>
            <w:noProof/>
          </w:rPr>
          <w:fldChar w:fldCharType="end"/>
        </w:r>
      </w:sdtContent>
    </w:sdt>
  </w:p>
  <w:p w14:paraId="2922A9C5" w14:textId="77777777" w:rsidR="004D676F" w:rsidRDefault="002B22C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2A9C6" w14:textId="77777777" w:rsidR="004D676F" w:rsidRPr="00CA76CF" w:rsidRDefault="00143A54" w:rsidP="004D676F">
    <w:pPr>
      <w:pStyle w:val="Header"/>
      <w:jc w:val="right"/>
      <w:rPr>
        <w:b/>
        <w:u w:val="single"/>
      </w:rPr>
    </w:pPr>
    <w:r w:rsidRPr="0088187F">
      <w:rPr>
        <w:b/>
        <w:u w:val="single"/>
      </w:rPr>
      <w:t xml:space="preserve">Attachment </w:t>
    </w:r>
    <w:r>
      <w:rPr>
        <w:b/>
        <w:u w:val="single"/>
      </w:rPr>
      <w:t>B</w:t>
    </w:r>
  </w:p>
  <w:p w14:paraId="2922A9C7" w14:textId="77777777" w:rsidR="004D676F" w:rsidRDefault="002B22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3DC"/>
    <w:multiLevelType w:val="hybridMultilevel"/>
    <w:tmpl w:val="919A5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064C"/>
    <w:multiLevelType w:val="hybridMultilevel"/>
    <w:tmpl w:val="94506AF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037ACF"/>
    <w:multiLevelType w:val="hybridMultilevel"/>
    <w:tmpl w:val="5A583EFC"/>
    <w:lvl w:ilvl="0" w:tplc="D7403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62A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96D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61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2D9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43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0AA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44B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3CAD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F06BB"/>
    <w:multiLevelType w:val="hybridMultilevel"/>
    <w:tmpl w:val="AB3CA2CC"/>
    <w:lvl w:ilvl="0" w:tplc="D38EA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24E8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2EF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81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25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488C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D2B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05A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6E98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E4AF7"/>
    <w:multiLevelType w:val="multilevel"/>
    <w:tmpl w:val="3A6A6910"/>
    <w:lvl w:ilvl="0">
      <w:start w:val="1"/>
      <w:numFmt w:val="bullet"/>
      <w:lvlText w:val=""/>
      <w:lvlJc w:val="left"/>
      <w:pPr>
        <w:tabs>
          <w:tab w:val="num" w:pos="357"/>
        </w:tabs>
        <w:ind w:left="720" w:hanging="363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0"/>
        <w:u w:val="none"/>
        <w:effect w:val="none"/>
        <w:vertAlign w:val="baseline"/>
        <w:specVanish w:val="0"/>
      </w:rPr>
    </w:lvl>
    <w:lvl w:ilvl="1"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b w:val="0"/>
        <w:i w:val="0"/>
      </w:rPr>
    </w:lvl>
  </w:abstractNum>
  <w:abstractNum w:abstractNumId="5" w15:restartNumberingAfterBreak="0">
    <w:nsid w:val="1548191A"/>
    <w:multiLevelType w:val="hybridMultilevel"/>
    <w:tmpl w:val="7F66D1B0"/>
    <w:lvl w:ilvl="0" w:tplc="13341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9874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326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6E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AC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3A2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007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EF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1C48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61DF4"/>
    <w:multiLevelType w:val="hybridMultilevel"/>
    <w:tmpl w:val="B896C74C"/>
    <w:lvl w:ilvl="0" w:tplc="B860E4D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062D9"/>
    <w:multiLevelType w:val="multilevel"/>
    <w:tmpl w:val="3A6A6910"/>
    <w:lvl w:ilvl="0">
      <w:start w:val="1"/>
      <w:numFmt w:val="bullet"/>
      <w:lvlText w:val=""/>
      <w:lvlJc w:val="left"/>
      <w:pPr>
        <w:tabs>
          <w:tab w:val="num" w:pos="357"/>
        </w:tabs>
        <w:ind w:left="720" w:hanging="363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0"/>
        <w:u w:val="none"/>
        <w:effect w:val="none"/>
        <w:vertAlign w:val="baseline"/>
        <w:specVanish w:val="0"/>
      </w:rPr>
    </w:lvl>
    <w:lvl w:ilvl="1"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b w:val="0"/>
        <w:i w:val="0"/>
      </w:rPr>
    </w:lvl>
  </w:abstractNum>
  <w:abstractNum w:abstractNumId="8" w15:restartNumberingAfterBreak="0">
    <w:nsid w:val="1A1A0EEA"/>
    <w:multiLevelType w:val="hybridMultilevel"/>
    <w:tmpl w:val="B082E1AE"/>
    <w:lvl w:ilvl="0" w:tplc="630C201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094B09"/>
    <w:multiLevelType w:val="multilevel"/>
    <w:tmpl w:val="51848E46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F6777"/>
    <w:multiLevelType w:val="multilevel"/>
    <w:tmpl w:val="3A6A6910"/>
    <w:lvl w:ilvl="0">
      <w:start w:val="1"/>
      <w:numFmt w:val="bullet"/>
      <w:lvlText w:val=""/>
      <w:lvlJc w:val="left"/>
      <w:pPr>
        <w:tabs>
          <w:tab w:val="num" w:pos="357"/>
        </w:tabs>
        <w:ind w:left="720" w:hanging="363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0"/>
        <w:u w:val="none"/>
        <w:effect w:val="none"/>
        <w:vertAlign w:val="baseline"/>
        <w:specVanish w:val="0"/>
      </w:rPr>
    </w:lvl>
    <w:lvl w:ilvl="1"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b w:val="0"/>
        <w:i w:val="0"/>
      </w:rPr>
    </w:lvl>
  </w:abstractNum>
  <w:abstractNum w:abstractNumId="11" w15:restartNumberingAfterBreak="0">
    <w:nsid w:val="43362DC2"/>
    <w:multiLevelType w:val="hybridMultilevel"/>
    <w:tmpl w:val="528E7DA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203D44"/>
    <w:multiLevelType w:val="hybridMultilevel"/>
    <w:tmpl w:val="50AEADF4"/>
    <w:lvl w:ilvl="0" w:tplc="BFC22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C6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44B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4D0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A1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92C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489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42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FCC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47FEF"/>
    <w:multiLevelType w:val="hybridMultilevel"/>
    <w:tmpl w:val="9476D5C0"/>
    <w:lvl w:ilvl="0" w:tplc="16122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22F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BA9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850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2F5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687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E1A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EB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5E6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E6918"/>
    <w:multiLevelType w:val="multilevel"/>
    <w:tmpl w:val="0C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9E4518C"/>
    <w:multiLevelType w:val="multilevel"/>
    <w:tmpl w:val="B818EBAC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"/>
      <w:lvlJc w:val="left"/>
      <w:pPr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7" w15:restartNumberingAfterBreak="0">
    <w:nsid w:val="5D071142"/>
    <w:multiLevelType w:val="hybridMultilevel"/>
    <w:tmpl w:val="5E02F0A2"/>
    <w:lvl w:ilvl="0" w:tplc="9C12D12E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98542B"/>
    <w:multiLevelType w:val="hybridMultilevel"/>
    <w:tmpl w:val="7884D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40D84"/>
    <w:multiLevelType w:val="multilevel"/>
    <w:tmpl w:val="3A6A6910"/>
    <w:lvl w:ilvl="0">
      <w:start w:val="1"/>
      <w:numFmt w:val="bullet"/>
      <w:lvlText w:val=""/>
      <w:lvlJc w:val="left"/>
      <w:pPr>
        <w:tabs>
          <w:tab w:val="num" w:pos="357"/>
        </w:tabs>
        <w:ind w:left="720" w:hanging="363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0"/>
        <w:u w:val="none"/>
        <w:effect w:val="none"/>
        <w:vertAlign w:val="baseline"/>
        <w:specVanish w:val="0"/>
      </w:rPr>
    </w:lvl>
    <w:lvl w:ilvl="1"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b w:val="0"/>
        <w:i w:val="0"/>
      </w:rPr>
    </w:lvl>
  </w:abstractNum>
  <w:abstractNum w:abstractNumId="20" w15:restartNumberingAfterBreak="0">
    <w:nsid w:val="6CC93C0A"/>
    <w:multiLevelType w:val="multilevel"/>
    <w:tmpl w:val="0C09001D"/>
    <w:numStyleLink w:val="Style1"/>
  </w:abstractNum>
  <w:abstractNum w:abstractNumId="21" w15:restartNumberingAfterBreak="0">
    <w:nsid w:val="6FF7250A"/>
    <w:multiLevelType w:val="multilevel"/>
    <w:tmpl w:val="3A6A6910"/>
    <w:lvl w:ilvl="0">
      <w:start w:val="1"/>
      <w:numFmt w:val="bullet"/>
      <w:lvlText w:val=""/>
      <w:lvlJc w:val="left"/>
      <w:pPr>
        <w:tabs>
          <w:tab w:val="num" w:pos="357"/>
        </w:tabs>
        <w:ind w:left="720" w:hanging="363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0"/>
        <w:u w:val="none"/>
        <w:effect w:val="none"/>
        <w:vertAlign w:val="baseline"/>
        <w:specVanish w:val="0"/>
      </w:rPr>
    </w:lvl>
    <w:lvl w:ilvl="1"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b w:val="0"/>
        <w:i w:val="0"/>
      </w:rPr>
    </w:lvl>
  </w:abstractNum>
  <w:abstractNum w:abstractNumId="22" w15:restartNumberingAfterBreak="0">
    <w:nsid w:val="70C3457F"/>
    <w:multiLevelType w:val="multilevel"/>
    <w:tmpl w:val="3A6A6910"/>
    <w:lvl w:ilvl="0">
      <w:start w:val="1"/>
      <w:numFmt w:val="bullet"/>
      <w:lvlText w:val=""/>
      <w:lvlJc w:val="left"/>
      <w:pPr>
        <w:tabs>
          <w:tab w:val="num" w:pos="357"/>
        </w:tabs>
        <w:ind w:left="720" w:hanging="363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0"/>
        <w:u w:val="none"/>
        <w:effect w:val="none"/>
        <w:vertAlign w:val="baseline"/>
        <w:specVanish w:val="0"/>
      </w:rPr>
    </w:lvl>
    <w:lvl w:ilvl="1"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b w:val="0"/>
        <w:i w:val="0"/>
      </w:rPr>
    </w:lvl>
  </w:abstractNum>
  <w:abstractNum w:abstractNumId="23" w15:restartNumberingAfterBreak="0">
    <w:nsid w:val="71D0787A"/>
    <w:multiLevelType w:val="hybridMultilevel"/>
    <w:tmpl w:val="46AA5EDE"/>
    <w:lvl w:ilvl="0" w:tplc="2FECC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847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A4F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405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6D2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E84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8E5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E7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16CD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C1578"/>
    <w:multiLevelType w:val="hybridMultilevel"/>
    <w:tmpl w:val="AB4E850C"/>
    <w:lvl w:ilvl="0" w:tplc="DA688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A856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E640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27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00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ECF7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0E7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8F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3EB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57126"/>
    <w:multiLevelType w:val="hybridMultilevel"/>
    <w:tmpl w:val="B1022DF2"/>
    <w:lvl w:ilvl="0" w:tplc="32EE3D0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0"/>
  </w:num>
  <w:num w:numId="4">
    <w:abstractNumId w:val="21"/>
  </w:num>
  <w:num w:numId="5">
    <w:abstractNumId w:val="9"/>
  </w:num>
  <w:num w:numId="6">
    <w:abstractNumId w:val="4"/>
  </w:num>
  <w:num w:numId="7">
    <w:abstractNumId w:val="7"/>
  </w:num>
  <w:num w:numId="8">
    <w:abstractNumId w:val="15"/>
  </w:num>
  <w:num w:numId="9">
    <w:abstractNumId w:val="13"/>
  </w:num>
  <w:num w:numId="10">
    <w:abstractNumId w:val="24"/>
  </w:num>
  <w:num w:numId="11">
    <w:abstractNumId w:val="22"/>
  </w:num>
  <w:num w:numId="12">
    <w:abstractNumId w:val="19"/>
  </w:num>
  <w:num w:numId="13">
    <w:abstractNumId w:val="10"/>
  </w:num>
  <w:num w:numId="14">
    <w:abstractNumId w:val="3"/>
  </w:num>
  <w:num w:numId="15">
    <w:abstractNumId w:val="2"/>
  </w:num>
  <w:num w:numId="16">
    <w:abstractNumId w:val="12"/>
  </w:num>
  <w:num w:numId="17">
    <w:abstractNumId w:val="16"/>
  </w:num>
  <w:num w:numId="18">
    <w:abstractNumId w:val="23"/>
  </w:num>
  <w:num w:numId="19">
    <w:abstractNumId w:val="23"/>
  </w:num>
  <w:num w:numId="20">
    <w:abstractNumId w:val="17"/>
  </w:num>
  <w:num w:numId="21">
    <w:abstractNumId w:val="25"/>
  </w:num>
  <w:num w:numId="22">
    <w:abstractNumId w:val="18"/>
  </w:num>
  <w:num w:numId="23">
    <w:abstractNumId w:val="8"/>
  </w:num>
  <w:num w:numId="24">
    <w:abstractNumId w:val="1"/>
  </w:num>
  <w:num w:numId="25">
    <w:abstractNumId w:val="11"/>
  </w:num>
  <w:num w:numId="26">
    <w:abstractNumId w:val="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54"/>
    <w:rsid w:val="000D220D"/>
    <w:rsid w:val="00122FB5"/>
    <w:rsid w:val="00143A54"/>
    <w:rsid w:val="00154BB2"/>
    <w:rsid w:val="00173548"/>
    <w:rsid w:val="002228A7"/>
    <w:rsid w:val="002A007A"/>
    <w:rsid w:val="002B22CB"/>
    <w:rsid w:val="002B65F4"/>
    <w:rsid w:val="00301074"/>
    <w:rsid w:val="00325958"/>
    <w:rsid w:val="003665EC"/>
    <w:rsid w:val="003D069A"/>
    <w:rsid w:val="003D3C67"/>
    <w:rsid w:val="004001B5"/>
    <w:rsid w:val="00410830"/>
    <w:rsid w:val="00412FC9"/>
    <w:rsid w:val="00415572"/>
    <w:rsid w:val="004412AF"/>
    <w:rsid w:val="0048646D"/>
    <w:rsid w:val="004A2786"/>
    <w:rsid w:val="004F5061"/>
    <w:rsid w:val="00502F67"/>
    <w:rsid w:val="0051735C"/>
    <w:rsid w:val="00523ECA"/>
    <w:rsid w:val="0053793F"/>
    <w:rsid w:val="005547B0"/>
    <w:rsid w:val="00560E52"/>
    <w:rsid w:val="005702E2"/>
    <w:rsid w:val="00570C08"/>
    <w:rsid w:val="00596F90"/>
    <w:rsid w:val="005A5315"/>
    <w:rsid w:val="005A7359"/>
    <w:rsid w:val="005B7F37"/>
    <w:rsid w:val="005C4627"/>
    <w:rsid w:val="005D5A8F"/>
    <w:rsid w:val="00606BF1"/>
    <w:rsid w:val="0062689A"/>
    <w:rsid w:val="00642218"/>
    <w:rsid w:val="00644DAD"/>
    <w:rsid w:val="00650EA2"/>
    <w:rsid w:val="006F55AA"/>
    <w:rsid w:val="00702882"/>
    <w:rsid w:val="00706174"/>
    <w:rsid w:val="007103B2"/>
    <w:rsid w:val="00743E92"/>
    <w:rsid w:val="00746C3B"/>
    <w:rsid w:val="00751D65"/>
    <w:rsid w:val="00770FED"/>
    <w:rsid w:val="007A103B"/>
    <w:rsid w:val="007C673C"/>
    <w:rsid w:val="007D476B"/>
    <w:rsid w:val="00814221"/>
    <w:rsid w:val="008523B2"/>
    <w:rsid w:val="00880BA5"/>
    <w:rsid w:val="00907FEE"/>
    <w:rsid w:val="009274CA"/>
    <w:rsid w:val="0093311F"/>
    <w:rsid w:val="009D609B"/>
    <w:rsid w:val="009F3FA1"/>
    <w:rsid w:val="00A245AB"/>
    <w:rsid w:val="00A26051"/>
    <w:rsid w:val="00A34A6F"/>
    <w:rsid w:val="00A364F7"/>
    <w:rsid w:val="00A5490B"/>
    <w:rsid w:val="00A64506"/>
    <w:rsid w:val="00A65924"/>
    <w:rsid w:val="00AB52BF"/>
    <w:rsid w:val="00AB5F14"/>
    <w:rsid w:val="00B073CA"/>
    <w:rsid w:val="00B47A44"/>
    <w:rsid w:val="00BA7120"/>
    <w:rsid w:val="00C55D1D"/>
    <w:rsid w:val="00C66654"/>
    <w:rsid w:val="00C74818"/>
    <w:rsid w:val="00C74A98"/>
    <w:rsid w:val="00C81CA8"/>
    <w:rsid w:val="00C82B71"/>
    <w:rsid w:val="00CD0295"/>
    <w:rsid w:val="00CD225B"/>
    <w:rsid w:val="00CD5D3F"/>
    <w:rsid w:val="00CF5651"/>
    <w:rsid w:val="00D148FA"/>
    <w:rsid w:val="00D34D8B"/>
    <w:rsid w:val="00D802B0"/>
    <w:rsid w:val="00D83B87"/>
    <w:rsid w:val="00E04CB6"/>
    <w:rsid w:val="00E621DC"/>
    <w:rsid w:val="00E64C8A"/>
    <w:rsid w:val="00E856DF"/>
    <w:rsid w:val="00E91ABC"/>
    <w:rsid w:val="00F22543"/>
    <w:rsid w:val="00F30A3E"/>
    <w:rsid w:val="00F51B1A"/>
    <w:rsid w:val="00F92AC3"/>
    <w:rsid w:val="00F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2A967"/>
  <w15:docId w15:val="{4CF64A68-128D-42B6-A1AC-F0AC5094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18C0"/>
    <w:pPr>
      <w:spacing w:after="0" w:line="240" w:lineRule="auto"/>
    </w:pPr>
    <w:rPr>
      <w:rFonts w:ascii="Calibri" w:eastAsia="Calibri" w:hAnsi="Calibri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11,NFP GP Bulleted List,Recommendation"/>
    <w:basedOn w:val="Normal"/>
    <w:link w:val="ListParagraphChar"/>
    <w:uiPriority w:val="34"/>
    <w:qFormat/>
    <w:rsid w:val="006818C0"/>
    <w:pPr>
      <w:ind w:left="720"/>
      <w:contextualSpacing/>
    </w:pPr>
    <w:rPr>
      <w:rFonts w:ascii="Times New Roman" w:eastAsiaTheme="minorHAnsi" w:hAnsi="Times New Roman" w:cstheme="minorBidi"/>
      <w:color w:val="000000" w:themeColor="text1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6818C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818C0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ParaNumbering">
    <w:name w:val="Para Numbering"/>
    <w:basedOn w:val="Normal"/>
    <w:rsid w:val="006818C0"/>
    <w:pPr>
      <w:tabs>
        <w:tab w:val="num" w:pos="360"/>
        <w:tab w:val="left" w:pos="567"/>
      </w:tabs>
      <w:spacing w:after="240" w:line="240" w:lineRule="atLeast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ListParagraphChar">
    <w:name w:val="List Paragraph Char"/>
    <w:aliases w:val="List Paragraph1 Char,List Paragraph11 Char,NFP GP Bulleted List Char,Recommendation Char"/>
    <w:basedOn w:val="DefaultParagraphFont"/>
    <w:link w:val="ListParagraph"/>
    <w:uiPriority w:val="34"/>
    <w:locked/>
    <w:rsid w:val="006818C0"/>
    <w:rPr>
      <w:rFonts w:ascii="Times New Roman" w:hAnsi="Times New Roman"/>
      <w:color w:val="000000" w:themeColor="text1"/>
      <w:sz w:val="24"/>
    </w:rPr>
  </w:style>
  <w:style w:type="paragraph" w:customStyle="1" w:styleId="paranumbering0">
    <w:name w:val="paranumbering"/>
    <w:basedOn w:val="Normal"/>
    <w:uiPriority w:val="99"/>
    <w:rsid w:val="006818C0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numbering" w:customStyle="1" w:styleId="Style1">
    <w:name w:val="Style1"/>
    <w:uiPriority w:val="99"/>
    <w:rsid w:val="006818C0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270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F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F41"/>
    <w:rPr>
      <w:rFonts w:ascii="Calibri" w:eastAsia="Calibri" w:hAnsi="Calibri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F41"/>
    <w:rPr>
      <w:rFonts w:ascii="Calibri" w:eastAsia="Calibri" w:hAnsi="Calibri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F41"/>
    <w:rPr>
      <w:rFonts w:ascii="Tahoma" w:eastAsia="Calibri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unhideWhenUsed/>
    <w:rsid w:val="00D10B4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C71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169"/>
    <w:rPr>
      <w:rFonts w:ascii="Calibri" w:eastAsia="Calibri" w:hAnsi="Calibri" w:cs="Times New Roman"/>
      <w:lang w:eastAsia="en-AU"/>
    </w:rPr>
  </w:style>
  <w:style w:type="paragraph" w:styleId="Revision">
    <w:name w:val="Revision"/>
    <w:hidden/>
    <w:uiPriority w:val="99"/>
    <w:semiHidden/>
    <w:rsid w:val="003C474E"/>
    <w:pPr>
      <w:spacing w:after="0" w:line="240" w:lineRule="auto"/>
    </w:pPr>
    <w:rPr>
      <w:rFonts w:ascii="Calibri" w:eastAsia="Calibri" w:hAnsi="Calibri" w:cs="Times New Roman"/>
      <w:lang w:eastAsia="en-AU"/>
    </w:rPr>
  </w:style>
  <w:style w:type="paragraph" w:customStyle="1" w:styleId="CABNETParagraphAtt">
    <w:name w:val="CABNET Paragraph Att"/>
    <w:basedOn w:val="Normal"/>
    <w:link w:val="CABNETParagraphAttChar"/>
    <w:qFormat/>
    <w:rsid w:val="00DA6E7D"/>
    <w:pPr>
      <w:spacing w:before="120" w:after="120"/>
    </w:pPr>
    <w:rPr>
      <w:rFonts w:ascii="Verdana" w:eastAsia="Times New Roman" w:hAnsi="Verdana"/>
      <w:szCs w:val="24"/>
    </w:rPr>
  </w:style>
  <w:style w:type="character" w:customStyle="1" w:styleId="CABNETParagraphAttChar">
    <w:name w:val="CABNET Paragraph Att Char"/>
    <w:basedOn w:val="DefaultParagraphFont"/>
    <w:link w:val="CABNETParagraphAtt"/>
    <w:rsid w:val="00DA6E7D"/>
    <w:rPr>
      <w:rFonts w:ascii="Verdana" w:eastAsia="Times New Roman" w:hAnsi="Verdana" w:cs="Times New Roman"/>
      <w:szCs w:val="24"/>
      <w:lang w:eastAsia="en-AU"/>
    </w:rPr>
  </w:style>
  <w:style w:type="paragraph" w:styleId="NoSpacing">
    <w:name w:val="No Spacing"/>
    <w:uiPriority w:val="1"/>
    <w:qFormat/>
    <w:rsid w:val="00B044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604FB8"/>
    <w:pPr>
      <w:widowControl w:val="0"/>
      <w:spacing w:before="120"/>
      <w:ind w:left="972" w:hanging="855"/>
    </w:pPr>
    <w:rPr>
      <w:rFonts w:ascii="Times New Roman" w:eastAsia="Times New Roman" w:hAnsi="Times New Roman" w:cstheme="minorBid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04FB8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umberList">
    <w:name w:val="Number List"/>
    <w:basedOn w:val="Normal"/>
    <w:rsid w:val="00093A77"/>
    <w:pPr>
      <w:numPr>
        <w:numId w:val="17"/>
      </w:numPr>
      <w:tabs>
        <w:tab w:val="left" w:pos="1985"/>
      </w:tabs>
      <w:spacing w:before="240" w:line="240" w:lineRule="atLeast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umberListSub">
    <w:name w:val="Number List Sub"/>
    <w:basedOn w:val="NumberList"/>
    <w:rsid w:val="00093A77"/>
    <w:pPr>
      <w:numPr>
        <w:ilvl w:val="1"/>
      </w:numPr>
      <w:tabs>
        <w:tab w:val="left" w:pos="255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28C5672AB1D4244B8D6FCA3F8B408A8" ma:contentTypeVersion="" ma:contentTypeDescription="PDMS Document Site Content Type" ma:contentTypeScope="" ma:versionID="b22c13490e45c90d135a68f9fdacc603">
  <xsd:schema xmlns:xsd="http://www.w3.org/2001/XMLSchema" xmlns:xs="http://www.w3.org/2001/XMLSchema" xmlns:p="http://schemas.microsoft.com/office/2006/metadata/properties" xmlns:ns2="37E10110-51D6-4584-9A18-E8DF5526E9AB" targetNamespace="http://schemas.microsoft.com/office/2006/metadata/properties" ma:root="true" ma:fieldsID="294ca3cc6aa492779131fe3c882d3b16" ns2:_="">
    <xsd:import namespace="37E10110-51D6-4584-9A18-E8DF5526E9A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10110-51D6-4584-9A18-E8DF5526E9A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7E10110-51D6-4584-9A18-E8DF5526E9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89E40-4843-4D43-8084-A320ED53FE50}">
  <ds:schemaRefs/>
</ds:datastoreItem>
</file>

<file path=customXml/itemProps2.xml><?xml version="1.0" encoding="utf-8"?>
<ds:datastoreItem xmlns:ds="http://schemas.openxmlformats.org/officeDocument/2006/customXml" ds:itemID="{BAB6A23D-9A3A-49B6-BFB2-F0EEFCD06AE0}">
  <ds:schemaRefs/>
</ds:datastoreItem>
</file>

<file path=customXml/itemProps3.xml><?xml version="1.0" encoding="utf-8"?>
<ds:datastoreItem xmlns:ds="http://schemas.openxmlformats.org/officeDocument/2006/customXml" ds:itemID="{181A8623-3792-4D01-A4C5-36062D119F2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7E10110-51D6-4584-9A18-E8DF5526E9A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FF449D9-8A96-4284-A88D-F3B47F91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926E760A</Template>
  <TotalTime>2</TotalTime>
  <Pages>6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Shek</dc:creator>
  <cp:lastModifiedBy>Weichert, Georgia</cp:lastModifiedBy>
  <cp:revision>3</cp:revision>
  <cp:lastPrinted>2016-10-24T03:30:00Z</cp:lastPrinted>
  <dcterms:created xsi:type="dcterms:W3CDTF">2018-09-04T22:51:00Z</dcterms:created>
  <dcterms:modified xsi:type="dcterms:W3CDTF">2018-09-04T22:52:00Z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aranceActualDate">
    <vt:lpwstr>25 January 2017</vt:lpwstr>
  </property>
  <property fmtid="{D5CDD505-2E9C-101B-9397-08002B2CF9AE}" pid="3" name="ClearanceDueDate">
    <vt:lpwstr/>
  </property>
  <property fmtid="{D5CDD505-2E9C-101B-9397-08002B2CF9AE}" pid="4" name="LastClearingOfficer">
    <vt:lpwstr>Kim Baker</vt:lpwstr>
  </property>
</Properties>
</file>