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80105" w14:textId="77777777" w:rsidR="00B80A99" w:rsidRPr="00B80A99" w:rsidRDefault="00B80A99" w:rsidP="00B80A99">
      <w:pPr>
        <w:rPr>
          <w:rFonts w:eastAsia="Times New Roman"/>
          <w:color w:val="000000"/>
        </w:rPr>
      </w:pPr>
      <w:bookmarkStart w:id="0" w:name="_Toc168113228"/>
      <w:r w:rsidRPr="00B80A99">
        <w:rPr>
          <w:rFonts w:eastAsia="Times New Roman"/>
          <w:noProof/>
          <w:color w:val="000000"/>
        </w:rPr>
        <w:drawing>
          <wp:inline distT="0" distB="0" distL="0" distR="0" wp14:anchorId="1BA7EC2A" wp14:editId="141BCA52">
            <wp:extent cx="1419225" cy="11049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7C9BD7B5" w14:textId="77777777" w:rsidR="00B80A99" w:rsidRPr="00B80A99" w:rsidRDefault="00B80A99" w:rsidP="00B80A99">
      <w:pPr>
        <w:spacing w:before="480" w:after="0"/>
        <w:rPr>
          <w:rFonts w:ascii="Arial" w:eastAsia="Times New Roman" w:hAnsi="Arial" w:cs="Arial"/>
          <w:b/>
          <w:bCs/>
          <w:color w:val="000000"/>
          <w:sz w:val="40"/>
          <w:szCs w:val="40"/>
          <w:lang w:eastAsia="en-US"/>
        </w:rPr>
      </w:pPr>
      <w:r w:rsidRPr="00B80A99">
        <w:rPr>
          <w:rFonts w:ascii="Arial" w:eastAsia="Times New Roman" w:hAnsi="Arial" w:cs="Arial"/>
          <w:b/>
          <w:bCs/>
          <w:color w:val="000000"/>
          <w:sz w:val="40"/>
          <w:szCs w:val="40"/>
          <w:lang w:eastAsia="en-US"/>
        </w:rPr>
        <w:t xml:space="preserve">Financial Sector (Collection of Data) (reporting standard) determination No. 42 of 2018 </w:t>
      </w:r>
    </w:p>
    <w:p w14:paraId="01AF321F" w14:textId="77777777" w:rsidR="00B80A99" w:rsidRPr="00B80A99" w:rsidRDefault="00B80A99" w:rsidP="00B80A99">
      <w:pPr>
        <w:spacing w:before="480" w:after="0"/>
        <w:rPr>
          <w:rFonts w:ascii="Arial" w:eastAsia="Times New Roman" w:hAnsi="Arial" w:cs="Arial"/>
          <w:b/>
          <w:bCs/>
          <w:color w:val="000000"/>
          <w:sz w:val="28"/>
          <w:szCs w:val="28"/>
          <w:lang w:eastAsia="en-US"/>
        </w:rPr>
      </w:pPr>
      <w:bookmarkStart w:id="1" w:name="_GoBack"/>
      <w:r w:rsidRPr="00B80A99">
        <w:rPr>
          <w:rFonts w:ascii="Arial" w:eastAsia="Times New Roman" w:hAnsi="Arial" w:cs="Arial"/>
          <w:b/>
          <w:bCs/>
          <w:color w:val="000000"/>
          <w:sz w:val="28"/>
          <w:szCs w:val="28"/>
          <w:lang w:eastAsia="en-US"/>
        </w:rPr>
        <w:t>Reporting Standard LRS 750.0 Claims and Disputes</w:t>
      </w:r>
    </w:p>
    <w:bookmarkEnd w:id="1"/>
    <w:p w14:paraId="3922758D" w14:textId="77777777" w:rsidR="00B80A99" w:rsidRPr="00B80A99" w:rsidRDefault="00B80A99" w:rsidP="00B80A99">
      <w:pPr>
        <w:pBdr>
          <w:bottom w:val="single" w:sz="4" w:space="3" w:color="auto"/>
        </w:pBdr>
        <w:spacing w:before="480"/>
        <w:rPr>
          <w:rFonts w:ascii="Arial" w:eastAsia="Times New Roman" w:hAnsi="Arial"/>
          <w:i/>
          <w:iCs/>
          <w:color w:val="000000"/>
          <w:sz w:val="28"/>
          <w:szCs w:val="20"/>
        </w:rPr>
      </w:pPr>
      <w:r w:rsidRPr="00B80A99">
        <w:rPr>
          <w:rFonts w:ascii="Arial" w:eastAsia="Times New Roman" w:hAnsi="Arial"/>
          <w:i/>
          <w:iCs/>
          <w:color w:val="000000"/>
          <w:sz w:val="28"/>
          <w:szCs w:val="20"/>
        </w:rPr>
        <w:t>Financial Sector (Collection of Data) Act 2001</w:t>
      </w:r>
    </w:p>
    <w:p w14:paraId="7A047518" w14:textId="77777777" w:rsidR="00B80A99" w:rsidRPr="00B80A99" w:rsidRDefault="00B80A99" w:rsidP="00B80A99">
      <w:pPr>
        <w:spacing w:after="0"/>
        <w:ind w:left="720" w:hanging="720"/>
        <w:rPr>
          <w:rFonts w:eastAsia="Times New Roman"/>
          <w:color w:val="000000"/>
          <w:szCs w:val="20"/>
          <w:lang w:eastAsia="en-US"/>
        </w:rPr>
      </w:pPr>
    </w:p>
    <w:p w14:paraId="180D0684" w14:textId="77777777" w:rsidR="00B80A99" w:rsidRPr="00B80A99" w:rsidRDefault="00B80A99" w:rsidP="00B80A99">
      <w:pPr>
        <w:spacing w:after="0"/>
        <w:jc w:val="both"/>
        <w:rPr>
          <w:rFonts w:eastAsia="Times New Roman"/>
          <w:color w:val="000000"/>
          <w:lang w:eastAsia="en-US"/>
        </w:rPr>
      </w:pPr>
      <w:r w:rsidRPr="00B80A99">
        <w:rPr>
          <w:rFonts w:eastAsia="Times New Roman"/>
          <w:lang w:eastAsia="en-US"/>
        </w:rPr>
        <w:t xml:space="preserve">I, Geoff Summerhayes, delegate of APRA, </w:t>
      </w:r>
      <w:r w:rsidRPr="00B80A99">
        <w:rPr>
          <w:rFonts w:eastAsia="Times New Roman"/>
          <w:color w:val="000000"/>
          <w:lang w:eastAsia="en-US"/>
        </w:rPr>
        <w:t xml:space="preserve">under paragraph 13(1)(a) of the </w:t>
      </w:r>
      <w:r w:rsidRPr="00B80A99">
        <w:rPr>
          <w:rFonts w:eastAsia="Times New Roman"/>
          <w:i/>
          <w:color w:val="000000"/>
          <w:lang w:eastAsia="en-US"/>
        </w:rPr>
        <w:t>Financial Sector (Collection of Data) Act 2001</w:t>
      </w:r>
      <w:r w:rsidRPr="00B80A99">
        <w:rPr>
          <w:rFonts w:eastAsia="Times New Roman"/>
          <w:color w:val="000000"/>
          <w:lang w:eastAsia="en-US"/>
        </w:rPr>
        <w:t xml:space="preserve"> (the Act) DETERMINE </w:t>
      </w:r>
      <w:r w:rsidRPr="00B80A99">
        <w:rPr>
          <w:rFonts w:eastAsia="Times New Roman"/>
          <w:i/>
          <w:color w:val="000000"/>
          <w:lang w:eastAsia="en-US"/>
        </w:rPr>
        <w:t>Reporting Standard LRS 750.0 Claims and Disputes</w:t>
      </w:r>
      <w:r w:rsidRPr="00B80A99">
        <w:rPr>
          <w:rFonts w:eastAsia="Times New Roman"/>
          <w:color w:val="000000"/>
          <w:lang w:eastAsia="en-US"/>
        </w:rPr>
        <w:t xml:space="preserve">, in the form set out in the Schedule, which applies to the financial sector entities to the extent provided in paragraph 3 of the reporting standard. </w:t>
      </w:r>
    </w:p>
    <w:p w14:paraId="46BFC5E7" w14:textId="77777777" w:rsidR="00B80A99" w:rsidRPr="00B80A99" w:rsidRDefault="00B80A99" w:rsidP="00B80A99">
      <w:pPr>
        <w:spacing w:after="0"/>
        <w:ind w:left="709" w:hanging="709"/>
        <w:jc w:val="both"/>
        <w:rPr>
          <w:rFonts w:eastAsia="Times New Roman"/>
          <w:color w:val="000000"/>
          <w:lang w:eastAsia="en-US"/>
        </w:rPr>
      </w:pPr>
    </w:p>
    <w:p w14:paraId="4618017D" w14:textId="77777777" w:rsidR="00B80A99" w:rsidRPr="00B80A99" w:rsidRDefault="00B80A99" w:rsidP="00B80A99">
      <w:pPr>
        <w:spacing w:after="0"/>
        <w:jc w:val="both"/>
        <w:rPr>
          <w:rFonts w:eastAsia="Times New Roman"/>
        </w:rPr>
      </w:pPr>
      <w:r w:rsidRPr="00B80A99">
        <w:rPr>
          <w:rFonts w:eastAsia="Times New Roman"/>
        </w:rPr>
        <w:t xml:space="preserve">Under section 15 of the Act, I DECLARE that the reporting standard shall begin to apply to those financial sector entities from the date of its registration on the Federal Register of Legislation. </w:t>
      </w:r>
    </w:p>
    <w:p w14:paraId="21FDF8B2" w14:textId="77777777" w:rsidR="00B80A99" w:rsidRPr="00B80A99" w:rsidRDefault="00B80A99" w:rsidP="00B80A99">
      <w:pPr>
        <w:spacing w:after="0"/>
        <w:jc w:val="both"/>
        <w:rPr>
          <w:rFonts w:eastAsia="Times New Roman"/>
        </w:rPr>
      </w:pPr>
    </w:p>
    <w:p w14:paraId="273A87CD" w14:textId="77777777" w:rsidR="00B80A99" w:rsidRPr="00B80A99" w:rsidRDefault="00B80A99" w:rsidP="00B80A99">
      <w:pPr>
        <w:spacing w:after="0"/>
        <w:jc w:val="both"/>
        <w:rPr>
          <w:rFonts w:eastAsia="Times New Roman"/>
        </w:rPr>
      </w:pPr>
      <w:r w:rsidRPr="00B80A99">
        <w:rPr>
          <w:rFonts w:eastAsia="Times New Roman"/>
        </w:rPr>
        <w:t xml:space="preserve">This instrument commences on registration on the Federal Register of Legislation. </w:t>
      </w:r>
    </w:p>
    <w:p w14:paraId="0B7893B9" w14:textId="77777777" w:rsidR="00B80A99" w:rsidRPr="00B80A99" w:rsidRDefault="00B80A99" w:rsidP="00B80A99">
      <w:pPr>
        <w:spacing w:after="0"/>
        <w:jc w:val="both"/>
        <w:rPr>
          <w:rFonts w:eastAsia="Times New Roman"/>
        </w:rPr>
      </w:pPr>
    </w:p>
    <w:p w14:paraId="2BC7E84A" w14:textId="2D4FB353" w:rsidR="00B80A99" w:rsidRPr="00B80A99" w:rsidRDefault="00B80A99" w:rsidP="00B80A99">
      <w:pPr>
        <w:spacing w:after="0"/>
        <w:jc w:val="both"/>
        <w:rPr>
          <w:rFonts w:eastAsia="Times New Roman"/>
        </w:rPr>
      </w:pPr>
      <w:r w:rsidRPr="00B80A99">
        <w:rPr>
          <w:rFonts w:eastAsia="Times New Roman"/>
        </w:rPr>
        <w:t xml:space="preserve">Dated:  </w:t>
      </w:r>
      <w:r w:rsidR="00DD0EAD">
        <w:rPr>
          <w:rFonts w:eastAsia="Times New Roman"/>
        </w:rPr>
        <w:t>23 October 2018</w:t>
      </w:r>
    </w:p>
    <w:p w14:paraId="2F272EAF" w14:textId="77777777" w:rsidR="00B80A99" w:rsidRDefault="00B80A99" w:rsidP="00B80A99">
      <w:pPr>
        <w:spacing w:after="0"/>
        <w:jc w:val="both"/>
        <w:rPr>
          <w:rFonts w:eastAsia="Times New Roman"/>
          <w:i/>
        </w:rPr>
      </w:pPr>
    </w:p>
    <w:p w14:paraId="083612B2" w14:textId="77777777" w:rsidR="00DD0EAD" w:rsidRPr="00B80A99" w:rsidRDefault="00DD0EAD" w:rsidP="00B80A99">
      <w:pPr>
        <w:spacing w:after="0"/>
        <w:jc w:val="both"/>
        <w:rPr>
          <w:rFonts w:eastAsia="Times New Roman"/>
          <w:i/>
        </w:rPr>
      </w:pPr>
    </w:p>
    <w:p w14:paraId="0D36B436" w14:textId="011F8D45" w:rsidR="00B80A99" w:rsidRPr="00B80A99" w:rsidRDefault="00DD0EAD" w:rsidP="00B80A99">
      <w:pPr>
        <w:spacing w:after="0"/>
        <w:jc w:val="both"/>
        <w:rPr>
          <w:rFonts w:eastAsia="Times New Roman"/>
        </w:rPr>
      </w:pPr>
      <w:r>
        <w:rPr>
          <w:rFonts w:eastAsia="Times New Roman"/>
        </w:rPr>
        <w:t>[Signed]</w:t>
      </w:r>
    </w:p>
    <w:p w14:paraId="18CAE40C" w14:textId="77777777" w:rsidR="00B80A99" w:rsidRPr="00B80A99" w:rsidRDefault="00B80A99" w:rsidP="00B80A99">
      <w:pPr>
        <w:spacing w:after="0"/>
        <w:jc w:val="both"/>
        <w:rPr>
          <w:rFonts w:eastAsia="Times New Roman"/>
        </w:rPr>
      </w:pPr>
    </w:p>
    <w:p w14:paraId="3A9B514A" w14:textId="77777777" w:rsidR="00B80A99" w:rsidRPr="00B80A99" w:rsidRDefault="00B80A99" w:rsidP="00B80A99">
      <w:pPr>
        <w:spacing w:after="0"/>
        <w:jc w:val="both"/>
        <w:rPr>
          <w:rFonts w:eastAsia="Times New Roman"/>
        </w:rPr>
      </w:pPr>
      <w:r w:rsidRPr="00B80A99">
        <w:rPr>
          <w:rFonts w:eastAsia="Times New Roman"/>
        </w:rPr>
        <w:t>Geoff Summerhayes</w:t>
      </w:r>
    </w:p>
    <w:p w14:paraId="738A4ECF" w14:textId="77777777" w:rsidR="00B80A99" w:rsidRPr="00B80A99" w:rsidRDefault="00B80A99" w:rsidP="00B80A99">
      <w:pPr>
        <w:spacing w:after="0"/>
        <w:jc w:val="both"/>
        <w:rPr>
          <w:rFonts w:eastAsia="Times New Roman"/>
        </w:rPr>
      </w:pPr>
      <w:r w:rsidRPr="00B80A99">
        <w:rPr>
          <w:rFonts w:eastAsia="Times New Roman"/>
        </w:rPr>
        <w:t>Member</w:t>
      </w:r>
    </w:p>
    <w:p w14:paraId="1BFE4D9E" w14:textId="77777777" w:rsidR="00B80A99" w:rsidRPr="00B80A99" w:rsidRDefault="00B80A99" w:rsidP="00B80A99">
      <w:pPr>
        <w:spacing w:after="0"/>
        <w:jc w:val="both"/>
        <w:rPr>
          <w:rFonts w:eastAsia="Times New Roman"/>
        </w:rPr>
      </w:pPr>
      <w:r w:rsidRPr="00B80A99">
        <w:rPr>
          <w:rFonts w:eastAsia="Times New Roman"/>
        </w:rPr>
        <w:t>Australian Prudential Regulation Authority</w:t>
      </w:r>
    </w:p>
    <w:p w14:paraId="05F467F7" w14:textId="77777777" w:rsidR="00B80A99" w:rsidRPr="00B80A99" w:rsidRDefault="00B80A99" w:rsidP="00B80A99">
      <w:pPr>
        <w:spacing w:after="0"/>
        <w:jc w:val="both"/>
        <w:rPr>
          <w:rFonts w:eastAsia="Times New Roman"/>
          <w:color w:val="000000"/>
        </w:rPr>
      </w:pPr>
    </w:p>
    <w:p w14:paraId="0C451FBD" w14:textId="77777777" w:rsidR="00B80A99" w:rsidRPr="00B80A99" w:rsidRDefault="00B80A99" w:rsidP="00B80A99">
      <w:pPr>
        <w:keepNext/>
        <w:spacing w:before="480" w:after="0"/>
        <w:rPr>
          <w:rFonts w:eastAsia="Times New Roman"/>
          <w:b/>
          <w:color w:val="000000"/>
          <w:lang w:eastAsia="en-US"/>
        </w:rPr>
      </w:pPr>
      <w:r w:rsidRPr="00B80A99">
        <w:rPr>
          <w:rFonts w:eastAsia="Times New Roman"/>
          <w:b/>
          <w:color w:val="000000"/>
          <w:lang w:eastAsia="en-US"/>
        </w:rPr>
        <w:t>Interpretation</w:t>
      </w:r>
    </w:p>
    <w:p w14:paraId="52DF4131" w14:textId="77777777" w:rsidR="00B80A99" w:rsidRPr="00B80A99" w:rsidRDefault="00B80A99" w:rsidP="00B80A99">
      <w:pPr>
        <w:keepNext/>
        <w:tabs>
          <w:tab w:val="right" w:pos="794"/>
        </w:tabs>
        <w:spacing w:before="120" w:after="0" w:line="260" w:lineRule="exact"/>
        <w:ind w:left="964" w:hanging="964"/>
        <w:jc w:val="both"/>
        <w:rPr>
          <w:rFonts w:eastAsia="Times New Roman"/>
          <w:color w:val="000000"/>
          <w:lang w:eastAsia="en-US"/>
        </w:rPr>
      </w:pPr>
      <w:r w:rsidRPr="00B80A99">
        <w:rPr>
          <w:rFonts w:eastAsia="Times New Roman"/>
          <w:color w:val="000000"/>
          <w:lang w:eastAsia="en-US"/>
        </w:rPr>
        <w:t>In this Determination:</w:t>
      </w:r>
    </w:p>
    <w:p w14:paraId="59D4E318" w14:textId="77777777" w:rsidR="00B80A99" w:rsidRPr="00B80A99" w:rsidRDefault="00B80A99" w:rsidP="00B80A99">
      <w:pPr>
        <w:spacing w:before="120" w:after="0"/>
        <w:jc w:val="both"/>
        <w:rPr>
          <w:rFonts w:eastAsia="Times New Roman"/>
          <w:color w:val="000000"/>
          <w:lang w:eastAsia="en-US"/>
        </w:rPr>
      </w:pPr>
      <w:r w:rsidRPr="00B80A99">
        <w:rPr>
          <w:rFonts w:eastAsia="Times New Roman"/>
          <w:b/>
          <w:i/>
          <w:color w:val="000000"/>
          <w:lang w:eastAsia="en-US"/>
        </w:rPr>
        <w:t>APRA</w:t>
      </w:r>
      <w:r w:rsidRPr="00B80A99">
        <w:rPr>
          <w:rFonts w:eastAsia="Times New Roman"/>
          <w:color w:val="000000"/>
          <w:lang w:eastAsia="en-US"/>
        </w:rPr>
        <w:t xml:space="preserve"> means the Australian Prudential Regulation Authority.</w:t>
      </w:r>
    </w:p>
    <w:p w14:paraId="5718F7F1" w14:textId="77777777" w:rsidR="00B80A99" w:rsidRPr="00B80A99" w:rsidRDefault="00B80A99" w:rsidP="00B80A99">
      <w:pPr>
        <w:spacing w:before="120" w:after="0"/>
        <w:jc w:val="both"/>
        <w:rPr>
          <w:rFonts w:eastAsia="Times New Roman"/>
          <w:i/>
          <w:color w:val="000000"/>
          <w:lang w:eastAsia="en-US"/>
        </w:rPr>
      </w:pPr>
      <w:r w:rsidRPr="00B80A99">
        <w:rPr>
          <w:rFonts w:eastAsia="Times New Roman"/>
          <w:b/>
          <w:i/>
          <w:szCs w:val="20"/>
          <w:lang w:eastAsia="en-US"/>
        </w:rPr>
        <w:t xml:space="preserve">financial sector entity </w:t>
      </w:r>
      <w:r w:rsidRPr="00B80A99">
        <w:rPr>
          <w:rFonts w:eastAsia="Times New Roman"/>
          <w:szCs w:val="20"/>
          <w:lang w:eastAsia="en-US"/>
        </w:rPr>
        <w:t>has the meaning given in section 5 of the Act.</w:t>
      </w:r>
    </w:p>
    <w:p w14:paraId="73ECCBCA" w14:textId="77777777" w:rsidR="00B80A99" w:rsidRPr="00B80A99" w:rsidRDefault="00B80A99" w:rsidP="00B80A99">
      <w:pPr>
        <w:keepNext/>
        <w:autoSpaceDE w:val="0"/>
        <w:autoSpaceDN w:val="0"/>
        <w:spacing w:before="480" w:after="0"/>
        <w:rPr>
          <w:rFonts w:ascii="Arial" w:eastAsia="Times New Roman" w:hAnsi="Arial" w:cs="Arial"/>
          <w:b/>
          <w:bCs/>
          <w:sz w:val="32"/>
          <w:szCs w:val="32"/>
        </w:rPr>
      </w:pPr>
      <w:r w:rsidRPr="00B80A99">
        <w:rPr>
          <w:rFonts w:ascii="Arial" w:eastAsia="Times New Roman" w:hAnsi="Arial" w:cs="Arial"/>
          <w:b/>
          <w:bCs/>
          <w:color w:val="000000"/>
          <w:sz w:val="32"/>
          <w:szCs w:val="32"/>
        </w:rPr>
        <w:lastRenderedPageBreak/>
        <w:t xml:space="preserve">Schedule </w:t>
      </w:r>
    </w:p>
    <w:p w14:paraId="5E52EC28" w14:textId="77777777" w:rsidR="00B80A99" w:rsidRPr="00B80A99" w:rsidRDefault="00B80A99" w:rsidP="00B80A99">
      <w:pPr>
        <w:keepNext/>
        <w:autoSpaceDE w:val="0"/>
        <w:autoSpaceDN w:val="0"/>
        <w:spacing w:before="60" w:after="0" w:line="200" w:lineRule="exact"/>
        <w:ind w:left="2410"/>
        <w:rPr>
          <w:rFonts w:ascii="Arial" w:eastAsia="Times New Roman" w:hAnsi="Arial" w:cs="Arial"/>
          <w:sz w:val="18"/>
          <w:szCs w:val="18"/>
        </w:rPr>
      </w:pPr>
    </w:p>
    <w:p w14:paraId="2E3AAA67" w14:textId="77777777" w:rsidR="00B80A99" w:rsidRPr="00B80A99" w:rsidRDefault="00B80A99" w:rsidP="00B80A99">
      <w:pPr>
        <w:spacing w:before="120"/>
        <w:jc w:val="both"/>
        <w:rPr>
          <w:rFonts w:eastAsia="Times New Roman"/>
          <w:bCs/>
        </w:rPr>
      </w:pPr>
      <w:r w:rsidRPr="00B80A99">
        <w:rPr>
          <w:rFonts w:eastAsia="Times New Roman"/>
          <w:i/>
          <w:color w:val="000000"/>
        </w:rPr>
        <w:t>Reporting Standard LRS 750.0 Claims and Disputes</w:t>
      </w:r>
      <w:r w:rsidRPr="00B80A99">
        <w:rPr>
          <w:rFonts w:eastAsia="Times New Roman"/>
          <w:bCs/>
          <w:i/>
          <w:color w:val="000000"/>
        </w:rPr>
        <w:t xml:space="preserve"> </w:t>
      </w:r>
      <w:r w:rsidRPr="00B80A99">
        <w:rPr>
          <w:rFonts w:eastAsia="Times New Roman"/>
          <w:bCs/>
        </w:rPr>
        <w:t>comprises the document commencing on the following page.</w:t>
      </w:r>
      <w:bookmarkEnd w:id="0"/>
    </w:p>
    <w:p w14:paraId="2697F291" w14:textId="5F70E164" w:rsidR="00B80A99" w:rsidRDefault="00B80A99" w:rsidP="003B52EB">
      <w:pPr>
        <w:spacing w:after="0"/>
      </w:pPr>
    </w:p>
    <w:p w14:paraId="17F67768" w14:textId="77777777" w:rsidR="00B80A99" w:rsidRPr="00B80A99" w:rsidRDefault="00B80A99" w:rsidP="00B80A99"/>
    <w:p w14:paraId="0883B364" w14:textId="654F96FD" w:rsidR="00B80A99" w:rsidRDefault="00B80A99" w:rsidP="00B80A99"/>
    <w:p w14:paraId="39604951" w14:textId="004F0B65" w:rsidR="00B80A99" w:rsidRDefault="00B80A99" w:rsidP="00B80A99">
      <w:pPr>
        <w:tabs>
          <w:tab w:val="left" w:pos="795"/>
        </w:tabs>
      </w:pPr>
      <w:r>
        <w:tab/>
      </w:r>
    </w:p>
    <w:p w14:paraId="2C9A394F" w14:textId="33954399" w:rsidR="00B80A99" w:rsidRPr="00B80A99" w:rsidRDefault="00B80A99" w:rsidP="00B80A99">
      <w:pPr>
        <w:tabs>
          <w:tab w:val="left" w:pos="795"/>
        </w:tabs>
        <w:sectPr w:rsidR="00B80A99" w:rsidRPr="00B80A99" w:rsidSect="000D63A8">
          <w:headerReference w:type="default" r:id="rId14"/>
          <w:pgSz w:w="11906" w:h="16838" w:code="9"/>
          <w:pgMar w:top="1440" w:right="1797" w:bottom="1440" w:left="1797" w:header="709" w:footer="709" w:gutter="0"/>
          <w:cols w:space="708"/>
          <w:docGrid w:linePitch="360"/>
        </w:sectPr>
      </w:pPr>
      <w:r>
        <w:tab/>
      </w:r>
    </w:p>
    <w:p w14:paraId="41D9C65C" w14:textId="63CC103D" w:rsidR="00B80A99" w:rsidRDefault="00B80A99" w:rsidP="003B52EB">
      <w:pPr>
        <w:spacing w:after="0"/>
        <w:rPr>
          <w:noProof/>
        </w:rPr>
      </w:pPr>
    </w:p>
    <w:p w14:paraId="7AAA80F3" w14:textId="5A9B91A2" w:rsidR="00B80A99" w:rsidRDefault="00506079" w:rsidP="003B52EB">
      <w:pPr>
        <w:spacing w:after="0"/>
      </w:pPr>
      <w:r>
        <w:rPr>
          <w:noProof/>
        </w:rPr>
        <w:drawing>
          <wp:inline distT="0" distB="0" distL="0" distR="0" wp14:anchorId="7994BA99" wp14:editId="6DA8DDD5">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5F33610E" w14:textId="2157CBA2" w:rsidR="00DA3651" w:rsidRPr="009B6212" w:rsidRDefault="00F350C5" w:rsidP="001F6B8D">
      <w:pPr>
        <w:pStyle w:val="Title"/>
      </w:pPr>
      <w:bookmarkStart w:id="2" w:name="_Toc326937696"/>
      <w:r>
        <w:t>Reporting</w:t>
      </w:r>
      <w:r w:rsidR="006A6A52" w:rsidRPr="009B6212">
        <w:t xml:space="preserve"> Standard</w:t>
      </w:r>
      <w:r w:rsidR="006A6A52" w:rsidRPr="00E07F40">
        <w:rPr>
          <w:rStyle w:val="PSNofieldtext"/>
        </w:rPr>
        <w:t xml:space="preserve"> </w:t>
      </w:r>
      <w:r w:rsidR="002F575E">
        <w:rPr>
          <w:rStyle w:val="PSNofieldtext"/>
        </w:rPr>
        <w:t>LR</w:t>
      </w:r>
      <w:r w:rsidR="00616ECF">
        <w:rPr>
          <w:rStyle w:val="PSNofieldtext"/>
        </w:rPr>
        <w:t xml:space="preserve">S </w:t>
      </w:r>
      <w:r w:rsidR="002F575E">
        <w:rPr>
          <w:rStyle w:val="PSNofieldtext"/>
        </w:rPr>
        <w:t>750</w:t>
      </w:r>
      <w:r w:rsidR="00511487">
        <w:rPr>
          <w:rStyle w:val="PSNofieldtext"/>
        </w:rPr>
        <w:t>.0</w:t>
      </w:r>
    </w:p>
    <w:bookmarkEnd w:id="2"/>
    <w:p w14:paraId="511F34DF" w14:textId="48A10D85" w:rsidR="00BC2D08" w:rsidRPr="00110917" w:rsidRDefault="003E4B3A" w:rsidP="001F6B8D">
      <w:pPr>
        <w:pStyle w:val="Title"/>
      </w:pPr>
      <w:r w:rsidRPr="003E4B3A">
        <w:rPr>
          <w:rStyle w:val="PSNamefieldtext"/>
        </w:rPr>
        <w:t>Claims and Disputes</w:t>
      </w:r>
    </w:p>
    <w:tbl>
      <w:tblPr>
        <w:tblStyle w:val="TableGrid"/>
        <w:tblW w:w="0" w:type="auto"/>
        <w:shd w:val="clear" w:color="auto" w:fill="DDDDDD"/>
        <w:tblLook w:val="04A0" w:firstRow="1" w:lastRow="0" w:firstColumn="1" w:lastColumn="0" w:noHBand="0" w:noVBand="1"/>
      </w:tblPr>
      <w:tblGrid>
        <w:gridCol w:w="8302"/>
      </w:tblGrid>
      <w:tr w:rsidR="0048511B" w14:paraId="48AA508A" w14:textId="77777777" w:rsidTr="00DF539C">
        <w:tc>
          <w:tcPr>
            <w:tcW w:w="8528" w:type="dxa"/>
            <w:shd w:val="clear" w:color="auto" w:fill="DDDDDD"/>
          </w:tcPr>
          <w:p w14:paraId="353C203C" w14:textId="3EB7B6AF" w:rsidR="003C46D7" w:rsidRPr="00B37C03" w:rsidRDefault="003C46D7" w:rsidP="00656D42">
            <w:pPr>
              <w:pStyle w:val="BoxHeading"/>
            </w:pPr>
            <w:r w:rsidRPr="00B37C03">
              <w:t xml:space="preserve">Objectives and key requirements of this </w:t>
            </w:r>
            <w:r w:rsidR="00862E3D">
              <w:t>Reporting</w:t>
            </w:r>
            <w:r w:rsidR="00862E3D" w:rsidRPr="00B37C03">
              <w:t xml:space="preserve"> </w:t>
            </w:r>
            <w:r w:rsidRPr="00173A04">
              <w:t>Standard</w:t>
            </w:r>
          </w:p>
          <w:p w14:paraId="5EAD73BD" w14:textId="5B10C56F" w:rsidR="0037276F" w:rsidRDefault="0048511B" w:rsidP="0048511B">
            <w:r>
              <w:t xml:space="preserve">This </w:t>
            </w:r>
            <w:r w:rsidR="0037276F">
              <w:t>Reporting</w:t>
            </w:r>
            <w:r>
              <w:t xml:space="preserve"> Standard </w:t>
            </w:r>
            <w:r w:rsidR="00AB1E05">
              <w:t xml:space="preserve">sets out the requirements for the provision of information to APRA </w:t>
            </w:r>
            <w:r w:rsidR="00992CD3">
              <w:t xml:space="preserve">by an authorised life company in relation to its </w:t>
            </w:r>
            <w:r w:rsidR="00326BBE">
              <w:t>claims</w:t>
            </w:r>
            <w:r w:rsidR="00973090">
              <w:t xml:space="preserve"> and disputes</w:t>
            </w:r>
            <w:r w:rsidR="00326BBE">
              <w:t xml:space="preserve"> data.</w:t>
            </w:r>
          </w:p>
          <w:p w14:paraId="3F3E009D" w14:textId="00349A15" w:rsidR="00173A04" w:rsidRDefault="0037276F" w:rsidP="001716B8">
            <w:r>
              <w:t xml:space="preserve">It includes </w:t>
            </w:r>
            <w:r>
              <w:rPr>
                <w:i/>
              </w:rPr>
              <w:t xml:space="preserve">Form </w:t>
            </w:r>
            <w:r w:rsidR="00616ECF">
              <w:rPr>
                <w:i/>
              </w:rPr>
              <w:t>LRF 750</w:t>
            </w:r>
            <w:r w:rsidR="00511487">
              <w:rPr>
                <w:i/>
              </w:rPr>
              <w:t>.0</w:t>
            </w:r>
            <w:r w:rsidR="00616ECF">
              <w:rPr>
                <w:i/>
              </w:rPr>
              <w:t xml:space="preserve"> Claims and Disputes</w:t>
            </w:r>
            <w:r w:rsidRPr="00AB3458">
              <w:t xml:space="preserve"> </w:t>
            </w:r>
            <w:r>
              <w:t>and associated instructions</w:t>
            </w:r>
            <w:r w:rsidR="004A3254">
              <w:t>.</w:t>
            </w:r>
          </w:p>
        </w:tc>
      </w:tr>
    </w:tbl>
    <w:p w14:paraId="48E09F3D" w14:textId="77777777" w:rsidR="00BC2D08" w:rsidRDefault="00BC2D08" w:rsidP="00BC2D08">
      <w:pPr>
        <w:spacing w:after="0"/>
      </w:pPr>
    </w:p>
    <w:p w14:paraId="6C49D095" w14:textId="77777777" w:rsidR="00C67A76" w:rsidRDefault="00C67A76" w:rsidP="00C67A76"/>
    <w:p w14:paraId="66D3D3C5" w14:textId="689F507E" w:rsidR="00C67A76" w:rsidRDefault="00C67A76" w:rsidP="00C67A76">
      <w:pPr>
        <w:sectPr w:rsidR="00C67A76" w:rsidSect="00B80A99">
          <w:headerReference w:type="default" r:id="rId16"/>
          <w:footerReference w:type="default" r:id="rId17"/>
          <w:pgSz w:w="11906" w:h="16838" w:code="9"/>
          <w:pgMar w:top="1440" w:right="1797" w:bottom="1440" w:left="1797" w:header="709" w:footer="709" w:gutter="0"/>
          <w:pgNumType w:start="1"/>
          <w:cols w:space="708"/>
          <w:docGrid w:linePitch="360"/>
        </w:sectPr>
      </w:pPr>
    </w:p>
    <w:p w14:paraId="67701F48" w14:textId="77777777" w:rsidR="00C6788C" w:rsidRDefault="009D467A" w:rsidP="001F6B8D">
      <w:pPr>
        <w:pStyle w:val="TOCHeading"/>
      </w:pPr>
      <w:bookmarkStart w:id="3" w:name="_Toc326676936"/>
      <w:bookmarkStart w:id="4" w:name="_Toc326756341"/>
      <w:bookmarkStart w:id="5" w:name="_Toc256519850"/>
      <w:r>
        <w:lastRenderedPageBreak/>
        <w:t>Table of Contents</w:t>
      </w:r>
    </w:p>
    <w:p w14:paraId="14C1AB9A" w14:textId="77777777" w:rsidR="000142BF"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527994429" w:history="1">
        <w:r w:rsidR="000142BF" w:rsidRPr="00F959BC">
          <w:rPr>
            <w:rStyle w:val="Hyperlink"/>
          </w:rPr>
          <w:t>Authority</w:t>
        </w:r>
        <w:r w:rsidR="000142BF">
          <w:rPr>
            <w:webHidden/>
          </w:rPr>
          <w:tab/>
        </w:r>
        <w:r w:rsidR="000142BF">
          <w:rPr>
            <w:webHidden/>
          </w:rPr>
          <w:fldChar w:fldCharType="begin"/>
        </w:r>
        <w:r w:rsidR="000142BF">
          <w:rPr>
            <w:webHidden/>
          </w:rPr>
          <w:instrText xml:space="preserve"> PAGEREF _Toc527994429 \h </w:instrText>
        </w:r>
        <w:r w:rsidR="000142BF">
          <w:rPr>
            <w:webHidden/>
          </w:rPr>
        </w:r>
        <w:r w:rsidR="000142BF">
          <w:rPr>
            <w:webHidden/>
          </w:rPr>
          <w:fldChar w:fldCharType="separate"/>
        </w:r>
        <w:r w:rsidR="00634DBE">
          <w:rPr>
            <w:webHidden/>
          </w:rPr>
          <w:t>3</w:t>
        </w:r>
        <w:r w:rsidR="000142BF">
          <w:rPr>
            <w:webHidden/>
          </w:rPr>
          <w:fldChar w:fldCharType="end"/>
        </w:r>
      </w:hyperlink>
    </w:p>
    <w:p w14:paraId="64E0FDCC" w14:textId="77777777" w:rsidR="000142BF" w:rsidRDefault="00E83EE3">
      <w:pPr>
        <w:pStyle w:val="TOC1"/>
        <w:rPr>
          <w:rFonts w:asciiTheme="minorHAnsi" w:eastAsiaTheme="minorEastAsia" w:hAnsiTheme="minorHAnsi" w:cstheme="minorBidi"/>
          <w:sz w:val="22"/>
          <w:szCs w:val="22"/>
        </w:rPr>
      </w:pPr>
      <w:hyperlink w:anchor="_Toc527994430" w:history="1">
        <w:r w:rsidR="000142BF" w:rsidRPr="00F959BC">
          <w:rPr>
            <w:rStyle w:val="Hyperlink"/>
          </w:rPr>
          <w:t>Purpose</w:t>
        </w:r>
        <w:r w:rsidR="000142BF">
          <w:rPr>
            <w:webHidden/>
          </w:rPr>
          <w:tab/>
        </w:r>
        <w:r w:rsidR="000142BF">
          <w:rPr>
            <w:webHidden/>
          </w:rPr>
          <w:fldChar w:fldCharType="begin"/>
        </w:r>
        <w:r w:rsidR="000142BF">
          <w:rPr>
            <w:webHidden/>
          </w:rPr>
          <w:instrText xml:space="preserve"> PAGEREF _Toc527994430 \h </w:instrText>
        </w:r>
        <w:r w:rsidR="000142BF">
          <w:rPr>
            <w:webHidden/>
          </w:rPr>
        </w:r>
        <w:r w:rsidR="000142BF">
          <w:rPr>
            <w:webHidden/>
          </w:rPr>
          <w:fldChar w:fldCharType="separate"/>
        </w:r>
        <w:r w:rsidR="00634DBE">
          <w:rPr>
            <w:webHidden/>
          </w:rPr>
          <w:t>3</w:t>
        </w:r>
        <w:r w:rsidR="000142BF">
          <w:rPr>
            <w:webHidden/>
          </w:rPr>
          <w:fldChar w:fldCharType="end"/>
        </w:r>
      </w:hyperlink>
    </w:p>
    <w:p w14:paraId="2675668F" w14:textId="77777777" w:rsidR="000142BF" w:rsidRDefault="00E83EE3">
      <w:pPr>
        <w:pStyle w:val="TOC1"/>
        <w:rPr>
          <w:rFonts w:asciiTheme="minorHAnsi" w:eastAsiaTheme="minorEastAsia" w:hAnsiTheme="minorHAnsi" w:cstheme="minorBidi"/>
          <w:sz w:val="22"/>
          <w:szCs w:val="22"/>
        </w:rPr>
      </w:pPr>
      <w:hyperlink w:anchor="_Toc527994431" w:history="1">
        <w:r w:rsidR="000142BF" w:rsidRPr="00F959BC">
          <w:rPr>
            <w:rStyle w:val="Hyperlink"/>
          </w:rPr>
          <w:t>Application</w:t>
        </w:r>
        <w:r w:rsidR="000142BF">
          <w:rPr>
            <w:webHidden/>
          </w:rPr>
          <w:tab/>
        </w:r>
        <w:r w:rsidR="000142BF">
          <w:rPr>
            <w:webHidden/>
          </w:rPr>
          <w:fldChar w:fldCharType="begin"/>
        </w:r>
        <w:r w:rsidR="000142BF">
          <w:rPr>
            <w:webHidden/>
          </w:rPr>
          <w:instrText xml:space="preserve"> PAGEREF _Toc527994431 \h </w:instrText>
        </w:r>
        <w:r w:rsidR="000142BF">
          <w:rPr>
            <w:webHidden/>
          </w:rPr>
        </w:r>
        <w:r w:rsidR="000142BF">
          <w:rPr>
            <w:webHidden/>
          </w:rPr>
          <w:fldChar w:fldCharType="separate"/>
        </w:r>
        <w:r w:rsidR="00634DBE">
          <w:rPr>
            <w:webHidden/>
          </w:rPr>
          <w:t>3</w:t>
        </w:r>
        <w:r w:rsidR="000142BF">
          <w:rPr>
            <w:webHidden/>
          </w:rPr>
          <w:fldChar w:fldCharType="end"/>
        </w:r>
      </w:hyperlink>
    </w:p>
    <w:p w14:paraId="00EC4190" w14:textId="77777777" w:rsidR="000142BF" w:rsidRDefault="00E83EE3">
      <w:pPr>
        <w:pStyle w:val="TOC1"/>
        <w:rPr>
          <w:rFonts w:asciiTheme="minorHAnsi" w:eastAsiaTheme="minorEastAsia" w:hAnsiTheme="minorHAnsi" w:cstheme="minorBidi"/>
          <w:sz w:val="22"/>
          <w:szCs w:val="22"/>
        </w:rPr>
      </w:pPr>
      <w:hyperlink w:anchor="_Toc527994432" w:history="1">
        <w:r w:rsidR="000142BF" w:rsidRPr="00F959BC">
          <w:rPr>
            <w:rStyle w:val="Hyperlink"/>
          </w:rPr>
          <w:t>Commencement</w:t>
        </w:r>
        <w:r w:rsidR="000142BF">
          <w:rPr>
            <w:webHidden/>
          </w:rPr>
          <w:tab/>
        </w:r>
        <w:r w:rsidR="000142BF">
          <w:rPr>
            <w:webHidden/>
          </w:rPr>
          <w:fldChar w:fldCharType="begin"/>
        </w:r>
        <w:r w:rsidR="000142BF">
          <w:rPr>
            <w:webHidden/>
          </w:rPr>
          <w:instrText xml:space="preserve"> PAGEREF _Toc527994432 \h </w:instrText>
        </w:r>
        <w:r w:rsidR="000142BF">
          <w:rPr>
            <w:webHidden/>
          </w:rPr>
        </w:r>
        <w:r w:rsidR="000142BF">
          <w:rPr>
            <w:webHidden/>
          </w:rPr>
          <w:fldChar w:fldCharType="separate"/>
        </w:r>
        <w:r w:rsidR="00634DBE">
          <w:rPr>
            <w:webHidden/>
          </w:rPr>
          <w:t>3</w:t>
        </w:r>
        <w:r w:rsidR="000142BF">
          <w:rPr>
            <w:webHidden/>
          </w:rPr>
          <w:fldChar w:fldCharType="end"/>
        </w:r>
      </w:hyperlink>
    </w:p>
    <w:p w14:paraId="029BDAFA" w14:textId="77777777" w:rsidR="000142BF" w:rsidRDefault="00E83EE3">
      <w:pPr>
        <w:pStyle w:val="TOC1"/>
        <w:rPr>
          <w:rFonts w:asciiTheme="minorHAnsi" w:eastAsiaTheme="minorEastAsia" w:hAnsiTheme="minorHAnsi" w:cstheme="minorBidi"/>
          <w:sz w:val="22"/>
          <w:szCs w:val="22"/>
        </w:rPr>
      </w:pPr>
      <w:hyperlink w:anchor="_Toc527994433" w:history="1">
        <w:r w:rsidR="000142BF" w:rsidRPr="00F959BC">
          <w:rPr>
            <w:rStyle w:val="Hyperlink"/>
          </w:rPr>
          <w:t>Information required</w:t>
        </w:r>
        <w:r w:rsidR="000142BF">
          <w:rPr>
            <w:webHidden/>
          </w:rPr>
          <w:tab/>
        </w:r>
        <w:r w:rsidR="000142BF">
          <w:rPr>
            <w:webHidden/>
          </w:rPr>
          <w:fldChar w:fldCharType="begin"/>
        </w:r>
        <w:r w:rsidR="000142BF">
          <w:rPr>
            <w:webHidden/>
          </w:rPr>
          <w:instrText xml:space="preserve"> PAGEREF _Toc527994433 \h </w:instrText>
        </w:r>
        <w:r w:rsidR="000142BF">
          <w:rPr>
            <w:webHidden/>
          </w:rPr>
        </w:r>
        <w:r w:rsidR="000142BF">
          <w:rPr>
            <w:webHidden/>
          </w:rPr>
          <w:fldChar w:fldCharType="separate"/>
        </w:r>
        <w:r w:rsidR="00634DBE">
          <w:rPr>
            <w:webHidden/>
          </w:rPr>
          <w:t>3</w:t>
        </w:r>
        <w:r w:rsidR="000142BF">
          <w:rPr>
            <w:webHidden/>
          </w:rPr>
          <w:fldChar w:fldCharType="end"/>
        </w:r>
      </w:hyperlink>
    </w:p>
    <w:p w14:paraId="302C5C00" w14:textId="77777777" w:rsidR="000142BF" w:rsidRDefault="00E83EE3">
      <w:pPr>
        <w:pStyle w:val="TOC1"/>
        <w:rPr>
          <w:rFonts w:asciiTheme="minorHAnsi" w:eastAsiaTheme="minorEastAsia" w:hAnsiTheme="minorHAnsi" w:cstheme="minorBidi"/>
          <w:sz w:val="22"/>
          <w:szCs w:val="22"/>
        </w:rPr>
      </w:pPr>
      <w:hyperlink w:anchor="_Toc527994434" w:history="1">
        <w:r w:rsidR="000142BF" w:rsidRPr="00F959BC">
          <w:rPr>
            <w:rStyle w:val="Hyperlink"/>
          </w:rPr>
          <w:t>Forms and method of submission</w:t>
        </w:r>
        <w:r w:rsidR="000142BF">
          <w:rPr>
            <w:webHidden/>
          </w:rPr>
          <w:tab/>
        </w:r>
        <w:r w:rsidR="000142BF">
          <w:rPr>
            <w:webHidden/>
          </w:rPr>
          <w:fldChar w:fldCharType="begin"/>
        </w:r>
        <w:r w:rsidR="000142BF">
          <w:rPr>
            <w:webHidden/>
          </w:rPr>
          <w:instrText xml:space="preserve"> PAGEREF _Toc527994434 \h </w:instrText>
        </w:r>
        <w:r w:rsidR="000142BF">
          <w:rPr>
            <w:webHidden/>
          </w:rPr>
        </w:r>
        <w:r w:rsidR="000142BF">
          <w:rPr>
            <w:webHidden/>
          </w:rPr>
          <w:fldChar w:fldCharType="separate"/>
        </w:r>
        <w:r w:rsidR="00634DBE">
          <w:rPr>
            <w:webHidden/>
          </w:rPr>
          <w:t>3</w:t>
        </w:r>
        <w:r w:rsidR="000142BF">
          <w:rPr>
            <w:webHidden/>
          </w:rPr>
          <w:fldChar w:fldCharType="end"/>
        </w:r>
      </w:hyperlink>
    </w:p>
    <w:p w14:paraId="30D22D4D" w14:textId="77777777" w:rsidR="000142BF" w:rsidRDefault="00E83EE3">
      <w:pPr>
        <w:pStyle w:val="TOC1"/>
        <w:rPr>
          <w:rFonts w:asciiTheme="minorHAnsi" w:eastAsiaTheme="minorEastAsia" w:hAnsiTheme="minorHAnsi" w:cstheme="minorBidi"/>
          <w:sz w:val="22"/>
          <w:szCs w:val="22"/>
        </w:rPr>
      </w:pPr>
      <w:hyperlink w:anchor="_Toc527994435" w:history="1">
        <w:r w:rsidR="000142BF" w:rsidRPr="00F959BC">
          <w:rPr>
            <w:rStyle w:val="Hyperlink"/>
          </w:rPr>
          <w:t>Reporting Periods and due dates</w:t>
        </w:r>
        <w:r w:rsidR="000142BF">
          <w:rPr>
            <w:webHidden/>
          </w:rPr>
          <w:tab/>
        </w:r>
        <w:r w:rsidR="000142BF">
          <w:rPr>
            <w:webHidden/>
          </w:rPr>
          <w:fldChar w:fldCharType="begin"/>
        </w:r>
        <w:r w:rsidR="000142BF">
          <w:rPr>
            <w:webHidden/>
          </w:rPr>
          <w:instrText xml:space="preserve"> PAGEREF _Toc527994435 \h </w:instrText>
        </w:r>
        <w:r w:rsidR="000142BF">
          <w:rPr>
            <w:webHidden/>
          </w:rPr>
        </w:r>
        <w:r w:rsidR="000142BF">
          <w:rPr>
            <w:webHidden/>
          </w:rPr>
          <w:fldChar w:fldCharType="separate"/>
        </w:r>
        <w:r w:rsidR="00634DBE">
          <w:rPr>
            <w:webHidden/>
          </w:rPr>
          <w:t>3</w:t>
        </w:r>
        <w:r w:rsidR="000142BF">
          <w:rPr>
            <w:webHidden/>
          </w:rPr>
          <w:fldChar w:fldCharType="end"/>
        </w:r>
      </w:hyperlink>
    </w:p>
    <w:p w14:paraId="0A209E22" w14:textId="77777777" w:rsidR="000142BF" w:rsidRDefault="00E83EE3">
      <w:pPr>
        <w:pStyle w:val="TOC1"/>
        <w:rPr>
          <w:rFonts w:asciiTheme="minorHAnsi" w:eastAsiaTheme="minorEastAsia" w:hAnsiTheme="minorHAnsi" w:cstheme="minorBidi"/>
          <w:sz w:val="22"/>
          <w:szCs w:val="22"/>
        </w:rPr>
      </w:pPr>
      <w:hyperlink w:anchor="_Toc527994436" w:history="1">
        <w:r w:rsidR="000142BF" w:rsidRPr="00F959BC">
          <w:rPr>
            <w:rStyle w:val="Hyperlink"/>
          </w:rPr>
          <w:t>Quality control</w:t>
        </w:r>
        <w:r w:rsidR="000142BF">
          <w:rPr>
            <w:webHidden/>
          </w:rPr>
          <w:tab/>
        </w:r>
        <w:r w:rsidR="000142BF">
          <w:rPr>
            <w:webHidden/>
          </w:rPr>
          <w:fldChar w:fldCharType="begin"/>
        </w:r>
        <w:r w:rsidR="000142BF">
          <w:rPr>
            <w:webHidden/>
          </w:rPr>
          <w:instrText xml:space="preserve"> PAGEREF _Toc527994436 \h </w:instrText>
        </w:r>
        <w:r w:rsidR="000142BF">
          <w:rPr>
            <w:webHidden/>
          </w:rPr>
        </w:r>
        <w:r w:rsidR="000142BF">
          <w:rPr>
            <w:webHidden/>
          </w:rPr>
          <w:fldChar w:fldCharType="separate"/>
        </w:r>
        <w:r w:rsidR="00634DBE">
          <w:rPr>
            <w:webHidden/>
          </w:rPr>
          <w:t>4</w:t>
        </w:r>
        <w:r w:rsidR="000142BF">
          <w:rPr>
            <w:webHidden/>
          </w:rPr>
          <w:fldChar w:fldCharType="end"/>
        </w:r>
      </w:hyperlink>
    </w:p>
    <w:p w14:paraId="205F2E32" w14:textId="77777777" w:rsidR="000142BF" w:rsidRDefault="00E83EE3">
      <w:pPr>
        <w:pStyle w:val="TOC1"/>
        <w:rPr>
          <w:rFonts w:asciiTheme="minorHAnsi" w:eastAsiaTheme="minorEastAsia" w:hAnsiTheme="minorHAnsi" w:cstheme="minorBidi"/>
          <w:sz w:val="22"/>
          <w:szCs w:val="22"/>
        </w:rPr>
      </w:pPr>
      <w:hyperlink w:anchor="_Toc527994437" w:history="1">
        <w:r w:rsidR="000142BF" w:rsidRPr="00F959BC">
          <w:rPr>
            <w:rStyle w:val="Hyperlink"/>
          </w:rPr>
          <w:t>Authorisation</w:t>
        </w:r>
        <w:r w:rsidR="000142BF">
          <w:rPr>
            <w:webHidden/>
          </w:rPr>
          <w:tab/>
        </w:r>
        <w:r w:rsidR="000142BF">
          <w:rPr>
            <w:webHidden/>
          </w:rPr>
          <w:fldChar w:fldCharType="begin"/>
        </w:r>
        <w:r w:rsidR="000142BF">
          <w:rPr>
            <w:webHidden/>
          </w:rPr>
          <w:instrText xml:space="preserve"> PAGEREF _Toc527994437 \h </w:instrText>
        </w:r>
        <w:r w:rsidR="000142BF">
          <w:rPr>
            <w:webHidden/>
          </w:rPr>
        </w:r>
        <w:r w:rsidR="000142BF">
          <w:rPr>
            <w:webHidden/>
          </w:rPr>
          <w:fldChar w:fldCharType="separate"/>
        </w:r>
        <w:r w:rsidR="00634DBE">
          <w:rPr>
            <w:webHidden/>
          </w:rPr>
          <w:t>4</w:t>
        </w:r>
        <w:r w:rsidR="000142BF">
          <w:rPr>
            <w:webHidden/>
          </w:rPr>
          <w:fldChar w:fldCharType="end"/>
        </w:r>
      </w:hyperlink>
    </w:p>
    <w:p w14:paraId="7E7BF9F5" w14:textId="77777777" w:rsidR="000142BF" w:rsidRDefault="00E83EE3">
      <w:pPr>
        <w:pStyle w:val="TOC1"/>
        <w:rPr>
          <w:rFonts w:asciiTheme="minorHAnsi" w:eastAsiaTheme="minorEastAsia" w:hAnsiTheme="minorHAnsi" w:cstheme="minorBidi"/>
          <w:sz w:val="22"/>
          <w:szCs w:val="22"/>
        </w:rPr>
      </w:pPr>
      <w:hyperlink w:anchor="_Toc527994438" w:history="1">
        <w:r w:rsidR="000142BF" w:rsidRPr="00F959BC">
          <w:rPr>
            <w:rStyle w:val="Hyperlink"/>
          </w:rPr>
          <w:t>Minor alterations to forms and instructions</w:t>
        </w:r>
        <w:r w:rsidR="000142BF">
          <w:rPr>
            <w:webHidden/>
          </w:rPr>
          <w:tab/>
        </w:r>
        <w:r w:rsidR="000142BF">
          <w:rPr>
            <w:webHidden/>
          </w:rPr>
          <w:fldChar w:fldCharType="begin"/>
        </w:r>
        <w:r w:rsidR="000142BF">
          <w:rPr>
            <w:webHidden/>
          </w:rPr>
          <w:instrText xml:space="preserve"> PAGEREF _Toc527994438 \h </w:instrText>
        </w:r>
        <w:r w:rsidR="000142BF">
          <w:rPr>
            <w:webHidden/>
          </w:rPr>
        </w:r>
        <w:r w:rsidR="000142BF">
          <w:rPr>
            <w:webHidden/>
          </w:rPr>
          <w:fldChar w:fldCharType="separate"/>
        </w:r>
        <w:r w:rsidR="00634DBE">
          <w:rPr>
            <w:webHidden/>
          </w:rPr>
          <w:t>4</w:t>
        </w:r>
        <w:r w:rsidR="000142BF">
          <w:rPr>
            <w:webHidden/>
          </w:rPr>
          <w:fldChar w:fldCharType="end"/>
        </w:r>
      </w:hyperlink>
    </w:p>
    <w:p w14:paraId="753120A0" w14:textId="77777777" w:rsidR="000142BF" w:rsidRDefault="00E83EE3">
      <w:pPr>
        <w:pStyle w:val="TOC1"/>
        <w:rPr>
          <w:rFonts w:asciiTheme="minorHAnsi" w:eastAsiaTheme="minorEastAsia" w:hAnsiTheme="minorHAnsi" w:cstheme="minorBidi"/>
          <w:sz w:val="22"/>
          <w:szCs w:val="22"/>
        </w:rPr>
      </w:pPr>
      <w:hyperlink w:anchor="_Toc527994439" w:history="1">
        <w:r w:rsidR="000142BF" w:rsidRPr="00F959BC">
          <w:rPr>
            <w:rStyle w:val="Hyperlink"/>
          </w:rPr>
          <w:t>Interpretation</w:t>
        </w:r>
        <w:r w:rsidR="000142BF">
          <w:rPr>
            <w:webHidden/>
          </w:rPr>
          <w:tab/>
        </w:r>
        <w:r w:rsidR="000142BF">
          <w:rPr>
            <w:webHidden/>
          </w:rPr>
          <w:fldChar w:fldCharType="begin"/>
        </w:r>
        <w:r w:rsidR="000142BF">
          <w:rPr>
            <w:webHidden/>
          </w:rPr>
          <w:instrText xml:space="preserve"> PAGEREF _Toc527994439 \h </w:instrText>
        </w:r>
        <w:r w:rsidR="000142BF">
          <w:rPr>
            <w:webHidden/>
          </w:rPr>
        </w:r>
        <w:r w:rsidR="000142BF">
          <w:rPr>
            <w:webHidden/>
          </w:rPr>
          <w:fldChar w:fldCharType="separate"/>
        </w:r>
        <w:r w:rsidR="00634DBE">
          <w:rPr>
            <w:webHidden/>
          </w:rPr>
          <w:t>5</w:t>
        </w:r>
        <w:r w:rsidR="000142BF">
          <w:rPr>
            <w:webHidden/>
          </w:rPr>
          <w:fldChar w:fldCharType="end"/>
        </w:r>
      </w:hyperlink>
    </w:p>
    <w:p w14:paraId="78BDA304" w14:textId="77777777" w:rsidR="000142BF" w:rsidRDefault="00E83EE3">
      <w:pPr>
        <w:pStyle w:val="TOC2"/>
        <w:rPr>
          <w:rFonts w:asciiTheme="minorHAnsi" w:eastAsiaTheme="minorEastAsia" w:hAnsiTheme="minorHAnsi" w:cstheme="minorBidi"/>
          <w:sz w:val="22"/>
          <w:szCs w:val="22"/>
        </w:rPr>
      </w:pPr>
      <w:hyperlink w:anchor="_Toc527994440" w:history="1">
        <w:r w:rsidR="000142BF" w:rsidRPr="00F959BC">
          <w:rPr>
            <w:rStyle w:val="Hyperlink"/>
          </w:rPr>
          <w:t>Reporting Form LRF 750.0</w:t>
        </w:r>
        <w:r w:rsidR="000142BF">
          <w:rPr>
            <w:webHidden/>
          </w:rPr>
          <w:tab/>
        </w:r>
        <w:r w:rsidR="000142BF">
          <w:rPr>
            <w:webHidden/>
          </w:rPr>
          <w:fldChar w:fldCharType="begin"/>
        </w:r>
        <w:r w:rsidR="000142BF">
          <w:rPr>
            <w:webHidden/>
          </w:rPr>
          <w:instrText xml:space="preserve"> PAGEREF _Toc527994440 \h </w:instrText>
        </w:r>
        <w:r w:rsidR="000142BF">
          <w:rPr>
            <w:webHidden/>
          </w:rPr>
        </w:r>
        <w:r w:rsidR="000142BF">
          <w:rPr>
            <w:webHidden/>
          </w:rPr>
          <w:fldChar w:fldCharType="separate"/>
        </w:r>
        <w:r w:rsidR="00634DBE">
          <w:rPr>
            <w:webHidden/>
          </w:rPr>
          <w:t>6</w:t>
        </w:r>
        <w:r w:rsidR="000142BF">
          <w:rPr>
            <w:webHidden/>
          </w:rPr>
          <w:fldChar w:fldCharType="end"/>
        </w:r>
      </w:hyperlink>
    </w:p>
    <w:p w14:paraId="1E23CB43" w14:textId="77777777" w:rsidR="000142BF" w:rsidRDefault="00E83EE3">
      <w:pPr>
        <w:pStyle w:val="TOC2"/>
        <w:rPr>
          <w:rFonts w:asciiTheme="minorHAnsi" w:eastAsiaTheme="minorEastAsia" w:hAnsiTheme="minorHAnsi" w:cstheme="minorBidi"/>
          <w:sz w:val="22"/>
          <w:szCs w:val="22"/>
        </w:rPr>
      </w:pPr>
      <w:hyperlink w:anchor="_Toc527994441" w:history="1">
        <w:r w:rsidR="000142BF" w:rsidRPr="00F959BC">
          <w:rPr>
            <w:rStyle w:val="Hyperlink"/>
          </w:rPr>
          <w:t>Claims and Disputes</w:t>
        </w:r>
        <w:r w:rsidR="000142BF">
          <w:rPr>
            <w:webHidden/>
          </w:rPr>
          <w:tab/>
        </w:r>
        <w:r w:rsidR="000142BF">
          <w:rPr>
            <w:webHidden/>
          </w:rPr>
          <w:fldChar w:fldCharType="begin"/>
        </w:r>
        <w:r w:rsidR="000142BF">
          <w:rPr>
            <w:webHidden/>
          </w:rPr>
          <w:instrText xml:space="preserve"> PAGEREF _Toc527994441 \h </w:instrText>
        </w:r>
        <w:r w:rsidR="000142BF">
          <w:rPr>
            <w:webHidden/>
          </w:rPr>
        </w:r>
        <w:r w:rsidR="000142BF">
          <w:rPr>
            <w:webHidden/>
          </w:rPr>
          <w:fldChar w:fldCharType="separate"/>
        </w:r>
        <w:r w:rsidR="00634DBE">
          <w:rPr>
            <w:webHidden/>
          </w:rPr>
          <w:t>6</w:t>
        </w:r>
        <w:r w:rsidR="000142BF">
          <w:rPr>
            <w:webHidden/>
          </w:rPr>
          <w:fldChar w:fldCharType="end"/>
        </w:r>
      </w:hyperlink>
    </w:p>
    <w:p w14:paraId="5E399817" w14:textId="77777777" w:rsidR="000142BF" w:rsidRDefault="00E83EE3">
      <w:pPr>
        <w:pStyle w:val="TOC1"/>
        <w:tabs>
          <w:tab w:val="left" w:pos="567"/>
        </w:tabs>
        <w:rPr>
          <w:rFonts w:asciiTheme="minorHAnsi" w:eastAsiaTheme="minorEastAsia" w:hAnsiTheme="minorHAnsi" w:cstheme="minorBidi"/>
          <w:sz w:val="22"/>
          <w:szCs w:val="22"/>
        </w:rPr>
      </w:pPr>
      <w:hyperlink w:anchor="_Toc527994442" w:history="1">
        <w:r w:rsidR="000142BF" w:rsidRPr="00F959BC">
          <w:rPr>
            <w:rStyle w:val="Hyperlink"/>
          </w:rPr>
          <w:t>A.</w:t>
        </w:r>
        <w:r w:rsidR="000142BF">
          <w:rPr>
            <w:rFonts w:asciiTheme="minorHAnsi" w:eastAsiaTheme="minorEastAsia" w:hAnsiTheme="minorHAnsi" w:cstheme="minorBidi"/>
            <w:sz w:val="22"/>
            <w:szCs w:val="22"/>
          </w:rPr>
          <w:tab/>
        </w:r>
        <w:r w:rsidR="000142BF" w:rsidRPr="00F959BC">
          <w:rPr>
            <w:rStyle w:val="Hyperlink"/>
          </w:rPr>
          <w:t>Application</w:t>
        </w:r>
        <w:r w:rsidR="000142BF">
          <w:rPr>
            <w:webHidden/>
          </w:rPr>
          <w:tab/>
        </w:r>
        <w:r w:rsidR="000142BF">
          <w:rPr>
            <w:webHidden/>
          </w:rPr>
          <w:fldChar w:fldCharType="begin"/>
        </w:r>
        <w:r w:rsidR="000142BF">
          <w:rPr>
            <w:webHidden/>
          </w:rPr>
          <w:instrText xml:space="preserve"> PAGEREF _Toc527994442 \h </w:instrText>
        </w:r>
        <w:r w:rsidR="000142BF">
          <w:rPr>
            <w:webHidden/>
          </w:rPr>
        </w:r>
        <w:r w:rsidR="000142BF">
          <w:rPr>
            <w:webHidden/>
          </w:rPr>
          <w:fldChar w:fldCharType="separate"/>
        </w:r>
        <w:r w:rsidR="00634DBE">
          <w:rPr>
            <w:webHidden/>
          </w:rPr>
          <w:t>12</w:t>
        </w:r>
        <w:r w:rsidR="000142BF">
          <w:rPr>
            <w:webHidden/>
          </w:rPr>
          <w:fldChar w:fldCharType="end"/>
        </w:r>
      </w:hyperlink>
    </w:p>
    <w:p w14:paraId="628C8085" w14:textId="77777777" w:rsidR="000142BF" w:rsidRDefault="00E83EE3">
      <w:pPr>
        <w:pStyle w:val="TOC1"/>
        <w:tabs>
          <w:tab w:val="left" w:pos="567"/>
        </w:tabs>
        <w:rPr>
          <w:rFonts w:asciiTheme="minorHAnsi" w:eastAsiaTheme="minorEastAsia" w:hAnsiTheme="minorHAnsi" w:cstheme="minorBidi"/>
          <w:sz w:val="22"/>
          <w:szCs w:val="22"/>
        </w:rPr>
      </w:pPr>
      <w:hyperlink w:anchor="_Toc527994443" w:history="1">
        <w:r w:rsidR="000142BF" w:rsidRPr="00F959BC">
          <w:rPr>
            <w:rStyle w:val="Hyperlink"/>
            <w:rFonts w:ascii="Arial" w:hAnsi="Arial" w:cs="Arial"/>
          </w:rPr>
          <w:t>B.</w:t>
        </w:r>
        <w:r w:rsidR="000142BF">
          <w:rPr>
            <w:rFonts w:asciiTheme="minorHAnsi" w:eastAsiaTheme="minorEastAsia" w:hAnsiTheme="minorHAnsi" w:cstheme="minorBidi"/>
            <w:sz w:val="22"/>
            <w:szCs w:val="22"/>
          </w:rPr>
          <w:tab/>
        </w:r>
        <w:r w:rsidR="000142BF" w:rsidRPr="00F959BC">
          <w:rPr>
            <w:rStyle w:val="Hyperlink"/>
            <w:rFonts w:ascii="Arial" w:hAnsi="Arial" w:cs="Arial"/>
          </w:rPr>
          <w:t>Inclusions</w:t>
        </w:r>
        <w:r w:rsidR="000142BF">
          <w:rPr>
            <w:webHidden/>
          </w:rPr>
          <w:tab/>
        </w:r>
        <w:r w:rsidR="000142BF">
          <w:rPr>
            <w:webHidden/>
          </w:rPr>
          <w:fldChar w:fldCharType="begin"/>
        </w:r>
        <w:r w:rsidR="000142BF">
          <w:rPr>
            <w:webHidden/>
          </w:rPr>
          <w:instrText xml:space="preserve"> PAGEREF _Toc527994443 \h </w:instrText>
        </w:r>
        <w:r w:rsidR="000142BF">
          <w:rPr>
            <w:webHidden/>
          </w:rPr>
        </w:r>
        <w:r w:rsidR="000142BF">
          <w:rPr>
            <w:webHidden/>
          </w:rPr>
          <w:fldChar w:fldCharType="separate"/>
        </w:r>
        <w:r w:rsidR="00634DBE">
          <w:rPr>
            <w:webHidden/>
          </w:rPr>
          <w:t>12</w:t>
        </w:r>
        <w:r w:rsidR="000142BF">
          <w:rPr>
            <w:webHidden/>
          </w:rPr>
          <w:fldChar w:fldCharType="end"/>
        </w:r>
      </w:hyperlink>
    </w:p>
    <w:p w14:paraId="432B6A2C" w14:textId="77777777" w:rsidR="000142BF" w:rsidRDefault="00E83EE3">
      <w:pPr>
        <w:pStyle w:val="TOC1"/>
        <w:tabs>
          <w:tab w:val="left" w:pos="567"/>
        </w:tabs>
        <w:rPr>
          <w:rFonts w:asciiTheme="minorHAnsi" w:eastAsiaTheme="minorEastAsia" w:hAnsiTheme="minorHAnsi" w:cstheme="minorBidi"/>
          <w:sz w:val="22"/>
          <w:szCs w:val="22"/>
        </w:rPr>
      </w:pPr>
      <w:hyperlink w:anchor="_Toc527994444" w:history="1">
        <w:r w:rsidR="000142BF" w:rsidRPr="00F959BC">
          <w:rPr>
            <w:rStyle w:val="Hyperlink"/>
            <w:rFonts w:ascii="Arial" w:hAnsi="Arial" w:cs="Arial"/>
          </w:rPr>
          <w:t>C.</w:t>
        </w:r>
        <w:r w:rsidR="000142BF">
          <w:rPr>
            <w:rFonts w:asciiTheme="minorHAnsi" w:eastAsiaTheme="minorEastAsia" w:hAnsiTheme="minorHAnsi" w:cstheme="minorBidi"/>
            <w:sz w:val="22"/>
            <w:szCs w:val="22"/>
          </w:rPr>
          <w:tab/>
        </w:r>
        <w:r w:rsidR="000142BF" w:rsidRPr="00F959BC">
          <w:rPr>
            <w:rStyle w:val="Hyperlink"/>
            <w:rFonts w:ascii="Arial" w:hAnsi="Arial" w:cs="Arial"/>
          </w:rPr>
          <w:t>General Instructions</w:t>
        </w:r>
        <w:r w:rsidR="000142BF">
          <w:rPr>
            <w:webHidden/>
          </w:rPr>
          <w:tab/>
        </w:r>
        <w:r w:rsidR="000142BF">
          <w:rPr>
            <w:webHidden/>
          </w:rPr>
          <w:fldChar w:fldCharType="begin"/>
        </w:r>
        <w:r w:rsidR="000142BF">
          <w:rPr>
            <w:webHidden/>
          </w:rPr>
          <w:instrText xml:space="preserve"> PAGEREF _Toc527994444 \h </w:instrText>
        </w:r>
        <w:r w:rsidR="000142BF">
          <w:rPr>
            <w:webHidden/>
          </w:rPr>
        </w:r>
        <w:r w:rsidR="000142BF">
          <w:rPr>
            <w:webHidden/>
          </w:rPr>
          <w:fldChar w:fldCharType="separate"/>
        </w:r>
        <w:r w:rsidR="00634DBE">
          <w:rPr>
            <w:webHidden/>
          </w:rPr>
          <w:t>13</w:t>
        </w:r>
        <w:r w:rsidR="000142BF">
          <w:rPr>
            <w:webHidden/>
          </w:rPr>
          <w:fldChar w:fldCharType="end"/>
        </w:r>
      </w:hyperlink>
    </w:p>
    <w:p w14:paraId="7394FD7C" w14:textId="77777777" w:rsidR="000142BF" w:rsidRDefault="00E83EE3">
      <w:pPr>
        <w:pStyle w:val="TOC1"/>
        <w:tabs>
          <w:tab w:val="left" w:pos="567"/>
        </w:tabs>
        <w:rPr>
          <w:rFonts w:asciiTheme="minorHAnsi" w:eastAsiaTheme="minorEastAsia" w:hAnsiTheme="minorHAnsi" w:cstheme="minorBidi"/>
          <w:sz w:val="22"/>
          <w:szCs w:val="22"/>
        </w:rPr>
      </w:pPr>
      <w:hyperlink w:anchor="_Toc527994445" w:history="1">
        <w:r w:rsidR="000142BF" w:rsidRPr="00F959BC">
          <w:rPr>
            <w:rStyle w:val="Hyperlink"/>
            <w:rFonts w:ascii="Arial" w:hAnsi="Arial" w:cs="Arial"/>
          </w:rPr>
          <w:t>D.</w:t>
        </w:r>
        <w:r w:rsidR="000142BF">
          <w:rPr>
            <w:rFonts w:asciiTheme="minorHAnsi" w:eastAsiaTheme="minorEastAsia" w:hAnsiTheme="minorHAnsi" w:cstheme="minorBidi"/>
            <w:sz w:val="22"/>
            <w:szCs w:val="22"/>
          </w:rPr>
          <w:tab/>
        </w:r>
        <w:r w:rsidR="000142BF" w:rsidRPr="00F959BC">
          <w:rPr>
            <w:rStyle w:val="Hyperlink"/>
            <w:rFonts w:ascii="Arial" w:hAnsi="Arial" w:cs="Arial"/>
          </w:rPr>
          <w:t>General Definitions</w:t>
        </w:r>
        <w:r w:rsidR="000142BF">
          <w:rPr>
            <w:webHidden/>
          </w:rPr>
          <w:tab/>
        </w:r>
        <w:r w:rsidR="000142BF">
          <w:rPr>
            <w:webHidden/>
          </w:rPr>
          <w:fldChar w:fldCharType="begin"/>
        </w:r>
        <w:r w:rsidR="000142BF">
          <w:rPr>
            <w:webHidden/>
          </w:rPr>
          <w:instrText xml:space="preserve"> PAGEREF _Toc527994445 \h </w:instrText>
        </w:r>
        <w:r w:rsidR="000142BF">
          <w:rPr>
            <w:webHidden/>
          </w:rPr>
        </w:r>
        <w:r w:rsidR="000142BF">
          <w:rPr>
            <w:webHidden/>
          </w:rPr>
          <w:fldChar w:fldCharType="separate"/>
        </w:r>
        <w:r w:rsidR="00634DBE">
          <w:rPr>
            <w:webHidden/>
          </w:rPr>
          <w:t>13</w:t>
        </w:r>
        <w:r w:rsidR="000142BF">
          <w:rPr>
            <w:webHidden/>
          </w:rPr>
          <w:fldChar w:fldCharType="end"/>
        </w:r>
      </w:hyperlink>
    </w:p>
    <w:p w14:paraId="35CD86A4" w14:textId="77777777" w:rsidR="000142BF" w:rsidRDefault="00E83EE3">
      <w:pPr>
        <w:pStyle w:val="TOC1"/>
        <w:tabs>
          <w:tab w:val="left" w:pos="567"/>
        </w:tabs>
        <w:rPr>
          <w:rFonts w:asciiTheme="minorHAnsi" w:eastAsiaTheme="minorEastAsia" w:hAnsiTheme="minorHAnsi" w:cstheme="minorBidi"/>
          <w:sz w:val="22"/>
          <w:szCs w:val="22"/>
        </w:rPr>
      </w:pPr>
      <w:hyperlink w:anchor="_Toc527994446" w:history="1">
        <w:r w:rsidR="000142BF" w:rsidRPr="00F959BC">
          <w:rPr>
            <w:rStyle w:val="Hyperlink"/>
          </w:rPr>
          <w:t>E.</w:t>
        </w:r>
        <w:r w:rsidR="000142BF">
          <w:rPr>
            <w:rFonts w:asciiTheme="minorHAnsi" w:eastAsiaTheme="minorEastAsia" w:hAnsiTheme="minorHAnsi" w:cstheme="minorBidi"/>
            <w:sz w:val="22"/>
            <w:szCs w:val="22"/>
          </w:rPr>
          <w:tab/>
        </w:r>
        <w:r w:rsidR="000142BF" w:rsidRPr="00F959BC">
          <w:rPr>
            <w:rStyle w:val="Hyperlink"/>
          </w:rPr>
          <w:t>Policy Data Detail</w:t>
        </w:r>
        <w:r w:rsidR="000142BF">
          <w:rPr>
            <w:webHidden/>
          </w:rPr>
          <w:tab/>
        </w:r>
        <w:r w:rsidR="000142BF">
          <w:rPr>
            <w:webHidden/>
          </w:rPr>
          <w:fldChar w:fldCharType="begin"/>
        </w:r>
        <w:r w:rsidR="000142BF">
          <w:rPr>
            <w:webHidden/>
          </w:rPr>
          <w:instrText xml:space="preserve"> PAGEREF _Toc527994446 \h </w:instrText>
        </w:r>
        <w:r w:rsidR="000142BF">
          <w:rPr>
            <w:webHidden/>
          </w:rPr>
        </w:r>
        <w:r w:rsidR="000142BF">
          <w:rPr>
            <w:webHidden/>
          </w:rPr>
          <w:fldChar w:fldCharType="separate"/>
        </w:r>
        <w:r w:rsidR="00634DBE">
          <w:rPr>
            <w:webHidden/>
          </w:rPr>
          <w:t>21</w:t>
        </w:r>
        <w:r w:rsidR="000142BF">
          <w:rPr>
            <w:webHidden/>
          </w:rPr>
          <w:fldChar w:fldCharType="end"/>
        </w:r>
      </w:hyperlink>
    </w:p>
    <w:p w14:paraId="28B32084" w14:textId="77777777" w:rsidR="000142BF" w:rsidRDefault="00E83EE3">
      <w:pPr>
        <w:pStyle w:val="TOC1"/>
        <w:tabs>
          <w:tab w:val="left" w:pos="567"/>
        </w:tabs>
        <w:rPr>
          <w:rFonts w:asciiTheme="minorHAnsi" w:eastAsiaTheme="minorEastAsia" w:hAnsiTheme="minorHAnsi" w:cstheme="minorBidi"/>
          <w:sz w:val="22"/>
          <w:szCs w:val="22"/>
        </w:rPr>
      </w:pPr>
      <w:hyperlink w:anchor="_Toc527994447" w:history="1">
        <w:r w:rsidR="000142BF" w:rsidRPr="00F959BC">
          <w:rPr>
            <w:rStyle w:val="Hyperlink"/>
          </w:rPr>
          <w:t>F.</w:t>
        </w:r>
        <w:r w:rsidR="000142BF">
          <w:rPr>
            <w:rFonts w:asciiTheme="minorHAnsi" w:eastAsiaTheme="minorEastAsia" w:hAnsiTheme="minorHAnsi" w:cstheme="minorBidi"/>
            <w:sz w:val="22"/>
            <w:szCs w:val="22"/>
          </w:rPr>
          <w:tab/>
        </w:r>
        <w:r w:rsidR="000142BF" w:rsidRPr="00F959BC">
          <w:rPr>
            <w:rStyle w:val="Hyperlink"/>
          </w:rPr>
          <w:t>Claims Data Detail</w:t>
        </w:r>
        <w:r w:rsidR="000142BF">
          <w:rPr>
            <w:webHidden/>
          </w:rPr>
          <w:tab/>
        </w:r>
        <w:r w:rsidR="000142BF">
          <w:rPr>
            <w:webHidden/>
          </w:rPr>
          <w:fldChar w:fldCharType="begin"/>
        </w:r>
        <w:r w:rsidR="000142BF">
          <w:rPr>
            <w:webHidden/>
          </w:rPr>
          <w:instrText xml:space="preserve"> PAGEREF _Toc527994447 \h </w:instrText>
        </w:r>
        <w:r w:rsidR="000142BF">
          <w:rPr>
            <w:webHidden/>
          </w:rPr>
        </w:r>
        <w:r w:rsidR="000142BF">
          <w:rPr>
            <w:webHidden/>
          </w:rPr>
          <w:fldChar w:fldCharType="separate"/>
        </w:r>
        <w:r w:rsidR="00634DBE">
          <w:rPr>
            <w:webHidden/>
          </w:rPr>
          <w:t>24</w:t>
        </w:r>
        <w:r w:rsidR="000142BF">
          <w:rPr>
            <w:webHidden/>
          </w:rPr>
          <w:fldChar w:fldCharType="end"/>
        </w:r>
      </w:hyperlink>
    </w:p>
    <w:p w14:paraId="7AF320BF" w14:textId="77777777" w:rsidR="000142BF" w:rsidRDefault="00E83EE3">
      <w:pPr>
        <w:pStyle w:val="TOC1"/>
        <w:tabs>
          <w:tab w:val="left" w:pos="567"/>
        </w:tabs>
        <w:rPr>
          <w:rFonts w:asciiTheme="minorHAnsi" w:eastAsiaTheme="minorEastAsia" w:hAnsiTheme="minorHAnsi" w:cstheme="minorBidi"/>
          <w:sz w:val="22"/>
          <w:szCs w:val="22"/>
        </w:rPr>
      </w:pPr>
      <w:hyperlink w:anchor="_Toc527994448" w:history="1">
        <w:r w:rsidR="000142BF" w:rsidRPr="00F959BC">
          <w:rPr>
            <w:rStyle w:val="Hyperlink"/>
          </w:rPr>
          <w:t>G.</w:t>
        </w:r>
        <w:r w:rsidR="000142BF">
          <w:rPr>
            <w:rFonts w:asciiTheme="minorHAnsi" w:eastAsiaTheme="minorEastAsia" w:hAnsiTheme="minorHAnsi" w:cstheme="minorBidi"/>
            <w:sz w:val="22"/>
            <w:szCs w:val="22"/>
          </w:rPr>
          <w:tab/>
        </w:r>
        <w:r w:rsidR="000142BF" w:rsidRPr="00F959BC">
          <w:rPr>
            <w:rStyle w:val="Hyperlink"/>
          </w:rPr>
          <w:t>Disputes Data Detail</w:t>
        </w:r>
        <w:r w:rsidR="000142BF">
          <w:rPr>
            <w:webHidden/>
          </w:rPr>
          <w:tab/>
        </w:r>
        <w:r w:rsidR="000142BF">
          <w:rPr>
            <w:webHidden/>
          </w:rPr>
          <w:fldChar w:fldCharType="begin"/>
        </w:r>
        <w:r w:rsidR="000142BF">
          <w:rPr>
            <w:webHidden/>
          </w:rPr>
          <w:instrText xml:space="preserve"> PAGEREF _Toc527994448 \h </w:instrText>
        </w:r>
        <w:r w:rsidR="000142BF">
          <w:rPr>
            <w:webHidden/>
          </w:rPr>
        </w:r>
        <w:r w:rsidR="000142BF">
          <w:rPr>
            <w:webHidden/>
          </w:rPr>
          <w:fldChar w:fldCharType="separate"/>
        </w:r>
        <w:r w:rsidR="00634DBE">
          <w:rPr>
            <w:webHidden/>
          </w:rPr>
          <w:t>33</w:t>
        </w:r>
        <w:r w:rsidR="000142BF">
          <w:rPr>
            <w:webHidden/>
          </w:rPr>
          <w:fldChar w:fldCharType="end"/>
        </w:r>
      </w:hyperlink>
    </w:p>
    <w:p w14:paraId="4647CC4E" w14:textId="77777777" w:rsidR="009D467A" w:rsidRDefault="009B0A33" w:rsidP="00FF513E">
      <w:pPr>
        <w:pStyle w:val="NoSpacing"/>
      </w:pPr>
      <w:r>
        <w:fldChar w:fldCharType="end"/>
      </w:r>
      <w:bookmarkStart w:id="6" w:name="_Toc326937698"/>
      <w:bookmarkStart w:id="7" w:name="_Toc326938615"/>
      <w:bookmarkStart w:id="8" w:name="_Toc326938830"/>
      <w:bookmarkEnd w:id="3"/>
      <w:bookmarkEnd w:id="4"/>
    </w:p>
    <w:p w14:paraId="4B759B63"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9" w:name="_Toc314733116"/>
      <w:bookmarkStart w:id="10" w:name="_Toc341686774"/>
      <w:bookmarkEnd w:id="5"/>
      <w:bookmarkEnd w:id="6"/>
      <w:bookmarkEnd w:id="7"/>
      <w:bookmarkEnd w:id="8"/>
    </w:p>
    <w:p w14:paraId="79D6F0A4" w14:textId="77777777" w:rsidR="00E07F40" w:rsidRPr="001F6B8D" w:rsidRDefault="00E07F40" w:rsidP="001F6B8D">
      <w:pPr>
        <w:pStyle w:val="Heading1"/>
      </w:pPr>
      <w:bookmarkStart w:id="11" w:name="_Toc527994429"/>
      <w:r w:rsidRPr="00B37C03">
        <w:lastRenderedPageBreak/>
        <w:t>Authority</w:t>
      </w:r>
      <w:bookmarkEnd w:id="9"/>
      <w:bookmarkEnd w:id="10"/>
      <w:bookmarkEnd w:id="11"/>
    </w:p>
    <w:p w14:paraId="45DAAEF3" w14:textId="523A4AF3" w:rsidR="00E07F40" w:rsidRDefault="00E07F40" w:rsidP="001C755C">
      <w:pPr>
        <w:pStyle w:val="BodyText1"/>
      </w:pPr>
      <w:r w:rsidRPr="00B37C03">
        <w:t xml:space="preserve">This </w:t>
      </w:r>
      <w:r w:rsidR="0051446D">
        <w:t xml:space="preserve">Reporting </w:t>
      </w:r>
      <w:r w:rsidR="0008389F">
        <w:t>Standard</w:t>
      </w:r>
      <w:r w:rsidRPr="00B37C03">
        <w:t xml:space="preserve"> is made under section </w:t>
      </w:r>
      <w:r w:rsidR="0037276F">
        <w:t>13</w:t>
      </w:r>
      <w:r w:rsidRPr="00B37C03">
        <w:t xml:space="preserve"> of the </w:t>
      </w:r>
      <w:r w:rsidR="0037276F">
        <w:rPr>
          <w:i/>
          <w:iCs/>
        </w:rPr>
        <w:t xml:space="preserve">Financial Sector (Collection of Data) </w:t>
      </w:r>
      <w:r w:rsidRPr="00B37C03">
        <w:rPr>
          <w:i/>
          <w:iCs/>
        </w:rPr>
        <w:t xml:space="preserve">Act </w:t>
      </w:r>
      <w:r w:rsidR="0037276F">
        <w:rPr>
          <w:i/>
          <w:iCs/>
        </w:rPr>
        <w:t>2001</w:t>
      </w:r>
      <w:r w:rsidRPr="00B37C03">
        <w:t>.</w:t>
      </w:r>
    </w:p>
    <w:p w14:paraId="7176855A" w14:textId="77777777" w:rsidR="0037276F" w:rsidRDefault="0037276F" w:rsidP="001F6B8D">
      <w:pPr>
        <w:pStyle w:val="Heading1"/>
      </w:pPr>
      <w:bookmarkStart w:id="12" w:name="_Toc527994430"/>
      <w:bookmarkStart w:id="13" w:name="_Toc314733118"/>
      <w:bookmarkStart w:id="14" w:name="_Toc341686775"/>
      <w:r>
        <w:t>Purpose</w:t>
      </w:r>
      <w:bookmarkEnd w:id="12"/>
    </w:p>
    <w:p w14:paraId="6AE6CF2B" w14:textId="70989D36" w:rsidR="0037276F" w:rsidRPr="008531FD" w:rsidRDefault="0037276F" w:rsidP="0037276F">
      <w:pPr>
        <w:pStyle w:val="BodyText1"/>
      </w:pPr>
      <w:r>
        <w:t xml:space="preserve">Information collected </w:t>
      </w:r>
      <w:r w:rsidR="00862E3D" w:rsidRPr="00370872">
        <w:t>by</w:t>
      </w:r>
      <w:r w:rsidRPr="00370872">
        <w:t xml:space="preserve"> </w:t>
      </w:r>
      <w:r w:rsidR="00992CD3">
        <w:t xml:space="preserve">this Reporting Standard </w:t>
      </w:r>
      <w:r w:rsidRPr="00370872">
        <w:t>is used by APRA for the purpose</w:t>
      </w:r>
      <w:r w:rsidR="00862E3D" w:rsidRPr="008531FD">
        <w:t>s</w:t>
      </w:r>
      <w:r w:rsidRPr="008531FD">
        <w:t xml:space="preserve"> of </w:t>
      </w:r>
      <w:r w:rsidR="00CA1CC1" w:rsidRPr="008531FD">
        <w:t xml:space="preserve">assisting APRA to perform its functions including </w:t>
      </w:r>
      <w:r w:rsidR="00904BE0" w:rsidRPr="008531FD">
        <w:t>pru</w:t>
      </w:r>
      <w:r w:rsidR="00CA1CC1" w:rsidRPr="008531FD">
        <w:t>dential supervision, enabling APRA to publish information given by financial sector entities and assisting the Australian Securities and Investments Commission to perform its functions.</w:t>
      </w:r>
    </w:p>
    <w:p w14:paraId="33A6A007" w14:textId="28F00680" w:rsidR="00E07F40" w:rsidRPr="008531FD" w:rsidRDefault="00E07F40" w:rsidP="001F6B8D">
      <w:pPr>
        <w:pStyle w:val="Heading1"/>
      </w:pPr>
      <w:bookmarkStart w:id="15" w:name="_Toc527994431"/>
      <w:r w:rsidRPr="008531FD">
        <w:t>Application</w:t>
      </w:r>
      <w:bookmarkEnd w:id="13"/>
      <w:bookmarkEnd w:id="14"/>
      <w:bookmarkEnd w:id="15"/>
    </w:p>
    <w:p w14:paraId="7BB1DF09" w14:textId="2C11603E" w:rsidR="00A4417A" w:rsidRPr="00370872" w:rsidRDefault="00AB1E05" w:rsidP="00DF539C">
      <w:pPr>
        <w:pStyle w:val="BodyText1"/>
      </w:pPr>
      <w:r w:rsidRPr="008531FD">
        <w:t xml:space="preserve">This Reporting Standard applies to all </w:t>
      </w:r>
      <w:r w:rsidR="00A4417A" w:rsidRPr="008531FD">
        <w:rPr>
          <w:b/>
        </w:rPr>
        <w:t xml:space="preserve">life </w:t>
      </w:r>
      <w:r w:rsidR="008D1A9F" w:rsidRPr="008531FD">
        <w:rPr>
          <w:b/>
        </w:rPr>
        <w:t>companies</w:t>
      </w:r>
      <w:r w:rsidR="001067A9" w:rsidRPr="008531FD">
        <w:t xml:space="preserve"> authorised under the </w:t>
      </w:r>
      <w:r w:rsidR="001067A9" w:rsidRPr="008531FD">
        <w:rPr>
          <w:i/>
        </w:rPr>
        <w:t>Life Insurance Act 1995</w:t>
      </w:r>
      <w:r w:rsidR="007B0E16" w:rsidRPr="008531FD">
        <w:rPr>
          <w:i/>
        </w:rPr>
        <w:t xml:space="preserve"> </w:t>
      </w:r>
      <w:r w:rsidR="007B0E16" w:rsidRPr="008531FD">
        <w:t>(Life Act)</w:t>
      </w:r>
      <w:r w:rsidR="00A4417A" w:rsidRPr="008531FD">
        <w:t xml:space="preserve"> </w:t>
      </w:r>
      <w:r w:rsidR="00992CD3">
        <w:t>which write business as per section ‘A. Application’ in the Instructions</w:t>
      </w:r>
      <w:r w:rsidR="0084403C" w:rsidRPr="00370872">
        <w:t>.</w:t>
      </w:r>
    </w:p>
    <w:p w14:paraId="06BCE0BA" w14:textId="77777777" w:rsidR="0051446D" w:rsidRPr="008531FD" w:rsidRDefault="0051446D" w:rsidP="0051446D">
      <w:pPr>
        <w:pStyle w:val="Heading1"/>
      </w:pPr>
      <w:bookmarkStart w:id="16" w:name="_Toc527994432"/>
      <w:r w:rsidRPr="008531FD">
        <w:t>Commencement</w:t>
      </w:r>
      <w:bookmarkEnd w:id="16"/>
    </w:p>
    <w:p w14:paraId="776E1FA5" w14:textId="1EAEF3C3" w:rsidR="00E70693" w:rsidRPr="008531FD" w:rsidRDefault="00E70693" w:rsidP="00E70693">
      <w:pPr>
        <w:pStyle w:val="BodyText1"/>
        <w:rPr>
          <w:snapToGrid w:val="0"/>
          <w:lang w:eastAsia="en-US"/>
        </w:rPr>
      </w:pPr>
      <w:r w:rsidRPr="008531FD">
        <w:rPr>
          <w:snapToGrid w:val="0"/>
          <w:lang w:eastAsia="en-US"/>
        </w:rPr>
        <w:t xml:space="preserve">This Reporting Standard </w:t>
      </w:r>
      <w:r w:rsidR="002F7206">
        <w:rPr>
          <w:snapToGrid w:val="0"/>
          <w:lang w:eastAsia="en-US"/>
        </w:rPr>
        <w:t>commences on the day it is registered on the Federal Register of Legislation.</w:t>
      </w:r>
    </w:p>
    <w:p w14:paraId="7EA83C9E" w14:textId="15849ED0" w:rsidR="00E07F40" w:rsidRPr="008531FD" w:rsidRDefault="00254F31" w:rsidP="00254F31">
      <w:pPr>
        <w:pStyle w:val="Heading1"/>
      </w:pPr>
      <w:bookmarkStart w:id="17" w:name="_Ref454389904"/>
      <w:bookmarkStart w:id="18" w:name="_Toc527994433"/>
      <w:r w:rsidRPr="008531FD">
        <w:t>Information required</w:t>
      </w:r>
      <w:bookmarkEnd w:id="17"/>
      <w:bookmarkEnd w:id="18"/>
    </w:p>
    <w:p w14:paraId="542033C3" w14:textId="407204DD" w:rsidR="00254F31" w:rsidRPr="008531FD" w:rsidRDefault="002F06C2" w:rsidP="00254F31">
      <w:pPr>
        <w:pStyle w:val="BodyText1"/>
      </w:pPr>
      <w:r w:rsidRPr="008531FD">
        <w:t>A life company</w:t>
      </w:r>
      <w:r w:rsidR="002F7206" w:rsidRPr="002F7206">
        <w:t xml:space="preserve"> </w:t>
      </w:r>
      <w:r w:rsidR="002F7206">
        <w:t>to which this Reporting Standard applies</w:t>
      </w:r>
      <w:r w:rsidRPr="008531FD">
        <w:t xml:space="preserve"> must provide APRA with the information required by </w:t>
      </w:r>
      <w:r w:rsidR="00FC2616" w:rsidRPr="008531FD">
        <w:rPr>
          <w:i/>
        </w:rPr>
        <w:t>LR</w:t>
      </w:r>
      <w:r w:rsidR="009705A0" w:rsidRPr="008531FD">
        <w:rPr>
          <w:i/>
        </w:rPr>
        <w:t>F</w:t>
      </w:r>
      <w:r w:rsidR="00484E05" w:rsidRPr="008531FD">
        <w:rPr>
          <w:i/>
        </w:rPr>
        <w:t xml:space="preserve"> </w:t>
      </w:r>
      <w:r w:rsidR="002F575E" w:rsidRPr="00370872">
        <w:rPr>
          <w:i/>
        </w:rPr>
        <w:t>750</w:t>
      </w:r>
      <w:r w:rsidR="00511487">
        <w:rPr>
          <w:i/>
        </w:rPr>
        <w:t>.0</w:t>
      </w:r>
      <w:r w:rsidR="002F575E" w:rsidRPr="00370872">
        <w:t xml:space="preserve"> </w:t>
      </w:r>
      <w:r w:rsidRPr="008531FD">
        <w:t>for each reporting period</w:t>
      </w:r>
      <w:r w:rsidR="00D45EC1" w:rsidRPr="008531FD">
        <w:t>.</w:t>
      </w:r>
    </w:p>
    <w:p w14:paraId="3F72F2D1" w14:textId="1F3001C5" w:rsidR="007B0E16" w:rsidRPr="00B37C03" w:rsidRDefault="007B0E16" w:rsidP="007B0E16">
      <w:pPr>
        <w:pStyle w:val="BodyText1"/>
      </w:pPr>
      <w:r w:rsidRPr="007B0E16">
        <w:t>The information reported to APRA under this Reporting Standard is not required to be given to policy owners pursuant to section 124 of the Life Act. It does not constitute a reporting document for the purposes of section 124</w:t>
      </w:r>
      <w:r w:rsidR="008D1A9F">
        <w:t xml:space="preserve"> of the Life Act</w:t>
      </w:r>
      <w:r w:rsidRPr="007B0E16">
        <w:t>.</w:t>
      </w:r>
    </w:p>
    <w:p w14:paraId="726EA4FE" w14:textId="77777777" w:rsidR="00254F31" w:rsidRDefault="00254F31" w:rsidP="00254F31">
      <w:pPr>
        <w:pStyle w:val="Heading1"/>
      </w:pPr>
      <w:bookmarkStart w:id="19" w:name="_Toc527994434"/>
      <w:r>
        <w:t>Forms and method of submission</w:t>
      </w:r>
      <w:bookmarkEnd w:id="19"/>
    </w:p>
    <w:p w14:paraId="1F852F77" w14:textId="11AC8865" w:rsidR="002F7206" w:rsidRDefault="002F06C2" w:rsidP="002F7206">
      <w:pPr>
        <w:pStyle w:val="BodyText1"/>
        <w:numPr>
          <w:ilvl w:val="0"/>
          <w:numId w:val="4"/>
        </w:numPr>
      </w:pPr>
      <w:r>
        <w:t>The information required by this Reporting Standard must be given to APRA in electronic format using the</w:t>
      </w:r>
      <w:r w:rsidR="002F7206">
        <w:t xml:space="preserve"> ‘LRF 750.0 </w:t>
      </w:r>
      <w:r w:rsidR="001C134B">
        <w:t>reporting form</w:t>
      </w:r>
      <w:r w:rsidR="006B245C">
        <w:t>’</w:t>
      </w:r>
      <w:r>
        <w:t>, or by another method notified by APRA prior to submission.</w:t>
      </w:r>
    </w:p>
    <w:p w14:paraId="19BC865B" w14:textId="78DD0BBA" w:rsidR="00E07F40" w:rsidRPr="00973090" w:rsidRDefault="002F7206" w:rsidP="00973090">
      <w:pPr>
        <w:pStyle w:val="BodyText1"/>
        <w:numPr>
          <w:ilvl w:val="0"/>
          <w:numId w:val="0"/>
        </w:numPr>
        <w:ind w:left="567"/>
        <w:rPr>
          <w:sz w:val="20"/>
          <w:szCs w:val="20"/>
        </w:rPr>
      </w:pPr>
      <w:r w:rsidRPr="00973090">
        <w:rPr>
          <w:i/>
          <w:sz w:val="20"/>
          <w:szCs w:val="20"/>
        </w:rPr>
        <w:t>Note</w:t>
      </w:r>
      <w:r w:rsidRPr="00973090">
        <w:rPr>
          <w:sz w:val="20"/>
          <w:szCs w:val="20"/>
        </w:rPr>
        <w:t xml:space="preserve">: the ‘LRF 750.0 </w:t>
      </w:r>
      <w:r w:rsidR="001C134B" w:rsidRPr="00973090">
        <w:rPr>
          <w:sz w:val="20"/>
          <w:szCs w:val="20"/>
        </w:rPr>
        <w:t>reporting form</w:t>
      </w:r>
      <w:r w:rsidRPr="00973090">
        <w:rPr>
          <w:sz w:val="20"/>
          <w:szCs w:val="20"/>
        </w:rPr>
        <w:t xml:space="preserve">’ </w:t>
      </w:r>
      <w:r w:rsidR="001C134B" w:rsidRPr="00973090">
        <w:rPr>
          <w:sz w:val="20"/>
          <w:szCs w:val="20"/>
        </w:rPr>
        <w:t>is</w:t>
      </w:r>
      <w:r w:rsidRPr="00973090">
        <w:rPr>
          <w:sz w:val="20"/>
          <w:szCs w:val="20"/>
        </w:rPr>
        <w:t xml:space="preserve"> obtained from APRA.</w:t>
      </w:r>
    </w:p>
    <w:p w14:paraId="707B220E" w14:textId="1F9E191B" w:rsidR="00254F31" w:rsidRDefault="00505C73" w:rsidP="00505C73">
      <w:pPr>
        <w:pStyle w:val="Heading1"/>
      </w:pPr>
      <w:bookmarkStart w:id="20" w:name="_Toc527994435"/>
      <w:r>
        <w:t>Reporting</w:t>
      </w:r>
      <w:r w:rsidR="00214233">
        <w:t xml:space="preserve"> P</w:t>
      </w:r>
      <w:r>
        <w:t>eriods and due dates</w:t>
      </w:r>
      <w:bookmarkEnd w:id="20"/>
    </w:p>
    <w:p w14:paraId="568259EF" w14:textId="238E4FD3" w:rsidR="00F0147A" w:rsidRDefault="008D1A9F" w:rsidP="006B245C">
      <w:pPr>
        <w:pStyle w:val="BodyText1"/>
        <w:numPr>
          <w:ilvl w:val="0"/>
          <w:numId w:val="4"/>
        </w:numPr>
      </w:pPr>
      <w:bookmarkStart w:id="21" w:name="_Ref351557938"/>
      <w:bookmarkStart w:id="22" w:name="_Ref349587044"/>
      <w:r>
        <w:t xml:space="preserve">A </w:t>
      </w:r>
      <w:r w:rsidR="00F0147A">
        <w:t xml:space="preserve">Reporting </w:t>
      </w:r>
      <w:r w:rsidR="00214233">
        <w:t>P</w:t>
      </w:r>
      <w:r w:rsidR="00F0147A">
        <w:t xml:space="preserve">eriod </w:t>
      </w:r>
      <w:r>
        <w:t>is</w:t>
      </w:r>
      <w:r w:rsidR="00F0147A">
        <w:t xml:space="preserve"> six months in duration</w:t>
      </w:r>
      <w:r>
        <w:t>.</w:t>
      </w:r>
    </w:p>
    <w:p w14:paraId="3F8A3877" w14:textId="25990C06" w:rsidR="00A53C7F" w:rsidRDefault="00A53C7F" w:rsidP="002248C1">
      <w:pPr>
        <w:pStyle w:val="BodyText1"/>
      </w:pPr>
      <w:r>
        <w:t>A life company must provide the information required by this Reporting Standard</w:t>
      </w:r>
      <w:r w:rsidR="006720F3">
        <w:t xml:space="preserve"> </w:t>
      </w:r>
      <w:r w:rsidR="00E30FBC">
        <w:t>relating to</w:t>
      </w:r>
      <w:r>
        <w:t>:</w:t>
      </w:r>
    </w:p>
    <w:p w14:paraId="566D28AA" w14:textId="0CD5C477" w:rsidR="006720F3" w:rsidRDefault="006720F3" w:rsidP="00370872">
      <w:pPr>
        <w:pStyle w:val="BodyText2"/>
        <w:jc w:val="both"/>
      </w:pPr>
      <w:r>
        <w:t>t</w:t>
      </w:r>
      <w:r w:rsidRPr="002248C1">
        <w:t xml:space="preserve">he </w:t>
      </w:r>
      <w:r w:rsidR="00214233">
        <w:t>R</w:t>
      </w:r>
      <w:r w:rsidR="00B611F2">
        <w:t xml:space="preserve">eporting </w:t>
      </w:r>
      <w:r w:rsidR="00214233">
        <w:t>P</w:t>
      </w:r>
      <w:r w:rsidR="00F0147A">
        <w:t xml:space="preserve">eriod </w:t>
      </w:r>
      <w:r>
        <w:t>1 July 2017 to 31 December 2017; and</w:t>
      </w:r>
    </w:p>
    <w:p w14:paraId="6E8531AC" w14:textId="0F55D5DE" w:rsidR="006720F3" w:rsidRDefault="00A53C7F" w:rsidP="00370872">
      <w:pPr>
        <w:pStyle w:val="BodyText2"/>
        <w:jc w:val="both"/>
      </w:pPr>
      <w:r>
        <w:t xml:space="preserve">the </w:t>
      </w:r>
      <w:r w:rsidR="00214233">
        <w:t>R</w:t>
      </w:r>
      <w:r w:rsidR="00F0147A">
        <w:t xml:space="preserve">eporting </w:t>
      </w:r>
      <w:r w:rsidR="00214233">
        <w:t>P</w:t>
      </w:r>
      <w:r w:rsidR="006720F3">
        <w:t xml:space="preserve">eriod 1 January </w:t>
      </w:r>
      <w:r w:rsidR="00E30FBC">
        <w:t xml:space="preserve">2018 </w:t>
      </w:r>
      <w:r w:rsidR="006720F3">
        <w:t>to 30 June 2018</w:t>
      </w:r>
      <w:r w:rsidR="00146773">
        <w:t>;</w:t>
      </w:r>
    </w:p>
    <w:p w14:paraId="3A44A74B" w14:textId="6AD59A95" w:rsidR="00E30FBC" w:rsidRDefault="00146773" w:rsidP="00370872">
      <w:pPr>
        <w:pStyle w:val="BodyText2"/>
        <w:numPr>
          <w:ilvl w:val="0"/>
          <w:numId w:val="0"/>
        </w:numPr>
        <w:ind w:left="567"/>
      </w:pPr>
      <w:r>
        <w:t>b</w:t>
      </w:r>
      <w:r w:rsidR="00E30FBC">
        <w:t xml:space="preserve">y </w:t>
      </w:r>
      <w:r w:rsidR="0004248D">
        <w:t xml:space="preserve">28 </w:t>
      </w:r>
      <w:r w:rsidR="00F3545D">
        <w:t>December</w:t>
      </w:r>
      <w:r w:rsidR="00E30FBC">
        <w:t xml:space="preserve"> 2018.</w:t>
      </w:r>
    </w:p>
    <w:p w14:paraId="39CDC49E" w14:textId="6DAFFEB9" w:rsidR="006720F3" w:rsidRDefault="006720F3" w:rsidP="004E3503">
      <w:pPr>
        <w:pStyle w:val="BodyText1"/>
      </w:pPr>
      <w:r>
        <w:lastRenderedPageBreak/>
        <w:t xml:space="preserve">A life company must provide the information required by this Reporting Standard </w:t>
      </w:r>
      <w:r w:rsidR="00146773">
        <w:t>relating to</w:t>
      </w:r>
      <w:r>
        <w:t>:</w:t>
      </w:r>
    </w:p>
    <w:p w14:paraId="56BC335E" w14:textId="70C028FF" w:rsidR="006720F3" w:rsidRDefault="00F0147A" w:rsidP="00370872">
      <w:pPr>
        <w:pStyle w:val="BodyText2"/>
        <w:jc w:val="both"/>
      </w:pPr>
      <w:r>
        <w:t>t</w:t>
      </w:r>
      <w:r w:rsidR="006720F3">
        <w:t>he</w:t>
      </w:r>
      <w:r>
        <w:t xml:space="preserve"> </w:t>
      </w:r>
      <w:r w:rsidR="00214233">
        <w:t>R</w:t>
      </w:r>
      <w:r>
        <w:t xml:space="preserve">eporting </w:t>
      </w:r>
      <w:r w:rsidR="00214233">
        <w:t>P</w:t>
      </w:r>
      <w:r>
        <w:t>eriod 1 July 2018 to 31 December 2018</w:t>
      </w:r>
      <w:r w:rsidR="00DB641E">
        <w:t xml:space="preserve"> three months after the end of the relevant Reporting Period</w:t>
      </w:r>
      <w:r>
        <w:t>; and</w:t>
      </w:r>
    </w:p>
    <w:p w14:paraId="0FEEA863" w14:textId="5816933F" w:rsidR="00F0147A" w:rsidRDefault="00F0147A" w:rsidP="00370872">
      <w:pPr>
        <w:pStyle w:val="BodyText2"/>
        <w:numPr>
          <w:ilvl w:val="1"/>
          <w:numId w:val="4"/>
        </w:numPr>
        <w:jc w:val="both"/>
      </w:pPr>
      <w:r>
        <w:t xml:space="preserve">the </w:t>
      </w:r>
      <w:r w:rsidR="00214233">
        <w:t>R</w:t>
      </w:r>
      <w:r>
        <w:t xml:space="preserve">eporting </w:t>
      </w:r>
      <w:r w:rsidR="00214233">
        <w:t>P</w:t>
      </w:r>
      <w:r>
        <w:t>eriod 1 January 2019 to 30 June 2019</w:t>
      </w:r>
      <w:r w:rsidR="00DB641E">
        <w:t xml:space="preserve"> </w:t>
      </w:r>
      <w:r w:rsidR="00146773" w:rsidRPr="00146773">
        <w:t>two months after the end of t</w:t>
      </w:r>
      <w:r w:rsidR="00E7738B">
        <w:t xml:space="preserve">he relevant Reporting </w:t>
      </w:r>
      <w:r w:rsidR="002F7206">
        <w:t>Period</w:t>
      </w:r>
      <w:r w:rsidR="00E7738B">
        <w:t>.</w:t>
      </w:r>
    </w:p>
    <w:p w14:paraId="10A2867C" w14:textId="35CF9BC5" w:rsidR="005936FA" w:rsidRDefault="00E87ABD" w:rsidP="004E3503">
      <w:pPr>
        <w:pStyle w:val="BodyText1"/>
      </w:pPr>
      <w:r>
        <w:t>A life company must provide the information required by this Reporting Standard relating to</w:t>
      </w:r>
      <w:r w:rsidR="00F0147A">
        <w:t xml:space="preserve"> </w:t>
      </w:r>
      <w:r w:rsidR="00F60881">
        <w:t xml:space="preserve">the </w:t>
      </w:r>
      <w:r w:rsidR="00214233">
        <w:t>R</w:t>
      </w:r>
      <w:r w:rsidR="00F60881">
        <w:t xml:space="preserve">eporting </w:t>
      </w:r>
      <w:r w:rsidR="00214233">
        <w:t>P</w:t>
      </w:r>
      <w:r w:rsidR="00F60881">
        <w:t>eriod 1 July 2019 to 31 December 2019</w:t>
      </w:r>
      <w:r>
        <w:t>,</w:t>
      </w:r>
      <w:r w:rsidR="00F60881">
        <w:t xml:space="preserve"> and each subsequent</w:t>
      </w:r>
      <w:r w:rsidR="00F0147A">
        <w:t xml:space="preserve"> </w:t>
      </w:r>
      <w:r w:rsidR="002C397A">
        <w:t>R</w:t>
      </w:r>
      <w:r w:rsidR="00F0147A">
        <w:t xml:space="preserve">eporting </w:t>
      </w:r>
      <w:r w:rsidR="002C397A">
        <w:t>P</w:t>
      </w:r>
      <w:r w:rsidR="00F0147A">
        <w:t xml:space="preserve">eriod, </w:t>
      </w:r>
      <w:r w:rsidR="005E1086">
        <w:t xml:space="preserve">within six weeks after the end of the </w:t>
      </w:r>
      <w:r>
        <w:t xml:space="preserve">relevant </w:t>
      </w:r>
      <w:r w:rsidR="00214233">
        <w:t>R</w:t>
      </w:r>
      <w:r w:rsidR="005E1086">
        <w:t xml:space="preserve">eporting </w:t>
      </w:r>
      <w:r w:rsidR="00214233">
        <w:t>P</w:t>
      </w:r>
      <w:r w:rsidR="005E1086">
        <w:t>eriod.</w:t>
      </w:r>
    </w:p>
    <w:p w14:paraId="4CDF3F98" w14:textId="3E7ACC6E" w:rsidR="00AA4C38" w:rsidRDefault="00AA4C38" w:rsidP="004E3503">
      <w:pPr>
        <w:pStyle w:val="BodyText1"/>
      </w:pPr>
      <w:r>
        <w:t>APRA may grant a life company an extension of a due date in paragraphs 9 through 11, in which case the new due date will be the date on the notice of extension.</w:t>
      </w:r>
    </w:p>
    <w:p w14:paraId="7B44C411" w14:textId="077D85DC" w:rsidR="002F06C2" w:rsidRPr="00E55AFD" w:rsidRDefault="002F06C2" w:rsidP="005936FA">
      <w:pPr>
        <w:pStyle w:val="BodyText1"/>
      </w:pPr>
      <w:r>
        <w:t xml:space="preserve">If, having regard to the particular circumstances of a life company, APRA considers it necessary or desirable to obtain information more or less frequently than set out above, APRA may, by notice in writing, change the </w:t>
      </w:r>
      <w:r w:rsidR="00214233">
        <w:t>R</w:t>
      </w:r>
      <w:r>
        <w:t xml:space="preserve">eporting </w:t>
      </w:r>
      <w:r w:rsidR="00214233">
        <w:t>P</w:t>
      </w:r>
      <w:r>
        <w:t xml:space="preserve">eriods, or specify </w:t>
      </w:r>
      <w:r w:rsidR="00214233">
        <w:t>R</w:t>
      </w:r>
      <w:r>
        <w:t xml:space="preserve">eporting </w:t>
      </w:r>
      <w:r w:rsidR="00214233">
        <w:t>P</w:t>
      </w:r>
      <w:r>
        <w:t>eriods, for the particular life company.</w:t>
      </w:r>
    </w:p>
    <w:p w14:paraId="460DF759" w14:textId="77777777" w:rsidR="00505C73" w:rsidRPr="002B31EB" w:rsidRDefault="005936FA" w:rsidP="005936FA">
      <w:pPr>
        <w:pStyle w:val="Heading1"/>
      </w:pPr>
      <w:bookmarkStart w:id="23" w:name="_Toc527994436"/>
      <w:r>
        <w:t>Quality control</w:t>
      </w:r>
      <w:bookmarkEnd w:id="23"/>
    </w:p>
    <w:bookmarkEnd w:id="21"/>
    <w:bookmarkEnd w:id="22"/>
    <w:p w14:paraId="7BDED1F4" w14:textId="5AB25B0B" w:rsidR="00C838B0" w:rsidRPr="00D35DD0" w:rsidRDefault="00C838B0" w:rsidP="00C838B0">
      <w:pPr>
        <w:pStyle w:val="BodyText1"/>
      </w:pPr>
      <w:r w:rsidRPr="00C838B0">
        <w:t xml:space="preserve">All information provided by a life company under this Reporting Standard must be subject to systems, processes and controls developed by the life company for the internal review and authorisation of that information. It is the responsibility of the </w:t>
      </w:r>
      <w:r w:rsidRPr="00C840E8">
        <w:rPr>
          <w:b/>
        </w:rPr>
        <w:t>Board</w:t>
      </w:r>
      <w:r w:rsidRPr="00C838B0">
        <w:t xml:space="preserve"> and senior management of the life company to ensure that an appropriate set of policies and procedures for the authorisation of data submitted to APRA is in place.</w:t>
      </w:r>
    </w:p>
    <w:p w14:paraId="39C52E73" w14:textId="711D737E" w:rsidR="00505C73" w:rsidRDefault="005936FA" w:rsidP="005936FA">
      <w:pPr>
        <w:pStyle w:val="Heading1"/>
      </w:pPr>
      <w:bookmarkStart w:id="24" w:name="_Toc527994437"/>
      <w:r>
        <w:t>Authorisation</w:t>
      </w:r>
      <w:bookmarkEnd w:id="24"/>
    </w:p>
    <w:p w14:paraId="5C93BD3B" w14:textId="2BB5B98D" w:rsidR="005936FA" w:rsidRPr="004E3503" w:rsidRDefault="00660280" w:rsidP="005936FA">
      <w:pPr>
        <w:pStyle w:val="BodyText1"/>
        <w:rPr>
          <w:lang w:val="x-none"/>
        </w:rPr>
      </w:pPr>
      <w:r>
        <w:t>An officer</w:t>
      </w:r>
      <w:r w:rsidR="00BF1D48">
        <w:t>, or agent,</w:t>
      </w:r>
      <w:r>
        <w:t xml:space="preserve"> of a life company submitting information under this Reporting Standard must </w:t>
      </w:r>
      <w:r w:rsidR="00B76B18">
        <w:t xml:space="preserve">be authorised </w:t>
      </w:r>
      <w:r w:rsidR="001C134B">
        <w:t xml:space="preserve">in writing to submit information under this Reporting Standard </w:t>
      </w:r>
      <w:r w:rsidR="00B76B18">
        <w:t>by either</w:t>
      </w:r>
      <w:r>
        <w:t>:</w:t>
      </w:r>
    </w:p>
    <w:p w14:paraId="14A375E8" w14:textId="3835C073" w:rsidR="00660280" w:rsidRPr="004E3503" w:rsidRDefault="00660280" w:rsidP="00370872">
      <w:pPr>
        <w:pStyle w:val="BodyText2"/>
        <w:jc w:val="both"/>
        <w:rPr>
          <w:lang w:val="x-none"/>
        </w:rPr>
      </w:pPr>
      <w:r>
        <w:t>the Principal Executive Officer of the life company; or</w:t>
      </w:r>
    </w:p>
    <w:p w14:paraId="72EDA7BD" w14:textId="306704FC" w:rsidR="00660280" w:rsidRPr="001E6A90" w:rsidRDefault="00660280" w:rsidP="00370872">
      <w:pPr>
        <w:pStyle w:val="BodyText2"/>
        <w:jc w:val="both"/>
        <w:rPr>
          <w:lang w:val="x-none"/>
        </w:rPr>
      </w:pPr>
      <w:r>
        <w:t>the Chief Financial Officer of the life company.</w:t>
      </w:r>
    </w:p>
    <w:p w14:paraId="08D46290" w14:textId="77777777" w:rsidR="00B76B18" w:rsidRDefault="00B76B18" w:rsidP="00B76B18">
      <w:pPr>
        <w:pStyle w:val="Heading1"/>
      </w:pPr>
      <w:bookmarkStart w:id="25" w:name="_Toc527994438"/>
      <w:r>
        <w:t>Minor alterations to forms and instructions</w:t>
      </w:r>
      <w:bookmarkEnd w:id="25"/>
    </w:p>
    <w:p w14:paraId="56D5DE31" w14:textId="77777777" w:rsidR="00B76B18" w:rsidRDefault="00B76B18" w:rsidP="00C132CF">
      <w:pPr>
        <w:pStyle w:val="BodyText1"/>
        <w:numPr>
          <w:ilvl w:val="0"/>
          <w:numId w:val="4"/>
        </w:numPr>
      </w:pPr>
      <w:r w:rsidRPr="001E6A90">
        <w:t>APRA</w:t>
      </w:r>
      <w:r>
        <w:t xml:space="preserve"> may make minor variations to:</w:t>
      </w:r>
    </w:p>
    <w:p w14:paraId="65B9DA43" w14:textId="77777777" w:rsidR="00B76B18" w:rsidRDefault="00B76B18" w:rsidP="00C132CF">
      <w:pPr>
        <w:pStyle w:val="BodyText2"/>
        <w:numPr>
          <w:ilvl w:val="1"/>
          <w:numId w:val="4"/>
        </w:numPr>
        <w:jc w:val="both"/>
      </w:pPr>
      <w:r>
        <w:t>a form that is part of this Reporting Standard, and the instructions to such a form, to correct technical, programming or logical errors, inconsistencies or anomalies; or</w:t>
      </w:r>
    </w:p>
    <w:p w14:paraId="25F71BBA" w14:textId="77777777" w:rsidR="00B76B18" w:rsidRDefault="00B76B18" w:rsidP="00C132CF">
      <w:pPr>
        <w:pStyle w:val="BodyText2"/>
        <w:numPr>
          <w:ilvl w:val="1"/>
          <w:numId w:val="4"/>
        </w:numPr>
        <w:jc w:val="both"/>
      </w:pPr>
      <w:r>
        <w:t>the instructions to a form, to clarify the application to the form,</w:t>
      </w:r>
    </w:p>
    <w:p w14:paraId="13EF6AD1" w14:textId="77777777" w:rsidR="00B76B18" w:rsidRDefault="00B76B18" w:rsidP="00C132CF">
      <w:pPr>
        <w:pStyle w:val="BodyText2"/>
        <w:numPr>
          <w:ilvl w:val="0"/>
          <w:numId w:val="0"/>
        </w:numPr>
        <w:ind w:left="567"/>
        <w:jc w:val="both"/>
      </w:pPr>
      <w:r>
        <w:lastRenderedPageBreak/>
        <w:t>without changing any substantive requirement in the form or instructions.</w:t>
      </w:r>
    </w:p>
    <w:p w14:paraId="62E188E6" w14:textId="77777777" w:rsidR="00B76B18" w:rsidRDefault="00B76B18" w:rsidP="00C132CF">
      <w:pPr>
        <w:pStyle w:val="BodyText1"/>
        <w:numPr>
          <w:ilvl w:val="0"/>
          <w:numId w:val="4"/>
        </w:numPr>
      </w:pPr>
      <w:r>
        <w:t>If APRA makes such a variation it must notify each life company that is required to report under this Reporting Standard.</w:t>
      </w:r>
    </w:p>
    <w:p w14:paraId="629F358B" w14:textId="77777777" w:rsidR="00425580" w:rsidRPr="00702C3D" w:rsidRDefault="00617725" w:rsidP="00425580">
      <w:pPr>
        <w:pStyle w:val="Heading1"/>
      </w:pPr>
      <w:bookmarkStart w:id="26" w:name="_Toc527994439"/>
      <w:r w:rsidRPr="00702C3D">
        <w:t>Interpretation</w:t>
      </w:r>
      <w:bookmarkEnd w:id="26"/>
    </w:p>
    <w:p w14:paraId="65A7B6AC" w14:textId="162659EF" w:rsidR="00B76B18" w:rsidRDefault="00B76B18" w:rsidP="00185DE8">
      <w:pPr>
        <w:pStyle w:val="BodyText1"/>
      </w:pPr>
      <w:r>
        <w:t xml:space="preserve">Terms that are defined in </w:t>
      </w:r>
      <w:r>
        <w:rPr>
          <w:i/>
        </w:rPr>
        <w:t>Prudential Standard LPS 001 Definitions</w:t>
      </w:r>
      <w:r w:rsidRPr="00C132CF">
        <w:t xml:space="preserve"> </w:t>
      </w:r>
      <w:r>
        <w:t>appear in bold the first time they are used in this Reporting Standard.</w:t>
      </w:r>
    </w:p>
    <w:p w14:paraId="61FC16E8" w14:textId="30C4704B" w:rsidR="00B76B18" w:rsidRPr="00702C3D" w:rsidRDefault="00B76B18" w:rsidP="00185DE8">
      <w:pPr>
        <w:pStyle w:val="BodyText1"/>
      </w:pPr>
      <w:r>
        <w:t>In this Reporting Standard:</w:t>
      </w:r>
    </w:p>
    <w:p w14:paraId="3A542526" w14:textId="47145F34" w:rsidR="000453B9" w:rsidRDefault="000453B9" w:rsidP="006B245C">
      <w:pPr>
        <w:pStyle w:val="BodyText2"/>
        <w:numPr>
          <w:ilvl w:val="0"/>
          <w:numId w:val="0"/>
        </w:numPr>
        <w:ind w:left="567"/>
        <w:jc w:val="both"/>
        <w:rPr>
          <w:b/>
          <w:i/>
        </w:rPr>
      </w:pPr>
      <w:r>
        <w:rPr>
          <w:b/>
          <w:i/>
        </w:rPr>
        <w:t xml:space="preserve">Due date </w:t>
      </w:r>
      <w:r w:rsidRPr="000453B9">
        <w:t>means</w:t>
      </w:r>
      <w:r>
        <w:rPr>
          <w:b/>
        </w:rPr>
        <w:t xml:space="preserve"> </w:t>
      </w:r>
      <w:r w:rsidR="00B95EE8">
        <w:t xml:space="preserve">the </w:t>
      </w:r>
      <w:r>
        <w:t xml:space="preserve">relevant due </w:t>
      </w:r>
      <w:r w:rsidR="006A452B">
        <w:t xml:space="preserve">date </w:t>
      </w:r>
      <w:r>
        <w:t xml:space="preserve">under paragraphs </w:t>
      </w:r>
      <w:r w:rsidR="00BA152D">
        <w:t xml:space="preserve">9 through </w:t>
      </w:r>
      <w:r>
        <w:t>11</w:t>
      </w:r>
      <w:r w:rsidR="00872C49">
        <w:t xml:space="preserve"> or, if applicable, the date on a notice of ext</w:t>
      </w:r>
      <w:r w:rsidR="00BA152D">
        <w:t>ension given under paragraph 12;</w:t>
      </w:r>
    </w:p>
    <w:p w14:paraId="287B7068" w14:textId="6771751B" w:rsidR="00B05C37" w:rsidRDefault="00B05C37" w:rsidP="006B245C">
      <w:pPr>
        <w:pStyle w:val="BodyText2"/>
        <w:numPr>
          <w:ilvl w:val="0"/>
          <w:numId w:val="0"/>
        </w:numPr>
        <w:ind w:left="567"/>
        <w:jc w:val="both"/>
      </w:pPr>
      <w:r>
        <w:rPr>
          <w:b/>
          <w:i/>
        </w:rPr>
        <w:t>Chief Financial Officer</w:t>
      </w:r>
      <w:r w:rsidRPr="007628A3">
        <w:t xml:space="preserve"> </w:t>
      </w:r>
      <w:r>
        <w:t>means the chief financial officer of the life co</w:t>
      </w:r>
      <w:r w:rsidR="00AD2B34">
        <w:t>mpany, by whatever name called;</w:t>
      </w:r>
    </w:p>
    <w:p w14:paraId="31FA30D9" w14:textId="7897A26A" w:rsidR="00B05C37" w:rsidRDefault="00B05C37" w:rsidP="006B245C">
      <w:pPr>
        <w:pStyle w:val="BodyText2"/>
        <w:numPr>
          <w:ilvl w:val="0"/>
          <w:numId w:val="0"/>
        </w:numPr>
        <w:ind w:left="567"/>
        <w:jc w:val="both"/>
      </w:pPr>
      <w:r>
        <w:rPr>
          <w:b/>
          <w:i/>
        </w:rPr>
        <w:t>Principal Executive Officer</w:t>
      </w:r>
      <w:r w:rsidRPr="007628A3">
        <w:t xml:space="preserve"> </w:t>
      </w:r>
      <w:r>
        <w:t xml:space="preserve">means the principal executive officer of the life company, by whatever name called; and whether or not </w:t>
      </w:r>
      <w:r w:rsidR="00185DE8">
        <w:t xml:space="preserve">they are </w:t>
      </w:r>
      <w:r>
        <w:t xml:space="preserve">a member of the governing board of the entity; </w:t>
      </w:r>
      <w:r w:rsidR="00AD2B34">
        <w:t>and</w:t>
      </w:r>
    </w:p>
    <w:p w14:paraId="53B32B6B" w14:textId="33CC292B" w:rsidR="00536B08" w:rsidRDefault="00AD2B34" w:rsidP="006B245C">
      <w:pPr>
        <w:pStyle w:val="BodyText2"/>
        <w:numPr>
          <w:ilvl w:val="0"/>
          <w:numId w:val="0"/>
        </w:numPr>
        <w:ind w:left="567"/>
        <w:jc w:val="both"/>
      </w:pPr>
      <w:r>
        <w:rPr>
          <w:b/>
          <w:i/>
        </w:rPr>
        <w:t xml:space="preserve">Reporting </w:t>
      </w:r>
      <w:r w:rsidR="0086707A">
        <w:rPr>
          <w:b/>
          <w:i/>
        </w:rPr>
        <w:t>P</w:t>
      </w:r>
      <w:r>
        <w:rPr>
          <w:b/>
          <w:i/>
        </w:rPr>
        <w:t>eriod</w:t>
      </w:r>
      <w:r w:rsidRPr="007628A3">
        <w:t xml:space="preserve"> </w:t>
      </w:r>
      <w:r w:rsidR="00CE28E0" w:rsidRPr="00CE28E0">
        <w:t xml:space="preserve">means a </w:t>
      </w:r>
      <w:r w:rsidR="0086707A">
        <w:t>R</w:t>
      </w:r>
      <w:r w:rsidR="00CE28E0" w:rsidRPr="00CE28E0">
        <w:t xml:space="preserve">eporting </w:t>
      </w:r>
      <w:r w:rsidR="0086707A">
        <w:t>P</w:t>
      </w:r>
      <w:r w:rsidR="00CE28E0" w:rsidRPr="00CE28E0">
        <w:t>eriod under</w:t>
      </w:r>
      <w:r w:rsidR="00753986">
        <w:t xml:space="preserve"> </w:t>
      </w:r>
      <w:r w:rsidR="00CE28E0" w:rsidRPr="00CE28E0">
        <w:t>paragraph 8</w:t>
      </w:r>
      <w:r w:rsidR="000453B9">
        <w:t xml:space="preserve"> or, if applicable, the date on a notice given under paragraph 13.</w:t>
      </w:r>
    </w:p>
    <w:p w14:paraId="004F0478" w14:textId="77777777" w:rsidR="007627F1" w:rsidRDefault="007627F1" w:rsidP="00BA152D">
      <w:pPr>
        <w:pStyle w:val="BodyText1"/>
      </w:pPr>
      <w:r>
        <w:t>Unless a contrary intention appears, a reference to an Act, Prudential Standard or Reporting Standard is a reference to the instrument as in force or existing from time to time.</w:t>
      </w:r>
    </w:p>
    <w:p w14:paraId="12D3B916" w14:textId="39EB06AB" w:rsidR="007627F1" w:rsidRPr="00370872" w:rsidRDefault="007627F1" w:rsidP="00BA152D">
      <w:pPr>
        <w:pStyle w:val="BodyText1"/>
      </w:pPr>
      <w:r>
        <w:t>Where this Reporting Standard provides for APRA to exercise a power or discretion, it</w:t>
      </w:r>
      <w:r w:rsidR="00973090">
        <w:t xml:space="preserve"> is to be exercised in writing.</w:t>
      </w:r>
    </w:p>
    <w:p w14:paraId="378E7A6B" w14:textId="77777777" w:rsidR="002A2A44" w:rsidRDefault="002A2A44" w:rsidP="00185DE8">
      <w:pPr>
        <w:jc w:val="both"/>
      </w:pPr>
      <w:r>
        <w:br w:type="page"/>
      </w:r>
    </w:p>
    <w:p w14:paraId="6FFB2CFD" w14:textId="09125821" w:rsidR="002A2A44" w:rsidRPr="00917200" w:rsidRDefault="002A2A44" w:rsidP="002A2A44">
      <w:pPr>
        <w:pStyle w:val="Heading2"/>
      </w:pPr>
      <w:bookmarkStart w:id="27" w:name="_Toc527994440"/>
      <w:r w:rsidRPr="00917200">
        <w:lastRenderedPageBreak/>
        <w:t xml:space="preserve">Reporting Form </w:t>
      </w:r>
      <w:r w:rsidR="001F79A8" w:rsidRPr="00917200">
        <w:t>L</w:t>
      </w:r>
      <w:r w:rsidRPr="00917200">
        <w:t xml:space="preserve">RF </w:t>
      </w:r>
      <w:r w:rsidR="002F575E">
        <w:t>750</w:t>
      </w:r>
      <w:r w:rsidR="00511487">
        <w:t>.0</w:t>
      </w:r>
      <w:bookmarkEnd w:id="27"/>
    </w:p>
    <w:p w14:paraId="11F9E91D" w14:textId="5A0C0F96" w:rsidR="002A2A44" w:rsidRPr="006F7D5E" w:rsidRDefault="00502D02" w:rsidP="002A2A44">
      <w:pPr>
        <w:pStyle w:val="Heading2"/>
      </w:pPr>
      <w:bookmarkStart w:id="28" w:name="_Toc527994441"/>
      <w:r w:rsidRPr="006F7D5E">
        <w:t>Claims and Disputes</w:t>
      </w:r>
      <w:bookmarkEnd w:id="28"/>
    </w:p>
    <w:p w14:paraId="5083B193" w14:textId="18351E40" w:rsidR="00CD661C" w:rsidRDefault="009A32C8" w:rsidP="008F2455">
      <w:pPr>
        <w:pStyle w:val="BodyText1"/>
        <w:numPr>
          <w:ilvl w:val="0"/>
          <w:numId w:val="0"/>
        </w:numPr>
      </w:pPr>
      <w:r w:rsidRPr="001A64C9">
        <w:t>The reporting form</w:t>
      </w:r>
      <w:r w:rsidRPr="000F3198">
        <w:t xml:space="preserve"> </w:t>
      </w:r>
      <w:r w:rsidR="00D970C0" w:rsidRPr="000F3198">
        <w:t>consist</w:t>
      </w:r>
      <w:r w:rsidR="008D3ABF" w:rsidRPr="000F3198">
        <w:t>s</w:t>
      </w:r>
      <w:r w:rsidR="00D970C0" w:rsidRPr="000F3198">
        <w:t xml:space="preserve"> of 8 core </w:t>
      </w:r>
      <w:r w:rsidR="006A6EAE" w:rsidRPr="000F3198">
        <w:t xml:space="preserve">data entry </w:t>
      </w:r>
      <w:r w:rsidR="00D970C0" w:rsidRPr="000F3198">
        <w:t>tables</w:t>
      </w:r>
      <w:r w:rsidR="006B245C">
        <w:t>.</w:t>
      </w:r>
      <w:r w:rsidR="006B3830">
        <w:rPr>
          <w:rStyle w:val="FootnoteReference"/>
        </w:rPr>
        <w:footnoteReference w:id="2"/>
      </w:r>
      <w:r w:rsidR="006A6EAE" w:rsidRPr="000F3198">
        <w:t xml:space="preserve"> </w:t>
      </w:r>
      <w:r w:rsidR="0074595C">
        <w:t>T</w:t>
      </w:r>
      <w:r w:rsidR="006A6EAE" w:rsidRPr="000F3198">
        <w:t xml:space="preserve">hese tables are duplicated to cover different combinations of </w:t>
      </w:r>
      <w:r w:rsidR="000F3198" w:rsidRPr="000F3198">
        <w:t xml:space="preserve">the relevant dimensions, including: </w:t>
      </w:r>
      <w:r w:rsidR="003630FD">
        <w:t>I</w:t>
      </w:r>
      <w:r w:rsidR="006A6EAE" w:rsidRPr="000F3198">
        <w:t xml:space="preserve">nsurance </w:t>
      </w:r>
      <w:r w:rsidR="003630FD">
        <w:t>T</w:t>
      </w:r>
      <w:r w:rsidR="006A6EAE" w:rsidRPr="000F3198">
        <w:t xml:space="preserve">ype, </w:t>
      </w:r>
      <w:r w:rsidR="003630FD">
        <w:t>O</w:t>
      </w:r>
      <w:r w:rsidR="006A6EAE" w:rsidRPr="000F3198">
        <w:t xml:space="preserve">n-sale </w:t>
      </w:r>
      <w:r w:rsidR="003630FD">
        <w:t>S</w:t>
      </w:r>
      <w:r w:rsidR="006A6EAE" w:rsidRPr="000F3198">
        <w:t xml:space="preserve">tatus, </w:t>
      </w:r>
      <w:r w:rsidR="003630FD">
        <w:t>A</w:t>
      </w:r>
      <w:r w:rsidR="006A6EAE" w:rsidRPr="000F3198">
        <w:t xml:space="preserve">dvice </w:t>
      </w:r>
      <w:r w:rsidR="003630FD">
        <w:t>T</w:t>
      </w:r>
      <w:r w:rsidR="006A6EAE" w:rsidRPr="000F3198">
        <w:t xml:space="preserve">ype, </w:t>
      </w:r>
      <w:r w:rsidR="003630FD">
        <w:t>C</w:t>
      </w:r>
      <w:r w:rsidR="006A6EAE" w:rsidRPr="000F3198">
        <w:t xml:space="preserve">over </w:t>
      </w:r>
      <w:r w:rsidR="003630FD">
        <w:t>T</w:t>
      </w:r>
      <w:r w:rsidR="006A6EAE" w:rsidRPr="000F3198">
        <w:t>ype</w:t>
      </w:r>
      <w:r w:rsidR="005F3C43">
        <w:t xml:space="preserve">, </w:t>
      </w:r>
      <w:r w:rsidR="003630FD">
        <w:t>P</w:t>
      </w:r>
      <w:r w:rsidR="006A6EAE" w:rsidRPr="000F3198">
        <w:t xml:space="preserve">roduct </w:t>
      </w:r>
      <w:r w:rsidR="003630FD">
        <w:t>T</w:t>
      </w:r>
      <w:r w:rsidR="006A6EAE" w:rsidRPr="000F3198">
        <w:t>ype</w:t>
      </w:r>
      <w:r w:rsidR="00A231DD">
        <w:t xml:space="preserve">, </w:t>
      </w:r>
      <w:r w:rsidR="003630FD">
        <w:t>D</w:t>
      </w:r>
      <w:r w:rsidR="00A231DD">
        <w:t xml:space="preserve">ispute </w:t>
      </w:r>
      <w:r w:rsidR="003630FD">
        <w:t>T</w:t>
      </w:r>
      <w:r w:rsidR="00A231DD">
        <w:t xml:space="preserve">ype, </w:t>
      </w:r>
      <w:r w:rsidR="00F94828">
        <w:t>c</w:t>
      </w:r>
      <w:r w:rsidR="008636B0">
        <w:t>laim</w:t>
      </w:r>
      <w:r w:rsidR="00F94828">
        <w:t xml:space="preserve"> measurement type (i.e. </w:t>
      </w:r>
      <w:r w:rsidR="00A231DD" w:rsidRPr="002B20E4">
        <w:t>claim numbers</w:t>
      </w:r>
      <w:r w:rsidR="008636B0">
        <w:t>, claim sum insured</w:t>
      </w:r>
      <w:r w:rsidR="00302D01">
        <w:t xml:space="preserve"> and </w:t>
      </w:r>
      <w:r w:rsidR="008636B0">
        <w:t xml:space="preserve">claim </w:t>
      </w:r>
      <w:r w:rsidR="00A231DD" w:rsidRPr="002B20E4">
        <w:t>amount</w:t>
      </w:r>
      <w:r w:rsidR="008636B0">
        <w:t>s</w:t>
      </w:r>
      <w:r w:rsidR="00A231DD" w:rsidRPr="002B20E4">
        <w:t xml:space="preserve"> paid</w:t>
      </w:r>
      <w:r w:rsidR="00F94828">
        <w:t>)</w:t>
      </w:r>
      <w:r w:rsidR="00A231DD">
        <w:t xml:space="preserve">, </w:t>
      </w:r>
      <w:r w:rsidR="00CD661C">
        <w:t xml:space="preserve">and </w:t>
      </w:r>
      <w:r w:rsidR="00F94828">
        <w:t xml:space="preserve">dispute measurement type (i.e. </w:t>
      </w:r>
      <w:r w:rsidR="008636B0">
        <w:t xml:space="preserve">disputes by number, disputes by </w:t>
      </w:r>
      <w:r w:rsidR="00A231DD" w:rsidRPr="002B20E4">
        <w:t>sum insured</w:t>
      </w:r>
      <w:r w:rsidR="008636B0">
        <w:t xml:space="preserve"> </w:t>
      </w:r>
      <w:r w:rsidR="00302D01">
        <w:t>and</w:t>
      </w:r>
      <w:r w:rsidR="008636B0">
        <w:t xml:space="preserve"> disputes </w:t>
      </w:r>
      <w:r w:rsidR="00A231DD" w:rsidRPr="002B20E4">
        <w:t>payment amount</w:t>
      </w:r>
      <w:r w:rsidR="008636B0">
        <w:t>s</w:t>
      </w:r>
      <w:r w:rsidR="00302D01">
        <w:t>)</w:t>
      </w:r>
      <w:r w:rsidR="00D970C0" w:rsidRPr="001A64C9">
        <w:t>.</w:t>
      </w:r>
      <w:r w:rsidR="00C132CF">
        <w:t xml:space="preserve"> These dimensions are defined in Sections A through G of the instructions.</w:t>
      </w:r>
      <w:r w:rsidR="0074595C">
        <w:t xml:space="preserve"> The “Index” sheet of the reporting form lists all sheets, and identifies which require data input.</w:t>
      </w:r>
    </w:p>
    <w:p w14:paraId="38EB8285" w14:textId="11F78415" w:rsidR="009A32C8" w:rsidRPr="00A231DD" w:rsidRDefault="001A64C9" w:rsidP="008F2455">
      <w:pPr>
        <w:pStyle w:val="BodyText1"/>
        <w:numPr>
          <w:ilvl w:val="0"/>
          <w:numId w:val="0"/>
        </w:numPr>
      </w:pPr>
      <w:r>
        <w:t xml:space="preserve">The reporting form is available on </w:t>
      </w:r>
      <w:r w:rsidR="00D970C0" w:rsidRPr="000F3198">
        <w:t>the APRA website</w:t>
      </w:r>
      <w:r w:rsidR="00CD661C">
        <w:t>, or upon request to APRA</w:t>
      </w:r>
      <w:r w:rsidR="00D970C0" w:rsidRPr="000F3198">
        <w:t>.</w:t>
      </w:r>
      <w:r w:rsidR="006B3830">
        <w:rPr>
          <w:rStyle w:val="FootnoteReference"/>
        </w:rPr>
        <w:footnoteReference w:id="3"/>
      </w:r>
    </w:p>
    <w:p w14:paraId="118D37FA" w14:textId="1B61C8E2" w:rsidR="009A32C8" w:rsidRDefault="002B20E4" w:rsidP="008F2455">
      <w:pPr>
        <w:pStyle w:val="BodyText1"/>
        <w:keepNext/>
        <w:numPr>
          <w:ilvl w:val="0"/>
          <w:numId w:val="0"/>
        </w:numPr>
      </w:pPr>
      <w:r>
        <w:rPr>
          <w:b/>
        </w:rPr>
        <w:t>STATS</w:t>
      </w:r>
      <w:r w:rsidR="006A6EAE">
        <w:t xml:space="preserve">: </w:t>
      </w:r>
      <w:r w:rsidR="00CE7E23">
        <w:t>The</w:t>
      </w:r>
      <w:r w:rsidR="005E4E23">
        <w:t xml:space="preserve"> core table for </w:t>
      </w:r>
      <w:r w:rsidR="009D0BD0">
        <w:t xml:space="preserve">the </w:t>
      </w:r>
      <w:r w:rsidR="009910DB">
        <w:t xml:space="preserve">10 </w:t>
      </w:r>
      <w:r w:rsidR="00D970C0">
        <w:t xml:space="preserve">policy statistics </w:t>
      </w:r>
      <w:r w:rsidR="009D0BD0">
        <w:t>sheets</w:t>
      </w:r>
      <w:r w:rsidR="009910DB">
        <w:t xml:space="preserve"> listed in paragraph 40</w:t>
      </w:r>
      <w:r w:rsidR="005E4E23">
        <w:t>.</w:t>
      </w:r>
      <w:r w:rsidR="006A6EAE">
        <w:t xml:space="preserve"> The</w:t>
      </w:r>
      <w:r w:rsidR="00CD661C">
        <w:t>se</w:t>
      </w:r>
      <w:r w:rsidR="006A6EAE">
        <w:t xml:space="preserve"> table</w:t>
      </w:r>
      <w:r w:rsidR="00CD661C">
        <w:t>s</w:t>
      </w:r>
      <w:r w:rsidR="006A6EAE">
        <w:t xml:space="preserve"> cover </w:t>
      </w:r>
      <w:r>
        <w:t xml:space="preserve">combinations of the following dimensions: </w:t>
      </w:r>
      <w:r w:rsidR="003630FD">
        <w:t>I</w:t>
      </w:r>
      <w:r w:rsidR="006A6EAE" w:rsidRPr="006A6EAE">
        <w:t xml:space="preserve">nsurance </w:t>
      </w:r>
      <w:r w:rsidR="003630FD">
        <w:t>T</w:t>
      </w:r>
      <w:r w:rsidR="006A6EAE" w:rsidRPr="006A6EAE">
        <w:t xml:space="preserve">ype, </w:t>
      </w:r>
      <w:r w:rsidR="003630FD">
        <w:t>O</w:t>
      </w:r>
      <w:r w:rsidR="006A6EAE" w:rsidRPr="006A6EAE">
        <w:t xml:space="preserve">n-sale </w:t>
      </w:r>
      <w:r w:rsidR="003630FD">
        <w:t>S</w:t>
      </w:r>
      <w:r w:rsidR="006A6EAE" w:rsidRPr="006A6EAE">
        <w:t xml:space="preserve">tatus, </w:t>
      </w:r>
      <w:r w:rsidR="003630FD">
        <w:t>A</w:t>
      </w:r>
      <w:r w:rsidR="006A6EAE" w:rsidRPr="006A6EAE">
        <w:t xml:space="preserve">dvice </w:t>
      </w:r>
      <w:r w:rsidR="003630FD">
        <w:t>T</w:t>
      </w:r>
      <w:r w:rsidR="006A6EAE" w:rsidRPr="006A6EAE">
        <w:t xml:space="preserve">ype, </w:t>
      </w:r>
      <w:r w:rsidR="003630FD">
        <w:t>P</w:t>
      </w:r>
      <w:r w:rsidR="006A6EAE" w:rsidRPr="006A6EAE">
        <w:t>roduct</w:t>
      </w:r>
      <w:r w:rsidR="00E90E8E">
        <w:t xml:space="preserve"> </w:t>
      </w:r>
      <w:r w:rsidR="003630FD">
        <w:t>T</w:t>
      </w:r>
      <w:r w:rsidR="00E90E8E">
        <w:t xml:space="preserve">ype, </w:t>
      </w:r>
      <w:r w:rsidR="003630FD">
        <w:t>C</w:t>
      </w:r>
      <w:r w:rsidR="001C7D25">
        <w:t xml:space="preserve">over </w:t>
      </w:r>
      <w:r w:rsidR="003630FD">
        <w:t>T</w:t>
      </w:r>
      <w:r w:rsidR="001C7D25">
        <w:t>ype</w:t>
      </w:r>
      <w:r w:rsidR="00D32CA0">
        <w:t>,</w:t>
      </w:r>
      <w:r w:rsidR="00E90E8E">
        <w:t xml:space="preserve"> and </w:t>
      </w:r>
      <w:r w:rsidR="003630FD">
        <w:t>S</w:t>
      </w:r>
      <w:r w:rsidR="006A6EAE" w:rsidRPr="006A6EAE">
        <w:t>ub-categories</w:t>
      </w:r>
      <w:r w:rsidR="00FD3D7C">
        <w:t xml:space="preserve"> for</w:t>
      </w:r>
      <w:r w:rsidR="00BE17A8">
        <w:t xml:space="preserve"> specific </w:t>
      </w:r>
      <w:r w:rsidR="002C67AE">
        <w:t>P</w:t>
      </w:r>
      <w:r w:rsidR="00BE17A8">
        <w:t xml:space="preserve">roduct or </w:t>
      </w:r>
      <w:r w:rsidR="002C67AE">
        <w:t>C</w:t>
      </w:r>
      <w:r w:rsidR="00BE17A8">
        <w:t xml:space="preserve">over </w:t>
      </w:r>
      <w:r w:rsidR="002C67AE">
        <w:t>T</w:t>
      </w:r>
      <w:r w:rsidR="00BE17A8">
        <w:t>ype</w:t>
      </w:r>
      <w:r w:rsidR="00B125E2">
        <w:t>s</w:t>
      </w:r>
      <w:r w:rsidR="006A6EAE">
        <w:t>.</w:t>
      </w:r>
      <w:r w:rsidR="001C6F08">
        <w:t xml:space="preserve"> The reporting form includes 3 additional policy statistics </w:t>
      </w:r>
      <w:r w:rsidR="009D0BD0">
        <w:t xml:space="preserve">sheets </w:t>
      </w:r>
      <w:r w:rsidR="001C6F08">
        <w:t>that provide totals or sub-totals.</w:t>
      </w:r>
    </w:p>
    <w:p w14:paraId="74789CF2" w14:textId="6EC27330" w:rsidR="00D970C0" w:rsidRDefault="00134D68" w:rsidP="008F2455">
      <w:pPr>
        <w:pStyle w:val="BodyText1"/>
        <w:numPr>
          <w:ilvl w:val="0"/>
          <w:numId w:val="0"/>
        </w:numPr>
      </w:pPr>
      <w:r w:rsidRPr="00134D68">
        <w:rPr>
          <w:noProof/>
        </w:rPr>
        <w:drawing>
          <wp:inline distT="0" distB="0" distL="0" distR="0" wp14:anchorId="30C326BC" wp14:editId="0BC7218D">
            <wp:extent cx="2660073" cy="3955241"/>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0073" cy="3955241"/>
                    </a:xfrm>
                    <a:prstGeom prst="rect">
                      <a:avLst/>
                    </a:prstGeom>
                    <a:noFill/>
                    <a:ln>
                      <a:noFill/>
                    </a:ln>
                  </pic:spPr>
                </pic:pic>
              </a:graphicData>
            </a:graphic>
          </wp:inline>
        </w:drawing>
      </w:r>
    </w:p>
    <w:p w14:paraId="615FB2A8" w14:textId="48CB21E4" w:rsidR="005E4E23" w:rsidRDefault="002B20E4" w:rsidP="008F2455">
      <w:pPr>
        <w:pStyle w:val="BodyText1"/>
        <w:keepNext/>
        <w:numPr>
          <w:ilvl w:val="0"/>
          <w:numId w:val="0"/>
        </w:numPr>
      </w:pPr>
      <w:r w:rsidRPr="008F2455">
        <w:rPr>
          <w:b/>
        </w:rPr>
        <w:lastRenderedPageBreak/>
        <w:t>CLAIMS</w:t>
      </w:r>
      <w:r>
        <w:t xml:space="preserve">: </w:t>
      </w:r>
      <w:r w:rsidR="00CE7E23" w:rsidRPr="001A64C9">
        <w:t>The</w:t>
      </w:r>
      <w:r w:rsidR="005E4E23" w:rsidRPr="001A64C9">
        <w:t xml:space="preserve"> core table for the </w:t>
      </w:r>
      <w:r w:rsidR="009910DB">
        <w:t>10</w:t>
      </w:r>
      <w:r w:rsidR="009910DB" w:rsidRPr="001A64C9">
        <w:t xml:space="preserve"> </w:t>
      </w:r>
      <w:r w:rsidR="005E4E23" w:rsidRPr="001A64C9">
        <w:t>claims data sheets</w:t>
      </w:r>
      <w:r w:rsidR="009910DB">
        <w:t xml:space="preserve"> listed in paragraph </w:t>
      </w:r>
      <w:r w:rsidR="003A0202">
        <w:t>75</w:t>
      </w:r>
      <w:r>
        <w:t>.</w:t>
      </w:r>
      <w:r w:rsidRPr="002B20E4">
        <w:t xml:space="preserve"> The</w:t>
      </w:r>
      <w:r w:rsidR="00CD661C">
        <w:t xml:space="preserve">se tables </w:t>
      </w:r>
      <w:r>
        <w:t xml:space="preserve">cover combinations of the following dimensions: </w:t>
      </w:r>
      <w:r w:rsidR="003630FD">
        <w:t>I</w:t>
      </w:r>
      <w:r w:rsidRPr="002B20E4">
        <w:t xml:space="preserve">nsurance </w:t>
      </w:r>
      <w:r w:rsidR="003630FD">
        <w:t>T</w:t>
      </w:r>
      <w:r w:rsidRPr="002B20E4">
        <w:t xml:space="preserve">ype, </w:t>
      </w:r>
      <w:r w:rsidR="003630FD">
        <w:t>O</w:t>
      </w:r>
      <w:r w:rsidRPr="002B20E4">
        <w:t xml:space="preserve">n-sale </w:t>
      </w:r>
      <w:r w:rsidR="003630FD">
        <w:t>S</w:t>
      </w:r>
      <w:r w:rsidRPr="002B20E4">
        <w:t xml:space="preserve">tatus, </w:t>
      </w:r>
      <w:r w:rsidR="003630FD">
        <w:t>A</w:t>
      </w:r>
      <w:r w:rsidRPr="002B20E4">
        <w:t xml:space="preserve">dvice </w:t>
      </w:r>
      <w:r w:rsidR="003630FD">
        <w:t>T</w:t>
      </w:r>
      <w:r w:rsidRPr="002B20E4">
        <w:t xml:space="preserve">ype, </w:t>
      </w:r>
      <w:r w:rsidR="003630FD">
        <w:t>C</w:t>
      </w:r>
      <w:r w:rsidRPr="002B20E4">
        <w:t xml:space="preserve">over </w:t>
      </w:r>
      <w:r w:rsidR="003630FD">
        <w:t>T</w:t>
      </w:r>
      <w:r w:rsidRPr="002B20E4">
        <w:t xml:space="preserve">ype, </w:t>
      </w:r>
      <w:r w:rsidR="003630FD">
        <w:t>P</w:t>
      </w:r>
      <w:r w:rsidRPr="002B20E4">
        <w:t xml:space="preserve">roduct </w:t>
      </w:r>
      <w:r w:rsidR="002C6183">
        <w:t>T</w:t>
      </w:r>
      <w:r w:rsidRPr="002B20E4">
        <w:t xml:space="preserve">ype, </w:t>
      </w:r>
      <w:r w:rsidR="00302D01">
        <w:t>claim measurement type</w:t>
      </w:r>
      <w:r w:rsidR="00D32CA0">
        <w:t>,</w:t>
      </w:r>
      <w:r w:rsidR="001C7D25" w:rsidRPr="001C7D25">
        <w:t xml:space="preserve"> </w:t>
      </w:r>
      <w:r w:rsidRPr="002B20E4">
        <w:t xml:space="preserve">and </w:t>
      </w:r>
      <w:r w:rsidR="003630FD">
        <w:t>S</w:t>
      </w:r>
      <w:r w:rsidR="003630FD" w:rsidRPr="002B20E4">
        <w:t>ub</w:t>
      </w:r>
      <w:r w:rsidRPr="002B20E4">
        <w:t>-categories</w:t>
      </w:r>
      <w:r w:rsidR="00FD3D7C">
        <w:t xml:space="preserve"> for </w:t>
      </w:r>
      <w:r w:rsidR="00BE17A8">
        <w:t xml:space="preserve">specific </w:t>
      </w:r>
      <w:r w:rsidR="002C67AE">
        <w:t>P</w:t>
      </w:r>
      <w:r w:rsidR="00BE17A8">
        <w:t xml:space="preserve">roduct or </w:t>
      </w:r>
      <w:r w:rsidR="002C67AE">
        <w:t>C</w:t>
      </w:r>
      <w:r w:rsidR="00BE17A8">
        <w:t xml:space="preserve">over </w:t>
      </w:r>
      <w:r w:rsidR="002C67AE">
        <w:t>T</w:t>
      </w:r>
      <w:r w:rsidR="00BE17A8">
        <w:t>ype</w:t>
      </w:r>
      <w:r w:rsidR="00B125E2">
        <w:t>s</w:t>
      </w:r>
      <w:r w:rsidRPr="002B20E4">
        <w:t>.</w:t>
      </w:r>
      <w:r w:rsidR="001C6F08" w:rsidRPr="001C6F08">
        <w:t xml:space="preserve"> </w:t>
      </w:r>
      <w:r w:rsidR="001C6F08">
        <w:t>The reporting form includes 3 additional claims data sheets that provide totals or sub-totals.</w:t>
      </w:r>
    </w:p>
    <w:p w14:paraId="128DB333" w14:textId="4807AD78" w:rsidR="00BA152D" w:rsidRPr="001A64C9" w:rsidRDefault="00BA152D" w:rsidP="008F2455">
      <w:pPr>
        <w:pStyle w:val="BodyText1"/>
        <w:keepNext/>
        <w:numPr>
          <w:ilvl w:val="0"/>
          <w:numId w:val="0"/>
        </w:numPr>
      </w:pPr>
      <w:r w:rsidRPr="00BA152D">
        <w:rPr>
          <w:noProof/>
        </w:rPr>
        <w:drawing>
          <wp:inline distT="0" distB="0" distL="0" distR="0" wp14:anchorId="59BC1D7F" wp14:editId="3E35AE63">
            <wp:extent cx="5278120" cy="304449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8120" cy="3044495"/>
                    </a:xfrm>
                    <a:prstGeom prst="rect">
                      <a:avLst/>
                    </a:prstGeom>
                    <a:noFill/>
                    <a:ln>
                      <a:noFill/>
                    </a:ln>
                  </pic:spPr>
                </pic:pic>
              </a:graphicData>
            </a:graphic>
          </wp:inline>
        </w:drawing>
      </w:r>
    </w:p>
    <w:p w14:paraId="6AE9E66F" w14:textId="459C91E9" w:rsidR="00CE7E23" w:rsidRPr="001A64C9" w:rsidRDefault="00381226" w:rsidP="008F2455">
      <w:pPr>
        <w:pStyle w:val="BodyText1"/>
        <w:keepNext/>
        <w:numPr>
          <w:ilvl w:val="0"/>
          <w:numId w:val="0"/>
        </w:numPr>
      </w:pPr>
      <w:r w:rsidRPr="001C6F08">
        <w:rPr>
          <w:b/>
        </w:rPr>
        <w:t>CLAIMSDURN</w:t>
      </w:r>
      <w:r>
        <w:t xml:space="preserve">: </w:t>
      </w:r>
      <w:r w:rsidR="00CE7E23" w:rsidRPr="001A64C9">
        <w:t xml:space="preserve">The core table for the </w:t>
      </w:r>
      <w:r w:rsidR="009910DB">
        <w:t>6</w:t>
      </w:r>
      <w:r w:rsidR="009910DB" w:rsidRPr="001A64C9">
        <w:t xml:space="preserve"> </w:t>
      </w:r>
      <w:r w:rsidR="00CE7E23" w:rsidRPr="001A64C9">
        <w:t>claims handling duration</w:t>
      </w:r>
      <w:r w:rsidR="00CE7E23" w:rsidRPr="002B20E4">
        <w:t xml:space="preserve"> sheets</w:t>
      </w:r>
      <w:r w:rsidR="009910DB">
        <w:t xml:space="preserve"> listed in paragraph </w:t>
      </w:r>
      <w:r w:rsidR="003A0202">
        <w:t>75</w:t>
      </w:r>
      <w:r w:rsidR="00CE7E23" w:rsidRPr="002B20E4">
        <w:t>.</w:t>
      </w:r>
      <w:r w:rsidR="002B20E4">
        <w:t xml:space="preserve"> </w:t>
      </w:r>
      <w:r w:rsidR="002B20E4" w:rsidRPr="002B20E4">
        <w:t>The</w:t>
      </w:r>
      <w:r w:rsidR="00CD661C">
        <w:t>se tables</w:t>
      </w:r>
      <w:r w:rsidR="002B20E4" w:rsidRPr="002B20E4">
        <w:t xml:space="preserve"> cover combinations of the following dimensions</w:t>
      </w:r>
      <w:r w:rsidR="002B20E4">
        <w:t>:</w:t>
      </w:r>
      <w:r w:rsidR="002B20E4" w:rsidRPr="002B20E4">
        <w:t xml:space="preserve"> </w:t>
      </w:r>
      <w:r w:rsidR="003630FD">
        <w:t>I</w:t>
      </w:r>
      <w:r w:rsidR="002B20E4" w:rsidRPr="002B20E4">
        <w:t xml:space="preserve">nsurance </w:t>
      </w:r>
      <w:r w:rsidR="003630FD">
        <w:t>T</w:t>
      </w:r>
      <w:r w:rsidR="002B20E4" w:rsidRPr="002B20E4">
        <w:t xml:space="preserve">ype, </w:t>
      </w:r>
      <w:r w:rsidR="003630FD">
        <w:t>O</w:t>
      </w:r>
      <w:r w:rsidR="002B20E4" w:rsidRPr="002B20E4">
        <w:t xml:space="preserve">n-sale </w:t>
      </w:r>
      <w:r w:rsidR="003630FD">
        <w:t>S</w:t>
      </w:r>
      <w:r w:rsidR="002B20E4" w:rsidRPr="002B20E4">
        <w:t xml:space="preserve">tatus, </w:t>
      </w:r>
      <w:r w:rsidR="003630FD">
        <w:t>A</w:t>
      </w:r>
      <w:r w:rsidR="002B20E4" w:rsidRPr="002B20E4">
        <w:t xml:space="preserve">dvice </w:t>
      </w:r>
      <w:r w:rsidR="003630FD">
        <w:t>T</w:t>
      </w:r>
      <w:r w:rsidR="002B20E4" w:rsidRPr="002B20E4">
        <w:t xml:space="preserve">ype, </w:t>
      </w:r>
      <w:r w:rsidR="003630FD">
        <w:t>P</w:t>
      </w:r>
      <w:r w:rsidR="002B20E4" w:rsidRPr="002B20E4">
        <w:t xml:space="preserve">roduct </w:t>
      </w:r>
      <w:r w:rsidR="003630FD">
        <w:t>T</w:t>
      </w:r>
      <w:r w:rsidR="002B20E4" w:rsidRPr="002B20E4">
        <w:t>ype</w:t>
      </w:r>
      <w:r w:rsidR="001C7D25">
        <w:t xml:space="preserve">, </w:t>
      </w:r>
      <w:r w:rsidR="003630FD">
        <w:t>C</w:t>
      </w:r>
      <w:r w:rsidR="001C7D25">
        <w:t xml:space="preserve">over </w:t>
      </w:r>
      <w:r w:rsidR="003630FD">
        <w:t>T</w:t>
      </w:r>
      <w:r w:rsidR="001C7D25">
        <w:t>ype</w:t>
      </w:r>
      <w:r w:rsidR="00D32CA0">
        <w:t>,</w:t>
      </w:r>
      <w:r w:rsidR="002B20E4" w:rsidRPr="002B20E4">
        <w:t xml:space="preserve"> and </w:t>
      </w:r>
      <w:r w:rsidR="003630FD">
        <w:t>S</w:t>
      </w:r>
      <w:r w:rsidR="002B20E4" w:rsidRPr="002B20E4">
        <w:t>ub-categories</w:t>
      </w:r>
      <w:r w:rsidR="00FD3D7C" w:rsidRPr="00FD3D7C">
        <w:t xml:space="preserve"> </w:t>
      </w:r>
      <w:r w:rsidR="00FD3D7C">
        <w:t>for</w:t>
      </w:r>
      <w:r w:rsidR="00BE17A8">
        <w:t xml:space="preserve"> specific </w:t>
      </w:r>
      <w:r w:rsidR="002C67AE">
        <w:t>P</w:t>
      </w:r>
      <w:r w:rsidR="00BE17A8">
        <w:t xml:space="preserve">roduct or </w:t>
      </w:r>
      <w:r w:rsidR="002C67AE">
        <w:t>C</w:t>
      </w:r>
      <w:r w:rsidR="00BE17A8">
        <w:t xml:space="preserve">over </w:t>
      </w:r>
      <w:r w:rsidR="002C67AE">
        <w:t>T</w:t>
      </w:r>
      <w:r w:rsidR="00BE17A8">
        <w:t>ype</w:t>
      </w:r>
      <w:r w:rsidR="00B125E2">
        <w:t>s</w:t>
      </w:r>
      <w:r w:rsidR="00FD3D7C" w:rsidRPr="002B20E4">
        <w:t>.</w:t>
      </w:r>
      <w:r w:rsidR="001C6F08">
        <w:t xml:space="preserve"> The reporting form includes 3 additional claims handling duration </w:t>
      </w:r>
      <w:r w:rsidR="009D0BD0">
        <w:t>sheets</w:t>
      </w:r>
      <w:r w:rsidR="001C6F08">
        <w:t xml:space="preserve"> that provide totals or sub-totals.</w:t>
      </w:r>
    </w:p>
    <w:p w14:paraId="6E82E061" w14:textId="7ABE66A9" w:rsidR="00CE7E23" w:rsidRDefault="00134D68" w:rsidP="001A64C9">
      <w:pPr>
        <w:pStyle w:val="BodyText1"/>
        <w:numPr>
          <w:ilvl w:val="0"/>
          <w:numId w:val="0"/>
        </w:numPr>
        <w:rPr>
          <w:noProof/>
        </w:rPr>
      </w:pPr>
      <w:r w:rsidRPr="00134D68">
        <w:rPr>
          <w:noProof/>
        </w:rPr>
        <w:drawing>
          <wp:inline distT="0" distB="0" distL="0" distR="0" wp14:anchorId="00B7BC57" wp14:editId="7C61F51A">
            <wp:extent cx="4017818" cy="3497544"/>
            <wp:effectExtent l="0" t="0" r="190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8402" cy="3498052"/>
                    </a:xfrm>
                    <a:prstGeom prst="rect">
                      <a:avLst/>
                    </a:prstGeom>
                    <a:noFill/>
                    <a:ln>
                      <a:noFill/>
                    </a:ln>
                  </pic:spPr>
                </pic:pic>
              </a:graphicData>
            </a:graphic>
          </wp:inline>
        </w:drawing>
      </w:r>
    </w:p>
    <w:p w14:paraId="10C3D102" w14:textId="21A1D6C0" w:rsidR="00CE7E23" w:rsidRPr="001A64C9" w:rsidRDefault="002B20E4" w:rsidP="008F2455">
      <w:pPr>
        <w:pStyle w:val="BodyText1"/>
        <w:keepNext/>
        <w:numPr>
          <w:ilvl w:val="0"/>
          <w:numId w:val="0"/>
        </w:numPr>
      </w:pPr>
      <w:r>
        <w:rPr>
          <w:b/>
        </w:rPr>
        <w:lastRenderedPageBreak/>
        <w:t>DISPUTES</w:t>
      </w:r>
      <w:r w:rsidRPr="008F2455">
        <w:t xml:space="preserve">: </w:t>
      </w:r>
      <w:r w:rsidR="00CE7E23" w:rsidRPr="001A64C9">
        <w:t xml:space="preserve">The core table for the </w:t>
      </w:r>
      <w:r w:rsidR="009910DB">
        <w:t>6</w:t>
      </w:r>
      <w:r w:rsidR="009910DB" w:rsidRPr="001A64C9">
        <w:t xml:space="preserve"> </w:t>
      </w:r>
      <w:r w:rsidR="00CE7E23" w:rsidRPr="001A64C9">
        <w:t xml:space="preserve">disputes data sheets </w:t>
      </w:r>
      <w:r w:rsidR="009910DB">
        <w:t xml:space="preserve">listed in paragraph </w:t>
      </w:r>
      <w:r w:rsidR="003A0202">
        <w:t>103</w:t>
      </w:r>
      <w:r w:rsidR="00CE7E23" w:rsidRPr="002B20E4">
        <w:t>.</w:t>
      </w:r>
      <w:r w:rsidRPr="002B20E4">
        <w:t xml:space="preserve"> The</w:t>
      </w:r>
      <w:r w:rsidR="00CD661C">
        <w:t xml:space="preserve">se tables </w:t>
      </w:r>
      <w:r w:rsidRPr="002B20E4">
        <w:t xml:space="preserve">cover combinations of the following dimensions: </w:t>
      </w:r>
      <w:r w:rsidR="0003330A">
        <w:t>I</w:t>
      </w:r>
      <w:r w:rsidRPr="002B20E4">
        <w:t xml:space="preserve">nsurance </w:t>
      </w:r>
      <w:r w:rsidR="0003330A">
        <w:t>T</w:t>
      </w:r>
      <w:r w:rsidRPr="002B20E4">
        <w:t xml:space="preserve">ype, </w:t>
      </w:r>
      <w:r w:rsidR="0003330A">
        <w:t>O</w:t>
      </w:r>
      <w:r w:rsidRPr="002B20E4">
        <w:t xml:space="preserve">n-sale </w:t>
      </w:r>
      <w:r w:rsidR="0003330A">
        <w:t>S</w:t>
      </w:r>
      <w:r w:rsidRPr="002B20E4">
        <w:t xml:space="preserve">tatus, </w:t>
      </w:r>
      <w:r w:rsidR="0003330A">
        <w:t>A</w:t>
      </w:r>
      <w:r w:rsidRPr="002B20E4">
        <w:t xml:space="preserve">dvice </w:t>
      </w:r>
      <w:r w:rsidR="0003330A">
        <w:t>T</w:t>
      </w:r>
      <w:r w:rsidRPr="002B20E4">
        <w:t xml:space="preserve">ype, </w:t>
      </w:r>
      <w:r w:rsidR="0003330A">
        <w:t>P</w:t>
      </w:r>
      <w:r w:rsidRPr="002B20E4">
        <w:t xml:space="preserve">roduct </w:t>
      </w:r>
      <w:r w:rsidR="0003330A">
        <w:t>T</w:t>
      </w:r>
      <w:r w:rsidRPr="002B20E4">
        <w:t xml:space="preserve">ype, </w:t>
      </w:r>
      <w:r w:rsidR="009910DB">
        <w:t xml:space="preserve">Dispute Type, </w:t>
      </w:r>
      <w:r w:rsidR="008636B0">
        <w:t>dispute measurement type</w:t>
      </w:r>
      <w:r w:rsidR="001C7D25">
        <w:t xml:space="preserve">, </w:t>
      </w:r>
      <w:r w:rsidR="0003330A">
        <w:t>C</w:t>
      </w:r>
      <w:r w:rsidR="001C7D25">
        <w:t xml:space="preserve">over </w:t>
      </w:r>
      <w:r w:rsidR="0003330A">
        <w:t>T</w:t>
      </w:r>
      <w:r w:rsidR="001C7D25">
        <w:t>ype</w:t>
      </w:r>
      <w:r w:rsidR="00D32CA0">
        <w:t>,</w:t>
      </w:r>
      <w:r w:rsidRPr="002B20E4">
        <w:t xml:space="preserve"> </w:t>
      </w:r>
      <w:r w:rsidR="00FD3D7C" w:rsidRPr="002B20E4">
        <w:t xml:space="preserve">and </w:t>
      </w:r>
      <w:r w:rsidR="0003330A">
        <w:t>S</w:t>
      </w:r>
      <w:r w:rsidR="00FD3D7C" w:rsidRPr="002B20E4">
        <w:t>ub-categories</w:t>
      </w:r>
      <w:r w:rsidR="00FD3D7C">
        <w:t xml:space="preserve"> for </w:t>
      </w:r>
      <w:r w:rsidR="00BE17A8">
        <w:t xml:space="preserve">specific </w:t>
      </w:r>
      <w:r w:rsidR="002C67AE">
        <w:t>P</w:t>
      </w:r>
      <w:r w:rsidR="00BE17A8">
        <w:t xml:space="preserve">roduct or </w:t>
      </w:r>
      <w:r w:rsidR="002C67AE">
        <w:t>C</w:t>
      </w:r>
      <w:r w:rsidR="00BE17A8">
        <w:t xml:space="preserve">over </w:t>
      </w:r>
      <w:r w:rsidR="002C67AE">
        <w:t>T</w:t>
      </w:r>
      <w:r w:rsidR="00BE17A8">
        <w:t>ype</w:t>
      </w:r>
      <w:r w:rsidR="00B125E2">
        <w:t>s</w:t>
      </w:r>
      <w:r w:rsidR="00FD3D7C" w:rsidRPr="002B20E4">
        <w:t>.</w:t>
      </w:r>
      <w:r w:rsidR="009D0BD0" w:rsidRPr="009D0BD0">
        <w:t xml:space="preserve"> </w:t>
      </w:r>
      <w:r w:rsidR="009D0BD0">
        <w:t>The reporting form includes 3 additional disputes data sheets that provide totals or sub-totals.</w:t>
      </w:r>
    </w:p>
    <w:p w14:paraId="4335FF69" w14:textId="5D4012C9" w:rsidR="00CE7E23" w:rsidRDefault="00134D68">
      <w:pPr>
        <w:pStyle w:val="BodyText1"/>
        <w:numPr>
          <w:ilvl w:val="0"/>
          <w:numId w:val="0"/>
        </w:numPr>
        <w:rPr>
          <w:noProof/>
        </w:rPr>
      </w:pPr>
      <w:r w:rsidRPr="00134D68">
        <w:rPr>
          <w:noProof/>
        </w:rPr>
        <w:drawing>
          <wp:inline distT="0" distB="0" distL="0" distR="0" wp14:anchorId="0A87C52C" wp14:editId="4ACD8D53">
            <wp:extent cx="5278120" cy="4131739"/>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8120" cy="4131739"/>
                    </a:xfrm>
                    <a:prstGeom prst="rect">
                      <a:avLst/>
                    </a:prstGeom>
                    <a:noFill/>
                    <a:ln>
                      <a:noFill/>
                    </a:ln>
                  </pic:spPr>
                </pic:pic>
              </a:graphicData>
            </a:graphic>
          </wp:inline>
        </w:drawing>
      </w:r>
    </w:p>
    <w:p w14:paraId="3AEF0136" w14:textId="3119BBFD" w:rsidR="003726E8" w:rsidRPr="001A64C9" w:rsidRDefault="000F3198" w:rsidP="008F2455">
      <w:pPr>
        <w:pStyle w:val="BodyText1"/>
        <w:keepNext/>
        <w:numPr>
          <w:ilvl w:val="0"/>
          <w:numId w:val="0"/>
        </w:numPr>
      </w:pPr>
      <w:r>
        <w:rPr>
          <w:b/>
        </w:rPr>
        <w:t>DISPUTESDURN</w:t>
      </w:r>
      <w:r w:rsidRPr="008F2455">
        <w:t xml:space="preserve">: </w:t>
      </w:r>
      <w:r w:rsidR="003726E8" w:rsidRPr="001A64C9">
        <w:t xml:space="preserve">The core table for the </w:t>
      </w:r>
      <w:r w:rsidR="004C26AE">
        <w:t>6</w:t>
      </w:r>
      <w:r w:rsidR="004C26AE" w:rsidRPr="001A64C9">
        <w:t xml:space="preserve"> </w:t>
      </w:r>
      <w:r w:rsidR="003726E8" w:rsidRPr="001A64C9">
        <w:t xml:space="preserve">disputes processing </w:t>
      </w:r>
      <w:r w:rsidR="003726E8" w:rsidRPr="000F3198">
        <w:t>duration data sheets</w:t>
      </w:r>
      <w:r w:rsidR="009910DB">
        <w:t xml:space="preserve"> listed in paragraph </w:t>
      </w:r>
      <w:r w:rsidR="003A0202">
        <w:t>103</w:t>
      </w:r>
      <w:r w:rsidR="003726E8" w:rsidRPr="000F3198">
        <w:t>.</w:t>
      </w:r>
      <w:r w:rsidRPr="000F3198">
        <w:t xml:space="preserve"> The</w:t>
      </w:r>
      <w:r w:rsidR="00CD661C">
        <w:t>se tables</w:t>
      </w:r>
      <w:r w:rsidRPr="000F3198">
        <w:t xml:space="preserve"> cover combinations of the following dimensions: </w:t>
      </w:r>
      <w:r w:rsidR="0003330A">
        <w:t>I</w:t>
      </w:r>
      <w:r w:rsidRPr="000F3198">
        <w:t xml:space="preserve">nsurance </w:t>
      </w:r>
      <w:r w:rsidR="0003330A">
        <w:t>T</w:t>
      </w:r>
      <w:r w:rsidRPr="000F3198">
        <w:t xml:space="preserve">ype, </w:t>
      </w:r>
      <w:r w:rsidR="0003330A">
        <w:t>O</w:t>
      </w:r>
      <w:r w:rsidRPr="000F3198">
        <w:t xml:space="preserve">n-sale </w:t>
      </w:r>
      <w:r w:rsidR="0003330A">
        <w:t>S</w:t>
      </w:r>
      <w:r w:rsidRPr="000F3198">
        <w:t xml:space="preserve">tatus, </w:t>
      </w:r>
      <w:r w:rsidR="0003330A">
        <w:t>A</w:t>
      </w:r>
      <w:r w:rsidRPr="000F3198">
        <w:t xml:space="preserve">dvice </w:t>
      </w:r>
      <w:r w:rsidR="0003330A">
        <w:t>T</w:t>
      </w:r>
      <w:r w:rsidRPr="000F3198">
        <w:t xml:space="preserve">ype, </w:t>
      </w:r>
      <w:r w:rsidR="0003330A">
        <w:t>C</w:t>
      </w:r>
      <w:r w:rsidRPr="000F3198">
        <w:t xml:space="preserve">over </w:t>
      </w:r>
      <w:r w:rsidR="0003330A">
        <w:t>T</w:t>
      </w:r>
      <w:r w:rsidRPr="000F3198">
        <w:t xml:space="preserve">ype, </w:t>
      </w:r>
      <w:r w:rsidR="0003330A">
        <w:t>P</w:t>
      </w:r>
      <w:r w:rsidRPr="000F3198">
        <w:t xml:space="preserve">roduct </w:t>
      </w:r>
      <w:r w:rsidR="0003330A">
        <w:t>T</w:t>
      </w:r>
      <w:r w:rsidRPr="000F3198">
        <w:t xml:space="preserve">ype, </w:t>
      </w:r>
      <w:r w:rsidR="0003330A">
        <w:t>D</w:t>
      </w:r>
      <w:r w:rsidRPr="000F3198">
        <w:t xml:space="preserve">ispute </w:t>
      </w:r>
      <w:r w:rsidR="0003330A">
        <w:t>T</w:t>
      </w:r>
      <w:r w:rsidRPr="000F3198">
        <w:t xml:space="preserve">ype, </w:t>
      </w:r>
      <w:r w:rsidR="008636B0">
        <w:t>dispute measurement type</w:t>
      </w:r>
      <w:r w:rsidR="00D32CA0">
        <w:t>,</w:t>
      </w:r>
      <w:r w:rsidRPr="000F3198">
        <w:t xml:space="preserve"> </w:t>
      </w:r>
      <w:r w:rsidR="00FD3D7C" w:rsidRPr="002B20E4">
        <w:t xml:space="preserve">and </w:t>
      </w:r>
      <w:r w:rsidR="0003330A">
        <w:t>S</w:t>
      </w:r>
      <w:r w:rsidR="0003330A" w:rsidRPr="002B20E4">
        <w:t>ub</w:t>
      </w:r>
      <w:r w:rsidR="00FD3D7C" w:rsidRPr="002B20E4">
        <w:t>-categories</w:t>
      </w:r>
      <w:r w:rsidR="00FD3D7C">
        <w:t xml:space="preserve"> for</w:t>
      </w:r>
      <w:r w:rsidR="00BE17A8">
        <w:t xml:space="preserve"> specific </w:t>
      </w:r>
      <w:r w:rsidR="002C67AE">
        <w:t>P</w:t>
      </w:r>
      <w:r w:rsidR="00BE17A8">
        <w:t xml:space="preserve">roduct or </w:t>
      </w:r>
      <w:r w:rsidR="002C67AE">
        <w:t>C</w:t>
      </w:r>
      <w:r w:rsidR="00BE17A8">
        <w:t xml:space="preserve">over </w:t>
      </w:r>
      <w:r w:rsidR="002C67AE">
        <w:t>T</w:t>
      </w:r>
      <w:r w:rsidR="00BE17A8">
        <w:t>ype</w:t>
      </w:r>
      <w:r w:rsidR="008B4E6D">
        <w:t>s</w:t>
      </w:r>
      <w:r w:rsidR="00FD3D7C" w:rsidRPr="002B20E4">
        <w:t>.</w:t>
      </w:r>
      <w:r w:rsidR="009D0BD0" w:rsidRPr="009D0BD0">
        <w:t xml:space="preserve"> </w:t>
      </w:r>
      <w:r w:rsidR="009D0BD0">
        <w:t>The reporting form includes 3 additional disputes processing duration sheets that provide totals or sub-totals.</w:t>
      </w:r>
    </w:p>
    <w:p w14:paraId="7E0E38E0" w14:textId="6011D7E5" w:rsidR="003726E8" w:rsidRDefault="003D2E5B">
      <w:pPr>
        <w:pStyle w:val="BodyText1"/>
        <w:numPr>
          <w:ilvl w:val="0"/>
          <w:numId w:val="0"/>
        </w:numPr>
        <w:rPr>
          <w:noProof/>
        </w:rPr>
      </w:pPr>
      <w:r w:rsidRPr="003D2E5B">
        <w:rPr>
          <w:noProof/>
        </w:rPr>
        <w:drawing>
          <wp:inline distT="0" distB="0" distL="0" distR="0" wp14:anchorId="0BBB4AE3" wp14:editId="3CF0FD4C">
            <wp:extent cx="4572000" cy="2016941"/>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3053" cy="2017405"/>
                    </a:xfrm>
                    <a:prstGeom prst="rect">
                      <a:avLst/>
                    </a:prstGeom>
                    <a:noFill/>
                    <a:ln>
                      <a:noFill/>
                    </a:ln>
                  </pic:spPr>
                </pic:pic>
              </a:graphicData>
            </a:graphic>
          </wp:inline>
        </w:drawing>
      </w:r>
    </w:p>
    <w:p w14:paraId="6DD0EED9" w14:textId="1ECBD023" w:rsidR="003726E8" w:rsidRPr="001A64C9" w:rsidRDefault="000F3198" w:rsidP="008F2455">
      <w:pPr>
        <w:pStyle w:val="BodyText1"/>
        <w:keepNext/>
        <w:numPr>
          <w:ilvl w:val="0"/>
          <w:numId w:val="0"/>
        </w:numPr>
      </w:pPr>
      <w:r>
        <w:rPr>
          <w:b/>
        </w:rPr>
        <w:lastRenderedPageBreak/>
        <w:t>SUPPLEMENT_REOPENED</w:t>
      </w:r>
      <w:r w:rsidRPr="008F2455">
        <w:t xml:space="preserve">: </w:t>
      </w:r>
      <w:r w:rsidR="003726E8" w:rsidRPr="001A64C9">
        <w:t>The core table for the SUPPLEMENT_REOPENED sheet.</w:t>
      </w:r>
      <w:r w:rsidRPr="000F3198">
        <w:t xml:space="preserve"> This table cover</w:t>
      </w:r>
      <w:r>
        <w:t>s</w:t>
      </w:r>
      <w:r w:rsidRPr="000F3198">
        <w:t xml:space="preserve"> combinations of the following dimensions</w:t>
      </w:r>
      <w:r>
        <w:t>:</w:t>
      </w:r>
      <w:r w:rsidRPr="000F3198">
        <w:t xml:space="preserve"> </w:t>
      </w:r>
      <w:r w:rsidR="0003330A">
        <w:t>I</w:t>
      </w:r>
      <w:r w:rsidRPr="000F3198">
        <w:t xml:space="preserve">nsurance </w:t>
      </w:r>
      <w:r w:rsidR="0003330A">
        <w:t>T</w:t>
      </w:r>
      <w:r w:rsidRPr="000F3198">
        <w:t xml:space="preserve">ype, </w:t>
      </w:r>
      <w:r w:rsidR="0003330A">
        <w:t>C</w:t>
      </w:r>
      <w:r w:rsidRPr="000F3198">
        <w:t xml:space="preserve">over </w:t>
      </w:r>
      <w:r w:rsidR="0003330A">
        <w:t>T</w:t>
      </w:r>
      <w:r w:rsidRPr="000F3198">
        <w:t>ype</w:t>
      </w:r>
      <w:r w:rsidR="00FD3D7C">
        <w:t xml:space="preserve"> and </w:t>
      </w:r>
      <w:r w:rsidR="0003330A">
        <w:t>P</w:t>
      </w:r>
      <w:r w:rsidRPr="000F3198">
        <w:t xml:space="preserve">roduct </w:t>
      </w:r>
      <w:r w:rsidR="0003330A">
        <w:t>T</w:t>
      </w:r>
      <w:r w:rsidRPr="000F3198">
        <w:t>ype</w:t>
      </w:r>
      <w:r>
        <w:t>.</w:t>
      </w:r>
    </w:p>
    <w:p w14:paraId="0367F1AC" w14:textId="70E8CF66" w:rsidR="003726E8" w:rsidRDefault="00D66EC6">
      <w:pPr>
        <w:pStyle w:val="BodyText1"/>
        <w:numPr>
          <w:ilvl w:val="0"/>
          <w:numId w:val="0"/>
        </w:numPr>
        <w:rPr>
          <w:noProof/>
        </w:rPr>
      </w:pPr>
      <w:r w:rsidRPr="00D66EC6">
        <w:rPr>
          <w:noProof/>
        </w:rPr>
        <w:drawing>
          <wp:inline distT="0" distB="0" distL="0" distR="0" wp14:anchorId="733B92DA" wp14:editId="6226D31A">
            <wp:extent cx="5278120" cy="255780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8120" cy="2557809"/>
                    </a:xfrm>
                    <a:prstGeom prst="rect">
                      <a:avLst/>
                    </a:prstGeom>
                    <a:noFill/>
                    <a:ln>
                      <a:noFill/>
                    </a:ln>
                  </pic:spPr>
                </pic:pic>
              </a:graphicData>
            </a:graphic>
          </wp:inline>
        </w:drawing>
      </w:r>
    </w:p>
    <w:p w14:paraId="472175CF" w14:textId="36BD57E0" w:rsidR="003726E8" w:rsidRPr="001A64C9" w:rsidRDefault="000F3198" w:rsidP="009D0BD0">
      <w:pPr>
        <w:pStyle w:val="BodyText1"/>
        <w:keepNext/>
        <w:keepLines/>
        <w:numPr>
          <w:ilvl w:val="0"/>
          <w:numId w:val="0"/>
        </w:numPr>
      </w:pPr>
      <w:r>
        <w:rPr>
          <w:b/>
        </w:rPr>
        <w:lastRenderedPageBreak/>
        <w:t>SUPPLEMENT_CCI</w:t>
      </w:r>
      <w:r w:rsidRPr="008F2455">
        <w:t xml:space="preserve">: </w:t>
      </w:r>
      <w:r w:rsidR="003726E8" w:rsidRPr="001A64C9">
        <w:t>The core table for the SUPPLEMENT_CCI sheet.</w:t>
      </w:r>
      <w:r w:rsidRPr="000F3198">
        <w:t xml:space="preserve"> Th</w:t>
      </w:r>
      <w:r>
        <w:t xml:space="preserve">is table covers combinations of the following dimensions: </w:t>
      </w:r>
      <w:r w:rsidR="0003330A">
        <w:t>C</w:t>
      </w:r>
      <w:r w:rsidRPr="000F3198">
        <w:t xml:space="preserve">over </w:t>
      </w:r>
      <w:r w:rsidR="0003330A">
        <w:t>T</w:t>
      </w:r>
      <w:r w:rsidRPr="000F3198">
        <w:t xml:space="preserve">ype, </w:t>
      </w:r>
      <w:r w:rsidR="00160813">
        <w:t>P</w:t>
      </w:r>
      <w:r w:rsidRPr="000F3198">
        <w:t xml:space="preserve">roduct </w:t>
      </w:r>
      <w:r w:rsidR="00160813">
        <w:t>T</w:t>
      </w:r>
      <w:r w:rsidRPr="000F3198">
        <w:t>ype, claim</w:t>
      </w:r>
      <w:r w:rsidR="008636B0">
        <w:t xml:space="preserve"> measurement type</w:t>
      </w:r>
      <w:r w:rsidRPr="000F3198">
        <w:t xml:space="preserve">, </w:t>
      </w:r>
      <w:r w:rsidR="008636B0">
        <w:t>dispute measurement type</w:t>
      </w:r>
      <w:r w:rsidR="00FD3D7C">
        <w:t>, CCI</w:t>
      </w:r>
      <w:r w:rsidR="00160813">
        <w:t xml:space="preserve"> </w:t>
      </w:r>
      <w:r w:rsidR="00437FBC">
        <w:t xml:space="preserve">insurance </w:t>
      </w:r>
      <w:r w:rsidR="00160813">
        <w:t>by</w:t>
      </w:r>
      <w:r w:rsidR="00FD3D7C">
        <w:t xml:space="preserve"> credit type and CCI </w:t>
      </w:r>
      <w:r w:rsidR="00437FBC">
        <w:t xml:space="preserve">insurance </w:t>
      </w:r>
      <w:r w:rsidR="00160813">
        <w:t xml:space="preserve">by </w:t>
      </w:r>
      <w:r w:rsidR="00FD3D7C">
        <w:t>benefit frequency</w:t>
      </w:r>
      <w:r>
        <w:t>.</w:t>
      </w:r>
    </w:p>
    <w:p w14:paraId="4592FCC0" w14:textId="2D5C65E9" w:rsidR="003726E8" w:rsidRDefault="008636B0">
      <w:pPr>
        <w:pStyle w:val="BodyText1"/>
        <w:numPr>
          <w:ilvl w:val="0"/>
          <w:numId w:val="0"/>
        </w:numPr>
        <w:rPr>
          <w:noProof/>
        </w:rPr>
      </w:pPr>
      <w:r w:rsidRPr="008636B0">
        <w:rPr>
          <w:noProof/>
        </w:rPr>
        <w:drawing>
          <wp:inline distT="0" distB="0" distL="0" distR="0" wp14:anchorId="0DE3EA00" wp14:editId="6A89A158">
            <wp:extent cx="5278120" cy="651995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8120" cy="6519957"/>
                    </a:xfrm>
                    <a:prstGeom prst="rect">
                      <a:avLst/>
                    </a:prstGeom>
                    <a:noFill/>
                    <a:ln>
                      <a:noFill/>
                    </a:ln>
                  </pic:spPr>
                </pic:pic>
              </a:graphicData>
            </a:graphic>
          </wp:inline>
        </w:drawing>
      </w:r>
    </w:p>
    <w:p w14:paraId="778C8E94" w14:textId="44742C6E" w:rsidR="007C35EF" w:rsidRDefault="007C35EF" w:rsidP="007C35EF">
      <w:pPr>
        <w:pStyle w:val="BodyText1"/>
        <w:keepNext/>
        <w:numPr>
          <w:ilvl w:val="0"/>
          <w:numId w:val="0"/>
        </w:numPr>
      </w:pPr>
      <w:r>
        <w:rPr>
          <w:b/>
        </w:rPr>
        <w:lastRenderedPageBreak/>
        <w:t>SUPPLEMENT_DISPUTES</w:t>
      </w:r>
      <w:r w:rsidRPr="00C1703E">
        <w:t xml:space="preserve">: </w:t>
      </w:r>
      <w:r w:rsidRPr="001A64C9">
        <w:t>The core table for the SUPPLEMENT_</w:t>
      </w:r>
      <w:r>
        <w:t>DISPUTE</w:t>
      </w:r>
      <w:r w:rsidRPr="001A64C9">
        <w:t xml:space="preserve"> sheet.</w:t>
      </w:r>
    </w:p>
    <w:p w14:paraId="11AF7BEC" w14:textId="5C12E402" w:rsidR="006F5A09" w:rsidRDefault="00882872" w:rsidP="006F5A09">
      <w:pPr>
        <w:pStyle w:val="BodyText1"/>
        <w:numPr>
          <w:ilvl w:val="0"/>
          <w:numId w:val="0"/>
        </w:numPr>
        <w:rPr>
          <w:noProof/>
        </w:rPr>
      </w:pPr>
      <w:r w:rsidRPr="00882872">
        <w:rPr>
          <w:noProof/>
        </w:rPr>
        <w:drawing>
          <wp:inline distT="0" distB="0" distL="0" distR="0" wp14:anchorId="5CD26DD4" wp14:editId="05DF2173">
            <wp:extent cx="5278120" cy="163782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8120" cy="1637821"/>
                    </a:xfrm>
                    <a:prstGeom prst="rect">
                      <a:avLst/>
                    </a:prstGeom>
                    <a:noFill/>
                    <a:ln>
                      <a:noFill/>
                    </a:ln>
                  </pic:spPr>
                </pic:pic>
              </a:graphicData>
            </a:graphic>
          </wp:inline>
        </w:drawing>
      </w:r>
    </w:p>
    <w:p w14:paraId="3B70B31C" w14:textId="2DDF311A" w:rsidR="005B43BA" w:rsidRPr="00917200" w:rsidRDefault="002571FC" w:rsidP="008F2455">
      <w:r>
        <w:br w:type="page"/>
      </w:r>
      <w:r w:rsidR="004F1F0A">
        <w:lastRenderedPageBreak/>
        <w:t>Sections A through G below provide the i</w:t>
      </w:r>
      <w:r w:rsidR="001F79A8" w:rsidRPr="00917200">
        <w:t>nstructions for completing L</w:t>
      </w:r>
      <w:r w:rsidR="005B43BA" w:rsidRPr="00917200">
        <w:t xml:space="preserve">RF </w:t>
      </w:r>
      <w:r w:rsidR="002F575E">
        <w:t>750</w:t>
      </w:r>
      <w:r w:rsidR="00511487">
        <w:t>.0</w:t>
      </w:r>
      <w:r w:rsidR="001A64C9">
        <w:t>.</w:t>
      </w:r>
    </w:p>
    <w:p w14:paraId="1958A8DB" w14:textId="38B5D99C" w:rsidR="00844F89" w:rsidRDefault="00844F89" w:rsidP="00C820F9">
      <w:pPr>
        <w:pStyle w:val="Heading1"/>
        <w:numPr>
          <w:ilvl w:val="0"/>
          <w:numId w:val="5"/>
        </w:numPr>
      </w:pPr>
      <w:bookmarkStart w:id="29" w:name="_Toc527994442"/>
      <w:r>
        <w:t>Application</w:t>
      </w:r>
      <w:bookmarkEnd w:id="29"/>
    </w:p>
    <w:p w14:paraId="3B0D7F5E" w14:textId="280B9AD2" w:rsidR="00B23760" w:rsidRPr="00EB7262" w:rsidRDefault="00B750CF" w:rsidP="00C820F9">
      <w:pPr>
        <w:pStyle w:val="BodyText1"/>
        <w:numPr>
          <w:ilvl w:val="0"/>
          <w:numId w:val="7"/>
        </w:numPr>
      </w:pPr>
      <w:r w:rsidRPr="00EB7262">
        <w:t xml:space="preserve">Any life </w:t>
      </w:r>
      <w:r w:rsidR="00742475" w:rsidRPr="00EB7262">
        <w:t>companies</w:t>
      </w:r>
      <w:r w:rsidRPr="00EB7262">
        <w:t xml:space="preserve"> authorised under the Life Act who directly write business for </w:t>
      </w:r>
      <w:r w:rsidR="00024B0A" w:rsidRPr="00EB7262">
        <w:t xml:space="preserve">one or more of </w:t>
      </w:r>
      <w:r w:rsidRPr="00EB7262">
        <w:t>the following products are required to comply with LRS 750</w:t>
      </w:r>
      <w:r w:rsidR="00511487" w:rsidRPr="00EB7262">
        <w:t>.0</w:t>
      </w:r>
      <w:r w:rsidRPr="00EB7262">
        <w:t>:</w:t>
      </w:r>
    </w:p>
    <w:p w14:paraId="0FDC07E7" w14:textId="60403D28" w:rsidR="00B23760" w:rsidRPr="00370872" w:rsidRDefault="00B23760" w:rsidP="00370872">
      <w:pPr>
        <w:pStyle w:val="BodyText2"/>
        <w:jc w:val="both"/>
      </w:pPr>
      <w:r w:rsidRPr="00370872">
        <w:t xml:space="preserve">Individual and Group Insurance products and benefits, whether classed as superannuation or ordinary business, that provide the Cover Types as defined in </w:t>
      </w:r>
      <w:r w:rsidR="00B44AED">
        <w:t xml:space="preserve">paragraph </w:t>
      </w:r>
      <w:r w:rsidR="00AE28DB">
        <w:t>16</w:t>
      </w:r>
      <w:r w:rsidRPr="00370872">
        <w:t>.</w:t>
      </w:r>
    </w:p>
    <w:p w14:paraId="7E14A495" w14:textId="4398E694" w:rsidR="00AB01A3" w:rsidRPr="00370872" w:rsidRDefault="00B23760" w:rsidP="00370872">
      <w:pPr>
        <w:pStyle w:val="BodyText2"/>
        <w:jc w:val="both"/>
      </w:pPr>
      <w:r w:rsidRPr="00370872">
        <w:t>Products providing Funeral Insurance, Consumer Credit Insurance (CCI) and Accident Insurance.</w:t>
      </w:r>
    </w:p>
    <w:p w14:paraId="5FC717A3" w14:textId="7AC702F7" w:rsidR="00B23760" w:rsidRPr="00370872" w:rsidRDefault="00B23760" w:rsidP="004F1F0A">
      <w:pPr>
        <w:pStyle w:val="BodyText2"/>
        <w:jc w:val="both"/>
      </w:pPr>
      <w:r w:rsidRPr="00370872">
        <w:t>Insurance benefits that are rider benefits on investment account and investment-linked contracts</w:t>
      </w:r>
      <w:r w:rsidR="006B0F43">
        <w:t>,</w:t>
      </w:r>
      <w:r w:rsidR="000F3086">
        <w:t xml:space="preserve"> provided that </w:t>
      </w:r>
      <w:r w:rsidRPr="00370872">
        <w:t xml:space="preserve">they </w:t>
      </w:r>
      <w:r w:rsidR="000F3086">
        <w:t>offer</w:t>
      </w:r>
      <w:r w:rsidR="000F3086" w:rsidRPr="00370872">
        <w:t xml:space="preserve"> </w:t>
      </w:r>
      <w:r w:rsidRPr="00370872">
        <w:t xml:space="preserve">the Cover Types defined </w:t>
      </w:r>
      <w:r w:rsidR="000F3086">
        <w:t xml:space="preserve">in </w:t>
      </w:r>
      <w:r w:rsidR="00B44AED">
        <w:t xml:space="preserve">paragraph </w:t>
      </w:r>
      <w:r w:rsidR="00AE28DB">
        <w:t>16</w:t>
      </w:r>
      <w:r w:rsidRPr="00370872">
        <w:t>.</w:t>
      </w:r>
    </w:p>
    <w:p w14:paraId="73E2A712" w14:textId="77777777" w:rsidR="00B23760" w:rsidRPr="00B23760" w:rsidRDefault="00B23760" w:rsidP="005067EF">
      <w:pPr>
        <w:pStyle w:val="ListParagraph"/>
        <w:spacing w:after="0"/>
        <w:ind w:left="0"/>
        <w:jc w:val="both"/>
        <w:rPr>
          <w:rFonts w:asciiTheme="minorHAnsi" w:hAnsiTheme="minorHAnsi" w:cstheme="minorHAnsi"/>
        </w:rPr>
      </w:pPr>
    </w:p>
    <w:p w14:paraId="7382A79F" w14:textId="77777777" w:rsidR="00B23760" w:rsidRPr="00B23760" w:rsidRDefault="00B23760" w:rsidP="00C820F9">
      <w:pPr>
        <w:pStyle w:val="Heading1"/>
        <w:numPr>
          <w:ilvl w:val="0"/>
          <w:numId w:val="5"/>
        </w:numPr>
        <w:rPr>
          <w:rFonts w:ascii="Arial" w:hAnsi="Arial" w:cs="Arial"/>
        </w:rPr>
      </w:pPr>
      <w:bookmarkStart w:id="30" w:name="_Toc527994443"/>
      <w:r w:rsidRPr="00B23760">
        <w:rPr>
          <w:rFonts w:ascii="Arial" w:hAnsi="Arial" w:cs="Arial"/>
        </w:rPr>
        <w:t>Inclusions</w:t>
      </w:r>
      <w:bookmarkEnd w:id="30"/>
    </w:p>
    <w:p w14:paraId="2EE833B8" w14:textId="352C4E40" w:rsidR="00B23760" w:rsidRDefault="00B23760" w:rsidP="006B0F43">
      <w:pPr>
        <w:pStyle w:val="BodyText1"/>
        <w:numPr>
          <w:ilvl w:val="0"/>
          <w:numId w:val="7"/>
        </w:numPr>
      </w:pPr>
      <w:r>
        <w:t xml:space="preserve">Information provided under LRF </w:t>
      </w:r>
      <w:r w:rsidR="0063182D">
        <w:t>750</w:t>
      </w:r>
      <w:r w:rsidR="00511487">
        <w:t>.0</w:t>
      </w:r>
      <w:r w:rsidR="0063182D">
        <w:t xml:space="preserve"> </w:t>
      </w:r>
      <w:r>
        <w:t>should:</w:t>
      </w:r>
    </w:p>
    <w:p w14:paraId="1627EC3C" w14:textId="7A454F9B" w:rsidR="008D0311" w:rsidRDefault="008D0311" w:rsidP="008D0311">
      <w:pPr>
        <w:pStyle w:val="BodyText2"/>
        <w:jc w:val="both"/>
      </w:pPr>
      <w:r>
        <w:t>only include Australian business;</w:t>
      </w:r>
    </w:p>
    <w:p w14:paraId="59305C17" w14:textId="24EDC984" w:rsidR="00B23760" w:rsidRDefault="00B23760" w:rsidP="00370872">
      <w:pPr>
        <w:pStyle w:val="BodyText2"/>
        <w:jc w:val="both"/>
      </w:pPr>
      <w:r w:rsidRPr="00370872">
        <w:t>only include gross business written directly, i.e. excluding inwards and outwards reinsurance</w:t>
      </w:r>
      <w:r w:rsidR="00237E32" w:rsidRPr="00370872">
        <w:t>;</w:t>
      </w:r>
    </w:p>
    <w:p w14:paraId="2CF312F2" w14:textId="31C964AC" w:rsidR="00ED6C9E" w:rsidRPr="00370872" w:rsidRDefault="00ED6C9E" w:rsidP="00370872">
      <w:pPr>
        <w:pStyle w:val="BodyText2"/>
        <w:jc w:val="both"/>
      </w:pPr>
      <w:r>
        <w:t xml:space="preserve">be reported at </w:t>
      </w:r>
      <w:r w:rsidRPr="00ED6C9E">
        <w:t>a total</w:t>
      </w:r>
      <w:r w:rsidRPr="00ED6C9E">
        <w:rPr>
          <w:b/>
        </w:rPr>
        <w:t xml:space="preserve"> s</w:t>
      </w:r>
      <w:r>
        <w:rPr>
          <w:b/>
        </w:rPr>
        <w:t>t</w:t>
      </w:r>
      <w:r w:rsidRPr="00ED6C9E">
        <w:rPr>
          <w:b/>
        </w:rPr>
        <w:t>atutory fund</w:t>
      </w:r>
      <w:r>
        <w:t xml:space="preserve"> level;</w:t>
      </w:r>
    </w:p>
    <w:p w14:paraId="75DCDDF8" w14:textId="4925F756" w:rsidR="00237E32" w:rsidRPr="00370872" w:rsidRDefault="00B23760" w:rsidP="00370872">
      <w:pPr>
        <w:pStyle w:val="BodyText2"/>
        <w:jc w:val="both"/>
      </w:pPr>
      <w:r w:rsidRPr="00370872">
        <w:t>include detail on all in-force business of the Product and Cover Types included in the data collection</w:t>
      </w:r>
      <w:r w:rsidR="00237E32" w:rsidRPr="00370872">
        <w:t>;</w:t>
      </w:r>
    </w:p>
    <w:p w14:paraId="3EC216E6" w14:textId="4F48DF55" w:rsidR="00B23760" w:rsidRPr="00370872" w:rsidRDefault="00237E32" w:rsidP="00370872">
      <w:pPr>
        <w:pStyle w:val="BodyText2"/>
        <w:jc w:val="both"/>
      </w:pPr>
      <w:r w:rsidRPr="00370872">
        <w:t>include d</w:t>
      </w:r>
      <w:r w:rsidR="00B23760" w:rsidRPr="00370872">
        <w:t>etail at the start of the Reporting Period, at the end of the Reporting Period, as well as defined movements during the Reporting Period</w:t>
      </w:r>
      <w:r w:rsidRPr="00370872">
        <w:t>;</w:t>
      </w:r>
    </w:p>
    <w:p w14:paraId="3E0B46B0" w14:textId="6C3EB225" w:rsidR="00237E32" w:rsidRPr="00370872" w:rsidRDefault="00B23760" w:rsidP="00370872">
      <w:pPr>
        <w:pStyle w:val="BodyText2"/>
        <w:jc w:val="both"/>
      </w:pPr>
      <w:r w:rsidRPr="00370872">
        <w:t xml:space="preserve">include detail on all claims that were notified, </w:t>
      </w:r>
      <w:r w:rsidR="005F6BC3">
        <w:t xml:space="preserve">received </w:t>
      </w:r>
      <w:r w:rsidRPr="00370872">
        <w:t>or re-opened during the defined Reporting Period, as well as claims that were undetermined at the start of the Reporting Period</w:t>
      </w:r>
      <w:r w:rsidR="00237E32" w:rsidRPr="00370872">
        <w:t>;</w:t>
      </w:r>
    </w:p>
    <w:p w14:paraId="6ACA10AD" w14:textId="6E3C0AE0" w:rsidR="00237E32" w:rsidRPr="00370872" w:rsidRDefault="00583949" w:rsidP="00370872">
      <w:pPr>
        <w:pStyle w:val="BodyText2"/>
        <w:jc w:val="both"/>
      </w:pPr>
      <w:r>
        <w:t xml:space="preserve">in relation to </w:t>
      </w:r>
      <w:r w:rsidR="00B23760" w:rsidRPr="00370872">
        <w:t xml:space="preserve">disability income insurance (DII) business only </w:t>
      </w:r>
      <w:r w:rsidR="006404AC">
        <w:t xml:space="preserve">include </w:t>
      </w:r>
      <w:r w:rsidR="00B23760" w:rsidRPr="00370872">
        <w:t>the initial reporting and assessment of claims</w:t>
      </w:r>
      <w:r w:rsidR="006404AC">
        <w:t>,</w:t>
      </w:r>
      <w:r w:rsidR="00B23760" w:rsidRPr="00370872">
        <w:t xml:space="preserve"> and </w:t>
      </w:r>
      <w:r w:rsidR="006404AC">
        <w:t xml:space="preserve">exclude </w:t>
      </w:r>
      <w:r w:rsidR="00B23760" w:rsidRPr="00370872">
        <w:t>any detail about claims already in the course of payment at the start of the Reporting Period</w:t>
      </w:r>
      <w:r w:rsidR="00237E32" w:rsidRPr="00370872">
        <w:t>; and</w:t>
      </w:r>
    </w:p>
    <w:p w14:paraId="49F0A5F6" w14:textId="7EEE9899" w:rsidR="000579AB" w:rsidRPr="00370872" w:rsidRDefault="00B23760" w:rsidP="00370872">
      <w:pPr>
        <w:pStyle w:val="BodyText2"/>
        <w:jc w:val="both"/>
      </w:pPr>
      <w:r w:rsidRPr="00370872">
        <w:t>include all claims</w:t>
      </w:r>
      <w:r w:rsidR="00714A1E" w:rsidRPr="00370872">
        <w:t>-</w:t>
      </w:r>
      <w:r w:rsidRPr="00370872">
        <w:t>related disputes that were lodged during the defined Reporting Period, as well as claim</w:t>
      </w:r>
      <w:r w:rsidR="00714A1E" w:rsidRPr="00370872">
        <w:t>-</w:t>
      </w:r>
      <w:r w:rsidRPr="00370872">
        <w:t>related disputes that were undetermined at the start of the Reporting Period.</w:t>
      </w:r>
    </w:p>
    <w:p w14:paraId="45453023" w14:textId="7F3F5764" w:rsidR="00237E32" w:rsidRPr="00C8313A" w:rsidRDefault="009606C1" w:rsidP="00370872">
      <w:pPr>
        <w:pStyle w:val="BodyText1"/>
      </w:pPr>
      <w:r>
        <w:t>C</w:t>
      </w:r>
      <w:r w:rsidR="009C7608" w:rsidRPr="00C8313A">
        <w:t>laim</w:t>
      </w:r>
      <w:r w:rsidR="000579AB" w:rsidRPr="00C8313A">
        <w:t xml:space="preserve">s and disputes </w:t>
      </w:r>
      <w:r>
        <w:t xml:space="preserve">should be classified </w:t>
      </w:r>
      <w:r w:rsidR="009C7608" w:rsidRPr="004566A1">
        <w:t xml:space="preserve">based on </w:t>
      </w:r>
      <w:r>
        <w:t xml:space="preserve">their </w:t>
      </w:r>
      <w:r w:rsidR="009C7608" w:rsidRPr="00C8313A">
        <w:t xml:space="preserve">status at the end of the </w:t>
      </w:r>
      <w:r w:rsidR="00583949">
        <w:t>R</w:t>
      </w:r>
      <w:r w:rsidR="009C7608" w:rsidRPr="00C8313A">
        <w:t xml:space="preserve">eporting period. Any developments between the end of the </w:t>
      </w:r>
      <w:r w:rsidR="00583949">
        <w:t>R</w:t>
      </w:r>
      <w:r w:rsidR="009C7608" w:rsidRPr="00C8313A">
        <w:t>eporting period and the date of the data submission s</w:t>
      </w:r>
      <w:r w:rsidR="009C7608" w:rsidRPr="004566A1">
        <w:t>hould not be reflected in the data collection.</w:t>
      </w:r>
    </w:p>
    <w:p w14:paraId="2F9FAE1D" w14:textId="77777777" w:rsidR="002E30E8" w:rsidRPr="00C840E8" w:rsidRDefault="002E30E8" w:rsidP="005067EF">
      <w:pPr>
        <w:pStyle w:val="ListParagraph"/>
        <w:spacing w:after="0"/>
        <w:ind w:left="0"/>
        <w:jc w:val="both"/>
        <w:rPr>
          <w:rFonts w:asciiTheme="minorHAnsi" w:hAnsiTheme="minorHAnsi" w:cstheme="minorHAnsi"/>
        </w:rPr>
      </w:pPr>
    </w:p>
    <w:p w14:paraId="19B1D56B" w14:textId="77777777" w:rsidR="00D97C6C" w:rsidRDefault="00D97C6C" w:rsidP="004F1F0A">
      <w:pPr>
        <w:pStyle w:val="Heading1"/>
        <w:numPr>
          <w:ilvl w:val="0"/>
          <w:numId w:val="5"/>
        </w:numPr>
        <w:rPr>
          <w:rFonts w:ascii="Arial" w:hAnsi="Arial" w:cs="Arial"/>
        </w:rPr>
      </w:pPr>
      <w:bookmarkStart w:id="31" w:name="_Toc527034491"/>
      <w:bookmarkStart w:id="32" w:name="_Toc527994444"/>
      <w:r w:rsidRPr="00B23760">
        <w:rPr>
          <w:rFonts w:ascii="Arial" w:hAnsi="Arial" w:cs="Arial"/>
        </w:rPr>
        <w:t>General Instructions</w:t>
      </w:r>
      <w:bookmarkEnd w:id="31"/>
      <w:bookmarkEnd w:id="32"/>
    </w:p>
    <w:p w14:paraId="7803CF44" w14:textId="4B74A259" w:rsidR="00704B31" w:rsidRPr="00370872" w:rsidRDefault="00704B31" w:rsidP="003A5F49">
      <w:pPr>
        <w:pStyle w:val="BodyText1"/>
      </w:pPr>
      <w:r w:rsidRPr="00370872">
        <w:t>Select the relevant insurer</w:t>
      </w:r>
      <w:r w:rsidR="00EB7262" w:rsidRPr="00EB7262">
        <w:rPr>
          <w:rStyle w:val="FootnoteReference"/>
        </w:rPr>
        <w:footnoteReference w:id="4"/>
      </w:r>
      <w:r w:rsidRPr="00370872">
        <w:t xml:space="preserve"> on the cover sheet</w:t>
      </w:r>
      <w:r w:rsidR="009606C1">
        <w:t xml:space="preserve"> of the workbook provided by APRA</w:t>
      </w:r>
      <w:r w:rsidRPr="00370872">
        <w:t>.</w:t>
      </w:r>
    </w:p>
    <w:p w14:paraId="3FEF4E9C" w14:textId="5F69972D" w:rsidR="009550C7" w:rsidRPr="00370872" w:rsidRDefault="00704B31" w:rsidP="00B9266A">
      <w:pPr>
        <w:pStyle w:val="BodyText1"/>
        <w:numPr>
          <w:ilvl w:val="0"/>
          <w:numId w:val="8"/>
        </w:numPr>
      </w:pPr>
      <w:r w:rsidRPr="00370872">
        <w:t xml:space="preserve">As each input cell has data validation, it </w:t>
      </w:r>
      <w:r w:rsidR="0001172A">
        <w:t>is</w:t>
      </w:r>
      <w:r w:rsidR="0001172A" w:rsidRPr="00370872">
        <w:t xml:space="preserve"> </w:t>
      </w:r>
      <w:r w:rsidRPr="00370872">
        <w:t>not possible to enter links to other cells or workbooks.</w:t>
      </w:r>
    </w:p>
    <w:p w14:paraId="65E9746B" w14:textId="7D54A3DF" w:rsidR="00704B31" w:rsidRPr="00370872" w:rsidRDefault="00704B31" w:rsidP="00370872">
      <w:pPr>
        <w:pStyle w:val="BodyText1"/>
      </w:pPr>
      <w:r w:rsidRPr="00370872">
        <w:t>Before final saving and submission of the workbooks, ensure that:</w:t>
      </w:r>
    </w:p>
    <w:p w14:paraId="2D161845" w14:textId="77777777" w:rsidR="00704B31" w:rsidRPr="00370872" w:rsidRDefault="00704B31" w:rsidP="00370872">
      <w:pPr>
        <w:pStyle w:val="BodyText2"/>
        <w:jc w:val="both"/>
      </w:pPr>
      <w:r w:rsidRPr="00370872">
        <w:t>Any workbook multi-user sharing that may have been utilised is turned off.</w:t>
      </w:r>
    </w:p>
    <w:p w14:paraId="1EA1634C" w14:textId="6517ADA8" w:rsidR="00257DF9" w:rsidRPr="00370872" w:rsidRDefault="00704B31" w:rsidP="006B0F43">
      <w:pPr>
        <w:pStyle w:val="BodyText2"/>
        <w:jc w:val="both"/>
      </w:pPr>
      <w:r w:rsidRPr="00370872">
        <w:t>The workbooks are not saved as read</w:t>
      </w:r>
      <w:r w:rsidR="004F1F0A">
        <w:t>-</w:t>
      </w:r>
      <w:r w:rsidRPr="00370872">
        <w:t xml:space="preserve">only or </w:t>
      </w:r>
      <w:r w:rsidR="004F1F0A">
        <w:t xml:space="preserve">as a </w:t>
      </w:r>
      <w:r w:rsidRPr="00370872">
        <w:t>compressed file</w:t>
      </w:r>
      <w:r w:rsidR="004F1F0A">
        <w:t>, and are not</w:t>
      </w:r>
      <w:r w:rsidR="006B0F43">
        <w:t xml:space="preserve"> password</w:t>
      </w:r>
      <w:r w:rsidR="004F1F0A">
        <w:t>-protected</w:t>
      </w:r>
      <w:r w:rsidRPr="00370872">
        <w:t>.</w:t>
      </w:r>
    </w:p>
    <w:p w14:paraId="3DE4A642" w14:textId="60A24C92" w:rsidR="00704B31" w:rsidRPr="00370872" w:rsidRDefault="00704B31" w:rsidP="00370872">
      <w:pPr>
        <w:pStyle w:val="BodyText2"/>
        <w:jc w:val="both"/>
      </w:pPr>
      <w:r w:rsidRPr="00370872">
        <w:t>Any links to external files are removed.</w:t>
      </w:r>
    </w:p>
    <w:p w14:paraId="07CB1350" w14:textId="6A6FE240" w:rsidR="00704B31" w:rsidRPr="00370872" w:rsidRDefault="00704B31" w:rsidP="00370872">
      <w:pPr>
        <w:pStyle w:val="BodyText2"/>
        <w:jc w:val="both"/>
      </w:pPr>
      <w:r w:rsidRPr="00370872">
        <w:t>All balancing item cells are zero.</w:t>
      </w:r>
    </w:p>
    <w:p w14:paraId="3DA67B8C" w14:textId="63190BEB" w:rsidR="00566BD8" w:rsidRPr="00370872" w:rsidRDefault="00566BD8" w:rsidP="00370872">
      <w:pPr>
        <w:pStyle w:val="BodyText2"/>
        <w:jc w:val="both"/>
      </w:pPr>
      <w:r w:rsidRPr="00370872">
        <w:t xml:space="preserve">All numbers </w:t>
      </w:r>
      <w:r w:rsidR="009606C1">
        <w:t xml:space="preserve">are </w:t>
      </w:r>
      <w:r w:rsidR="007628A3" w:rsidRPr="00370872">
        <w:t xml:space="preserve">reported as </w:t>
      </w:r>
      <w:r w:rsidRPr="00370872">
        <w:t>whole</w:t>
      </w:r>
      <w:r w:rsidR="00927F64" w:rsidRPr="00370872">
        <w:t xml:space="preserve"> numbers</w:t>
      </w:r>
      <w:r w:rsidRPr="00370872">
        <w:t>, including where they are linked for checks to work.</w:t>
      </w:r>
    </w:p>
    <w:p w14:paraId="556A7E09" w14:textId="5FB620DB" w:rsidR="00704B31" w:rsidRPr="00370872" w:rsidRDefault="00F00F67" w:rsidP="00B9266A">
      <w:pPr>
        <w:pStyle w:val="BodyText1"/>
        <w:numPr>
          <w:ilvl w:val="0"/>
          <w:numId w:val="8"/>
        </w:numPr>
      </w:pPr>
      <w:r>
        <w:t>R</w:t>
      </w:r>
      <w:r w:rsidR="00704B31" w:rsidRPr="00370872">
        <w:t xml:space="preserve">ename the saved workbooks with a file name </w:t>
      </w:r>
      <w:r w:rsidR="001266B5">
        <w:t xml:space="preserve">in </w:t>
      </w:r>
      <w:r w:rsidR="00704B31" w:rsidRPr="00370872">
        <w:t>the following format:</w:t>
      </w:r>
    </w:p>
    <w:p w14:paraId="404E2C3A" w14:textId="172B1AD9" w:rsidR="00704B31" w:rsidRPr="00370872" w:rsidRDefault="00704B31" w:rsidP="00370872">
      <w:pPr>
        <w:pStyle w:val="BodyText2"/>
        <w:jc w:val="both"/>
      </w:pPr>
      <w:r w:rsidRPr="00370872">
        <w:t xml:space="preserve">Format: </w:t>
      </w:r>
      <w:r w:rsidR="002F575E" w:rsidRPr="00370872">
        <w:t>&lt;Insurer short name&gt;_&lt;</w:t>
      </w:r>
      <w:r w:rsidR="001C515A">
        <w:t xml:space="preserve">end of </w:t>
      </w:r>
      <w:r w:rsidR="002F575E" w:rsidRPr="00370872">
        <w:t>reporting period (yyyymm</w:t>
      </w:r>
      <w:r w:rsidR="0001172A">
        <w:t>dd</w:t>
      </w:r>
      <w:r w:rsidR="002F575E" w:rsidRPr="00370872">
        <w:t>)&gt;_&lt;version number&gt;</w:t>
      </w:r>
      <w:r w:rsidRPr="00370872">
        <w:t>.xlsx</w:t>
      </w:r>
    </w:p>
    <w:p w14:paraId="37221F8B" w14:textId="60CB8D49" w:rsidR="00387E3D" w:rsidRPr="00370872" w:rsidRDefault="00704B31" w:rsidP="00D41DD9">
      <w:pPr>
        <w:pStyle w:val="BodyText2"/>
        <w:jc w:val="both"/>
      </w:pPr>
      <w:r w:rsidRPr="00370872">
        <w:t>Example: ABC Life_</w:t>
      </w:r>
      <w:r w:rsidR="00CF18D3" w:rsidRPr="00370872">
        <w:t>201</w:t>
      </w:r>
      <w:r w:rsidR="00CF18D3">
        <w:t>7123</w:t>
      </w:r>
      <w:r w:rsidR="00174FD0">
        <w:t>1</w:t>
      </w:r>
      <w:r w:rsidR="002F575E" w:rsidRPr="00370872">
        <w:t>_v1</w:t>
      </w:r>
      <w:r w:rsidRPr="00370872">
        <w:t>.xlsx</w:t>
      </w:r>
    </w:p>
    <w:p w14:paraId="1704A101" w14:textId="5A1C9EAD" w:rsidR="00D41DD9" w:rsidRDefault="00D41DD9" w:rsidP="00D41DD9">
      <w:pPr>
        <w:pStyle w:val="BodyText1"/>
      </w:pPr>
      <w:r>
        <w:t>The workbook provides various sub</w:t>
      </w:r>
      <w:r w:rsidR="001266B5">
        <w:t>-</w:t>
      </w:r>
      <w:r>
        <w:t>to</w:t>
      </w:r>
      <w:r w:rsidR="001266B5">
        <w:t>tals, measures, checks or cross-</w:t>
      </w:r>
      <w:r>
        <w:t>checks</w:t>
      </w:r>
      <w:r w:rsidR="000E5B03">
        <w:t xml:space="preserve"> to review </w:t>
      </w:r>
      <w:r>
        <w:t xml:space="preserve">the veracity of inputted data. </w:t>
      </w:r>
      <w:r w:rsidR="00742475">
        <w:t xml:space="preserve">Insurers </w:t>
      </w:r>
      <w:r>
        <w:t>should</w:t>
      </w:r>
      <w:r w:rsidR="00257DF9">
        <w:t xml:space="preserve"> </w:t>
      </w:r>
      <w:r>
        <w:t>utilise</w:t>
      </w:r>
      <w:r w:rsidR="001B4604">
        <w:t xml:space="preserve"> them</w:t>
      </w:r>
      <w:r w:rsidR="00257DF9">
        <w:t xml:space="preserve"> to</w:t>
      </w:r>
      <w:r w:rsidR="00540AC2">
        <w:t xml:space="preserve"> </w:t>
      </w:r>
      <w:r w:rsidR="005067EF">
        <w:t>check the accuracy of the data provided</w:t>
      </w:r>
      <w:r>
        <w:t>.</w:t>
      </w:r>
    </w:p>
    <w:p w14:paraId="21CC6FB7" w14:textId="77777777" w:rsidR="00237E32" w:rsidRPr="00C840E8" w:rsidRDefault="00237E32" w:rsidP="005067EF">
      <w:pPr>
        <w:pStyle w:val="ListParagraph"/>
        <w:spacing w:after="0"/>
        <w:ind w:left="0"/>
        <w:jc w:val="both"/>
        <w:rPr>
          <w:rFonts w:asciiTheme="minorHAnsi" w:hAnsiTheme="minorHAnsi" w:cstheme="minorHAnsi"/>
        </w:rPr>
      </w:pPr>
    </w:p>
    <w:p w14:paraId="5A4046CE" w14:textId="00044EAF" w:rsidR="002E66A6" w:rsidRPr="00B23760" w:rsidRDefault="005314E8" w:rsidP="00C820F9">
      <w:pPr>
        <w:pStyle w:val="Heading1"/>
        <w:numPr>
          <w:ilvl w:val="0"/>
          <w:numId w:val="5"/>
        </w:numPr>
        <w:rPr>
          <w:rFonts w:ascii="Arial" w:hAnsi="Arial" w:cs="Arial"/>
        </w:rPr>
      </w:pPr>
      <w:bookmarkStart w:id="33" w:name="_Toc527994445"/>
      <w:r w:rsidRPr="00B23760">
        <w:rPr>
          <w:rFonts w:ascii="Arial" w:hAnsi="Arial" w:cs="Arial"/>
        </w:rPr>
        <w:t>General Definitions</w:t>
      </w:r>
      <w:bookmarkEnd w:id="33"/>
    </w:p>
    <w:p w14:paraId="2B1E6CB2" w14:textId="4612A274" w:rsidR="008A7790" w:rsidRPr="00370872" w:rsidRDefault="006F641E" w:rsidP="00B9266A">
      <w:pPr>
        <w:pStyle w:val="BodyText1"/>
        <w:numPr>
          <w:ilvl w:val="0"/>
          <w:numId w:val="8"/>
        </w:numPr>
      </w:pPr>
      <w:r w:rsidRPr="00370872">
        <w:t>‘</w:t>
      </w:r>
      <w:r w:rsidR="008A7790" w:rsidRPr="00370872">
        <w:t>Policy Contract</w:t>
      </w:r>
      <w:r w:rsidRPr="00370872">
        <w:t>’</w:t>
      </w:r>
      <w:r w:rsidR="008A7790" w:rsidRPr="00370872">
        <w:t xml:space="preserve"> refers to the life policy as defined by section 9 or 9A of the Life Act. In respect of Individual Insurance business, this contract is between the policyholder (who could also be the Life Insured) and the </w:t>
      </w:r>
      <w:r w:rsidR="00742475">
        <w:t>insurer</w:t>
      </w:r>
      <w:r w:rsidR="008A7790" w:rsidRPr="00370872">
        <w:t xml:space="preserve">. In respect of Group Insurance business, this contract is between the trustee (of a </w:t>
      </w:r>
      <w:r w:rsidR="00956A83">
        <w:t>s</w:t>
      </w:r>
      <w:r w:rsidR="008A7790" w:rsidRPr="00370872">
        <w:t xml:space="preserve">uperannuation </w:t>
      </w:r>
      <w:r w:rsidR="00956A83">
        <w:t>f</w:t>
      </w:r>
      <w:r w:rsidR="008A7790" w:rsidRPr="00370872">
        <w:t xml:space="preserve">und) or an employer and the </w:t>
      </w:r>
      <w:r w:rsidR="00742475">
        <w:t xml:space="preserve">insurer </w:t>
      </w:r>
      <w:r w:rsidR="008A7790" w:rsidRPr="00370872">
        <w:t>providing insurance for a group of eligible members.</w:t>
      </w:r>
    </w:p>
    <w:p w14:paraId="35F6DA79" w14:textId="6DA8DF42" w:rsidR="008A7790" w:rsidRPr="00370872" w:rsidRDefault="006F641E" w:rsidP="00370872">
      <w:pPr>
        <w:pStyle w:val="BodyText1"/>
      </w:pPr>
      <w:r w:rsidRPr="00370872">
        <w:t>‘</w:t>
      </w:r>
      <w:r w:rsidR="008A7790" w:rsidRPr="00370872">
        <w:t>Life Insured</w:t>
      </w:r>
      <w:r w:rsidRPr="00370872">
        <w:t>’</w:t>
      </w:r>
      <w:r w:rsidR="008A7790" w:rsidRPr="00370872">
        <w:t xml:space="preserve"> refers to the individual life (or multiple lives in the event of joint life contracts) covered under a Policy Contract. In respect of Group Insurance contracts, Lives Insured are also referred to as members.</w:t>
      </w:r>
    </w:p>
    <w:p w14:paraId="53187548" w14:textId="0289EADB" w:rsidR="008A7790" w:rsidRPr="00370872" w:rsidRDefault="006F641E" w:rsidP="00370872">
      <w:pPr>
        <w:pStyle w:val="BodyText1"/>
      </w:pPr>
      <w:r w:rsidRPr="00370872">
        <w:lastRenderedPageBreak/>
        <w:t>‘</w:t>
      </w:r>
      <w:r w:rsidR="008A7790" w:rsidRPr="00370872">
        <w:t>Policyholder</w:t>
      </w:r>
      <w:r w:rsidRPr="00370872">
        <w:t>’</w:t>
      </w:r>
      <w:r w:rsidR="008A7790" w:rsidRPr="00370872">
        <w:t xml:space="preserve"> is the owner of the Policy Contract. It could be the same as the Life Insured.</w:t>
      </w:r>
    </w:p>
    <w:p w14:paraId="35221EAF" w14:textId="7C373851" w:rsidR="006415A7" w:rsidRPr="00F0224E" w:rsidRDefault="006F641E" w:rsidP="00370872">
      <w:pPr>
        <w:pStyle w:val="BodyText1"/>
        <w:rPr>
          <w:rFonts w:asciiTheme="minorHAnsi" w:hAnsiTheme="minorHAnsi" w:cstheme="minorHAnsi"/>
        </w:rPr>
      </w:pPr>
      <w:r w:rsidRPr="00370872">
        <w:t>‘</w:t>
      </w:r>
      <w:r w:rsidR="003607CD" w:rsidRPr="00370872">
        <w:t>Class of Business</w:t>
      </w:r>
      <w:r w:rsidRPr="00370872">
        <w:t>’</w:t>
      </w:r>
      <w:r w:rsidR="003607CD" w:rsidRPr="00370872">
        <w:t xml:space="preserve"> refers to the type of business:</w:t>
      </w:r>
    </w:p>
    <w:p w14:paraId="64EDF4EE" w14:textId="7400206E" w:rsidR="003607CD" w:rsidRPr="00370872" w:rsidRDefault="003607CD" w:rsidP="00370872">
      <w:pPr>
        <w:pStyle w:val="BodyText2"/>
        <w:jc w:val="both"/>
      </w:pPr>
      <w:r w:rsidRPr="00370872">
        <w:t>Ordinary Business;</w:t>
      </w:r>
      <w:r w:rsidR="009606C1" w:rsidRPr="00370872">
        <w:t xml:space="preserve"> and</w:t>
      </w:r>
    </w:p>
    <w:p w14:paraId="68994D5B" w14:textId="1EA5E5E4" w:rsidR="006415A7" w:rsidRPr="00370872" w:rsidRDefault="006415A7" w:rsidP="00370872">
      <w:pPr>
        <w:pStyle w:val="BodyText2"/>
        <w:jc w:val="both"/>
      </w:pPr>
      <w:r w:rsidRPr="00370872">
        <w:t>Superannuation Business</w:t>
      </w:r>
      <w:r w:rsidR="009606C1" w:rsidRPr="00370872">
        <w:t>.</w:t>
      </w:r>
    </w:p>
    <w:p w14:paraId="513CBAF0" w14:textId="43E9077C" w:rsidR="006415A7" w:rsidRPr="00C840E8" w:rsidRDefault="006415A7" w:rsidP="00370872">
      <w:pPr>
        <w:pStyle w:val="ListParagraph"/>
        <w:ind w:left="567"/>
        <w:contextualSpacing w:val="0"/>
        <w:jc w:val="both"/>
        <w:rPr>
          <w:rFonts w:asciiTheme="minorHAnsi" w:hAnsiTheme="minorHAnsi" w:cstheme="minorHAnsi"/>
        </w:rPr>
      </w:pPr>
      <w:r w:rsidRPr="00C840E8">
        <w:rPr>
          <w:rFonts w:asciiTheme="minorHAnsi" w:hAnsiTheme="minorHAnsi" w:cstheme="minorHAnsi"/>
        </w:rPr>
        <w:t>The expressions ‘ordinary business’ and ‘superannuation business’ are defined in the Life Act.</w:t>
      </w:r>
    </w:p>
    <w:p w14:paraId="0B2BAC59" w14:textId="4C08F297" w:rsidR="008A7790" w:rsidRPr="00370872" w:rsidRDefault="006F641E" w:rsidP="00370872">
      <w:pPr>
        <w:pStyle w:val="BodyText1"/>
      </w:pPr>
      <w:r w:rsidRPr="00370872">
        <w:t>‘</w:t>
      </w:r>
      <w:r w:rsidR="008A7790" w:rsidRPr="00370872">
        <w:t>Insurance Type</w:t>
      </w:r>
      <w:r w:rsidRPr="00370872">
        <w:t>’</w:t>
      </w:r>
      <w:r w:rsidR="008A7790" w:rsidRPr="00370872">
        <w:t xml:space="preserve"> refers to the type of insurance:</w:t>
      </w:r>
    </w:p>
    <w:p w14:paraId="2A09132E" w14:textId="2CA594AD" w:rsidR="008A7790" w:rsidRPr="00370872" w:rsidRDefault="00961C2F" w:rsidP="00370872">
      <w:pPr>
        <w:pStyle w:val="BodyText2"/>
        <w:jc w:val="both"/>
      </w:pPr>
      <w:r>
        <w:t>‘</w:t>
      </w:r>
      <w:r w:rsidR="008A7790" w:rsidRPr="00370872">
        <w:t>Group Insurance</w:t>
      </w:r>
      <w:r>
        <w:t>’</w:t>
      </w:r>
      <w:r w:rsidR="008A7790" w:rsidRPr="00370872">
        <w:t xml:space="preserve"> business, where an employer or the trustee of a superannuation fund with at least five members purchase</w:t>
      </w:r>
      <w:r>
        <w:t>d</w:t>
      </w:r>
      <w:r w:rsidR="008A7790" w:rsidRPr="00370872">
        <w:t xml:space="preserve"> a group insurance policy to provide cover for the employees or superannuation fund members and the amount of cover on each life, excluding any voluntary additional cover, is determined by application of a formula. Lives insured are underwritten according to blanket rules that apply to the group and usually provide for automatic acceptance up to prescribed limits; and</w:t>
      </w:r>
    </w:p>
    <w:p w14:paraId="3F83B116" w14:textId="6C666F38" w:rsidR="008A7790" w:rsidRPr="00370872" w:rsidRDefault="00961C2F" w:rsidP="00370872">
      <w:pPr>
        <w:pStyle w:val="BodyText2"/>
        <w:jc w:val="both"/>
      </w:pPr>
      <w:r>
        <w:t>‘</w:t>
      </w:r>
      <w:r w:rsidR="008A7790" w:rsidRPr="00370872">
        <w:t>Individual Insurance</w:t>
      </w:r>
      <w:r>
        <w:t>’</w:t>
      </w:r>
      <w:r w:rsidR="008A7790" w:rsidRPr="00370872">
        <w:t xml:space="preserve"> business, for insurance cover held outside superannuation or within a retail superannuation fund where each Policyholder selects the amount of death, TPD, trauma and income protection cover </w:t>
      </w:r>
      <w:r w:rsidR="00185DE8">
        <w:t xml:space="preserve">they </w:t>
      </w:r>
      <w:r w:rsidR="008A7790" w:rsidRPr="00370872">
        <w:t xml:space="preserve">require. Each </w:t>
      </w:r>
      <w:r>
        <w:t>L</w:t>
      </w:r>
      <w:r w:rsidR="008A7790" w:rsidRPr="00370872">
        <w:t xml:space="preserve">ife </w:t>
      </w:r>
      <w:r>
        <w:t>I</w:t>
      </w:r>
      <w:r w:rsidR="008A7790" w:rsidRPr="00370872">
        <w:t>nsured is individually underwritten. It also includes CCI, Accident and Funeral insurance.</w:t>
      </w:r>
    </w:p>
    <w:p w14:paraId="5782622C" w14:textId="24A63BFE" w:rsidR="008A7790" w:rsidRPr="00ED6C9E" w:rsidRDefault="008A7790" w:rsidP="00370872">
      <w:pPr>
        <w:pStyle w:val="ListParagraph"/>
        <w:ind w:left="567"/>
        <w:contextualSpacing w:val="0"/>
        <w:jc w:val="both"/>
        <w:rPr>
          <w:rFonts w:asciiTheme="minorHAnsi" w:hAnsiTheme="minorHAnsi" w:cstheme="minorHAnsi"/>
        </w:rPr>
      </w:pPr>
      <w:r w:rsidRPr="008A7790">
        <w:rPr>
          <w:rFonts w:asciiTheme="minorHAnsi" w:hAnsiTheme="minorHAnsi" w:cstheme="minorHAnsi"/>
        </w:rPr>
        <w:t xml:space="preserve">It is expected that the distinction between Individual and Group Insurance should be consistent with how insurance business is classified and reported in </w:t>
      </w:r>
      <w:r w:rsidR="007F3BE5">
        <w:rPr>
          <w:rFonts w:asciiTheme="minorHAnsi" w:hAnsiTheme="minorHAnsi" w:cstheme="minorHAnsi"/>
        </w:rPr>
        <w:t xml:space="preserve">APRA product groups (as defined in </w:t>
      </w:r>
      <w:r w:rsidR="003F22DE" w:rsidRPr="009E5BB4">
        <w:rPr>
          <w:rFonts w:asciiTheme="minorHAnsi" w:hAnsiTheme="minorHAnsi" w:cstheme="minorHAnsi"/>
          <w:i/>
        </w:rPr>
        <w:t xml:space="preserve">Reporting Standard </w:t>
      </w:r>
      <w:r w:rsidR="006F641E" w:rsidRPr="009E5BB4">
        <w:rPr>
          <w:rFonts w:asciiTheme="minorHAnsi" w:hAnsiTheme="minorHAnsi" w:cstheme="minorHAnsi"/>
          <w:i/>
        </w:rPr>
        <w:t>LRS</w:t>
      </w:r>
      <w:r w:rsidR="00511487" w:rsidRPr="009E5BB4">
        <w:rPr>
          <w:rFonts w:asciiTheme="minorHAnsi" w:hAnsiTheme="minorHAnsi" w:cstheme="minorHAnsi"/>
          <w:i/>
        </w:rPr>
        <w:t xml:space="preserve"> </w:t>
      </w:r>
      <w:r w:rsidR="006F641E" w:rsidRPr="009E5BB4">
        <w:rPr>
          <w:rFonts w:asciiTheme="minorHAnsi" w:hAnsiTheme="minorHAnsi" w:cstheme="minorHAnsi"/>
          <w:i/>
        </w:rPr>
        <w:t>001</w:t>
      </w:r>
      <w:r w:rsidR="003F22DE" w:rsidRPr="009E5BB4">
        <w:rPr>
          <w:rFonts w:asciiTheme="minorHAnsi" w:hAnsiTheme="minorHAnsi" w:cstheme="minorHAnsi"/>
          <w:i/>
        </w:rPr>
        <w:t xml:space="preserve"> Reporting Requirements</w:t>
      </w:r>
      <w:r w:rsidR="007F3BE5">
        <w:rPr>
          <w:rFonts w:asciiTheme="minorHAnsi" w:hAnsiTheme="minorHAnsi" w:cstheme="minorHAnsi"/>
        </w:rPr>
        <w:t>)</w:t>
      </w:r>
      <w:r w:rsidRPr="008A7790">
        <w:rPr>
          <w:rFonts w:asciiTheme="minorHAnsi" w:hAnsiTheme="minorHAnsi" w:cstheme="minorHAnsi"/>
        </w:rPr>
        <w:t xml:space="preserve">. </w:t>
      </w:r>
      <w:r w:rsidRPr="00ED6C9E">
        <w:rPr>
          <w:rFonts w:asciiTheme="minorHAnsi" w:hAnsiTheme="minorHAnsi" w:cstheme="minorHAnsi"/>
        </w:rPr>
        <w:t>The Individual Lump Sum Risk (L4) and Individual Disability Income Insurance (L5) product categories should be classified as Individual Insurance business. The Group Lump Sum Risk (L6) and Group Disability Income Insurance (L7) product categories should be classified as Group Insurance business.</w:t>
      </w:r>
    </w:p>
    <w:p w14:paraId="3FFD1C28" w14:textId="77777777" w:rsidR="008A7790" w:rsidRPr="00370872" w:rsidRDefault="008A7790" w:rsidP="00370872">
      <w:pPr>
        <w:pStyle w:val="BodyText1"/>
      </w:pPr>
      <w:r w:rsidRPr="00370872">
        <w:t>The following categories are defined for Insurance Type:</w:t>
      </w:r>
    </w:p>
    <w:p w14:paraId="3EA0C8B5" w14:textId="77777777" w:rsidR="008A7790" w:rsidRPr="00370872" w:rsidRDefault="008A7790" w:rsidP="00370872">
      <w:pPr>
        <w:pStyle w:val="BodyText2"/>
        <w:jc w:val="both"/>
      </w:pPr>
      <w:r w:rsidRPr="00370872">
        <w:t>Individual Insurance sold outside Superannuation Funds;</w:t>
      </w:r>
    </w:p>
    <w:p w14:paraId="7E872145" w14:textId="77777777" w:rsidR="008A7790" w:rsidRPr="00370872" w:rsidRDefault="008A7790" w:rsidP="00370872">
      <w:pPr>
        <w:pStyle w:val="BodyText2"/>
        <w:jc w:val="both"/>
      </w:pPr>
      <w:r w:rsidRPr="00370872">
        <w:t>Individual Insurance sold inside Superannuation Funds;</w:t>
      </w:r>
    </w:p>
    <w:p w14:paraId="20BB91CD" w14:textId="77777777" w:rsidR="008A7790" w:rsidRPr="00370872" w:rsidRDefault="008A7790" w:rsidP="00370872">
      <w:pPr>
        <w:pStyle w:val="BodyText2"/>
        <w:jc w:val="both"/>
      </w:pPr>
      <w:r w:rsidRPr="00370872">
        <w:t>Group Insurance sold outside Superannuation Funds; and</w:t>
      </w:r>
    </w:p>
    <w:p w14:paraId="4D4C98D9" w14:textId="77777777" w:rsidR="008A7790" w:rsidRPr="00370872" w:rsidRDefault="008A7790" w:rsidP="00370872">
      <w:pPr>
        <w:pStyle w:val="BodyText2"/>
        <w:jc w:val="both"/>
      </w:pPr>
      <w:r w:rsidRPr="00370872">
        <w:t>Group Insurance sold inside Superannuation Funds.</w:t>
      </w:r>
    </w:p>
    <w:p w14:paraId="5B58BD02" w14:textId="6C673450" w:rsidR="008A7790" w:rsidRPr="00C216E2" w:rsidRDefault="00B25C3C" w:rsidP="00C216E2">
      <w:pPr>
        <w:pStyle w:val="BodyText1"/>
      </w:pPr>
      <w:r w:rsidRPr="00C216E2">
        <w:t>The c</w:t>
      </w:r>
      <w:r w:rsidR="008A7790" w:rsidRPr="00C216E2">
        <w:t xml:space="preserve">ategories </w:t>
      </w:r>
      <w:r w:rsidRPr="00C216E2">
        <w:t>set out in paragraphs 14(</w:t>
      </w:r>
      <w:r w:rsidR="00F0224E" w:rsidRPr="00C216E2">
        <w:t>a</w:t>
      </w:r>
      <w:r w:rsidRPr="00C216E2">
        <w:t>)</w:t>
      </w:r>
      <w:r w:rsidR="00F0224E" w:rsidRPr="00C216E2">
        <w:t xml:space="preserve"> </w:t>
      </w:r>
      <w:r w:rsidR="008A7790" w:rsidRPr="00C216E2">
        <w:t xml:space="preserve">to </w:t>
      </w:r>
      <w:r w:rsidRPr="00C216E2">
        <w:t>(</w:t>
      </w:r>
      <w:r w:rsidR="00F0224E" w:rsidRPr="00C216E2">
        <w:t>d</w:t>
      </w:r>
      <w:r w:rsidRPr="00C216E2">
        <w:t>)</w:t>
      </w:r>
      <w:r w:rsidR="00F0224E" w:rsidRPr="00C216E2">
        <w:t xml:space="preserve"> </w:t>
      </w:r>
      <w:r w:rsidR="008A7790" w:rsidRPr="00C216E2">
        <w:t xml:space="preserve">should correspond to </w:t>
      </w:r>
      <w:r w:rsidR="007F3BE5" w:rsidRPr="00C216E2">
        <w:t xml:space="preserve">Class of Business and APRA </w:t>
      </w:r>
      <w:r w:rsidR="00961C2F">
        <w:t>p</w:t>
      </w:r>
      <w:r w:rsidR="007F3BE5" w:rsidRPr="00C216E2">
        <w:t>roduct groups</w:t>
      </w:r>
      <w:r w:rsidR="008A7790" w:rsidRPr="00C216E2">
        <w:t xml:space="preserve"> as follows:</w:t>
      </w:r>
    </w:p>
    <w:tbl>
      <w:tblPr>
        <w:tblStyle w:val="TableGrid"/>
        <w:tblW w:w="5000" w:type="pct"/>
        <w:tblLook w:val="04A0" w:firstRow="1" w:lastRow="0" w:firstColumn="1" w:lastColumn="0" w:noHBand="0" w:noVBand="1"/>
      </w:tblPr>
      <w:tblGrid>
        <w:gridCol w:w="2883"/>
        <w:gridCol w:w="2889"/>
        <w:gridCol w:w="2530"/>
      </w:tblGrid>
      <w:tr w:rsidR="008A7790" w:rsidRPr="008A7790" w14:paraId="5CB420BF" w14:textId="77777777" w:rsidTr="003F22DE">
        <w:tc>
          <w:tcPr>
            <w:tcW w:w="1736" w:type="pct"/>
            <w:shd w:val="pct15" w:color="auto" w:fill="auto"/>
          </w:tcPr>
          <w:p w14:paraId="25ADF237" w14:textId="77777777" w:rsidR="008A7790" w:rsidRPr="008A7790" w:rsidRDefault="008A7790" w:rsidP="008D0311">
            <w:pPr>
              <w:keepNext/>
              <w:spacing w:after="0"/>
              <w:rPr>
                <w:rFonts w:asciiTheme="minorHAnsi" w:hAnsiTheme="minorHAnsi" w:cstheme="minorHAnsi"/>
                <w:b/>
              </w:rPr>
            </w:pPr>
            <w:r w:rsidRPr="008A7790">
              <w:rPr>
                <w:rFonts w:asciiTheme="minorHAnsi" w:hAnsiTheme="minorHAnsi" w:cstheme="minorHAnsi"/>
                <w:b/>
              </w:rPr>
              <w:lastRenderedPageBreak/>
              <w:t>Category</w:t>
            </w:r>
          </w:p>
        </w:tc>
        <w:tc>
          <w:tcPr>
            <w:tcW w:w="1740" w:type="pct"/>
            <w:shd w:val="pct15" w:color="auto" w:fill="auto"/>
          </w:tcPr>
          <w:p w14:paraId="1D31EEA4" w14:textId="19E0A35F" w:rsidR="008A7790" w:rsidRPr="008A7790" w:rsidRDefault="008A7790" w:rsidP="008D0311">
            <w:pPr>
              <w:keepNext/>
              <w:spacing w:after="0"/>
              <w:rPr>
                <w:rFonts w:asciiTheme="minorHAnsi" w:hAnsiTheme="minorHAnsi" w:cstheme="minorHAnsi"/>
                <w:b/>
              </w:rPr>
            </w:pPr>
            <w:r w:rsidRPr="008A7790">
              <w:rPr>
                <w:rFonts w:asciiTheme="minorHAnsi" w:hAnsiTheme="minorHAnsi" w:cstheme="minorHAnsi"/>
                <w:b/>
              </w:rPr>
              <w:t>Class of business</w:t>
            </w:r>
          </w:p>
        </w:tc>
        <w:tc>
          <w:tcPr>
            <w:tcW w:w="1524" w:type="pct"/>
            <w:shd w:val="pct15" w:color="auto" w:fill="auto"/>
          </w:tcPr>
          <w:p w14:paraId="1F9CC812" w14:textId="7FC4454D" w:rsidR="008A7790" w:rsidRPr="008A7790" w:rsidRDefault="007F3BE5" w:rsidP="008D0311">
            <w:pPr>
              <w:keepNext/>
              <w:spacing w:after="0"/>
              <w:rPr>
                <w:rFonts w:asciiTheme="minorHAnsi" w:hAnsiTheme="minorHAnsi" w:cstheme="minorHAnsi"/>
                <w:b/>
              </w:rPr>
            </w:pPr>
            <w:r>
              <w:rPr>
                <w:rFonts w:asciiTheme="minorHAnsi" w:hAnsiTheme="minorHAnsi" w:cstheme="minorHAnsi"/>
                <w:b/>
              </w:rPr>
              <w:t xml:space="preserve">APRA </w:t>
            </w:r>
            <w:r w:rsidR="00961C2F">
              <w:rPr>
                <w:rFonts w:asciiTheme="minorHAnsi" w:hAnsiTheme="minorHAnsi" w:cstheme="minorHAnsi"/>
                <w:b/>
              </w:rPr>
              <w:t>p</w:t>
            </w:r>
            <w:r w:rsidR="008A7790" w:rsidRPr="008A7790">
              <w:rPr>
                <w:rFonts w:asciiTheme="minorHAnsi" w:hAnsiTheme="minorHAnsi" w:cstheme="minorHAnsi"/>
                <w:b/>
              </w:rPr>
              <w:t>roduct group</w:t>
            </w:r>
          </w:p>
        </w:tc>
      </w:tr>
      <w:tr w:rsidR="008A7790" w:rsidRPr="008A7790" w14:paraId="5C89AE36" w14:textId="77777777" w:rsidTr="003F22DE">
        <w:tc>
          <w:tcPr>
            <w:tcW w:w="1736" w:type="pct"/>
          </w:tcPr>
          <w:p w14:paraId="055920CC" w14:textId="77777777" w:rsidR="008A7790" w:rsidRPr="008A7790" w:rsidRDefault="008A7790" w:rsidP="008D0311">
            <w:pPr>
              <w:pStyle w:val="ListParagraph"/>
              <w:keepNext/>
              <w:spacing w:after="0"/>
              <w:ind w:left="0"/>
              <w:rPr>
                <w:rFonts w:asciiTheme="minorHAnsi" w:hAnsiTheme="minorHAnsi" w:cstheme="minorHAnsi"/>
              </w:rPr>
            </w:pPr>
            <w:r w:rsidRPr="008A7790">
              <w:rPr>
                <w:rFonts w:asciiTheme="minorHAnsi" w:hAnsiTheme="minorHAnsi" w:cstheme="minorHAnsi"/>
              </w:rPr>
              <w:t>Individual Insurance outside Super</w:t>
            </w:r>
          </w:p>
        </w:tc>
        <w:tc>
          <w:tcPr>
            <w:tcW w:w="1740" w:type="pct"/>
          </w:tcPr>
          <w:p w14:paraId="474BEAAE" w14:textId="77777777" w:rsidR="008A7790" w:rsidRPr="008A7790" w:rsidRDefault="008A7790" w:rsidP="008D0311">
            <w:pPr>
              <w:pStyle w:val="ListParagraph"/>
              <w:keepNext/>
              <w:spacing w:after="0"/>
              <w:ind w:left="0"/>
              <w:rPr>
                <w:rFonts w:asciiTheme="minorHAnsi" w:hAnsiTheme="minorHAnsi" w:cstheme="minorHAnsi"/>
              </w:rPr>
            </w:pPr>
            <w:r w:rsidRPr="008A7790">
              <w:rPr>
                <w:rFonts w:asciiTheme="minorHAnsi" w:hAnsiTheme="minorHAnsi" w:cstheme="minorHAnsi"/>
              </w:rPr>
              <w:t>Australia – Ordinary Business</w:t>
            </w:r>
          </w:p>
        </w:tc>
        <w:tc>
          <w:tcPr>
            <w:tcW w:w="1524" w:type="pct"/>
          </w:tcPr>
          <w:p w14:paraId="4676F45F" w14:textId="77777777" w:rsidR="008A7790" w:rsidRPr="008A7790" w:rsidRDefault="008A7790" w:rsidP="008D0311">
            <w:pPr>
              <w:pStyle w:val="ListParagraph"/>
              <w:keepNext/>
              <w:spacing w:after="0"/>
              <w:ind w:left="0"/>
              <w:rPr>
                <w:rFonts w:asciiTheme="minorHAnsi" w:hAnsiTheme="minorHAnsi" w:cstheme="minorHAnsi"/>
              </w:rPr>
            </w:pPr>
            <w:r w:rsidRPr="008A7790">
              <w:rPr>
                <w:rFonts w:asciiTheme="minorHAnsi" w:hAnsiTheme="minorHAnsi" w:cstheme="minorHAnsi"/>
              </w:rPr>
              <w:t>L4 and L5</w:t>
            </w:r>
          </w:p>
        </w:tc>
      </w:tr>
      <w:tr w:rsidR="008A7790" w:rsidRPr="008A7790" w14:paraId="4D375E66" w14:textId="77777777" w:rsidTr="003F22DE">
        <w:tc>
          <w:tcPr>
            <w:tcW w:w="1736" w:type="pct"/>
          </w:tcPr>
          <w:p w14:paraId="28ED3552" w14:textId="77777777" w:rsidR="008A7790" w:rsidRPr="008A7790" w:rsidRDefault="008A7790" w:rsidP="008D0311">
            <w:pPr>
              <w:pStyle w:val="ListParagraph"/>
              <w:keepNext/>
              <w:spacing w:after="0"/>
              <w:ind w:left="0"/>
              <w:rPr>
                <w:rFonts w:asciiTheme="minorHAnsi" w:hAnsiTheme="minorHAnsi" w:cstheme="minorHAnsi"/>
              </w:rPr>
            </w:pPr>
            <w:r w:rsidRPr="008A7790">
              <w:rPr>
                <w:rFonts w:asciiTheme="minorHAnsi" w:hAnsiTheme="minorHAnsi" w:cstheme="minorHAnsi"/>
              </w:rPr>
              <w:t>Individual Insurance inside Super</w:t>
            </w:r>
          </w:p>
        </w:tc>
        <w:tc>
          <w:tcPr>
            <w:tcW w:w="1740" w:type="pct"/>
          </w:tcPr>
          <w:p w14:paraId="2F234D40" w14:textId="77777777" w:rsidR="008A7790" w:rsidRPr="008A7790" w:rsidRDefault="008A7790" w:rsidP="008D0311">
            <w:pPr>
              <w:pStyle w:val="ListParagraph"/>
              <w:keepNext/>
              <w:spacing w:after="0"/>
              <w:ind w:left="0"/>
              <w:rPr>
                <w:rFonts w:asciiTheme="minorHAnsi" w:hAnsiTheme="minorHAnsi" w:cstheme="minorHAnsi"/>
              </w:rPr>
            </w:pPr>
            <w:r w:rsidRPr="008A7790">
              <w:rPr>
                <w:rFonts w:asciiTheme="minorHAnsi" w:hAnsiTheme="minorHAnsi" w:cstheme="minorHAnsi"/>
              </w:rPr>
              <w:t>Australia – Superannuation Business</w:t>
            </w:r>
          </w:p>
        </w:tc>
        <w:tc>
          <w:tcPr>
            <w:tcW w:w="1524" w:type="pct"/>
          </w:tcPr>
          <w:p w14:paraId="78576E82" w14:textId="77777777" w:rsidR="008A7790" w:rsidRPr="008A7790" w:rsidRDefault="008A7790" w:rsidP="008D0311">
            <w:pPr>
              <w:pStyle w:val="ListParagraph"/>
              <w:keepNext/>
              <w:spacing w:after="0"/>
              <w:ind w:left="0"/>
              <w:rPr>
                <w:rFonts w:asciiTheme="minorHAnsi" w:hAnsiTheme="minorHAnsi" w:cstheme="minorHAnsi"/>
              </w:rPr>
            </w:pPr>
            <w:r w:rsidRPr="008A7790">
              <w:rPr>
                <w:rFonts w:asciiTheme="minorHAnsi" w:hAnsiTheme="minorHAnsi" w:cstheme="minorHAnsi"/>
              </w:rPr>
              <w:t>L4 and L5</w:t>
            </w:r>
          </w:p>
        </w:tc>
      </w:tr>
      <w:tr w:rsidR="008A7790" w:rsidRPr="008A7790" w14:paraId="1DB1CBFC" w14:textId="77777777" w:rsidTr="003F22DE">
        <w:tc>
          <w:tcPr>
            <w:tcW w:w="1736" w:type="pct"/>
          </w:tcPr>
          <w:p w14:paraId="602D3B8E" w14:textId="77777777" w:rsidR="008A7790" w:rsidRPr="008A7790" w:rsidRDefault="008A7790" w:rsidP="008D0311">
            <w:pPr>
              <w:pStyle w:val="ListParagraph"/>
              <w:keepNext/>
              <w:spacing w:after="0"/>
              <w:ind w:left="0"/>
              <w:rPr>
                <w:rFonts w:asciiTheme="minorHAnsi" w:hAnsiTheme="minorHAnsi" w:cstheme="minorHAnsi"/>
              </w:rPr>
            </w:pPr>
            <w:r w:rsidRPr="008A7790">
              <w:rPr>
                <w:rFonts w:asciiTheme="minorHAnsi" w:hAnsiTheme="minorHAnsi" w:cstheme="minorHAnsi"/>
              </w:rPr>
              <w:t>Group Insurance outside Super</w:t>
            </w:r>
          </w:p>
        </w:tc>
        <w:tc>
          <w:tcPr>
            <w:tcW w:w="1740" w:type="pct"/>
          </w:tcPr>
          <w:p w14:paraId="4252A1E2" w14:textId="77777777" w:rsidR="008A7790" w:rsidRPr="008A7790" w:rsidRDefault="008A7790" w:rsidP="008D0311">
            <w:pPr>
              <w:pStyle w:val="ListParagraph"/>
              <w:keepNext/>
              <w:spacing w:after="0"/>
              <w:ind w:left="0"/>
              <w:rPr>
                <w:rFonts w:asciiTheme="minorHAnsi" w:hAnsiTheme="minorHAnsi" w:cstheme="minorHAnsi"/>
              </w:rPr>
            </w:pPr>
            <w:r w:rsidRPr="008A7790">
              <w:rPr>
                <w:rFonts w:asciiTheme="minorHAnsi" w:hAnsiTheme="minorHAnsi" w:cstheme="minorHAnsi"/>
              </w:rPr>
              <w:t>Australia – Ordinary Business</w:t>
            </w:r>
          </w:p>
        </w:tc>
        <w:tc>
          <w:tcPr>
            <w:tcW w:w="1524" w:type="pct"/>
          </w:tcPr>
          <w:p w14:paraId="77193922" w14:textId="77777777" w:rsidR="008A7790" w:rsidRPr="008A7790" w:rsidRDefault="008A7790" w:rsidP="008D0311">
            <w:pPr>
              <w:pStyle w:val="ListParagraph"/>
              <w:keepNext/>
              <w:spacing w:after="0"/>
              <w:ind w:left="0"/>
              <w:rPr>
                <w:rFonts w:asciiTheme="minorHAnsi" w:hAnsiTheme="minorHAnsi" w:cstheme="minorHAnsi"/>
              </w:rPr>
            </w:pPr>
            <w:r w:rsidRPr="008A7790">
              <w:rPr>
                <w:rFonts w:asciiTheme="minorHAnsi" w:hAnsiTheme="minorHAnsi" w:cstheme="minorHAnsi"/>
              </w:rPr>
              <w:t>L6 and L7</w:t>
            </w:r>
          </w:p>
        </w:tc>
      </w:tr>
      <w:tr w:rsidR="008A7790" w:rsidRPr="008A7790" w14:paraId="2C58374A" w14:textId="77777777" w:rsidTr="003F22DE">
        <w:tc>
          <w:tcPr>
            <w:tcW w:w="1736" w:type="pct"/>
          </w:tcPr>
          <w:p w14:paraId="48EB3520" w14:textId="77777777" w:rsidR="008A7790" w:rsidRPr="008A7790" w:rsidRDefault="008A7790" w:rsidP="00016DD7">
            <w:pPr>
              <w:pStyle w:val="ListParagraph"/>
              <w:spacing w:after="0"/>
              <w:ind w:left="0"/>
              <w:rPr>
                <w:rFonts w:asciiTheme="minorHAnsi" w:hAnsiTheme="minorHAnsi" w:cstheme="minorHAnsi"/>
              </w:rPr>
            </w:pPr>
            <w:r w:rsidRPr="008A7790">
              <w:rPr>
                <w:rFonts w:asciiTheme="minorHAnsi" w:hAnsiTheme="minorHAnsi" w:cstheme="minorHAnsi"/>
              </w:rPr>
              <w:t>Group Insurance inside Super</w:t>
            </w:r>
          </w:p>
        </w:tc>
        <w:tc>
          <w:tcPr>
            <w:tcW w:w="1740" w:type="pct"/>
          </w:tcPr>
          <w:p w14:paraId="0261D768" w14:textId="77777777" w:rsidR="008A7790" w:rsidRPr="008A7790" w:rsidRDefault="008A7790" w:rsidP="00016DD7">
            <w:pPr>
              <w:pStyle w:val="ListParagraph"/>
              <w:spacing w:after="0"/>
              <w:ind w:left="0"/>
              <w:rPr>
                <w:rFonts w:asciiTheme="minorHAnsi" w:hAnsiTheme="minorHAnsi" w:cstheme="minorHAnsi"/>
              </w:rPr>
            </w:pPr>
            <w:r w:rsidRPr="008A7790">
              <w:rPr>
                <w:rFonts w:asciiTheme="minorHAnsi" w:hAnsiTheme="minorHAnsi" w:cstheme="minorHAnsi"/>
              </w:rPr>
              <w:t>Australia – Superannuation Business</w:t>
            </w:r>
          </w:p>
        </w:tc>
        <w:tc>
          <w:tcPr>
            <w:tcW w:w="1524" w:type="pct"/>
          </w:tcPr>
          <w:p w14:paraId="7E916EE5" w14:textId="77777777" w:rsidR="008A7790" w:rsidRPr="008A7790" w:rsidRDefault="008A7790" w:rsidP="00016DD7">
            <w:pPr>
              <w:pStyle w:val="ListParagraph"/>
              <w:spacing w:after="0"/>
              <w:ind w:left="0"/>
              <w:rPr>
                <w:rFonts w:asciiTheme="minorHAnsi" w:hAnsiTheme="minorHAnsi" w:cstheme="minorHAnsi"/>
              </w:rPr>
            </w:pPr>
            <w:r w:rsidRPr="008A7790">
              <w:rPr>
                <w:rFonts w:asciiTheme="minorHAnsi" w:hAnsiTheme="minorHAnsi" w:cstheme="minorHAnsi"/>
              </w:rPr>
              <w:t>L6 and L7</w:t>
            </w:r>
          </w:p>
        </w:tc>
      </w:tr>
    </w:tbl>
    <w:p w14:paraId="4F4DD23F" w14:textId="77777777" w:rsidR="008A7790" w:rsidRPr="008A7790" w:rsidRDefault="008A7790" w:rsidP="005067EF">
      <w:pPr>
        <w:pStyle w:val="ListParagraph"/>
        <w:spacing w:after="0"/>
        <w:ind w:left="0"/>
        <w:jc w:val="both"/>
        <w:rPr>
          <w:rFonts w:asciiTheme="minorHAnsi" w:hAnsiTheme="minorHAnsi" w:cstheme="minorHAnsi"/>
        </w:rPr>
      </w:pPr>
    </w:p>
    <w:p w14:paraId="278C934E" w14:textId="1C6B8CD9" w:rsidR="008A7790" w:rsidRPr="00C216E2" w:rsidRDefault="006F641E" w:rsidP="00C216E2">
      <w:pPr>
        <w:pStyle w:val="BodyText1"/>
      </w:pPr>
      <w:r w:rsidRPr="00370872">
        <w:t>‘</w:t>
      </w:r>
      <w:r w:rsidR="008A7790" w:rsidRPr="00370872">
        <w:t>Cover Type</w:t>
      </w:r>
      <w:r w:rsidRPr="00370872">
        <w:t>’</w:t>
      </w:r>
      <w:r w:rsidR="008A7790" w:rsidRPr="00370872">
        <w:t xml:space="preserve"> refers to the type of cover provided under a Policy Contract. The following Cover Types are defined:</w:t>
      </w:r>
    </w:p>
    <w:p w14:paraId="56FBD959" w14:textId="4A0508DC" w:rsidR="008A7790" w:rsidRPr="00370872" w:rsidRDefault="003F22DE" w:rsidP="00370872">
      <w:pPr>
        <w:pStyle w:val="BodyText2"/>
        <w:jc w:val="both"/>
      </w:pPr>
      <w:r>
        <w:t>‘</w:t>
      </w:r>
      <w:r w:rsidR="008A7790" w:rsidRPr="00370872">
        <w:t>Death</w:t>
      </w:r>
      <w:r>
        <w:t>’</w:t>
      </w:r>
      <w:r w:rsidR="008A7790" w:rsidRPr="00370872">
        <w:t xml:space="preserve"> – cover that provides a lump sum payment in the event of the death of the insured life. This Cover Type can be with or without a Terminal Illness benefit. Where Terminal Illness is included, the death benefit can be paid before death occurs, provided certain predefined conditions are met. Death cover is relevant for both Individual and Group contracts.</w:t>
      </w:r>
    </w:p>
    <w:p w14:paraId="78CE98F9" w14:textId="7C160388" w:rsidR="008A7790" w:rsidRPr="00370872" w:rsidRDefault="008A7790" w:rsidP="00370872">
      <w:pPr>
        <w:pStyle w:val="BodyText2"/>
        <w:jc w:val="both"/>
      </w:pPr>
      <w:r w:rsidRPr="00370872">
        <w:t>Total and Permanent Disability (</w:t>
      </w:r>
      <w:r w:rsidR="003F22DE">
        <w:t>‘</w:t>
      </w:r>
      <w:r w:rsidRPr="00370872">
        <w:t>TPD</w:t>
      </w:r>
      <w:r w:rsidR="003F22DE">
        <w:t>’</w:t>
      </w:r>
      <w:r w:rsidRPr="00370872">
        <w:t>) – cover that provides a lump sum payment in the event of the insured life being considered totally and permanently disabled in accordance with the policy definition. TPD can be either a death acceleration benefit or standalone. TPD cover is relevant for both Individual and Group contracts.</w:t>
      </w:r>
    </w:p>
    <w:p w14:paraId="3A61C83F" w14:textId="2D925B58" w:rsidR="008A7790" w:rsidRPr="00370872" w:rsidRDefault="008A7790" w:rsidP="00370872">
      <w:pPr>
        <w:pStyle w:val="BodyText2"/>
        <w:jc w:val="both"/>
      </w:pPr>
      <w:r w:rsidRPr="00370872">
        <w:t>Disability Income Insurance (</w:t>
      </w:r>
      <w:r w:rsidR="003F22DE">
        <w:t>‘</w:t>
      </w:r>
      <w:r w:rsidRPr="00370872">
        <w:t>DII</w:t>
      </w:r>
      <w:r w:rsidR="003F22DE">
        <w:t>’</w:t>
      </w:r>
      <w:r w:rsidRPr="00370872">
        <w:t xml:space="preserve">) – cover that provides for a regular payment for a maximum defined benefit period after a defined waiting period, in the event of the insured life being considered (totally or partially) disabled in accordance with the policy definitions. DII is relevant for both Individual and Group contracts and is commonly referred to as Income Protection (IP) and Group Salary Continuance (GSC) respectively. There are also older versions of this cover known as </w:t>
      </w:r>
      <w:r w:rsidR="003F22DE">
        <w:t>T</w:t>
      </w:r>
      <w:r w:rsidRPr="00370872">
        <w:t xml:space="preserve">otal </w:t>
      </w:r>
      <w:r w:rsidR="003F22DE">
        <w:t>T</w:t>
      </w:r>
      <w:r w:rsidRPr="00370872">
        <w:t xml:space="preserve">emporary </w:t>
      </w:r>
      <w:r w:rsidR="003F22DE">
        <w:t>D</w:t>
      </w:r>
      <w:r w:rsidRPr="00370872">
        <w:t>isablement</w:t>
      </w:r>
      <w:r w:rsidR="003F22DE">
        <w:t xml:space="preserve"> (TTD</w:t>
      </w:r>
      <w:r w:rsidRPr="00370872">
        <w:t>)</w:t>
      </w:r>
      <w:r w:rsidR="003F22DE">
        <w:t>,</w:t>
      </w:r>
      <w:r w:rsidRPr="00370872">
        <w:t xml:space="preserve"> which should also be included in this group.</w:t>
      </w:r>
    </w:p>
    <w:p w14:paraId="7F89484D" w14:textId="3D32C444" w:rsidR="008A7790" w:rsidRPr="00370872" w:rsidRDefault="003F22DE" w:rsidP="00370872">
      <w:pPr>
        <w:pStyle w:val="BodyText2"/>
        <w:jc w:val="both"/>
      </w:pPr>
      <w:r>
        <w:t>‘</w:t>
      </w:r>
      <w:r w:rsidR="008A7790" w:rsidRPr="00370872">
        <w:t>Trauma</w:t>
      </w:r>
      <w:r>
        <w:t>’</w:t>
      </w:r>
      <w:r w:rsidR="008A7790" w:rsidRPr="00370872">
        <w:t xml:space="preserve"> – cover that provides a lump sum payment in the event of the occurrence of a predefined illness or trauma</w:t>
      </w:r>
      <w:r w:rsidR="00EA732D">
        <w:t>tic</w:t>
      </w:r>
      <w:r w:rsidR="008A7790" w:rsidRPr="00370872">
        <w:t xml:space="preserve"> event. Trauma can also be either an acceleration of the death/TPD benefit or standalone. Most trauma contracts also include partial payments for less severe conditions</w:t>
      </w:r>
      <w:r w:rsidR="00075DC8">
        <w:t xml:space="preserve">, with continuation of </w:t>
      </w:r>
      <w:r w:rsidR="008A7790" w:rsidRPr="00370872">
        <w:t xml:space="preserve">the remaining cover. Trauma cover exists mainly under Individual Insurance, but there are some older </w:t>
      </w:r>
      <w:r w:rsidR="00D87EF1">
        <w:t>G</w:t>
      </w:r>
      <w:r w:rsidR="008A7790" w:rsidRPr="00370872">
        <w:t xml:space="preserve">roup </w:t>
      </w:r>
      <w:r w:rsidR="00D87EF1">
        <w:t>I</w:t>
      </w:r>
      <w:r w:rsidR="008A7790" w:rsidRPr="00370872">
        <w:t>nsurance products where it is included. Trauma is sometimes referred to as Critical Illness insurance.</w:t>
      </w:r>
    </w:p>
    <w:p w14:paraId="4B7CA4C1" w14:textId="2760994C" w:rsidR="008A7790" w:rsidRPr="00370872" w:rsidRDefault="006F641E" w:rsidP="00370872">
      <w:pPr>
        <w:pStyle w:val="BodyText1"/>
      </w:pPr>
      <w:r w:rsidRPr="00370872">
        <w:t>‘</w:t>
      </w:r>
      <w:r w:rsidR="008A7790" w:rsidRPr="00370872">
        <w:t>Product Type</w:t>
      </w:r>
      <w:r w:rsidRPr="00370872">
        <w:t>’</w:t>
      </w:r>
      <w:r w:rsidR="008A7790" w:rsidRPr="00370872">
        <w:t xml:space="preserve"> refers to the type of product or rider benefit that provides any of the following Cover Types:</w:t>
      </w:r>
    </w:p>
    <w:p w14:paraId="51FFDDA6" w14:textId="2D90EC20" w:rsidR="008A7790" w:rsidRPr="00370872" w:rsidRDefault="008A7790" w:rsidP="00370872">
      <w:pPr>
        <w:pStyle w:val="BodyText2"/>
        <w:jc w:val="both"/>
      </w:pPr>
      <w:r w:rsidRPr="00370872">
        <w:t xml:space="preserve">Consumer Credit Insurance (CCI) – Insurance providing for a lump sum payment of the insured’s outstanding loan or credit card balance (in part or in full) or regular payments limited to the minimum repayments for a period, payable in the event of one or more predefined events occurring. CCI products included should be those written under a Life Insurance </w:t>
      </w:r>
      <w:r w:rsidRPr="00370872">
        <w:lastRenderedPageBreak/>
        <w:t>licen</w:t>
      </w:r>
      <w:r w:rsidR="004F77F7">
        <w:t>c</w:t>
      </w:r>
      <w:r w:rsidRPr="00370872">
        <w:t>e. This should include products that may be of a General Insurance nature, but where the insurer has been authorised by APRA to write it on a Life Insurance licen</w:t>
      </w:r>
      <w:r w:rsidR="008B4FEC">
        <w:t>c</w:t>
      </w:r>
      <w:r w:rsidRPr="00370872">
        <w:t>e under section 12A of the Life Act.</w:t>
      </w:r>
    </w:p>
    <w:p w14:paraId="3DE3436E" w14:textId="53FA42C4" w:rsidR="008A7790" w:rsidRPr="00370872" w:rsidRDefault="00742475" w:rsidP="00370872">
      <w:pPr>
        <w:pStyle w:val="BodyText2"/>
        <w:numPr>
          <w:ilvl w:val="0"/>
          <w:numId w:val="0"/>
        </w:numPr>
        <w:ind w:left="1134"/>
        <w:jc w:val="both"/>
      </w:pPr>
      <w:r>
        <w:t xml:space="preserve">Where an insurer </w:t>
      </w:r>
      <w:r w:rsidR="008A7790" w:rsidRPr="00370872">
        <w:t>also offers CCI products written on a General Insurance (GI) licen</w:t>
      </w:r>
      <w:r w:rsidR="004F77F7">
        <w:t>ce</w:t>
      </w:r>
      <w:r w:rsidR="008A7790" w:rsidRPr="00370872">
        <w:t>, either its own licen</w:t>
      </w:r>
      <w:r w:rsidR="008B4FEC">
        <w:t>c</w:t>
      </w:r>
      <w:r w:rsidR="008A7790" w:rsidRPr="00370872">
        <w:t>e or that of another entity, the detail of these products (including statistics, claims and disputes) should be excluded.</w:t>
      </w:r>
    </w:p>
    <w:p w14:paraId="2D189D7B" w14:textId="77777777" w:rsidR="008A7790" w:rsidRPr="00370872" w:rsidRDefault="008A7790" w:rsidP="00370872">
      <w:pPr>
        <w:pStyle w:val="BodyText2"/>
        <w:jc w:val="both"/>
      </w:pPr>
      <w:r w:rsidRPr="00370872">
        <w:t>Funeral Insurance – Insurance for paying the expenses of, or incidental to, the funeral, burial or cremation of the person covered under the Policy Contract.</w:t>
      </w:r>
    </w:p>
    <w:p w14:paraId="5036C130" w14:textId="77777777" w:rsidR="008A7790" w:rsidRPr="00370872" w:rsidRDefault="008A7790" w:rsidP="00370872">
      <w:pPr>
        <w:pStyle w:val="BodyText2"/>
        <w:jc w:val="both"/>
      </w:pPr>
      <w:r w:rsidRPr="00370872">
        <w:t>Accident Insurance – Insurance providing for the payment of a lump sum in the event of accidental death or injury of the person covered under the Policy Contract.</w:t>
      </w:r>
    </w:p>
    <w:p w14:paraId="5441FD85" w14:textId="6E49D71D" w:rsidR="008A7790" w:rsidRPr="00370872" w:rsidRDefault="006F641E" w:rsidP="00370872">
      <w:pPr>
        <w:pStyle w:val="BodyText1"/>
      </w:pPr>
      <w:r w:rsidRPr="00370872">
        <w:t>‘</w:t>
      </w:r>
      <w:r w:rsidR="008A7790" w:rsidRPr="00370872">
        <w:t>Sub-categories</w:t>
      </w:r>
      <w:r w:rsidRPr="00370872">
        <w:t>’</w:t>
      </w:r>
      <w:r w:rsidR="008A7790" w:rsidRPr="00370872">
        <w:t xml:space="preserve"> of Product and Cover Types are defined for selected products as follows:</w:t>
      </w:r>
    </w:p>
    <w:p w14:paraId="78E1DF11" w14:textId="4F580EFA" w:rsidR="008A7790" w:rsidRPr="00370872" w:rsidRDefault="008A7790" w:rsidP="00370872">
      <w:pPr>
        <w:pStyle w:val="BodyText2"/>
        <w:jc w:val="both"/>
      </w:pPr>
      <w:r w:rsidRPr="00370872">
        <w:t xml:space="preserve">Death cover – distinction is made between the following </w:t>
      </w:r>
      <w:r w:rsidR="002E4A0A">
        <w:t xml:space="preserve">main </w:t>
      </w:r>
      <w:r w:rsidRPr="00370872">
        <w:t>sub-categories:</w:t>
      </w:r>
    </w:p>
    <w:p w14:paraId="4A4807B4" w14:textId="4145415D" w:rsidR="008A7790" w:rsidRPr="00370872" w:rsidRDefault="008A7790" w:rsidP="00370872">
      <w:pPr>
        <w:pStyle w:val="BodyText3"/>
        <w:jc w:val="both"/>
      </w:pPr>
      <w:r w:rsidRPr="00370872">
        <w:t xml:space="preserve">Death – where benefits are payable upon the death of the </w:t>
      </w:r>
      <w:r w:rsidR="00E712A0">
        <w:t>L</w:t>
      </w:r>
      <w:r w:rsidRPr="00370872">
        <w:t xml:space="preserve">ife </w:t>
      </w:r>
      <w:r w:rsidR="00E712A0">
        <w:t>I</w:t>
      </w:r>
      <w:r w:rsidRPr="00370872">
        <w:t>nsured.</w:t>
      </w:r>
    </w:p>
    <w:p w14:paraId="1BAEA290" w14:textId="46CE1D35" w:rsidR="008A7790" w:rsidRPr="00370872" w:rsidRDefault="008A7790" w:rsidP="00370872">
      <w:pPr>
        <w:pStyle w:val="BodyText3"/>
        <w:jc w:val="both"/>
      </w:pPr>
      <w:r w:rsidRPr="00370872">
        <w:t xml:space="preserve">Terminal illness – where death benefits can be accelerated upon the diagnosis of the </w:t>
      </w:r>
      <w:r w:rsidR="00E712A0">
        <w:t>L</w:t>
      </w:r>
      <w:r w:rsidRPr="00370872">
        <w:t xml:space="preserve">ife </w:t>
      </w:r>
      <w:r w:rsidR="00E712A0">
        <w:t>I</w:t>
      </w:r>
      <w:r w:rsidRPr="00370872">
        <w:t>nsured with a terminal illness.</w:t>
      </w:r>
    </w:p>
    <w:p w14:paraId="18248E6C" w14:textId="77777777" w:rsidR="008A7790" w:rsidRPr="00370872" w:rsidRDefault="008A7790" w:rsidP="00370872">
      <w:pPr>
        <w:pStyle w:val="BodyText2"/>
        <w:jc w:val="both"/>
      </w:pPr>
      <w:r w:rsidRPr="00370872">
        <w:t>TPD cover – distinction is made between the following main sub-categories of disability definitions:</w:t>
      </w:r>
    </w:p>
    <w:p w14:paraId="25EBDF8D" w14:textId="2B379E6F" w:rsidR="008A7790" w:rsidRPr="00370872" w:rsidRDefault="008A7790" w:rsidP="00370872">
      <w:pPr>
        <w:pStyle w:val="BodyText3"/>
        <w:jc w:val="both"/>
      </w:pPr>
      <w:r w:rsidRPr="00370872">
        <w:t xml:space="preserve">Any occupation disability definition – where the </w:t>
      </w:r>
      <w:r w:rsidR="00E712A0">
        <w:t>L</w:t>
      </w:r>
      <w:r w:rsidRPr="00370872">
        <w:t xml:space="preserve">ife </w:t>
      </w:r>
      <w:r w:rsidR="00E712A0">
        <w:t>I</w:t>
      </w:r>
      <w:r w:rsidRPr="00370872">
        <w:t xml:space="preserve">nsured is considered unable to ever again work in any occupation for which </w:t>
      </w:r>
      <w:r w:rsidR="00D72B90">
        <w:t xml:space="preserve">they are </w:t>
      </w:r>
      <w:r w:rsidRPr="00370872">
        <w:t>reasonably suited by education, training or experience.</w:t>
      </w:r>
    </w:p>
    <w:p w14:paraId="4C08A2C9" w14:textId="4B9C5192" w:rsidR="008A7790" w:rsidRPr="00370872" w:rsidRDefault="008A7790" w:rsidP="00370872">
      <w:pPr>
        <w:pStyle w:val="BodyText3"/>
        <w:jc w:val="both"/>
      </w:pPr>
      <w:r w:rsidRPr="00370872">
        <w:t xml:space="preserve">Own occupation disability definition – where the </w:t>
      </w:r>
      <w:r w:rsidR="00E712A0">
        <w:t>L</w:t>
      </w:r>
      <w:r w:rsidRPr="00370872">
        <w:t xml:space="preserve">ife </w:t>
      </w:r>
      <w:r w:rsidR="00E712A0">
        <w:t>I</w:t>
      </w:r>
      <w:r w:rsidRPr="00370872">
        <w:t xml:space="preserve">nsured is considered unable to ever again work in the occupation </w:t>
      </w:r>
      <w:r w:rsidR="00D72B90">
        <w:t xml:space="preserve">they were </w:t>
      </w:r>
      <w:r w:rsidRPr="00370872">
        <w:t>working in prior to the disability.</w:t>
      </w:r>
    </w:p>
    <w:p w14:paraId="4D3CD999" w14:textId="77777777" w:rsidR="008A7790" w:rsidRPr="00370872" w:rsidRDefault="008A7790" w:rsidP="00370872">
      <w:pPr>
        <w:pStyle w:val="BodyText3"/>
        <w:jc w:val="both"/>
      </w:pPr>
      <w:r w:rsidRPr="00370872">
        <w:t>Other disability definitions.</w:t>
      </w:r>
    </w:p>
    <w:p w14:paraId="40E949A8" w14:textId="4223DDE3" w:rsidR="008A7790" w:rsidRPr="00370872" w:rsidRDefault="008A7790" w:rsidP="00370872">
      <w:pPr>
        <w:pStyle w:val="BodyText2"/>
        <w:jc w:val="both"/>
      </w:pPr>
      <w:r w:rsidRPr="00370872">
        <w:t xml:space="preserve">DII cover – distinction is made between the following </w:t>
      </w:r>
      <w:r w:rsidR="002E4A0A">
        <w:t xml:space="preserve">main </w:t>
      </w:r>
      <w:r w:rsidRPr="00370872">
        <w:t>sub-categories:</w:t>
      </w:r>
    </w:p>
    <w:p w14:paraId="45A13F4E" w14:textId="55D39EB8" w:rsidR="008A7790" w:rsidRPr="00370872" w:rsidRDefault="008A7790" w:rsidP="00370872">
      <w:pPr>
        <w:pStyle w:val="BodyText3"/>
        <w:jc w:val="both"/>
      </w:pPr>
      <w:r w:rsidRPr="00370872">
        <w:t xml:space="preserve">Personal – where the </w:t>
      </w:r>
      <w:r w:rsidR="00E712A0">
        <w:t>L</w:t>
      </w:r>
      <w:r w:rsidRPr="00370872">
        <w:t xml:space="preserve">ife </w:t>
      </w:r>
      <w:r w:rsidR="00E712A0">
        <w:t>I</w:t>
      </w:r>
      <w:r w:rsidRPr="00370872">
        <w:t xml:space="preserve">nsured is reimbursed for a proportion of </w:t>
      </w:r>
      <w:r w:rsidR="00717B15">
        <w:t>their</w:t>
      </w:r>
      <w:r w:rsidRPr="00370872">
        <w:t xml:space="preserve"> regular income, as defined in the underlying Policy Contract.</w:t>
      </w:r>
      <w:r w:rsidR="007561FE" w:rsidRPr="00370872">
        <w:t xml:space="preserve"> </w:t>
      </w:r>
      <w:r w:rsidR="005B1A16">
        <w:t>I</w:t>
      </w:r>
      <w:r w:rsidR="005B1A16" w:rsidRPr="00370872">
        <w:t xml:space="preserve">nvoluntary </w:t>
      </w:r>
      <w:r w:rsidR="007561FE" w:rsidRPr="00370872">
        <w:t xml:space="preserve">unemployment </w:t>
      </w:r>
      <w:r w:rsidR="00927F64" w:rsidRPr="00370872">
        <w:t xml:space="preserve">insurance </w:t>
      </w:r>
      <w:r w:rsidR="007561FE" w:rsidRPr="00370872">
        <w:t>issued under a life insurance licen</w:t>
      </w:r>
      <w:r w:rsidR="008B4FEC">
        <w:t>c</w:t>
      </w:r>
      <w:r w:rsidR="007561FE" w:rsidRPr="00370872">
        <w:t xml:space="preserve">e </w:t>
      </w:r>
      <w:r w:rsidR="005B1A16">
        <w:t xml:space="preserve">should be included </w:t>
      </w:r>
      <w:r w:rsidR="007561FE" w:rsidRPr="00370872">
        <w:t>in this category.</w:t>
      </w:r>
    </w:p>
    <w:p w14:paraId="4F916947" w14:textId="13DEAA47" w:rsidR="008A7790" w:rsidRPr="00370872" w:rsidRDefault="008A7790" w:rsidP="00370872">
      <w:pPr>
        <w:pStyle w:val="BodyText3"/>
        <w:jc w:val="both"/>
      </w:pPr>
      <w:r w:rsidRPr="00370872">
        <w:t xml:space="preserve">Business Expense – where the </w:t>
      </w:r>
      <w:r w:rsidR="00E712A0">
        <w:t>L</w:t>
      </w:r>
      <w:r w:rsidRPr="00370872">
        <w:t xml:space="preserve">ife </w:t>
      </w:r>
      <w:r w:rsidR="00E712A0">
        <w:t>I</w:t>
      </w:r>
      <w:r w:rsidRPr="00370872">
        <w:t>nsured is reimbursed for certain regular business expense including rent, utilities, lease costs or depreciation, as defined in the underlying Policy Contract.</w:t>
      </w:r>
    </w:p>
    <w:p w14:paraId="1B16E513" w14:textId="24F13415" w:rsidR="008A7790" w:rsidRPr="00370872" w:rsidRDefault="008A7790" w:rsidP="00370872">
      <w:pPr>
        <w:pStyle w:val="BodyText2"/>
        <w:jc w:val="both"/>
      </w:pPr>
      <w:r w:rsidRPr="00370872">
        <w:lastRenderedPageBreak/>
        <w:t xml:space="preserve">CCI </w:t>
      </w:r>
      <w:r w:rsidR="009609E8" w:rsidRPr="00370872">
        <w:t xml:space="preserve">insurance by </w:t>
      </w:r>
      <w:r w:rsidR="002C67AE">
        <w:t>C</w:t>
      </w:r>
      <w:r w:rsidR="009609E8" w:rsidRPr="00370872">
        <w:t xml:space="preserve">over </w:t>
      </w:r>
      <w:r w:rsidR="002C67AE">
        <w:t>T</w:t>
      </w:r>
      <w:r w:rsidR="009609E8" w:rsidRPr="00370872">
        <w:t>ype</w:t>
      </w:r>
      <w:r w:rsidRPr="00370872">
        <w:t xml:space="preserve"> – distinction is made between the following main sub-categories:</w:t>
      </w:r>
    </w:p>
    <w:p w14:paraId="4A458DDA" w14:textId="044A1997" w:rsidR="008A7790" w:rsidRPr="00370872" w:rsidRDefault="008A7790" w:rsidP="00370872">
      <w:pPr>
        <w:pStyle w:val="BodyText3"/>
        <w:jc w:val="both"/>
      </w:pPr>
      <w:r w:rsidRPr="00370872">
        <w:t>Death – where a benefit is payable on the death</w:t>
      </w:r>
      <w:r w:rsidR="00C242C0" w:rsidRPr="00370872">
        <w:t xml:space="preserve"> or accidental death</w:t>
      </w:r>
      <w:r w:rsidRPr="00370872">
        <w:t xml:space="preserve"> of the </w:t>
      </w:r>
      <w:r w:rsidR="00E712A0">
        <w:t>L</w:t>
      </w:r>
      <w:r w:rsidRPr="00370872">
        <w:t xml:space="preserve">ife </w:t>
      </w:r>
      <w:r w:rsidR="00E712A0">
        <w:t>I</w:t>
      </w:r>
      <w:r w:rsidRPr="00370872">
        <w:t>nsured.</w:t>
      </w:r>
    </w:p>
    <w:p w14:paraId="1988AB41" w14:textId="7039A152" w:rsidR="008A7790" w:rsidRPr="00370872" w:rsidRDefault="008A7790" w:rsidP="00370872">
      <w:pPr>
        <w:pStyle w:val="BodyText3"/>
        <w:jc w:val="both"/>
      </w:pPr>
      <w:r w:rsidRPr="00370872">
        <w:t xml:space="preserve">Incapacity – where a benefit is payable when the </w:t>
      </w:r>
      <w:r w:rsidR="00E712A0">
        <w:t>L</w:t>
      </w:r>
      <w:r w:rsidRPr="00370872">
        <w:t xml:space="preserve">ife </w:t>
      </w:r>
      <w:r w:rsidR="00E712A0">
        <w:t>I</w:t>
      </w:r>
      <w:r w:rsidRPr="00370872">
        <w:t xml:space="preserve">nsured is deemed disabled or suffers an injury, </w:t>
      </w:r>
      <w:r w:rsidR="00C242C0" w:rsidRPr="00370872">
        <w:t xml:space="preserve">a pre-defined illness </w:t>
      </w:r>
      <w:r w:rsidRPr="00370872">
        <w:t xml:space="preserve">or </w:t>
      </w:r>
      <w:r w:rsidR="00C242C0" w:rsidRPr="00370872">
        <w:t>trauma</w:t>
      </w:r>
      <w:r w:rsidR="00EA732D">
        <w:t>tic</w:t>
      </w:r>
      <w:r w:rsidR="00C242C0" w:rsidRPr="00370872">
        <w:t xml:space="preserve"> </w:t>
      </w:r>
      <w:r w:rsidRPr="00370872">
        <w:t>event, as defined in the underlying Policy Contract.</w:t>
      </w:r>
    </w:p>
    <w:p w14:paraId="500BC2B2" w14:textId="5E3FFC1F" w:rsidR="008A7790" w:rsidRPr="00370872" w:rsidRDefault="008A7790" w:rsidP="00370872">
      <w:pPr>
        <w:pStyle w:val="BodyText3"/>
        <w:jc w:val="both"/>
      </w:pPr>
      <w:r w:rsidRPr="00370872">
        <w:t xml:space="preserve">Involuntary redundancy – where a benefit is payable upon the </w:t>
      </w:r>
      <w:r w:rsidR="00E712A0">
        <w:t>L</w:t>
      </w:r>
      <w:r w:rsidRPr="00370872">
        <w:t xml:space="preserve">ife </w:t>
      </w:r>
      <w:r w:rsidR="00E712A0">
        <w:t>I</w:t>
      </w:r>
      <w:r w:rsidRPr="00370872">
        <w:t xml:space="preserve">nsured being made redundant at </w:t>
      </w:r>
      <w:r w:rsidR="00717B15">
        <w:t>their</w:t>
      </w:r>
      <w:r w:rsidRPr="00370872">
        <w:t xml:space="preserve"> place of work, in accordance with the provisions of the underlying Policy Contract.</w:t>
      </w:r>
    </w:p>
    <w:p w14:paraId="4E2E1EF9" w14:textId="55C21F0D" w:rsidR="009609E8" w:rsidRPr="00370872" w:rsidRDefault="009609E8" w:rsidP="00370872">
      <w:pPr>
        <w:pStyle w:val="BodyText2"/>
        <w:jc w:val="both"/>
      </w:pPr>
      <w:r w:rsidRPr="00370872">
        <w:t xml:space="preserve">CCI insurance by </w:t>
      </w:r>
      <w:r w:rsidR="004F6E4F" w:rsidRPr="00370872">
        <w:t>credit</w:t>
      </w:r>
      <w:r w:rsidRPr="00370872">
        <w:t xml:space="preserve"> type – distinction is made between the following main sub-categories:</w:t>
      </w:r>
    </w:p>
    <w:p w14:paraId="4213A0D0" w14:textId="77777777" w:rsidR="009609E8" w:rsidRPr="00370872" w:rsidRDefault="009609E8" w:rsidP="00370872">
      <w:pPr>
        <w:pStyle w:val="BodyText3"/>
        <w:jc w:val="both"/>
      </w:pPr>
      <w:r w:rsidRPr="00370872">
        <w:t>Loans – where the contract is to cover for the outstanding loan repayments, as defined in the underlying Policy Contract.</w:t>
      </w:r>
    </w:p>
    <w:p w14:paraId="3FA04644" w14:textId="28DA9BE0" w:rsidR="009609E8" w:rsidRPr="00370872" w:rsidRDefault="009609E8" w:rsidP="00370872">
      <w:pPr>
        <w:pStyle w:val="BodyText3"/>
        <w:jc w:val="both"/>
      </w:pPr>
      <w:r w:rsidRPr="00370872">
        <w:t>Credit Card – where the contract is to cover for the outstanding credit card repayments, as defined in the underlying Policy Contract.</w:t>
      </w:r>
    </w:p>
    <w:p w14:paraId="5F0B8EFB" w14:textId="6B2BA10F" w:rsidR="009609E8" w:rsidRPr="00370872" w:rsidRDefault="009609E8" w:rsidP="00370872">
      <w:pPr>
        <w:pStyle w:val="BodyText2"/>
        <w:jc w:val="both"/>
      </w:pPr>
      <w:r w:rsidRPr="00370872">
        <w:t xml:space="preserve">CCI insurance by </w:t>
      </w:r>
      <w:r w:rsidR="004F6E4F" w:rsidRPr="00370872">
        <w:t>benefit</w:t>
      </w:r>
      <w:r w:rsidRPr="00370872">
        <w:t xml:space="preserve"> frequency – distinction is made between the following main sub-categories:</w:t>
      </w:r>
    </w:p>
    <w:p w14:paraId="13B08AF6" w14:textId="77777777" w:rsidR="009609E8" w:rsidRPr="00370872" w:rsidRDefault="009609E8" w:rsidP="00370872">
      <w:pPr>
        <w:pStyle w:val="BodyText3"/>
        <w:jc w:val="both"/>
      </w:pPr>
      <w:r w:rsidRPr="00370872">
        <w:t>Lump Sum – where a single amount is payable when the policy conditions are met.</w:t>
      </w:r>
    </w:p>
    <w:p w14:paraId="1AF2A44A" w14:textId="77777777" w:rsidR="009609E8" w:rsidRPr="00370872" w:rsidRDefault="009609E8" w:rsidP="00370872">
      <w:pPr>
        <w:pStyle w:val="BodyText3"/>
        <w:jc w:val="both"/>
      </w:pPr>
      <w:r w:rsidRPr="00370872">
        <w:t>Monthly Benefit – where a regular monthly benefit is payable when the policy conditions are met.</w:t>
      </w:r>
    </w:p>
    <w:p w14:paraId="1F3EFF39" w14:textId="77777777" w:rsidR="008A7790" w:rsidRPr="00370872" w:rsidRDefault="008A7790" w:rsidP="00370872">
      <w:pPr>
        <w:pStyle w:val="BodyText2"/>
        <w:jc w:val="both"/>
      </w:pPr>
      <w:r w:rsidRPr="00370872">
        <w:t>Accident insurance cover – distinction is made between the following main sub-categories:</w:t>
      </w:r>
    </w:p>
    <w:p w14:paraId="66A70380" w14:textId="6BB58DF8" w:rsidR="008A7790" w:rsidRPr="00370872" w:rsidRDefault="008A7790" w:rsidP="00370872">
      <w:pPr>
        <w:pStyle w:val="BodyText3"/>
        <w:jc w:val="both"/>
      </w:pPr>
      <w:r w:rsidRPr="00370872">
        <w:t xml:space="preserve">Death – where a benefit is paid on the death of the </w:t>
      </w:r>
      <w:r w:rsidR="00E712A0">
        <w:t>L</w:t>
      </w:r>
      <w:r w:rsidRPr="00370872">
        <w:t xml:space="preserve">ife </w:t>
      </w:r>
      <w:r w:rsidR="00E712A0">
        <w:t>I</w:t>
      </w:r>
      <w:r w:rsidRPr="00370872">
        <w:t>nsured as a result of an accident, as defined in the underlying Policy Contract.</w:t>
      </w:r>
    </w:p>
    <w:p w14:paraId="5D363C64" w14:textId="2E30678F" w:rsidR="008A7790" w:rsidRPr="00370872" w:rsidRDefault="008A7790" w:rsidP="00370872">
      <w:pPr>
        <w:pStyle w:val="BodyText3"/>
        <w:jc w:val="both"/>
      </w:pPr>
      <w:r w:rsidRPr="00370872">
        <w:t xml:space="preserve">Injury – where a benefit is payable in the event of the </w:t>
      </w:r>
      <w:r w:rsidR="00E712A0">
        <w:t>L</w:t>
      </w:r>
      <w:r w:rsidRPr="00370872">
        <w:t xml:space="preserve">ife </w:t>
      </w:r>
      <w:r w:rsidR="00E712A0">
        <w:t>I</w:t>
      </w:r>
      <w:r w:rsidRPr="00370872">
        <w:t>nsured suffering an injury as a result of an accident, as defined in the underlying Policy Contract.</w:t>
      </w:r>
    </w:p>
    <w:p w14:paraId="18AEE56D" w14:textId="519DC699" w:rsidR="008A7790" w:rsidRPr="00370872" w:rsidRDefault="008A7790" w:rsidP="00370872">
      <w:pPr>
        <w:pStyle w:val="BodyText1"/>
      </w:pPr>
      <w:r w:rsidRPr="00370872">
        <w:t xml:space="preserve">The </w:t>
      </w:r>
      <w:r w:rsidR="00C17199">
        <w:t xml:space="preserve">reporting form </w:t>
      </w:r>
      <w:r w:rsidRPr="00370872">
        <w:t xml:space="preserve">does not </w:t>
      </w:r>
      <w:r w:rsidR="00C17199">
        <w:t xml:space="preserve">distinguish </w:t>
      </w:r>
      <w:r w:rsidRPr="00370872">
        <w:t xml:space="preserve">between products and </w:t>
      </w:r>
      <w:r w:rsidR="002C67AE">
        <w:t>C</w:t>
      </w:r>
      <w:r w:rsidRPr="00370872">
        <w:t>over</w:t>
      </w:r>
      <w:r w:rsidR="006F47A5">
        <w:t xml:space="preserve"> </w:t>
      </w:r>
      <w:r w:rsidR="002C67AE">
        <w:t>T</w:t>
      </w:r>
      <w:r w:rsidR="006F47A5">
        <w:t>ype</w:t>
      </w:r>
      <w:r w:rsidRPr="00370872">
        <w:t>s offered on a stand-alone or an accelerated cover basis.</w:t>
      </w:r>
    </w:p>
    <w:p w14:paraId="22AD560A" w14:textId="2A6BB23E" w:rsidR="008A7790" w:rsidRPr="00370872" w:rsidRDefault="006F641E" w:rsidP="00B9266A">
      <w:pPr>
        <w:pStyle w:val="BodyText1"/>
        <w:numPr>
          <w:ilvl w:val="0"/>
          <w:numId w:val="8"/>
        </w:numPr>
      </w:pPr>
      <w:r w:rsidRPr="00370872">
        <w:t>‘</w:t>
      </w:r>
      <w:r w:rsidR="008A7790" w:rsidRPr="00370872">
        <w:t>Annual Premium</w:t>
      </w:r>
      <w:r w:rsidRPr="00370872">
        <w:t>’</w:t>
      </w:r>
      <w:r w:rsidR="008A7790" w:rsidRPr="00370872">
        <w:t xml:space="preserve"> refers to the annualised premium payable in respect of the Policy Contract. Annual Premiums </w:t>
      </w:r>
      <w:r w:rsidR="006F47A5">
        <w:t xml:space="preserve">reported </w:t>
      </w:r>
      <w:r w:rsidR="008A7790" w:rsidRPr="00370872">
        <w:t>should be gross of reinsurance and commissions, and before profit share rebates (Group Insurance). Reported premiums should also be inclusive of stamp duty</w:t>
      </w:r>
      <w:r w:rsidR="007561FE" w:rsidRPr="00370872">
        <w:t>, policy fees, loadings and discounts</w:t>
      </w:r>
      <w:r w:rsidR="00A23A47">
        <w:t>. For single-</w:t>
      </w:r>
      <w:r w:rsidR="008A7790" w:rsidRPr="00370872">
        <w:t>premium business, the annual premium should be estimated by spreading the single premium over the contract term.</w:t>
      </w:r>
      <w:r w:rsidR="00E92820">
        <w:t xml:space="preserve"> </w:t>
      </w:r>
      <w:r w:rsidR="00061E5A">
        <w:t>P</w:t>
      </w:r>
      <w:r w:rsidR="00E92820">
        <w:t>olicy fees</w:t>
      </w:r>
      <w:r w:rsidR="00F63BC2">
        <w:t xml:space="preserve"> </w:t>
      </w:r>
      <w:r w:rsidR="00E92820" w:rsidRPr="00DC47CE">
        <w:t xml:space="preserve">should be </w:t>
      </w:r>
      <w:r w:rsidR="00E92820">
        <w:t xml:space="preserve">appropriately </w:t>
      </w:r>
      <w:r w:rsidR="00E92820" w:rsidRPr="00DC47CE">
        <w:t>apportioned between the relevant Cover/Product Types.</w:t>
      </w:r>
    </w:p>
    <w:p w14:paraId="673F9265" w14:textId="6CAA635E" w:rsidR="008A7790" w:rsidRPr="00370872" w:rsidRDefault="006F641E" w:rsidP="00B9266A">
      <w:pPr>
        <w:pStyle w:val="BodyText1"/>
        <w:numPr>
          <w:ilvl w:val="0"/>
          <w:numId w:val="8"/>
        </w:numPr>
      </w:pPr>
      <w:r w:rsidRPr="00370872">
        <w:lastRenderedPageBreak/>
        <w:t>‘</w:t>
      </w:r>
      <w:r w:rsidR="008A7790" w:rsidRPr="00370872">
        <w:t>Sum Insured</w:t>
      </w:r>
      <w:r w:rsidRPr="00370872">
        <w:t>’</w:t>
      </w:r>
      <w:r w:rsidR="008A7790" w:rsidRPr="00370872">
        <w:t xml:space="preserve"> refers to the contractual benefit payable when the insured event occurs. Insurers should report the full Sum Insured and not apply any reductions that may exist for severity-based Trauma and Accidental Injury benefits or for DII due to partial disability or a workers’ compensation offset. Where reductions to the </w:t>
      </w:r>
      <w:r w:rsidR="0016740D">
        <w:t>S</w:t>
      </w:r>
      <w:r w:rsidR="008A7790" w:rsidRPr="00370872">
        <w:t xml:space="preserve">um </w:t>
      </w:r>
      <w:r w:rsidR="0016740D">
        <w:t>I</w:t>
      </w:r>
      <w:r w:rsidR="008A7790" w:rsidRPr="00370872">
        <w:t xml:space="preserve">nsured are made consistent with the </w:t>
      </w:r>
      <w:r w:rsidR="00202C62">
        <w:t>P</w:t>
      </w:r>
      <w:r w:rsidR="008A7790" w:rsidRPr="00370872">
        <w:t xml:space="preserve">olicy </w:t>
      </w:r>
      <w:r w:rsidR="00202C62">
        <w:t>C</w:t>
      </w:r>
      <w:r w:rsidR="008A7790" w:rsidRPr="00370872">
        <w:t xml:space="preserve">ontract, this will be reflected in the Claim Amount Paid (defined in </w:t>
      </w:r>
      <w:r w:rsidR="006829EE">
        <w:t>paragraph 51</w:t>
      </w:r>
      <w:r w:rsidR="008A7790" w:rsidRPr="00370872">
        <w:t xml:space="preserve">). Sum Insured should be reported gross of reinsurance. Distinction is made between the following types of </w:t>
      </w:r>
      <w:r w:rsidR="0016740D">
        <w:t>S</w:t>
      </w:r>
      <w:r w:rsidR="008A7790" w:rsidRPr="00370872">
        <w:t xml:space="preserve">ums </w:t>
      </w:r>
      <w:r w:rsidR="0016740D">
        <w:t>I</w:t>
      </w:r>
      <w:r w:rsidR="008A7790" w:rsidRPr="00370872">
        <w:t>nsured:</w:t>
      </w:r>
    </w:p>
    <w:p w14:paraId="0B054E75" w14:textId="6C968C6F" w:rsidR="008A7790" w:rsidRPr="00242E41" w:rsidRDefault="008A7790" w:rsidP="00242E41">
      <w:pPr>
        <w:pStyle w:val="BodyText2"/>
        <w:jc w:val="both"/>
      </w:pPr>
      <w:r w:rsidRPr="00242E41">
        <w:t xml:space="preserve">Lump Sum: this is a single amount payable when the policy conditions are met. Sums </w:t>
      </w:r>
      <w:r w:rsidR="0016740D">
        <w:t>I</w:t>
      </w:r>
      <w:r w:rsidRPr="00242E41">
        <w:t>nsured in respect of Death, TPD and Trauma, as well as Funeral and Accident Insurance are normally of a lump sum nature. TPD benefits paid by instalments should be shown at their full face value. For Trauma contracts that include partial payments for less severe conditions</w:t>
      </w:r>
      <w:r w:rsidR="00CA0C4F">
        <w:t>,</w:t>
      </w:r>
      <w:r w:rsidRPr="00242E41">
        <w:t xml:space="preserve"> the Sum Insured is the full nominal Sum Insured and not the severity-based payment amount.</w:t>
      </w:r>
    </w:p>
    <w:p w14:paraId="38ACB975" w14:textId="77777777" w:rsidR="008A7790" w:rsidRPr="00242E41" w:rsidRDefault="008A7790" w:rsidP="00242E41">
      <w:pPr>
        <w:pStyle w:val="BodyText2"/>
        <w:jc w:val="both"/>
      </w:pPr>
      <w:r w:rsidRPr="00242E41">
        <w:t>Monthly Insured Benefit: for DII the Sum Insured is the regular monthly (or equivalent monthly) benefit that would be paid if the insured were disabled in accordance with the provisions of the Policy Contract.</w:t>
      </w:r>
    </w:p>
    <w:p w14:paraId="7F83836F" w14:textId="77777777" w:rsidR="008A7790" w:rsidRPr="00242E41" w:rsidRDefault="008A7790" w:rsidP="00242E41">
      <w:pPr>
        <w:pStyle w:val="BodyText2"/>
        <w:jc w:val="both"/>
      </w:pPr>
      <w:r w:rsidRPr="00242E41">
        <w:t>CCI benefits should be reported as follows:</w:t>
      </w:r>
    </w:p>
    <w:p w14:paraId="4F25F390" w14:textId="77777777" w:rsidR="008A7790" w:rsidRPr="00242E41" w:rsidRDefault="008A7790" w:rsidP="00242E41">
      <w:pPr>
        <w:pStyle w:val="BodyText3"/>
        <w:jc w:val="both"/>
      </w:pPr>
      <w:r w:rsidRPr="00242E41">
        <w:t>Lump sum that is fixed: The fixed benefit should be reported.</w:t>
      </w:r>
    </w:p>
    <w:p w14:paraId="0B26934E" w14:textId="77777777" w:rsidR="008A7790" w:rsidRPr="00242E41" w:rsidRDefault="008A7790" w:rsidP="00242E41">
      <w:pPr>
        <w:pStyle w:val="BodyText3"/>
        <w:jc w:val="both"/>
      </w:pPr>
      <w:r w:rsidRPr="00242E41">
        <w:t>Lump sum equal to the outstanding loan or credit card balance: The latest known balance should be reported.</w:t>
      </w:r>
    </w:p>
    <w:p w14:paraId="7D0E4243" w14:textId="7A73F249" w:rsidR="008A7790" w:rsidRPr="00242E41" w:rsidRDefault="008A7790" w:rsidP="00242E41">
      <w:pPr>
        <w:pStyle w:val="BodyText3"/>
        <w:jc w:val="both"/>
      </w:pPr>
      <w:r w:rsidRPr="00242E41">
        <w:t>Lump sum equal to a portion of the outstanding loan or credit card balance: The calculated benefit based on the latest known balance should be reported.</w:t>
      </w:r>
    </w:p>
    <w:p w14:paraId="527ADF28" w14:textId="6D9AA660" w:rsidR="008A7790" w:rsidRPr="00242E41" w:rsidRDefault="008A7790" w:rsidP="00242E41">
      <w:pPr>
        <w:pStyle w:val="BodyText3"/>
        <w:jc w:val="both"/>
      </w:pPr>
      <w:r w:rsidRPr="00242E41">
        <w:t>Monthly benefit equal to a loan instalment: Monthly benefits should be reported on a capitalised basis, i.e. the monthly benefit multiplied by the number of months that the benefit is expected to be paid.</w:t>
      </w:r>
      <w:r w:rsidR="007E7424">
        <w:t xml:space="preserve"> Additional detail in respect of monthly benefits should be provided in the SUPPLEMENT_CCI sheet of the reporting form.</w:t>
      </w:r>
    </w:p>
    <w:p w14:paraId="3660D078" w14:textId="77777777" w:rsidR="00242E41" w:rsidRDefault="006F641E" w:rsidP="00242E41">
      <w:pPr>
        <w:pStyle w:val="BodyText1"/>
      </w:pPr>
      <w:r w:rsidRPr="00370872">
        <w:t>‘</w:t>
      </w:r>
      <w:r w:rsidR="002439F9" w:rsidRPr="00370872">
        <w:t>New Business</w:t>
      </w:r>
      <w:r w:rsidRPr="00370872">
        <w:t>’</w:t>
      </w:r>
      <w:r w:rsidR="002439F9" w:rsidRPr="00370872">
        <w:t xml:space="preserve"> refers to a new Policy Contract, or a new Policy Benefit under an existing Policy Contract.</w:t>
      </w:r>
    </w:p>
    <w:p w14:paraId="79DAED5E" w14:textId="416377DD" w:rsidR="002439F9" w:rsidRPr="00242E41" w:rsidRDefault="00242E41" w:rsidP="004966B8">
      <w:pPr>
        <w:pStyle w:val="BodyText2"/>
        <w:jc w:val="both"/>
      </w:pPr>
      <w:r>
        <w:t xml:space="preserve">New Business </w:t>
      </w:r>
      <w:r w:rsidR="002439F9" w:rsidRPr="00242E41">
        <w:t>should include the following specific circumstances:</w:t>
      </w:r>
    </w:p>
    <w:p w14:paraId="17D37B4F" w14:textId="774F8163" w:rsidR="002439F9" w:rsidRPr="00242E41" w:rsidRDefault="002439F9" w:rsidP="00242E41">
      <w:pPr>
        <w:pStyle w:val="BodyText3"/>
        <w:jc w:val="both"/>
      </w:pPr>
      <w:r w:rsidRPr="00242E41">
        <w:t xml:space="preserve">Voluntary cover increases that resulted in new covers being created (typically subject to underwriting) or </w:t>
      </w:r>
      <w:r w:rsidR="00056F70">
        <w:t xml:space="preserve">the </w:t>
      </w:r>
      <w:r w:rsidRPr="00242E41">
        <w:t>exercise of embedded options (e.g. additional cover for the birth of a child);</w:t>
      </w:r>
    </w:p>
    <w:p w14:paraId="6F9017D6" w14:textId="14837F15" w:rsidR="004A011D" w:rsidRPr="00242E41" w:rsidRDefault="00641D59" w:rsidP="00242E41">
      <w:pPr>
        <w:pStyle w:val="BodyText3"/>
        <w:jc w:val="both"/>
      </w:pPr>
      <w:r w:rsidRPr="00242E41">
        <w:t xml:space="preserve">New </w:t>
      </w:r>
      <w:r w:rsidR="00202C62">
        <w:t>P</w:t>
      </w:r>
      <w:r w:rsidRPr="00242E41">
        <w:t xml:space="preserve">olicy </w:t>
      </w:r>
      <w:r w:rsidR="00202C62">
        <w:t>C</w:t>
      </w:r>
      <w:r w:rsidRPr="00242E41">
        <w:t xml:space="preserve">ontracts issued </w:t>
      </w:r>
      <w:r w:rsidR="00A64CAB" w:rsidRPr="00242E41">
        <w:t xml:space="preserve">that also </w:t>
      </w:r>
      <w:r w:rsidR="00AD0FA7" w:rsidRPr="00242E41">
        <w:t xml:space="preserve">had a claim </w:t>
      </w:r>
      <w:r w:rsidRPr="00242E41">
        <w:t xml:space="preserve">during the </w:t>
      </w:r>
      <w:r w:rsidR="00583949">
        <w:t>R</w:t>
      </w:r>
      <w:r w:rsidRPr="00242E41">
        <w:t xml:space="preserve">eporting </w:t>
      </w:r>
      <w:r w:rsidR="00583949">
        <w:t>P</w:t>
      </w:r>
      <w:r w:rsidRPr="00242E41">
        <w:t>eriod</w:t>
      </w:r>
      <w:r w:rsidR="004A011D" w:rsidRPr="00242E41">
        <w:t>;</w:t>
      </w:r>
    </w:p>
    <w:p w14:paraId="4787BE70" w14:textId="7BE40FC3" w:rsidR="00E22195" w:rsidRPr="00242E41" w:rsidRDefault="00E22195" w:rsidP="00242E41">
      <w:pPr>
        <w:pStyle w:val="BodyText3"/>
        <w:jc w:val="both"/>
      </w:pPr>
      <w:r w:rsidRPr="00242E41">
        <w:t>Policies issued and subsequently lapsed during the cooling off period, all within the Reporting Period;</w:t>
      </w:r>
      <w:r w:rsidR="00242E41">
        <w:t xml:space="preserve"> and</w:t>
      </w:r>
    </w:p>
    <w:p w14:paraId="56ABEC0C" w14:textId="24DBF3E0" w:rsidR="002439F9" w:rsidRPr="00242E41" w:rsidRDefault="002439F9" w:rsidP="00242E41">
      <w:pPr>
        <w:pStyle w:val="BodyText3"/>
        <w:jc w:val="both"/>
      </w:pPr>
      <w:r w:rsidRPr="00242E41">
        <w:lastRenderedPageBreak/>
        <w:t xml:space="preserve">New </w:t>
      </w:r>
      <w:r w:rsidR="00202C62">
        <w:t>P</w:t>
      </w:r>
      <w:r w:rsidRPr="00242E41">
        <w:t xml:space="preserve">olicy </w:t>
      </w:r>
      <w:r w:rsidR="00202C62">
        <w:t>C</w:t>
      </w:r>
      <w:r w:rsidRPr="00242E41">
        <w:t>ontracts created to replace cancelled policies. This only applies to instances that result in new covers</w:t>
      </w:r>
      <w:r w:rsidR="00242E41">
        <w:t>.</w:t>
      </w:r>
    </w:p>
    <w:p w14:paraId="2E53A162" w14:textId="30A1B201" w:rsidR="002439F9" w:rsidRPr="00242E41" w:rsidRDefault="00242E41" w:rsidP="004966B8">
      <w:pPr>
        <w:pStyle w:val="BodyText2"/>
        <w:jc w:val="both"/>
      </w:pPr>
      <w:r>
        <w:t xml:space="preserve">New Business </w:t>
      </w:r>
      <w:r w:rsidR="002439F9" w:rsidRPr="00242E41">
        <w:t>should exclude the following specific circumstances:</w:t>
      </w:r>
    </w:p>
    <w:p w14:paraId="479067FF" w14:textId="7E9A6CC5" w:rsidR="002439F9" w:rsidRPr="00242E41" w:rsidRDefault="002439F9" w:rsidP="00242E41">
      <w:pPr>
        <w:pStyle w:val="BodyText3"/>
        <w:jc w:val="both"/>
      </w:pPr>
      <w:r w:rsidRPr="00242E41">
        <w:t>Automated premium and/or Sum Insured increases on existing covers, such as age</w:t>
      </w:r>
      <w:r w:rsidR="00AE2B72">
        <w:t>-</w:t>
      </w:r>
      <w:r w:rsidRPr="00242E41">
        <w:t>related premium increases for a stepped premium product or automatic CPI increases;</w:t>
      </w:r>
      <w:r w:rsidR="00CA0C4F">
        <w:t xml:space="preserve"> and</w:t>
      </w:r>
    </w:p>
    <w:p w14:paraId="1D577EC1" w14:textId="054BC5F8" w:rsidR="002439F9" w:rsidRPr="00242E41" w:rsidRDefault="002439F9" w:rsidP="00242E41">
      <w:pPr>
        <w:pStyle w:val="BodyText3"/>
        <w:jc w:val="both"/>
      </w:pPr>
      <w:r w:rsidRPr="00242E41">
        <w:t>Reinstatement or cover buybacks</w:t>
      </w:r>
      <w:r w:rsidR="00CA0C4F">
        <w:t>.</w:t>
      </w:r>
    </w:p>
    <w:p w14:paraId="4EBBB3AD" w14:textId="7D028F9D" w:rsidR="002439F9" w:rsidRPr="009E5BB4" w:rsidRDefault="00457B3B" w:rsidP="009E5BB4">
      <w:pPr>
        <w:pStyle w:val="BodyText2"/>
        <w:jc w:val="both"/>
      </w:pPr>
      <w:r>
        <w:t>Paragraph</w:t>
      </w:r>
      <w:r w:rsidR="00E9700A">
        <w:t xml:space="preserve">s </w:t>
      </w:r>
      <w:r w:rsidR="00033B44">
        <w:t>22</w:t>
      </w:r>
      <w:r w:rsidR="00D23E3D">
        <w:t>(a) an</w:t>
      </w:r>
      <w:r w:rsidR="00CA0C4F">
        <w:t>d</w:t>
      </w:r>
      <w:r w:rsidR="00D23E3D">
        <w:t xml:space="preserve"> (b)</w:t>
      </w:r>
      <w:r w:rsidR="00D23E3D" w:rsidRPr="004966B8">
        <w:t xml:space="preserve"> </w:t>
      </w:r>
      <w:r w:rsidR="00056F70">
        <w:t xml:space="preserve">primarily </w:t>
      </w:r>
      <w:r w:rsidR="002439F9" w:rsidRPr="009E5BB4">
        <w:t>relate to Individual Insurance contracts. In respect of Group Insurance contracts, it is the commencement of a new Policy Contract that should be reported under New Business</w:t>
      </w:r>
      <w:r w:rsidR="00481E42">
        <w:t>,</w:t>
      </w:r>
      <w:r w:rsidR="002439F9" w:rsidRPr="009E5BB4">
        <w:t xml:space="preserve"> and not the impact of individuals joining the Group Insurance arrangement. Similarly, the effect of benefit changes at a member level should be excluded from New Business.</w:t>
      </w:r>
    </w:p>
    <w:p w14:paraId="2C8C1A93" w14:textId="64EF7733" w:rsidR="002439F9" w:rsidRPr="00370872" w:rsidRDefault="006F641E" w:rsidP="00370872">
      <w:pPr>
        <w:pStyle w:val="BodyText1"/>
      </w:pPr>
      <w:r w:rsidRPr="00370872">
        <w:t>‘</w:t>
      </w:r>
      <w:r w:rsidR="002439F9" w:rsidRPr="00370872">
        <w:t>Lapses</w:t>
      </w:r>
      <w:r w:rsidRPr="00370872">
        <w:t>’</w:t>
      </w:r>
      <w:r w:rsidR="002439F9" w:rsidRPr="00370872">
        <w:t xml:space="preserve"> refer to Policy Contracts (or underlying benefits) being discontinued.</w:t>
      </w:r>
    </w:p>
    <w:p w14:paraId="7171992E" w14:textId="77777777" w:rsidR="002439F9" w:rsidRPr="00242E41" w:rsidRDefault="002439F9" w:rsidP="004966B8">
      <w:pPr>
        <w:pStyle w:val="BodyText2"/>
        <w:jc w:val="both"/>
      </w:pPr>
      <w:r w:rsidRPr="00242E41">
        <w:t>Lapses should include the following specific circumstances:</w:t>
      </w:r>
    </w:p>
    <w:p w14:paraId="7818096A" w14:textId="77777777" w:rsidR="002439F9" w:rsidRPr="00242E41" w:rsidRDefault="002439F9" w:rsidP="00242E41">
      <w:pPr>
        <w:pStyle w:val="BodyText3"/>
        <w:jc w:val="both"/>
      </w:pPr>
      <w:r w:rsidRPr="00242E41">
        <w:t>Policies cancelled and replaced by a new Policy Contract;</w:t>
      </w:r>
    </w:p>
    <w:p w14:paraId="7B608958" w14:textId="77777777" w:rsidR="002439F9" w:rsidRPr="00242E41" w:rsidRDefault="002439F9" w:rsidP="00242E41">
      <w:pPr>
        <w:pStyle w:val="BodyText3"/>
        <w:jc w:val="both"/>
      </w:pPr>
      <w:r w:rsidRPr="00242E41">
        <w:t>Policies cancelled due to the non-payment of premiums;</w:t>
      </w:r>
    </w:p>
    <w:p w14:paraId="22FDD1D1" w14:textId="0477998B" w:rsidR="008679A9" w:rsidRPr="00242E41" w:rsidRDefault="008679A9" w:rsidP="00242E41">
      <w:pPr>
        <w:pStyle w:val="BodyText3"/>
        <w:jc w:val="both"/>
      </w:pPr>
      <w:r w:rsidRPr="00242E41">
        <w:t>Cancellation of the polic</w:t>
      </w:r>
      <w:r w:rsidR="004E1CF9">
        <w:t>y during the cooling-</w:t>
      </w:r>
      <w:r w:rsidRPr="00242E41">
        <w:t>off period;</w:t>
      </w:r>
    </w:p>
    <w:p w14:paraId="331FF9DE" w14:textId="3860E1B2" w:rsidR="002439F9" w:rsidRPr="004E1CF9" w:rsidRDefault="002439F9" w:rsidP="004E1CF9">
      <w:pPr>
        <w:pStyle w:val="BodyText3"/>
        <w:jc w:val="both"/>
      </w:pPr>
      <w:r w:rsidRPr="004E1CF9">
        <w:t>Partial lapses where there are decreases in Sum Insured or premium on existing cover</w:t>
      </w:r>
      <w:r w:rsidR="00C0320C">
        <w:t>s</w:t>
      </w:r>
      <w:r w:rsidRPr="004E1CF9">
        <w:t xml:space="preserve"> should be included in the Lapses component of Annual Premium and Sum Insured</w:t>
      </w:r>
      <w:r w:rsidR="00481E42">
        <w:t>,</w:t>
      </w:r>
      <w:r w:rsidRPr="004E1CF9">
        <w:t xml:space="preserve"> but not in Lives Insured and Policy Contracts;</w:t>
      </w:r>
      <w:r w:rsidR="004E1CF9">
        <w:t xml:space="preserve"> and</w:t>
      </w:r>
    </w:p>
    <w:p w14:paraId="551F43CD" w14:textId="7CB35E61" w:rsidR="002439F9" w:rsidRPr="004E1CF9" w:rsidRDefault="002439F9" w:rsidP="004E1CF9">
      <w:pPr>
        <w:pStyle w:val="BodyText3"/>
        <w:jc w:val="both"/>
      </w:pPr>
      <w:r w:rsidRPr="004E1CF9">
        <w:t xml:space="preserve">Any contract that was discontinued during the </w:t>
      </w:r>
      <w:r w:rsidR="00583949">
        <w:t>R</w:t>
      </w:r>
      <w:r w:rsidRPr="004E1CF9">
        <w:t xml:space="preserve">eporting </w:t>
      </w:r>
      <w:r w:rsidR="00583949">
        <w:t>P</w:t>
      </w:r>
      <w:r w:rsidRPr="004E1CF9">
        <w:t>eriod, other than through a claim and not explicitly covered in the circumstances listed above</w:t>
      </w:r>
      <w:r w:rsidR="004E1CF9">
        <w:t>.</w:t>
      </w:r>
    </w:p>
    <w:p w14:paraId="5C390A17" w14:textId="77777777" w:rsidR="002439F9" w:rsidRPr="00242E41" w:rsidRDefault="002439F9" w:rsidP="004966B8">
      <w:pPr>
        <w:pStyle w:val="BodyText2"/>
        <w:jc w:val="both"/>
      </w:pPr>
      <w:r w:rsidRPr="00242E41">
        <w:t>Lapses should exclude the following specific circumstances:</w:t>
      </w:r>
    </w:p>
    <w:p w14:paraId="58BD2B74" w14:textId="77777777" w:rsidR="002439F9" w:rsidRPr="004E1CF9" w:rsidRDefault="002439F9" w:rsidP="004E1CF9">
      <w:pPr>
        <w:pStyle w:val="BodyText3"/>
        <w:jc w:val="both"/>
      </w:pPr>
      <w:r w:rsidRPr="004E1CF9">
        <w:t>Instances of the contract being discontinued as a result of the Life Insured dying, or another lump sum claim of the types covered by this collection;</w:t>
      </w:r>
    </w:p>
    <w:p w14:paraId="5CA2DBF1" w14:textId="018AFD8C" w:rsidR="002439F9" w:rsidRPr="004E1CF9" w:rsidRDefault="002439F9" w:rsidP="004E1CF9">
      <w:pPr>
        <w:pStyle w:val="BodyText3"/>
        <w:jc w:val="both"/>
      </w:pPr>
      <w:r w:rsidRPr="004E1CF9">
        <w:t>Instances of the Policy Contract or benefit reaching the end of its contractual term, including where this is defined in terms of the age of the Life Insured;</w:t>
      </w:r>
      <w:r w:rsidR="004E1CF9">
        <w:t xml:space="preserve"> and</w:t>
      </w:r>
    </w:p>
    <w:p w14:paraId="1F9CB190" w14:textId="668D3991" w:rsidR="002439F9" w:rsidRPr="004E1CF9" w:rsidRDefault="002439F9" w:rsidP="004E1CF9">
      <w:pPr>
        <w:pStyle w:val="BodyText3"/>
        <w:jc w:val="both"/>
      </w:pPr>
      <w:r w:rsidRPr="004E1CF9">
        <w:t>Policies later cancelled by the insurer from inception, e.g. in the event of misr</w:t>
      </w:r>
      <w:r w:rsidR="004E1CF9">
        <w:t>epresentation or non-disclosure.</w:t>
      </w:r>
    </w:p>
    <w:p w14:paraId="2199E47B" w14:textId="664C822E" w:rsidR="002439F9" w:rsidRPr="004966B8" w:rsidRDefault="00457B3B" w:rsidP="009E5BB4">
      <w:pPr>
        <w:pStyle w:val="BodyText2"/>
        <w:jc w:val="both"/>
      </w:pPr>
      <w:r>
        <w:t>Paragraph</w:t>
      </w:r>
      <w:r w:rsidR="00E9700A">
        <w:t xml:space="preserve">s </w:t>
      </w:r>
      <w:r w:rsidR="009C1BD6">
        <w:t>23</w:t>
      </w:r>
      <w:r w:rsidR="003E1971">
        <w:t>(a) an</w:t>
      </w:r>
      <w:r w:rsidR="00B047E0">
        <w:t>d</w:t>
      </w:r>
      <w:r w:rsidR="003E1971">
        <w:t xml:space="preserve"> (b)</w:t>
      </w:r>
      <w:r w:rsidR="002439F9" w:rsidRPr="004966B8">
        <w:t xml:space="preserve"> </w:t>
      </w:r>
      <w:r w:rsidR="00056F70">
        <w:t xml:space="preserve">primarily </w:t>
      </w:r>
      <w:r w:rsidR="002439F9" w:rsidRPr="004966B8">
        <w:t xml:space="preserve">relate to </w:t>
      </w:r>
      <w:r w:rsidR="00056F70">
        <w:t>I</w:t>
      </w:r>
      <w:r w:rsidR="002439F9" w:rsidRPr="004966B8">
        <w:t xml:space="preserve">ndividual </w:t>
      </w:r>
      <w:r w:rsidR="00056F70">
        <w:t>I</w:t>
      </w:r>
      <w:r w:rsidR="002439F9" w:rsidRPr="004966B8">
        <w:t xml:space="preserve">nsurance contracts. In respect of </w:t>
      </w:r>
      <w:r w:rsidR="00056F70">
        <w:t>G</w:t>
      </w:r>
      <w:r w:rsidR="002439F9" w:rsidRPr="004966B8">
        <w:t xml:space="preserve">roup </w:t>
      </w:r>
      <w:r w:rsidR="00056F70">
        <w:t>I</w:t>
      </w:r>
      <w:r w:rsidR="002439F9" w:rsidRPr="004966B8">
        <w:t xml:space="preserve">nsurance contracts, it is the cancelation of the full </w:t>
      </w:r>
      <w:r w:rsidR="002439F9" w:rsidRPr="004966B8">
        <w:lastRenderedPageBreak/>
        <w:t>contract that should be reported under Lapses and not the impact of individuals leaving the Group Insurance arrangement. Similarly, the effect of benefit changes at a member level should be excluded from Lapses.</w:t>
      </w:r>
    </w:p>
    <w:p w14:paraId="7DEC7907" w14:textId="7BA73FFD" w:rsidR="008A7790" w:rsidRPr="00370872" w:rsidRDefault="006F641E" w:rsidP="00370872">
      <w:pPr>
        <w:pStyle w:val="BodyText1"/>
      </w:pPr>
      <w:r w:rsidRPr="00370872">
        <w:t>‘</w:t>
      </w:r>
      <w:r w:rsidR="008A7790" w:rsidRPr="00370872">
        <w:t>Disputes</w:t>
      </w:r>
      <w:r w:rsidRPr="00370872">
        <w:t>’</w:t>
      </w:r>
      <w:r w:rsidR="008A7790" w:rsidRPr="00370872">
        <w:t xml:space="preserve"> are defined to only include claims</w:t>
      </w:r>
      <w:r w:rsidR="00714A1E" w:rsidRPr="00370872">
        <w:t>-</w:t>
      </w:r>
      <w:r w:rsidR="008A7790" w:rsidRPr="00370872">
        <w:t>related disputes. It includes disputes where a claim decision has been made, but the claims outcome is challenged or questioned, as well as disputes related to the claims process.</w:t>
      </w:r>
    </w:p>
    <w:p w14:paraId="405C4A83" w14:textId="392B9948" w:rsidR="008A7790" w:rsidRPr="00370872" w:rsidRDefault="006F641E" w:rsidP="00370872">
      <w:pPr>
        <w:pStyle w:val="BodyText1"/>
      </w:pPr>
      <w:r w:rsidRPr="00370872">
        <w:t>‘</w:t>
      </w:r>
      <w:r w:rsidR="008A7790" w:rsidRPr="00370872">
        <w:t>Waiting period</w:t>
      </w:r>
      <w:r w:rsidRPr="00370872">
        <w:t>’</w:t>
      </w:r>
      <w:r w:rsidR="008A7790" w:rsidRPr="00370872">
        <w:t xml:space="preserve"> (usually in respect of TPD or DII) refers to a defined period after the Claim Event </w:t>
      </w:r>
      <w:r w:rsidR="006829EE">
        <w:t>(defined in paragraph 42)</w:t>
      </w:r>
      <w:r w:rsidR="008A7790" w:rsidRPr="00370872">
        <w:t xml:space="preserve"> that must expire before benefit payments will commence.</w:t>
      </w:r>
    </w:p>
    <w:p w14:paraId="2A358BC5" w14:textId="4CE7EC85" w:rsidR="008A7790" w:rsidRPr="00370872" w:rsidRDefault="006F641E" w:rsidP="00370872">
      <w:pPr>
        <w:pStyle w:val="BodyText1"/>
      </w:pPr>
      <w:r w:rsidRPr="00370872">
        <w:t>‘</w:t>
      </w:r>
      <w:r w:rsidR="008A7790" w:rsidRPr="00370872">
        <w:t>On Sale Status</w:t>
      </w:r>
      <w:r w:rsidRPr="00370872">
        <w:t>’</w:t>
      </w:r>
      <w:r w:rsidR="008A7790" w:rsidRPr="00370872">
        <w:t xml:space="preserve"> refers to whether a product is still open for sale. Distinction is made between:</w:t>
      </w:r>
    </w:p>
    <w:p w14:paraId="24104FC8" w14:textId="1CA0FD64" w:rsidR="008A7790" w:rsidRPr="004966B8" w:rsidRDefault="008A7790" w:rsidP="004966B8">
      <w:pPr>
        <w:pStyle w:val="BodyText2"/>
        <w:jc w:val="both"/>
      </w:pPr>
      <w:r w:rsidRPr="004966B8">
        <w:t>Open for sale: Products that are open for sale at the time of the data submission.</w:t>
      </w:r>
    </w:p>
    <w:p w14:paraId="20882FFC" w14:textId="239649FB" w:rsidR="008A7790" w:rsidRPr="004966B8" w:rsidRDefault="008A7790" w:rsidP="004966B8">
      <w:pPr>
        <w:pStyle w:val="BodyText2"/>
        <w:jc w:val="both"/>
      </w:pPr>
      <w:r w:rsidRPr="004966B8">
        <w:t>Closed for sale: Products that are no longer open for sale at the time of the data submission. These are also referred to as legacy products. New business as defined above is still possible.</w:t>
      </w:r>
    </w:p>
    <w:p w14:paraId="225086F9" w14:textId="58A1FE94" w:rsidR="008A7790" w:rsidRPr="008A7790" w:rsidRDefault="004966B8" w:rsidP="004966B8">
      <w:pPr>
        <w:pStyle w:val="ListParagraph"/>
        <w:ind w:left="567"/>
        <w:contextualSpacing w:val="0"/>
        <w:jc w:val="both"/>
        <w:rPr>
          <w:rFonts w:asciiTheme="minorHAnsi" w:hAnsiTheme="minorHAnsi" w:cstheme="minorHAnsi"/>
        </w:rPr>
      </w:pPr>
      <w:r>
        <w:rPr>
          <w:rFonts w:asciiTheme="minorHAnsi" w:hAnsiTheme="minorHAnsi" w:cstheme="minorHAnsi"/>
        </w:rPr>
        <w:t xml:space="preserve">On Sale Status </w:t>
      </w:r>
      <w:r w:rsidR="008A7790" w:rsidRPr="008A7790">
        <w:rPr>
          <w:rFonts w:asciiTheme="minorHAnsi" w:hAnsiTheme="minorHAnsi" w:cstheme="minorHAnsi"/>
        </w:rPr>
        <w:t>is only recorded for Individual Insurance.</w:t>
      </w:r>
    </w:p>
    <w:p w14:paraId="48B55B52" w14:textId="0720C495" w:rsidR="008A7790" w:rsidRPr="00370872" w:rsidRDefault="006F641E" w:rsidP="00370872">
      <w:pPr>
        <w:pStyle w:val="BodyText1"/>
      </w:pPr>
      <w:r w:rsidRPr="00370872">
        <w:t>‘</w:t>
      </w:r>
      <w:r w:rsidR="008A7790" w:rsidRPr="00370872">
        <w:t>Advice Type</w:t>
      </w:r>
      <w:r w:rsidRPr="00370872">
        <w:t>’</w:t>
      </w:r>
      <w:r w:rsidR="008A7790" w:rsidRPr="00370872">
        <w:t xml:space="preserve"> refers to the method by which the policy was sold and specifically the level of advice provided. This data dimension only appl</w:t>
      </w:r>
      <w:r w:rsidR="00715765">
        <w:t>ies</w:t>
      </w:r>
      <w:r w:rsidR="008A7790" w:rsidRPr="00370872">
        <w:t xml:space="preserve"> to Individual Insurance. The following advice categories are defined:</w:t>
      </w:r>
    </w:p>
    <w:p w14:paraId="0F5F4CE7" w14:textId="5E951BC1" w:rsidR="008A7790" w:rsidRPr="00DC47CE" w:rsidRDefault="006F641E" w:rsidP="00DC47CE">
      <w:pPr>
        <w:pStyle w:val="BodyText2"/>
        <w:jc w:val="both"/>
      </w:pPr>
      <w:r w:rsidRPr="00DC47CE">
        <w:t>‘</w:t>
      </w:r>
      <w:r w:rsidR="008A7790" w:rsidRPr="00DC47CE">
        <w:t>Advised business</w:t>
      </w:r>
      <w:r w:rsidRPr="00DC47CE">
        <w:t>’</w:t>
      </w:r>
      <w:r w:rsidR="008A7790" w:rsidRPr="00DC47CE">
        <w:t xml:space="preserve"> refers to the sale of </w:t>
      </w:r>
      <w:r w:rsidR="00742475">
        <w:t>I</w:t>
      </w:r>
      <w:r w:rsidR="008A7790" w:rsidRPr="00DC47CE">
        <w:t xml:space="preserve">ndividual </w:t>
      </w:r>
      <w:r w:rsidR="00742475">
        <w:t>I</w:t>
      </w:r>
      <w:r w:rsidR="008A7790" w:rsidRPr="00DC47CE">
        <w:t xml:space="preserve">nsurance, with the provision of personal advice, where personal advice has the same meaning as it does in section 766B(3) of the </w:t>
      </w:r>
      <w:r w:rsidR="008A7790" w:rsidRPr="00DC47CE">
        <w:rPr>
          <w:i/>
        </w:rPr>
        <w:t>Corporations Act 2001</w:t>
      </w:r>
      <w:r w:rsidR="008A7790" w:rsidRPr="00DC47CE">
        <w:t xml:space="preserve"> (Corporations Act). The </w:t>
      </w:r>
      <w:r w:rsidR="00C17199">
        <w:t xml:space="preserve">reporting form </w:t>
      </w:r>
      <w:r w:rsidR="008A7790" w:rsidRPr="00DC47CE">
        <w:t>assumes this does not apply to CCI, Funeral or Accident Insurance businesses.</w:t>
      </w:r>
    </w:p>
    <w:p w14:paraId="240CF8AC" w14:textId="2684D5B8" w:rsidR="008A7790" w:rsidRPr="00DC47CE" w:rsidRDefault="006F641E" w:rsidP="00DC47CE">
      <w:pPr>
        <w:pStyle w:val="BodyText2"/>
        <w:jc w:val="both"/>
      </w:pPr>
      <w:r w:rsidRPr="00DC47CE">
        <w:t>‘</w:t>
      </w:r>
      <w:r w:rsidR="008A7790" w:rsidRPr="00DC47CE">
        <w:t>Non-advised business</w:t>
      </w:r>
      <w:r w:rsidRPr="00DC47CE">
        <w:t>’</w:t>
      </w:r>
      <w:r w:rsidR="008A7790" w:rsidRPr="00DC47CE">
        <w:t xml:space="preserve"> refers to the sale of </w:t>
      </w:r>
      <w:r w:rsidR="00742475">
        <w:t>I</w:t>
      </w:r>
      <w:r w:rsidR="008A7790" w:rsidRPr="00DC47CE">
        <w:t xml:space="preserve">ndividual </w:t>
      </w:r>
      <w:r w:rsidR="00742475">
        <w:t>I</w:t>
      </w:r>
      <w:r w:rsidR="008A7790" w:rsidRPr="00DC47CE">
        <w:t>nsurance, without the provision of personal advice. This includes where no advice or general advice is provided. General advice has the same meaning as it does in section 766B(4) of the Corporations Act.</w:t>
      </w:r>
    </w:p>
    <w:p w14:paraId="1C02E705" w14:textId="01E2454A" w:rsidR="008A7790" w:rsidRPr="00370872" w:rsidRDefault="006F641E" w:rsidP="00370872">
      <w:pPr>
        <w:pStyle w:val="BodyText1"/>
      </w:pPr>
      <w:r w:rsidRPr="00370872">
        <w:t>‘</w:t>
      </w:r>
      <w:r w:rsidR="008A7790" w:rsidRPr="00370872">
        <w:t>Ancillary Benefit</w:t>
      </w:r>
      <w:r w:rsidRPr="00370872">
        <w:t>’</w:t>
      </w:r>
      <w:r w:rsidR="008A7790" w:rsidRPr="00370872">
        <w:t xml:space="preserve"> refers to the payment made by an insurer in addition to the core benefit. Examples of Ancillary Benefits include rehabilitation benefits, family support benefits, bed confinement benefits </w:t>
      </w:r>
      <w:r w:rsidR="00715765">
        <w:t xml:space="preserve">and </w:t>
      </w:r>
      <w:r w:rsidR="008A7790" w:rsidRPr="00370872">
        <w:t>transportation benefits.</w:t>
      </w:r>
    </w:p>
    <w:p w14:paraId="698EB889" w14:textId="7048B88D" w:rsidR="008A7790" w:rsidRPr="00370872" w:rsidRDefault="006F641E" w:rsidP="00370872">
      <w:pPr>
        <w:pStyle w:val="BodyText1"/>
      </w:pPr>
      <w:r w:rsidRPr="00370872">
        <w:t>‘</w:t>
      </w:r>
      <w:r w:rsidR="008A7790" w:rsidRPr="00370872">
        <w:t>Policy Benefit</w:t>
      </w:r>
      <w:r w:rsidRPr="00370872">
        <w:t>’</w:t>
      </w:r>
      <w:r w:rsidR="008A7790" w:rsidRPr="00370872">
        <w:t xml:space="preserve"> refers to a defined benefit provided under a Policy Contract. It is expected that a Policy Benefit would typically relate to a single Life Insured and Cover Type. Where multiple lives or Cover Types are covered under a single Policy Contract, such cover would be provided under separate Policy Benefits.</w:t>
      </w:r>
    </w:p>
    <w:p w14:paraId="774AE562" w14:textId="3BF505A7" w:rsidR="008A7790" w:rsidRPr="008A7790" w:rsidRDefault="008A7790" w:rsidP="00DC47CE">
      <w:pPr>
        <w:pStyle w:val="ListParagraph"/>
        <w:ind w:left="567"/>
        <w:contextualSpacing w:val="0"/>
        <w:jc w:val="both"/>
        <w:rPr>
          <w:rFonts w:asciiTheme="minorHAnsi" w:hAnsiTheme="minorHAnsi" w:cstheme="minorHAnsi"/>
        </w:rPr>
      </w:pPr>
      <w:r w:rsidRPr="008A7790">
        <w:rPr>
          <w:rFonts w:asciiTheme="minorHAnsi" w:hAnsiTheme="minorHAnsi" w:cstheme="minorHAnsi"/>
        </w:rPr>
        <w:t xml:space="preserve">Where a </w:t>
      </w:r>
      <w:r w:rsidR="00202C62">
        <w:rPr>
          <w:rFonts w:asciiTheme="minorHAnsi" w:hAnsiTheme="minorHAnsi" w:cstheme="minorHAnsi"/>
        </w:rPr>
        <w:t>P</w:t>
      </w:r>
      <w:r w:rsidRPr="008A7790">
        <w:rPr>
          <w:rFonts w:asciiTheme="minorHAnsi" w:hAnsiTheme="minorHAnsi" w:cstheme="minorHAnsi"/>
        </w:rPr>
        <w:t xml:space="preserve">olicy </w:t>
      </w:r>
      <w:r w:rsidR="00202C62">
        <w:rPr>
          <w:rFonts w:asciiTheme="minorHAnsi" w:hAnsiTheme="minorHAnsi" w:cstheme="minorHAnsi"/>
        </w:rPr>
        <w:t>C</w:t>
      </w:r>
      <w:r w:rsidRPr="008A7790">
        <w:rPr>
          <w:rFonts w:asciiTheme="minorHAnsi" w:hAnsiTheme="minorHAnsi" w:cstheme="minorHAnsi"/>
        </w:rPr>
        <w:t xml:space="preserve">ontract has multiple Policy Benefits within the same </w:t>
      </w:r>
      <w:r w:rsidR="002946A2">
        <w:rPr>
          <w:rFonts w:asciiTheme="minorHAnsi" w:hAnsiTheme="minorHAnsi" w:cstheme="minorHAnsi"/>
        </w:rPr>
        <w:t>C</w:t>
      </w:r>
      <w:r w:rsidRPr="008A7790">
        <w:rPr>
          <w:rFonts w:asciiTheme="minorHAnsi" w:hAnsiTheme="minorHAnsi" w:cstheme="minorHAnsi"/>
        </w:rPr>
        <w:t>over/</w:t>
      </w:r>
      <w:r w:rsidR="002946A2">
        <w:rPr>
          <w:rFonts w:asciiTheme="minorHAnsi" w:hAnsiTheme="minorHAnsi" w:cstheme="minorHAnsi"/>
        </w:rPr>
        <w:t>P</w:t>
      </w:r>
      <w:r w:rsidRPr="008A7790">
        <w:rPr>
          <w:rFonts w:asciiTheme="minorHAnsi" w:hAnsiTheme="minorHAnsi" w:cstheme="minorHAnsi"/>
        </w:rPr>
        <w:t xml:space="preserve">roduct </w:t>
      </w:r>
      <w:r w:rsidR="002946A2">
        <w:rPr>
          <w:rFonts w:asciiTheme="minorHAnsi" w:hAnsiTheme="minorHAnsi" w:cstheme="minorHAnsi"/>
        </w:rPr>
        <w:t>T</w:t>
      </w:r>
      <w:r w:rsidRPr="008A7790">
        <w:rPr>
          <w:rFonts w:asciiTheme="minorHAnsi" w:hAnsiTheme="minorHAnsi" w:cstheme="minorHAnsi"/>
        </w:rPr>
        <w:t>ype, the policy and claims treatment will depend on the nature of these benefits. Distinction is made between the following categories:</w:t>
      </w:r>
    </w:p>
    <w:p w14:paraId="613E0322" w14:textId="07207C09" w:rsidR="008A7790" w:rsidRPr="00DC47CE" w:rsidRDefault="008A7790" w:rsidP="00DC47CE">
      <w:pPr>
        <w:pStyle w:val="BodyText2"/>
        <w:jc w:val="both"/>
      </w:pPr>
      <w:r w:rsidRPr="00DC47CE">
        <w:lastRenderedPageBreak/>
        <w:t>Policy Benefits that can be added together, with the same claim conditions. These Policy Benefits are typically the result of administrative processes, such as a separate benefit created for an annual automated cover increase.</w:t>
      </w:r>
    </w:p>
    <w:p w14:paraId="79698E99" w14:textId="1ECC9C18" w:rsidR="008A7790" w:rsidRPr="00DC47CE" w:rsidRDefault="008A7790" w:rsidP="00DC47CE">
      <w:pPr>
        <w:pStyle w:val="BodyText2"/>
        <w:jc w:val="both"/>
      </w:pPr>
      <w:r w:rsidRPr="00DC47CE">
        <w:t xml:space="preserve">Policy Benefits that can be added together, with potentially different claim conditions. For example, a second death cover benefit under a </w:t>
      </w:r>
      <w:r w:rsidR="00202C62">
        <w:t>P</w:t>
      </w:r>
      <w:r w:rsidRPr="00DC47CE">
        <w:t xml:space="preserve">olicy </w:t>
      </w:r>
      <w:r w:rsidR="00202C62">
        <w:t>C</w:t>
      </w:r>
      <w:r w:rsidRPr="00DC47CE">
        <w:t xml:space="preserve">ontract has a pre-existing condition exclusion that does not apply to the original death cover benefit under the same </w:t>
      </w:r>
      <w:r w:rsidR="00202C62">
        <w:t>P</w:t>
      </w:r>
      <w:r w:rsidRPr="00DC47CE">
        <w:t xml:space="preserve">olicy </w:t>
      </w:r>
      <w:r w:rsidR="00202C62">
        <w:t>C</w:t>
      </w:r>
      <w:r w:rsidRPr="00DC47CE">
        <w:t>ontract.</w:t>
      </w:r>
    </w:p>
    <w:p w14:paraId="00A9615C" w14:textId="40404289" w:rsidR="008A7790" w:rsidRPr="00DC47CE" w:rsidRDefault="008A7790" w:rsidP="00DC47CE">
      <w:pPr>
        <w:pStyle w:val="BodyText2"/>
        <w:jc w:val="both"/>
      </w:pPr>
      <w:r w:rsidRPr="00DC47CE">
        <w:t>Policy Benefits that cannot be added together and provide for benefits under different claim conditions. The most common example is where a disability benefit is provided with different disability definitions, typically reflected in separate underlying benefits.</w:t>
      </w:r>
    </w:p>
    <w:p w14:paraId="513B3076" w14:textId="2E2D445C" w:rsidR="008A7790" w:rsidRPr="008A7790" w:rsidRDefault="009B16B1" w:rsidP="00DC47CE">
      <w:pPr>
        <w:pStyle w:val="ListParagraph"/>
        <w:ind w:left="567"/>
        <w:contextualSpacing w:val="0"/>
        <w:jc w:val="both"/>
        <w:rPr>
          <w:rFonts w:asciiTheme="minorHAnsi" w:hAnsiTheme="minorHAnsi" w:cstheme="minorHAnsi"/>
        </w:rPr>
      </w:pPr>
      <w:r>
        <w:rPr>
          <w:rFonts w:asciiTheme="minorHAnsi" w:hAnsiTheme="minorHAnsi" w:cstheme="minorHAnsi"/>
        </w:rPr>
        <w:t>Where a Policy Contract has multiple Policy Benefits, r</w:t>
      </w:r>
      <w:r w:rsidR="008A7790" w:rsidRPr="008A7790">
        <w:rPr>
          <w:rFonts w:asciiTheme="minorHAnsi" w:hAnsiTheme="minorHAnsi" w:cstheme="minorHAnsi"/>
        </w:rPr>
        <w:t xml:space="preserve">efer to </w:t>
      </w:r>
      <w:r w:rsidR="00457B3B">
        <w:rPr>
          <w:rFonts w:asciiTheme="minorHAnsi" w:hAnsiTheme="minorHAnsi" w:cstheme="minorHAnsi"/>
        </w:rPr>
        <w:t>paragraph</w:t>
      </w:r>
      <w:r w:rsidR="008A7790" w:rsidRPr="008A7790">
        <w:rPr>
          <w:rFonts w:asciiTheme="minorHAnsi" w:hAnsiTheme="minorHAnsi" w:cstheme="minorHAnsi"/>
        </w:rPr>
        <w:t xml:space="preserve"> </w:t>
      </w:r>
      <w:r w:rsidR="00E9700A">
        <w:rPr>
          <w:rFonts w:asciiTheme="minorHAnsi" w:hAnsiTheme="minorHAnsi" w:cstheme="minorHAnsi"/>
        </w:rPr>
        <w:t>37</w:t>
      </w:r>
      <w:r w:rsidR="008A7790" w:rsidRPr="008A7790">
        <w:rPr>
          <w:rFonts w:asciiTheme="minorHAnsi" w:hAnsiTheme="minorHAnsi" w:cstheme="minorHAnsi"/>
        </w:rPr>
        <w:t xml:space="preserve"> for policy treatment instructions and </w:t>
      </w:r>
      <w:r w:rsidR="00457B3B">
        <w:rPr>
          <w:rFonts w:asciiTheme="minorHAnsi" w:hAnsiTheme="minorHAnsi" w:cstheme="minorHAnsi"/>
        </w:rPr>
        <w:t>paragraph</w:t>
      </w:r>
      <w:r w:rsidR="008A7790" w:rsidRPr="008A7790">
        <w:rPr>
          <w:rFonts w:asciiTheme="minorHAnsi" w:hAnsiTheme="minorHAnsi" w:cstheme="minorHAnsi"/>
        </w:rPr>
        <w:t xml:space="preserve"> </w:t>
      </w:r>
      <w:r w:rsidR="00E9700A">
        <w:rPr>
          <w:rFonts w:asciiTheme="minorHAnsi" w:hAnsiTheme="minorHAnsi" w:cstheme="minorHAnsi"/>
        </w:rPr>
        <w:t xml:space="preserve">52 </w:t>
      </w:r>
      <w:r w:rsidR="008A7790" w:rsidRPr="008A7790">
        <w:rPr>
          <w:rFonts w:asciiTheme="minorHAnsi" w:hAnsiTheme="minorHAnsi" w:cstheme="minorHAnsi"/>
        </w:rPr>
        <w:t>for claims treatment instructions.</w:t>
      </w:r>
    </w:p>
    <w:p w14:paraId="66641AD0" w14:textId="77777777" w:rsidR="008A7790" w:rsidRPr="005067EF" w:rsidRDefault="008A7790" w:rsidP="005067EF">
      <w:pPr>
        <w:pStyle w:val="ListParagraph"/>
        <w:spacing w:after="0"/>
        <w:ind w:left="0"/>
        <w:jc w:val="both"/>
        <w:rPr>
          <w:rFonts w:asciiTheme="minorHAnsi" w:hAnsiTheme="minorHAnsi" w:cstheme="minorHAnsi"/>
        </w:rPr>
      </w:pPr>
    </w:p>
    <w:p w14:paraId="6BE1ADD9" w14:textId="407F2778" w:rsidR="008A7790" w:rsidRPr="00917200" w:rsidRDefault="008A7790" w:rsidP="00C820F9">
      <w:pPr>
        <w:pStyle w:val="Heading1"/>
        <w:numPr>
          <w:ilvl w:val="0"/>
          <w:numId w:val="5"/>
        </w:numPr>
      </w:pPr>
      <w:bookmarkStart w:id="34" w:name="_Toc527994446"/>
      <w:r>
        <w:t>Policy Data Detail</w:t>
      </w:r>
      <w:bookmarkEnd w:id="34"/>
    </w:p>
    <w:p w14:paraId="430BC00E" w14:textId="08E0BF3F" w:rsidR="008A7790" w:rsidRPr="003A5F49" w:rsidRDefault="008A7790" w:rsidP="003A5F49">
      <w:pPr>
        <w:pStyle w:val="BodyText1"/>
      </w:pPr>
      <w:r w:rsidRPr="003A5F49">
        <w:t xml:space="preserve">In respect of Policy Data, the detail </w:t>
      </w:r>
      <w:r w:rsidR="003A5F49">
        <w:t xml:space="preserve">set out in paragraphs </w:t>
      </w:r>
      <w:r w:rsidR="00E9700A">
        <w:t xml:space="preserve">31 </w:t>
      </w:r>
      <w:r w:rsidR="003A5F49">
        <w:t xml:space="preserve">to </w:t>
      </w:r>
      <w:r w:rsidR="006D4414">
        <w:t>39</w:t>
      </w:r>
      <w:r w:rsidR="00E9700A">
        <w:t xml:space="preserve"> </w:t>
      </w:r>
      <w:r w:rsidRPr="003A5F49">
        <w:t>should be provided</w:t>
      </w:r>
      <w:r w:rsidR="003A5F49">
        <w:t>.</w:t>
      </w:r>
    </w:p>
    <w:p w14:paraId="38F9DA78" w14:textId="5819D878" w:rsidR="008A7790" w:rsidRPr="00DC47CE" w:rsidRDefault="008A7790" w:rsidP="003A5F49">
      <w:pPr>
        <w:pStyle w:val="BodyText1"/>
      </w:pPr>
      <w:r w:rsidRPr="00DC47CE">
        <w:t xml:space="preserve">The number of Policy Contracts, as defined in </w:t>
      </w:r>
      <w:r w:rsidR="00097193">
        <w:t>paragraph 9</w:t>
      </w:r>
      <w:r w:rsidRPr="00DC47CE">
        <w:t xml:space="preserve">. This detail should be captured in the relevant Cover/Product </w:t>
      </w:r>
      <w:r w:rsidR="002946A2">
        <w:t>T</w:t>
      </w:r>
      <w:r w:rsidRPr="00DC47CE">
        <w:t xml:space="preserve">ype category. Where a single </w:t>
      </w:r>
      <w:r w:rsidR="00202C62">
        <w:t>P</w:t>
      </w:r>
      <w:r w:rsidRPr="00DC47CE">
        <w:t xml:space="preserve">olicy </w:t>
      </w:r>
      <w:r w:rsidR="00202C62">
        <w:t>C</w:t>
      </w:r>
      <w:r w:rsidRPr="00DC47CE">
        <w:t xml:space="preserve">ontract contains multiple </w:t>
      </w:r>
      <w:r w:rsidR="002C67AE">
        <w:t>C</w:t>
      </w:r>
      <w:r w:rsidRPr="00DC47CE">
        <w:t xml:space="preserve">over </w:t>
      </w:r>
      <w:r w:rsidR="002C67AE">
        <w:t>T</w:t>
      </w:r>
      <w:r w:rsidRPr="00DC47CE">
        <w:t xml:space="preserve">ypes, it should be counted in each of the </w:t>
      </w:r>
      <w:r w:rsidR="002946A2">
        <w:t>C</w:t>
      </w:r>
      <w:r w:rsidRPr="00DC47CE">
        <w:t>over/</w:t>
      </w:r>
      <w:r w:rsidR="002946A2">
        <w:t>P</w:t>
      </w:r>
      <w:r w:rsidRPr="00DC47CE">
        <w:t xml:space="preserve">roduct </w:t>
      </w:r>
      <w:r w:rsidR="002946A2">
        <w:t>T</w:t>
      </w:r>
      <w:r w:rsidRPr="00DC47CE">
        <w:t xml:space="preserve">ypes where benefits are offered. In addition, the total number of unique </w:t>
      </w:r>
      <w:r w:rsidR="00202C62">
        <w:t>P</w:t>
      </w:r>
      <w:r w:rsidRPr="00DC47CE">
        <w:t xml:space="preserve">olicy </w:t>
      </w:r>
      <w:r w:rsidR="00202C62">
        <w:t>C</w:t>
      </w:r>
      <w:r w:rsidRPr="00DC47CE">
        <w:t xml:space="preserve">ontracts across all relevant cover and </w:t>
      </w:r>
      <w:r w:rsidR="002C67AE">
        <w:t>P</w:t>
      </w:r>
      <w:r w:rsidRPr="00DC47CE">
        <w:t xml:space="preserve">roduct </w:t>
      </w:r>
      <w:r w:rsidR="002C67AE">
        <w:t>T</w:t>
      </w:r>
      <w:r w:rsidRPr="00DC47CE">
        <w:t>ypes should be reported.</w:t>
      </w:r>
    </w:p>
    <w:p w14:paraId="5EA8BA8A" w14:textId="12E258D1" w:rsidR="008A7790" w:rsidRPr="00DC47CE" w:rsidRDefault="008A7790" w:rsidP="00DC47CE">
      <w:pPr>
        <w:pStyle w:val="BodyText1"/>
      </w:pPr>
      <w:r w:rsidRPr="00DC47CE">
        <w:t xml:space="preserve">The number of Lives Insured, as defined in </w:t>
      </w:r>
      <w:r w:rsidR="00097193">
        <w:t>paragraph 10</w:t>
      </w:r>
      <w:r w:rsidRPr="00DC47CE">
        <w:t xml:space="preserve">. This detail should be captured in the relevant Cover/Product </w:t>
      </w:r>
      <w:r w:rsidR="002946A2">
        <w:t>T</w:t>
      </w:r>
      <w:r w:rsidRPr="00DC47CE">
        <w:t xml:space="preserve">ype category. Where a single life has multiple </w:t>
      </w:r>
      <w:r w:rsidR="002C67AE">
        <w:t>C</w:t>
      </w:r>
      <w:r w:rsidRPr="00DC47CE">
        <w:t xml:space="preserve">over </w:t>
      </w:r>
      <w:r w:rsidR="002C67AE">
        <w:t>T</w:t>
      </w:r>
      <w:r w:rsidRPr="00DC47CE">
        <w:t xml:space="preserve">ypes, it should be counted in each of the </w:t>
      </w:r>
      <w:r w:rsidR="002946A2">
        <w:t>C</w:t>
      </w:r>
      <w:r w:rsidRPr="00DC47CE">
        <w:t>over/</w:t>
      </w:r>
      <w:r w:rsidR="002946A2">
        <w:t>P</w:t>
      </w:r>
      <w:r w:rsidRPr="00DC47CE">
        <w:t xml:space="preserve">roduct </w:t>
      </w:r>
      <w:r w:rsidR="002946A2">
        <w:t>T</w:t>
      </w:r>
      <w:r w:rsidRPr="00DC47CE">
        <w:t xml:space="preserve">ypes where benefits are offered. In addition, the total number of unique lives insured across all relevant cover and </w:t>
      </w:r>
      <w:r w:rsidR="002C67AE">
        <w:t>P</w:t>
      </w:r>
      <w:r w:rsidRPr="00DC47CE">
        <w:t xml:space="preserve">roduct </w:t>
      </w:r>
      <w:r w:rsidR="002C67AE">
        <w:t>T</w:t>
      </w:r>
      <w:r w:rsidRPr="00DC47CE">
        <w:t>ypes should be reported.</w:t>
      </w:r>
    </w:p>
    <w:p w14:paraId="1F355D95" w14:textId="2E0B7B82" w:rsidR="008A7790" w:rsidRPr="00DC47CE" w:rsidRDefault="008A7790" w:rsidP="00DC47CE">
      <w:pPr>
        <w:pStyle w:val="BodyText1"/>
      </w:pPr>
      <w:r w:rsidRPr="00DC47CE">
        <w:t xml:space="preserve">The amount of Annual Premium, as defined in </w:t>
      </w:r>
      <w:r w:rsidR="00097193">
        <w:t>paragraph 20</w:t>
      </w:r>
      <w:r w:rsidRPr="00DC47CE">
        <w:t xml:space="preserve">. This detail should be captured in the relevant Cover/Product </w:t>
      </w:r>
      <w:r w:rsidR="002946A2">
        <w:t>T</w:t>
      </w:r>
      <w:r w:rsidRPr="00DC47CE">
        <w:t xml:space="preserve">ype category. Where a Policy Contract contains more than one Cover or Product </w:t>
      </w:r>
      <w:r w:rsidR="002C67AE">
        <w:t>T</w:t>
      </w:r>
      <w:r w:rsidRPr="00DC47CE">
        <w:t xml:space="preserve">ype, the amount of Annual Premium should be reflected separately for each Cover/Product </w:t>
      </w:r>
      <w:r w:rsidR="002946A2">
        <w:t>T</w:t>
      </w:r>
      <w:r w:rsidRPr="00DC47CE">
        <w:t xml:space="preserve">ype. If the insurer does not determine or store separate amounts of premium, the total amount of Annual Premium should be </w:t>
      </w:r>
      <w:r w:rsidR="004C4EDB">
        <w:t xml:space="preserve">appropriately </w:t>
      </w:r>
      <w:r w:rsidRPr="00DC47CE">
        <w:t>apportioned between the relevant Cover/Product Types.</w:t>
      </w:r>
    </w:p>
    <w:p w14:paraId="7487AFB1" w14:textId="136E53FF" w:rsidR="008A7790" w:rsidRPr="00DC47CE" w:rsidRDefault="008A7790" w:rsidP="00DC47CE">
      <w:pPr>
        <w:pStyle w:val="BodyText1"/>
      </w:pPr>
      <w:r w:rsidRPr="00DC47CE">
        <w:t xml:space="preserve">The amount of Sum Insured, as defined in </w:t>
      </w:r>
      <w:r w:rsidR="00097193">
        <w:t>paragraph 21</w:t>
      </w:r>
      <w:r w:rsidRPr="00DC47CE">
        <w:t xml:space="preserve">. This detail should be captured in the relevant Cover/Product </w:t>
      </w:r>
      <w:r w:rsidR="002946A2">
        <w:t>T</w:t>
      </w:r>
      <w:r w:rsidRPr="00DC47CE">
        <w:t xml:space="preserve">ype category. Where a Policy Contract contains more than one Cover/Product </w:t>
      </w:r>
      <w:r w:rsidR="002946A2">
        <w:t>T</w:t>
      </w:r>
      <w:r w:rsidRPr="00DC47CE">
        <w:t xml:space="preserve">ype, the Sum Insured in respect of each Cover/Product </w:t>
      </w:r>
      <w:r w:rsidR="002946A2">
        <w:t>T</w:t>
      </w:r>
      <w:r w:rsidRPr="00DC47CE">
        <w:t>ype should be recorded separately.</w:t>
      </w:r>
    </w:p>
    <w:p w14:paraId="10DC29E5" w14:textId="55DF1148" w:rsidR="008A7790" w:rsidRPr="00DC47CE" w:rsidRDefault="004C4EDB" w:rsidP="00DC47CE">
      <w:pPr>
        <w:pStyle w:val="BodyText1"/>
      </w:pPr>
      <w:r>
        <w:t>The items listed in p</w:t>
      </w:r>
      <w:r w:rsidR="00457B3B">
        <w:t>aragraph</w:t>
      </w:r>
      <w:r w:rsidR="008A7790" w:rsidRPr="00DC47CE">
        <w:t xml:space="preserve">s </w:t>
      </w:r>
      <w:r w:rsidR="00E9700A">
        <w:t>31</w:t>
      </w:r>
      <w:r w:rsidR="008A7790" w:rsidRPr="00DC47CE">
        <w:t xml:space="preserve"> to </w:t>
      </w:r>
      <w:r w:rsidR="00E9700A">
        <w:t>34</w:t>
      </w:r>
      <w:r w:rsidR="008A7790" w:rsidRPr="00DC47CE">
        <w:t xml:space="preserve"> should be provided for each of the following:</w:t>
      </w:r>
    </w:p>
    <w:p w14:paraId="5372BC9D" w14:textId="77777777" w:rsidR="008A7790" w:rsidRPr="00DC47CE" w:rsidRDefault="008A7790" w:rsidP="00DC47CE">
      <w:pPr>
        <w:pStyle w:val="BodyText2"/>
        <w:jc w:val="both"/>
      </w:pPr>
      <w:r w:rsidRPr="00DC47CE">
        <w:lastRenderedPageBreak/>
        <w:t>The number/amount in force at the start of the Reporting Period.</w:t>
      </w:r>
    </w:p>
    <w:p w14:paraId="5A814AD0" w14:textId="69A6D6FD" w:rsidR="008A7790" w:rsidRPr="00DC47CE" w:rsidRDefault="008A7790" w:rsidP="00DC47CE">
      <w:pPr>
        <w:pStyle w:val="BodyText2"/>
        <w:jc w:val="both"/>
      </w:pPr>
      <w:r w:rsidRPr="00DC47CE">
        <w:t xml:space="preserve">The number/amount that corresponds with New Business (as defined in </w:t>
      </w:r>
      <w:r w:rsidR="004C4EDB">
        <w:t>paragraph 22</w:t>
      </w:r>
      <w:r w:rsidRPr="00DC47CE">
        <w:t>) during the Reporting Period.</w:t>
      </w:r>
    </w:p>
    <w:p w14:paraId="4063F965" w14:textId="515CFF57" w:rsidR="008A7790" w:rsidRPr="00DC47CE" w:rsidRDefault="008A7790" w:rsidP="00DC47CE">
      <w:pPr>
        <w:pStyle w:val="BodyText2"/>
        <w:jc w:val="both"/>
      </w:pPr>
      <w:r w:rsidRPr="00DC47CE">
        <w:t xml:space="preserve">The number/amount that corresponds with Lapses (as defined in </w:t>
      </w:r>
      <w:r w:rsidR="004C4EDB">
        <w:t>paragraph 23</w:t>
      </w:r>
      <w:r w:rsidRPr="00DC47CE">
        <w:t xml:space="preserve">) during the Reporting Period. The </w:t>
      </w:r>
      <w:r w:rsidR="004C4EDB">
        <w:t xml:space="preserve">reporting form </w:t>
      </w:r>
      <w:r w:rsidRPr="00DC47CE">
        <w:t>will treat entries for this item as an outflow, and it should not be captured with a negative sign.</w:t>
      </w:r>
    </w:p>
    <w:p w14:paraId="3F550819" w14:textId="5685BF45" w:rsidR="008A7790" w:rsidRPr="00DC47CE" w:rsidRDefault="008A7790" w:rsidP="00DC47CE">
      <w:pPr>
        <w:pStyle w:val="BodyText2"/>
        <w:jc w:val="both"/>
      </w:pPr>
      <w:r w:rsidRPr="00DC47CE">
        <w:t xml:space="preserve">The number/amount of other movements that reconciles the detail at the start of the reporting period with the detail at the end of the Reporting Period. The </w:t>
      </w:r>
      <w:r w:rsidR="004C4EDB">
        <w:t xml:space="preserve">reporting form </w:t>
      </w:r>
      <w:r w:rsidRPr="00DC47CE">
        <w:t xml:space="preserve">will auto-complete this field, treating it as a balancing item to reconcile the various reported items. Insurers should, however, review </w:t>
      </w:r>
      <w:r w:rsidR="004E3BB5">
        <w:t xml:space="preserve">the accuracy of </w:t>
      </w:r>
      <w:r w:rsidRPr="00DC47CE">
        <w:t>this number. This item should include the impact of claims finalised during the Reporting Period.</w:t>
      </w:r>
    </w:p>
    <w:p w14:paraId="5D6D46AF" w14:textId="77777777" w:rsidR="008A7790" w:rsidRPr="00DC47CE" w:rsidRDefault="008A7790" w:rsidP="00DC47CE">
      <w:pPr>
        <w:pStyle w:val="BodyText2"/>
        <w:jc w:val="both"/>
      </w:pPr>
      <w:r w:rsidRPr="00DC47CE">
        <w:t>The number/amount in force at the end of the Reporting Period.</w:t>
      </w:r>
    </w:p>
    <w:p w14:paraId="0877BBB7" w14:textId="4A467CD3" w:rsidR="008A7790" w:rsidRPr="00DC47CE" w:rsidRDefault="001438B6" w:rsidP="00DC47CE">
      <w:pPr>
        <w:pStyle w:val="BodyText1"/>
      </w:pPr>
      <w:r>
        <w:t>The items listed in p</w:t>
      </w:r>
      <w:r w:rsidR="00457B3B">
        <w:t>aragraph</w:t>
      </w:r>
      <w:r w:rsidR="008A7790" w:rsidRPr="00DC47CE">
        <w:t xml:space="preserve">s </w:t>
      </w:r>
      <w:r w:rsidR="00DF12C5">
        <w:t>31</w:t>
      </w:r>
      <w:r w:rsidR="008A7790" w:rsidRPr="00DC47CE">
        <w:t xml:space="preserve"> to </w:t>
      </w:r>
      <w:r w:rsidR="00DF12C5">
        <w:t>35</w:t>
      </w:r>
      <w:r w:rsidR="008A7790" w:rsidRPr="00DC47CE">
        <w:t xml:space="preserve"> should be provided for each </w:t>
      </w:r>
      <w:r>
        <w:t xml:space="preserve">relevant </w:t>
      </w:r>
      <w:r w:rsidR="008A7790" w:rsidRPr="00DC47CE">
        <w:t>combination of the following data dimensions:</w:t>
      </w:r>
    </w:p>
    <w:p w14:paraId="7E559454" w14:textId="734B23D2" w:rsidR="008A7790" w:rsidRPr="00DC47CE" w:rsidRDefault="008A7790" w:rsidP="00DC47CE">
      <w:pPr>
        <w:pStyle w:val="BodyText2"/>
        <w:jc w:val="both"/>
      </w:pPr>
      <w:r w:rsidRPr="00DC47CE">
        <w:t>Insurance Type</w:t>
      </w:r>
      <w:r w:rsidR="001438B6">
        <w:t>;</w:t>
      </w:r>
    </w:p>
    <w:p w14:paraId="07B7BE6D" w14:textId="2FD007D1" w:rsidR="008A7790" w:rsidRPr="00DC47CE" w:rsidRDefault="008A7790" w:rsidP="00DC47CE">
      <w:pPr>
        <w:pStyle w:val="BodyText2"/>
        <w:jc w:val="both"/>
      </w:pPr>
      <w:r w:rsidRPr="00DC47CE">
        <w:t>On Sale Status</w:t>
      </w:r>
      <w:r w:rsidR="001438B6">
        <w:t>;</w:t>
      </w:r>
    </w:p>
    <w:p w14:paraId="3DF4ACA2" w14:textId="4824AD14" w:rsidR="008A7790" w:rsidRPr="00DC47CE" w:rsidRDefault="008A7790" w:rsidP="00DC47CE">
      <w:pPr>
        <w:pStyle w:val="BodyText2"/>
        <w:jc w:val="both"/>
      </w:pPr>
      <w:r w:rsidRPr="00DC47CE">
        <w:t>Advice Type</w:t>
      </w:r>
      <w:r w:rsidR="001438B6">
        <w:t>; and</w:t>
      </w:r>
    </w:p>
    <w:p w14:paraId="15FF6989" w14:textId="5582E3C2" w:rsidR="008A7790" w:rsidRPr="00DC47CE" w:rsidRDefault="008A7790" w:rsidP="00DC47CE">
      <w:pPr>
        <w:pStyle w:val="BodyText2"/>
        <w:jc w:val="both"/>
      </w:pPr>
      <w:r w:rsidRPr="00DC47CE">
        <w:t>Cover</w:t>
      </w:r>
      <w:r w:rsidR="00170DFB">
        <w:t>/Product</w:t>
      </w:r>
      <w:r w:rsidRPr="00DC47CE">
        <w:t xml:space="preserve"> Type</w:t>
      </w:r>
      <w:r w:rsidR="00170DFB" w:rsidRPr="0002751D">
        <w:t xml:space="preserve">, including </w:t>
      </w:r>
      <w:r w:rsidR="00170DFB">
        <w:t xml:space="preserve">relevant </w:t>
      </w:r>
      <w:r w:rsidR="00170DFB" w:rsidRPr="0002751D">
        <w:t>sub-categories</w:t>
      </w:r>
      <w:r w:rsidRPr="00DC47CE">
        <w:t>.</w:t>
      </w:r>
    </w:p>
    <w:p w14:paraId="1579FA36" w14:textId="6446BA3F" w:rsidR="008A7790" w:rsidRPr="00DC47CE" w:rsidRDefault="008A7790" w:rsidP="00DC47CE">
      <w:pPr>
        <w:pStyle w:val="BodyText1"/>
      </w:pPr>
      <w:r w:rsidRPr="00DC47CE">
        <w:t xml:space="preserve">Where a single Policy Contract contains multiple Policy Benefits of the same </w:t>
      </w:r>
      <w:r w:rsidR="002946A2">
        <w:t>C</w:t>
      </w:r>
      <w:r w:rsidRPr="00DC47CE">
        <w:t>over/</w:t>
      </w:r>
      <w:r w:rsidR="002946A2">
        <w:t>P</w:t>
      </w:r>
      <w:r w:rsidRPr="00DC47CE">
        <w:t xml:space="preserve">roduct </w:t>
      </w:r>
      <w:r w:rsidR="002946A2">
        <w:t>T</w:t>
      </w:r>
      <w:r w:rsidRPr="00DC47CE">
        <w:t>ype, these should be dealt with as follows:</w:t>
      </w:r>
    </w:p>
    <w:p w14:paraId="7ACF2B18" w14:textId="1514CCEA" w:rsidR="008A7790" w:rsidRPr="00DC47CE" w:rsidRDefault="008A7790" w:rsidP="00DC47CE">
      <w:pPr>
        <w:pStyle w:val="BodyText2"/>
        <w:jc w:val="both"/>
      </w:pPr>
      <w:r w:rsidRPr="00DC47CE">
        <w:t xml:space="preserve">Where multiple Policy Benefits all exist in the same combination of Insurance Type, On Sale Status and Advice Type, the different data items should be reported as follows, taking into account the different Policy Benefit categories defined in </w:t>
      </w:r>
      <w:r w:rsidR="00457B3B">
        <w:t>paragraph</w:t>
      </w:r>
      <w:r w:rsidRPr="00DC47CE">
        <w:t xml:space="preserve"> </w:t>
      </w:r>
      <w:r w:rsidR="00C216E2">
        <w:t>29</w:t>
      </w:r>
      <w:r w:rsidRPr="00DC47CE">
        <w:t>:</w:t>
      </w:r>
    </w:p>
    <w:p w14:paraId="59C7DAB8" w14:textId="2D0CEC11" w:rsidR="008A7790" w:rsidRPr="004D34CC" w:rsidRDefault="008A7790" w:rsidP="004D34CC">
      <w:pPr>
        <w:pStyle w:val="BodyText3"/>
        <w:jc w:val="both"/>
      </w:pPr>
      <w:r w:rsidRPr="004D34CC">
        <w:t xml:space="preserve">Policy Contract: One Policy Contract should be recorded under the relevant </w:t>
      </w:r>
      <w:r w:rsidR="002946A2">
        <w:t>C</w:t>
      </w:r>
      <w:r w:rsidRPr="004D34CC">
        <w:t>over/</w:t>
      </w:r>
      <w:r w:rsidR="002946A2">
        <w:t>P</w:t>
      </w:r>
      <w:r w:rsidRPr="004D34CC">
        <w:t xml:space="preserve">roduct </w:t>
      </w:r>
      <w:r w:rsidR="002946A2">
        <w:t>T</w:t>
      </w:r>
      <w:r w:rsidRPr="004D34CC">
        <w:t>ype, regardless of the Policy Benefit category.</w:t>
      </w:r>
    </w:p>
    <w:p w14:paraId="2D383D84" w14:textId="7B6238A8" w:rsidR="008A7790" w:rsidRPr="004D34CC" w:rsidRDefault="008A7790" w:rsidP="004D34CC">
      <w:pPr>
        <w:pStyle w:val="BodyText3"/>
        <w:jc w:val="both"/>
      </w:pPr>
      <w:r w:rsidRPr="004D34CC">
        <w:t xml:space="preserve">Lives Insured: The number of lives covered under the </w:t>
      </w:r>
      <w:r w:rsidR="002946A2">
        <w:t>C</w:t>
      </w:r>
      <w:r w:rsidRPr="004D34CC">
        <w:t>over/</w:t>
      </w:r>
      <w:r w:rsidR="002946A2">
        <w:t>P</w:t>
      </w:r>
      <w:r w:rsidRPr="004D34CC">
        <w:t xml:space="preserve">roduct </w:t>
      </w:r>
      <w:r w:rsidR="002946A2">
        <w:t>T</w:t>
      </w:r>
      <w:r w:rsidRPr="004D34CC">
        <w:t>ype should be recorded, regardless of the Policy Benefit category.</w:t>
      </w:r>
    </w:p>
    <w:p w14:paraId="57395E20" w14:textId="0E463E74" w:rsidR="008A7790" w:rsidRPr="004D34CC" w:rsidRDefault="008A7790" w:rsidP="004D34CC">
      <w:pPr>
        <w:pStyle w:val="BodyText3"/>
        <w:jc w:val="both"/>
      </w:pPr>
      <w:r w:rsidRPr="004D34CC">
        <w:t xml:space="preserve">Annual Premium: The total amount of premium charged in respect of the Policy Benefits under the </w:t>
      </w:r>
      <w:r w:rsidR="002946A2">
        <w:t>C</w:t>
      </w:r>
      <w:r w:rsidRPr="004D34CC">
        <w:t>over/</w:t>
      </w:r>
      <w:r w:rsidR="002946A2">
        <w:t>P</w:t>
      </w:r>
      <w:r w:rsidRPr="004D34CC">
        <w:t xml:space="preserve">roduct </w:t>
      </w:r>
      <w:r w:rsidR="002946A2">
        <w:t>T</w:t>
      </w:r>
      <w:r w:rsidRPr="004D34CC">
        <w:t>ype should be recorded, regardless of the Policy Benefit category.</w:t>
      </w:r>
    </w:p>
    <w:p w14:paraId="06F7EB99" w14:textId="541CA3ED" w:rsidR="008A7790" w:rsidRPr="004D34CC" w:rsidRDefault="008A7790" w:rsidP="004D34CC">
      <w:pPr>
        <w:pStyle w:val="BodyText3"/>
        <w:jc w:val="both"/>
      </w:pPr>
      <w:r w:rsidRPr="004D34CC">
        <w:t xml:space="preserve">Sum Insured: In respect of Policy Benefits that can be added together (i.e. </w:t>
      </w:r>
      <w:r w:rsidR="00457B3B">
        <w:t>paragraph</w:t>
      </w:r>
      <w:r w:rsidRPr="004D34CC">
        <w:t xml:space="preserve">s </w:t>
      </w:r>
      <w:r w:rsidR="00C216E2">
        <w:t>29</w:t>
      </w:r>
      <w:r w:rsidRPr="004D34CC">
        <w:t xml:space="preserve">(a) and </w:t>
      </w:r>
      <w:r w:rsidR="00C216E2">
        <w:t>29</w:t>
      </w:r>
      <w:r w:rsidRPr="004D34CC">
        <w:t xml:space="preserve">(b)), the </w:t>
      </w:r>
      <w:r w:rsidR="0016740D">
        <w:t>S</w:t>
      </w:r>
      <w:r w:rsidRPr="004D34CC">
        <w:t xml:space="preserve">ums </w:t>
      </w:r>
      <w:r w:rsidR="0016740D">
        <w:t>I</w:t>
      </w:r>
      <w:r w:rsidRPr="004D34CC">
        <w:t xml:space="preserve">nsured under the different Policy Benefits should be added together. In respect of Policy Benefits that cannot be added together (i.e. </w:t>
      </w:r>
      <w:r w:rsidR="00457B3B">
        <w:t>paragraph</w:t>
      </w:r>
      <w:r w:rsidRPr="004D34CC">
        <w:t xml:space="preserve"> </w:t>
      </w:r>
      <w:r w:rsidR="00C216E2">
        <w:t>29</w:t>
      </w:r>
      <w:r w:rsidRPr="004D34CC">
        <w:t xml:space="preserve">(c)), the </w:t>
      </w:r>
      <w:r w:rsidR="0016740D">
        <w:t>S</w:t>
      </w:r>
      <w:r w:rsidRPr="004D34CC">
        <w:t xml:space="preserve">um </w:t>
      </w:r>
      <w:r w:rsidR="0016740D">
        <w:lastRenderedPageBreak/>
        <w:t>I</w:t>
      </w:r>
      <w:r w:rsidRPr="004D34CC">
        <w:t xml:space="preserve">nsured of a single Policy Benefit should be reported. In the event of different </w:t>
      </w:r>
      <w:r w:rsidR="0016740D">
        <w:t>S</w:t>
      </w:r>
      <w:r w:rsidRPr="004D34CC">
        <w:t xml:space="preserve">ums </w:t>
      </w:r>
      <w:r w:rsidR="0016740D">
        <w:t>I</w:t>
      </w:r>
      <w:r w:rsidRPr="004D34CC">
        <w:t xml:space="preserve">nsured being payable under different Policy Benefits, the Policy Benefit with the highest </w:t>
      </w:r>
      <w:r w:rsidR="0016740D">
        <w:t>S</w:t>
      </w:r>
      <w:r w:rsidRPr="004D34CC">
        <w:t xml:space="preserve">um </w:t>
      </w:r>
      <w:r w:rsidR="0016740D">
        <w:t>I</w:t>
      </w:r>
      <w:r w:rsidRPr="004D34CC">
        <w:t>nsured should be reported.</w:t>
      </w:r>
    </w:p>
    <w:p w14:paraId="15696401" w14:textId="7C32BFD9" w:rsidR="008A7790" w:rsidRPr="004D34CC" w:rsidRDefault="008A7790" w:rsidP="004D34CC">
      <w:pPr>
        <w:pStyle w:val="BodyText2"/>
        <w:jc w:val="both"/>
      </w:pPr>
      <w:r w:rsidRPr="004D34CC">
        <w:t xml:space="preserve">Where a Policy Contract contains a Policy Benefit (or Benefits) that exist across more than one combination of Insurance Type, On Sale Status or Advice Type, the different data </w:t>
      </w:r>
      <w:r w:rsidR="00735918">
        <w:t>item</w:t>
      </w:r>
      <w:r w:rsidRPr="004D34CC">
        <w:t>s should be dealt with as follows:</w:t>
      </w:r>
    </w:p>
    <w:p w14:paraId="157E364B" w14:textId="57095C85" w:rsidR="008A7790" w:rsidRPr="004D34CC" w:rsidRDefault="008A7790" w:rsidP="004D34CC">
      <w:pPr>
        <w:pStyle w:val="BodyText3"/>
        <w:jc w:val="both"/>
      </w:pPr>
      <w:r w:rsidRPr="004D34CC">
        <w:t>Policy Contract: One Policy Contract should be recorded in each relevant data dimension combination. The number of unique Policy Contracts should, however, only be recorded once, in the category regarded as the main or dominant data dimension combination.</w:t>
      </w:r>
    </w:p>
    <w:p w14:paraId="58A4DE8D" w14:textId="375C6223" w:rsidR="008A7790" w:rsidRPr="004D34CC" w:rsidRDefault="008A7790" w:rsidP="004D34CC">
      <w:pPr>
        <w:pStyle w:val="BodyText3"/>
        <w:jc w:val="both"/>
      </w:pPr>
      <w:r w:rsidRPr="004D34CC">
        <w:t xml:space="preserve">Lives Insured: The number of lives covered under the </w:t>
      </w:r>
      <w:r w:rsidR="002946A2">
        <w:t>C</w:t>
      </w:r>
      <w:r w:rsidRPr="004D34CC">
        <w:t>over/</w:t>
      </w:r>
      <w:r w:rsidR="002946A2">
        <w:t>P</w:t>
      </w:r>
      <w:r w:rsidRPr="004D34CC">
        <w:t xml:space="preserve">roduct </w:t>
      </w:r>
      <w:r w:rsidR="002946A2">
        <w:t>T</w:t>
      </w:r>
      <w:r w:rsidRPr="004D34CC">
        <w:t>ype should be recorded in each relevant data dimension combination. The number of unique Lives Insured should, however, only be recorded once, in the category regarded as the main or dominant data dimension combination.</w:t>
      </w:r>
    </w:p>
    <w:p w14:paraId="755230DC" w14:textId="36E534B9" w:rsidR="008A7790" w:rsidRPr="004D34CC" w:rsidRDefault="008A7790" w:rsidP="004D34CC">
      <w:pPr>
        <w:pStyle w:val="BodyText3"/>
        <w:jc w:val="both"/>
      </w:pPr>
      <w:r w:rsidRPr="004D34CC">
        <w:t>Annual Premium: The total Annual Premium should be split across the different data dimensions that may be relevant to a specific Policy Contract. If the insurer does not determine or store separate amounts of premium, the total amount of Annual Premium should be apportioned between the relevant data dimensions.</w:t>
      </w:r>
    </w:p>
    <w:p w14:paraId="686FA6AA" w14:textId="77777777" w:rsidR="008A7790" w:rsidRPr="004D34CC" w:rsidRDefault="008A7790" w:rsidP="004D34CC">
      <w:pPr>
        <w:pStyle w:val="BodyText3"/>
        <w:jc w:val="both"/>
      </w:pPr>
      <w:r w:rsidRPr="004D34CC">
        <w:t>Sum Insured: Detail should be recorded separately for each relevant data dimension.</w:t>
      </w:r>
    </w:p>
    <w:p w14:paraId="71036BF5" w14:textId="77777777" w:rsidR="008A7790" w:rsidRDefault="008A7790" w:rsidP="004D34CC">
      <w:pPr>
        <w:pStyle w:val="ListParagraph"/>
        <w:ind w:left="567"/>
        <w:contextualSpacing w:val="0"/>
        <w:jc w:val="both"/>
        <w:rPr>
          <w:rFonts w:asciiTheme="minorHAnsi" w:hAnsiTheme="minorHAnsi" w:cstheme="minorHAnsi"/>
        </w:rPr>
      </w:pPr>
      <w:r w:rsidRPr="008A7790">
        <w:rPr>
          <w:rFonts w:asciiTheme="minorHAnsi" w:hAnsiTheme="minorHAnsi" w:cstheme="minorHAnsi"/>
        </w:rPr>
        <w:t>One specific application of the methodology outlined above is where a single Policy Contract contains benefits both inside and outside Super, typically with TPD cover.</w:t>
      </w:r>
    </w:p>
    <w:p w14:paraId="20D37265" w14:textId="7C00C061" w:rsidR="00A84FE4" w:rsidRDefault="008A7790" w:rsidP="00DC47CE">
      <w:pPr>
        <w:pStyle w:val="BodyText1"/>
      </w:pPr>
      <w:r w:rsidRPr="00A84FE4">
        <w:t>Ancillary Benefit</w:t>
      </w:r>
      <w:r w:rsidR="00735918">
        <w:t>s</w:t>
      </w:r>
      <w:r w:rsidRPr="00A84FE4">
        <w:t xml:space="preserve"> </w:t>
      </w:r>
      <w:r w:rsidR="00BA20C6">
        <w:t xml:space="preserve">that </w:t>
      </w:r>
      <w:r w:rsidR="005F3BC7">
        <w:t xml:space="preserve">result in an enhancement to the </w:t>
      </w:r>
      <w:r w:rsidR="00514710">
        <w:t xml:space="preserve">underlying </w:t>
      </w:r>
      <w:r w:rsidR="005F3BC7">
        <w:t>product or cover</w:t>
      </w:r>
      <w:r w:rsidR="00514710">
        <w:t>,</w:t>
      </w:r>
      <w:r w:rsidR="005F3BC7">
        <w:t xml:space="preserve"> </w:t>
      </w:r>
      <w:r w:rsidR="00146494">
        <w:t xml:space="preserve">as </w:t>
      </w:r>
      <w:r w:rsidR="00514710">
        <w:t>listed</w:t>
      </w:r>
      <w:r w:rsidR="005F3BC7">
        <w:t xml:space="preserve"> in paragraphs 16 to 18</w:t>
      </w:r>
      <w:r w:rsidR="00514710">
        <w:t>,</w:t>
      </w:r>
      <w:r w:rsidR="00BA20C6">
        <w:t xml:space="preserve"> should be included</w:t>
      </w:r>
      <w:r w:rsidR="005F3BC7">
        <w:t>.</w:t>
      </w:r>
      <w:r w:rsidR="004535C1" w:rsidRPr="004535C1">
        <w:t xml:space="preserve"> </w:t>
      </w:r>
      <w:r w:rsidR="004535C1" w:rsidRPr="000C5D80">
        <w:t xml:space="preserve">The inclusion of Ancillary Benefits should, however, not result in multiple </w:t>
      </w:r>
      <w:r w:rsidR="00F61E29">
        <w:t>Policy Contracts</w:t>
      </w:r>
      <w:r w:rsidR="004535C1" w:rsidRPr="000C5D80">
        <w:t>.</w:t>
      </w:r>
    </w:p>
    <w:p w14:paraId="6AD84689" w14:textId="365EC7F8" w:rsidR="00A84FE4" w:rsidRPr="00DC47CE" w:rsidRDefault="00683FA1" w:rsidP="00DC47CE">
      <w:pPr>
        <w:pStyle w:val="BodyText1"/>
      </w:pPr>
      <w:r>
        <w:t xml:space="preserve">Additional CCI policy </w:t>
      </w:r>
      <w:r w:rsidR="00F11CA5">
        <w:t>data</w:t>
      </w:r>
      <w:r>
        <w:t xml:space="preserve"> detail should be recorded in the </w:t>
      </w:r>
      <w:r w:rsidRPr="00DC47CE">
        <w:t xml:space="preserve">SUPPLEMENT_CCI sheet of the </w:t>
      </w:r>
      <w:r w:rsidR="00C17199">
        <w:t>reporting form</w:t>
      </w:r>
      <w:r w:rsidRPr="00DC47CE">
        <w:t xml:space="preserve">. </w:t>
      </w:r>
      <w:r w:rsidR="00735918">
        <w:t>T</w:t>
      </w:r>
      <w:r w:rsidRPr="00DC47CE">
        <w:t>he detail provided should be consistent with what has been reported in the main collection</w:t>
      </w:r>
      <w:r w:rsidR="0026699D" w:rsidRPr="00DC47CE">
        <w:t>, but providing a further split of data between credit card and loans, as well as between lump sum and monthly benefits.</w:t>
      </w:r>
      <w:r w:rsidR="007E7424">
        <w:t xml:space="preserve"> CCI m</w:t>
      </w:r>
      <w:r w:rsidR="007E7424" w:rsidRPr="00242E41">
        <w:t>onthly benefits should be reported on a capitalised basis, i.e. the monthly benefit multiplied by the number of months that the benefit is expected to be paid.</w:t>
      </w:r>
    </w:p>
    <w:p w14:paraId="089C43E8" w14:textId="45AF14E7" w:rsidR="008A7790" w:rsidRPr="00C216E2" w:rsidRDefault="00457B3B" w:rsidP="00C216E2">
      <w:pPr>
        <w:pStyle w:val="BodyText1"/>
      </w:pPr>
      <w:r>
        <w:t>Paragraph</w:t>
      </w:r>
      <w:r w:rsidR="008A7790" w:rsidRPr="00C216E2">
        <w:t xml:space="preserve">s </w:t>
      </w:r>
      <w:r w:rsidR="006D4414">
        <w:t>31</w:t>
      </w:r>
      <w:r w:rsidR="008A7790" w:rsidRPr="00C216E2">
        <w:t xml:space="preserve"> to </w:t>
      </w:r>
      <w:r w:rsidR="006D4414">
        <w:t>39</w:t>
      </w:r>
      <w:r w:rsidR="00A84FE4" w:rsidRPr="00C216E2">
        <w:t xml:space="preserve"> </w:t>
      </w:r>
      <w:r w:rsidR="008A7790" w:rsidRPr="00C216E2">
        <w:t xml:space="preserve">correspond with the following sheets in the </w:t>
      </w:r>
      <w:r w:rsidR="00C17199">
        <w:t>reporting form</w:t>
      </w:r>
      <w:r w:rsidR="008A7790" w:rsidRPr="00C216E2">
        <w:t>:</w:t>
      </w:r>
    </w:p>
    <w:tbl>
      <w:tblPr>
        <w:tblW w:w="9072" w:type="dxa"/>
        <w:tblInd w:w="-10" w:type="dxa"/>
        <w:tblLook w:val="04A0" w:firstRow="1" w:lastRow="0" w:firstColumn="1" w:lastColumn="0" w:noHBand="0" w:noVBand="1"/>
      </w:tblPr>
      <w:tblGrid>
        <w:gridCol w:w="3603"/>
        <w:gridCol w:w="2637"/>
        <w:gridCol w:w="1273"/>
        <w:gridCol w:w="1559"/>
      </w:tblGrid>
      <w:tr w:rsidR="00F11CA5" w:rsidRPr="00F11CA5" w14:paraId="3010EB2A" w14:textId="77777777" w:rsidTr="00007CF9">
        <w:trPr>
          <w:trHeight w:val="645"/>
        </w:trPr>
        <w:tc>
          <w:tcPr>
            <w:tcW w:w="3603" w:type="dxa"/>
            <w:tcBorders>
              <w:top w:val="single" w:sz="8" w:space="0" w:color="auto"/>
              <w:left w:val="single" w:sz="8" w:space="0" w:color="auto"/>
              <w:bottom w:val="single" w:sz="8" w:space="0" w:color="auto"/>
              <w:right w:val="single" w:sz="8" w:space="0" w:color="auto"/>
            </w:tcBorders>
            <w:shd w:val="clear" w:color="000000" w:fill="D9D9D9"/>
            <w:hideMark/>
          </w:tcPr>
          <w:p w14:paraId="6220E04E" w14:textId="77777777" w:rsidR="00F11CA5" w:rsidRPr="00F11CA5" w:rsidRDefault="00F11CA5">
            <w:pPr>
              <w:rPr>
                <w:rFonts w:eastAsia="Times New Roman"/>
                <w:b/>
                <w:bCs/>
                <w:color w:val="000000"/>
              </w:rPr>
            </w:pPr>
            <w:r w:rsidRPr="00F11CA5">
              <w:rPr>
                <w:rFonts w:eastAsia="Times New Roman"/>
                <w:b/>
                <w:bCs/>
                <w:color w:val="000000"/>
              </w:rPr>
              <w:t>Sheet Name</w:t>
            </w:r>
          </w:p>
        </w:tc>
        <w:tc>
          <w:tcPr>
            <w:tcW w:w="2637" w:type="dxa"/>
            <w:tcBorders>
              <w:top w:val="single" w:sz="8" w:space="0" w:color="auto"/>
              <w:left w:val="nil"/>
              <w:bottom w:val="single" w:sz="8" w:space="0" w:color="auto"/>
              <w:right w:val="single" w:sz="8" w:space="0" w:color="auto"/>
            </w:tcBorders>
            <w:shd w:val="clear" w:color="000000" w:fill="D9D9D9"/>
            <w:hideMark/>
          </w:tcPr>
          <w:p w14:paraId="2249F1D2" w14:textId="77777777" w:rsidR="00F11CA5" w:rsidRPr="00F11CA5" w:rsidRDefault="00F11CA5" w:rsidP="00F11CA5">
            <w:pPr>
              <w:spacing w:after="0"/>
              <w:rPr>
                <w:rFonts w:eastAsia="Times New Roman"/>
                <w:b/>
                <w:bCs/>
                <w:color w:val="000000"/>
              </w:rPr>
            </w:pPr>
            <w:r w:rsidRPr="00F11CA5">
              <w:rPr>
                <w:rFonts w:eastAsia="Times New Roman"/>
                <w:b/>
                <w:bCs/>
                <w:color w:val="000000"/>
              </w:rPr>
              <w:t>Insurance Type</w:t>
            </w:r>
          </w:p>
        </w:tc>
        <w:tc>
          <w:tcPr>
            <w:tcW w:w="1273" w:type="dxa"/>
            <w:tcBorders>
              <w:top w:val="single" w:sz="8" w:space="0" w:color="auto"/>
              <w:left w:val="nil"/>
              <w:bottom w:val="single" w:sz="8" w:space="0" w:color="auto"/>
              <w:right w:val="single" w:sz="8" w:space="0" w:color="auto"/>
            </w:tcBorders>
            <w:shd w:val="clear" w:color="000000" w:fill="D9D9D9"/>
            <w:hideMark/>
          </w:tcPr>
          <w:p w14:paraId="09CEC4D5" w14:textId="77777777" w:rsidR="00F11CA5" w:rsidRPr="00F11CA5" w:rsidRDefault="00F11CA5" w:rsidP="00F11CA5">
            <w:pPr>
              <w:spacing w:after="0"/>
              <w:rPr>
                <w:rFonts w:eastAsia="Times New Roman"/>
                <w:b/>
                <w:bCs/>
                <w:color w:val="000000"/>
              </w:rPr>
            </w:pPr>
            <w:r w:rsidRPr="00F11CA5">
              <w:rPr>
                <w:rFonts w:eastAsia="Times New Roman"/>
                <w:b/>
                <w:bCs/>
                <w:color w:val="000000"/>
              </w:rPr>
              <w:t>On Sale Status</w:t>
            </w:r>
          </w:p>
        </w:tc>
        <w:tc>
          <w:tcPr>
            <w:tcW w:w="1559" w:type="dxa"/>
            <w:tcBorders>
              <w:top w:val="single" w:sz="8" w:space="0" w:color="auto"/>
              <w:left w:val="nil"/>
              <w:bottom w:val="single" w:sz="8" w:space="0" w:color="auto"/>
              <w:right w:val="single" w:sz="8" w:space="0" w:color="auto"/>
            </w:tcBorders>
            <w:shd w:val="clear" w:color="000000" w:fill="D9D9D9"/>
            <w:hideMark/>
          </w:tcPr>
          <w:p w14:paraId="5C61D40D" w14:textId="77777777" w:rsidR="00F11CA5" w:rsidRPr="00F11CA5" w:rsidRDefault="00F11CA5" w:rsidP="00F11CA5">
            <w:pPr>
              <w:spacing w:after="0"/>
              <w:rPr>
                <w:rFonts w:eastAsia="Times New Roman"/>
                <w:b/>
                <w:bCs/>
                <w:color w:val="000000"/>
              </w:rPr>
            </w:pPr>
            <w:r w:rsidRPr="00F11CA5">
              <w:rPr>
                <w:rFonts w:eastAsia="Times New Roman"/>
                <w:b/>
                <w:bCs/>
                <w:color w:val="000000"/>
              </w:rPr>
              <w:t>Advice Type</w:t>
            </w:r>
          </w:p>
        </w:tc>
      </w:tr>
      <w:tr w:rsidR="00F11CA5" w:rsidRPr="00F11CA5" w14:paraId="6DC5921A"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141A6814" w14:textId="77777777" w:rsidR="00F11CA5" w:rsidRPr="00F11CA5" w:rsidRDefault="00F11CA5" w:rsidP="00F11CA5">
            <w:pPr>
              <w:spacing w:after="0"/>
              <w:jc w:val="both"/>
              <w:rPr>
                <w:rFonts w:eastAsia="Times New Roman"/>
                <w:color w:val="000000"/>
              </w:rPr>
            </w:pPr>
            <w:r w:rsidRPr="00F11CA5">
              <w:rPr>
                <w:rFonts w:eastAsia="Times New Roman"/>
                <w:color w:val="000000"/>
              </w:rPr>
              <w:t>STATS_IndOS_Open_Adv</w:t>
            </w:r>
          </w:p>
        </w:tc>
        <w:tc>
          <w:tcPr>
            <w:tcW w:w="2637" w:type="dxa"/>
            <w:tcBorders>
              <w:top w:val="nil"/>
              <w:left w:val="nil"/>
              <w:bottom w:val="single" w:sz="8" w:space="0" w:color="auto"/>
              <w:right w:val="single" w:sz="8" w:space="0" w:color="auto"/>
            </w:tcBorders>
            <w:shd w:val="clear" w:color="auto" w:fill="auto"/>
            <w:vAlign w:val="center"/>
            <w:hideMark/>
          </w:tcPr>
          <w:p w14:paraId="5417751F" w14:textId="77777777" w:rsidR="00F11CA5" w:rsidRPr="00F11CA5" w:rsidRDefault="00F11CA5" w:rsidP="00F11CA5">
            <w:pPr>
              <w:spacing w:after="0"/>
              <w:jc w:val="both"/>
              <w:rPr>
                <w:rFonts w:eastAsia="Times New Roman"/>
                <w:color w:val="000000"/>
              </w:rPr>
            </w:pPr>
            <w:r w:rsidRPr="00F11CA5">
              <w:rPr>
                <w:rFonts w:eastAsia="Times New Roman"/>
                <w:color w:val="000000"/>
              </w:rPr>
              <w:t>Individual outside Super</w:t>
            </w:r>
          </w:p>
        </w:tc>
        <w:tc>
          <w:tcPr>
            <w:tcW w:w="1273" w:type="dxa"/>
            <w:tcBorders>
              <w:top w:val="nil"/>
              <w:left w:val="nil"/>
              <w:bottom w:val="single" w:sz="8" w:space="0" w:color="auto"/>
              <w:right w:val="single" w:sz="8" w:space="0" w:color="auto"/>
            </w:tcBorders>
            <w:shd w:val="clear" w:color="auto" w:fill="auto"/>
            <w:vAlign w:val="center"/>
            <w:hideMark/>
          </w:tcPr>
          <w:p w14:paraId="22F50666" w14:textId="77777777" w:rsidR="00F11CA5" w:rsidRPr="00F11CA5" w:rsidRDefault="00F11CA5" w:rsidP="00F11CA5">
            <w:pPr>
              <w:spacing w:after="0"/>
              <w:jc w:val="both"/>
              <w:rPr>
                <w:rFonts w:eastAsia="Times New Roman"/>
                <w:color w:val="000000"/>
              </w:rPr>
            </w:pPr>
            <w:r w:rsidRPr="00F11CA5">
              <w:rPr>
                <w:rFonts w:eastAsia="Times New Roman"/>
                <w:color w:val="000000"/>
              </w:rPr>
              <w:t>Open</w:t>
            </w:r>
          </w:p>
        </w:tc>
        <w:tc>
          <w:tcPr>
            <w:tcW w:w="1559" w:type="dxa"/>
            <w:tcBorders>
              <w:top w:val="nil"/>
              <w:left w:val="nil"/>
              <w:bottom w:val="single" w:sz="8" w:space="0" w:color="auto"/>
              <w:right w:val="single" w:sz="8" w:space="0" w:color="auto"/>
            </w:tcBorders>
            <w:shd w:val="clear" w:color="auto" w:fill="auto"/>
            <w:vAlign w:val="center"/>
            <w:hideMark/>
          </w:tcPr>
          <w:p w14:paraId="2D032C41" w14:textId="77777777" w:rsidR="00F11CA5" w:rsidRPr="00F11CA5" w:rsidRDefault="00F11CA5" w:rsidP="00F11CA5">
            <w:pPr>
              <w:spacing w:after="0"/>
              <w:jc w:val="both"/>
              <w:rPr>
                <w:rFonts w:eastAsia="Times New Roman"/>
                <w:color w:val="000000"/>
              </w:rPr>
            </w:pPr>
            <w:r w:rsidRPr="00F11CA5">
              <w:rPr>
                <w:rFonts w:eastAsia="Times New Roman"/>
                <w:color w:val="000000"/>
              </w:rPr>
              <w:t>Advised</w:t>
            </w:r>
          </w:p>
        </w:tc>
      </w:tr>
      <w:tr w:rsidR="00F11CA5" w:rsidRPr="00F11CA5" w14:paraId="2B35F315"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4F82DD24" w14:textId="77777777" w:rsidR="00F11CA5" w:rsidRPr="00F11CA5" w:rsidRDefault="00F11CA5" w:rsidP="00F11CA5">
            <w:pPr>
              <w:spacing w:after="0"/>
              <w:jc w:val="both"/>
              <w:rPr>
                <w:rFonts w:eastAsia="Times New Roman"/>
                <w:color w:val="000000"/>
              </w:rPr>
            </w:pPr>
            <w:r w:rsidRPr="00F11CA5">
              <w:rPr>
                <w:rFonts w:eastAsia="Times New Roman"/>
                <w:color w:val="000000"/>
              </w:rPr>
              <w:t>STATS_IndOS_Closed_Adv</w:t>
            </w:r>
          </w:p>
        </w:tc>
        <w:tc>
          <w:tcPr>
            <w:tcW w:w="2637" w:type="dxa"/>
            <w:tcBorders>
              <w:top w:val="nil"/>
              <w:left w:val="nil"/>
              <w:bottom w:val="single" w:sz="8" w:space="0" w:color="auto"/>
              <w:right w:val="single" w:sz="8" w:space="0" w:color="auto"/>
            </w:tcBorders>
            <w:shd w:val="clear" w:color="auto" w:fill="auto"/>
            <w:vAlign w:val="center"/>
            <w:hideMark/>
          </w:tcPr>
          <w:p w14:paraId="6A6A84EB" w14:textId="77777777" w:rsidR="00F11CA5" w:rsidRPr="00F11CA5" w:rsidRDefault="00F11CA5" w:rsidP="00F11CA5">
            <w:pPr>
              <w:spacing w:after="0"/>
              <w:jc w:val="both"/>
              <w:rPr>
                <w:rFonts w:eastAsia="Times New Roman"/>
                <w:color w:val="000000"/>
              </w:rPr>
            </w:pPr>
            <w:r w:rsidRPr="00F11CA5">
              <w:rPr>
                <w:rFonts w:eastAsia="Times New Roman"/>
                <w:color w:val="000000"/>
              </w:rPr>
              <w:t>Individual outside Super</w:t>
            </w:r>
          </w:p>
        </w:tc>
        <w:tc>
          <w:tcPr>
            <w:tcW w:w="1273" w:type="dxa"/>
            <w:tcBorders>
              <w:top w:val="nil"/>
              <w:left w:val="nil"/>
              <w:bottom w:val="single" w:sz="8" w:space="0" w:color="auto"/>
              <w:right w:val="single" w:sz="8" w:space="0" w:color="auto"/>
            </w:tcBorders>
            <w:shd w:val="clear" w:color="auto" w:fill="auto"/>
            <w:vAlign w:val="center"/>
            <w:hideMark/>
          </w:tcPr>
          <w:p w14:paraId="137A1938" w14:textId="77777777" w:rsidR="00F11CA5" w:rsidRPr="00F11CA5" w:rsidRDefault="00F11CA5" w:rsidP="00F11CA5">
            <w:pPr>
              <w:spacing w:after="0"/>
              <w:jc w:val="both"/>
              <w:rPr>
                <w:rFonts w:eastAsia="Times New Roman"/>
                <w:color w:val="000000"/>
              </w:rPr>
            </w:pPr>
            <w:r w:rsidRPr="00F11CA5">
              <w:rPr>
                <w:rFonts w:eastAsia="Times New Roman"/>
                <w:color w:val="000000"/>
              </w:rPr>
              <w:t>Closed</w:t>
            </w:r>
          </w:p>
        </w:tc>
        <w:tc>
          <w:tcPr>
            <w:tcW w:w="1559" w:type="dxa"/>
            <w:tcBorders>
              <w:top w:val="nil"/>
              <w:left w:val="nil"/>
              <w:bottom w:val="single" w:sz="8" w:space="0" w:color="auto"/>
              <w:right w:val="single" w:sz="8" w:space="0" w:color="auto"/>
            </w:tcBorders>
            <w:shd w:val="clear" w:color="auto" w:fill="auto"/>
            <w:vAlign w:val="center"/>
            <w:hideMark/>
          </w:tcPr>
          <w:p w14:paraId="4E2637C2" w14:textId="77777777" w:rsidR="00F11CA5" w:rsidRPr="00F11CA5" w:rsidRDefault="00F11CA5" w:rsidP="00F11CA5">
            <w:pPr>
              <w:spacing w:after="0"/>
              <w:jc w:val="both"/>
              <w:rPr>
                <w:rFonts w:eastAsia="Times New Roman"/>
                <w:color w:val="000000"/>
              </w:rPr>
            </w:pPr>
            <w:r w:rsidRPr="00F11CA5">
              <w:rPr>
                <w:rFonts w:eastAsia="Times New Roman"/>
                <w:color w:val="000000"/>
              </w:rPr>
              <w:t>Advised</w:t>
            </w:r>
          </w:p>
        </w:tc>
      </w:tr>
      <w:tr w:rsidR="00F11CA5" w:rsidRPr="00F11CA5" w14:paraId="24E79F4E"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4FBB2BCB" w14:textId="77777777" w:rsidR="00F11CA5" w:rsidRPr="00F11CA5" w:rsidRDefault="00F11CA5" w:rsidP="00F11CA5">
            <w:pPr>
              <w:spacing w:after="0"/>
              <w:jc w:val="both"/>
              <w:rPr>
                <w:rFonts w:eastAsia="Times New Roman"/>
                <w:color w:val="000000"/>
              </w:rPr>
            </w:pPr>
            <w:r w:rsidRPr="00F11CA5">
              <w:rPr>
                <w:rFonts w:eastAsia="Times New Roman"/>
                <w:color w:val="000000"/>
              </w:rPr>
              <w:t>STATS_IndOS_Open_NonAdv</w:t>
            </w:r>
          </w:p>
        </w:tc>
        <w:tc>
          <w:tcPr>
            <w:tcW w:w="2637" w:type="dxa"/>
            <w:tcBorders>
              <w:top w:val="nil"/>
              <w:left w:val="nil"/>
              <w:bottom w:val="single" w:sz="8" w:space="0" w:color="auto"/>
              <w:right w:val="single" w:sz="8" w:space="0" w:color="auto"/>
            </w:tcBorders>
            <w:shd w:val="clear" w:color="auto" w:fill="auto"/>
            <w:vAlign w:val="center"/>
            <w:hideMark/>
          </w:tcPr>
          <w:p w14:paraId="5A8BE94E" w14:textId="77777777" w:rsidR="00F11CA5" w:rsidRPr="00F11CA5" w:rsidRDefault="00F11CA5" w:rsidP="00F11CA5">
            <w:pPr>
              <w:spacing w:after="0"/>
              <w:jc w:val="both"/>
              <w:rPr>
                <w:rFonts w:eastAsia="Times New Roman"/>
                <w:color w:val="000000"/>
              </w:rPr>
            </w:pPr>
            <w:r w:rsidRPr="00F11CA5">
              <w:rPr>
                <w:rFonts w:eastAsia="Times New Roman"/>
                <w:color w:val="000000"/>
              </w:rPr>
              <w:t>Individual outside Super</w:t>
            </w:r>
          </w:p>
        </w:tc>
        <w:tc>
          <w:tcPr>
            <w:tcW w:w="1273" w:type="dxa"/>
            <w:tcBorders>
              <w:top w:val="nil"/>
              <w:left w:val="nil"/>
              <w:bottom w:val="single" w:sz="8" w:space="0" w:color="auto"/>
              <w:right w:val="single" w:sz="8" w:space="0" w:color="auto"/>
            </w:tcBorders>
            <w:shd w:val="clear" w:color="auto" w:fill="auto"/>
            <w:vAlign w:val="center"/>
            <w:hideMark/>
          </w:tcPr>
          <w:p w14:paraId="44823804" w14:textId="77777777" w:rsidR="00F11CA5" w:rsidRPr="00F11CA5" w:rsidRDefault="00F11CA5" w:rsidP="00F11CA5">
            <w:pPr>
              <w:spacing w:after="0"/>
              <w:jc w:val="both"/>
              <w:rPr>
                <w:rFonts w:eastAsia="Times New Roman"/>
                <w:color w:val="000000"/>
              </w:rPr>
            </w:pPr>
            <w:r w:rsidRPr="00F11CA5">
              <w:rPr>
                <w:rFonts w:eastAsia="Times New Roman"/>
                <w:color w:val="000000"/>
              </w:rPr>
              <w:t>Open</w:t>
            </w:r>
          </w:p>
        </w:tc>
        <w:tc>
          <w:tcPr>
            <w:tcW w:w="1559" w:type="dxa"/>
            <w:tcBorders>
              <w:top w:val="nil"/>
              <w:left w:val="nil"/>
              <w:bottom w:val="single" w:sz="8" w:space="0" w:color="auto"/>
              <w:right w:val="single" w:sz="8" w:space="0" w:color="auto"/>
            </w:tcBorders>
            <w:shd w:val="clear" w:color="auto" w:fill="auto"/>
            <w:vAlign w:val="center"/>
            <w:hideMark/>
          </w:tcPr>
          <w:p w14:paraId="52ABD3C2" w14:textId="77777777" w:rsidR="00F11CA5" w:rsidRPr="00F11CA5" w:rsidRDefault="00F11CA5" w:rsidP="00F11CA5">
            <w:pPr>
              <w:spacing w:after="0"/>
              <w:jc w:val="both"/>
              <w:rPr>
                <w:rFonts w:eastAsia="Times New Roman"/>
                <w:color w:val="000000"/>
              </w:rPr>
            </w:pPr>
            <w:r w:rsidRPr="00F11CA5">
              <w:rPr>
                <w:rFonts w:eastAsia="Times New Roman"/>
                <w:color w:val="000000"/>
              </w:rPr>
              <w:t>Non-Advised</w:t>
            </w:r>
          </w:p>
        </w:tc>
      </w:tr>
      <w:tr w:rsidR="00F11CA5" w:rsidRPr="00F11CA5" w14:paraId="09E6A407"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64D74767" w14:textId="77777777" w:rsidR="00F11CA5" w:rsidRPr="00F11CA5" w:rsidRDefault="00F11CA5" w:rsidP="00F11CA5">
            <w:pPr>
              <w:spacing w:after="0"/>
              <w:jc w:val="both"/>
              <w:rPr>
                <w:rFonts w:eastAsia="Times New Roman"/>
                <w:color w:val="000000"/>
              </w:rPr>
            </w:pPr>
            <w:r w:rsidRPr="00F11CA5">
              <w:rPr>
                <w:rFonts w:eastAsia="Times New Roman"/>
                <w:color w:val="000000"/>
              </w:rPr>
              <w:lastRenderedPageBreak/>
              <w:t>STATS_IndOS_Closed_NonAdv</w:t>
            </w:r>
          </w:p>
        </w:tc>
        <w:tc>
          <w:tcPr>
            <w:tcW w:w="2637" w:type="dxa"/>
            <w:tcBorders>
              <w:top w:val="nil"/>
              <w:left w:val="nil"/>
              <w:bottom w:val="single" w:sz="8" w:space="0" w:color="auto"/>
              <w:right w:val="single" w:sz="8" w:space="0" w:color="auto"/>
            </w:tcBorders>
            <w:shd w:val="clear" w:color="auto" w:fill="auto"/>
            <w:vAlign w:val="center"/>
            <w:hideMark/>
          </w:tcPr>
          <w:p w14:paraId="31DB32FB" w14:textId="77777777" w:rsidR="00F11CA5" w:rsidRPr="00F11CA5" w:rsidRDefault="00F11CA5" w:rsidP="00F11CA5">
            <w:pPr>
              <w:spacing w:after="0"/>
              <w:jc w:val="both"/>
              <w:rPr>
                <w:rFonts w:eastAsia="Times New Roman"/>
                <w:color w:val="000000"/>
              </w:rPr>
            </w:pPr>
            <w:r w:rsidRPr="00F11CA5">
              <w:rPr>
                <w:rFonts w:eastAsia="Times New Roman"/>
                <w:color w:val="000000"/>
              </w:rPr>
              <w:t>Individual outside Super</w:t>
            </w:r>
          </w:p>
        </w:tc>
        <w:tc>
          <w:tcPr>
            <w:tcW w:w="1273" w:type="dxa"/>
            <w:tcBorders>
              <w:top w:val="nil"/>
              <w:left w:val="nil"/>
              <w:bottom w:val="single" w:sz="8" w:space="0" w:color="auto"/>
              <w:right w:val="single" w:sz="8" w:space="0" w:color="auto"/>
            </w:tcBorders>
            <w:shd w:val="clear" w:color="auto" w:fill="auto"/>
            <w:vAlign w:val="center"/>
            <w:hideMark/>
          </w:tcPr>
          <w:p w14:paraId="413F84A0" w14:textId="77777777" w:rsidR="00F11CA5" w:rsidRPr="00F11CA5" w:rsidRDefault="00F11CA5" w:rsidP="00F11CA5">
            <w:pPr>
              <w:spacing w:after="0"/>
              <w:jc w:val="both"/>
              <w:rPr>
                <w:rFonts w:eastAsia="Times New Roman"/>
                <w:color w:val="000000"/>
              </w:rPr>
            </w:pPr>
            <w:r w:rsidRPr="00F11CA5">
              <w:rPr>
                <w:rFonts w:eastAsia="Times New Roman"/>
                <w:color w:val="000000"/>
              </w:rPr>
              <w:t>Closed</w:t>
            </w:r>
          </w:p>
        </w:tc>
        <w:tc>
          <w:tcPr>
            <w:tcW w:w="1559" w:type="dxa"/>
            <w:tcBorders>
              <w:top w:val="nil"/>
              <w:left w:val="nil"/>
              <w:bottom w:val="single" w:sz="8" w:space="0" w:color="auto"/>
              <w:right w:val="single" w:sz="8" w:space="0" w:color="auto"/>
            </w:tcBorders>
            <w:shd w:val="clear" w:color="auto" w:fill="auto"/>
            <w:vAlign w:val="center"/>
            <w:hideMark/>
          </w:tcPr>
          <w:p w14:paraId="3CCFC5DE" w14:textId="77777777" w:rsidR="00F11CA5" w:rsidRPr="00F11CA5" w:rsidRDefault="00F11CA5" w:rsidP="00F11CA5">
            <w:pPr>
              <w:spacing w:after="0"/>
              <w:jc w:val="both"/>
              <w:rPr>
                <w:rFonts w:eastAsia="Times New Roman"/>
                <w:color w:val="000000"/>
              </w:rPr>
            </w:pPr>
            <w:r w:rsidRPr="00F11CA5">
              <w:rPr>
                <w:rFonts w:eastAsia="Times New Roman"/>
                <w:color w:val="000000"/>
              </w:rPr>
              <w:t>Non-Advised</w:t>
            </w:r>
          </w:p>
        </w:tc>
      </w:tr>
      <w:tr w:rsidR="00F11CA5" w:rsidRPr="00F11CA5" w14:paraId="2FA43B0B"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702F53DE" w14:textId="77777777" w:rsidR="00F11CA5" w:rsidRPr="00F11CA5" w:rsidRDefault="00F11CA5" w:rsidP="00F11CA5">
            <w:pPr>
              <w:spacing w:after="0"/>
              <w:jc w:val="both"/>
              <w:rPr>
                <w:rFonts w:eastAsia="Times New Roman"/>
                <w:color w:val="000000"/>
              </w:rPr>
            </w:pPr>
            <w:r w:rsidRPr="00F11CA5">
              <w:rPr>
                <w:rFonts w:eastAsia="Times New Roman"/>
                <w:color w:val="000000"/>
              </w:rPr>
              <w:t>STATS_IndIS_Open_Adv</w:t>
            </w:r>
          </w:p>
        </w:tc>
        <w:tc>
          <w:tcPr>
            <w:tcW w:w="2637" w:type="dxa"/>
            <w:tcBorders>
              <w:top w:val="nil"/>
              <w:left w:val="nil"/>
              <w:bottom w:val="single" w:sz="8" w:space="0" w:color="auto"/>
              <w:right w:val="single" w:sz="8" w:space="0" w:color="auto"/>
            </w:tcBorders>
            <w:shd w:val="clear" w:color="auto" w:fill="auto"/>
            <w:vAlign w:val="center"/>
            <w:hideMark/>
          </w:tcPr>
          <w:p w14:paraId="62B155BF" w14:textId="77777777" w:rsidR="00F11CA5" w:rsidRPr="00F11CA5" w:rsidRDefault="00F11CA5" w:rsidP="00F11CA5">
            <w:pPr>
              <w:spacing w:after="0"/>
              <w:jc w:val="both"/>
              <w:rPr>
                <w:rFonts w:eastAsia="Times New Roman"/>
                <w:color w:val="000000"/>
              </w:rPr>
            </w:pPr>
            <w:r w:rsidRPr="00F11CA5">
              <w:rPr>
                <w:rFonts w:eastAsia="Times New Roman"/>
                <w:color w:val="000000"/>
              </w:rPr>
              <w:t>Individual inside Super</w:t>
            </w:r>
          </w:p>
        </w:tc>
        <w:tc>
          <w:tcPr>
            <w:tcW w:w="1273" w:type="dxa"/>
            <w:tcBorders>
              <w:top w:val="nil"/>
              <w:left w:val="nil"/>
              <w:bottom w:val="single" w:sz="8" w:space="0" w:color="auto"/>
              <w:right w:val="single" w:sz="8" w:space="0" w:color="auto"/>
            </w:tcBorders>
            <w:shd w:val="clear" w:color="auto" w:fill="auto"/>
            <w:vAlign w:val="center"/>
            <w:hideMark/>
          </w:tcPr>
          <w:p w14:paraId="48336205" w14:textId="77777777" w:rsidR="00F11CA5" w:rsidRPr="00F11CA5" w:rsidRDefault="00F11CA5" w:rsidP="00F11CA5">
            <w:pPr>
              <w:spacing w:after="0"/>
              <w:jc w:val="both"/>
              <w:rPr>
                <w:rFonts w:eastAsia="Times New Roman"/>
                <w:color w:val="000000"/>
              </w:rPr>
            </w:pPr>
            <w:r w:rsidRPr="00F11CA5">
              <w:rPr>
                <w:rFonts w:eastAsia="Times New Roman"/>
                <w:color w:val="000000"/>
              </w:rPr>
              <w:t>Open</w:t>
            </w:r>
          </w:p>
        </w:tc>
        <w:tc>
          <w:tcPr>
            <w:tcW w:w="1559" w:type="dxa"/>
            <w:tcBorders>
              <w:top w:val="nil"/>
              <w:left w:val="nil"/>
              <w:bottom w:val="single" w:sz="8" w:space="0" w:color="auto"/>
              <w:right w:val="single" w:sz="8" w:space="0" w:color="auto"/>
            </w:tcBorders>
            <w:shd w:val="clear" w:color="auto" w:fill="auto"/>
            <w:vAlign w:val="center"/>
            <w:hideMark/>
          </w:tcPr>
          <w:p w14:paraId="7644274A" w14:textId="77777777" w:rsidR="00F11CA5" w:rsidRPr="00F11CA5" w:rsidRDefault="00F11CA5" w:rsidP="00F11CA5">
            <w:pPr>
              <w:spacing w:after="0"/>
              <w:jc w:val="both"/>
              <w:rPr>
                <w:rFonts w:eastAsia="Times New Roman"/>
                <w:color w:val="000000"/>
              </w:rPr>
            </w:pPr>
            <w:r w:rsidRPr="00F11CA5">
              <w:rPr>
                <w:rFonts w:eastAsia="Times New Roman"/>
                <w:color w:val="000000"/>
              </w:rPr>
              <w:t>Advised</w:t>
            </w:r>
          </w:p>
        </w:tc>
      </w:tr>
      <w:tr w:rsidR="00F11CA5" w:rsidRPr="00F11CA5" w14:paraId="0AFD918A"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4A79E3E5" w14:textId="77777777" w:rsidR="00F11CA5" w:rsidRPr="00F11CA5" w:rsidRDefault="00F11CA5" w:rsidP="00F11CA5">
            <w:pPr>
              <w:spacing w:after="0"/>
              <w:jc w:val="both"/>
              <w:rPr>
                <w:rFonts w:eastAsia="Times New Roman"/>
                <w:color w:val="000000"/>
              </w:rPr>
            </w:pPr>
            <w:r w:rsidRPr="00F11CA5">
              <w:rPr>
                <w:rFonts w:eastAsia="Times New Roman"/>
                <w:color w:val="000000"/>
              </w:rPr>
              <w:t>STATS_IndIS_Closed_Adv</w:t>
            </w:r>
          </w:p>
        </w:tc>
        <w:tc>
          <w:tcPr>
            <w:tcW w:w="2637" w:type="dxa"/>
            <w:tcBorders>
              <w:top w:val="nil"/>
              <w:left w:val="nil"/>
              <w:bottom w:val="single" w:sz="8" w:space="0" w:color="auto"/>
              <w:right w:val="single" w:sz="8" w:space="0" w:color="auto"/>
            </w:tcBorders>
            <w:shd w:val="clear" w:color="auto" w:fill="auto"/>
            <w:vAlign w:val="center"/>
            <w:hideMark/>
          </w:tcPr>
          <w:p w14:paraId="4128AC4C" w14:textId="77777777" w:rsidR="00F11CA5" w:rsidRPr="00F11CA5" w:rsidRDefault="00F11CA5" w:rsidP="00F11CA5">
            <w:pPr>
              <w:spacing w:after="0"/>
              <w:jc w:val="both"/>
              <w:rPr>
                <w:rFonts w:eastAsia="Times New Roman"/>
                <w:color w:val="000000"/>
              </w:rPr>
            </w:pPr>
            <w:r w:rsidRPr="00F11CA5">
              <w:rPr>
                <w:rFonts w:eastAsia="Times New Roman"/>
                <w:color w:val="000000"/>
              </w:rPr>
              <w:t>Individual inside Super</w:t>
            </w:r>
          </w:p>
        </w:tc>
        <w:tc>
          <w:tcPr>
            <w:tcW w:w="1273" w:type="dxa"/>
            <w:tcBorders>
              <w:top w:val="nil"/>
              <w:left w:val="nil"/>
              <w:bottom w:val="single" w:sz="8" w:space="0" w:color="auto"/>
              <w:right w:val="single" w:sz="8" w:space="0" w:color="auto"/>
            </w:tcBorders>
            <w:shd w:val="clear" w:color="auto" w:fill="auto"/>
            <w:vAlign w:val="center"/>
            <w:hideMark/>
          </w:tcPr>
          <w:p w14:paraId="5066ACDC" w14:textId="77777777" w:rsidR="00F11CA5" w:rsidRPr="00F11CA5" w:rsidRDefault="00F11CA5" w:rsidP="00F11CA5">
            <w:pPr>
              <w:spacing w:after="0"/>
              <w:jc w:val="both"/>
              <w:rPr>
                <w:rFonts w:eastAsia="Times New Roman"/>
                <w:color w:val="000000"/>
              </w:rPr>
            </w:pPr>
            <w:r w:rsidRPr="00F11CA5">
              <w:rPr>
                <w:rFonts w:eastAsia="Times New Roman"/>
                <w:color w:val="000000"/>
              </w:rPr>
              <w:t>Closed</w:t>
            </w:r>
          </w:p>
        </w:tc>
        <w:tc>
          <w:tcPr>
            <w:tcW w:w="1559" w:type="dxa"/>
            <w:tcBorders>
              <w:top w:val="nil"/>
              <w:left w:val="nil"/>
              <w:bottom w:val="single" w:sz="8" w:space="0" w:color="auto"/>
              <w:right w:val="single" w:sz="8" w:space="0" w:color="auto"/>
            </w:tcBorders>
            <w:shd w:val="clear" w:color="auto" w:fill="auto"/>
            <w:vAlign w:val="center"/>
            <w:hideMark/>
          </w:tcPr>
          <w:p w14:paraId="0E02582E" w14:textId="77777777" w:rsidR="00F11CA5" w:rsidRPr="00F11CA5" w:rsidRDefault="00F11CA5" w:rsidP="00F11CA5">
            <w:pPr>
              <w:spacing w:after="0"/>
              <w:jc w:val="both"/>
              <w:rPr>
                <w:rFonts w:eastAsia="Times New Roman"/>
                <w:color w:val="000000"/>
              </w:rPr>
            </w:pPr>
            <w:r w:rsidRPr="00F11CA5">
              <w:rPr>
                <w:rFonts w:eastAsia="Times New Roman"/>
                <w:color w:val="000000"/>
              </w:rPr>
              <w:t>Advised</w:t>
            </w:r>
          </w:p>
        </w:tc>
      </w:tr>
      <w:tr w:rsidR="00F11CA5" w:rsidRPr="00F11CA5" w14:paraId="07D42594"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3CC510C8" w14:textId="77777777" w:rsidR="00F11CA5" w:rsidRPr="00F11CA5" w:rsidRDefault="00F11CA5" w:rsidP="00F11CA5">
            <w:pPr>
              <w:spacing w:after="0"/>
              <w:jc w:val="both"/>
              <w:rPr>
                <w:rFonts w:eastAsia="Times New Roman"/>
                <w:color w:val="000000"/>
              </w:rPr>
            </w:pPr>
            <w:r w:rsidRPr="00F11CA5">
              <w:rPr>
                <w:rFonts w:eastAsia="Times New Roman"/>
                <w:color w:val="000000"/>
              </w:rPr>
              <w:t>STATS_IndIS_Open_NonAdv</w:t>
            </w:r>
          </w:p>
        </w:tc>
        <w:tc>
          <w:tcPr>
            <w:tcW w:w="2637" w:type="dxa"/>
            <w:tcBorders>
              <w:top w:val="nil"/>
              <w:left w:val="nil"/>
              <w:bottom w:val="single" w:sz="8" w:space="0" w:color="auto"/>
              <w:right w:val="single" w:sz="8" w:space="0" w:color="auto"/>
            </w:tcBorders>
            <w:shd w:val="clear" w:color="auto" w:fill="auto"/>
            <w:vAlign w:val="center"/>
            <w:hideMark/>
          </w:tcPr>
          <w:p w14:paraId="6F21A497" w14:textId="77777777" w:rsidR="00F11CA5" w:rsidRPr="00F11CA5" w:rsidRDefault="00F11CA5" w:rsidP="00F11CA5">
            <w:pPr>
              <w:spacing w:after="0"/>
              <w:jc w:val="both"/>
              <w:rPr>
                <w:rFonts w:eastAsia="Times New Roman"/>
                <w:color w:val="000000"/>
              </w:rPr>
            </w:pPr>
            <w:r w:rsidRPr="00F11CA5">
              <w:rPr>
                <w:rFonts w:eastAsia="Times New Roman"/>
                <w:color w:val="000000"/>
              </w:rPr>
              <w:t>Individual inside Super</w:t>
            </w:r>
          </w:p>
        </w:tc>
        <w:tc>
          <w:tcPr>
            <w:tcW w:w="1273" w:type="dxa"/>
            <w:tcBorders>
              <w:top w:val="nil"/>
              <w:left w:val="nil"/>
              <w:bottom w:val="single" w:sz="8" w:space="0" w:color="auto"/>
              <w:right w:val="single" w:sz="8" w:space="0" w:color="auto"/>
            </w:tcBorders>
            <w:shd w:val="clear" w:color="auto" w:fill="auto"/>
            <w:vAlign w:val="center"/>
            <w:hideMark/>
          </w:tcPr>
          <w:p w14:paraId="78B4302F" w14:textId="77777777" w:rsidR="00F11CA5" w:rsidRPr="00F11CA5" w:rsidRDefault="00F11CA5" w:rsidP="00F11CA5">
            <w:pPr>
              <w:spacing w:after="0"/>
              <w:jc w:val="both"/>
              <w:rPr>
                <w:rFonts w:eastAsia="Times New Roman"/>
                <w:color w:val="000000"/>
              </w:rPr>
            </w:pPr>
            <w:r w:rsidRPr="00F11CA5">
              <w:rPr>
                <w:rFonts w:eastAsia="Times New Roman"/>
                <w:color w:val="000000"/>
              </w:rPr>
              <w:t>Open</w:t>
            </w:r>
          </w:p>
        </w:tc>
        <w:tc>
          <w:tcPr>
            <w:tcW w:w="1559" w:type="dxa"/>
            <w:tcBorders>
              <w:top w:val="nil"/>
              <w:left w:val="nil"/>
              <w:bottom w:val="single" w:sz="8" w:space="0" w:color="auto"/>
              <w:right w:val="single" w:sz="8" w:space="0" w:color="auto"/>
            </w:tcBorders>
            <w:shd w:val="clear" w:color="auto" w:fill="auto"/>
            <w:vAlign w:val="center"/>
            <w:hideMark/>
          </w:tcPr>
          <w:p w14:paraId="33A97AAE" w14:textId="77777777" w:rsidR="00F11CA5" w:rsidRPr="00F11CA5" w:rsidRDefault="00F11CA5" w:rsidP="00F11CA5">
            <w:pPr>
              <w:spacing w:after="0"/>
              <w:jc w:val="both"/>
              <w:rPr>
                <w:rFonts w:eastAsia="Times New Roman"/>
                <w:color w:val="000000"/>
              </w:rPr>
            </w:pPr>
            <w:r w:rsidRPr="00F11CA5">
              <w:rPr>
                <w:rFonts w:eastAsia="Times New Roman"/>
                <w:color w:val="000000"/>
              </w:rPr>
              <w:t>Non-Advised</w:t>
            </w:r>
          </w:p>
        </w:tc>
      </w:tr>
      <w:tr w:rsidR="00F11CA5" w:rsidRPr="00F11CA5" w14:paraId="69736DBD"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70B2535D" w14:textId="77777777" w:rsidR="00F11CA5" w:rsidRPr="00F11CA5" w:rsidRDefault="00F11CA5" w:rsidP="00F11CA5">
            <w:pPr>
              <w:spacing w:after="0"/>
              <w:jc w:val="both"/>
              <w:rPr>
                <w:rFonts w:eastAsia="Times New Roman"/>
                <w:color w:val="000000"/>
              </w:rPr>
            </w:pPr>
            <w:r w:rsidRPr="00F11CA5">
              <w:rPr>
                <w:rFonts w:eastAsia="Times New Roman"/>
                <w:color w:val="000000"/>
              </w:rPr>
              <w:t>STATS_IndIS_Closed_NonAdv</w:t>
            </w:r>
          </w:p>
        </w:tc>
        <w:tc>
          <w:tcPr>
            <w:tcW w:w="2637" w:type="dxa"/>
            <w:tcBorders>
              <w:top w:val="nil"/>
              <w:left w:val="nil"/>
              <w:bottom w:val="single" w:sz="8" w:space="0" w:color="auto"/>
              <w:right w:val="single" w:sz="8" w:space="0" w:color="auto"/>
            </w:tcBorders>
            <w:shd w:val="clear" w:color="auto" w:fill="auto"/>
            <w:vAlign w:val="center"/>
            <w:hideMark/>
          </w:tcPr>
          <w:p w14:paraId="04350442" w14:textId="77777777" w:rsidR="00F11CA5" w:rsidRPr="00F11CA5" w:rsidRDefault="00F11CA5" w:rsidP="00F11CA5">
            <w:pPr>
              <w:spacing w:after="0"/>
              <w:jc w:val="both"/>
              <w:rPr>
                <w:rFonts w:eastAsia="Times New Roman"/>
                <w:color w:val="000000"/>
              </w:rPr>
            </w:pPr>
            <w:r w:rsidRPr="00F11CA5">
              <w:rPr>
                <w:rFonts w:eastAsia="Times New Roman"/>
                <w:color w:val="000000"/>
              </w:rPr>
              <w:t>Individual inside Super</w:t>
            </w:r>
          </w:p>
        </w:tc>
        <w:tc>
          <w:tcPr>
            <w:tcW w:w="1273" w:type="dxa"/>
            <w:tcBorders>
              <w:top w:val="nil"/>
              <w:left w:val="nil"/>
              <w:bottom w:val="single" w:sz="8" w:space="0" w:color="auto"/>
              <w:right w:val="single" w:sz="8" w:space="0" w:color="auto"/>
            </w:tcBorders>
            <w:shd w:val="clear" w:color="auto" w:fill="auto"/>
            <w:vAlign w:val="center"/>
            <w:hideMark/>
          </w:tcPr>
          <w:p w14:paraId="00F119FE" w14:textId="77777777" w:rsidR="00F11CA5" w:rsidRPr="00F11CA5" w:rsidRDefault="00F11CA5" w:rsidP="00F11CA5">
            <w:pPr>
              <w:spacing w:after="0"/>
              <w:jc w:val="both"/>
              <w:rPr>
                <w:rFonts w:eastAsia="Times New Roman"/>
                <w:color w:val="000000"/>
              </w:rPr>
            </w:pPr>
            <w:r w:rsidRPr="00F11CA5">
              <w:rPr>
                <w:rFonts w:eastAsia="Times New Roman"/>
                <w:color w:val="000000"/>
              </w:rPr>
              <w:t>Closed</w:t>
            </w:r>
          </w:p>
        </w:tc>
        <w:tc>
          <w:tcPr>
            <w:tcW w:w="1559" w:type="dxa"/>
            <w:tcBorders>
              <w:top w:val="nil"/>
              <w:left w:val="nil"/>
              <w:bottom w:val="single" w:sz="8" w:space="0" w:color="auto"/>
              <w:right w:val="single" w:sz="8" w:space="0" w:color="auto"/>
            </w:tcBorders>
            <w:shd w:val="clear" w:color="auto" w:fill="auto"/>
            <w:vAlign w:val="center"/>
            <w:hideMark/>
          </w:tcPr>
          <w:p w14:paraId="3C7ED9B9" w14:textId="77777777" w:rsidR="00F11CA5" w:rsidRPr="00F11CA5" w:rsidRDefault="00F11CA5" w:rsidP="00F11CA5">
            <w:pPr>
              <w:spacing w:after="0"/>
              <w:jc w:val="both"/>
              <w:rPr>
                <w:rFonts w:eastAsia="Times New Roman"/>
                <w:color w:val="000000"/>
              </w:rPr>
            </w:pPr>
            <w:r w:rsidRPr="00F11CA5">
              <w:rPr>
                <w:rFonts w:eastAsia="Times New Roman"/>
                <w:color w:val="000000"/>
              </w:rPr>
              <w:t>Non-Advised</w:t>
            </w:r>
          </w:p>
        </w:tc>
      </w:tr>
      <w:tr w:rsidR="00F11CA5" w:rsidRPr="00F11CA5" w14:paraId="76438C54"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0C45E7AC" w14:textId="77777777" w:rsidR="00F11CA5" w:rsidRPr="00F11CA5" w:rsidRDefault="00F11CA5" w:rsidP="00F11CA5">
            <w:pPr>
              <w:spacing w:after="0"/>
              <w:jc w:val="both"/>
              <w:rPr>
                <w:rFonts w:eastAsia="Times New Roman"/>
                <w:color w:val="000000"/>
              </w:rPr>
            </w:pPr>
            <w:r w:rsidRPr="00F11CA5">
              <w:rPr>
                <w:rFonts w:eastAsia="Times New Roman"/>
                <w:color w:val="000000"/>
              </w:rPr>
              <w:t>STATS_GrpOS</w:t>
            </w:r>
          </w:p>
        </w:tc>
        <w:tc>
          <w:tcPr>
            <w:tcW w:w="2637" w:type="dxa"/>
            <w:tcBorders>
              <w:top w:val="nil"/>
              <w:left w:val="nil"/>
              <w:bottom w:val="single" w:sz="8" w:space="0" w:color="auto"/>
              <w:right w:val="single" w:sz="8" w:space="0" w:color="auto"/>
            </w:tcBorders>
            <w:shd w:val="clear" w:color="auto" w:fill="auto"/>
            <w:vAlign w:val="center"/>
            <w:hideMark/>
          </w:tcPr>
          <w:p w14:paraId="70D55632" w14:textId="77777777" w:rsidR="00F11CA5" w:rsidRPr="00F11CA5" w:rsidRDefault="00F11CA5" w:rsidP="00F11CA5">
            <w:pPr>
              <w:spacing w:after="0"/>
              <w:jc w:val="both"/>
              <w:rPr>
                <w:rFonts w:eastAsia="Times New Roman"/>
                <w:color w:val="000000"/>
              </w:rPr>
            </w:pPr>
            <w:r w:rsidRPr="00F11CA5">
              <w:rPr>
                <w:rFonts w:eastAsia="Times New Roman"/>
                <w:color w:val="000000"/>
              </w:rPr>
              <w:t>Group outside Super</w:t>
            </w:r>
          </w:p>
        </w:tc>
        <w:tc>
          <w:tcPr>
            <w:tcW w:w="1273" w:type="dxa"/>
            <w:tcBorders>
              <w:top w:val="nil"/>
              <w:left w:val="nil"/>
              <w:bottom w:val="single" w:sz="8" w:space="0" w:color="auto"/>
              <w:right w:val="single" w:sz="8" w:space="0" w:color="auto"/>
            </w:tcBorders>
            <w:shd w:val="clear" w:color="auto" w:fill="auto"/>
            <w:vAlign w:val="center"/>
            <w:hideMark/>
          </w:tcPr>
          <w:p w14:paraId="4358BC84" w14:textId="77777777" w:rsidR="00F11CA5" w:rsidRPr="00F11CA5" w:rsidRDefault="00F11CA5" w:rsidP="00F11CA5">
            <w:pPr>
              <w:spacing w:after="0"/>
              <w:jc w:val="both"/>
              <w:rPr>
                <w:rFonts w:eastAsia="Times New Roman"/>
                <w:color w:val="000000"/>
              </w:rPr>
            </w:pPr>
            <w:r w:rsidRPr="00F11CA5">
              <w:rPr>
                <w:rFonts w:eastAsia="Times New Roman"/>
                <w:color w:val="000000"/>
              </w:rPr>
              <w:t>N/A</w:t>
            </w:r>
          </w:p>
        </w:tc>
        <w:tc>
          <w:tcPr>
            <w:tcW w:w="1559" w:type="dxa"/>
            <w:tcBorders>
              <w:top w:val="nil"/>
              <w:left w:val="nil"/>
              <w:bottom w:val="single" w:sz="8" w:space="0" w:color="auto"/>
              <w:right w:val="single" w:sz="8" w:space="0" w:color="auto"/>
            </w:tcBorders>
            <w:shd w:val="clear" w:color="auto" w:fill="auto"/>
            <w:vAlign w:val="center"/>
            <w:hideMark/>
          </w:tcPr>
          <w:p w14:paraId="3E44F3A3" w14:textId="77777777" w:rsidR="00F11CA5" w:rsidRPr="00F11CA5" w:rsidRDefault="00F11CA5" w:rsidP="00F11CA5">
            <w:pPr>
              <w:spacing w:after="0"/>
              <w:jc w:val="both"/>
              <w:rPr>
                <w:rFonts w:eastAsia="Times New Roman"/>
                <w:color w:val="000000"/>
              </w:rPr>
            </w:pPr>
            <w:r w:rsidRPr="00F11CA5">
              <w:rPr>
                <w:rFonts w:eastAsia="Times New Roman"/>
                <w:color w:val="000000"/>
              </w:rPr>
              <w:t>N/A</w:t>
            </w:r>
          </w:p>
        </w:tc>
      </w:tr>
      <w:tr w:rsidR="00F11CA5" w:rsidRPr="00F11CA5" w14:paraId="13DECD11"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186B63BC" w14:textId="77777777" w:rsidR="00F11CA5" w:rsidRPr="00F11CA5" w:rsidRDefault="00F11CA5" w:rsidP="00F11CA5">
            <w:pPr>
              <w:spacing w:after="0"/>
              <w:jc w:val="both"/>
              <w:rPr>
                <w:rFonts w:eastAsia="Times New Roman"/>
                <w:color w:val="000000"/>
              </w:rPr>
            </w:pPr>
            <w:r w:rsidRPr="00F11CA5">
              <w:rPr>
                <w:rFonts w:eastAsia="Times New Roman"/>
                <w:color w:val="000000"/>
              </w:rPr>
              <w:t>STATS_GrpIS</w:t>
            </w:r>
          </w:p>
        </w:tc>
        <w:tc>
          <w:tcPr>
            <w:tcW w:w="2637" w:type="dxa"/>
            <w:tcBorders>
              <w:top w:val="nil"/>
              <w:left w:val="nil"/>
              <w:bottom w:val="single" w:sz="8" w:space="0" w:color="auto"/>
              <w:right w:val="single" w:sz="8" w:space="0" w:color="auto"/>
            </w:tcBorders>
            <w:shd w:val="clear" w:color="auto" w:fill="auto"/>
            <w:vAlign w:val="center"/>
            <w:hideMark/>
          </w:tcPr>
          <w:p w14:paraId="6ADDE874" w14:textId="77777777" w:rsidR="00F11CA5" w:rsidRPr="00F11CA5" w:rsidRDefault="00F11CA5" w:rsidP="00F11CA5">
            <w:pPr>
              <w:spacing w:after="0"/>
              <w:jc w:val="both"/>
              <w:rPr>
                <w:rFonts w:eastAsia="Times New Roman"/>
                <w:color w:val="000000"/>
              </w:rPr>
            </w:pPr>
            <w:r w:rsidRPr="00F11CA5">
              <w:rPr>
                <w:rFonts w:eastAsia="Times New Roman"/>
                <w:color w:val="000000"/>
              </w:rPr>
              <w:t>Group inside Super</w:t>
            </w:r>
          </w:p>
        </w:tc>
        <w:tc>
          <w:tcPr>
            <w:tcW w:w="1273" w:type="dxa"/>
            <w:tcBorders>
              <w:top w:val="nil"/>
              <w:left w:val="nil"/>
              <w:bottom w:val="single" w:sz="8" w:space="0" w:color="auto"/>
              <w:right w:val="single" w:sz="8" w:space="0" w:color="auto"/>
            </w:tcBorders>
            <w:shd w:val="clear" w:color="auto" w:fill="auto"/>
            <w:vAlign w:val="center"/>
            <w:hideMark/>
          </w:tcPr>
          <w:p w14:paraId="5E2B9D14" w14:textId="77777777" w:rsidR="00F11CA5" w:rsidRPr="00F11CA5" w:rsidRDefault="00F11CA5" w:rsidP="00F11CA5">
            <w:pPr>
              <w:spacing w:after="0"/>
              <w:jc w:val="both"/>
              <w:rPr>
                <w:rFonts w:eastAsia="Times New Roman"/>
                <w:color w:val="000000"/>
              </w:rPr>
            </w:pPr>
            <w:r w:rsidRPr="00F11CA5">
              <w:rPr>
                <w:rFonts w:eastAsia="Times New Roman"/>
                <w:color w:val="000000"/>
              </w:rPr>
              <w:t>N/A</w:t>
            </w:r>
          </w:p>
        </w:tc>
        <w:tc>
          <w:tcPr>
            <w:tcW w:w="1559" w:type="dxa"/>
            <w:tcBorders>
              <w:top w:val="nil"/>
              <w:left w:val="nil"/>
              <w:bottom w:val="single" w:sz="8" w:space="0" w:color="auto"/>
              <w:right w:val="single" w:sz="8" w:space="0" w:color="auto"/>
            </w:tcBorders>
            <w:shd w:val="clear" w:color="auto" w:fill="auto"/>
            <w:vAlign w:val="center"/>
            <w:hideMark/>
          </w:tcPr>
          <w:p w14:paraId="4A35FAAE" w14:textId="77777777" w:rsidR="00F11CA5" w:rsidRPr="00F11CA5" w:rsidRDefault="00F11CA5" w:rsidP="00F11CA5">
            <w:pPr>
              <w:spacing w:after="0"/>
              <w:jc w:val="both"/>
              <w:rPr>
                <w:rFonts w:eastAsia="Times New Roman"/>
                <w:color w:val="000000"/>
              </w:rPr>
            </w:pPr>
            <w:r w:rsidRPr="00F11CA5">
              <w:rPr>
                <w:rFonts w:eastAsia="Times New Roman"/>
                <w:color w:val="000000"/>
              </w:rPr>
              <w:t>N/A</w:t>
            </w:r>
          </w:p>
        </w:tc>
      </w:tr>
      <w:tr w:rsidR="00F11CA5" w:rsidRPr="00F11CA5" w14:paraId="61693F8B" w14:textId="77777777" w:rsidTr="00007CF9">
        <w:trPr>
          <w:trHeight w:val="329"/>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656DAF35" w14:textId="77777777" w:rsidR="00F11CA5" w:rsidRPr="00F11CA5" w:rsidRDefault="00F11CA5" w:rsidP="00F11CA5">
            <w:pPr>
              <w:spacing w:after="0"/>
              <w:jc w:val="both"/>
              <w:rPr>
                <w:rFonts w:eastAsia="Times New Roman"/>
                <w:color w:val="000000"/>
              </w:rPr>
            </w:pPr>
            <w:r w:rsidRPr="00F11CA5">
              <w:rPr>
                <w:rFonts w:eastAsia="Times New Roman"/>
                <w:color w:val="000000"/>
              </w:rPr>
              <w:t>SUPPLEMENT_CCI</w:t>
            </w:r>
          </w:p>
        </w:tc>
        <w:tc>
          <w:tcPr>
            <w:tcW w:w="2637" w:type="dxa"/>
            <w:tcBorders>
              <w:top w:val="nil"/>
              <w:left w:val="nil"/>
              <w:bottom w:val="single" w:sz="8" w:space="0" w:color="auto"/>
              <w:right w:val="single" w:sz="8" w:space="0" w:color="auto"/>
            </w:tcBorders>
            <w:shd w:val="clear" w:color="auto" w:fill="auto"/>
            <w:vAlign w:val="center"/>
            <w:hideMark/>
          </w:tcPr>
          <w:p w14:paraId="3BE780A3" w14:textId="7E3EACE5" w:rsidR="00F11CA5" w:rsidRPr="00F11CA5" w:rsidRDefault="00F11CA5" w:rsidP="003A0202">
            <w:pPr>
              <w:spacing w:after="0"/>
              <w:jc w:val="both"/>
              <w:rPr>
                <w:rFonts w:eastAsia="Times New Roman"/>
                <w:color w:val="000000"/>
              </w:rPr>
            </w:pPr>
            <w:r w:rsidRPr="00F11CA5">
              <w:rPr>
                <w:rFonts w:eastAsia="Times New Roman"/>
                <w:color w:val="000000"/>
              </w:rPr>
              <w:t>All</w:t>
            </w:r>
            <w:r w:rsidR="00175604">
              <w:rPr>
                <w:rFonts w:eastAsia="Times New Roman"/>
                <w:color w:val="000000"/>
              </w:rPr>
              <w:t xml:space="preserve"> CCI </w:t>
            </w:r>
            <w:r w:rsidR="003A0202">
              <w:rPr>
                <w:rFonts w:eastAsia="Times New Roman"/>
                <w:color w:val="000000"/>
              </w:rPr>
              <w:t>b</w:t>
            </w:r>
            <w:r w:rsidR="00175604">
              <w:rPr>
                <w:rFonts w:eastAsia="Times New Roman"/>
                <w:color w:val="000000"/>
              </w:rPr>
              <w:t>usiness</w:t>
            </w:r>
          </w:p>
        </w:tc>
        <w:tc>
          <w:tcPr>
            <w:tcW w:w="1273" w:type="dxa"/>
            <w:tcBorders>
              <w:top w:val="nil"/>
              <w:left w:val="nil"/>
              <w:bottom w:val="single" w:sz="8" w:space="0" w:color="auto"/>
              <w:right w:val="single" w:sz="8" w:space="0" w:color="auto"/>
            </w:tcBorders>
            <w:shd w:val="clear" w:color="auto" w:fill="auto"/>
            <w:vAlign w:val="center"/>
            <w:hideMark/>
          </w:tcPr>
          <w:p w14:paraId="3B3EB4C6" w14:textId="77777777" w:rsidR="00F11CA5" w:rsidRPr="00F11CA5" w:rsidRDefault="00F11CA5" w:rsidP="00F11CA5">
            <w:pPr>
              <w:spacing w:after="0"/>
              <w:jc w:val="both"/>
              <w:rPr>
                <w:rFonts w:eastAsia="Times New Roman"/>
                <w:color w:val="000000"/>
              </w:rPr>
            </w:pPr>
            <w:r w:rsidRPr="00F11CA5">
              <w:rPr>
                <w:rFonts w:eastAsia="Times New Roman"/>
                <w:color w:val="000000"/>
              </w:rPr>
              <w:t>All</w:t>
            </w:r>
          </w:p>
        </w:tc>
        <w:tc>
          <w:tcPr>
            <w:tcW w:w="1559" w:type="dxa"/>
            <w:tcBorders>
              <w:top w:val="nil"/>
              <w:left w:val="nil"/>
              <w:bottom w:val="single" w:sz="8" w:space="0" w:color="auto"/>
              <w:right w:val="single" w:sz="8" w:space="0" w:color="auto"/>
            </w:tcBorders>
            <w:shd w:val="clear" w:color="auto" w:fill="auto"/>
            <w:vAlign w:val="center"/>
            <w:hideMark/>
          </w:tcPr>
          <w:p w14:paraId="6FA9D550" w14:textId="77777777" w:rsidR="00F11CA5" w:rsidRPr="00F11CA5" w:rsidRDefault="00F11CA5" w:rsidP="00F11CA5">
            <w:pPr>
              <w:spacing w:after="0"/>
              <w:jc w:val="both"/>
              <w:rPr>
                <w:rFonts w:eastAsia="Times New Roman"/>
                <w:color w:val="000000"/>
              </w:rPr>
            </w:pPr>
            <w:r w:rsidRPr="00F11CA5">
              <w:rPr>
                <w:rFonts w:eastAsia="Times New Roman"/>
                <w:color w:val="000000"/>
              </w:rPr>
              <w:t>All</w:t>
            </w:r>
          </w:p>
        </w:tc>
      </w:tr>
    </w:tbl>
    <w:p w14:paraId="2A4B9716" w14:textId="4A09D623" w:rsidR="00146031" w:rsidRPr="00370872" w:rsidRDefault="00146031" w:rsidP="005067EF">
      <w:pPr>
        <w:pStyle w:val="ListParagraph"/>
        <w:spacing w:after="0"/>
        <w:ind w:left="0"/>
        <w:jc w:val="both"/>
        <w:rPr>
          <w:rFonts w:asciiTheme="minorHAnsi" w:hAnsiTheme="minorHAnsi" w:cstheme="minorHAnsi"/>
        </w:rPr>
      </w:pPr>
    </w:p>
    <w:p w14:paraId="009CBD49" w14:textId="78F85C6E" w:rsidR="00016DD7" w:rsidRPr="00917200" w:rsidRDefault="00146031" w:rsidP="00C820F9">
      <w:pPr>
        <w:pStyle w:val="Heading1"/>
        <w:numPr>
          <w:ilvl w:val="0"/>
          <w:numId w:val="5"/>
        </w:numPr>
      </w:pPr>
      <w:bookmarkStart w:id="35" w:name="_Toc527994447"/>
      <w:r>
        <w:t>C</w:t>
      </w:r>
      <w:r w:rsidR="00016DD7">
        <w:t>laims Data Detail</w:t>
      </w:r>
      <w:bookmarkEnd w:id="35"/>
    </w:p>
    <w:p w14:paraId="6B0280CF" w14:textId="3A2493D2" w:rsidR="00016DD7" w:rsidRPr="003A5F49" w:rsidRDefault="00FD1EA5" w:rsidP="003A5F49">
      <w:pPr>
        <w:pStyle w:val="BodyText1"/>
      </w:pPr>
      <w:r>
        <w:t xml:space="preserve">In addition to </w:t>
      </w:r>
      <w:r w:rsidR="004C4EDB">
        <w:t xml:space="preserve">the </w:t>
      </w:r>
      <w:r>
        <w:t>General Definition</w:t>
      </w:r>
      <w:r w:rsidR="000F7FBF">
        <w:t>s</w:t>
      </w:r>
      <w:r>
        <w:t xml:space="preserve">, </w:t>
      </w:r>
      <w:r w:rsidR="00457B3B">
        <w:t>paragraph</w:t>
      </w:r>
      <w:r>
        <w:t xml:space="preserve">s </w:t>
      </w:r>
      <w:r w:rsidR="00B3666B">
        <w:t xml:space="preserve">42 to </w:t>
      </w:r>
      <w:r>
        <w:t>5</w:t>
      </w:r>
      <w:r w:rsidR="00E712A0">
        <w:t>2</w:t>
      </w:r>
      <w:r w:rsidR="00B3666B">
        <w:t xml:space="preserve"> </w:t>
      </w:r>
      <w:r>
        <w:t>define</w:t>
      </w:r>
      <w:r w:rsidR="000A30BF">
        <w:t xml:space="preserve"> a number of items</w:t>
      </w:r>
      <w:r>
        <w:t xml:space="preserve"> </w:t>
      </w:r>
      <w:r w:rsidR="000B47B2">
        <w:t>specifically for Claims Data.</w:t>
      </w:r>
    </w:p>
    <w:p w14:paraId="5D9CB134" w14:textId="0BB56836" w:rsidR="00016DD7" w:rsidRPr="0072746A" w:rsidRDefault="006F641E" w:rsidP="003A5F49">
      <w:pPr>
        <w:pStyle w:val="BodyText1"/>
      </w:pPr>
      <w:r w:rsidRPr="0072746A">
        <w:t>‘</w:t>
      </w:r>
      <w:r w:rsidR="00016DD7" w:rsidRPr="0072746A">
        <w:t>Claim Event</w:t>
      </w:r>
      <w:r w:rsidRPr="0072746A">
        <w:t>’</w:t>
      </w:r>
      <w:r w:rsidR="00016DD7" w:rsidRPr="0072746A">
        <w:t xml:space="preserve"> refers to the event that resulted in a Death, TPD, DII, Trauma, CCI, Funeral or Accident claim and the </w:t>
      </w:r>
      <w:r w:rsidRPr="0072746A">
        <w:t>‘</w:t>
      </w:r>
      <w:r w:rsidR="00016DD7" w:rsidRPr="0072746A">
        <w:t>Claim Event Date</w:t>
      </w:r>
      <w:r w:rsidRPr="0072746A">
        <w:t>’</w:t>
      </w:r>
      <w:r w:rsidR="00016DD7" w:rsidRPr="0072746A">
        <w:t xml:space="preserve"> refers to the date on which the Claim Event occurred, or is deemed to have occurred. </w:t>
      </w:r>
      <w:r w:rsidR="007F24EE">
        <w:t xml:space="preserve">The Claim Event and Claim Event Date for certain </w:t>
      </w:r>
      <w:r w:rsidR="00016DD7" w:rsidRPr="0072746A">
        <w:t>Cover Type</w:t>
      </w:r>
      <w:r w:rsidR="007F24EE">
        <w:t>s</w:t>
      </w:r>
      <w:r w:rsidR="00014DFC">
        <w:t xml:space="preserve"> are </w:t>
      </w:r>
      <w:r w:rsidR="008F6612">
        <w:t>d</w:t>
      </w:r>
      <w:r w:rsidR="00014DFC">
        <w:t>efined as</w:t>
      </w:r>
      <w:r w:rsidR="00016DD7" w:rsidRPr="0072746A">
        <w:t>:</w:t>
      </w:r>
    </w:p>
    <w:p w14:paraId="3F6C87D7" w14:textId="77777777" w:rsidR="00016DD7" w:rsidRPr="000C5D80" w:rsidRDefault="00016DD7" w:rsidP="000C5D80">
      <w:pPr>
        <w:pStyle w:val="BodyText2"/>
        <w:jc w:val="both"/>
      </w:pPr>
      <w:r w:rsidRPr="000C5D80">
        <w:t>Death Cover, CCI Death, Funeral or Accidental Death: The Claim Event is death and Claim Event Date the date of death.</w:t>
      </w:r>
    </w:p>
    <w:p w14:paraId="4E17372F" w14:textId="1993DCD5" w:rsidR="00016DD7" w:rsidRPr="000C5D80" w:rsidRDefault="00016DD7" w:rsidP="000C5D80">
      <w:pPr>
        <w:pStyle w:val="BodyText2"/>
        <w:jc w:val="both"/>
      </w:pPr>
      <w:r w:rsidRPr="000C5D80">
        <w:t>Terminal Illness: The Claim Event is the diagnosis of a Terminal Illness and the Claim Event Date the date of diagnosis.</w:t>
      </w:r>
    </w:p>
    <w:p w14:paraId="61AC8A77" w14:textId="1F1112B3" w:rsidR="00016DD7" w:rsidRPr="000C5D80" w:rsidRDefault="00016DD7" w:rsidP="000C5D80">
      <w:pPr>
        <w:pStyle w:val="BodyText2"/>
        <w:jc w:val="both"/>
      </w:pPr>
      <w:r w:rsidRPr="000C5D80">
        <w:t>Trauma, CCI Incapacity or Accidental Injury: The Claim Event is one of the defined trauma, incapacity or accident events. The Claim Event Date is the date on which the event occurred or was diagnosed.</w:t>
      </w:r>
    </w:p>
    <w:p w14:paraId="0B55B38B" w14:textId="6D072B06" w:rsidR="00016DD7" w:rsidRPr="000C5D80" w:rsidRDefault="00016DD7" w:rsidP="000C5D80">
      <w:pPr>
        <w:pStyle w:val="BodyText2"/>
        <w:jc w:val="both"/>
      </w:pPr>
      <w:r w:rsidRPr="000C5D80">
        <w:t>TPD and DII: The Claim Event is what caused the condition of disability under either TPD or DII. The Claim Event Date is the date on which the medical diagnosis is made that underpins the disabled status of the claimant.</w:t>
      </w:r>
    </w:p>
    <w:p w14:paraId="2867BD4E" w14:textId="54D31DAF" w:rsidR="00016DD7" w:rsidRPr="000C5D80" w:rsidRDefault="00016DD7" w:rsidP="000C5D80">
      <w:pPr>
        <w:pStyle w:val="BodyText2"/>
        <w:jc w:val="both"/>
      </w:pPr>
      <w:r w:rsidRPr="000C5D80">
        <w:t xml:space="preserve">CCI Redundancy: The Claim Event is the redundancy. The Claim Event Date is the date on which the </w:t>
      </w:r>
      <w:r w:rsidR="00E712A0">
        <w:t>L</w:t>
      </w:r>
      <w:r w:rsidRPr="000C5D80">
        <w:t xml:space="preserve">ife </w:t>
      </w:r>
      <w:r w:rsidR="00E712A0">
        <w:t>I</w:t>
      </w:r>
      <w:r w:rsidRPr="000C5D80">
        <w:t xml:space="preserve">nsured was made redundant while employed at </w:t>
      </w:r>
      <w:r w:rsidR="00717B15">
        <w:t>their</w:t>
      </w:r>
      <w:r w:rsidRPr="000C5D80">
        <w:t xml:space="preserve"> place of employment.</w:t>
      </w:r>
    </w:p>
    <w:p w14:paraId="665FC618" w14:textId="04C97FF8" w:rsidR="00016DD7" w:rsidRPr="0072746A" w:rsidRDefault="006F641E" w:rsidP="0072746A">
      <w:pPr>
        <w:pStyle w:val="BodyText1"/>
      </w:pPr>
      <w:r w:rsidRPr="0072746A">
        <w:t>‘</w:t>
      </w:r>
      <w:r w:rsidR="00016DD7" w:rsidRPr="0072746A">
        <w:t xml:space="preserve">Claim Incidence </w:t>
      </w:r>
      <w:r w:rsidR="00B9206D">
        <w:t>Year</w:t>
      </w:r>
      <w:r w:rsidR="00AD1757" w:rsidRPr="0072746A">
        <w:t xml:space="preserve">’ </w:t>
      </w:r>
      <w:r w:rsidR="00016DD7" w:rsidRPr="0072746A">
        <w:t xml:space="preserve">refers to the calendar year in which the Claim Event occurred. </w:t>
      </w:r>
      <w:r w:rsidR="00015087" w:rsidRPr="0072746A">
        <w:t xml:space="preserve">The data </w:t>
      </w:r>
      <w:r w:rsidR="00016DD7" w:rsidRPr="0072746A">
        <w:t xml:space="preserve">will </w:t>
      </w:r>
      <w:r w:rsidR="00015087" w:rsidRPr="0072746A">
        <w:t xml:space="preserve">be </w:t>
      </w:r>
      <w:r w:rsidR="00016DD7" w:rsidRPr="0072746A">
        <w:t>collect</w:t>
      </w:r>
      <w:r w:rsidR="00015087" w:rsidRPr="0072746A">
        <w:t>ed</w:t>
      </w:r>
      <w:r w:rsidR="00016DD7" w:rsidRPr="0072746A">
        <w:t xml:space="preserve"> in respect of the following </w:t>
      </w:r>
      <w:r w:rsidR="006200CC">
        <w:t>C</w:t>
      </w:r>
      <w:r w:rsidR="00016DD7" w:rsidRPr="0072746A">
        <w:t xml:space="preserve">laim </w:t>
      </w:r>
      <w:r w:rsidR="006200CC">
        <w:t>I</w:t>
      </w:r>
      <w:r w:rsidR="00016DD7" w:rsidRPr="0072746A">
        <w:t xml:space="preserve">ncidence </w:t>
      </w:r>
      <w:r w:rsidR="006200CC">
        <w:t>Y</w:t>
      </w:r>
      <w:r w:rsidR="00016DD7" w:rsidRPr="0072746A">
        <w:t>ears:</w:t>
      </w:r>
    </w:p>
    <w:p w14:paraId="31EC59AC" w14:textId="656CA7E5" w:rsidR="00016DD7" w:rsidRPr="000C5D80" w:rsidRDefault="00015087" w:rsidP="000C5D80">
      <w:pPr>
        <w:pStyle w:val="BodyText2"/>
        <w:jc w:val="both"/>
      </w:pPr>
      <w:r w:rsidRPr="000C5D80">
        <w:t>Current calendar year</w:t>
      </w:r>
      <w:r w:rsidR="000C5D80">
        <w:t>;</w:t>
      </w:r>
    </w:p>
    <w:p w14:paraId="779DB4D4" w14:textId="5CB42A98" w:rsidR="00B84852" w:rsidRPr="000C5D80" w:rsidRDefault="00583DAF" w:rsidP="000C5D80">
      <w:pPr>
        <w:pStyle w:val="BodyText2"/>
        <w:jc w:val="both"/>
      </w:pPr>
      <w:r w:rsidRPr="000C5D80">
        <w:t xml:space="preserve">Previous </w:t>
      </w:r>
      <w:r w:rsidR="00015087" w:rsidRPr="000C5D80">
        <w:t>calendar year</w:t>
      </w:r>
      <w:r w:rsidR="000C5D80">
        <w:t>; and</w:t>
      </w:r>
    </w:p>
    <w:p w14:paraId="4F84EDD2" w14:textId="329BA209" w:rsidR="00BE6DAE" w:rsidRPr="00B84852" w:rsidRDefault="00B4746D" w:rsidP="000C5D80">
      <w:pPr>
        <w:pStyle w:val="BodyText2"/>
        <w:jc w:val="both"/>
      </w:pPr>
      <w:r>
        <w:t>All earlier c</w:t>
      </w:r>
      <w:r w:rsidRPr="00B84852">
        <w:t xml:space="preserve">alendar </w:t>
      </w:r>
      <w:r w:rsidR="00583DAF" w:rsidRPr="00B84852">
        <w:t>year</w:t>
      </w:r>
      <w:r w:rsidR="003D0E73">
        <w:t>s</w:t>
      </w:r>
      <w:r w:rsidR="000C5D80">
        <w:t>.</w:t>
      </w:r>
    </w:p>
    <w:p w14:paraId="0869AD57" w14:textId="1D11E2AC" w:rsidR="00016DD7" w:rsidRPr="00BE6DAE" w:rsidRDefault="006F641E" w:rsidP="00505428">
      <w:pPr>
        <w:pStyle w:val="BodyText1"/>
      </w:pPr>
      <w:r w:rsidRPr="0072746A">
        <w:t>‘</w:t>
      </w:r>
      <w:r w:rsidR="00A5756F" w:rsidRPr="0072746A">
        <w:t>Claim Notified</w:t>
      </w:r>
      <w:r w:rsidRPr="0072746A">
        <w:t>’</w:t>
      </w:r>
      <w:r w:rsidR="00A5756F" w:rsidRPr="0072746A">
        <w:t xml:space="preserve"> refers to the initial contact made by the claimant, their authorised representative (including advisor), their superannuation fund trustee, or relevant other party informing the insurer of the claimant’s intention to lodge a claim. This </w:t>
      </w:r>
      <w:r w:rsidR="00A5756F" w:rsidRPr="0072746A">
        <w:lastRenderedPageBreak/>
        <w:t xml:space="preserve">could take the form of a physical submission (letter, email, etc.) or a telephone call. The </w:t>
      </w:r>
      <w:r w:rsidRPr="0072746A">
        <w:t>‘</w:t>
      </w:r>
      <w:r w:rsidR="00A5756F" w:rsidRPr="0072746A">
        <w:t>Claim Notification Date</w:t>
      </w:r>
      <w:r w:rsidRPr="0072746A">
        <w:t>’</w:t>
      </w:r>
      <w:r w:rsidR="00A5756F" w:rsidRPr="0072746A">
        <w:t xml:space="preserve"> is the date on which the claim was first notified.</w:t>
      </w:r>
    </w:p>
    <w:p w14:paraId="0F79A887" w14:textId="3C80F875" w:rsidR="00A5756F" w:rsidRPr="0072746A" w:rsidRDefault="006F641E" w:rsidP="0072746A">
      <w:pPr>
        <w:pStyle w:val="BodyText1"/>
      </w:pPr>
      <w:r w:rsidRPr="0072746A">
        <w:t>‘</w:t>
      </w:r>
      <w:r w:rsidR="00A5756F" w:rsidRPr="0072746A">
        <w:t>Claim Received</w:t>
      </w:r>
      <w:r w:rsidRPr="0072746A">
        <w:t>’</w:t>
      </w:r>
      <w:r w:rsidR="00A5756F" w:rsidRPr="0072746A">
        <w:t xml:space="preserve"> refers to the point in time where the first piece of information (not necessarily all information) is received by the insurer to allow it to commence the assessment of a claim. At this stage, the insurer has confirmed there is a policy in force that could potentially cover the indicated </w:t>
      </w:r>
      <w:r w:rsidR="004259ED">
        <w:t>C</w:t>
      </w:r>
      <w:r w:rsidR="00A5756F" w:rsidRPr="0072746A">
        <w:t xml:space="preserve">laim </w:t>
      </w:r>
      <w:r w:rsidR="004259ED">
        <w:t>E</w:t>
      </w:r>
      <w:r w:rsidR="00A5756F" w:rsidRPr="0072746A">
        <w:t xml:space="preserve">vent and has recorded the existence of a claim. The </w:t>
      </w:r>
      <w:r w:rsidRPr="006F641E">
        <w:t>‘</w:t>
      </w:r>
      <w:r w:rsidR="00A5756F" w:rsidRPr="0072746A">
        <w:t>Claim Received Date</w:t>
      </w:r>
      <w:r w:rsidRPr="0072746A">
        <w:t>’</w:t>
      </w:r>
      <w:r w:rsidR="00A5756F" w:rsidRPr="0072746A">
        <w:t xml:space="preserve"> is the date on which the insurer records a claim being received.</w:t>
      </w:r>
      <w:r w:rsidR="00A5756F" w:rsidRPr="0072746A">
        <w:rPr>
          <w:vertAlign w:val="superscript"/>
        </w:rPr>
        <w:footnoteReference w:id="5"/>
      </w:r>
    </w:p>
    <w:p w14:paraId="6346A101" w14:textId="00C1BA35" w:rsidR="00016DD7" w:rsidRPr="0072746A" w:rsidRDefault="006F641E" w:rsidP="0072746A">
      <w:pPr>
        <w:pStyle w:val="BodyText1"/>
      </w:pPr>
      <w:r w:rsidRPr="0072746A">
        <w:t>‘</w:t>
      </w:r>
      <w:r w:rsidR="00016DD7" w:rsidRPr="0072746A">
        <w:t>Claim Re-opened</w:t>
      </w:r>
      <w:r w:rsidRPr="0072746A">
        <w:t>’</w:t>
      </w:r>
      <w:r w:rsidR="00016DD7" w:rsidRPr="0072746A">
        <w:t xml:space="preserve"> refers to instances where a claim has previously been Finalised or Withdrawn, but is </w:t>
      </w:r>
      <w:r w:rsidR="00432296">
        <w:t>r</w:t>
      </w:r>
      <w:r w:rsidR="00016DD7" w:rsidRPr="0072746A">
        <w:t>e-opened by the insurer during the Reporting Period. It is expected that Re-opened claims would predominantly relate to claims that have been Finalised or Withdrawn during previous Reporting Periods. It is, however</w:t>
      </w:r>
      <w:r w:rsidR="00016DD7" w:rsidRPr="0072746A" w:rsidDel="0042444A">
        <w:t>,</w:t>
      </w:r>
      <w:r w:rsidR="00016DD7" w:rsidRPr="0072746A">
        <w:t xml:space="preserve"> possible (and acceptable) that re-opened claims could also relate to claims that have been </w:t>
      </w:r>
      <w:r w:rsidR="00432296">
        <w:t>F</w:t>
      </w:r>
      <w:r w:rsidR="00016DD7" w:rsidRPr="0072746A">
        <w:t xml:space="preserve">inalised </w:t>
      </w:r>
      <w:r w:rsidR="00432296">
        <w:t xml:space="preserve">or Withdrawn </w:t>
      </w:r>
      <w:r w:rsidR="00016DD7" w:rsidRPr="0072746A">
        <w:t xml:space="preserve">in the same Reporting Period as the claim being </w:t>
      </w:r>
      <w:r w:rsidR="00432296">
        <w:t>r</w:t>
      </w:r>
      <w:r w:rsidR="00016DD7" w:rsidRPr="0072746A">
        <w:t>e-</w:t>
      </w:r>
      <w:r w:rsidR="00432296">
        <w:t>o</w:t>
      </w:r>
      <w:r w:rsidR="00016DD7" w:rsidRPr="0072746A">
        <w:t>pened.</w:t>
      </w:r>
    </w:p>
    <w:p w14:paraId="131945D3" w14:textId="2D32E660" w:rsidR="00016DD7" w:rsidRPr="00016DD7" w:rsidRDefault="008A17D8" w:rsidP="000C5D80">
      <w:pPr>
        <w:pStyle w:val="ListParagraph"/>
        <w:ind w:left="567"/>
        <w:contextualSpacing w:val="0"/>
        <w:jc w:val="both"/>
        <w:rPr>
          <w:rFonts w:asciiTheme="minorHAnsi" w:hAnsiTheme="minorHAnsi" w:cstheme="minorHAnsi"/>
        </w:rPr>
      </w:pPr>
      <w:r>
        <w:rPr>
          <w:rFonts w:asciiTheme="minorHAnsi" w:hAnsiTheme="minorHAnsi" w:cstheme="minorHAnsi"/>
        </w:rPr>
        <w:t>T</w:t>
      </w:r>
      <w:r w:rsidR="00016DD7" w:rsidRPr="00016DD7">
        <w:rPr>
          <w:rFonts w:asciiTheme="minorHAnsi" w:hAnsiTheme="minorHAnsi" w:cstheme="minorHAnsi"/>
        </w:rPr>
        <w:t xml:space="preserve">he treatment of re-opened </w:t>
      </w:r>
      <w:r w:rsidR="00922011">
        <w:rPr>
          <w:rFonts w:asciiTheme="minorHAnsi" w:hAnsiTheme="minorHAnsi" w:cstheme="minorHAnsi"/>
        </w:rPr>
        <w:t>claims</w:t>
      </w:r>
      <w:r w:rsidR="00016DD7" w:rsidRPr="00016DD7">
        <w:rPr>
          <w:rFonts w:asciiTheme="minorHAnsi" w:hAnsiTheme="minorHAnsi" w:cstheme="minorHAnsi"/>
        </w:rPr>
        <w:t xml:space="preserve"> distinguish</w:t>
      </w:r>
      <w:r w:rsidR="00922011">
        <w:rPr>
          <w:rFonts w:asciiTheme="minorHAnsi" w:hAnsiTheme="minorHAnsi" w:cstheme="minorHAnsi"/>
        </w:rPr>
        <w:t>es</w:t>
      </w:r>
      <w:r w:rsidR="00016DD7" w:rsidRPr="00016DD7">
        <w:rPr>
          <w:rFonts w:asciiTheme="minorHAnsi" w:hAnsiTheme="minorHAnsi" w:cstheme="minorHAnsi"/>
        </w:rPr>
        <w:t xml:space="preserve"> between claims that have been previously withdrawn versus claims that have been previously finalised:</w:t>
      </w:r>
    </w:p>
    <w:p w14:paraId="314AAD36" w14:textId="56FAA26A" w:rsidR="00016DD7" w:rsidRPr="000C5D80" w:rsidRDefault="008C0520" w:rsidP="000C5D80">
      <w:pPr>
        <w:pStyle w:val="BodyText2"/>
        <w:jc w:val="both"/>
      </w:pPr>
      <w:r>
        <w:t>Only r</w:t>
      </w:r>
      <w:r w:rsidR="00016DD7" w:rsidRPr="000C5D80">
        <w:t xml:space="preserve">e-opened claims that were previously withdrawn should be included in the main collection, as reflected on the various claims sheets. </w:t>
      </w:r>
      <w:r w:rsidR="00616A36">
        <w:t>T</w:t>
      </w:r>
      <w:r w:rsidR="00016DD7" w:rsidRPr="000C5D80">
        <w:t xml:space="preserve">hey are recorded as Claim Re-opened (subsequent to being withdrawn) in the </w:t>
      </w:r>
      <w:r w:rsidR="004C4EDB">
        <w:t>reporting form</w:t>
      </w:r>
      <w:r w:rsidR="00016DD7" w:rsidRPr="000C5D80">
        <w:t>.</w:t>
      </w:r>
      <w:r w:rsidR="00A37B90" w:rsidRPr="00A37B90">
        <w:t xml:space="preserve"> </w:t>
      </w:r>
      <w:r w:rsidR="006D4414" w:rsidRPr="000C5D80">
        <w:t>Claim Re-opened (subsequent to being withdrawn)</w:t>
      </w:r>
      <w:r w:rsidR="00A37B90">
        <w:t xml:space="preserve"> should</w:t>
      </w:r>
      <w:r w:rsidR="00A37B90" w:rsidRPr="0072746A">
        <w:t xml:space="preserve"> be treated like any other </w:t>
      </w:r>
      <w:r w:rsidR="005F6BC3">
        <w:t>received</w:t>
      </w:r>
      <w:r w:rsidR="00A37B90" w:rsidRPr="0072746A">
        <w:t xml:space="preserve"> claim and be classified as Withdrawn, Finalised or Undetermined, as may be the case.</w:t>
      </w:r>
    </w:p>
    <w:p w14:paraId="74CC8854" w14:textId="6D879DF7" w:rsidR="00016DD7" w:rsidRPr="000C5D80" w:rsidRDefault="00016DD7" w:rsidP="000C5D80">
      <w:pPr>
        <w:pStyle w:val="BodyText2"/>
        <w:jc w:val="both"/>
      </w:pPr>
      <w:r w:rsidRPr="000C5D80">
        <w:t xml:space="preserve">Re-opened claims that were previously finalised should be excluded from the main collection. Instead, these claims together with additional related information should be reported in the </w:t>
      </w:r>
      <w:r w:rsidR="009609E8" w:rsidRPr="000C5D80">
        <w:t>SUPPLEMENT_REOPENED</w:t>
      </w:r>
      <w:r w:rsidRPr="000C5D80">
        <w:t xml:space="preserve"> sheet of the </w:t>
      </w:r>
      <w:r w:rsidR="00C17199">
        <w:t>reporting form</w:t>
      </w:r>
      <w:r w:rsidRPr="000C5D80">
        <w:t>. Where a claim is re-opened after a partial benefit has previously been admitted, it should be included in this category.</w:t>
      </w:r>
    </w:p>
    <w:p w14:paraId="6D3524E6" w14:textId="156E3945" w:rsidR="00016DD7" w:rsidRPr="00016DD7" w:rsidRDefault="00016DD7" w:rsidP="000C5D80">
      <w:pPr>
        <w:pStyle w:val="ListParagraph"/>
        <w:ind w:left="567"/>
        <w:contextualSpacing w:val="0"/>
        <w:jc w:val="both"/>
        <w:rPr>
          <w:rFonts w:asciiTheme="minorHAnsi" w:hAnsiTheme="minorHAnsi" w:cstheme="minorHAnsi"/>
        </w:rPr>
      </w:pPr>
      <w:r w:rsidRPr="00016DD7">
        <w:rPr>
          <w:rFonts w:asciiTheme="minorHAnsi" w:hAnsiTheme="minorHAnsi" w:cstheme="minorHAnsi"/>
        </w:rPr>
        <w:t xml:space="preserve">Where a claim is re-opened in the same </w:t>
      </w:r>
      <w:r w:rsidR="00583949">
        <w:rPr>
          <w:rFonts w:asciiTheme="minorHAnsi" w:hAnsiTheme="minorHAnsi" w:cstheme="minorHAnsi"/>
        </w:rPr>
        <w:t>R</w:t>
      </w:r>
      <w:r w:rsidRPr="00016DD7">
        <w:rPr>
          <w:rFonts w:asciiTheme="minorHAnsi" w:hAnsiTheme="minorHAnsi" w:cstheme="minorHAnsi"/>
        </w:rPr>
        <w:t xml:space="preserve">eporting </w:t>
      </w:r>
      <w:r w:rsidR="00583949">
        <w:rPr>
          <w:rFonts w:asciiTheme="minorHAnsi" w:hAnsiTheme="minorHAnsi" w:cstheme="minorHAnsi"/>
        </w:rPr>
        <w:t>P</w:t>
      </w:r>
      <w:r w:rsidRPr="00016DD7">
        <w:rPr>
          <w:rFonts w:asciiTheme="minorHAnsi" w:hAnsiTheme="minorHAnsi" w:cstheme="minorHAnsi"/>
        </w:rPr>
        <w:t xml:space="preserve">eriod as it was originally </w:t>
      </w:r>
      <w:r w:rsidR="005F6BC3">
        <w:rPr>
          <w:rFonts w:asciiTheme="minorHAnsi" w:hAnsiTheme="minorHAnsi" w:cstheme="minorHAnsi"/>
        </w:rPr>
        <w:t>received</w:t>
      </w:r>
      <w:r w:rsidRPr="00016DD7">
        <w:rPr>
          <w:rFonts w:asciiTheme="minorHAnsi" w:hAnsiTheme="minorHAnsi" w:cstheme="minorHAnsi"/>
        </w:rPr>
        <w:t xml:space="preserve">, or if it was re-opened more than once during the same </w:t>
      </w:r>
      <w:r w:rsidR="00583949">
        <w:rPr>
          <w:rFonts w:asciiTheme="minorHAnsi" w:hAnsiTheme="minorHAnsi" w:cstheme="minorHAnsi"/>
        </w:rPr>
        <w:t>R</w:t>
      </w:r>
      <w:r w:rsidRPr="00016DD7">
        <w:rPr>
          <w:rFonts w:asciiTheme="minorHAnsi" w:hAnsiTheme="minorHAnsi" w:cstheme="minorHAnsi"/>
        </w:rPr>
        <w:t xml:space="preserve">eporting </w:t>
      </w:r>
      <w:r w:rsidR="00583949">
        <w:rPr>
          <w:rFonts w:asciiTheme="minorHAnsi" w:hAnsiTheme="minorHAnsi" w:cstheme="minorHAnsi"/>
        </w:rPr>
        <w:t>P</w:t>
      </w:r>
      <w:r w:rsidRPr="00016DD7">
        <w:rPr>
          <w:rFonts w:asciiTheme="minorHAnsi" w:hAnsiTheme="minorHAnsi" w:cstheme="minorHAnsi"/>
        </w:rPr>
        <w:t xml:space="preserve">eriod, it should be reported only once during the relevant </w:t>
      </w:r>
      <w:r w:rsidR="00583949">
        <w:rPr>
          <w:rFonts w:asciiTheme="minorHAnsi" w:hAnsiTheme="minorHAnsi" w:cstheme="minorHAnsi"/>
        </w:rPr>
        <w:t>R</w:t>
      </w:r>
      <w:r w:rsidRPr="00016DD7">
        <w:rPr>
          <w:rFonts w:asciiTheme="minorHAnsi" w:hAnsiTheme="minorHAnsi" w:cstheme="minorHAnsi"/>
        </w:rPr>
        <w:t xml:space="preserve">eporting </w:t>
      </w:r>
      <w:r w:rsidR="00583949">
        <w:rPr>
          <w:rFonts w:asciiTheme="minorHAnsi" w:hAnsiTheme="minorHAnsi" w:cstheme="minorHAnsi"/>
        </w:rPr>
        <w:t>P</w:t>
      </w:r>
      <w:r w:rsidRPr="00016DD7">
        <w:rPr>
          <w:rFonts w:asciiTheme="minorHAnsi" w:hAnsiTheme="minorHAnsi" w:cstheme="minorHAnsi"/>
        </w:rPr>
        <w:t>eriod, reflecting the latest outcome or status.</w:t>
      </w:r>
    </w:p>
    <w:p w14:paraId="5A2C2828" w14:textId="5EE60AD6" w:rsidR="00016DD7" w:rsidRPr="00016DD7" w:rsidRDefault="00016DD7" w:rsidP="000C5D80">
      <w:pPr>
        <w:pStyle w:val="ListParagraph"/>
        <w:ind w:left="567"/>
        <w:contextualSpacing w:val="0"/>
        <w:jc w:val="both"/>
        <w:rPr>
          <w:rFonts w:asciiTheme="minorHAnsi" w:hAnsiTheme="minorHAnsi" w:cstheme="minorHAnsi"/>
        </w:rPr>
      </w:pPr>
      <w:r w:rsidRPr="00370872">
        <w:rPr>
          <w:rFonts w:asciiTheme="minorHAnsi" w:hAnsiTheme="minorHAnsi" w:cstheme="minorHAnsi"/>
        </w:rPr>
        <w:t xml:space="preserve">For DII, claims that have been terminated and are re-opened for a possible continuation of benefit payments should be </w:t>
      </w:r>
      <w:r w:rsidRPr="000C5D80">
        <w:rPr>
          <w:rFonts w:asciiTheme="minorHAnsi" w:hAnsiTheme="minorHAnsi" w:cstheme="minorHAnsi"/>
        </w:rPr>
        <w:t>excluded</w:t>
      </w:r>
      <w:r w:rsidRPr="00370872">
        <w:rPr>
          <w:rFonts w:asciiTheme="minorHAnsi" w:hAnsiTheme="minorHAnsi" w:cstheme="minorHAnsi"/>
        </w:rPr>
        <w:t xml:space="preserve"> from re-opened claims</w:t>
      </w:r>
      <w:r w:rsidRPr="006F641E">
        <w:rPr>
          <w:rFonts w:asciiTheme="minorHAnsi" w:hAnsiTheme="minorHAnsi" w:cstheme="minorHAnsi"/>
        </w:rPr>
        <w:t xml:space="preserve">. </w:t>
      </w:r>
      <w:r w:rsidRPr="00016DD7">
        <w:rPr>
          <w:rFonts w:asciiTheme="minorHAnsi" w:hAnsiTheme="minorHAnsi" w:cstheme="minorHAnsi"/>
        </w:rPr>
        <w:t xml:space="preserve">It is possible for a new DII claim to be submitted in respect of the same policy and </w:t>
      </w:r>
      <w:r w:rsidR="00E712A0">
        <w:rPr>
          <w:rFonts w:asciiTheme="minorHAnsi" w:hAnsiTheme="minorHAnsi" w:cstheme="minorHAnsi"/>
        </w:rPr>
        <w:t>L</w:t>
      </w:r>
      <w:r w:rsidRPr="00016DD7">
        <w:rPr>
          <w:rFonts w:asciiTheme="minorHAnsi" w:hAnsiTheme="minorHAnsi" w:cstheme="minorHAnsi"/>
        </w:rPr>
        <w:t xml:space="preserve">ife </w:t>
      </w:r>
      <w:r w:rsidR="00E712A0">
        <w:rPr>
          <w:rFonts w:asciiTheme="minorHAnsi" w:hAnsiTheme="minorHAnsi" w:cstheme="minorHAnsi"/>
        </w:rPr>
        <w:t>I</w:t>
      </w:r>
      <w:r w:rsidRPr="00016DD7">
        <w:rPr>
          <w:rFonts w:asciiTheme="minorHAnsi" w:hAnsiTheme="minorHAnsi" w:cstheme="minorHAnsi"/>
        </w:rPr>
        <w:t xml:space="preserve">nsured, e.g. where a significant period has passed since termination of a </w:t>
      </w:r>
      <w:r w:rsidRPr="00016DD7">
        <w:rPr>
          <w:rFonts w:asciiTheme="minorHAnsi" w:hAnsiTheme="minorHAnsi" w:cstheme="minorHAnsi"/>
        </w:rPr>
        <w:lastRenderedPageBreak/>
        <w:t xml:space="preserve">previous claim and/or where the cause of the claim is unrelated to that which applied before. Such claims should be considered as a new claim, </w:t>
      </w:r>
      <w:r w:rsidR="00D24BB0">
        <w:rPr>
          <w:rFonts w:asciiTheme="minorHAnsi" w:hAnsiTheme="minorHAnsi" w:cstheme="minorHAnsi"/>
        </w:rPr>
        <w:t xml:space="preserve">to be </w:t>
      </w:r>
      <w:r w:rsidRPr="00016DD7">
        <w:rPr>
          <w:rFonts w:asciiTheme="minorHAnsi" w:hAnsiTheme="minorHAnsi" w:cstheme="minorHAnsi"/>
        </w:rPr>
        <w:t xml:space="preserve">classified as a </w:t>
      </w:r>
      <w:r w:rsidR="00432296">
        <w:rPr>
          <w:rFonts w:asciiTheme="minorHAnsi" w:hAnsiTheme="minorHAnsi" w:cstheme="minorHAnsi"/>
        </w:rPr>
        <w:t>R</w:t>
      </w:r>
      <w:r w:rsidR="005F6BC3">
        <w:rPr>
          <w:rFonts w:asciiTheme="minorHAnsi" w:hAnsiTheme="minorHAnsi" w:cstheme="minorHAnsi"/>
        </w:rPr>
        <w:t>eceived</w:t>
      </w:r>
      <w:r w:rsidR="005F6BC3" w:rsidRPr="00016DD7">
        <w:rPr>
          <w:rFonts w:asciiTheme="minorHAnsi" w:hAnsiTheme="minorHAnsi" w:cstheme="minorHAnsi"/>
        </w:rPr>
        <w:t xml:space="preserve"> </w:t>
      </w:r>
      <w:r w:rsidR="00922011">
        <w:rPr>
          <w:rFonts w:asciiTheme="minorHAnsi" w:hAnsiTheme="minorHAnsi" w:cstheme="minorHAnsi"/>
        </w:rPr>
        <w:t xml:space="preserve">claim </w:t>
      </w:r>
      <w:r w:rsidRPr="00016DD7">
        <w:rPr>
          <w:rFonts w:asciiTheme="minorHAnsi" w:hAnsiTheme="minorHAnsi" w:cstheme="minorHAnsi"/>
        </w:rPr>
        <w:t>and not a re-opened claim.</w:t>
      </w:r>
    </w:p>
    <w:p w14:paraId="7B061061" w14:textId="5A0E1382" w:rsidR="00016DD7" w:rsidRPr="0072746A" w:rsidRDefault="006F641E" w:rsidP="0072746A">
      <w:pPr>
        <w:pStyle w:val="BodyText1"/>
      </w:pPr>
      <w:r w:rsidRPr="0072746A">
        <w:t>‘</w:t>
      </w:r>
      <w:r w:rsidR="00016DD7" w:rsidRPr="0072746A">
        <w:t>Claim Withdrawn</w:t>
      </w:r>
      <w:r w:rsidRPr="0072746A">
        <w:t>’</w:t>
      </w:r>
      <w:r w:rsidR="00016DD7" w:rsidRPr="0072746A">
        <w:t xml:space="preserve"> refers to the instance where a </w:t>
      </w:r>
      <w:r w:rsidR="005F6BC3">
        <w:t>received</w:t>
      </w:r>
      <w:r w:rsidR="005F6BC3" w:rsidRPr="0072746A">
        <w:t xml:space="preserve"> </w:t>
      </w:r>
      <w:r w:rsidR="00016DD7" w:rsidRPr="0072746A">
        <w:t xml:space="preserve">claim is withdrawn and closed before being assessed and finalised. </w:t>
      </w:r>
      <w:r w:rsidR="00301C87">
        <w:t>N</w:t>
      </w:r>
      <w:r w:rsidR="00016DD7" w:rsidRPr="0072746A">
        <w:t xml:space="preserve">ote that a claim should be recorded in the </w:t>
      </w:r>
      <w:r w:rsidR="006976CB" w:rsidRPr="0002751D">
        <w:t>‘Withdrawn by the claimant’</w:t>
      </w:r>
      <w:r w:rsidR="006976CB">
        <w:t xml:space="preserve"> </w:t>
      </w:r>
      <w:r w:rsidR="00016DD7" w:rsidRPr="0072746A">
        <w:t>category if the claimant returned to work prior to the expiry of a waiting period (where applicable).</w:t>
      </w:r>
    </w:p>
    <w:p w14:paraId="090131C0" w14:textId="72A93B52" w:rsidR="00016DD7" w:rsidRPr="0072746A" w:rsidRDefault="006F641E" w:rsidP="00505428">
      <w:pPr>
        <w:pStyle w:val="BodyText1"/>
      </w:pPr>
      <w:r w:rsidRPr="0072746A">
        <w:t>‘</w:t>
      </w:r>
      <w:r w:rsidR="00016DD7" w:rsidRPr="0072746A">
        <w:t>Claim Finalised</w:t>
      </w:r>
      <w:r w:rsidRPr="0072746A">
        <w:t>’</w:t>
      </w:r>
      <w:r w:rsidR="00016DD7" w:rsidRPr="0072746A">
        <w:t xml:space="preserve"> refers to when the insurer has made a final decision on the claim (e.g. whether to admit or decline the claim) and communicated this decision to the claimant. The </w:t>
      </w:r>
      <w:r w:rsidRPr="0072746A">
        <w:t>‘</w:t>
      </w:r>
      <w:r w:rsidR="00016DD7" w:rsidRPr="0072746A">
        <w:t>Claim Finalised Date</w:t>
      </w:r>
      <w:r w:rsidRPr="0072746A">
        <w:t>’</w:t>
      </w:r>
      <w:r w:rsidR="00016DD7" w:rsidRPr="0072746A">
        <w:t xml:space="preserve"> is the date on which the insurer’s claim decision is communicated to the claimant. This is not dependent on payment to the insured having been made. Communication by email, text message, facsimile or telephone is deemed to have occurred on the date it was sent. Communication by postal service is deemed to have occurred three business days after it was sent.</w:t>
      </w:r>
    </w:p>
    <w:p w14:paraId="0DDE39A4" w14:textId="30C658AC" w:rsidR="00016DD7" w:rsidRPr="00016DD7" w:rsidRDefault="00016DD7" w:rsidP="000C5D80">
      <w:pPr>
        <w:pStyle w:val="ListParagraph"/>
        <w:ind w:left="567"/>
        <w:contextualSpacing w:val="0"/>
        <w:jc w:val="both"/>
        <w:rPr>
          <w:rFonts w:asciiTheme="minorHAnsi" w:hAnsiTheme="minorHAnsi" w:cstheme="minorHAnsi"/>
        </w:rPr>
      </w:pPr>
      <w:r w:rsidRPr="00016DD7">
        <w:rPr>
          <w:rFonts w:asciiTheme="minorHAnsi" w:hAnsiTheme="minorHAnsi" w:cstheme="minorHAnsi"/>
        </w:rPr>
        <w:t xml:space="preserve">The Claim Finalised Date for DII refers to the date that the claim is admitted, declined or withdrawn and </w:t>
      </w:r>
      <w:r w:rsidRPr="000C5D80">
        <w:rPr>
          <w:rFonts w:asciiTheme="minorHAnsi" w:hAnsiTheme="minorHAnsi" w:cstheme="minorHAnsi"/>
        </w:rPr>
        <w:t>not</w:t>
      </w:r>
      <w:r w:rsidRPr="00016DD7">
        <w:rPr>
          <w:rFonts w:asciiTheme="minorHAnsi" w:hAnsiTheme="minorHAnsi" w:cstheme="minorHAnsi"/>
        </w:rPr>
        <w:t xml:space="preserve"> to th</w:t>
      </w:r>
      <w:r w:rsidRPr="006F641E">
        <w:rPr>
          <w:rFonts w:asciiTheme="minorHAnsi" w:hAnsiTheme="minorHAnsi" w:cstheme="minorHAnsi"/>
        </w:rPr>
        <w:t xml:space="preserve">e </w:t>
      </w:r>
      <w:r w:rsidRPr="00370872">
        <w:rPr>
          <w:rFonts w:asciiTheme="minorHAnsi" w:hAnsiTheme="minorHAnsi" w:cstheme="minorHAnsi"/>
        </w:rPr>
        <w:t>claim termination date</w:t>
      </w:r>
      <w:r w:rsidRPr="006F641E">
        <w:rPr>
          <w:rFonts w:asciiTheme="minorHAnsi" w:hAnsiTheme="minorHAnsi" w:cstheme="minorHAnsi"/>
        </w:rPr>
        <w:t xml:space="preserve"> </w:t>
      </w:r>
      <w:r w:rsidRPr="00016DD7">
        <w:rPr>
          <w:rFonts w:asciiTheme="minorHAnsi" w:hAnsiTheme="minorHAnsi" w:cstheme="minorHAnsi"/>
        </w:rPr>
        <w:t>(when any regular payments cease because the insured has recovered from disability, the end of the benefit period was reached, or the claimant has died).</w:t>
      </w:r>
    </w:p>
    <w:p w14:paraId="7C4304C7" w14:textId="0CEA571B" w:rsidR="00016DD7" w:rsidRPr="00016DD7" w:rsidRDefault="00016DD7" w:rsidP="000C5D80">
      <w:pPr>
        <w:pStyle w:val="ListParagraph"/>
        <w:ind w:left="567"/>
        <w:contextualSpacing w:val="0"/>
        <w:jc w:val="both"/>
        <w:rPr>
          <w:rFonts w:asciiTheme="minorHAnsi" w:hAnsiTheme="minorHAnsi" w:cstheme="minorHAnsi"/>
        </w:rPr>
      </w:pPr>
      <w:r w:rsidRPr="00016DD7">
        <w:rPr>
          <w:rFonts w:asciiTheme="minorHAnsi" w:hAnsiTheme="minorHAnsi" w:cstheme="minorHAnsi"/>
        </w:rPr>
        <w:t>Where DII payments have commenced prior to a final claim decision being made (so-called goodwill payments), the claim should not be classified as Finalised. Such claims should only be classified as Finalised once a final claim decision has been made. If that claim decision is to decline the claim, the claim should be recorded as such, regardless of payments already made.</w:t>
      </w:r>
    </w:p>
    <w:p w14:paraId="5BBFA40F" w14:textId="71E49DED" w:rsidR="00016DD7" w:rsidRPr="0072746A" w:rsidRDefault="006F641E" w:rsidP="0072746A">
      <w:pPr>
        <w:pStyle w:val="BodyText1"/>
      </w:pPr>
      <w:r w:rsidRPr="0072746A">
        <w:t>‘</w:t>
      </w:r>
      <w:r w:rsidR="00016DD7" w:rsidRPr="0072746A">
        <w:t>Undetermined Claim</w:t>
      </w:r>
      <w:r w:rsidRPr="0072746A">
        <w:t>’</w:t>
      </w:r>
      <w:r w:rsidR="00016DD7" w:rsidRPr="0072746A">
        <w:t xml:space="preserve"> refers to a </w:t>
      </w:r>
      <w:r w:rsidR="005F6BC3">
        <w:t>Received</w:t>
      </w:r>
      <w:r w:rsidR="005F6BC3" w:rsidRPr="0072746A">
        <w:t xml:space="preserve"> </w:t>
      </w:r>
      <w:r w:rsidR="00016DD7" w:rsidRPr="0072746A">
        <w:t xml:space="preserve">Claim that has not been finalised or withdrawn at the end of the Reporting Period. Classification of a claim as </w:t>
      </w:r>
      <w:r w:rsidR="004259ED">
        <w:t>W</w:t>
      </w:r>
      <w:r w:rsidR="00016DD7" w:rsidRPr="0072746A">
        <w:t xml:space="preserve">ithdrawn, </w:t>
      </w:r>
      <w:r w:rsidR="004259ED">
        <w:t>F</w:t>
      </w:r>
      <w:r w:rsidR="00016DD7" w:rsidRPr="0072746A">
        <w:t xml:space="preserve">inalised or </w:t>
      </w:r>
      <w:r w:rsidR="004259ED">
        <w:t>U</w:t>
      </w:r>
      <w:r w:rsidR="00016DD7" w:rsidRPr="0072746A">
        <w:t xml:space="preserve">ndetermined should be based on its status at the end of the </w:t>
      </w:r>
      <w:r w:rsidR="00583949">
        <w:t>R</w:t>
      </w:r>
      <w:r w:rsidR="00016DD7" w:rsidRPr="0072746A">
        <w:t xml:space="preserve">eporting </w:t>
      </w:r>
      <w:r w:rsidR="00583949">
        <w:t>P</w:t>
      </w:r>
      <w:r w:rsidR="00016DD7" w:rsidRPr="0072746A">
        <w:t xml:space="preserve">eriod. Any developments between the end of the </w:t>
      </w:r>
      <w:r w:rsidR="00583949">
        <w:t>R</w:t>
      </w:r>
      <w:r w:rsidR="00016DD7" w:rsidRPr="0072746A">
        <w:t xml:space="preserve">eporting </w:t>
      </w:r>
      <w:r w:rsidR="00583949">
        <w:t>P</w:t>
      </w:r>
      <w:r w:rsidR="00016DD7" w:rsidRPr="0072746A">
        <w:t xml:space="preserve">eriod and the date of the data submission should be excluded from the </w:t>
      </w:r>
      <w:r w:rsidR="00C17199">
        <w:t>reporting form</w:t>
      </w:r>
      <w:r w:rsidR="00016DD7" w:rsidRPr="0072746A">
        <w:t>.</w:t>
      </w:r>
    </w:p>
    <w:p w14:paraId="0E1AE9F7" w14:textId="1974DCE3" w:rsidR="00016DD7" w:rsidRPr="0072746A" w:rsidRDefault="00F15106" w:rsidP="0072746A">
      <w:pPr>
        <w:pStyle w:val="BodyText1"/>
      </w:pPr>
      <w:r w:rsidRPr="0072746A">
        <w:t>‘</w:t>
      </w:r>
      <w:r w:rsidR="00016DD7" w:rsidRPr="0072746A">
        <w:t>Claim Sum Insured</w:t>
      </w:r>
      <w:r w:rsidRPr="0072746A">
        <w:t>’</w:t>
      </w:r>
      <w:r w:rsidR="00016DD7" w:rsidRPr="0072746A">
        <w:t xml:space="preserve"> refers to the </w:t>
      </w:r>
      <w:r w:rsidR="0016740D">
        <w:t>S</w:t>
      </w:r>
      <w:r w:rsidR="00016DD7" w:rsidRPr="0072746A">
        <w:t xml:space="preserve">um </w:t>
      </w:r>
      <w:r w:rsidR="0016740D">
        <w:t>I</w:t>
      </w:r>
      <w:r w:rsidR="00016DD7" w:rsidRPr="0072746A">
        <w:t xml:space="preserve">nsured in respect of the Policy Contract and relevant </w:t>
      </w:r>
      <w:r w:rsidR="002C67AE">
        <w:t>C</w:t>
      </w:r>
      <w:r w:rsidR="00016DD7" w:rsidRPr="0072746A">
        <w:t xml:space="preserve">over </w:t>
      </w:r>
      <w:r w:rsidR="002C67AE">
        <w:t>T</w:t>
      </w:r>
      <w:r w:rsidR="00016DD7" w:rsidRPr="0072746A">
        <w:t xml:space="preserve">ype or benefit being claimed for. The full </w:t>
      </w:r>
      <w:r w:rsidR="0016740D">
        <w:t>S</w:t>
      </w:r>
      <w:r w:rsidR="00016DD7" w:rsidRPr="0072746A">
        <w:t xml:space="preserve">um </w:t>
      </w:r>
      <w:r w:rsidR="0016740D">
        <w:t>I</w:t>
      </w:r>
      <w:r w:rsidR="00016DD7" w:rsidRPr="0072746A">
        <w:t xml:space="preserve">nsured should be reported, ignoring any reduction, even where this is allowed for in the terms of the </w:t>
      </w:r>
      <w:r w:rsidR="00202C62">
        <w:t>P</w:t>
      </w:r>
      <w:r w:rsidR="00016DD7" w:rsidRPr="0072746A">
        <w:t xml:space="preserve">olicy </w:t>
      </w:r>
      <w:r w:rsidR="00202C62">
        <w:t>C</w:t>
      </w:r>
      <w:r w:rsidR="00016DD7" w:rsidRPr="0072746A">
        <w:t>ontract. The Claim Sum Insured should be gross of reinsurance.</w:t>
      </w:r>
    </w:p>
    <w:p w14:paraId="7F18DF20" w14:textId="0E1D010A" w:rsidR="00016DD7" w:rsidRPr="0072746A" w:rsidRDefault="00F15106" w:rsidP="00505428">
      <w:pPr>
        <w:pStyle w:val="BodyText1"/>
        <w:rPr>
          <w:rFonts w:asciiTheme="minorHAnsi" w:hAnsiTheme="minorHAnsi" w:cstheme="minorHAnsi"/>
        </w:rPr>
      </w:pPr>
      <w:r w:rsidRPr="0072746A">
        <w:t>‘</w:t>
      </w:r>
      <w:r w:rsidR="00016DD7" w:rsidRPr="0072746A">
        <w:t>Claim Amount Paid</w:t>
      </w:r>
      <w:r w:rsidRPr="0072746A">
        <w:t>’</w:t>
      </w:r>
      <w:r w:rsidR="00016DD7" w:rsidRPr="0072746A">
        <w:t xml:space="preserve"> refers to the actual amount paid gross of reinsurance. For DII, this is the regular monthly payment to the insured life, policyholder or nominated beneficiary. Where the Policy Contract allows for a reduction in the full </w:t>
      </w:r>
      <w:r w:rsidR="0016740D">
        <w:t>S</w:t>
      </w:r>
      <w:r w:rsidR="00016DD7" w:rsidRPr="0072746A">
        <w:t xml:space="preserve">um </w:t>
      </w:r>
      <w:r w:rsidR="0016740D">
        <w:t>I</w:t>
      </w:r>
      <w:r w:rsidR="00016DD7" w:rsidRPr="0072746A">
        <w:t>nsured (e.g. in the case of severity</w:t>
      </w:r>
      <w:r w:rsidR="006A05E3">
        <w:t>-</w:t>
      </w:r>
      <w:r w:rsidR="00016DD7" w:rsidRPr="0072746A">
        <w:t>based Trauma or Accidental Injury benefits</w:t>
      </w:r>
      <w:r w:rsidR="004C5844">
        <w:t>,</w:t>
      </w:r>
      <w:r w:rsidR="00016DD7" w:rsidRPr="0072746A">
        <w:t xml:space="preserve"> or </w:t>
      </w:r>
      <w:r w:rsidR="0072638B" w:rsidRPr="00370872">
        <w:t>for DII due to partial disability or a workers’ compensation offset</w:t>
      </w:r>
      <w:r w:rsidR="00016DD7" w:rsidRPr="0072746A">
        <w:t xml:space="preserve">), this field should reflect such </w:t>
      </w:r>
      <w:r w:rsidR="007020E7">
        <w:t xml:space="preserve">a </w:t>
      </w:r>
      <w:r w:rsidR="00016DD7" w:rsidRPr="0072746A">
        <w:t>reduction. In the event of varying DII payments during the Reporting Period, the average monthly payment amount should be reported.</w:t>
      </w:r>
    </w:p>
    <w:p w14:paraId="7834BD97" w14:textId="3D112FA1" w:rsidR="00016DD7" w:rsidRPr="00016DD7" w:rsidRDefault="00016DD7" w:rsidP="000C5D80">
      <w:pPr>
        <w:pStyle w:val="ListParagraph"/>
        <w:ind w:left="567"/>
        <w:contextualSpacing w:val="0"/>
        <w:jc w:val="both"/>
        <w:rPr>
          <w:rFonts w:asciiTheme="minorHAnsi" w:hAnsiTheme="minorHAnsi" w:cstheme="minorHAnsi"/>
        </w:rPr>
      </w:pPr>
      <w:r w:rsidRPr="00016DD7">
        <w:rPr>
          <w:rFonts w:asciiTheme="minorHAnsi" w:hAnsiTheme="minorHAnsi" w:cstheme="minorHAnsi"/>
        </w:rPr>
        <w:lastRenderedPageBreak/>
        <w:t>Any amounts paid from a</w:t>
      </w:r>
      <w:r w:rsidR="004259ED">
        <w:rPr>
          <w:rFonts w:asciiTheme="minorHAnsi" w:hAnsiTheme="minorHAnsi" w:cstheme="minorHAnsi"/>
        </w:rPr>
        <w:t xml:space="preserve"> </w:t>
      </w:r>
      <w:r w:rsidRPr="00016DD7">
        <w:rPr>
          <w:rFonts w:asciiTheme="minorHAnsi" w:hAnsiTheme="minorHAnsi" w:cstheme="minorHAnsi"/>
        </w:rPr>
        <w:t>superannuation account balance should not be included in the Claim Amount Paid. That is, only the insurance payout component should be included.</w:t>
      </w:r>
    </w:p>
    <w:p w14:paraId="14E9326C" w14:textId="73E99608" w:rsidR="00016DD7" w:rsidRPr="0072746A" w:rsidRDefault="00016DD7" w:rsidP="0072746A">
      <w:pPr>
        <w:pStyle w:val="BodyText1"/>
      </w:pPr>
      <w:r w:rsidRPr="0072746A">
        <w:t xml:space="preserve">It is possible that the same </w:t>
      </w:r>
      <w:r w:rsidR="004259ED">
        <w:t>C</w:t>
      </w:r>
      <w:r w:rsidRPr="0072746A">
        <w:t xml:space="preserve">laim </w:t>
      </w:r>
      <w:r w:rsidR="004259ED">
        <w:t>E</w:t>
      </w:r>
      <w:r w:rsidRPr="0072746A">
        <w:t xml:space="preserve">vent is considered and assessed for multiple Policy Benefits under the same Cover Type or Product. </w:t>
      </w:r>
      <w:r w:rsidRPr="0072746A">
        <w:rPr>
          <w:iCs/>
        </w:rPr>
        <w:t xml:space="preserve">Referring to the three categories defined in </w:t>
      </w:r>
      <w:r w:rsidR="00457B3B">
        <w:rPr>
          <w:iCs/>
        </w:rPr>
        <w:t>paragraph</w:t>
      </w:r>
      <w:r w:rsidRPr="0072746A">
        <w:rPr>
          <w:iCs/>
        </w:rPr>
        <w:t xml:space="preserve"> </w:t>
      </w:r>
      <w:r w:rsidR="00C216E2">
        <w:rPr>
          <w:iCs/>
        </w:rPr>
        <w:t>29</w:t>
      </w:r>
      <w:r w:rsidRPr="0072746A">
        <w:rPr>
          <w:iCs/>
        </w:rPr>
        <w:t>, claims in respect of those categories should be dealt with as follows:</w:t>
      </w:r>
    </w:p>
    <w:p w14:paraId="2439B101" w14:textId="77777777" w:rsidR="00016DD7" w:rsidRPr="000C5D80" w:rsidRDefault="00016DD7" w:rsidP="000C5D80">
      <w:pPr>
        <w:pStyle w:val="BodyText2"/>
        <w:jc w:val="both"/>
      </w:pPr>
      <w:r w:rsidRPr="000C5D80">
        <w:t>Policy Benefits that can be added together, with the same claim conditions:</w:t>
      </w:r>
    </w:p>
    <w:p w14:paraId="6F8DF1B2" w14:textId="4DA7720C" w:rsidR="00016DD7" w:rsidRPr="000C5D80" w:rsidRDefault="00016DD7" w:rsidP="000C5D80">
      <w:pPr>
        <w:pStyle w:val="BodyText3"/>
        <w:jc w:val="both"/>
      </w:pPr>
      <w:r w:rsidRPr="000C5D80">
        <w:t xml:space="preserve">A single claim outcome should be reported, with the </w:t>
      </w:r>
      <w:r w:rsidR="0016740D">
        <w:t>C</w:t>
      </w:r>
      <w:r w:rsidRPr="000C5D80">
        <w:t xml:space="preserve">laim </w:t>
      </w:r>
      <w:r w:rsidR="0016740D">
        <w:t>S</w:t>
      </w:r>
      <w:r w:rsidRPr="000C5D80">
        <w:t xml:space="preserve">um </w:t>
      </w:r>
      <w:r w:rsidR="0016740D">
        <w:t>I</w:t>
      </w:r>
      <w:r w:rsidRPr="000C5D80">
        <w:t xml:space="preserve">nsured and </w:t>
      </w:r>
      <w:r w:rsidR="00974E93">
        <w:t>C</w:t>
      </w:r>
      <w:r w:rsidRPr="000C5D80">
        <w:t xml:space="preserve">laim </w:t>
      </w:r>
      <w:r w:rsidR="00974E93">
        <w:t>A</w:t>
      </w:r>
      <w:r w:rsidRPr="000C5D80">
        <w:t xml:space="preserve">mount </w:t>
      </w:r>
      <w:r w:rsidR="00974E93">
        <w:t>P</w:t>
      </w:r>
      <w:r w:rsidRPr="000C5D80">
        <w:t>aid calculated as the sum of the underlying Policy Benefits.</w:t>
      </w:r>
    </w:p>
    <w:p w14:paraId="0C25AF55" w14:textId="77777777" w:rsidR="00016DD7" w:rsidRPr="000C5D80" w:rsidRDefault="00016DD7" w:rsidP="000C5D80">
      <w:pPr>
        <w:pStyle w:val="BodyText2"/>
        <w:jc w:val="both"/>
      </w:pPr>
      <w:r w:rsidRPr="000C5D80">
        <w:t>Policy Benefits that can be added together, with potentially different claim conditions:</w:t>
      </w:r>
    </w:p>
    <w:p w14:paraId="289616A7" w14:textId="7662580F" w:rsidR="00016DD7" w:rsidRPr="000C5D80" w:rsidRDefault="00016DD7" w:rsidP="000C5D80">
      <w:pPr>
        <w:pStyle w:val="BodyText3"/>
        <w:jc w:val="both"/>
      </w:pPr>
      <w:r w:rsidRPr="000C5D80">
        <w:t xml:space="preserve">If the claim outcome is the same for all the underlying Policy Benefits, a single claim outcome should be recorded, with the </w:t>
      </w:r>
      <w:r w:rsidR="0016740D">
        <w:t>C</w:t>
      </w:r>
      <w:r w:rsidRPr="000C5D80">
        <w:t xml:space="preserve">laim </w:t>
      </w:r>
      <w:r w:rsidR="0016740D">
        <w:t>S</w:t>
      </w:r>
      <w:r w:rsidRPr="000C5D80">
        <w:t xml:space="preserve">um </w:t>
      </w:r>
      <w:r w:rsidR="0016740D">
        <w:t>I</w:t>
      </w:r>
      <w:r w:rsidRPr="000C5D80">
        <w:t xml:space="preserve">nsured and </w:t>
      </w:r>
      <w:r w:rsidR="00974E93">
        <w:t>C</w:t>
      </w:r>
      <w:r w:rsidRPr="000C5D80">
        <w:t xml:space="preserve">laim </w:t>
      </w:r>
      <w:r w:rsidR="00974E93">
        <w:t>A</w:t>
      </w:r>
      <w:r w:rsidRPr="000C5D80">
        <w:t xml:space="preserve">mount </w:t>
      </w:r>
      <w:r w:rsidR="00974E93">
        <w:t>P</w:t>
      </w:r>
      <w:r w:rsidRPr="000C5D80">
        <w:t>aid calculated as the sum of the underlying Policy Benefits.</w:t>
      </w:r>
    </w:p>
    <w:p w14:paraId="2A38756E" w14:textId="1218BE53" w:rsidR="00016DD7" w:rsidRPr="000C5D80" w:rsidRDefault="00016DD7" w:rsidP="000C5D80">
      <w:pPr>
        <w:pStyle w:val="BodyText3"/>
        <w:jc w:val="both"/>
      </w:pPr>
      <w:r w:rsidRPr="000C5D80">
        <w:t xml:space="preserve">If the claim outcome is not the same for all underlying Policy Benefits, separate claim outcomes should be recorded. One claim record should be reported for each claim outcome, with the </w:t>
      </w:r>
      <w:r w:rsidR="0016740D">
        <w:t>C</w:t>
      </w:r>
      <w:r w:rsidRPr="000C5D80">
        <w:t xml:space="preserve">laim </w:t>
      </w:r>
      <w:r w:rsidR="0016740D">
        <w:t>S</w:t>
      </w:r>
      <w:r w:rsidRPr="000C5D80">
        <w:t xml:space="preserve">um </w:t>
      </w:r>
      <w:r w:rsidR="0016740D">
        <w:t>I</w:t>
      </w:r>
      <w:r w:rsidRPr="000C5D80">
        <w:t xml:space="preserve">nsured and </w:t>
      </w:r>
      <w:r w:rsidR="00974E93">
        <w:t>C</w:t>
      </w:r>
      <w:r w:rsidRPr="000C5D80">
        <w:t xml:space="preserve">laim </w:t>
      </w:r>
      <w:r w:rsidR="00974E93">
        <w:t>A</w:t>
      </w:r>
      <w:r w:rsidRPr="000C5D80">
        <w:t xml:space="preserve">mount </w:t>
      </w:r>
      <w:r w:rsidR="00974E93">
        <w:t>P</w:t>
      </w:r>
      <w:r w:rsidRPr="000C5D80">
        <w:t>aid calculated as the sum of the underlying Policy Benefits with the given claim outcome.</w:t>
      </w:r>
    </w:p>
    <w:p w14:paraId="6D407E00" w14:textId="77777777" w:rsidR="00016DD7" w:rsidRPr="000C5D80" w:rsidRDefault="00016DD7" w:rsidP="000C5D80">
      <w:pPr>
        <w:pStyle w:val="BodyText2"/>
        <w:jc w:val="both"/>
      </w:pPr>
      <w:r w:rsidRPr="000C5D80">
        <w:t>Policy Benefits that cannot be added together and provide for benefits under different claim conditions:</w:t>
      </w:r>
    </w:p>
    <w:p w14:paraId="3E88A356" w14:textId="075CBAC0" w:rsidR="00016DD7" w:rsidRPr="0002751D" w:rsidRDefault="00016DD7" w:rsidP="009E5BB4">
      <w:pPr>
        <w:pStyle w:val="ListParagraph"/>
        <w:ind w:left="567" w:firstLine="567"/>
        <w:contextualSpacing w:val="0"/>
        <w:jc w:val="both"/>
        <w:rPr>
          <w:iCs/>
        </w:rPr>
      </w:pPr>
      <w:r w:rsidRPr="0002751D">
        <w:rPr>
          <w:iCs/>
        </w:rPr>
        <w:t>A single claim outcome should be reported. Specifically:</w:t>
      </w:r>
    </w:p>
    <w:p w14:paraId="5CEE319A" w14:textId="48888114" w:rsidR="00016DD7" w:rsidRPr="000C5D80" w:rsidRDefault="00016DD7" w:rsidP="000C5D80">
      <w:pPr>
        <w:pStyle w:val="BodyText3"/>
        <w:jc w:val="both"/>
      </w:pPr>
      <w:r w:rsidRPr="000C5D80">
        <w:t>If the claim was admitted (including an ex-gratia admittance), or any other form of payment made, a single record should be reported in the appropriate category</w:t>
      </w:r>
      <w:r w:rsidR="008A631B">
        <w:t>,</w:t>
      </w:r>
      <w:r w:rsidRPr="000C5D80">
        <w:t xml:space="preserve"> reflecting the relevant </w:t>
      </w:r>
      <w:r w:rsidR="0016740D">
        <w:t>C</w:t>
      </w:r>
      <w:r w:rsidRPr="000C5D80">
        <w:t xml:space="preserve">laim </w:t>
      </w:r>
      <w:r w:rsidR="0016740D">
        <w:t>S</w:t>
      </w:r>
      <w:r w:rsidRPr="000C5D80">
        <w:t xml:space="preserve">um </w:t>
      </w:r>
      <w:r w:rsidR="0016740D">
        <w:t>I</w:t>
      </w:r>
      <w:r w:rsidRPr="000C5D80">
        <w:t xml:space="preserve">nsured and </w:t>
      </w:r>
      <w:r w:rsidR="00974E93">
        <w:t>C</w:t>
      </w:r>
      <w:r w:rsidRPr="000C5D80">
        <w:t xml:space="preserve">laim </w:t>
      </w:r>
      <w:r w:rsidR="00974E93">
        <w:t>A</w:t>
      </w:r>
      <w:r w:rsidRPr="000C5D80">
        <w:t xml:space="preserve">mount </w:t>
      </w:r>
      <w:r w:rsidR="00974E93">
        <w:t>P</w:t>
      </w:r>
      <w:r w:rsidRPr="000C5D80">
        <w:t>aid. The fact that there may have been a decline decision in respect of another Policy Benefit should not be reported.</w:t>
      </w:r>
    </w:p>
    <w:p w14:paraId="2C32E738" w14:textId="380FA0AA" w:rsidR="00016DD7" w:rsidRPr="000C5D80" w:rsidRDefault="00016DD7" w:rsidP="000C5D80">
      <w:pPr>
        <w:pStyle w:val="BodyText3"/>
        <w:jc w:val="both"/>
      </w:pPr>
      <w:r w:rsidRPr="000C5D80">
        <w:t>If the claim was declined (with no payment) under all Policy Benefits, a single decline decision should be reported.</w:t>
      </w:r>
      <w:r w:rsidR="007461C5">
        <w:t xml:space="preserve"> </w:t>
      </w:r>
      <w:r w:rsidR="007020E7">
        <w:t xml:space="preserve">The </w:t>
      </w:r>
      <w:r w:rsidR="0016740D">
        <w:t>S</w:t>
      </w:r>
      <w:r w:rsidR="007461C5">
        <w:t xml:space="preserve">um </w:t>
      </w:r>
      <w:r w:rsidR="0016740D">
        <w:t>I</w:t>
      </w:r>
      <w:r w:rsidR="007461C5">
        <w:t xml:space="preserve">nsured </w:t>
      </w:r>
      <w:r w:rsidR="007461C5" w:rsidRPr="00DC47CE">
        <w:t xml:space="preserve">should be </w:t>
      </w:r>
      <w:r w:rsidR="007461C5">
        <w:t xml:space="preserve">appropriately </w:t>
      </w:r>
      <w:r w:rsidR="007461C5" w:rsidRPr="00DC47CE">
        <w:t xml:space="preserve">apportioned </w:t>
      </w:r>
      <w:r w:rsidR="007461C5">
        <w:t>among different Policy Benefits</w:t>
      </w:r>
      <w:r w:rsidR="007461C5" w:rsidRPr="00DC47CE">
        <w:t>.</w:t>
      </w:r>
    </w:p>
    <w:p w14:paraId="390EF26E" w14:textId="78C5DFAB" w:rsidR="00016DD7" w:rsidRPr="00016DD7" w:rsidRDefault="00016DD7" w:rsidP="000C5D80">
      <w:pPr>
        <w:pStyle w:val="ListParagraph"/>
        <w:ind w:left="567"/>
        <w:contextualSpacing w:val="0"/>
        <w:jc w:val="both"/>
        <w:rPr>
          <w:rFonts w:asciiTheme="minorHAnsi" w:hAnsiTheme="minorHAnsi" w:cstheme="minorHAnsi"/>
        </w:rPr>
      </w:pPr>
      <w:r w:rsidRPr="00016DD7">
        <w:rPr>
          <w:rFonts w:asciiTheme="minorHAnsi" w:hAnsiTheme="minorHAnsi" w:cstheme="minorHAnsi"/>
        </w:rPr>
        <w:t xml:space="preserve">The most common example is the structuring of TPD benefits with different definitions for disability. The </w:t>
      </w:r>
      <w:r w:rsidR="00E712A0">
        <w:rPr>
          <w:rFonts w:asciiTheme="minorHAnsi" w:hAnsiTheme="minorHAnsi" w:cstheme="minorHAnsi"/>
        </w:rPr>
        <w:t>L</w:t>
      </w:r>
      <w:r w:rsidRPr="00016DD7">
        <w:rPr>
          <w:rFonts w:asciiTheme="minorHAnsi" w:hAnsiTheme="minorHAnsi" w:cstheme="minorHAnsi"/>
        </w:rPr>
        <w:t xml:space="preserve">ife </w:t>
      </w:r>
      <w:r w:rsidR="00E712A0">
        <w:rPr>
          <w:rFonts w:asciiTheme="minorHAnsi" w:hAnsiTheme="minorHAnsi" w:cstheme="minorHAnsi"/>
        </w:rPr>
        <w:t>I</w:t>
      </w:r>
      <w:r w:rsidRPr="00016DD7">
        <w:rPr>
          <w:rFonts w:asciiTheme="minorHAnsi" w:hAnsiTheme="minorHAnsi" w:cstheme="minorHAnsi"/>
        </w:rPr>
        <w:t>nsured could then be assessed under multiple disability definitions, arising from the same claim submission.</w:t>
      </w:r>
    </w:p>
    <w:p w14:paraId="31F4575D" w14:textId="38F12B20" w:rsidR="00016DD7" w:rsidRPr="00016DD7" w:rsidRDefault="00016DD7" w:rsidP="009E5BB4">
      <w:pPr>
        <w:pStyle w:val="BodyText1"/>
      </w:pPr>
      <w:r w:rsidRPr="00016DD7">
        <w:t xml:space="preserve">In respect of Claims Data, </w:t>
      </w:r>
      <w:r w:rsidR="008A631B">
        <w:t xml:space="preserve">the detail set out in </w:t>
      </w:r>
      <w:r w:rsidR="00457B3B">
        <w:t>paragraph</w:t>
      </w:r>
      <w:r w:rsidR="000B47B2">
        <w:t xml:space="preserve">s 54 to </w:t>
      </w:r>
      <w:r w:rsidR="00852E41">
        <w:t>63</w:t>
      </w:r>
      <w:r w:rsidR="009473D3">
        <w:t xml:space="preserve"> </w:t>
      </w:r>
      <w:r w:rsidRPr="00016DD7">
        <w:t>should be provided</w:t>
      </w:r>
      <w:r w:rsidR="008A631B">
        <w:t>.</w:t>
      </w:r>
    </w:p>
    <w:p w14:paraId="70C3E295" w14:textId="2C26C149" w:rsidR="00016DD7" w:rsidRPr="000C5D80" w:rsidRDefault="00016DD7" w:rsidP="000C5D80">
      <w:pPr>
        <w:pStyle w:val="BodyText1"/>
      </w:pPr>
      <w:r w:rsidRPr="000C5D80">
        <w:lastRenderedPageBreak/>
        <w:t xml:space="preserve">The total number of claims that are undetermined at the start of the Reporting Period, split by Claim Incidence </w:t>
      </w:r>
      <w:r w:rsidR="00E71275">
        <w:t>Y</w:t>
      </w:r>
      <w:r w:rsidRPr="000C5D80">
        <w:t xml:space="preserve">ear (labelled A on the various claims sheets in the </w:t>
      </w:r>
      <w:r w:rsidR="004C4EDB">
        <w:t>reporting form</w:t>
      </w:r>
      <w:r w:rsidRPr="000C5D80">
        <w:t xml:space="preserve">). It is expected that numbers reported undetermined at the start of the Reporting Period would correspond to numbers reported undetermined at the end of the corresponding Claim Incidence Year in the </w:t>
      </w:r>
      <w:r w:rsidR="00126E06" w:rsidRPr="000C5D80">
        <w:t>previous Reporting Period</w:t>
      </w:r>
      <w:r w:rsidRPr="000C5D80">
        <w:t>. The classification of Claim Incidence Year should be based on the Claim Event Date of each individual claim</w:t>
      </w:r>
      <w:r w:rsidR="005F6BC3">
        <w:t xml:space="preserve"> received</w:t>
      </w:r>
      <w:r w:rsidRPr="000C5D80">
        <w:t>.</w:t>
      </w:r>
    </w:p>
    <w:p w14:paraId="7A63EC2D" w14:textId="1AD30526" w:rsidR="00016DD7" w:rsidRPr="000C5D80" w:rsidRDefault="00016DD7" w:rsidP="000C5D80">
      <w:pPr>
        <w:pStyle w:val="BodyText1"/>
      </w:pPr>
      <w:r w:rsidRPr="000C5D80">
        <w:t xml:space="preserve">The total number of </w:t>
      </w:r>
      <w:r w:rsidR="00974E93">
        <w:t>C</w:t>
      </w:r>
      <w:r w:rsidRPr="000C5D80">
        <w:t xml:space="preserve">laims </w:t>
      </w:r>
      <w:r w:rsidR="00974E93">
        <w:t>N</w:t>
      </w:r>
      <w:r w:rsidRPr="000C5D80">
        <w:t xml:space="preserve">otified during the Reporting Period (labelled B). Where the </w:t>
      </w:r>
      <w:r w:rsidR="0033759D">
        <w:t>C</w:t>
      </w:r>
      <w:r w:rsidRPr="000C5D80">
        <w:t xml:space="preserve">laim </w:t>
      </w:r>
      <w:r w:rsidR="0033759D">
        <w:t>Event</w:t>
      </w:r>
      <w:r w:rsidRPr="000C5D80">
        <w:t xml:space="preserve"> </w:t>
      </w:r>
      <w:r w:rsidR="0033759D">
        <w:t>D</w:t>
      </w:r>
      <w:r w:rsidRPr="000C5D80">
        <w:t xml:space="preserve">ate is known, the notified claim should be allocated to the relevant </w:t>
      </w:r>
      <w:r w:rsidR="0033759D">
        <w:t>C</w:t>
      </w:r>
      <w:r w:rsidRPr="000C5D80">
        <w:t xml:space="preserve">laim </w:t>
      </w:r>
      <w:r w:rsidR="0033759D">
        <w:t>I</w:t>
      </w:r>
      <w:r w:rsidRPr="000C5D80">
        <w:t xml:space="preserve">ncidence </w:t>
      </w:r>
      <w:r w:rsidR="0033759D">
        <w:t>Year</w:t>
      </w:r>
      <w:r w:rsidRPr="000C5D80">
        <w:t xml:space="preserve">. Where the </w:t>
      </w:r>
      <w:r w:rsidR="0033759D">
        <w:t>C</w:t>
      </w:r>
      <w:r w:rsidRPr="000C5D80">
        <w:t xml:space="preserve">laim </w:t>
      </w:r>
      <w:r w:rsidR="0033759D">
        <w:t>Event</w:t>
      </w:r>
      <w:r w:rsidRPr="000C5D80">
        <w:t xml:space="preserve"> </w:t>
      </w:r>
      <w:r w:rsidR="0033759D">
        <w:t>D</w:t>
      </w:r>
      <w:r w:rsidRPr="000C5D80">
        <w:t xml:space="preserve">ate is not known, the notified claim should be allocated to the most recent </w:t>
      </w:r>
      <w:r w:rsidR="0033759D">
        <w:t>C</w:t>
      </w:r>
      <w:r w:rsidRPr="000C5D80">
        <w:t xml:space="preserve">laim </w:t>
      </w:r>
      <w:r w:rsidR="0033759D">
        <w:t>I</w:t>
      </w:r>
      <w:r w:rsidRPr="000C5D80">
        <w:t xml:space="preserve">ncidence </w:t>
      </w:r>
      <w:r w:rsidR="0033759D">
        <w:t>Year</w:t>
      </w:r>
      <w:r w:rsidRPr="000C5D80">
        <w:t>.</w:t>
      </w:r>
    </w:p>
    <w:p w14:paraId="53124F72" w14:textId="152C37D8" w:rsidR="00016DD7" w:rsidRPr="000C5D80" w:rsidRDefault="00016DD7" w:rsidP="000C5D80">
      <w:pPr>
        <w:pStyle w:val="BodyText1"/>
      </w:pPr>
      <w:r w:rsidRPr="000C5D80">
        <w:t xml:space="preserve">The total number of claims that have been </w:t>
      </w:r>
      <w:r w:rsidR="005F6BC3">
        <w:t>received</w:t>
      </w:r>
      <w:r w:rsidR="005F6BC3" w:rsidRPr="000C5D80">
        <w:t xml:space="preserve"> </w:t>
      </w:r>
      <w:r w:rsidRPr="000C5D80">
        <w:t xml:space="preserve">during the Reporting Period, split by Claim Incidence </w:t>
      </w:r>
      <w:r w:rsidR="00716896">
        <w:t>Y</w:t>
      </w:r>
      <w:r w:rsidRPr="000C5D80">
        <w:t>ear (labelled C).</w:t>
      </w:r>
    </w:p>
    <w:p w14:paraId="1781EE00" w14:textId="5C670BAB" w:rsidR="00016DD7" w:rsidRPr="000C5D80" w:rsidRDefault="00016DD7" w:rsidP="000C5D80">
      <w:pPr>
        <w:pStyle w:val="BodyText1"/>
      </w:pPr>
      <w:r w:rsidRPr="000C5D80">
        <w:t xml:space="preserve">The total number of claims that have been re-opened (subsequent to being withdrawn) during the Reporting Period, split by Claim Incidence </w:t>
      </w:r>
      <w:r w:rsidR="00E71275">
        <w:t>Y</w:t>
      </w:r>
      <w:r w:rsidRPr="000C5D80">
        <w:t>ear (labelled D).</w:t>
      </w:r>
    </w:p>
    <w:p w14:paraId="46E25528" w14:textId="14BCC7F2" w:rsidR="00016DD7" w:rsidRPr="000C5D80" w:rsidRDefault="00016DD7" w:rsidP="000C5D80">
      <w:pPr>
        <w:pStyle w:val="BodyText1"/>
      </w:pPr>
      <w:r w:rsidRPr="000C5D80">
        <w:t xml:space="preserve">The total number of claims that have been withdrawn during the Reporting Period, split by Claim Incidence </w:t>
      </w:r>
      <w:r w:rsidR="00E71275">
        <w:t>Y</w:t>
      </w:r>
      <w:r w:rsidRPr="000C5D80">
        <w:t xml:space="preserve">ear (labelled E). Claims withdrawn should be split between the following </w:t>
      </w:r>
      <w:r w:rsidR="00B9206D">
        <w:t>withdrawal reasons</w:t>
      </w:r>
      <w:r w:rsidRPr="000C5D80">
        <w:t>:</w:t>
      </w:r>
    </w:p>
    <w:p w14:paraId="6673DA76" w14:textId="3501F3E1" w:rsidR="00016DD7" w:rsidRPr="0002751D" w:rsidRDefault="00F15106" w:rsidP="0002751D">
      <w:pPr>
        <w:pStyle w:val="BodyText2"/>
        <w:jc w:val="both"/>
      </w:pPr>
      <w:r w:rsidRPr="0002751D">
        <w:t>‘</w:t>
      </w:r>
      <w:r w:rsidR="00A5756F" w:rsidRPr="0002751D">
        <w:t>Withdrawn by the claimant</w:t>
      </w:r>
      <w:r w:rsidRPr="0002751D">
        <w:t>’</w:t>
      </w:r>
      <w:r w:rsidR="00016DD7" w:rsidRPr="0002751D">
        <w:t xml:space="preserve"> (labelled E.1).</w:t>
      </w:r>
    </w:p>
    <w:p w14:paraId="1E3A6DB4" w14:textId="3DB99783" w:rsidR="00016DD7" w:rsidRPr="0002751D" w:rsidRDefault="00F15106" w:rsidP="0002751D">
      <w:pPr>
        <w:pStyle w:val="BodyText2"/>
        <w:jc w:val="both"/>
      </w:pPr>
      <w:r w:rsidRPr="0002751D">
        <w:t>‘</w:t>
      </w:r>
      <w:r w:rsidR="00A5756F" w:rsidRPr="0002751D">
        <w:t>Withdrawn by the insurer</w:t>
      </w:r>
      <w:r w:rsidRPr="0002751D">
        <w:t>’</w:t>
      </w:r>
      <w:r w:rsidR="006802E5" w:rsidRPr="0002751D">
        <w:t xml:space="preserve"> </w:t>
      </w:r>
      <w:r w:rsidR="00016DD7" w:rsidRPr="0002751D">
        <w:t>(labelled E.2).</w:t>
      </w:r>
    </w:p>
    <w:p w14:paraId="6948E575" w14:textId="71A69690" w:rsidR="00016DD7" w:rsidRPr="0002751D" w:rsidRDefault="00F15106" w:rsidP="0002751D">
      <w:pPr>
        <w:pStyle w:val="BodyText2"/>
        <w:jc w:val="both"/>
      </w:pPr>
      <w:r w:rsidRPr="0002751D">
        <w:t>‘</w:t>
      </w:r>
      <w:r w:rsidR="006802E5" w:rsidRPr="0002751D">
        <w:t>Other</w:t>
      </w:r>
      <w:r w:rsidR="00A95E30">
        <w:t xml:space="preserve"> reasons for withdrawal</w:t>
      </w:r>
      <w:r w:rsidRPr="0002751D">
        <w:t>’</w:t>
      </w:r>
      <w:r w:rsidR="006802E5" w:rsidRPr="0002751D">
        <w:t xml:space="preserve"> </w:t>
      </w:r>
      <w:r w:rsidR="00016DD7" w:rsidRPr="0002751D">
        <w:t>(labelled E.3).</w:t>
      </w:r>
    </w:p>
    <w:p w14:paraId="1236D457" w14:textId="072D58BF" w:rsidR="00016DD7" w:rsidRPr="000C5D80" w:rsidRDefault="00016DD7" w:rsidP="000C5D80">
      <w:pPr>
        <w:pStyle w:val="BodyText1"/>
      </w:pPr>
      <w:r w:rsidRPr="000C5D80">
        <w:t xml:space="preserve">The total number of claims that have been finalised during the Reporting Period, split by Claim Incidence </w:t>
      </w:r>
      <w:r w:rsidR="00716896">
        <w:t>Y</w:t>
      </w:r>
      <w:r w:rsidRPr="000C5D80">
        <w:t>ear (labelled G). Claims finalised should be split between the following categories:</w:t>
      </w:r>
    </w:p>
    <w:p w14:paraId="376A26ED" w14:textId="06F13778" w:rsidR="00016DD7" w:rsidRPr="0002751D" w:rsidRDefault="00F15106" w:rsidP="0002751D">
      <w:pPr>
        <w:pStyle w:val="BodyText2"/>
        <w:jc w:val="both"/>
      </w:pPr>
      <w:r w:rsidRPr="0002751D">
        <w:t>‘</w:t>
      </w:r>
      <w:r w:rsidR="00016DD7" w:rsidRPr="0002751D">
        <w:t>Claims admitted (excluding ex-gratia payments)</w:t>
      </w:r>
      <w:r w:rsidRPr="0002751D">
        <w:t>’</w:t>
      </w:r>
      <w:r w:rsidR="00016DD7" w:rsidRPr="0002751D">
        <w:t xml:space="preserve"> (labelled G.1). This includes claims where the full benefit that the claimant was entitled to in terms of the Policy Contract was paid (or is payable). Where the Policy Contract makes provision for the payment of a portion of the full Sum Insured (e.g. severity</w:t>
      </w:r>
      <w:r w:rsidR="00FF21BF">
        <w:t>-</w:t>
      </w:r>
      <w:r w:rsidR="00016DD7" w:rsidRPr="0002751D">
        <w:t xml:space="preserve">based </w:t>
      </w:r>
      <w:r w:rsidR="00301C87">
        <w:t>T</w:t>
      </w:r>
      <w:r w:rsidR="00016DD7" w:rsidRPr="0002751D">
        <w:t xml:space="preserve">rauma or </w:t>
      </w:r>
      <w:r w:rsidR="00301C87">
        <w:t>A</w:t>
      </w:r>
      <w:r w:rsidR="00016DD7" w:rsidRPr="0002751D">
        <w:t xml:space="preserve">ccidental </w:t>
      </w:r>
      <w:r w:rsidR="00301C87">
        <w:t>I</w:t>
      </w:r>
      <w:r w:rsidR="00016DD7" w:rsidRPr="0002751D">
        <w:t>njury benefits, or reductions in income benefits in lieu of other income received by the claimant), and such reductions were applied, the claim should be reflected in this category. No ex-gratia payments should be included here, even where the full benefit was paid.</w:t>
      </w:r>
    </w:p>
    <w:p w14:paraId="60D74BCF" w14:textId="05F637CA" w:rsidR="00016DD7" w:rsidRPr="0002751D" w:rsidRDefault="00F15106" w:rsidP="0002751D">
      <w:pPr>
        <w:pStyle w:val="BodyText2"/>
        <w:jc w:val="both"/>
      </w:pPr>
      <w:r w:rsidRPr="0002751D">
        <w:t>‘</w:t>
      </w:r>
      <w:r w:rsidR="00016DD7" w:rsidRPr="0002751D">
        <w:t>Claims declined (with no payment)</w:t>
      </w:r>
      <w:r w:rsidRPr="0002751D">
        <w:t>’</w:t>
      </w:r>
      <w:r w:rsidR="00016DD7" w:rsidRPr="0002751D">
        <w:t xml:space="preserve"> (labelled G.2). This includes outcomes where the claim is declined, with no benefit paid (or payable) to the claimant. Claims declined should be split between the categories defined in </w:t>
      </w:r>
      <w:r w:rsidR="00457B3B">
        <w:t xml:space="preserve">paragraph </w:t>
      </w:r>
      <w:r w:rsidR="000B47B2">
        <w:t>61</w:t>
      </w:r>
      <w:r w:rsidR="00016DD7" w:rsidRPr="0002751D">
        <w:t>.</w:t>
      </w:r>
    </w:p>
    <w:p w14:paraId="72667EEA" w14:textId="5789303A" w:rsidR="00016DD7" w:rsidRPr="0002751D" w:rsidRDefault="001716B8" w:rsidP="0002751D">
      <w:pPr>
        <w:pStyle w:val="BodyText2"/>
        <w:jc w:val="both"/>
      </w:pPr>
      <w:r w:rsidRPr="0002751D">
        <w:t>‘</w:t>
      </w:r>
      <w:r w:rsidR="00016DD7" w:rsidRPr="0002751D">
        <w:t>Claims admitted fully on an ex-gratia basis</w:t>
      </w:r>
      <w:r w:rsidRPr="0002751D">
        <w:t>’</w:t>
      </w:r>
      <w:r w:rsidR="00016DD7" w:rsidRPr="0002751D">
        <w:t xml:space="preserve"> (labelled G.3). These are claims that technically do not meet the Policy Contract definition for a claim, but the insurer has decided to pay the claim in full.</w:t>
      </w:r>
    </w:p>
    <w:p w14:paraId="1E703A47" w14:textId="15596446" w:rsidR="00016DD7" w:rsidRPr="0002751D" w:rsidRDefault="001716B8" w:rsidP="0002751D">
      <w:pPr>
        <w:pStyle w:val="BodyText2"/>
        <w:jc w:val="both"/>
      </w:pPr>
      <w:r w:rsidRPr="0002751D">
        <w:lastRenderedPageBreak/>
        <w:t>‘</w:t>
      </w:r>
      <w:r w:rsidR="00016DD7" w:rsidRPr="0002751D">
        <w:t>All other ex-gratia payments, settlements or premium refunds</w:t>
      </w:r>
      <w:r w:rsidRPr="0002751D">
        <w:t>’</w:t>
      </w:r>
      <w:r w:rsidR="00016DD7" w:rsidRPr="0002751D">
        <w:t xml:space="preserve"> (labelled G.4). These are claims where the full claim has not been admitted, but where the insurer has decided or agreed to make some form of payment, including ex-gratia payments, commercial settlements, </w:t>
      </w:r>
      <w:r w:rsidR="00A84FE4" w:rsidRPr="0002751D">
        <w:t>and premium</w:t>
      </w:r>
      <w:r w:rsidR="00016DD7" w:rsidRPr="0002751D">
        <w:t xml:space="preserve"> refunds or non-cash benefits. </w:t>
      </w:r>
      <w:r w:rsidR="00301C87">
        <w:t>N</w:t>
      </w:r>
      <w:r w:rsidR="00016DD7" w:rsidRPr="0002751D">
        <w:t xml:space="preserve">ote the treatment of different types of premium refunds as explained in </w:t>
      </w:r>
      <w:r w:rsidR="00457B3B">
        <w:t>paragraph</w:t>
      </w:r>
      <w:r w:rsidR="00016DD7" w:rsidRPr="0002751D">
        <w:t xml:space="preserve"> </w:t>
      </w:r>
      <w:r w:rsidR="000B47B2">
        <w:t>72</w:t>
      </w:r>
      <w:r w:rsidR="00016DD7" w:rsidRPr="0002751D">
        <w:t>.</w:t>
      </w:r>
    </w:p>
    <w:p w14:paraId="0B924FE0" w14:textId="1AA2209B" w:rsidR="000B47B2" w:rsidRPr="000C5D80" w:rsidRDefault="000B47B2" w:rsidP="000B47B2">
      <w:pPr>
        <w:pStyle w:val="BodyText1"/>
      </w:pPr>
      <w:r w:rsidRPr="000C5D80">
        <w:t xml:space="preserve">Total number of claims that are undetermined at the end of the Reporting Period, split by Claim Incidence </w:t>
      </w:r>
      <w:r w:rsidR="006200CC">
        <w:t>Y</w:t>
      </w:r>
      <w:r w:rsidRPr="000C5D80">
        <w:t>ear (labelled H).</w:t>
      </w:r>
    </w:p>
    <w:p w14:paraId="74F7795C" w14:textId="77777777" w:rsidR="00016DD7" w:rsidRPr="000C5D80" w:rsidRDefault="00016DD7" w:rsidP="000C5D80">
      <w:pPr>
        <w:pStyle w:val="BodyText1"/>
      </w:pPr>
      <w:r w:rsidRPr="000C5D80">
        <w:t>Claims declined (with no payment) should be split between the following categories:</w:t>
      </w:r>
    </w:p>
    <w:p w14:paraId="3C5F1438" w14:textId="4903362A" w:rsidR="00016DD7" w:rsidRPr="0002751D" w:rsidRDefault="001716B8" w:rsidP="0002751D">
      <w:pPr>
        <w:pStyle w:val="BodyText2"/>
        <w:jc w:val="both"/>
      </w:pPr>
      <w:r w:rsidRPr="0002751D">
        <w:t>‘</w:t>
      </w:r>
      <w:r w:rsidR="00016DD7" w:rsidRPr="0002751D">
        <w:t>Contractual definition not met (including eligibility criteria)</w:t>
      </w:r>
      <w:r w:rsidRPr="0002751D">
        <w:t>’</w:t>
      </w:r>
      <w:r w:rsidR="00016DD7" w:rsidRPr="0002751D">
        <w:t xml:space="preserve"> (labelled G.2.1). These are instances where the claimant does not meet the requirements of a qualifying claim, as defined in the </w:t>
      </w:r>
      <w:r w:rsidR="00122173">
        <w:t>P</w:t>
      </w:r>
      <w:r w:rsidR="00016DD7" w:rsidRPr="0002751D">
        <w:t xml:space="preserve">olicy </w:t>
      </w:r>
      <w:r w:rsidR="00122173">
        <w:t>C</w:t>
      </w:r>
      <w:r w:rsidR="00016DD7" w:rsidRPr="0002751D">
        <w:t>ontract. Also included here are eligibility criteria, such as being actively at work, a common requirement for Group Insurance contracts.</w:t>
      </w:r>
    </w:p>
    <w:p w14:paraId="1C5EC2C7" w14:textId="5CCB9B18" w:rsidR="00016DD7" w:rsidRPr="0002751D" w:rsidRDefault="001716B8" w:rsidP="0002751D">
      <w:pPr>
        <w:pStyle w:val="BodyText2"/>
        <w:jc w:val="both"/>
      </w:pPr>
      <w:r w:rsidRPr="0002751D">
        <w:t>‘</w:t>
      </w:r>
      <w:r w:rsidR="00016DD7" w:rsidRPr="0002751D">
        <w:t>Exclusion clause</w:t>
      </w:r>
      <w:r w:rsidRPr="0002751D">
        <w:t>’</w:t>
      </w:r>
      <w:r w:rsidR="00016DD7" w:rsidRPr="0002751D">
        <w:t xml:space="preserve"> (labelled G.2.2). These are instances where claims are declined on the grounds of a pre-existing condition exclusion, a limited cover clause, an exclusion imposed during initial underwriting, or any other policy exclusion in the Policy Contract. This includes the exclusion clauses that may be contained in the standard policy wording.</w:t>
      </w:r>
    </w:p>
    <w:p w14:paraId="42DB5BA9" w14:textId="5B4E746A" w:rsidR="00016DD7" w:rsidRPr="0002751D" w:rsidRDefault="001716B8" w:rsidP="0002751D">
      <w:pPr>
        <w:pStyle w:val="BodyText2"/>
        <w:jc w:val="both"/>
      </w:pPr>
      <w:r w:rsidRPr="0002751D">
        <w:t>‘</w:t>
      </w:r>
      <w:r w:rsidR="00016DD7" w:rsidRPr="0002751D">
        <w:t>Innocent non-disclosure or misrepresentation</w:t>
      </w:r>
      <w:r w:rsidRPr="0002751D">
        <w:t>’</w:t>
      </w:r>
      <w:r w:rsidR="00016DD7" w:rsidRPr="0002751D">
        <w:t xml:space="preserve"> (labelled G.2.3). Where the claim is declined for reasons of non-disclosure or misrepresentation as contemplated in </w:t>
      </w:r>
      <w:r w:rsidR="005B0B8A">
        <w:t>s</w:t>
      </w:r>
      <w:r w:rsidR="00016DD7" w:rsidRPr="0002751D">
        <w:t xml:space="preserve">ection 29(1) of the </w:t>
      </w:r>
      <w:r w:rsidR="00016DD7" w:rsidRPr="0002751D">
        <w:rPr>
          <w:i/>
        </w:rPr>
        <w:t>Insurance Contracts Act 1984</w:t>
      </w:r>
      <w:r w:rsidR="00016DD7" w:rsidRPr="0002751D">
        <w:t>.</w:t>
      </w:r>
    </w:p>
    <w:p w14:paraId="79089016" w14:textId="25BEFD2D" w:rsidR="00016DD7" w:rsidRPr="0002751D" w:rsidRDefault="001716B8" w:rsidP="0002751D">
      <w:pPr>
        <w:pStyle w:val="BodyText2"/>
        <w:jc w:val="both"/>
      </w:pPr>
      <w:r w:rsidRPr="0002751D">
        <w:t>‘</w:t>
      </w:r>
      <w:r w:rsidR="00016DD7" w:rsidRPr="0002751D">
        <w:t>Fraudulent claim</w:t>
      </w:r>
      <w:r w:rsidR="005B0B8A">
        <w:t xml:space="preserve"> (</w:t>
      </w:r>
      <w:r w:rsidR="00016DD7" w:rsidRPr="0002751D">
        <w:t>including fraudulent non-disclosure or misrepresentation</w:t>
      </w:r>
      <w:r w:rsidR="005B0B8A">
        <w:t>)</w:t>
      </w:r>
      <w:r w:rsidRPr="0002751D">
        <w:t>’</w:t>
      </w:r>
      <w:r w:rsidR="00016DD7" w:rsidRPr="0002751D">
        <w:t xml:space="preserve"> (labelled G.2.4). Where a claim is declined on the grounds of fraud or fraudulent non-disclosure or misrepresentation as contemplated in sections 56, 29(2)-(3) of the </w:t>
      </w:r>
      <w:r w:rsidR="00016DD7" w:rsidRPr="0002751D">
        <w:rPr>
          <w:i/>
        </w:rPr>
        <w:t>Insurance Contracts Act 1984</w:t>
      </w:r>
      <w:r w:rsidR="00016DD7" w:rsidRPr="0002751D">
        <w:t>.</w:t>
      </w:r>
    </w:p>
    <w:p w14:paraId="22AA9A6F" w14:textId="2B5F546E" w:rsidR="00016DD7" w:rsidRPr="0002751D" w:rsidRDefault="001716B8" w:rsidP="0002751D">
      <w:pPr>
        <w:pStyle w:val="BodyText2"/>
        <w:jc w:val="both"/>
      </w:pPr>
      <w:r w:rsidRPr="0002751D">
        <w:t>‘</w:t>
      </w:r>
      <w:r w:rsidR="00016DD7" w:rsidRPr="0002751D">
        <w:t>Other reasons for being declined</w:t>
      </w:r>
      <w:r w:rsidRPr="0002751D">
        <w:t>’</w:t>
      </w:r>
      <w:r w:rsidR="00016DD7" w:rsidRPr="0002751D">
        <w:t xml:space="preserve"> (labelled G.2.5). Any other reasons for a claim being declined.</w:t>
      </w:r>
    </w:p>
    <w:p w14:paraId="3E9470BE" w14:textId="77777777" w:rsidR="00016DD7" w:rsidRPr="000C5D80" w:rsidRDefault="00016DD7" w:rsidP="000C5D80">
      <w:pPr>
        <w:pStyle w:val="BodyText1"/>
      </w:pPr>
      <w:r w:rsidRPr="000C5D80">
        <w:t>Claims incorrectly opened due to an administrative error should be excluded.</w:t>
      </w:r>
    </w:p>
    <w:p w14:paraId="654DC1CF" w14:textId="43E210EA" w:rsidR="00016DD7" w:rsidRPr="000C5D80" w:rsidRDefault="00514710" w:rsidP="007461C5">
      <w:pPr>
        <w:pStyle w:val="BodyText1"/>
      </w:pPr>
      <w:r w:rsidRPr="00A84FE4">
        <w:t>Ancillary Benefit</w:t>
      </w:r>
      <w:r w:rsidR="00061E5A">
        <w:t>s</w:t>
      </w:r>
      <w:r w:rsidRPr="00A84FE4">
        <w:t xml:space="preserve"> </w:t>
      </w:r>
      <w:r>
        <w:t xml:space="preserve">that result in an enhancement to the underlying product or cover, </w:t>
      </w:r>
      <w:r w:rsidR="002B1A74">
        <w:t xml:space="preserve">as </w:t>
      </w:r>
      <w:r>
        <w:t>listed in paragraphs 16 to 18, should be included</w:t>
      </w:r>
      <w:r w:rsidR="00016DD7" w:rsidRPr="000C5D80">
        <w:t xml:space="preserve">. The inclusion of Ancillary Benefits should, however, not result in multiple claims being </w:t>
      </w:r>
      <w:r w:rsidR="00AB345B">
        <w:t>recorded</w:t>
      </w:r>
      <w:r w:rsidR="00AB345B" w:rsidRPr="000C5D80">
        <w:t xml:space="preserve"> </w:t>
      </w:r>
      <w:r w:rsidR="00016DD7" w:rsidRPr="000C5D80">
        <w:t xml:space="preserve">in respect of a single </w:t>
      </w:r>
      <w:r w:rsidR="004259ED">
        <w:t>C</w:t>
      </w:r>
      <w:r w:rsidR="00016DD7" w:rsidRPr="000C5D80">
        <w:t xml:space="preserve">laim </w:t>
      </w:r>
      <w:r w:rsidR="004259ED">
        <w:t>E</w:t>
      </w:r>
      <w:r w:rsidR="00016DD7" w:rsidRPr="000C5D80">
        <w:t>vent.</w:t>
      </w:r>
      <w:r w:rsidR="00062A93">
        <w:t xml:space="preserve"> </w:t>
      </w:r>
      <w:r w:rsidR="007461C5">
        <w:t xml:space="preserve">Where the payment frequency of </w:t>
      </w:r>
      <w:r w:rsidR="004C5844">
        <w:t>an A</w:t>
      </w:r>
      <w:r w:rsidR="007461C5">
        <w:t xml:space="preserve">ncillary </w:t>
      </w:r>
      <w:r w:rsidR="004C5844">
        <w:t>B</w:t>
      </w:r>
      <w:r w:rsidR="007461C5">
        <w:t xml:space="preserve">enefit </w:t>
      </w:r>
      <w:r w:rsidR="004C5844">
        <w:t>differs</w:t>
      </w:r>
      <w:r w:rsidR="007461C5">
        <w:t xml:space="preserve"> from that of the main </w:t>
      </w:r>
      <w:r w:rsidR="004C5844">
        <w:t>Policy B</w:t>
      </w:r>
      <w:r w:rsidR="007461C5">
        <w:t xml:space="preserve">enefit (e.g. a lump sum </w:t>
      </w:r>
      <w:r w:rsidR="004C5844">
        <w:t>A</w:t>
      </w:r>
      <w:r w:rsidR="007461C5">
        <w:t xml:space="preserve">ncillary </w:t>
      </w:r>
      <w:r w:rsidR="004C5844">
        <w:t>B</w:t>
      </w:r>
      <w:r w:rsidR="007461C5">
        <w:t xml:space="preserve">enefit on a DII contract, or a recurring </w:t>
      </w:r>
      <w:r w:rsidR="004C5844">
        <w:t>A</w:t>
      </w:r>
      <w:r w:rsidR="007461C5">
        <w:t xml:space="preserve">ncillary </w:t>
      </w:r>
      <w:r w:rsidR="004C5844">
        <w:t>B</w:t>
      </w:r>
      <w:r w:rsidR="007461C5">
        <w:t xml:space="preserve">enefit on a lump sum contract), the </w:t>
      </w:r>
      <w:r w:rsidR="004C5844">
        <w:t>A</w:t>
      </w:r>
      <w:r w:rsidR="007461C5">
        <w:t xml:space="preserve">ncillary </w:t>
      </w:r>
      <w:r w:rsidR="004C5844">
        <w:t>B</w:t>
      </w:r>
      <w:r w:rsidR="007461C5">
        <w:t>enefit should be excluded.</w:t>
      </w:r>
    </w:p>
    <w:p w14:paraId="6EE6AEB0" w14:textId="678167C7" w:rsidR="00016DD7" w:rsidRPr="000C5D80" w:rsidRDefault="00016DD7" w:rsidP="007461C5">
      <w:pPr>
        <w:pStyle w:val="BodyText1"/>
      </w:pPr>
      <w:r w:rsidRPr="000C5D80">
        <w:t xml:space="preserve">The </w:t>
      </w:r>
      <w:r w:rsidR="004C4EDB">
        <w:t>reporting form</w:t>
      </w:r>
      <w:r w:rsidR="004C4EDB" w:rsidRPr="000C5D80">
        <w:t xml:space="preserve"> </w:t>
      </w:r>
      <w:r w:rsidRPr="000C5D80">
        <w:t xml:space="preserve">will automatically calculate </w:t>
      </w:r>
      <w:r w:rsidR="00824247">
        <w:t>‘</w:t>
      </w:r>
      <w:r w:rsidRPr="000C5D80">
        <w:t>Claims Open for Assessment in period</w:t>
      </w:r>
      <w:r w:rsidR="00824247">
        <w:t>’</w:t>
      </w:r>
      <w:r w:rsidR="00824247" w:rsidRPr="000C5D80">
        <w:t xml:space="preserve"> </w:t>
      </w:r>
      <w:r w:rsidR="00122173">
        <w:t xml:space="preserve">(labelled F) </w:t>
      </w:r>
      <w:r w:rsidRPr="000C5D80">
        <w:t xml:space="preserve">as the </w:t>
      </w:r>
      <w:r w:rsidR="00122173">
        <w:t xml:space="preserve">items reported in accordance </w:t>
      </w:r>
      <w:r w:rsidR="00922011">
        <w:t xml:space="preserve">with </w:t>
      </w:r>
      <w:r w:rsidRPr="000C5D80">
        <w:t xml:space="preserve">preceding </w:t>
      </w:r>
      <w:r w:rsidR="00457B3B">
        <w:t>paragraph</w:t>
      </w:r>
      <w:r w:rsidRPr="000C5D80">
        <w:t xml:space="preserve">s </w:t>
      </w:r>
      <w:r w:rsidR="00165F8C">
        <w:t>54</w:t>
      </w:r>
      <w:r w:rsidRPr="000C5D80">
        <w:t xml:space="preserve"> plus </w:t>
      </w:r>
      <w:r w:rsidR="00165F8C">
        <w:t xml:space="preserve">56 </w:t>
      </w:r>
      <w:r w:rsidRPr="000C5D80">
        <w:t xml:space="preserve">plus </w:t>
      </w:r>
      <w:r w:rsidR="00165F8C">
        <w:t xml:space="preserve">57 </w:t>
      </w:r>
      <w:r w:rsidRPr="000C5D80">
        <w:t xml:space="preserve">minus </w:t>
      </w:r>
      <w:r w:rsidR="00165F8C">
        <w:t>58</w:t>
      </w:r>
      <w:r w:rsidRPr="000C5D80">
        <w:t xml:space="preserve">. In addition, the </w:t>
      </w:r>
      <w:r w:rsidR="004C4EDB">
        <w:t>form</w:t>
      </w:r>
      <w:r w:rsidR="004C4EDB" w:rsidRPr="000C5D80">
        <w:t xml:space="preserve"> </w:t>
      </w:r>
      <w:r w:rsidRPr="000C5D80">
        <w:t xml:space="preserve">will perform a </w:t>
      </w:r>
      <w:r w:rsidRPr="000C5D80">
        <w:lastRenderedPageBreak/>
        <w:t>check to confirm reconciliation of the various items of entry. It is expected that F minus G minus H should equal zero.</w:t>
      </w:r>
    </w:p>
    <w:p w14:paraId="035A3EA8" w14:textId="08F3CE86" w:rsidR="00016DD7" w:rsidRPr="000C5D80" w:rsidRDefault="00821EF4" w:rsidP="000C5D80">
      <w:pPr>
        <w:pStyle w:val="BodyText1"/>
      </w:pPr>
      <w:r>
        <w:t>The detail set out in p</w:t>
      </w:r>
      <w:r w:rsidR="00457B3B">
        <w:t>aragraph</w:t>
      </w:r>
      <w:r w:rsidR="00016DD7" w:rsidRPr="000C5D80">
        <w:t xml:space="preserve">s </w:t>
      </w:r>
      <w:r w:rsidR="00B769B9">
        <w:t>54</w:t>
      </w:r>
      <w:r w:rsidR="00016DD7" w:rsidRPr="000C5D80">
        <w:t xml:space="preserve"> to </w:t>
      </w:r>
      <w:r w:rsidR="00514710">
        <w:t xml:space="preserve">63 </w:t>
      </w:r>
      <w:r w:rsidR="00016DD7" w:rsidRPr="000C5D80">
        <w:t xml:space="preserve">should also be provided </w:t>
      </w:r>
      <w:r w:rsidR="00DE3FF1">
        <w:t xml:space="preserve">for </w:t>
      </w:r>
      <w:r w:rsidR="00016DD7" w:rsidRPr="000C5D80">
        <w:t xml:space="preserve">the Sum Insured associated with the claims </w:t>
      </w:r>
      <w:r w:rsidR="00122173">
        <w:t>received</w:t>
      </w:r>
      <w:r w:rsidR="00016DD7" w:rsidRPr="000C5D80">
        <w:t xml:space="preserve"> (i.e. Claim Sum Insured). </w:t>
      </w:r>
      <w:r w:rsidR="00301C87">
        <w:t>N</w:t>
      </w:r>
      <w:r w:rsidR="00016DD7" w:rsidRPr="000C5D80">
        <w:t>ote the following in respect of Trauma, Accident, DII and TPD claims:</w:t>
      </w:r>
    </w:p>
    <w:p w14:paraId="1CAEE4C9" w14:textId="7D0543A2" w:rsidR="00016DD7" w:rsidRPr="0002751D" w:rsidRDefault="00016DD7" w:rsidP="0002751D">
      <w:pPr>
        <w:pStyle w:val="BodyText2"/>
        <w:jc w:val="both"/>
      </w:pPr>
      <w:r w:rsidRPr="0002751D">
        <w:t>The full Sum Insured should be reported here, regardless of whether the insurer made a reduction in accordance with the provisions of the Policy Contract (such as severity</w:t>
      </w:r>
      <w:r w:rsidR="004C5844">
        <w:t>-</w:t>
      </w:r>
      <w:r w:rsidRPr="0002751D">
        <w:t>based Trauma or Accident</w:t>
      </w:r>
      <w:r w:rsidR="00301C87">
        <w:t>al Injury</w:t>
      </w:r>
      <w:r w:rsidRPr="0002751D">
        <w:t xml:space="preserve"> benefits, </w:t>
      </w:r>
      <w:r w:rsidR="004A4DA4" w:rsidRPr="00370872">
        <w:t xml:space="preserve">DII </w:t>
      </w:r>
      <w:r w:rsidR="004A4DA4">
        <w:t xml:space="preserve">benefit reductions </w:t>
      </w:r>
      <w:r w:rsidR="004A4DA4" w:rsidRPr="00370872">
        <w:t>due to partial disability or a workers’ compensation offset</w:t>
      </w:r>
      <w:r w:rsidRPr="0002751D">
        <w:t>, or TPD benefits spread over multiple years).</w:t>
      </w:r>
    </w:p>
    <w:p w14:paraId="180E5ED1" w14:textId="09BCF5C5" w:rsidR="00016DD7" w:rsidRPr="0002751D" w:rsidRDefault="00016DD7" w:rsidP="0002751D">
      <w:pPr>
        <w:pStyle w:val="BodyText2"/>
        <w:jc w:val="both"/>
      </w:pPr>
      <w:r w:rsidRPr="0002751D">
        <w:t>In respect of DII claims, the Sum Insured should reflect the monthly benefit under the contract.</w:t>
      </w:r>
    </w:p>
    <w:p w14:paraId="2329E43B" w14:textId="4BF1829D" w:rsidR="00016DD7" w:rsidRPr="000C5D80" w:rsidRDefault="00016DD7" w:rsidP="000C5D80">
      <w:pPr>
        <w:pStyle w:val="BodyText1"/>
      </w:pPr>
      <w:r w:rsidRPr="000C5D80">
        <w:t xml:space="preserve">In respect of claim outcomes where a benefit was paid, </w:t>
      </w:r>
      <w:r w:rsidR="00821EF4">
        <w:t xml:space="preserve">the detail set out in </w:t>
      </w:r>
      <w:r w:rsidR="00457B3B">
        <w:t>paragraph</w:t>
      </w:r>
      <w:r w:rsidR="00B769B9">
        <w:t>s 54</w:t>
      </w:r>
      <w:r w:rsidRPr="000C5D80">
        <w:t xml:space="preserve"> to </w:t>
      </w:r>
      <w:r w:rsidR="00514710">
        <w:t xml:space="preserve">63 </w:t>
      </w:r>
      <w:r w:rsidRPr="000C5D80">
        <w:t xml:space="preserve">should also be provided for the Claim Amount Paid associated with the claims </w:t>
      </w:r>
      <w:r w:rsidR="00122173">
        <w:t>received</w:t>
      </w:r>
      <w:r w:rsidRPr="000C5D80">
        <w:t xml:space="preserve">. The </w:t>
      </w:r>
      <w:r w:rsidR="004C4EDB">
        <w:t>reporting form</w:t>
      </w:r>
      <w:r w:rsidR="004C4EDB" w:rsidRPr="000C5D80">
        <w:t xml:space="preserve"> </w:t>
      </w:r>
      <w:r w:rsidRPr="000C5D80">
        <w:t>should only be completed for the entries associated with a claim payment, namely G.1, G.3 and G.4. In addition, the following should be noted:</w:t>
      </w:r>
    </w:p>
    <w:p w14:paraId="4C2F45DD" w14:textId="6D60320C" w:rsidR="00016DD7" w:rsidRPr="0002751D" w:rsidRDefault="00016DD7" w:rsidP="0002751D">
      <w:pPr>
        <w:pStyle w:val="BodyText2"/>
        <w:jc w:val="both"/>
      </w:pPr>
      <w:r w:rsidRPr="0002751D">
        <w:t xml:space="preserve">Where a claim is admitted and, consistent with the provisions of the Policy Contract, the Claim Amount Paid is less than the full Sum Insured, the detail should be recorded in the </w:t>
      </w:r>
      <w:r w:rsidR="00821EF4">
        <w:t>‘</w:t>
      </w:r>
      <w:r w:rsidRPr="0002751D">
        <w:t>Claim admitted (excluding ex-gratia payments</w:t>
      </w:r>
      <w:r w:rsidR="00B769B9" w:rsidRPr="0002751D">
        <w:t>)</w:t>
      </w:r>
      <w:r w:rsidR="00B769B9">
        <w:t>’</w:t>
      </w:r>
      <w:r w:rsidR="0065039C">
        <w:t xml:space="preserve"> </w:t>
      </w:r>
      <w:r w:rsidRPr="0002751D">
        <w:t>category.</w:t>
      </w:r>
    </w:p>
    <w:p w14:paraId="01AE0AC3" w14:textId="0BE732C3" w:rsidR="00016DD7" w:rsidRPr="0002751D" w:rsidRDefault="00016DD7" w:rsidP="0002751D">
      <w:pPr>
        <w:pStyle w:val="BodyText2"/>
        <w:jc w:val="both"/>
      </w:pPr>
      <w:r w:rsidRPr="0002751D">
        <w:t>For DII, the Claim Sum Insured is the regular monthly benefit that would be paid if the insured were totally disabled and no workers’ compensation or other offsets were applied. The Claim Amount Paid should reflect the actual regular monthly benefit payment. In instances where the actual monthly benefit varied over the course of the Reporting Period, an average monthly benefit should be reported.</w:t>
      </w:r>
    </w:p>
    <w:p w14:paraId="79E76E21" w14:textId="1B7CBAB2" w:rsidR="00016DD7" w:rsidRPr="000C5D80" w:rsidRDefault="00F8215C" w:rsidP="000C5D80">
      <w:pPr>
        <w:pStyle w:val="BodyText1"/>
      </w:pPr>
      <w:r>
        <w:t>The detail set out in p</w:t>
      </w:r>
      <w:r w:rsidR="00457B3B">
        <w:t>aragraph</w:t>
      </w:r>
      <w:r w:rsidR="00016DD7" w:rsidRPr="000C5D80">
        <w:t xml:space="preserve">s </w:t>
      </w:r>
      <w:r w:rsidR="00B769B9">
        <w:t>54</w:t>
      </w:r>
      <w:r w:rsidR="00016DD7" w:rsidRPr="000C5D80">
        <w:t xml:space="preserve"> to </w:t>
      </w:r>
      <w:r w:rsidR="00514710">
        <w:t>66</w:t>
      </w:r>
      <w:r w:rsidR="00514710" w:rsidRPr="000C5D80">
        <w:t xml:space="preserve"> </w:t>
      </w:r>
      <w:r w:rsidR="00016DD7" w:rsidRPr="000C5D80">
        <w:t>should be provided for each combination of the following data dimensions:</w:t>
      </w:r>
    </w:p>
    <w:p w14:paraId="3CB5950A" w14:textId="2219B02F" w:rsidR="00016DD7" w:rsidRPr="0002751D" w:rsidRDefault="00016DD7" w:rsidP="0002751D">
      <w:pPr>
        <w:pStyle w:val="BodyText2"/>
        <w:jc w:val="both"/>
      </w:pPr>
      <w:r w:rsidRPr="0002751D">
        <w:t>Insurance Type</w:t>
      </w:r>
      <w:r w:rsidR="00F8215C">
        <w:t>;</w:t>
      </w:r>
    </w:p>
    <w:p w14:paraId="71ABCD54" w14:textId="6E4F355D" w:rsidR="00016DD7" w:rsidRPr="0002751D" w:rsidRDefault="00016DD7" w:rsidP="0002751D">
      <w:pPr>
        <w:pStyle w:val="BodyText2"/>
        <w:jc w:val="both"/>
      </w:pPr>
      <w:r w:rsidRPr="0002751D">
        <w:t>On Sale Status</w:t>
      </w:r>
      <w:r w:rsidR="00F8215C">
        <w:t>;</w:t>
      </w:r>
    </w:p>
    <w:p w14:paraId="48C3F9DD" w14:textId="13711AFA" w:rsidR="00016DD7" w:rsidRPr="0002751D" w:rsidRDefault="00016DD7" w:rsidP="0002751D">
      <w:pPr>
        <w:pStyle w:val="BodyText2"/>
        <w:jc w:val="both"/>
      </w:pPr>
      <w:r w:rsidRPr="0002751D">
        <w:t>Advice Type</w:t>
      </w:r>
      <w:r w:rsidR="00F8215C">
        <w:t>; and</w:t>
      </w:r>
    </w:p>
    <w:p w14:paraId="664DCA87" w14:textId="7524939A" w:rsidR="00016DD7" w:rsidRPr="0002751D" w:rsidRDefault="00016DD7" w:rsidP="0002751D">
      <w:pPr>
        <w:pStyle w:val="BodyText2"/>
        <w:jc w:val="both"/>
      </w:pPr>
      <w:r w:rsidRPr="0002751D">
        <w:t>Cover/Product Type, including sub-categories.</w:t>
      </w:r>
    </w:p>
    <w:p w14:paraId="5799DFAD" w14:textId="3F930B60" w:rsidR="00016DD7" w:rsidRPr="000C5D80" w:rsidRDefault="00F15106" w:rsidP="000C5D80">
      <w:pPr>
        <w:pStyle w:val="BodyText1"/>
      </w:pPr>
      <w:r w:rsidRPr="000C5D80">
        <w:t>‘</w:t>
      </w:r>
      <w:r w:rsidR="00016DD7" w:rsidRPr="000C5D80">
        <w:t>Claims Processing Durations</w:t>
      </w:r>
      <w:r w:rsidRPr="000C5D80">
        <w:t>’</w:t>
      </w:r>
      <w:r w:rsidR="00016DD7" w:rsidRPr="000C5D80">
        <w:t xml:space="preserve"> should be reported in respect of Claims Finalised during the Reporting Period, measured as the period between the Claim </w:t>
      </w:r>
      <w:r w:rsidR="00A5756F" w:rsidRPr="000C5D80">
        <w:t xml:space="preserve">Received </w:t>
      </w:r>
      <w:r w:rsidR="00016DD7" w:rsidRPr="000C5D80">
        <w:t>Date and the date the claim is finalised.</w:t>
      </w:r>
    </w:p>
    <w:p w14:paraId="7DAF441D" w14:textId="77777777" w:rsidR="00016DD7" w:rsidRPr="00016DD7" w:rsidRDefault="00016DD7" w:rsidP="0002751D">
      <w:pPr>
        <w:pStyle w:val="ListParagraph"/>
        <w:ind w:left="567"/>
        <w:contextualSpacing w:val="0"/>
        <w:jc w:val="both"/>
        <w:rPr>
          <w:rFonts w:asciiTheme="minorHAnsi" w:hAnsiTheme="minorHAnsi" w:cstheme="minorHAnsi"/>
        </w:rPr>
      </w:pPr>
      <w:r w:rsidRPr="00016DD7">
        <w:rPr>
          <w:rFonts w:asciiTheme="minorHAnsi" w:hAnsiTheme="minorHAnsi" w:cstheme="minorHAnsi"/>
        </w:rPr>
        <w:t>In respect of Cover Types that involve a waiting period, the Claims Processing Duration should be measured from the later of:</w:t>
      </w:r>
    </w:p>
    <w:p w14:paraId="51317908" w14:textId="072845FC" w:rsidR="00016DD7" w:rsidRPr="0002751D" w:rsidRDefault="00016DD7" w:rsidP="0002751D">
      <w:pPr>
        <w:pStyle w:val="BodyText2"/>
        <w:jc w:val="both"/>
      </w:pPr>
      <w:r w:rsidRPr="0002751D">
        <w:lastRenderedPageBreak/>
        <w:t xml:space="preserve">The Claim </w:t>
      </w:r>
      <w:r w:rsidR="00A5756F" w:rsidRPr="0002751D">
        <w:t xml:space="preserve">Received </w:t>
      </w:r>
      <w:r w:rsidRPr="0002751D">
        <w:t>Date; and</w:t>
      </w:r>
    </w:p>
    <w:p w14:paraId="15214C91" w14:textId="77777777" w:rsidR="00016DD7" w:rsidRPr="0002751D" w:rsidRDefault="00016DD7" w:rsidP="0002751D">
      <w:pPr>
        <w:pStyle w:val="BodyText2"/>
        <w:jc w:val="both"/>
      </w:pPr>
      <w:r w:rsidRPr="0002751D">
        <w:t>The Claim Event Date plus Waiting Period.</w:t>
      </w:r>
    </w:p>
    <w:p w14:paraId="742080B7" w14:textId="77777777" w:rsidR="00016DD7" w:rsidRPr="00016DD7" w:rsidRDefault="00016DD7" w:rsidP="0002751D">
      <w:pPr>
        <w:pStyle w:val="ListParagraph"/>
        <w:ind w:left="567"/>
        <w:contextualSpacing w:val="0"/>
        <w:jc w:val="both"/>
        <w:rPr>
          <w:rFonts w:asciiTheme="minorHAnsi" w:hAnsiTheme="minorHAnsi" w:cstheme="minorHAnsi"/>
        </w:rPr>
      </w:pPr>
      <w:r w:rsidRPr="00016DD7">
        <w:rPr>
          <w:rFonts w:asciiTheme="minorHAnsi" w:hAnsiTheme="minorHAnsi" w:cstheme="minorHAnsi"/>
        </w:rPr>
        <w:t>There are a number of specific circumstances worth noting:</w:t>
      </w:r>
    </w:p>
    <w:p w14:paraId="6543E2F4" w14:textId="77C36560" w:rsidR="00016DD7" w:rsidRPr="0002751D" w:rsidRDefault="00016DD7" w:rsidP="0002751D">
      <w:pPr>
        <w:pStyle w:val="BodyText2"/>
        <w:jc w:val="both"/>
      </w:pPr>
      <w:r w:rsidRPr="0002751D">
        <w:t xml:space="preserve">Where a claim is finalised prior to the expiration of the Waiting Period, a Claims Processing </w:t>
      </w:r>
      <w:r w:rsidR="00F8215C">
        <w:t>D</w:t>
      </w:r>
      <w:r w:rsidRPr="0002751D">
        <w:t>uration of zero should be recorded</w:t>
      </w:r>
      <w:r w:rsidR="00F8215C">
        <w:t>; and</w:t>
      </w:r>
    </w:p>
    <w:p w14:paraId="1236FA5D" w14:textId="2EA6F1A7" w:rsidR="00016DD7" w:rsidRPr="0002751D" w:rsidRDefault="00016DD7" w:rsidP="0002751D">
      <w:pPr>
        <w:pStyle w:val="BodyText2"/>
        <w:jc w:val="both"/>
      </w:pPr>
      <w:r w:rsidRPr="0002751D">
        <w:t xml:space="preserve">Where a claim is re-opened (subsequent to being withdrawn), the Claims Processing Duration should be measured from the original Claim </w:t>
      </w:r>
      <w:r w:rsidR="00A5756F" w:rsidRPr="0002751D">
        <w:t xml:space="preserve">Received </w:t>
      </w:r>
      <w:r w:rsidRPr="0002751D">
        <w:t>Date and not the Claim Re-opened Date.</w:t>
      </w:r>
    </w:p>
    <w:p w14:paraId="53FCC2A1" w14:textId="2EAD72CE" w:rsidR="00016DD7" w:rsidRPr="000C5D80" w:rsidRDefault="00016DD7" w:rsidP="000C5D80">
      <w:pPr>
        <w:pStyle w:val="BodyText1"/>
      </w:pPr>
      <w:r w:rsidRPr="000C5D80">
        <w:t xml:space="preserve">Claims Processing Durations should be reported by allocating the number of claims into the following </w:t>
      </w:r>
      <w:r w:rsidR="00F15106" w:rsidRPr="000C5D80">
        <w:t>‘</w:t>
      </w:r>
      <w:r w:rsidR="00047508">
        <w:t xml:space="preserve">claims </w:t>
      </w:r>
      <w:r w:rsidRPr="000C5D80">
        <w:t>duration categories</w:t>
      </w:r>
      <w:r w:rsidR="00F15106" w:rsidRPr="000C5D80">
        <w:t>’</w:t>
      </w:r>
      <w:r w:rsidRPr="000C5D80">
        <w:t>:</w:t>
      </w:r>
    </w:p>
    <w:p w14:paraId="3FBFC746" w14:textId="77777777" w:rsidR="00016DD7" w:rsidRPr="0002751D" w:rsidRDefault="00016DD7" w:rsidP="0002751D">
      <w:pPr>
        <w:pStyle w:val="BodyText2"/>
        <w:jc w:val="both"/>
      </w:pPr>
      <w:r w:rsidRPr="0002751D">
        <w:t>0 to 2 weeks</w:t>
      </w:r>
    </w:p>
    <w:p w14:paraId="3B4C9EAC" w14:textId="77777777" w:rsidR="00016DD7" w:rsidRPr="0002751D" w:rsidRDefault="00016DD7" w:rsidP="0002751D">
      <w:pPr>
        <w:pStyle w:val="BodyText2"/>
        <w:jc w:val="both"/>
      </w:pPr>
      <w:r w:rsidRPr="0002751D">
        <w:t>&gt;2 weeks to 2 months</w:t>
      </w:r>
    </w:p>
    <w:p w14:paraId="057008F3" w14:textId="77777777" w:rsidR="00016DD7" w:rsidRPr="0002751D" w:rsidRDefault="00016DD7" w:rsidP="0002751D">
      <w:pPr>
        <w:pStyle w:val="BodyText2"/>
        <w:jc w:val="both"/>
      </w:pPr>
      <w:r w:rsidRPr="0002751D">
        <w:t>&gt;2 months to 6 months</w:t>
      </w:r>
    </w:p>
    <w:p w14:paraId="36140B4C" w14:textId="77777777" w:rsidR="00016DD7" w:rsidRPr="0002751D" w:rsidRDefault="00016DD7" w:rsidP="0002751D">
      <w:pPr>
        <w:pStyle w:val="BodyText2"/>
        <w:jc w:val="both"/>
      </w:pPr>
      <w:r w:rsidRPr="0002751D">
        <w:t>&gt;6 months to 12 months</w:t>
      </w:r>
    </w:p>
    <w:p w14:paraId="3A024537" w14:textId="77777777" w:rsidR="00016DD7" w:rsidRPr="0002751D" w:rsidRDefault="00016DD7" w:rsidP="0002751D">
      <w:pPr>
        <w:pStyle w:val="BodyText2"/>
        <w:jc w:val="both"/>
      </w:pPr>
      <w:r w:rsidRPr="0002751D">
        <w:t>&gt;12 months to 24 months</w:t>
      </w:r>
    </w:p>
    <w:p w14:paraId="04262A52" w14:textId="77777777" w:rsidR="00016DD7" w:rsidRPr="0002751D" w:rsidRDefault="00016DD7" w:rsidP="0002751D">
      <w:pPr>
        <w:pStyle w:val="BodyText2"/>
        <w:jc w:val="both"/>
      </w:pPr>
      <w:r w:rsidRPr="0002751D">
        <w:t>&gt;24 months to 36 months</w:t>
      </w:r>
    </w:p>
    <w:p w14:paraId="47324F60" w14:textId="77777777" w:rsidR="00016DD7" w:rsidRPr="0002751D" w:rsidRDefault="00016DD7" w:rsidP="0002751D">
      <w:pPr>
        <w:pStyle w:val="BodyText2"/>
        <w:jc w:val="both"/>
      </w:pPr>
      <w:r w:rsidRPr="0002751D">
        <w:t>&gt;36 months</w:t>
      </w:r>
    </w:p>
    <w:p w14:paraId="79DC5BC1" w14:textId="43477C45" w:rsidR="00016DD7" w:rsidRPr="000C5D80" w:rsidRDefault="00F8215C" w:rsidP="000C5D80">
      <w:pPr>
        <w:pStyle w:val="BodyText1"/>
      </w:pPr>
      <w:r>
        <w:t xml:space="preserve">The </w:t>
      </w:r>
      <w:r w:rsidR="00016DD7" w:rsidRPr="000C5D80">
        <w:t xml:space="preserve">Claims Processing Duration detail </w:t>
      </w:r>
      <w:r>
        <w:t xml:space="preserve">set out </w:t>
      </w:r>
      <w:r w:rsidR="00016DD7" w:rsidRPr="000C5D80">
        <w:t xml:space="preserve">in </w:t>
      </w:r>
      <w:r w:rsidR="00457B3B">
        <w:t>paragraph</w:t>
      </w:r>
      <w:r w:rsidR="00B769B9">
        <w:t>s 68</w:t>
      </w:r>
      <w:r w:rsidR="00016DD7" w:rsidRPr="000C5D80">
        <w:t xml:space="preserve"> and </w:t>
      </w:r>
      <w:r w:rsidR="00B769B9">
        <w:t>69</w:t>
      </w:r>
      <w:r>
        <w:t xml:space="preserve"> </w:t>
      </w:r>
      <w:r w:rsidR="00016DD7" w:rsidRPr="000C5D80">
        <w:t xml:space="preserve">should also be provided in respect of the Claim Sum Insured, as defined in </w:t>
      </w:r>
      <w:r>
        <w:t xml:space="preserve">paragraph </w:t>
      </w:r>
      <w:r w:rsidR="00B769B9">
        <w:t>50</w:t>
      </w:r>
      <w:r w:rsidR="00016DD7" w:rsidRPr="000C5D80">
        <w:t>.</w:t>
      </w:r>
    </w:p>
    <w:p w14:paraId="7363319F" w14:textId="310ED168" w:rsidR="00016DD7" w:rsidRPr="000C5D80" w:rsidRDefault="00F8215C" w:rsidP="000C5D80">
      <w:pPr>
        <w:pStyle w:val="BodyText1"/>
      </w:pPr>
      <w:r>
        <w:t xml:space="preserve">The </w:t>
      </w:r>
      <w:r w:rsidR="00016DD7" w:rsidRPr="000C5D80">
        <w:t xml:space="preserve">Claims Processing Duration detail </w:t>
      </w:r>
      <w:r>
        <w:t xml:space="preserve">set out </w:t>
      </w:r>
      <w:r w:rsidR="00016DD7" w:rsidRPr="000C5D80">
        <w:t xml:space="preserve">in </w:t>
      </w:r>
      <w:r w:rsidR="00B769B9">
        <w:t>68</w:t>
      </w:r>
      <w:r w:rsidR="00016DD7" w:rsidRPr="000C5D80">
        <w:t xml:space="preserve"> to </w:t>
      </w:r>
      <w:r w:rsidR="00B769B9">
        <w:t xml:space="preserve">70 </w:t>
      </w:r>
      <w:r w:rsidR="00016DD7" w:rsidRPr="000C5D80">
        <w:t>should be provided for each combination of the following data dimensions:</w:t>
      </w:r>
    </w:p>
    <w:p w14:paraId="4E2A4122" w14:textId="208456B4" w:rsidR="00016DD7" w:rsidRPr="0002751D" w:rsidRDefault="00016DD7" w:rsidP="0002751D">
      <w:pPr>
        <w:pStyle w:val="BodyText2"/>
        <w:jc w:val="both"/>
      </w:pPr>
      <w:r w:rsidRPr="0002751D">
        <w:t>Insurance Type</w:t>
      </w:r>
      <w:r w:rsidR="00F8215C">
        <w:t>;</w:t>
      </w:r>
    </w:p>
    <w:p w14:paraId="2DDC97E0" w14:textId="0FFEFBA7" w:rsidR="00016DD7" w:rsidRPr="0002751D" w:rsidRDefault="00016DD7" w:rsidP="0002751D">
      <w:pPr>
        <w:pStyle w:val="BodyText2"/>
        <w:jc w:val="both"/>
      </w:pPr>
      <w:r w:rsidRPr="0002751D">
        <w:t>Advice Type</w:t>
      </w:r>
      <w:r w:rsidR="00F8215C">
        <w:t>; and</w:t>
      </w:r>
    </w:p>
    <w:p w14:paraId="6322F8F0" w14:textId="4408FB5A" w:rsidR="00016DD7" w:rsidRPr="0002751D" w:rsidRDefault="00016DD7" w:rsidP="0002751D">
      <w:pPr>
        <w:pStyle w:val="BodyText2"/>
        <w:jc w:val="both"/>
      </w:pPr>
      <w:r w:rsidRPr="0002751D">
        <w:t>Cover/Product Type.</w:t>
      </w:r>
    </w:p>
    <w:p w14:paraId="6E1F8EE4" w14:textId="5A0CCDC9" w:rsidR="00016DD7" w:rsidRPr="000C5D80" w:rsidRDefault="00016DD7" w:rsidP="0053021B">
      <w:pPr>
        <w:pStyle w:val="BodyText1"/>
      </w:pPr>
      <w:r w:rsidRPr="000C5D80">
        <w:t xml:space="preserve">Premium </w:t>
      </w:r>
      <w:r w:rsidR="00047508">
        <w:t>r</w:t>
      </w:r>
      <w:r w:rsidRPr="000C5D80">
        <w:t xml:space="preserve">efunds in </w:t>
      </w:r>
      <w:r w:rsidR="00136890">
        <w:t>p</w:t>
      </w:r>
      <w:r w:rsidR="00457B3B">
        <w:t>aragraph</w:t>
      </w:r>
      <w:r w:rsidRPr="000C5D80">
        <w:t xml:space="preserve"> </w:t>
      </w:r>
      <w:r w:rsidR="00B769B9">
        <w:t>59</w:t>
      </w:r>
      <w:r w:rsidRPr="000C5D80">
        <w:t xml:space="preserve"> should be treated in the following ways:</w:t>
      </w:r>
    </w:p>
    <w:p w14:paraId="2ED6312C" w14:textId="6C3F3AC8" w:rsidR="00016DD7" w:rsidRPr="0002751D" w:rsidRDefault="00016DD7" w:rsidP="0002751D">
      <w:pPr>
        <w:pStyle w:val="BodyText2"/>
        <w:jc w:val="both"/>
      </w:pPr>
      <w:r w:rsidRPr="0002751D">
        <w:t xml:space="preserve">Where premiums collected after a </w:t>
      </w:r>
      <w:r w:rsidR="004259ED">
        <w:t>C</w:t>
      </w:r>
      <w:r w:rsidRPr="0002751D">
        <w:t xml:space="preserve">laim </w:t>
      </w:r>
      <w:r w:rsidR="004259ED">
        <w:t>E</w:t>
      </w:r>
      <w:r w:rsidRPr="0002751D">
        <w:t xml:space="preserve">vent are refunded due to a purely administrative process, it should be excluded from </w:t>
      </w:r>
      <w:r w:rsidR="00FF21BF">
        <w:t>this reporting form</w:t>
      </w:r>
      <w:r w:rsidRPr="0002751D">
        <w:t>.</w:t>
      </w:r>
    </w:p>
    <w:p w14:paraId="34370402" w14:textId="30C3AD00" w:rsidR="00016DD7" w:rsidRPr="0002751D" w:rsidRDefault="00016DD7" w:rsidP="0002751D">
      <w:pPr>
        <w:pStyle w:val="BodyText2"/>
        <w:jc w:val="both"/>
      </w:pPr>
      <w:r w:rsidRPr="0002751D">
        <w:t xml:space="preserve">Where a premium refund is made following the cancellation of a contract or Policy Benefit (for example, in the event of innocent non-disclosure), it should be reported in the </w:t>
      </w:r>
      <w:r w:rsidR="001716B8" w:rsidRPr="0002751D">
        <w:t>‘</w:t>
      </w:r>
      <w:r w:rsidRPr="0002751D">
        <w:t>All other ex-gratia payments, settlements or premium refunds</w:t>
      </w:r>
      <w:r w:rsidR="001716B8" w:rsidRPr="0002751D">
        <w:t xml:space="preserve">’ </w:t>
      </w:r>
      <w:r w:rsidRPr="0002751D">
        <w:t>category.</w:t>
      </w:r>
    </w:p>
    <w:p w14:paraId="7A7D0C50" w14:textId="36AC508E" w:rsidR="00016DD7" w:rsidRPr="0002751D" w:rsidRDefault="00016DD7" w:rsidP="00290128">
      <w:pPr>
        <w:pStyle w:val="BodyText2"/>
        <w:jc w:val="both"/>
      </w:pPr>
      <w:r w:rsidRPr="0002751D">
        <w:lastRenderedPageBreak/>
        <w:t xml:space="preserve">Where a premium refund is </w:t>
      </w:r>
      <w:r w:rsidR="0053021B">
        <w:t xml:space="preserve">a contractual benefit or </w:t>
      </w:r>
      <w:r w:rsidRPr="0002751D">
        <w:t xml:space="preserve">made on an ex-gratia basis (for example when death occurs as a result of sickness, but cover is for </w:t>
      </w:r>
      <w:r w:rsidR="00301C87">
        <w:t>A</w:t>
      </w:r>
      <w:r w:rsidRPr="0002751D">
        <w:t xml:space="preserve">ccidental </w:t>
      </w:r>
      <w:r w:rsidR="00301C87">
        <w:t>D</w:t>
      </w:r>
      <w:r w:rsidRPr="0002751D">
        <w:t xml:space="preserve">eath only), it should be reported in the </w:t>
      </w:r>
      <w:r w:rsidR="001716B8" w:rsidRPr="0002751D">
        <w:t>‘</w:t>
      </w:r>
      <w:r w:rsidRPr="0002751D">
        <w:t>All other ex-gratia payments, settlements or premium refunds</w:t>
      </w:r>
      <w:r w:rsidR="001716B8" w:rsidRPr="0002751D">
        <w:t xml:space="preserve">’ </w:t>
      </w:r>
      <w:r w:rsidRPr="0002751D">
        <w:t>category.</w:t>
      </w:r>
    </w:p>
    <w:p w14:paraId="0F7CB411" w14:textId="78DB4B43" w:rsidR="009609E8" w:rsidRPr="0002751D" w:rsidRDefault="00016DD7" w:rsidP="0002751D">
      <w:pPr>
        <w:pStyle w:val="ListParagraph"/>
        <w:ind w:left="567"/>
        <w:contextualSpacing w:val="0"/>
        <w:jc w:val="both"/>
        <w:rPr>
          <w:rFonts w:asciiTheme="minorHAnsi" w:hAnsiTheme="minorHAnsi" w:cstheme="minorHAnsi"/>
        </w:rPr>
      </w:pPr>
      <w:r w:rsidRPr="0002751D">
        <w:rPr>
          <w:rFonts w:asciiTheme="minorHAnsi" w:hAnsiTheme="minorHAnsi" w:cstheme="minorHAnsi"/>
        </w:rPr>
        <w:t>Premium waiver benefits should be treated like any other Ancillary Benefit.</w:t>
      </w:r>
    </w:p>
    <w:p w14:paraId="02CD3467" w14:textId="6567BDA4" w:rsidR="008A4AF0" w:rsidRPr="000C5D80" w:rsidRDefault="00590656" w:rsidP="000C5D80">
      <w:pPr>
        <w:pStyle w:val="BodyText1"/>
      </w:pPr>
      <w:r w:rsidRPr="000C5D80">
        <w:t>Claims that are re-opened after previously being finalised are excluded from the main collection</w:t>
      </w:r>
      <w:r w:rsidR="008A4AF0" w:rsidRPr="000C5D80">
        <w:t>. Where such claims are re-opened and subsequently finalised in the Reporting Period, the relevant detail should be included in the SUPPLEMENT_</w:t>
      </w:r>
      <w:r w:rsidR="00BB18C4" w:rsidRPr="000C5D80">
        <w:t>REOPENED</w:t>
      </w:r>
      <w:r w:rsidR="008A4AF0" w:rsidRPr="000C5D80">
        <w:t xml:space="preserve"> sheet. Claims should be split </w:t>
      </w:r>
      <w:r w:rsidR="00BA72BD">
        <w:t>across</w:t>
      </w:r>
      <w:r w:rsidR="00BA72BD" w:rsidRPr="000C5D80">
        <w:t xml:space="preserve"> </w:t>
      </w:r>
      <w:r w:rsidR="008A4AF0" w:rsidRPr="000C5D80">
        <w:t xml:space="preserve">the following </w:t>
      </w:r>
      <w:r w:rsidR="000C2DFF" w:rsidRPr="000C5D80">
        <w:t>dimensions</w:t>
      </w:r>
      <w:r w:rsidR="008A4AF0" w:rsidRPr="000C5D80">
        <w:t>:</w:t>
      </w:r>
    </w:p>
    <w:p w14:paraId="699A5DB5" w14:textId="71D480AB" w:rsidR="000C2DFF" w:rsidRPr="00CC24A0" w:rsidRDefault="000C2DFF" w:rsidP="00CC24A0">
      <w:pPr>
        <w:pStyle w:val="BodyText2"/>
        <w:jc w:val="both"/>
      </w:pPr>
      <w:r w:rsidRPr="00CC24A0">
        <w:t>Insurance Type</w:t>
      </w:r>
      <w:r w:rsidR="00BA72BD">
        <w:t>;</w:t>
      </w:r>
    </w:p>
    <w:p w14:paraId="2C4A0995" w14:textId="06DC74ED" w:rsidR="000C2DFF" w:rsidRPr="00CC24A0" w:rsidRDefault="000C2DFF" w:rsidP="00CC24A0">
      <w:pPr>
        <w:pStyle w:val="BodyText2"/>
        <w:jc w:val="both"/>
      </w:pPr>
      <w:r w:rsidRPr="00CC24A0">
        <w:t>Cover Type</w:t>
      </w:r>
      <w:r w:rsidR="00BA72BD">
        <w:t>;</w:t>
      </w:r>
    </w:p>
    <w:p w14:paraId="5123572B" w14:textId="6C2F3D92" w:rsidR="000C2DFF" w:rsidRPr="00CC24A0" w:rsidRDefault="000C2DFF" w:rsidP="00CC24A0">
      <w:pPr>
        <w:pStyle w:val="BodyText2"/>
        <w:jc w:val="both"/>
      </w:pPr>
      <w:r w:rsidRPr="00CC24A0">
        <w:t>Original claims decision (</w:t>
      </w:r>
      <w:r w:rsidR="00BA72BD">
        <w:t xml:space="preserve">in accordance with the categories set out in </w:t>
      </w:r>
      <w:r w:rsidR="00457B3B">
        <w:t>paragraph</w:t>
      </w:r>
      <w:r w:rsidRPr="00CC24A0">
        <w:t xml:space="preserve"> </w:t>
      </w:r>
      <w:r w:rsidR="000F7FBF">
        <w:t>59</w:t>
      </w:r>
      <w:r w:rsidRPr="00CC24A0">
        <w:t>)</w:t>
      </w:r>
      <w:r w:rsidR="007E1F42">
        <w:t>;</w:t>
      </w:r>
    </w:p>
    <w:p w14:paraId="035F8CFE" w14:textId="7F03A441" w:rsidR="000C2DFF" w:rsidRPr="00CC24A0" w:rsidRDefault="000C2DFF" w:rsidP="00CC24A0">
      <w:pPr>
        <w:pStyle w:val="BodyText2"/>
        <w:jc w:val="both"/>
      </w:pPr>
      <w:r w:rsidRPr="00CC24A0">
        <w:t xml:space="preserve">Updated claims decision (in </w:t>
      </w:r>
      <w:r w:rsidR="00BA72BD">
        <w:t xml:space="preserve">accordance with the categories set out in </w:t>
      </w:r>
      <w:r w:rsidR="00457B3B">
        <w:t>paragraph</w:t>
      </w:r>
      <w:r w:rsidRPr="00CC24A0">
        <w:t xml:space="preserve"> </w:t>
      </w:r>
      <w:r w:rsidR="000F7FBF">
        <w:t>59</w:t>
      </w:r>
      <w:r w:rsidRPr="00CC24A0">
        <w:t>)</w:t>
      </w:r>
      <w:r w:rsidR="007E1F42">
        <w:t>; and</w:t>
      </w:r>
    </w:p>
    <w:p w14:paraId="2832AE57" w14:textId="77777777" w:rsidR="000C2DFF" w:rsidRPr="00CC24A0" w:rsidRDefault="000C2DFF" w:rsidP="00CC24A0">
      <w:pPr>
        <w:pStyle w:val="BodyText2"/>
        <w:jc w:val="both"/>
      </w:pPr>
      <w:r w:rsidRPr="00CC24A0">
        <w:t>Reasons for re-opened claims that are subsequently finalised:</w:t>
      </w:r>
    </w:p>
    <w:p w14:paraId="29C7D537" w14:textId="0263C21C" w:rsidR="000C2DFF" w:rsidRPr="00CC24A0" w:rsidRDefault="001716B8" w:rsidP="00CC24A0">
      <w:pPr>
        <w:pStyle w:val="BodyText3"/>
        <w:jc w:val="both"/>
      </w:pPr>
      <w:r w:rsidRPr="00CC24A0">
        <w:t>‘A</w:t>
      </w:r>
      <w:r w:rsidR="000C2DFF" w:rsidRPr="00CC24A0">
        <w:t>dditional information received</w:t>
      </w:r>
      <w:r w:rsidRPr="00CC24A0">
        <w:t>’</w:t>
      </w:r>
      <w:r w:rsidR="000C2DFF" w:rsidRPr="00CC24A0">
        <w:t>. These are instances where the claim has been re-opened after receiving additional information that could potentially overturn the original decision.</w:t>
      </w:r>
    </w:p>
    <w:p w14:paraId="4F481CEF" w14:textId="1AE44FFD" w:rsidR="000C2DFF" w:rsidRPr="00CC24A0" w:rsidRDefault="001716B8" w:rsidP="00CC24A0">
      <w:pPr>
        <w:pStyle w:val="BodyText3"/>
        <w:jc w:val="both"/>
      </w:pPr>
      <w:r w:rsidRPr="00CC24A0">
        <w:t>‘</w:t>
      </w:r>
      <w:r w:rsidR="000C2DFF" w:rsidRPr="00CC24A0">
        <w:t>Review request</w:t>
      </w:r>
      <w:r w:rsidR="001B72BE">
        <w:t>ed</w:t>
      </w:r>
      <w:r w:rsidR="000C2DFF" w:rsidRPr="00CC24A0">
        <w:t xml:space="preserve"> </w:t>
      </w:r>
      <w:r w:rsidR="005113CC">
        <w:t>/</w:t>
      </w:r>
      <w:r w:rsidR="000C2DFF" w:rsidRPr="00CC24A0">
        <w:t xml:space="preserve"> dispute lodged</w:t>
      </w:r>
      <w:r w:rsidRPr="00CC24A0">
        <w:t>’</w:t>
      </w:r>
      <w:r w:rsidR="000C2DFF" w:rsidRPr="00CC24A0">
        <w:t xml:space="preserve">. These are instances where the claim has been re-opened because the policyholder, </w:t>
      </w:r>
      <w:r w:rsidR="00717B15">
        <w:t>their</w:t>
      </w:r>
      <w:r w:rsidR="000C2DFF" w:rsidRPr="00CC24A0">
        <w:t xml:space="preserve"> </w:t>
      </w:r>
      <w:r w:rsidR="00BA72BD">
        <w:t xml:space="preserve">authorised </w:t>
      </w:r>
      <w:r w:rsidR="000C2DFF" w:rsidRPr="00CC24A0">
        <w:t>representative or the superannuation fund trustee has requested a review of the original claims decision, or has lodged a dispute.</w:t>
      </w:r>
    </w:p>
    <w:p w14:paraId="15378AFC" w14:textId="4EA364C9" w:rsidR="000C2DFF" w:rsidRPr="00CC24A0" w:rsidRDefault="001716B8" w:rsidP="00CC24A0">
      <w:pPr>
        <w:pStyle w:val="BodyText3"/>
        <w:jc w:val="both"/>
      </w:pPr>
      <w:r w:rsidRPr="00CC24A0">
        <w:t>‘</w:t>
      </w:r>
      <w:r w:rsidR="000C2DFF" w:rsidRPr="00CC24A0">
        <w:t>Other</w:t>
      </w:r>
      <w:r w:rsidRPr="00CC24A0">
        <w:t>’</w:t>
      </w:r>
      <w:r w:rsidR="000C2DFF" w:rsidRPr="00CC24A0">
        <w:t>. Any claim re-open reasons not covered by one of the preceding categories</w:t>
      </w:r>
      <w:r w:rsidR="00BA72BD">
        <w:t>,</w:t>
      </w:r>
      <w:r w:rsidR="000C2DFF" w:rsidRPr="00CC24A0">
        <w:t xml:space="preserve"> including administrative errors</w:t>
      </w:r>
      <w:r w:rsidR="00C820F9">
        <w:t>.</w:t>
      </w:r>
    </w:p>
    <w:p w14:paraId="15DB45AE" w14:textId="75C947A7" w:rsidR="002260F3" w:rsidRPr="000C5D80" w:rsidRDefault="009D2208" w:rsidP="000C5D80">
      <w:pPr>
        <w:pStyle w:val="BodyText1"/>
      </w:pPr>
      <w:r>
        <w:t>A</w:t>
      </w:r>
      <w:r w:rsidR="00775C63">
        <w:t xml:space="preserve">dditional </w:t>
      </w:r>
      <w:r w:rsidR="008F6861">
        <w:t xml:space="preserve">CCI </w:t>
      </w:r>
      <w:r w:rsidR="00EA3587">
        <w:t xml:space="preserve">claims detail </w:t>
      </w:r>
      <w:r w:rsidR="008F6861">
        <w:t xml:space="preserve">should be recorded in </w:t>
      </w:r>
      <w:r w:rsidR="002803AA">
        <w:t xml:space="preserve">the </w:t>
      </w:r>
      <w:r w:rsidR="008F6861" w:rsidRPr="000C5D80">
        <w:t xml:space="preserve">SUPPLEMENT_CCI sheet of the </w:t>
      </w:r>
      <w:r w:rsidR="00C17199">
        <w:t>reporting form</w:t>
      </w:r>
      <w:r w:rsidR="008F6861" w:rsidRPr="000C5D80">
        <w:t xml:space="preserve">. </w:t>
      </w:r>
      <w:r w:rsidR="00BA72BD">
        <w:t>T</w:t>
      </w:r>
      <w:r w:rsidR="008F6861" w:rsidRPr="000C5D80">
        <w:t>he detail provided should be consistent with what has been reported in the main collection</w:t>
      </w:r>
      <w:r w:rsidR="002260F3" w:rsidRPr="000C5D80">
        <w:t>, but providing a further split of data between credit card and loans, as well as between lump sum and monthly benefits.</w:t>
      </w:r>
    </w:p>
    <w:p w14:paraId="6E254228" w14:textId="0D59AF00" w:rsidR="00016DD7" w:rsidRPr="00016DD7" w:rsidRDefault="00457B3B" w:rsidP="009E5BB4">
      <w:pPr>
        <w:pStyle w:val="BodyText1"/>
      </w:pPr>
      <w:r>
        <w:t>Paragraph</w:t>
      </w:r>
      <w:r w:rsidR="00016DD7" w:rsidRPr="00016DD7">
        <w:t xml:space="preserve">s </w:t>
      </w:r>
      <w:r w:rsidR="004D53A7">
        <w:t>54</w:t>
      </w:r>
      <w:r w:rsidR="00016DD7" w:rsidRPr="00016DD7">
        <w:t xml:space="preserve"> to </w:t>
      </w:r>
      <w:r w:rsidR="00B3666B">
        <w:t>7</w:t>
      </w:r>
      <w:r w:rsidR="000F7FBF">
        <w:t>4</w:t>
      </w:r>
      <w:r w:rsidR="0027419A" w:rsidRPr="00016DD7">
        <w:t xml:space="preserve"> </w:t>
      </w:r>
      <w:r w:rsidR="00016DD7" w:rsidRPr="00016DD7">
        <w:t xml:space="preserve">correspond with the following sheets in the </w:t>
      </w:r>
      <w:r w:rsidR="00C17199">
        <w:t>reporting form</w:t>
      </w:r>
      <w:r w:rsidR="00016DD7" w:rsidRPr="00016DD7">
        <w:t>:</w:t>
      </w:r>
    </w:p>
    <w:p w14:paraId="79A7C51D" w14:textId="77777777" w:rsidR="00016DD7" w:rsidRPr="00016DD7" w:rsidRDefault="00016DD7" w:rsidP="00016DD7">
      <w:pPr>
        <w:pStyle w:val="ListParagraph"/>
        <w:keepNext/>
        <w:spacing w:after="0"/>
        <w:ind w:left="0"/>
        <w:jc w:val="both"/>
        <w:rPr>
          <w:rFonts w:asciiTheme="minorHAnsi" w:hAnsiTheme="minorHAnsi" w:cstheme="minorHAnsi"/>
          <w:b/>
        </w:rPr>
      </w:pPr>
      <w:r w:rsidRPr="00016DD7">
        <w:rPr>
          <w:rFonts w:asciiTheme="minorHAnsi" w:hAnsiTheme="minorHAnsi" w:cstheme="minorHAnsi"/>
          <w:b/>
        </w:rPr>
        <w:lastRenderedPageBreak/>
        <w:t>Claims Data</w:t>
      </w:r>
    </w:p>
    <w:tbl>
      <w:tblPr>
        <w:tblStyle w:val="TableGrid"/>
        <w:tblW w:w="8976" w:type="dxa"/>
        <w:tblInd w:w="-5" w:type="dxa"/>
        <w:tblLook w:val="04A0" w:firstRow="1" w:lastRow="0" w:firstColumn="1" w:lastColumn="0" w:noHBand="0" w:noVBand="1"/>
      </w:tblPr>
      <w:tblGrid>
        <w:gridCol w:w="3603"/>
        <w:gridCol w:w="2655"/>
        <w:gridCol w:w="1128"/>
        <w:gridCol w:w="1590"/>
      </w:tblGrid>
      <w:tr w:rsidR="00016DD7" w:rsidRPr="00016DD7" w14:paraId="3D3CBDC5" w14:textId="77777777" w:rsidTr="00016DD7">
        <w:tc>
          <w:tcPr>
            <w:tcW w:w="3544" w:type="dxa"/>
            <w:shd w:val="clear" w:color="auto" w:fill="D9D9D9" w:themeFill="background1" w:themeFillShade="D9"/>
          </w:tcPr>
          <w:p w14:paraId="3441F427" w14:textId="77777777" w:rsidR="00016DD7" w:rsidRPr="00016DD7" w:rsidRDefault="00016DD7" w:rsidP="00370872">
            <w:pPr>
              <w:keepNext/>
              <w:spacing w:after="0"/>
              <w:rPr>
                <w:rFonts w:asciiTheme="minorHAnsi" w:hAnsiTheme="minorHAnsi" w:cstheme="minorHAnsi"/>
                <w:b/>
              </w:rPr>
            </w:pPr>
            <w:r w:rsidRPr="00016DD7">
              <w:rPr>
                <w:rFonts w:asciiTheme="minorHAnsi" w:hAnsiTheme="minorHAnsi" w:cstheme="minorHAnsi"/>
                <w:b/>
              </w:rPr>
              <w:t>Sheet Name</w:t>
            </w:r>
          </w:p>
        </w:tc>
        <w:tc>
          <w:tcPr>
            <w:tcW w:w="2693" w:type="dxa"/>
            <w:shd w:val="clear" w:color="auto" w:fill="D9D9D9" w:themeFill="background1" w:themeFillShade="D9"/>
          </w:tcPr>
          <w:p w14:paraId="61405781" w14:textId="77777777" w:rsidR="00016DD7" w:rsidRPr="00016DD7" w:rsidRDefault="00016DD7" w:rsidP="00370872">
            <w:pPr>
              <w:keepNext/>
              <w:spacing w:after="0"/>
              <w:rPr>
                <w:rFonts w:asciiTheme="minorHAnsi" w:hAnsiTheme="minorHAnsi" w:cstheme="minorHAnsi"/>
                <w:b/>
              </w:rPr>
            </w:pPr>
            <w:r w:rsidRPr="00016DD7">
              <w:rPr>
                <w:rFonts w:asciiTheme="minorHAnsi" w:hAnsiTheme="minorHAnsi" w:cstheme="minorHAnsi"/>
                <w:b/>
              </w:rPr>
              <w:t>Insurance Type</w:t>
            </w:r>
          </w:p>
        </w:tc>
        <w:tc>
          <w:tcPr>
            <w:tcW w:w="1134" w:type="dxa"/>
            <w:shd w:val="clear" w:color="auto" w:fill="D9D9D9" w:themeFill="background1" w:themeFillShade="D9"/>
          </w:tcPr>
          <w:p w14:paraId="7C69D9CF" w14:textId="77777777" w:rsidR="00016DD7" w:rsidRPr="00016DD7" w:rsidRDefault="00016DD7" w:rsidP="00370872">
            <w:pPr>
              <w:keepNext/>
              <w:spacing w:after="0"/>
              <w:rPr>
                <w:rFonts w:asciiTheme="minorHAnsi" w:hAnsiTheme="minorHAnsi" w:cstheme="minorHAnsi"/>
                <w:b/>
              </w:rPr>
            </w:pPr>
            <w:r w:rsidRPr="00016DD7">
              <w:rPr>
                <w:rFonts w:asciiTheme="minorHAnsi" w:hAnsiTheme="minorHAnsi" w:cstheme="minorHAnsi"/>
                <w:b/>
              </w:rPr>
              <w:t>On Sale Status</w:t>
            </w:r>
          </w:p>
        </w:tc>
        <w:tc>
          <w:tcPr>
            <w:tcW w:w="1605" w:type="dxa"/>
            <w:shd w:val="clear" w:color="auto" w:fill="D9D9D9" w:themeFill="background1" w:themeFillShade="D9"/>
          </w:tcPr>
          <w:p w14:paraId="03D5D443" w14:textId="77777777" w:rsidR="00016DD7" w:rsidRPr="00016DD7" w:rsidRDefault="00016DD7" w:rsidP="00370872">
            <w:pPr>
              <w:keepNext/>
              <w:spacing w:after="0"/>
              <w:rPr>
                <w:rFonts w:asciiTheme="minorHAnsi" w:hAnsiTheme="minorHAnsi" w:cstheme="minorHAnsi"/>
                <w:b/>
              </w:rPr>
            </w:pPr>
            <w:r w:rsidRPr="00016DD7">
              <w:rPr>
                <w:rFonts w:asciiTheme="minorHAnsi" w:hAnsiTheme="minorHAnsi" w:cstheme="minorHAnsi"/>
                <w:b/>
              </w:rPr>
              <w:t>Advice Type</w:t>
            </w:r>
          </w:p>
        </w:tc>
      </w:tr>
      <w:tr w:rsidR="00016DD7" w:rsidRPr="00016DD7" w14:paraId="346CC28C" w14:textId="77777777" w:rsidTr="00016DD7">
        <w:tc>
          <w:tcPr>
            <w:tcW w:w="3544" w:type="dxa"/>
            <w:vAlign w:val="bottom"/>
          </w:tcPr>
          <w:p w14:paraId="5E490794"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CLAIMS_IndOS_Open_Adv</w:t>
            </w:r>
          </w:p>
        </w:tc>
        <w:tc>
          <w:tcPr>
            <w:tcW w:w="2693" w:type="dxa"/>
            <w:vAlign w:val="bottom"/>
          </w:tcPr>
          <w:p w14:paraId="32B4B0E0"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134" w:type="dxa"/>
            <w:vAlign w:val="bottom"/>
          </w:tcPr>
          <w:p w14:paraId="58F261BB"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Open</w:t>
            </w:r>
          </w:p>
        </w:tc>
        <w:tc>
          <w:tcPr>
            <w:tcW w:w="1605" w:type="dxa"/>
            <w:vAlign w:val="bottom"/>
          </w:tcPr>
          <w:p w14:paraId="659C3366"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5CCB663A" w14:textId="77777777" w:rsidTr="00016DD7">
        <w:tc>
          <w:tcPr>
            <w:tcW w:w="3544" w:type="dxa"/>
            <w:vAlign w:val="bottom"/>
          </w:tcPr>
          <w:p w14:paraId="4B703D51"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CLAIMS_IndOS_Closed_Adv</w:t>
            </w:r>
          </w:p>
        </w:tc>
        <w:tc>
          <w:tcPr>
            <w:tcW w:w="2693" w:type="dxa"/>
            <w:vAlign w:val="bottom"/>
          </w:tcPr>
          <w:p w14:paraId="2BED18B4"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134" w:type="dxa"/>
            <w:vAlign w:val="bottom"/>
          </w:tcPr>
          <w:p w14:paraId="41D987C8"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Closed</w:t>
            </w:r>
          </w:p>
        </w:tc>
        <w:tc>
          <w:tcPr>
            <w:tcW w:w="1605" w:type="dxa"/>
            <w:vAlign w:val="bottom"/>
          </w:tcPr>
          <w:p w14:paraId="513AEE0E"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79E13414" w14:textId="77777777" w:rsidTr="00016DD7">
        <w:tc>
          <w:tcPr>
            <w:tcW w:w="3544" w:type="dxa"/>
            <w:vAlign w:val="bottom"/>
          </w:tcPr>
          <w:p w14:paraId="021DA26E"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CLAIMS_IndOS_Open_NonAdv</w:t>
            </w:r>
          </w:p>
        </w:tc>
        <w:tc>
          <w:tcPr>
            <w:tcW w:w="2693" w:type="dxa"/>
            <w:vAlign w:val="bottom"/>
          </w:tcPr>
          <w:p w14:paraId="45ED03E4"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134" w:type="dxa"/>
            <w:vAlign w:val="bottom"/>
          </w:tcPr>
          <w:p w14:paraId="30BB28EF"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Open</w:t>
            </w:r>
          </w:p>
        </w:tc>
        <w:tc>
          <w:tcPr>
            <w:tcW w:w="1605" w:type="dxa"/>
            <w:vAlign w:val="bottom"/>
          </w:tcPr>
          <w:p w14:paraId="171E20E8"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4F0C363D" w14:textId="77777777" w:rsidTr="00016DD7">
        <w:tc>
          <w:tcPr>
            <w:tcW w:w="3544" w:type="dxa"/>
            <w:vAlign w:val="bottom"/>
          </w:tcPr>
          <w:p w14:paraId="4F97CE43"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CLAIMS_IndOS_Closed_NonAdv</w:t>
            </w:r>
          </w:p>
        </w:tc>
        <w:tc>
          <w:tcPr>
            <w:tcW w:w="2693" w:type="dxa"/>
            <w:vAlign w:val="bottom"/>
          </w:tcPr>
          <w:p w14:paraId="0DD0C8DE"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134" w:type="dxa"/>
            <w:vAlign w:val="bottom"/>
          </w:tcPr>
          <w:p w14:paraId="1DB6AF0A"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Closed</w:t>
            </w:r>
          </w:p>
        </w:tc>
        <w:tc>
          <w:tcPr>
            <w:tcW w:w="1605" w:type="dxa"/>
            <w:vAlign w:val="bottom"/>
          </w:tcPr>
          <w:p w14:paraId="0465C391"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2E849BBB" w14:textId="77777777" w:rsidTr="00016DD7">
        <w:tc>
          <w:tcPr>
            <w:tcW w:w="3544" w:type="dxa"/>
            <w:vAlign w:val="bottom"/>
          </w:tcPr>
          <w:p w14:paraId="2289B494"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CLAIMS_IndIS_Open_Adv</w:t>
            </w:r>
          </w:p>
        </w:tc>
        <w:tc>
          <w:tcPr>
            <w:tcW w:w="2693" w:type="dxa"/>
            <w:vAlign w:val="bottom"/>
          </w:tcPr>
          <w:p w14:paraId="17E15341"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134" w:type="dxa"/>
            <w:vAlign w:val="bottom"/>
          </w:tcPr>
          <w:p w14:paraId="3A43B503"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Open</w:t>
            </w:r>
          </w:p>
        </w:tc>
        <w:tc>
          <w:tcPr>
            <w:tcW w:w="1605" w:type="dxa"/>
            <w:vAlign w:val="bottom"/>
          </w:tcPr>
          <w:p w14:paraId="52840A1B"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658D7C9C" w14:textId="77777777" w:rsidTr="00016DD7">
        <w:tc>
          <w:tcPr>
            <w:tcW w:w="3544" w:type="dxa"/>
            <w:vAlign w:val="bottom"/>
          </w:tcPr>
          <w:p w14:paraId="30571A52"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CLAIMS_IndIS_Closed_Adv</w:t>
            </w:r>
          </w:p>
        </w:tc>
        <w:tc>
          <w:tcPr>
            <w:tcW w:w="2693" w:type="dxa"/>
            <w:vAlign w:val="bottom"/>
          </w:tcPr>
          <w:p w14:paraId="189976E9"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134" w:type="dxa"/>
            <w:vAlign w:val="bottom"/>
          </w:tcPr>
          <w:p w14:paraId="5273882F"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Closed</w:t>
            </w:r>
          </w:p>
        </w:tc>
        <w:tc>
          <w:tcPr>
            <w:tcW w:w="1605" w:type="dxa"/>
            <w:vAlign w:val="bottom"/>
          </w:tcPr>
          <w:p w14:paraId="353C4E1D"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7C12AD91" w14:textId="77777777" w:rsidTr="00016DD7">
        <w:tc>
          <w:tcPr>
            <w:tcW w:w="3544" w:type="dxa"/>
            <w:vAlign w:val="bottom"/>
          </w:tcPr>
          <w:p w14:paraId="7FF250D9"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CLAIMS_IndIS_Open_NonAdv</w:t>
            </w:r>
          </w:p>
        </w:tc>
        <w:tc>
          <w:tcPr>
            <w:tcW w:w="2693" w:type="dxa"/>
            <w:vAlign w:val="bottom"/>
          </w:tcPr>
          <w:p w14:paraId="0E148F6B"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134" w:type="dxa"/>
            <w:vAlign w:val="bottom"/>
          </w:tcPr>
          <w:p w14:paraId="45CEB5A4"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Open</w:t>
            </w:r>
          </w:p>
        </w:tc>
        <w:tc>
          <w:tcPr>
            <w:tcW w:w="1605" w:type="dxa"/>
            <w:vAlign w:val="bottom"/>
          </w:tcPr>
          <w:p w14:paraId="261B3024"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58EC2E23" w14:textId="77777777" w:rsidTr="00016DD7">
        <w:tc>
          <w:tcPr>
            <w:tcW w:w="3544" w:type="dxa"/>
            <w:vAlign w:val="bottom"/>
          </w:tcPr>
          <w:p w14:paraId="7399815E"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CLAIMS_IndIS_Closed_NonAdv</w:t>
            </w:r>
          </w:p>
        </w:tc>
        <w:tc>
          <w:tcPr>
            <w:tcW w:w="2693" w:type="dxa"/>
            <w:vAlign w:val="bottom"/>
          </w:tcPr>
          <w:p w14:paraId="6304F05A"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134" w:type="dxa"/>
            <w:vAlign w:val="bottom"/>
          </w:tcPr>
          <w:p w14:paraId="4F859A9D"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Closed</w:t>
            </w:r>
          </w:p>
        </w:tc>
        <w:tc>
          <w:tcPr>
            <w:tcW w:w="1605" w:type="dxa"/>
            <w:vAlign w:val="bottom"/>
          </w:tcPr>
          <w:p w14:paraId="538964C8"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4C97EEED" w14:textId="77777777" w:rsidTr="00016DD7">
        <w:tc>
          <w:tcPr>
            <w:tcW w:w="3544" w:type="dxa"/>
            <w:vAlign w:val="bottom"/>
          </w:tcPr>
          <w:p w14:paraId="77B2DA9D"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CLAIMS_GrpOS</w:t>
            </w:r>
          </w:p>
        </w:tc>
        <w:tc>
          <w:tcPr>
            <w:tcW w:w="2693" w:type="dxa"/>
            <w:vAlign w:val="bottom"/>
          </w:tcPr>
          <w:p w14:paraId="2379BA70"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Group, outside Super</w:t>
            </w:r>
          </w:p>
        </w:tc>
        <w:tc>
          <w:tcPr>
            <w:tcW w:w="1134" w:type="dxa"/>
            <w:vAlign w:val="bottom"/>
          </w:tcPr>
          <w:p w14:paraId="0FF228D7"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N/A</w:t>
            </w:r>
          </w:p>
        </w:tc>
        <w:tc>
          <w:tcPr>
            <w:tcW w:w="1605" w:type="dxa"/>
            <w:vAlign w:val="bottom"/>
          </w:tcPr>
          <w:p w14:paraId="581584E3"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N/A</w:t>
            </w:r>
          </w:p>
        </w:tc>
      </w:tr>
      <w:tr w:rsidR="00016DD7" w:rsidRPr="00016DD7" w14:paraId="7A3D2F5D" w14:textId="77777777" w:rsidTr="00016DD7">
        <w:tc>
          <w:tcPr>
            <w:tcW w:w="3544" w:type="dxa"/>
            <w:vAlign w:val="bottom"/>
          </w:tcPr>
          <w:p w14:paraId="7BB5DA9A"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CLAIMS_GrpIS</w:t>
            </w:r>
          </w:p>
        </w:tc>
        <w:tc>
          <w:tcPr>
            <w:tcW w:w="2693" w:type="dxa"/>
            <w:vAlign w:val="bottom"/>
          </w:tcPr>
          <w:p w14:paraId="0A90445A"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Group, inside Super</w:t>
            </w:r>
          </w:p>
        </w:tc>
        <w:tc>
          <w:tcPr>
            <w:tcW w:w="1134" w:type="dxa"/>
            <w:vAlign w:val="bottom"/>
          </w:tcPr>
          <w:p w14:paraId="5B9AF4A7"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N/A</w:t>
            </w:r>
          </w:p>
        </w:tc>
        <w:tc>
          <w:tcPr>
            <w:tcW w:w="1605" w:type="dxa"/>
            <w:vAlign w:val="bottom"/>
          </w:tcPr>
          <w:p w14:paraId="62A8A134"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N/A</w:t>
            </w:r>
          </w:p>
        </w:tc>
      </w:tr>
    </w:tbl>
    <w:p w14:paraId="184EFD12" w14:textId="77777777" w:rsidR="00016DD7" w:rsidRPr="00016DD7" w:rsidRDefault="00016DD7" w:rsidP="005067EF">
      <w:pPr>
        <w:pStyle w:val="ListParagraph"/>
        <w:spacing w:after="0"/>
        <w:ind w:left="0"/>
        <w:jc w:val="both"/>
        <w:rPr>
          <w:rFonts w:asciiTheme="minorHAnsi" w:hAnsiTheme="minorHAnsi" w:cstheme="minorHAnsi"/>
        </w:rPr>
      </w:pPr>
    </w:p>
    <w:p w14:paraId="294F5FCD" w14:textId="77777777" w:rsidR="00016DD7" w:rsidRPr="00016DD7" w:rsidRDefault="00016DD7" w:rsidP="00016DD7">
      <w:pPr>
        <w:pStyle w:val="ListParagraph"/>
        <w:keepNext/>
        <w:spacing w:after="0"/>
        <w:ind w:left="0"/>
        <w:jc w:val="both"/>
        <w:rPr>
          <w:rFonts w:asciiTheme="minorHAnsi" w:hAnsiTheme="minorHAnsi" w:cstheme="minorHAnsi"/>
          <w:b/>
        </w:rPr>
      </w:pPr>
      <w:r w:rsidRPr="00016DD7">
        <w:rPr>
          <w:rFonts w:asciiTheme="minorHAnsi" w:hAnsiTheme="minorHAnsi" w:cstheme="minorHAnsi"/>
          <w:b/>
        </w:rPr>
        <w:t>Claims Duration Data</w:t>
      </w:r>
    </w:p>
    <w:tbl>
      <w:tblPr>
        <w:tblStyle w:val="TableGrid"/>
        <w:tblW w:w="8976" w:type="dxa"/>
        <w:tblInd w:w="-5" w:type="dxa"/>
        <w:tblLook w:val="04A0" w:firstRow="1" w:lastRow="0" w:firstColumn="1" w:lastColumn="0" w:noHBand="0" w:noVBand="1"/>
      </w:tblPr>
      <w:tblGrid>
        <w:gridCol w:w="3544"/>
        <w:gridCol w:w="2693"/>
        <w:gridCol w:w="1134"/>
        <w:gridCol w:w="1605"/>
      </w:tblGrid>
      <w:tr w:rsidR="00016DD7" w:rsidRPr="00016DD7" w14:paraId="6C0196C0" w14:textId="77777777" w:rsidTr="00016DD7">
        <w:trPr>
          <w:cantSplit/>
        </w:trPr>
        <w:tc>
          <w:tcPr>
            <w:tcW w:w="3544" w:type="dxa"/>
            <w:shd w:val="clear" w:color="auto" w:fill="D9D9D9" w:themeFill="background1" w:themeFillShade="D9"/>
          </w:tcPr>
          <w:p w14:paraId="651B0127" w14:textId="77777777" w:rsidR="00016DD7" w:rsidRPr="00016DD7" w:rsidRDefault="00016DD7" w:rsidP="00370872">
            <w:pPr>
              <w:keepNext/>
              <w:spacing w:after="0"/>
              <w:rPr>
                <w:rFonts w:asciiTheme="minorHAnsi" w:hAnsiTheme="minorHAnsi" w:cstheme="minorHAnsi"/>
                <w:b/>
              </w:rPr>
            </w:pPr>
            <w:r w:rsidRPr="00016DD7">
              <w:rPr>
                <w:rFonts w:asciiTheme="minorHAnsi" w:hAnsiTheme="minorHAnsi" w:cstheme="minorHAnsi"/>
                <w:b/>
              </w:rPr>
              <w:t>Sheet Name</w:t>
            </w:r>
          </w:p>
        </w:tc>
        <w:tc>
          <w:tcPr>
            <w:tcW w:w="2693" w:type="dxa"/>
            <w:shd w:val="clear" w:color="auto" w:fill="D9D9D9" w:themeFill="background1" w:themeFillShade="D9"/>
          </w:tcPr>
          <w:p w14:paraId="58083286" w14:textId="77777777" w:rsidR="00016DD7" w:rsidRPr="00016DD7" w:rsidRDefault="00016DD7" w:rsidP="00370872">
            <w:pPr>
              <w:keepNext/>
              <w:spacing w:after="0"/>
              <w:rPr>
                <w:rFonts w:asciiTheme="minorHAnsi" w:hAnsiTheme="minorHAnsi" w:cstheme="minorHAnsi"/>
                <w:b/>
              </w:rPr>
            </w:pPr>
            <w:r w:rsidRPr="00016DD7">
              <w:rPr>
                <w:rFonts w:asciiTheme="minorHAnsi" w:hAnsiTheme="minorHAnsi" w:cstheme="minorHAnsi"/>
                <w:b/>
              </w:rPr>
              <w:t>Insurance Type</w:t>
            </w:r>
          </w:p>
        </w:tc>
        <w:tc>
          <w:tcPr>
            <w:tcW w:w="1134" w:type="dxa"/>
            <w:shd w:val="clear" w:color="auto" w:fill="D9D9D9" w:themeFill="background1" w:themeFillShade="D9"/>
          </w:tcPr>
          <w:p w14:paraId="4D871419" w14:textId="77777777" w:rsidR="00016DD7" w:rsidRPr="00016DD7" w:rsidRDefault="00016DD7" w:rsidP="00370872">
            <w:pPr>
              <w:keepNext/>
              <w:spacing w:after="0"/>
              <w:rPr>
                <w:rFonts w:asciiTheme="minorHAnsi" w:hAnsiTheme="minorHAnsi" w:cstheme="minorHAnsi"/>
                <w:b/>
              </w:rPr>
            </w:pPr>
            <w:r w:rsidRPr="00016DD7">
              <w:rPr>
                <w:rFonts w:asciiTheme="minorHAnsi" w:hAnsiTheme="minorHAnsi" w:cstheme="minorHAnsi"/>
                <w:b/>
              </w:rPr>
              <w:t>On Sale Status</w:t>
            </w:r>
          </w:p>
        </w:tc>
        <w:tc>
          <w:tcPr>
            <w:tcW w:w="1605" w:type="dxa"/>
            <w:shd w:val="clear" w:color="auto" w:fill="D9D9D9" w:themeFill="background1" w:themeFillShade="D9"/>
          </w:tcPr>
          <w:p w14:paraId="521ADF9E" w14:textId="77777777" w:rsidR="00016DD7" w:rsidRPr="00016DD7" w:rsidRDefault="00016DD7" w:rsidP="00370872">
            <w:pPr>
              <w:keepNext/>
              <w:spacing w:after="0"/>
              <w:rPr>
                <w:rFonts w:asciiTheme="minorHAnsi" w:hAnsiTheme="minorHAnsi" w:cstheme="minorHAnsi"/>
                <w:b/>
              </w:rPr>
            </w:pPr>
            <w:r w:rsidRPr="00016DD7">
              <w:rPr>
                <w:rFonts w:asciiTheme="minorHAnsi" w:hAnsiTheme="minorHAnsi" w:cstheme="minorHAnsi"/>
                <w:b/>
              </w:rPr>
              <w:t>Advice Type</w:t>
            </w:r>
          </w:p>
        </w:tc>
      </w:tr>
      <w:tr w:rsidR="00016DD7" w:rsidRPr="00016DD7" w14:paraId="2CC5B10F" w14:textId="77777777" w:rsidTr="00016DD7">
        <w:trPr>
          <w:cantSplit/>
        </w:trPr>
        <w:tc>
          <w:tcPr>
            <w:tcW w:w="3544" w:type="dxa"/>
            <w:vAlign w:val="bottom"/>
          </w:tcPr>
          <w:p w14:paraId="1401223D"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CLAIMSDURN_IndOS_Adv</w:t>
            </w:r>
          </w:p>
        </w:tc>
        <w:tc>
          <w:tcPr>
            <w:tcW w:w="2693" w:type="dxa"/>
            <w:vAlign w:val="bottom"/>
          </w:tcPr>
          <w:p w14:paraId="0A8B3396"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134" w:type="dxa"/>
            <w:vAlign w:val="bottom"/>
          </w:tcPr>
          <w:p w14:paraId="1946C887"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605" w:type="dxa"/>
            <w:vAlign w:val="bottom"/>
          </w:tcPr>
          <w:p w14:paraId="4B879E03"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7990DAD4" w14:textId="77777777" w:rsidTr="00016DD7">
        <w:trPr>
          <w:cantSplit/>
        </w:trPr>
        <w:tc>
          <w:tcPr>
            <w:tcW w:w="3544" w:type="dxa"/>
            <w:vAlign w:val="bottom"/>
          </w:tcPr>
          <w:p w14:paraId="3726495E"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CLAIMSDURN_IndOS_NonAdv</w:t>
            </w:r>
          </w:p>
        </w:tc>
        <w:tc>
          <w:tcPr>
            <w:tcW w:w="2693" w:type="dxa"/>
            <w:vAlign w:val="bottom"/>
          </w:tcPr>
          <w:p w14:paraId="52D96879"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134" w:type="dxa"/>
            <w:vAlign w:val="bottom"/>
          </w:tcPr>
          <w:p w14:paraId="7989D52D"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605" w:type="dxa"/>
            <w:vAlign w:val="bottom"/>
          </w:tcPr>
          <w:p w14:paraId="37C41CC7"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05430D86" w14:textId="77777777" w:rsidTr="00016DD7">
        <w:trPr>
          <w:cantSplit/>
        </w:trPr>
        <w:tc>
          <w:tcPr>
            <w:tcW w:w="3544" w:type="dxa"/>
            <w:vAlign w:val="bottom"/>
          </w:tcPr>
          <w:p w14:paraId="4527DD5E"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CLAIMSDURN_IndIS_Adv</w:t>
            </w:r>
          </w:p>
        </w:tc>
        <w:tc>
          <w:tcPr>
            <w:tcW w:w="2693" w:type="dxa"/>
            <w:vAlign w:val="bottom"/>
          </w:tcPr>
          <w:p w14:paraId="25643DC9"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134" w:type="dxa"/>
            <w:vAlign w:val="bottom"/>
          </w:tcPr>
          <w:p w14:paraId="11A30B4F"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605" w:type="dxa"/>
            <w:vAlign w:val="bottom"/>
          </w:tcPr>
          <w:p w14:paraId="36F58D86"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68E35A61" w14:textId="77777777" w:rsidTr="00016DD7">
        <w:trPr>
          <w:cantSplit/>
        </w:trPr>
        <w:tc>
          <w:tcPr>
            <w:tcW w:w="3544" w:type="dxa"/>
            <w:vAlign w:val="bottom"/>
          </w:tcPr>
          <w:p w14:paraId="786A77DC"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CLAIMSDURN_IndIS_NonAdv</w:t>
            </w:r>
          </w:p>
        </w:tc>
        <w:tc>
          <w:tcPr>
            <w:tcW w:w="2693" w:type="dxa"/>
            <w:vAlign w:val="bottom"/>
          </w:tcPr>
          <w:p w14:paraId="27853D3E"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134" w:type="dxa"/>
            <w:vAlign w:val="bottom"/>
          </w:tcPr>
          <w:p w14:paraId="3D8B32FD"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605" w:type="dxa"/>
            <w:vAlign w:val="bottom"/>
          </w:tcPr>
          <w:p w14:paraId="202FE7FB"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2F75DDFF" w14:textId="77777777" w:rsidTr="00016DD7">
        <w:trPr>
          <w:cantSplit/>
        </w:trPr>
        <w:tc>
          <w:tcPr>
            <w:tcW w:w="3544" w:type="dxa"/>
            <w:vAlign w:val="bottom"/>
          </w:tcPr>
          <w:p w14:paraId="750F1F0A"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CLAIMSDURN_GrpOS</w:t>
            </w:r>
          </w:p>
        </w:tc>
        <w:tc>
          <w:tcPr>
            <w:tcW w:w="2693" w:type="dxa"/>
            <w:vAlign w:val="bottom"/>
          </w:tcPr>
          <w:p w14:paraId="6026C0BC"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Group, outside Super</w:t>
            </w:r>
          </w:p>
        </w:tc>
        <w:tc>
          <w:tcPr>
            <w:tcW w:w="1134" w:type="dxa"/>
            <w:vAlign w:val="bottom"/>
          </w:tcPr>
          <w:p w14:paraId="49BCE11C"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N/A</w:t>
            </w:r>
          </w:p>
        </w:tc>
        <w:tc>
          <w:tcPr>
            <w:tcW w:w="1605" w:type="dxa"/>
            <w:vAlign w:val="bottom"/>
          </w:tcPr>
          <w:p w14:paraId="6E14CFD4"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N/A</w:t>
            </w:r>
          </w:p>
        </w:tc>
      </w:tr>
      <w:tr w:rsidR="00016DD7" w:rsidRPr="00016DD7" w14:paraId="68BD3EF6" w14:textId="77777777" w:rsidTr="00016DD7">
        <w:trPr>
          <w:cantSplit/>
        </w:trPr>
        <w:tc>
          <w:tcPr>
            <w:tcW w:w="3544" w:type="dxa"/>
            <w:vAlign w:val="bottom"/>
          </w:tcPr>
          <w:p w14:paraId="57D23B5A"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CLAIMSDURN_GrpIS</w:t>
            </w:r>
          </w:p>
        </w:tc>
        <w:tc>
          <w:tcPr>
            <w:tcW w:w="2693" w:type="dxa"/>
            <w:vAlign w:val="bottom"/>
          </w:tcPr>
          <w:p w14:paraId="373BE2FB"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Group, inside Super</w:t>
            </w:r>
          </w:p>
        </w:tc>
        <w:tc>
          <w:tcPr>
            <w:tcW w:w="1134" w:type="dxa"/>
            <w:vAlign w:val="bottom"/>
          </w:tcPr>
          <w:p w14:paraId="0F7F979F"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N/A</w:t>
            </w:r>
          </w:p>
        </w:tc>
        <w:tc>
          <w:tcPr>
            <w:tcW w:w="1605" w:type="dxa"/>
            <w:vAlign w:val="bottom"/>
          </w:tcPr>
          <w:p w14:paraId="2CE85979"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N/A</w:t>
            </w:r>
          </w:p>
        </w:tc>
      </w:tr>
    </w:tbl>
    <w:p w14:paraId="3F255290" w14:textId="77777777" w:rsidR="00016DD7" w:rsidRPr="005067EF" w:rsidRDefault="00016DD7" w:rsidP="005067EF">
      <w:pPr>
        <w:pStyle w:val="ListParagraph"/>
        <w:spacing w:after="0"/>
        <w:ind w:left="0"/>
        <w:jc w:val="both"/>
        <w:rPr>
          <w:rFonts w:asciiTheme="minorHAnsi" w:hAnsiTheme="minorHAnsi" w:cstheme="minorHAnsi"/>
        </w:rPr>
      </w:pPr>
    </w:p>
    <w:p w14:paraId="22A65644" w14:textId="52C732A5" w:rsidR="00195C9B" w:rsidRPr="00370872" w:rsidRDefault="00195C9B" w:rsidP="00370872">
      <w:pPr>
        <w:pStyle w:val="ListParagraph"/>
        <w:keepNext/>
        <w:spacing w:after="0"/>
        <w:ind w:left="0"/>
        <w:jc w:val="both"/>
        <w:rPr>
          <w:rFonts w:asciiTheme="minorHAnsi" w:hAnsiTheme="minorHAnsi" w:cstheme="minorHAnsi"/>
          <w:b/>
        </w:rPr>
      </w:pPr>
      <w:r>
        <w:rPr>
          <w:rFonts w:asciiTheme="minorHAnsi" w:hAnsiTheme="minorHAnsi" w:cstheme="minorHAnsi"/>
          <w:b/>
        </w:rPr>
        <w:t>Supplementary Data</w:t>
      </w:r>
    </w:p>
    <w:tbl>
      <w:tblPr>
        <w:tblW w:w="8931" w:type="dxa"/>
        <w:tblLook w:val="04A0" w:firstRow="1" w:lastRow="0" w:firstColumn="1" w:lastColumn="0" w:noHBand="0" w:noVBand="1"/>
      </w:tblPr>
      <w:tblGrid>
        <w:gridCol w:w="3603"/>
        <w:gridCol w:w="2637"/>
        <w:gridCol w:w="1131"/>
        <w:gridCol w:w="1560"/>
      </w:tblGrid>
      <w:tr w:rsidR="00927985" w:rsidRPr="00927985" w14:paraId="6C1AB77A" w14:textId="77777777" w:rsidTr="00370872">
        <w:trPr>
          <w:cantSplit/>
          <w:trHeight w:val="330"/>
        </w:trPr>
        <w:tc>
          <w:tcPr>
            <w:tcW w:w="3603" w:type="dxa"/>
            <w:tcBorders>
              <w:top w:val="single" w:sz="8" w:space="0" w:color="auto"/>
              <w:left w:val="single" w:sz="8" w:space="0" w:color="auto"/>
              <w:bottom w:val="single" w:sz="8" w:space="0" w:color="auto"/>
              <w:right w:val="single" w:sz="8" w:space="0" w:color="auto"/>
            </w:tcBorders>
            <w:shd w:val="clear" w:color="000000" w:fill="D9D9D9"/>
            <w:hideMark/>
          </w:tcPr>
          <w:p w14:paraId="70C1DC2F" w14:textId="77777777" w:rsidR="00927985" w:rsidRPr="00927985" w:rsidRDefault="00927985" w:rsidP="005113CC">
            <w:pPr>
              <w:keepNext/>
              <w:spacing w:after="0"/>
              <w:rPr>
                <w:rFonts w:eastAsia="Times New Roman"/>
                <w:b/>
                <w:bCs/>
                <w:color w:val="000000"/>
              </w:rPr>
            </w:pPr>
            <w:r w:rsidRPr="00927985">
              <w:rPr>
                <w:rFonts w:eastAsia="Times New Roman"/>
                <w:b/>
                <w:bCs/>
                <w:color w:val="000000"/>
              </w:rPr>
              <w:t>Sheet Name</w:t>
            </w:r>
          </w:p>
        </w:tc>
        <w:tc>
          <w:tcPr>
            <w:tcW w:w="2637" w:type="dxa"/>
            <w:tcBorders>
              <w:top w:val="single" w:sz="8" w:space="0" w:color="auto"/>
              <w:left w:val="nil"/>
              <w:bottom w:val="single" w:sz="8" w:space="0" w:color="auto"/>
              <w:right w:val="single" w:sz="8" w:space="0" w:color="auto"/>
            </w:tcBorders>
            <w:shd w:val="clear" w:color="000000" w:fill="D9D9D9"/>
            <w:hideMark/>
          </w:tcPr>
          <w:p w14:paraId="5828E1B2" w14:textId="77777777" w:rsidR="00927985" w:rsidRPr="00927985" w:rsidRDefault="00927985" w:rsidP="005113CC">
            <w:pPr>
              <w:keepNext/>
              <w:spacing w:after="0"/>
              <w:rPr>
                <w:rFonts w:eastAsia="Times New Roman"/>
                <w:b/>
                <w:bCs/>
                <w:color w:val="000000"/>
              </w:rPr>
            </w:pPr>
            <w:r w:rsidRPr="00927985">
              <w:rPr>
                <w:rFonts w:eastAsia="Times New Roman"/>
                <w:b/>
                <w:bCs/>
                <w:color w:val="000000"/>
              </w:rPr>
              <w:t>Insurance Type</w:t>
            </w:r>
          </w:p>
        </w:tc>
        <w:tc>
          <w:tcPr>
            <w:tcW w:w="1131" w:type="dxa"/>
            <w:tcBorders>
              <w:top w:val="single" w:sz="8" w:space="0" w:color="auto"/>
              <w:left w:val="nil"/>
              <w:bottom w:val="single" w:sz="8" w:space="0" w:color="auto"/>
              <w:right w:val="single" w:sz="8" w:space="0" w:color="auto"/>
            </w:tcBorders>
            <w:shd w:val="clear" w:color="000000" w:fill="D9D9D9"/>
            <w:hideMark/>
          </w:tcPr>
          <w:p w14:paraId="336755C9" w14:textId="77777777" w:rsidR="00927985" w:rsidRPr="00927985" w:rsidRDefault="00927985" w:rsidP="005113CC">
            <w:pPr>
              <w:keepNext/>
              <w:spacing w:after="0"/>
              <w:rPr>
                <w:rFonts w:eastAsia="Times New Roman"/>
                <w:b/>
                <w:bCs/>
                <w:color w:val="000000"/>
              </w:rPr>
            </w:pPr>
            <w:r w:rsidRPr="00927985">
              <w:rPr>
                <w:rFonts w:eastAsia="Times New Roman"/>
                <w:b/>
                <w:bCs/>
                <w:color w:val="000000"/>
              </w:rPr>
              <w:t>On Sale Status</w:t>
            </w:r>
          </w:p>
        </w:tc>
        <w:tc>
          <w:tcPr>
            <w:tcW w:w="1560" w:type="dxa"/>
            <w:tcBorders>
              <w:top w:val="single" w:sz="8" w:space="0" w:color="auto"/>
              <w:left w:val="nil"/>
              <w:bottom w:val="single" w:sz="8" w:space="0" w:color="auto"/>
              <w:right w:val="single" w:sz="8" w:space="0" w:color="auto"/>
            </w:tcBorders>
            <w:shd w:val="clear" w:color="000000" w:fill="D9D9D9"/>
            <w:hideMark/>
          </w:tcPr>
          <w:p w14:paraId="1E52DDFB" w14:textId="77777777" w:rsidR="00927985" w:rsidRPr="00927985" w:rsidRDefault="00927985" w:rsidP="005113CC">
            <w:pPr>
              <w:keepNext/>
              <w:spacing w:after="0"/>
              <w:rPr>
                <w:rFonts w:eastAsia="Times New Roman"/>
                <w:b/>
                <w:bCs/>
                <w:color w:val="000000"/>
              </w:rPr>
            </w:pPr>
            <w:r w:rsidRPr="00927985">
              <w:rPr>
                <w:rFonts w:eastAsia="Times New Roman"/>
                <w:b/>
                <w:bCs/>
                <w:color w:val="000000"/>
              </w:rPr>
              <w:t>Advice Type</w:t>
            </w:r>
          </w:p>
        </w:tc>
      </w:tr>
      <w:tr w:rsidR="00927985" w:rsidRPr="00927985" w14:paraId="63AE574C" w14:textId="77777777" w:rsidTr="00370872">
        <w:trPr>
          <w:trHeight w:val="330"/>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57FDC698" w14:textId="77777777" w:rsidR="00927985" w:rsidRPr="00927985" w:rsidRDefault="00927985" w:rsidP="005113CC">
            <w:pPr>
              <w:keepNext/>
              <w:spacing w:after="0"/>
              <w:jc w:val="both"/>
              <w:rPr>
                <w:rFonts w:eastAsia="Times New Roman"/>
                <w:color w:val="000000"/>
              </w:rPr>
            </w:pPr>
            <w:r w:rsidRPr="00927985">
              <w:rPr>
                <w:rFonts w:eastAsia="Times New Roman"/>
                <w:color w:val="000000"/>
              </w:rPr>
              <w:t>SUPPLEMENT_REOPENED</w:t>
            </w:r>
          </w:p>
        </w:tc>
        <w:tc>
          <w:tcPr>
            <w:tcW w:w="2637" w:type="dxa"/>
            <w:tcBorders>
              <w:top w:val="nil"/>
              <w:left w:val="nil"/>
              <w:bottom w:val="single" w:sz="8" w:space="0" w:color="auto"/>
              <w:right w:val="single" w:sz="8" w:space="0" w:color="auto"/>
            </w:tcBorders>
            <w:shd w:val="clear" w:color="auto" w:fill="auto"/>
            <w:vAlign w:val="center"/>
            <w:hideMark/>
          </w:tcPr>
          <w:p w14:paraId="3DB8980D" w14:textId="77777777" w:rsidR="00927985" w:rsidRPr="00927985" w:rsidRDefault="00927985" w:rsidP="005113CC">
            <w:pPr>
              <w:keepNext/>
              <w:spacing w:after="0"/>
              <w:jc w:val="both"/>
              <w:rPr>
                <w:rFonts w:eastAsia="Times New Roman"/>
                <w:color w:val="000000"/>
              </w:rPr>
            </w:pPr>
            <w:r w:rsidRPr="00927985">
              <w:rPr>
                <w:rFonts w:eastAsia="Times New Roman"/>
                <w:color w:val="000000"/>
              </w:rPr>
              <w:t>All</w:t>
            </w:r>
          </w:p>
        </w:tc>
        <w:tc>
          <w:tcPr>
            <w:tcW w:w="1131" w:type="dxa"/>
            <w:tcBorders>
              <w:top w:val="nil"/>
              <w:left w:val="nil"/>
              <w:bottom w:val="single" w:sz="8" w:space="0" w:color="auto"/>
              <w:right w:val="single" w:sz="8" w:space="0" w:color="auto"/>
            </w:tcBorders>
            <w:shd w:val="clear" w:color="auto" w:fill="auto"/>
            <w:vAlign w:val="center"/>
            <w:hideMark/>
          </w:tcPr>
          <w:p w14:paraId="6DADF499" w14:textId="77777777" w:rsidR="00927985" w:rsidRPr="00927985" w:rsidRDefault="00927985" w:rsidP="005113CC">
            <w:pPr>
              <w:keepNext/>
              <w:spacing w:after="0"/>
              <w:jc w:val="both"/>
              <w:rPr>
                <w:rFonts w:eastAsia="Times New Roman"/>
                <w:color w:val="000000"/>
              </w:rPr>
            </w:pPr>
            <w:r w:rsidRPr="00927985">
              <w:rPr>
                <w:rFonts w:eastAsia="Times New Roman"/>
                <w:color w:val="000000"/>
              </w:rPr>
              <w:t>All</w:t>
            </w:r>
          </w:p>
        </w:tc>
        <w:tc>
          <w:tcPr>
            <w:tcW w:w="1560" w:type="dxa"/>
            <w:tcBorders>
              <w:top w:val="nil"/>
              <w:left w:val="nil"/>
              <w:bottom w:val="single" w:sz="8" w:space="0" w:color="auto"/>
              <w:right w:val="single" w:sz="8" w:space="0" w:color="auto"/>
            </w:tcBorders>
            <w:shd w:val="clear" w:color="auto" w:fill="auto"/>
            <w:vAlign w:val="center"/>
            <w:hideMark/>
          </w:tcPr>
          <w:p w14:paraId="458D9588" w14:textId="77777777" w:rsidR="00927985" w:rsidRPr="00927985" w:rsidRDefault="00927985" w:rsidP="005113CC">
            <w:pPr>
              <w:keepNext/>
              <w:spacing w:after="0"/>
              <w:jc w:val="both"/>
              <w:rPr>
                <w:rFonts w:eastAsia="Times New Roman"/>
                <w:color w:val="000000"/>
              </w:rPr>
            </w:pPr>
            <w:r w:rsidRPr="00927985">
              <w:rPr>
                <w:rFonts w:eastAsia="Times New Roman"/>
                <w:color w:val="000000"/>
              </w:rPr>
              <w:t>All</w:t>
            </w:r>
          </w:p>
        </w:tc>
      </w:tr>
      <w:tr w:rsidR="00927985" w:rsidRPr="00927985" w14:paraId="39001F3F" w14:textId="77777777" w:rsidTr="00370872">
        <w:trPr>
          <w:trHeight w:val="330"/>
        </w:trPr>
        <w:tc>
          <w:tcPr>
            <w:tcW w:w="3603" w:type="dxa"/>
            <w:tcBorders>
              <w:top w:val="nil"/>
              <w:left w:val="single" w:sz="8" w:space="0" w:color="auto"/>
              <w:bottom w:val="single" w:sz="8" w:space="0" w:color="auto"/>
              <w:right w:val="single" w:sz="8" w:space="0" w:color="auto"/>
            </w:tcBorders>
            <w:shd w:val="clear" w:color="auto" w:fill="auto"/>
            <w:vAlign w:val="center"/>
            <w:hideMark/>
          </w:tcPr>
          <w:p w14:paraId="3257F718" w14:textId="77777777" w:rsidR="00927985" w:rsidRPr="00927985" w:rsidRDefault="00927985" w:rsidP="00927985">
            <w:pPr>
              <w:spacing w:after="0"/>
              <w:jc w:val="both"/>
              <w:rPr>
                <w:rFonts w:eastAsia="Times New Roman"/>
                <w:color w:val="000000"/>
              </w:rPr>
            </w:pPr>
            <w:r w:rsidRPr="00927985">
              <w:rPr>
                <w:rFonts w:eastAsia="Times New Roman"/>
                <w:color w:val="000000"/>
              </w:rPr>
              <w:t>SUPPLEMENT_CCI</w:t>
            </w:r>
          </w:p>
        </w:tc>
        <w:tc>
          <w:tcPr>
            <w:tcW w:w="2637" w:type="dxa"/>
            <w:tcBorders>
              <w:top w:val="nil"/>
              <w:left w:val="nil"/>
              <w:bottom w:val="single" w:sz="8" w:space="0" w:color="auto"/>
              <w:right w:val="single" w:sz="8" w:space="0" w:color="auto"/>
            </w:tcBorders>
            <w:shd w:val="clear" w:color="auto" w:fill="auto"/>
            <w:vAlign w:val="center"/>
            <w:hideMark/>
          </w:tcPr>
          <w:p w14:paraId="73AF308D" w14:textId="2F39CB41" w:rsidR="00927985" w:rsidRPr="00927985" w:rsidRDefault="00927985" w:rsidP="00927985">
            <w:pPr>
              <w:spacing w:after="0"/>
              <w:jc w:val="both"/>
              <w:rPr>
                <w:rFonts w:eastAsia="Times New Roman"/>
                <w:color w:val="000000"/>
              </w:rPr>
            </w:pPr>
            <w:r w:rsidRPr="00927985">
              <w:rPr>
                <w:rFonts w:eastAsia="Times New Roman"/>
                <w:color w:val="000000"/>
              </w:rPr>
              <w:t>All</w:t>
            </w:r>
            <w:r w:rsidR="002260F3">
              <w:rPr>
                <w:rFonts w:eastAsia="Times New Roman"/>
                <w:color w:val="000000"/>
              </w:rPr>
              <w:t xml:space="preserve"> CCI business</w:t>
            </w:r>
          </w:p>
        </w:tc>
        <w:tc>
          <w:tcPr>
            <w:tcW w:w="1131" w:type="dxa"/>
            <w:tcBorders>
              <w:top w:val="nil"/>
              <w:left w:val="nil"/>
              <w:bottom w:val="single" w:sz="8" w:space="0" w:color="auto"/>
              <w:right w:val="single" w:sz="8" w:space="0" w:color="auto"/>
            </w:tcBorders>
            <w:shd w:val="clear" w:color="auto" w:fill="auto"/>
            <w:vAlign w:val="center"/>
            <w:hideMark/>
          </w:tcPr>
          <w:p w14:paraId="22E69373" w14:textId="77777777" w:rsidR="00927985" w:rsidRPr="00927985" w:rsidRDefault="00927985" w:rsidP="00927985">
            <w:pPr>
              <w:spacing w:after="0"/>
              <w:jc w:val="both"/>
              <w:rPr>
                <w:rFonts w:eastAsia="Times New Roman"/>
                <w:color w:val="000000"/>
              </w:rPr>
            </w:pPr>
            <w:r w:rsidRPr="00927985">
              <w:rPr>
                <w:rFonts w:eastAsia="Times New Roman"/>
                <w:color w:val="000000"/>
              </w:rPr>
              <w:t>All</w:t>
            </w:r>
          </w:p>
        </w:tc>
        <w:tc>
          <w:tcPr>
            <w:tcW w:w="1560" w:type="dxa"/>
            <w:tcBorders>
              <w:top w:val="nil"/>
              <w:left w:val="nil"/>
              <w:bottom w:val="single" w:sz="8" w:space="0" w:color="auto"/>
              <w:right w:val="single" w:sz="8" w:space="0" w:color="auto"/>
            </w:tcBorders>
            <w:shd w:val="clear" w:color="auto" w:fill="auto"/>
            <w:vAlign w:val="center"/>
            <w:hideMark/>
          </w:tcPr>
          <w:p w14:paraId="02B370EE" w14:textId="77777777" w:rsidR="00927985" w:rsidRPr="00927985" w:rsidRDefault="00927985" w:rsidP="00927985">
            <w:pPr>
              <w:spacing w:after="0"/>
              <w:jc w:val="both"/>
              <w:rPr>
                <w:rFonts w:eastAsia="Times New Roman"/>
                <w:color w:val="000000"/>
              </w:rPr>
            </w:pPr>
            <w:r w:rsidRPr="00927985">
              <w:rPr>
                <w:rFonts w:eastAsia="Times New Roman"/>
                <w:color w:val="000000"/>
              </w:rPr>
              <w:t>All</w:t>
            </w:r>
          </w:p>
        </w:tc>
      </w:tr>
    </w:tbl>
    <w:p w14:paraId="2FB34C3F" w14:textId="252AF46A" w:rsidR="00195C9B" w:rsidRPr="00370872" w:rsidRDefault="00195C9B" w:rsidP="005067EF">
      <w:pPr>
        <w:pStyle w:val="ListParagraph"/>
        <w:spacing w:after="0"/>
        <w:ind w:left="0"/>
        <w:jc w:val="both"/>
        <w:rPr>
          <w:rFonts w:asciiTheme="minorHAnsi" w:hAnsiTheme="minorHAnsi" w:cstheme="minorHAnsi"/>
        </w:rPr>
      </w:pPr>
    </w:p>
    <w:p w14:paraId="26D3FE72" w14:textId="6669E94F" w:rsidR="00016DD7" w:rsidRPr="00917200" w:rsidRDefault="00195C9B" w:rsidP="00C820F9">
      <w:pPr>
        <w:pStyle w:val="Heading1"/>
        <w:numPr>
          <w:ilvl w:val="0"/>
          <w:numId w:val="5"/>
        </w:numPr>
      </w:pPr>
      <w:bookmarkStart w:id="36" w:name="_Toc527994448"/>
      <w:r>
        <w:t>D</w:t>
      </w:r>
      <w:r w:rsidR="00016DD7">
        <w:t>ispute</w:t>
      </w:r>
      <w:r w:rsidR="005113CC">
        <w:t>s</w:t>
      </w:r>
      <w:r w:rsidR="00016DD7">
        <w:t xml:space="preserve"> Data Detail</w:t>
      </w:r>
      <w:bookmarkEnd w:id="36"/>
    </w:p>
    <w:p w14:paraId="48E1C4CF" w14:textId="6A71F1C9" w:rsidR="00560CC1" w:rsidRDefault="000F7FBF" w:rsidP="00B25C3C">
      <w:pPr>
        <w:pStyle w:val="BodyText1"/>
      </w:pPr>
      <w:r>
        <w:t>In addition to</w:t>
      </w:r>
      <w:r w:rsidR="00B65A00">
        <w:t xml:space="preserve"> the</w:t>
      </w:r>
      <w:r>
        <w:t xml:space="preserve"> General Definitions, </w:t>
      </w:r>
      <w:r w:rsidR="00457B3B">
        <w:t>paragraph</w:t>
      </w:r>
      <w:r>
        <w:t>s 7</w:t>
      </w:r>
      <w:r w:rsidR="00560CC1">
        <w:t>7</w:t>
      </w:r>
      <w:r>
        <w:t xml:space="preserve"> to 8</w:t>
      </w:r>
      <w:r w:rsidR="00560CC1">
        <w:t>6</w:t>
      </w:r>
      <w:r>
        <w:t xml:space="preserve"> define</w:t>
      </w:r>
      <w:r w:rsidR="000A30BF">
        <w:t xml:space="preserve"> a number of additional items</w:t>
      </w:r>
      <w:r>
        <w:t xml:space="preserve"> specifically for Dispute</w:t>
      </w:r>
      <w:r w:rsidR="005113CC">
        <w:t>s</w:t>
      </w:r>
      <w:r>
        <w:t xml:space="preserve"> Data.</w:t>
      </w:r>
    </w:p>
    <w:p w14:paraId="194A328A" w14:textId="22AEE140" w:rsidR="00016DD7" w:rsidRPr="00CC24A0" w:rsidRDefault="00F15106" w:rsidP="00B25C3C">
      <w:pPr>
        <w:pStyle w:val="BodyText1"/>
      </w:pPr>
      <w:r w:rsidRPr="00CC24A0">
        <w:t>‘</w:t>
      </w:r>
      <w:r w:rsidR="00016DD7" w:rsidRPr="00CC24A0">
        <w:t>Dispute Type</w:t>
      </w:r>
      <w:r w:rsidRPr="00CC24A0">
        <w:t>’</w:t>
      </w:r>
      <w:r w:rsidR="00016DD7" w:rsidRPr="00CC24A0">
        <w:t xml:space="preserve"> distinguishes between Internal, External and Litigated Disputes.</w:t>
      </w:r>
    </w:p>
    <w:p w14:paraId="5AC4721E" w14:textId="342481E2" w:rsidR="00016DD7" w:rsidRPr="00CC24A0" w:rsidRDefault="00F15106" w:rsidP="00CC24A0">
      <w:pPr>
        <w:pStyle w:val="BodyText1"/>
      </w:pPr>
      <w:r w:rsidRPr="00CC24A0">
        <w:t>‘</w:t>
      </w:r>
      <w:r w:rsidR="00016DD7" w:rsidRPr="00CC24A0">
        <w:t>Internal Dispute</w:t>
      </w:r>
      <w:r w:rsidRPr="00CC24A0">
        <w:t>’</w:t>
      </w:r>
      <w:r w:rsidR="00016DD7" w:rsidRPr="00CC24A0">
        <w:t xml:space="preserve"> refers to an instance where the claimant has registered </w:t>
      </w:r>
      <w:r w:rsidR="00717B15">
        <w:t>their</w:t>
      </w:r>
      <w:r w:rsidR="00016DD7" w:rsidRPr="00CC24A0">
        <w:t xml:space="preserve"> dissatisfaction with a claims decision or the claims process and requested the insurer to review its decision. This dispute category would also include disputes that may be raised by the trustees of a </w:t>
      </w:r>
      <w:r w:rsidR="00956A83">
        <w:t>s</w:t>
      </w:r>
      <w:r w:rsidR="00016DD7" w:rsidRPr="00CC24A0">
        <w:t xml:space="preserve">uperannuation </w:t>
      </w:r>
      <w:r w:rsidR="00956A83">
        <w:t>f</w:t>
      </w:r>
      <w:r w:rsidR="00016DD7" w:rsidRPr="00CC24A0">
        <w:t>und. Internal Dispute Resolution (</w:t>
      </w:r>
      <w:r w:rsidR="00D71F9A">
        <w:t>‘</w:t>
      </w:r>
      <w:r w:rsidR="00016DD7" w:rsidRPr="00CC24A0">
        <w:t>IDR</w:t>
      </w:r>
      <w:r w:rsidR="00D71F9A">
        <w:t>’</w:t>
      </w:r>
      <w:r w:rsidR="00016DD7" w:rsidRPr="00CC24A0">
        <w:t>) refers to the process followed by the insurer to deal with Internal Disputes that have been registered with the insurer.</w:t>
      </w:r>
    </w:p>
    <w:p w14:paraId="6190F46E" w14:textId="41D6C9DA" w:rsidR="00016DD7" w:rsidRPr="00CC24A0" w:rsidRDefault="00F15106" w:rsidP="00CC24A0">
      <w:pPr>
        <w:pStyle w:val="BodyText1"/>
      </w:pPr>
      <w:r w:rsidRPr="00CC24A0">
        <w:t>‘</w:t>
      </w:r>
      <w:r w:rsidR="00016DD7" w:rsidRPr="00CC24A0">
        <w:t>External Dispute</w:t>
      </w:r>
      <w:r w:rsidRPr="00CC24A0">
        <w:t>’</w:t>
      </w:r>
      <w:r w:rsidR="00016DD7" w:rsidRPr="00CC24A0">
        <w:t xml:space="preserve"> refers to an instance where the claimant has registered </w:t>
      </w:r>
      <w:r w:rsidR="00717B15">
        <w:t>their</w:t>
      </w:r>
      <w:r w:rsidR="00016DD7" w:rsidRPr="00CC24A0">
        <w:t xml:space="preserve"> dissatisfaction regarding a claims decision or claims process with an external dispute resolution scheme or tribunal. </w:t>
      </w:r>
      <w:r w:rsidR="00C7195C" w:rsidRPr="00CC24A0">
        <w:t>T</w:t>
      </w:r>
      <w:r w:rsidR="00016DD7" w:rsidRPr="00CC24A0">
        <w:t>his includes the Financial Ombudsman Service Limited (FOS) and the Superannuation Complaints Tribunal (SCT). External Dispute Resolution (</w:t>
      </w:r>
      <w:r w:rsidR="00D71F9A">
        <w:t>‘</w:t>
      </w:r>
      <w:r w:rsidR="00016DD7" w:rsidRPr="00CC24A0">
        <w:t>EDR</w:t>
      </w:r>
      <w:r w:rsidR="00D71F9A">
        <w:t>’</w:t>
      </w:r>
      <w:r w:rsidR="00016DD7" w:rsidRPr="00CC24A0">
        <w:t xml:space="preserve">) refers to the process followed by the insurer </w:t>
      </w:r>
      <w:r w:rsidR="00016DD7" w:rsidRPr="00CC24A0">
        <w:lastRenderedPageBreak/>
        <w:t>to deal with External Disputes that have been registered with the FOS</w:t>
      </w:r>
      <w:r w:rsidR="00D71F9A">
        <w:t>,</w:t>
      </w:r>
      <w:r w:rsidR="00016DD7" w:rsidRPr="00CC24A0">
        <w:t xml:space="preserve"> the SCT</w:t>
      </w:r>
      <w:r w:rsidR="00D71F9A">
        <w:t xml:space="preserve"> or similar schemes or tribunals</w:t>
      </w:r>
      <w:r w:rsidR="00016DD7" w:rsidRPr="00CC24A0">
        <w:t>.</w:t>
      </w:r>
    </w:p>
    <w:p w14:paraId="7B7332FC" w14:textId="52308CFC" w:rsidR="00016DD7" w:rsidRPr="00CC24A0" w:rsidRDefault="00F15106" w:rsidP="00CC24A0">
      <w:pPr>
        <w:pStyle w:val="BodyText1"/>
      </w:pPr>
      <w:r w:rsidRPr="00CC24A0">
        <w:t>‘</w:t>
      </w:r>
      <w:r w:rsidR="00016DD7" w:rsidRPr="00CC24A0">
        <w:t>Litigated Dispute</w:t>
      </w:r>
      <w:r w:rsidRPr="00CC24A0">
        <w:t>’</w:t>
      </w:r>
      <w:r w:rsidR="00016DD7" w:rsidRPr="00CC24A0">
        <w:t xml:space="preserve"> refers to an instance where a claimant has initiated legal proceedings against the insurer regarding a claim. This does not include instances where there have been solicitors involved, but no legal proceedings were initiated.</w:t>
      </w:r>
    </w:p>
    <w:p w14:paraId="185E94B6" w14:textId="7FBFE4AB" w:rsidR="00016DD7" w:rsidRPr="00C820F9" w:rsidRDefault="00F15106" w:rsidP="00C820F9">
      <w:pPr>
        <w:pStyle w:val="BodyText1"/>
      </w:pPr>
      <w:r w:rsidRPr="00CC24A0">
        <w:t>‘</w:t>
      </w:r>
      <w:r w:rsidR="00016DD7" w:rsidRPr="00CC24A0">
        <w:t>Dispute Lodged</w:t>
      </w:r>
      <w:r w:rsidRPr="00CC24A0">
        <w:t>’</w:t>
      </w:r>
      <w:r w:rsidR="00016DD7" w:rsidRPr="00CC24A0">
        <w:t xml:space="preserve"> refers to all claims</w:t>
      </w:r>
      <w:r w:rsidR="00714A1E" w:rsidRPr="00CC24A0">
        <w:t>-</w:t>
      </w:r>
      <w:r w:rsidR="00016DD7" w:rsidRPr="00CC24A0">
        <w:t>related dispute</w:t>
      </w:r>
      <w:r w:rsidR="00C820F9">
        <w:t>s, regardless of whether it was r</w:t>
      </w:r>
      <w:r w:rsidR="00016DD7" w:rsidRPr="00C820F9">
        <w:t xml:space="preserve">aised with the insurer by the claimant (or </w:t>
      </w:r>
      <w:r w:rsidR="00717B15">
        <w:t>their</w:t>
      </w:r>
      <w:r w:rsidR="004E7CE2">
        <w:t xml:space="preserve"> representative)</w:t>
      </w:r>
      <w:r w:rsidR="00016DD7" w:rsidRPr="00C820F9">
        <w:t xml:space="preserve"> or</w:t>
      </w:r>
      <w:r w:rsidR="00C820F9" w:rsidRPr="00C820F9">
        <w:t xml:space="preserve"> c</w:t>
      </w:r>
      <w:r w:rsidR="00016DD7" w:rsidRPr="00C820F9">
        <w:t>ommunicated to the insurer by a superannuation fund trustee, an external dispute resolution scheme, tribunal or court of law.</w:t>
      </w:r>
      <w:r w:rsidR="00C820F9" w:rsidRPr="00C820F9">
        <w:t xml:space="preserve"> </w:t>
      </w:r>
      <w:r w:rsidR="00016DD7" w:rsidRPr="00C820F9">
        <w:t>Disputes should be classified and recorded as Lodged regardless of whether a decision has been reached and regardless of whether all information required to decide on the dispute has been received.</w:t>
      </w:r>
    </w:p>
    <w:p w14:paraId="4D66B0E0" w14:textId="080273B4" w:rsidR="00016DD7" w:rsidRPr="00C820F9" w:rsidRDefault="00F15106" w:rsidP="00C820F9">
      <w:pPr>
        <w:pStyle w:val="BodyText1"/>
      </w:pPr>
      <w:r w:rsidRPr="00C820F9">
        <w:t>‘</w:t>
      </w:r>
      <w:r w:rsidR="00016DD7" w:rsidRPr="00C820F9">
        <w:t>Dispute Lodged Date</w:t>
      </w:r>
      <w:r w:rsidRPr="00C820F9">
        <w:t>’</w:t>
      </w:r>
      <w:r w:rsidR="00016DD7" w:rsidRPr="00C820F9">
        <w:t xml:space="preserve"> is the earlier of the following dates:</w:t>
      </w:r>
    </w:p>
    <w:p w14:paraId="45FC4C4A" w14:textId="76899682" w:rsidR="00016DD7" w:rsidRPr="00C820F9" w:rsidRDefault="00016DD7" w:rsidP="00C820F9">
      <w:pPr>
        <w:pStyle w:val="BodyText2"/>
        <w:jc w:val="both"/>
      </w:pPr>
      <w:r w:rsidRPr="00C820F9">
        <w:t xml:space="preserve">The date the claimant (or </w:t>
      </w:r>
      <w:r w:rsidR="00717B15">
        <w:t>their</w:t>
      </w:r>
      <w:r w:rsidRPr="00C820F9">
        <w:t xml:space="preserve"> representative) first raises a claims</w:t>
      </w:r>
      <w:r w:rsidR="00714A1E" w:rsidRPr="00C820F9">
        <w:t>-</w:t>
      </w:r>
      <w:r w:rsidRPr="00C820F9">
        <w:t>related dispute with the insurer; and</w:t>
      </w:r>
    </w:p>
    <w:p w14:paraId="6A277877" w14:textId="492741BB" w:rsidR="00016DD7" w:rsidRPr="00C820F9" w:rsidRDefault="00016DD7" w:rsidP="00C820F9">
      <w:pPr>
        <w:pStyle w:val="BodyText2"/>
        <w:jc w:val="both"/>
      </w:pPr>
      <w:r w:rsidRPr="00C820F9">
        <w:t>The date the insurer first receives information about a claims</w:t>
      </w:r>
      <w:r w:rsidR="00714A1E" w:rsidRPr="00C820F9">
        <w:t>-</w:t>
      </w:r>
      <w:r w:rsidRPr="00C820F9">
        <w:t>related dispute from a superannuation fund trustee, external dispute resolution scheme, tribunal or court of law.</w:t>
      </w:r>
    </w:p>
    <w:p w14:paraId="0B39A762" w14:textId="6365DE29" w:rsidR="00016DD7" w:rsidRPr="00C820F9" w:rsidRDefault="00F15106" w:rsidP="00C820F9">
      <w:pPr>
        <w:pStyle w:val="BodyText1"/>
      </w:pPr>
      <w:r w:rsidRPr="00C820F9">
        <w:t>‘</w:t>
      </w:r>
      <w:r w:rsidR="00016DD7" w:rsidRPr="00C820F9">
        <w:t>Dispute Withdrawn</w:t>
      </w:r>
      <w:r w:rsidRPr="00C820F9">
        <w:t>’</w:t>
      </w:r>
      <w:r w:rsidR="00016DD7" w:rsidRPr="00C820F9">
        <w:t xml:space="preserve"> refers to the instance where a Lodged dispute is withdrawn before being resolved.</w:t>
      </w:r>
    </w:p>
    <w:p w14:paraId="7DB42D66" w14:textId="4EC5926E" w:rsidR="00016DD7" w:rsidRPr="00C820F9" w:rsidRDefault="00F15106" w:rsidP="00C820F9">
      <w:pPr>
        <w:pStyle w:val="BodyText1"/>
      </w:pPr>
      <w:r w:rsidRPr="00C820F9">
        <w:t>‘</w:t>
      </w:r>
      <w:r w:rsidR="00016DD7" w:rsidRPr="00C820F9">
        <w:t>Dispute Resolved</w:t>
      </w:r>
      <w:r w:rsidRPr="00C820F9">
        <w:t>’</w:t>
      </w:r>
      <w:r w:rsidR="00016DD7" w:rsidRPr="00C820F9">
        <w:t xml:space="preserve"> refers to the point where the insurer has communicated its final decision about how it will resolve the claims</w:t>
      </w:r>
      <w:r w:rsidR="00714A1E" w:rsidRPr="00C820F9">
        <w:t>-</w:t>
      </w:r>
      <w:r w:rsidR="00016DD7" w:rsidRPr="00C820F9">
        <w:t xml:space="preserve">related dispute to the claimant (or </w:t>
      </w:r>
      <w:r w:rsidR="00717B15">
        <w:t>their</w:t>
      </w:r>
      <w:r w:rsidR="00016DD7" w:rsidRPr="00C820F9">
        <w:t xml:space="preserve"> </w:t>
      </w:r>
      <w:r w:rsidR="00DF2373">
        <w:t xml:space="preserve">authorised </w:t>
      </w:r>
      <w:r w:rsidR="00016DD7" w:rsidRPr="00C820F9">
        <w:t>representative) or the point where FOS, the SCT</w:t>
      </w:r>
      <w:r w:rsidR="00DF2373">
        <w:t>, a similar scheme or tribunal,</w:t>
      </w:r>
      <w:r w:rsidR="00016DD7" w:rsidRPr="00C820F9">
        <w:t xml:space="preserve"> or a court of law has made a final determination/judgment that is binding on the insurer.</w:t>
      </w:r>
      <w:r w:rsidR="00494FFA">
        <w:t xml:space="preserve"> Where a dispute relates to </w:t>
      </w:r>
      <w:r w:rsidR="00F00F67">
        <w:t>the</w:t>
      </w:r>
      <w:r w:rsidR="00494FFA">
        <w:t xml:space="preserve"> claims process, it refers to the point where a response is communicated to the claimant or their authorised representative.</w:t>
      </w:r>
    </w:p>
    <w:p w14:paraId="73F477ED" w14:textId="7EBED7A0" w:rsidR="00016DD7" w:rsidRPr="00C820F9" w:rsidRDefault="00F15106" w:rsidP="00C820F9">
      <w:pPr>
        <w:pStyle w:val="BodyText1"/>
      </w:pPr>
      <w:r w:rsidRPr="00C820F9">
        <w:t>‘</w:t>
      </w:r>
      <w:r w:rsidR="00016DD7" w:rsidRPr="00C820F9">
        <w:t>Dispute Resolved Date</w:t>
      </w:r>
      <w:r w:rsidRPr="00C820F9">
        <w:t>’</w:t>
      </w:r>
      <w:r w:rsidR="00016DD7" w:rsidRPr="00C820F9">
        <w:t xml:space="preserve"> is:</w:t>
      </w:r>
    </w:p>
    <w:p w14:paraId="7BB0063C" w14:textId="2CD3B31C" w:rsidR="00016DD7" w:rsidRPr="00C820F9" w:rsidRDefault="00016DD7" w:rsidP="00C820F9">
      <w:pPr>
        <w:pStyle w:val="BodyText2"/>
        <w:jc w:val="both"/>
      </w:pPr>
      <w:r w:rsidRPr="00C820F9">
        <w:t xml:space="preserve">For IDR, the date the insurer’s final decision </w:t>
      </w:r>
      <w:r w:rsidR="00494FFA">
        <w:t xml:space="preserve">or response </w:t>
      </w:r>
      <w:r w:rsidRPr="00C820F9">
        <w:t xml:space="preserve">on the dispute was communicated to the claimant (or </w:t>
      </w:r>
      <w:r w:rsidR="00717B15">
        <w:t>their</w:t>
      </w:r>
      <w:r w:rsidRPr="00C820F9">
        <w:t xml:space="preserve"> representative); and</w:t>
      </w:r>
    </w:p>
    <w:p w14:paraId="420A6631" w14:textId="03DF28B3" w:rsidR="00016DD7" w:rsidRPr="00C820F9" w:rsidRDefault="00016DD7" w:rsidP="00C820F9">
      <w:pPr>
        <w:pStyle w:val="BodyText2"/>
        <w:jc w:val="both"/>
      </w:pPr>
      <w:r w:rsidRPr="00C820F9">
        <w:t>For EDR/Litigated disputes, the date the FOS, the SCT</w:t>
      </w:r>
      <w:r w:rsidR="00DF2373">
        <w:t>, a similar scheme or tribunal,</w:t>
      </w:r>
      <w:r w:rsidRPr="00C820F9">
        <w:t xml:space="preserve"> or a court of law makes a final determination/judgment that is binding on the insurer.</w:t>
      </w:r>
    </w:p>
    <w:p w14:paraId="3E827DE0" w14:textId="452B5287" w:rsidR="00016DD7" w:rsidRPr="00F15106" w:rsidRDefault="00016DD7" w:rsidP="00C820F9">
      <w:pPr>
        <w:pStyle w:val="ListParagraph"/>
        <w:ind w:left="567"/>
        <w:contextualSpacing w:val="0"/>
        <w:jc w:val="both"/>
        <w:rPr>
          <w:rFonts w:asciiTheme="minorHAnsi" w:hAnsiTheme="minorHAnsi" w:cstheme="minorHAnsi"/>
        </w:rPr>
      </w:pPr>
      <w:r w:rsidRPr="00F15106">
        <w:rPr>
          <w:rFonts w:asciiTheme="minorHAnsi" w:hAnsiTheme="minorHAnsi" w:cstheme="minorHAnsi"/>
        </w:rPr>
        <w:t>Where relevant, this is not dependent on payment to the claimant having been made. Communication by email, text message, facsimile or telephone is deemed to have occurred on the date it was sent. Communication by the postal service is deemed to have occurred three business days after it was sent.</w:t>
      </w:r>
    </w:p>
    <w:p w14:paraId="2F23CB39" w14:textId="08516E28" w:rsidR="00016DD7" w:rsidRPr="00C820F9" w:rsidRDefault="00F15106" w:rsidP="00C820F9">
      <w:pPr>
        <w:pStyle w:val="BodyText1"/>
      </w:pPr>
      <w:r w:rsidRPr="00C820F9">
        <w:t>‘</w:t>
      </w:r>
      <w:r w:rsidR="00016DD7" w:rsidRPr="00C820F9">
        <w:t>Undetermined Dispute</w:t>
      </w:r>
      <w:r w:rsidRPr="00C820F9">
        <w:t>’</w:t>
      </w:r>
      <w:r w:rsidR="00016DD7" w:rsidRPr="00C820F9">
        <w:t xml:space="preserve"> refers to a dispute that has been lodged, but has not been resolved or withdrawn at the end of the </w:t>
      </w:r>
      <w:r w:rsidR="00583949">
        <w:t>R</w:t>
      </w:r>
      <w:r w:rsidR="00016DD7" w:rsidRPr="00C820F9">
        <w:t xml:space="preserve">eporting </w:t>
      </w:r>
      <w:r w:rsidR="00583949">
        <w:t>P</w:t>
      </w:r>
      <w:r w:rsidR="00016DD7" w:rsidRPr="00C820F9">
        <w:t>eriod.</w:t>
      </w:r>
    </w:p>
    <w:p w14:paraId="03AA242F" w14:textId="2D2D8F28" w:rsidR="00016DD7" w:rsidRPr="00016DD7" w:rsidRDefault="00016DD7" w:rsidP="009E5BB4">
      <w:pPr>
        <w:pStyle w:val="BodyText1"/>
      </w:pPr>
      <w:r w:rsidRPr="00016DD7">
        <w:lastRenderedPageBreak/>
        <w:t>In respect of Dispute</w:t>
      </w:r>
      <w:r w:rsidR="005113CC">
        <w:t>s</w:t>
      </w:r>
      <w:r w:rsidRPr="00016DD7">
        <w:t xml:space="preserve"> Data, </w:t>
      </w:r>
      <w:r w:rsidRPr="00016DD7" w:rsidDel="00560CC1">
        <w:t xml:space="preserve">the </w:t>
      </w:r>
      <w:r w:rsidR="0064362A">
        <w:t xml:space="preserve">detail set out in </w:t>
      </w:r>
      <w:r w:rsidR="00457B3B">
        <w:t>paragraph</w:t>
      </w:r>
      <w:r w:rsidR="00560CC1">
        <w:t>s 8</w:t>
      </w:r>
      <w:r w:rsidR="009E096D">
        <w:t>8</w:t>
      </w:r>
      <w:r w:rsidR="00560CC1">
        <w:t xml:space="preserve"> to</w:t>
      </w:r>
      <w:r w:rsidRPr="00016DD7">
        <w:t xml:space="preserve"> </w:t>
      </w:r>
      <w:r w:rsidR="00B03CE9">
        <w:t>97</w:t>
      </w:r>
      <w:r w:rsidR="00560CC1">
        <w:t xml:space="preserve"> </w:t>
      </w:r>
      <w:r w:rsidRPr="00016DD7">
        <w:t>should be provided</w:t>
      </w:r>
      <w:r w:rsidR="0064362A">
        <w:t>.</w:t>
      </w:r>
    </w:p>
    <w:p w14:paraId="35F1BC52" w14:textId="02C91063" w:rsidR="00016DD7" w:rsidRPr="00C820F9" w:rsidRDefault="00016DD7" w:rsidP="00C820F9">
      <w:pPr>
        <w:pStyle w:val="BodyText1"/>
      </w:pPr>
      <w:r w:rsidRPr="00C820F9">
        <w:t xml:space="preserve">The total number of </w:t>
      </w:r>
      <w:r w:rsidR="009472CE">
        <w:t>d</w:t>
      </w:r>
      <w:r w:rsidRPr="00C820F9">
        <w:t xml:space="preserve">isputes that are undetermined at the start of the Reporting Period (labelled A on the various disputes sheets in the </w:t>
      </w:r>
      <w:r w:rsidR="00C17199">
        <w:t>reporting form</w:t>
      </w:r>
      <w:r w:rsidRPr="00C820F9">
        <w:t>).</w:t>
      </w:r>
    </w:p>
    <w:p w14:paraId="45985F15" w14:textId="38ACD43B" w:rsidR="00016DD7" w:rsidRPr="00C820F9" w:rsidRDefault="00016DD7" w:rsidP="00C820F9">
      <w:pPr>
        <w:pStyle w:val="BodyText1"/>
      </w:pPr>
      <w:r w:rsidRPr="00C820F9">
        <w:t>The total number of claims</w:t>
      </w:r>
      <w:r w:rsidR="00714A1E" w:rsidRPr="00C820F9">
        <w:t>-</w:t>
      </w:r>
      <w:r w:rsidRPr="00C820F9">
        <w:t xml:space="preserve">related </w:t>
      </w:r>
      <w:r w:rsidR="009472CE">
        <w:t>d</w:t>
      </w:r>
      <w:r w:rsidRPr="00C820F9">
        <w:t>isputes that have been lodged during the Reporting Period (labelled B). Lodged disputes should be split between the following Dispute Reasons:</w:t>
      </w:r>
    </w:p>
    <w:p w14:paraId="5334EB46" w14:textId="5A893864" w:rsidR="00016DD7" w:rsidRPr="00C820F9" w:rsidRDefault="001716B8" w:rsidP="00C820F9">
      <w:pPr>
        <w:pStyle w:val="BodyText2"/>
        <w:jc w:val="both"/>
      </w:pPr>
      <w:r w:rsidRPr="00C820F9">
        <w:t>‘</w:t>
      </w:r>
      <w:r w:rsidR="00016DD7" w:rsidRPr="00C820F9">
        <w:t>Claim outcome: decline decision</w:t>
      </w:r>
      <w:r w:rsidRPr="00C820F9">
        <w:t>’</w:t>
      </w:r>
      <w:r w:rsidR="00016DD7" w:rsidRPr="00C820F9">
        <w:t xml:space="preserve"> (labelled B.1). These are instances where the claim has been declined and the decline decision is challenged or disputed.</w:t>
      </w:r>
    </w:p>
    <w:p w14:paraId="265BDD20" w14:textId="5D454458" w:rsidR="00016DD7" w:rsidRPr="00C820F9" w:rsidRDefault="001716B8" w:rsidP="00C820F9">
      <w:pPr>
        <w:pStyle w:val="BodyText2"/>
        <w:jc w:val="both"/>
      </w:pPr>
      <w:r w:rsidRPr="00C820F9">
        <w:t>‘</w:t>
      </w:r>
      <w:r w:rsidR="00016DD7" w:rsidRPr="00C820F9">
        <w:t>Claim outcome: benefit adjustment (claim amount)</w:t>
      </w:r>
      <w:r w:rsidRPr="00C820F9">
        <w:t>’</w:t>
      </w:r>
      <w:r w:rsidR="00016DD7" w:rsidRPr="00C820F9">
        <w:t xml:space="preserve"> (labelled B.2). These are instances where a claim has been admitted but the benefit amount is challenged or disputed.</w:t>
      </w:r>
    </w:p>
    <w:p w14:paraId="5E1C0D45" w14:textId="78C49933" w:rsidR="00016DD7" w:rsidRPr="00C820F9" w:rsidRDefault="001716B8" w:rsidP="00C820F9">
      <w:pPr>
        <w:pStyle w:val="BodyText2"/>
        <w:jc w:val="both"/>
      </w:pPr>
      <w:r w:rsidRPr="00C820F9">
        <w:t>‘</w:t>
      </w:r>
      <w:r w:rsidR="00016DD7" w:rsidRPr="00C820F9">
        <w:t>Claim process</w:t>
      </w:r>
      <w:r w:rsidRPr="00C820F9">
        <w:t>’</w:t>
      </w:r>
      <w:r w:rsidR="00016DD7" w:rsidRPr="00C820F9">
        <w:t xml:space="preserve"> (labelled B.3). These are disputes that are not related to the claim outcome, but to any aspect related to the claim process</w:t>
      </w:r>
      <w:r w:rsidR="00C87549">
        <w:t>:</w:t>
      </w:r>
      <w:r w:rsidR="00016DD7" w:rsidRPr="00C820F9">
        <w:t xml:space="preserve"> delays, requirements etc.</w:t>
      </w:r>
    </w:p>
    <w:p w14:paraId="660C3AFE" w14:textId="4F044218" w:rsidR="00016DD7" w:rsidRPr="00C820F9" w:rsidRDefault="001716B8" w:rsidP="00C820F9">
      <w:pPr>
        <w:pStyle w:val="BodyText2"/>
        <w:jc w:val="both"/>
      </w:pPr>
      <w:r w:rsidRPr="00C820F9">
        <w:t>‘</w:t>
      </w:r>
      <w:r w:rsidR="00016DD7" w:rsidRPr="00C820F9">
        <w:t>Other disputes lodged</w:t>
      </w:r>
      <w:r w:rsidRPr="00C820F9">
        <w:t>’</w:t>
      </w:r>
      <w:r w:rsidR="00016DD7" w:rsidRPr="00C820F9">
        <w:t xml:space="preserve"> (labelled B.4). Any claims</w:t>
      </w:r>
      <w:r w:rsidR="00714A1E" w:rsidRPr="00C820F9">
        <w:t>-</w:t>
      </w:r>
      <w:r w:rsidR="00016DD7" w:rsidRPr="00C820F9">
        <w:t>related dispute not covered by one of the preceding categories.</w:t>
      </w:r>
    </w:p>
    <w:p w14:paraId="7E401DE7" w14:textId="294F44F0" w:rsidR="00016DD7" w:rsidRPr="00F15106" w:rsidRDefault="00922011" w:rsidP="00C820F9">
      <w:pPr>
        <w:pStyle w:val="ListParagraph"/>
        <w:ind w:left="567"/>
        <w:contextualSpacing w:val="0"/>
        <w:jc w:val="both"/>
        <w:rPr>
          <w:rFonts w:asciiTheme="minorHAnsi" w:hAnsiTheme="minorHAnsi" w:cstheme="minorHAnsi"/>
        </w:rPr>
      </w:pPr>
      <w:r>
        <w:rPr>
          <w:rFonts w:asciiTheme="minorHAnsi" w:hAnsiTheme="minorHAnsi" w:cstheme="minorHAnsi"/>
        </w:rPr>
        <w:t>Each</w:t>
      </w:r>
      <w:r w:rsidRPr="00F15106">
        <w:rPr>
          <w:rFonts w:asciiTheme="minorHAnsi" w:hAnsiTheme="minorHAnsi" w:cstheme="minorHAnsi"/>
        </w:rPr>
        <w:t xml:space="preserve"> </w:t>
      </w:r>
      <w:r w:rsidR="00016DD7" w:rsidRPr="00F15106">
        <w:rPr>
          <w:rFonts w:asciiTheme="minorHAnsi" w:hAnsiTheme="minorHAnsi" w:cstheme="minorHAnsi"/>
        </w:rPr>
        <w:t>dispute should only have one dispute reason. Where a dispute has multiple dispute reasons, only the dominant reason should be recorded.</w:t>
      </w:r>
    </w:p>
    <w:p w14:paraId="23E27569" w14:textId="6B0991AB" w:rsidR="00016DD7" w:rsidRPr="00C820F9" w:rsidRDefault="00016DD7" w:rsidP="00C820F9">
      <w:pPr>
        <w:pStyle w:val="BodyText1"/>
      </w:pPr>
      <w:r w:rsidRPr="00C820F9">
        <w:t xml:space="preserve">The total number of disputes that have been withdrawn during the Reporting Period (labelled C). Disputes withdrawn should be split between the following </w:t>
      </w:r>
      <w:r w:rsidR="00B9206D">
        <w:t>w</w:t>
      </w:r>
      <w:r w:rsidRPr="00C820F9">
        <w:t>ithdraw</w:t>
      </w:r>
      <w:r w:rsidR="00922011">
        <w:t>al</w:t>
      </w:r>
      <w:r w:rsidRPr="00C820F9">
        <w:t xml:space="preserve"> </w:t>
      </w:r>
      <w:r w:rsidR="00B9206D">
        <w:t>r</w:t>
      </w:r>
      <w:r w:rsidRPr="00C820F9">
        <w:t>easons:</w:t>
      </w:r>
    </w:p>
    <w:p w14:paraId="56C5828D" w14:textId="35F04A13" w:rsidR="00016DD7" w:rsidRPr="00C820F9" w:rsidRDefault="001716B8" w:rsidP="00C820F9">
      <w:pPr>
        <w:pStyle w:val="BodyText2"/>
        <w:jc w:val="both"/>
      </w:pPr>
      <w:r w:rsidRPr="00C820F9">
        <w:t>‘</w:t>
      </w:r>
      <w:r w:rsidR="00C10BB1" w:rsidRPr="00C820F9">
        <w:t xml:space="preserve">Withdrawn by the </w:t>
      </w:r>
      <w:r w:rsidR="00A95E30">
        <w:t>claimant’</w:t>
      </w:r>
      <w:r w:rsidR="00A95E30" w:rsidRPr="00C820F9">
        <w:t xml:space="preserve"> </w:t>
      </w:r>
      <w:r w:rsidR="00016DD7" w:rsidRPr="00C820F9">
        <w:t>(labelled C.1).</w:t>
      </w:r>
    </w:p>
    <w:p w14:paraId="7376E44F" w14:textId="62DDC99F" w:rsidR="00016DD7" w:rsidRPr="00C820F9" w:rsidRDefault="001716B8" w:rsidP="00C820F9">
      <w:pPr>
        <w:pStyle w:val="BodyText2"/>
        <w:jc w:val="both"/>
      </w:pPr>
      <w:r w:rsidRPr="00C820F9">
        <w:t>‘</w:t>
      </w:r>
      <w:r w:rsidR="00C10BB1" w:rsidRPr="00C820F9">
        <w:t>Withdrawn by the insurer</w:t>
      </w:r>
      <w:r w:rsidRPr="00C820F9">
        <w:t>’</w:t>
      </w:r>
      <w:r w:rsidR="00016DD7" w:rsidRPr="00C820F9">
        <w:t xml:space="preserve"> (labelled C.2).</w:t>
      </w:r>
    </w:p>
    <w:p w14:paraId="293F645D" w14:textId="77CA591D" w:rsidR="00016DD7" w:rsidRPr="00C820F9" w:rsidRDefault="001716B8" w:rsidP="00C820F9">
      <w:pPr>
        <w:pStyle w:val="BodyText2"/>
        <w:jc w:val="both"/>
      </w:pPr>
      <w:r w:rsidRPr="00C820F9">
        <w:t>‘</w:t>
      </w:r>
      <w:r w:rsidR="00C10BB1" w:rsidRPr="00C820F9">
        <w:t xml:space="preserve">Withdrawn by EDR, </w:t>
      </w:r>
      <w:r w:rsidR="00956A83">
        <w:t>c</w:t>
      </w:r>
      <w:r w:rsidR="00C10BB1" w:rsidRPr="00C820F9">
        <w:t xml:space="preserve">ourt or </w:t>
      </w:r>
      <w:r w:rsidR="00956A83">
        <w:t>t</w:t>
      </w:r>
      <w:r w:rsidR="00C10BB1" w:rsidRPr="00C820F9">
        <w:t>ribunal</w:t>
      </w:r>
      <w:r w:rsidRPr="00C820F9">
        <w:t>’</w:t>
      </w:r>
      <w:r w:rsidR="00C10BB1" w:rsidRPr="00C820F9" w:rsidDel="00C10BB1">
        <w:t xml:space="preserve"> </w:t>
      </w:r>
      <w:r w:rsidR="00016DD7" w:rsidRPr="00C820F9">
        <w:t>(labelled C.3).</w:t>
      </w:r>
    </w:p>
    <w:p w14:paraId="5DFA4638" w14:textId="293634C9" w:rsidR="00C10BB1" w:rsidRPr="00C820F9" w:rsidRDefault="001716B8" w:rsidP="00C820F9">
      <w:pPr>
        <w:pStyle w:val="BodyText2"/>
        <w:jc w:val="both"/>
      </w:pPr>
      <w:r w:rsidRPr="00C820F9">
        <w:t>‘</w:t>
      </w:r>
      <w:r w:rsidR="00C10BB1" w:rsidRPr="00C820F9">
        <w:t>Other</w:t>
      </w:r>
      <w:r w:rsidR="00A95E30">
        <w:t xml:space="preserve"> reasons for withdrawal</w:t>
      </w:r>
      <w:r w:rsidRPr="00C820F9">
        <w:t>’</w:t>
      </w:r>
      <w:r w:rsidR="00C10BB1" w:rsidRPr="00C820F9">
        <w:t xml:space="preserve"> (labelled C.4)</w:t>
      </w:r>
      <w:r w:rsidR="00122EC2">
        <w:t>.</w:t>
      </w:r>
    </w:p>
    <w:p w14:paraId="352AA485" w14:textId="214B48F1" w:rsidR="00016DD7" w:rsidRPr="00C820F9" w:rsidRDefault="00016DD7" w:rsidP="00C820F9">
      <w:pPr>
        <w:pStyle w:val="BodyText1"/>
      </w:pPr>
      <w:r w:rsidRPr="00C820F9">
        <w:t>The total number of disputes that have been resolved during the Reporting Period (labelled</w:t>
      </w:r>
      <w:r w:rsidR="00C820F9">
        <w:t xml:space="preserve"> </w:t>
      </w:r>
      <w:r w:rsidRPr="00C820F9">
        <w:t>E). Resolved disputes should be split between the following Dispute Outcomes:</w:t>
      </w:r>
    </w:p>
    <w:p w14:paraId="671814C6" w14:textId="661B068D" w:rsidR="00016DD7" w:rsidRPr="00C820F9" w:rsidRDefault="001716B8" w:rsidP="00C820F9">
      <w:pPr>
        <w:pStyle w:val="BodyText2"/>
        <w:jc w:val="both"/>
      </w:pPr>
      <w:r w:rsidRPr="00C820F9">
        <w:t>‘</w:t>
      </w:r>
      <w:r w:rsidR="00016DD7" w:rsidRPr="00C820F9">
        <w:t>Original claims outcome maintained</w:t>
      </w:r>
      <w:r w:rsidRPr="00C820F9">
        <w:t>’</w:t>
      </w:r>
      <w:r w:rsidR="00016DD7" w:rsidRPr="00C820F9">
        <w:t xml:space="preserve"> (labelled E.1). These are instances where the dispute did not result in any change to the original claim declinature decision, including any benefit that may have been paid.</w:t>
      </w:r>
    </w:p>
    <w:p w14:paraId="7050C1DA" w14:textId="056782CA" w:rsidR="00016DD7" w:rsidRPr="00C820F9" w:rsidRDefault="001716B8" w:rsidP="00C820F9">
      <w:pPr>
        <w:pStyle w:val="BodyText2"/>
        <w:jc w:val="both"/>
      </w:pPr>
      <w:r w:rsidRPr="00C820F9">
        <w:t>‘</w:t>
      </w:r>
      <w:r w:rsidR="00016DD7" w:rsidRPr="00C820F9">
        <w:t xml:space="preserve">Original claims outcome reversed </w:t>
      </w:r>
      <w:r w:rsidR="00122EC2">
        <w:t>(</w:t>
      </w:r>
      <w:r w:rsidR="00016DD7" w:rsidRPr="00C820F9">
        <w:t>or amended</w:t>
      </w:r>
      <w:r w:rsidR="00122EC2">
        <w:t>)</w:t>
      </w:r>
      <w:r w:rsidRPr="00C820F9">
        <w:t>’</w:t>
      </w:r>
      <w:r w:rsidR="00016DD7" w:rsidRPr="00C820F9">
        <w:t xml:space="preserve"> (labelled E.2). These are instances where the original claim declinature decision is reversed to become a ‘claim admitted’ decision, as well as instances in which the insurer has agreed to pay an additional amount equivalent to the amount </w:t>
      </w:r>
      <w:r w:rsidR="00016DD7" w:rsidRPr="00C820F9">
        <w:lastRenderedPageBreak/>
        <w:t xml:space="preserve">sought by the claimant. The Dispute Outcomes reported in this category should be split into the sub-categories defined in </w:t>
      </w:r>
      <w:r w:rsidR="00CC12B2">
        <w:t xml:space="preserve">paragraph </w:t>
      </w:r>
      <w:r w:rsidR="00D24476">
        <w:t>92</w:t>
      </w:r>
      <w:r w:rsidR="00016DD7" w:rsidRPr="00C820F9">
        <w:t>.</w:t>
      </w:r>
    </w:p>
    <w:p w14:paraId="0F66FDE4" w14:textId="6B5252D1" w:rsidR="00016DD7" w:rsidRPr="00C820F9" w:rsidRDefault="001716B8" w:rsidP="00C820F9">
      <w:pPr>
        <w:pStyle w:val="BodyText2"/>
        <w:jc w:val="both"/>
      </w:pPr>
      <w:r w:rsidRPr="00C820F9">
        <w:t>‘</w:t>
      </w:r>
      <w:r w:rsidR="00016DD7" w:rsidRPr="00C820F9">
        <w:t>Ex-gratia payment, premium refund, partial payment, settlement or non-cash benefit</w:t>
      </w:r>
      <w:r w:rsidRPr="00C820F9">
        <w:t>’</w:t>
      </w:r>
      <w:r w:rsidR="00016DD7" w:rsidRPr="00C820F9">
        <w:t xml:space="preserve"> (labelled E.3). These are instances where the original declinature decision is not reversed (as defined in </w:t>
      </w:r>
      <w:r w:rsidR="00CC12B2">
        <w:t xml:space="preserve">paragraph </w:t>
      </w:r>
      <w:r w:rsidR="00D24476">
        <w:t>91</w:t>
      </w:r>
      <w:r w:rsidR="00122EC2">
        <w:t>(</w:t>
      </w:r>
      <w:r w:rsidR="00016DD7" w:rsidRPr="00C820F9">
        <w:t>b</w:t>
      </w:r>
      <w:r w:rsidR="00122EC2">
        <w:t>)</w:t>
      </w:r>
      <w:r w:rsidR="00016DD7" w:rsidRPr="00C820F9">
        <w:t>), but an amount of compensation is paid (including any amount that is less than the amount sought by the claimant). This can take the form of an ex-gratia payment, a partial benefit payment, a commercial settlement, a premium refund, or a non-cash benefit.</w:t>
      </w:r>
    </w:p>
    <w:p w14:paraId="543A2730" w14:textId="6F1459CD" w:rsidR="00016DD7" w:rsidRPr="00C820F9" w:rsidRDefault="001716B8" w:rsidP="00C820F9">
      <w:pPr>
        <w:pStyle w:val="BodyText2"/>
        <w:jc w:val="both"/>
      </w:pPr>
      <w:r w:rsidRPr="00C820F9">
        <w:t>‘</w:t>
      </w:r>
      <w:r w:rsidR="00016DD7" w:rsidRPr="00C820F9">
        <w:t>Outside jurisdiction (EDR only)</w:t>
      </w:r>
      <w:r w:rsidRPr="00C820F9">
        <w:t>’</w:t>
      </w:r>
      <w:r w:rsidR="00016DD7" w:rsidRPr="00C820F9">
        <w:t xml:space="preserve"> (labelled E.4). This category applies only to EDR disputes and refer</w:t>
      </w:r>
      <w:r w:rsidR="0000515B">
        <w:t>s</w:t>
      </w:r>
      <w:r w:rsidR="00016DD7" w:rsidRPr="00C820F9">
        <w:t xml:space="preserve"> to instances where the relevant dispute does not fall within the relevant dispute resolution scheme or tribunal’s jurisdiction in accordance with the scheme or tribunal’s rules.</w:t>
      </w:r>
    </w:p>
    <w:p w14:paraId="155B091F" w14:textId="055173C6" w:rsidR="00016DD7" w:rsidRPr="00C820F9" w:rsidRDefault="001716B8" w:rsidP="00C820F9">
      <w:pPr>
        <w:pStyle w:val="BodyText2"/>
        <w:jc w:val="both"/>
      </w:pPr>
      <w:r w:rsidRPr="00C820F9">
        <w:t>‘</w:t>
      </w:r>
      <w:r w:rsidR="00016DD7" w:rsidRPr="00C820F9">
        <w:t xml:space="preserve">Other </w:t>
      </w:r>
      <w:r w:rsidR="0047072E">
        <w:t>d</w:t>
      </w:r>
      <w:r w:rsidR="00016DD7" w:rsidRPr="00C820F9">
        <w:t xml:space="preserve">ispute </w:t>
      </w:r>
      <w:r w:rsidR="0047072E">
        <w:t>o</w:t>
      </w:r>
      <w:r w:rsidR="00016DD7" w:rsidRPr="00C820F9">
        <w:t>utcomes</w:t>
      </w:r>
      <w:r w:rsidRPr="00C820F9">
        <w:t>’</w:t>
      </w:r>
      <w:r w:rsidR="00016DD7" w:rsidRPr="00C820F9">
        <w:t xml:space="preserve"> (labelled E.5):</w:t>
      </w:r>
    </w:p>
    <w:p w14:paraId="36E9D336" w14:textId="32809E41" w:rsidR="00016DD7" w:rsidRPr="00C820F9" w:rsidRDefault="001716B8" w:rsidP="00C820F9">
      <w:pPr>
        <w:pStyle w:val="BodyText3"/>
        <w:jc w:val="both"/>
      </w:pPr>
      <w:r w:rsidRPr="00C820F9">
        <w:t>‘</w:t>
      </w:r>
      <w:r w:rsidR="00016DD7" w:rsidRPr="00C820F9">
        <w:t>Process related</w:t>
      </w:r>
      <w:r w:rsidRPr="00C820F9">
        <w:t>’</w:t>
      </w:r>
      <w:r w:rsidR="00016DD7" w:rsidRPr="00C820F9">
        <w:t xml:space="preserve"> (labelled E.5.1). This category applies to all disputes related to the claims process.</w:t>
      </w:r>
    </w:p>
    <w:p w14:paraId="34C74140" w14:textId="46236D91" w:rsidR="00016DD7" w:rsidRPr="00C820F9" w:rsidRDefault="001716B8" w:rsidP="00C820F9">
      <w:pPr>
        <w:pStyle w:val="BodyText3"/>
        <w:jc w:val="both"/>
      </w:pPr>
      <w:r w:rsidRPr="00C820F9">
        <w:t xml:space="preserve">‘Other </w:t>
      </w:r>
      <w:r w:rsidR="00016DD7" w:rsidRPr="00C820F9">
        <w:t>disputes</w:t>
      </w:r>
      <w:r w:rsidRPr="00C820F9">
        <w:t>’</w:t>
      </w:r>
      <w:r w:rsidR="00016DD7" w:rsidRPr="00C820F9">
        <w:t xml:space="preserve"> (labelled E.5.2). Any resolved disputes not covered by the preceding categories should be reported in this category.</w:t>
      </w:r>
    </w:p>
    <w:p w14:paraId="51F09414" w14:textId="77777777" w:rsidR="00016DD7" w:rsidRPr="00C820F9" w:rsidRDefault="00016DD7" w:rsidP="00C820F9">
      <w:pPr>
        <w:pStyle w:val="BodyText1"/>
      </w:pPr>
      <w:r w:rsidRPr="00C820F9">
        <w:t>Resolved disputes where the original claims outcome was reversed (or amended) should be split into the following sub-categories:</w:t>
      </w:r>
    </w:p>
    <w:p w14:paraId="2975E361" w14:textId="504013F6" w:rsidR="00016DD7" w:rsidRPr="00C820F9" w:rsidRDefault="001716B8" w:rsidP="00C820F9">
      <w:pPr>
        <w:pStyle w:val="BodyText2"/>
        <w:jc w:val="both"/>
      </w:pPr>
      <w:r w:rsidRPr="00C820F9">
        <w:t>‘</w:t>
      </w:r>
      <w:r w:rsidR="00016DD7" w:rsidRPr="00C820F9">
        <w:t xml:space="preserve">Original </w:t>
      </w:r>
      <w:r w:rsidR="00B65A00">
        <w:t>outcome</w:t>
      </w:r>
      <w:r w:rsidR="00B65A00" w:rsidRPr="00C820F9">
        <w:t xml:space="preserve"> </w:t>
      </w:r>
      <w:r w:rsidR="00016DD7" w:rsidRPr="00C820F9">
        <w:t>incorrect</w:t>
      </w:r>
      <w:r w:rsidRPr="00C820F9">
        <w:t>’</w:t>
      </w:r>
      <w:r w:rsidR="00016DD7" w:rsidRPr="00C820F9">
        <w:t xml:space="preserve"> (labelled E.2.1). These are instances where, after review of all relevant detail and information provided, the insurer, an external dispute resolution scheme, tribunal or court of law decides that the original decision was incorrect.</w:t>
      </w:r>
    </w:p>
    <w:p w14:paraId="7476E9FE" w14:textId="27BDB26D" w:rsidR="00016DD7" w:rsidRPr="00C820F9" w:rsidRDefault="001716B8" w:rsidP="00C820F9">
      <w:pPr>
        <w:pStyle w:val="BodyText2"/>
        <w:jc w:val="both"/>
      </w:pPr>
      <w:r w:rsidRPr="00C820F9">
        <w:t>‘</w:t>
      </w:r>
      <w:r w:rsidR="00016DD7" w:rsidRPr="00C820F9">
        <w:t>Additional information received</w:t>
      </w:r>
      <w:r w:rsidRPr="00C820F9">
        <w:t>’</w:t>
      </w:r>
      <w:r w:rsidR="00016DD7" w:rsidRPr="00C820F9">
        <w:t xml:space="preserve"> (labelled E.2.2). These are instances where the insurer, an external dispute resolution scheme, tribunal or court of law has received additional information and, based on the additional information, decided to reverse (or amend) the original claims decision.</w:t>
      </w:r>
    </w:p>
    <w:p w14:paraId="202680D5" w14:textId="3372BC4A" w:rsidR="00016DD7" w:rsidRPr="00C820F9" w:rsidRDefault="001716B8" w:rsidP="00C820F9">
      <w:pPr>
        <w:pStyle w:val="BodyText2"/>
        <w:jc w:val="both"/>
      </w:pPr>
      <w:r w:rsidRPr="00C820F9">
        <w:t>‘</w:t>
      </w:r>
      <w:r w:rsidR="00016DD7" w:rsidRPr="00C820F9">
        <w:t>Other reasons for reversal/amendment</w:t>
      </w:r>
      <w:r w:rsidRPr="00C820F9">
        <w:t>’</w:t>
      </w:r>
      <w:r w:rsidR="00016DD7" w:rsidRPr="00C820F9">
        <w:t xml:space="preserve"> (labelled E.2.3). Any instances not covered by the preceding categories should be reported here.</w:t>
      </w:r>
    </w:p>
    <w:p w14:paraId="47A805AA" w14:textId="77777777" w:rsidR="00016DD7" w:rsidRPr="00C820F9" w:rsidRDefault="00016DD7" w:rsidP="00C820F9">
      <w:pPr>
        <w:pStyle w:val="BodyText1"/>
      </w:pPr>
      <w:r w:rsidRPr="00C820F9">
        <w:t>Total number of disputes that are undetermined at the end of the Reporting Period (labelled F).</w:t>
      </w:r>
    </w:p>
    <w:p w14:paraId="34912407" w14:textId="173145E6" w:rsidR="00016DD7" w:rsidRPr="00C820F9" w:rsidRDefault="00016DD7" w:rsidP="00C820F9">
      <w:pPr>
        <w:pStyle w:val="BodyText1"/>
      </w:pPr>
      <w:r w:rsidRPr="00C820F9">
        <w:t xml:space="preserve">The </w:t>
      </w:r>
      <w:r w:rsidR="004C4EDB">
        <w:t>reporting form</w:t>
      </w:r>
      <w:r w:rsidR="004C4EDB" w:rsidRPr="00C820F9">
        <w:t xml:space="preserve"> </w:t>
      </w:r>
      <w:r w:rsidRPr="00C820F9">
        <w:t xml:space="preserve">will automatically calculate </w:t>
      </w:r>
      <w:r w:rsidR="00EB0FCD" w:rsidRPr="00C820F9">
        <w:t>‘</w:t>
      </w:r>
      <w:r w:rsidRPr="00C820F9">
        <w:t>Disputes Open for Assessment in period</w:t>
      </w:r>
      <w:r w:rsidR="00EB0FCD" w:rsidRPr="00C820F9">
        <w:t xml:space="preserve">’ </w:t>
      </w:r>
      <w:r w:rsidRPr="00C820F9">
        <w:t xml:space="preserve">as </w:t>
      </w:r>
      <w:r w:rsidR="00CC12B2">
        <w:t xml:space="preserve">paragraphs </w:t>
      </w:r>
      <w:r w:rsidR="00F655CB">
        <w:t>88</w:t>
      </w:r>
      <w:r w:rsidRPr="00C820F9">
        <w:t xml:space="preserve"> plus </w:t>
      </w:r>
      <w:r w:rsidR="00F655CB">
        <w:t>89</w:t>
      </w:r>
      <w:r w:rsidRPr="00C820F9">
        <w:t xml:space="preserve"> minus </w:t>
      </w:r>
      <w:r w:rsidR="00F655CB">
        <w:t>90</w:t>
      </w:r>
      <w:r w:rsidRPr="00C820F9">
        <w:t xml:space="preserve">, labelled as D in the </w:t>
      </w:r>
      <w:r w:rsidR="004C4EDB">
        <w:t>form</w:t>
      </w:r>
      <w:r w:rsidRPr="00C820F9">
        <w:t xml:space="preserve">. In addition, the </w:t>
      </w:r>
      <w:r w:rsidR="004C4EDB">
        <w:t>form</w:t>
      </w:r>
      <w:r w:rsidR="004C4EDB" w:rsidRPr="00C820F9">
        <w:t xml:space="preserve"> </w:t>
      </w:r>
      <w:r w:rsidRPr="00C820F9">
        <w:t>will perform a check to confirm reconciliation of the various items of entry. It is expected that D minus E minus F should equal zero.</w:t>
      </w:r>
    </w:p>
    <w:p w14:paraId="1D53094F" w14:textId="59E301F8" w:rsidR="00E41E63" w:rsidRPr="00C820F9" w:rsidRDefault="00016DD7" w:rsidP="00C820F9">
      <w:pPr>
        <w:pStyle w:val="BodyText1"/>
      </w:pPr>
      <w:r w:rsidRPr="00C820F9">
        <w:t xml:space="preserve">Internal, External and Litigated Disputes relating to the same </w:t>
      </w:r>
      <w:r w:rsidR="004259ED">
        <w:t>C</w:t>
      </w:r>
      <w:r w:rsidRPr="00C820F9">
        <w:t xml:space="preserve">laim </w:t>
      </w:r>
      <w:r w:rsidR="004259ED">
        <w:t>E</w:t>
      </w:r>
      <w:r w:rsidR="003279B8">
        <w:t xml:space="preserve">vent (‘duplicate disputes’) </w:t>
      </w:r>
      <w:r w:rsidRPr="00C820F9">
        <w:t>should be reported as they exist on the administration systems of the insurer. Where the same dispute exists in multiple Dispute Types (e.g. both as an Internal and External disp</w:t>
      </w:r>
      <w:r w:rsidR="00040590" w:rsidRPr="00C820F9">
        <w:t xml:space="preserve">ute), </w:t>
      </w:r>
      <w:r w:rsidR="002C24CA">
        <w:t xml:space="preserve">all </w:t>
      </w:r>
      <w:r w:rsidR="00040590" w:rsidRPr="00C820F9">
        <w:t>should be reported.</w:t>
      </w:r>
    </w:p>
    <w:p w14:paraId="3140D773" w14:textId="21E4755F" w:rsidR="00A84FE4" w:rsidRPr="00F15106" w:rsidRDefault="00600389" w:rsidP="00C820F9">
      <w:pPr>
        <w:pStyle w:val="ListParagraph"/>
        <w:ind w:left="567"/>
        <w:contextualSpacing w:val="0"/>
        <w:jc w:val="both"/>
        <w:rPr>
          <w:rFonts w:asciiTheme="minorHAnsi" w:hAnsiTheme="minorHAnsi" w:cstheme="minorHAnsi"/>
        </w:rPr>
      </w:pPr>
      <w:r w:rsidRPr="00C820F9">
        <w:rPr>
          <w:iCs/>
        </w:rPr>
        <w:lastRenderedPageBreak/>
        <w:t xml:space="preserve">To enable a more complete understanding of disputes, additional information on the interaction between different dispute types is requested in the </w:t>
      </w:r>
      <w:r w:rsidR="0069731F">
        <w:rPr>
          <w:rFonts w:asciiTheme="minorHAnsi" w:hAnsiTheme="minorHAnsi" w:cstheme="minorHAnsi"/>
        </w:rPr>
        <w:t>SUPPLEMENT_D</w:t>
      </w:r>
      <w:r w:rsidR="001B33D5">
        <w:rPr>
          <w:rFonts w:asciiTheme="minorHAnsi" w:hAnsiTheme="minorHAnsi" w:cstheme="minorHAnsi"/>
        </w:rPr>
        <w:t>isputes</w:t>
      </w:r>
      <w:r w:rsidRPr="00370872">
        <w:rPr>
          <w:rFonts w:asciiTheme="minorHAnsi" w:hAnsiTheme="minorHAnsi" w:cstheme="minorHAnsi"/>
        </w:rPr>
        <w:t xml:space="preserve"> sheet of </w:t>
      </w:r>
      <w:r w:rsidR="00C17199">
        <w:rPr>
          <w:rFonts w:asciiTheme="minorHAnsi" w:hAnsiTheme="minorHAnsi" w:cstheme="minorHAnsi"/>
        </w:rPr>
        <w:t>the reporting form</w:t>
      </w:r>
      <w:r w:rsidRPr="00C820F9">
        <w:rPr>
          <w:iCs/>
        </w:rPr>
        <w:t>.</w:t>
      </w:r>
      <w:r w:rsidR="00E41E63" w:rsidRPr="00C820F9">
        <w:rPr>
          <w:iCs/>
        </w:rPr>
        <w:t xml:space="preserve"> </w:t>
      </w:r>
      <w:r w:rsidR="003F687D">
        <w:rPr>
          <w:iCs/>
        </w:rPr>
        <w:t xml:space="preserve">In the relevant table, </w:t>
      </w:r>
      <w:r w:rsidR="00D51B03">
        <w:rPr>
          <w:iCs/>
        </w:rPr>
        <w:t>report the number of all disputes</w:t>
      </w:r>
      <w:r w:rsidR="00E41E63" w:rsidRPr="00E41E63">
        <w:rPr>
          <w:rFonts w:asciiTheme="minorHAnsi" w:hAnsiTheme="minorHAnsi" w:cstheme="minorHAnsi"/>
        </w:rPr>
        <w:t xml:space="preserve"> </w:t>
      </w:r>
      <w:r w:rsidR="00782DEF">
        <w:rPr>
          <w:rFonts w:asciiTheme="minorHAnsi" w:hAnsiTheme="minorHAnsi" w:cstheme="minorHAnsi"/>
        </w:rPr>
        <w:t xml:space="preserve">open for assessment </w:t>
      </w:r>
      <w:r w:rsidR="00782DEF" w:rsidRPr="00782DEF">
        <w:rPr>
          <w:rFonts w:asciiTheme="minorHAnsi" w:hAnsiTheme="minorHAnsi" w:cstheme="minorHAnsi"/>
        </w:rPr>
        <w:t>in the Reporting Period</w:t>
      </w:r>
      <w:r w:rsidR="006212BF">
        <w:rPr>
          <w:iCs/>
        </w:rPr>
        <w:t>, split between those with</w:t>
      </w:r>
      <w:r w:rsidR="00920FDC">
        <w:rPr>
          <w:iCs/>
        </w:rPr>
        <w:t>out</w:t>
      </w:r>
      <w:r w:rsidR="006212BF">
        <w:rPr>
          <w:iCs/>
        </w:rPr>
        <w:t xml:space="preserve"> duplicates </w:t>
      </w:r>
      <w:r w:rsidR="00782DEF">
        <w:rPr>
          <w:iCs/>
        </w:rPr>
        <w:t xml:space="preserve">(“None”) </w:t>
      </w:r>
      <w:r w:rsidR="006212BF">
        <w:rPr>
          <w:iCs/>
        </w:rPr>
        <w:t>and those duplicated across multiple Dispute Types</w:t>
      </w:r>
      <w:r w:rsidR="00C820F9">
        <w:rPr>
          <w:rFonts w:asciiTheme="minorHAnsi" w:hAnsiTheme="minorHAnsi" w:cstheme="minorHAnsi"/>
        </w:rPr>
        <w:t>.</w:t>
      </w:r>
    </w:p>
    <w:p w14:paraId="28CD9313" w14:textId="321612B6" w:rsidR="00016DD7" w:rsidRPr="00C820F9" w:rsidRDefault="00F15106" w:rsidP="00C820F9">
      <w:pPr>
        <w:pStyle w:val="BodyText1"/>
      </w:pPr>
      <w:r w:rsidRPr="00C820F9">
        <w:t>‘</w:t>
      </w:r>
      <w:r w:rsidR="00016DD7" w:rsidRPr="00C820F9">
        <w:t>Dispute Processing Durations</w:t>
      </w:r>
      <w:r w:rsidRPr="00C820F9">
        <w:t>’</w:t>
      </w:r>
      <w:r w:rsidR="00016DD7" w:rsidRPr="00C820F9">
        <w:t xml:space="preserve"> should be reported in respect of Disputes Resolved during the </w:t>
      </w:r>
      <w:r w:rsidR="00583949">
        <w:t>R</w:t>
      </w:r>
      <w:r w:rsidR="00016DD7" w:rsidRPr="00C820F9">
        <w:t xml:space="preserve">eporting </w:t>
      </w:r>
      <w:r w:rsidR="00583949">
        <w:t>P</w:t>
      </w:r>
      <w:r w:rsidR="00016DD7" w:rsidRPr="00C820F9">
        <w:t>eriod, measured as the period between the Dispute Lodged Date and the Dispute Resolved Date.</w:t>
      </w:r>
    </w:p>
    <w:p w14:paraId="3BDA3201" w14:textId="0D6C8636" w:rsidR="00016DD7" w:rsidRPr="00C820F9" w:rsidRDefault="001716B8" w:rsidP="00C820F9">
      <w:pPr>
        <w:pStyle w:val="BodyText1"/>
      </w:pPr>
      <w:r w:rsidRPr="00C820F9">
        <w:t>‘</w:t>
      </w:r>
      <w:r w:rsidR="00016DD7" w:rsidRPr="00C820F9">
        <w:t>Dispute Processing Durations</w:t>
      </w:r>
      <w:r w:rsidRPr="00C820F9">
        <w:t>’</w:t>
      </w:r>
      <w:r w:rsidR="00016DD7" w:rsidRPr="00C820F9">
        <w:t xml:space="preserve"> should be reported by allocating the number of disputes (by Policy Benefit count) into the following </w:t>
      </w:r>
      <w:r w:rsidR="00F15106" w:rsidRPr="00C820F9">
        <w:t>‘</w:t>
      </w:r>
      <w:r w:rsidR="00047508">
        <w:t xml:space="preserve">disputes </w:t>
      </w:r>
      <w:r w:rsidR="00016DD7" w:rsidRPr="00C820F9">
        <w:t>duration categories</w:t>
      </w:r>
      <w:r w:rsidR="00F15106" w:rsidRPr="00C820F9">
        <w:t>’</w:t>
      </w:r>
      <w:r w:rsidR="00016DD7" w:rsidRPr="00C820F9">
        <w:t>:</w:t>
      </w:r>
    </w:p>
    <w:p w14:paraId="3EC12D4E" w14:textId="77777777" w:rsidR="00016DD7" w:rsidRPr="00C820F9" w:rsidRDefault="00016DD7" w:rsidP="00C820F9">
      <w:pPr>
        <w:pStyle w:val="BodyText2"/>
        <w:jc w:val="both"/>
      </w:pPr>
      <w:r w:rsidRPr="00C820F9">
        <w:t>0 to 45 days</w:t>
      </w:r>
    </w:p>
    <w:p w14:paraId="13F3EC2B" w14:textId="77777777" w:rsidR="00016DD7" w:rsidRPr="00C820F9" w:rsidRDefault="00016DD7" w:rsidP="00C820F9">
      <w:pPr>
        <w:pStyle w:val="BodyText2"/>
        <w:jc w:val="both"/>
      </w:pPr>
      <w:r w:rsidRPr="00C820F9">
        <w:t>&gt;45 days to 90 days</w:t>
      </w:r>
    </w:p>
    <w:p w14:paraId="0FB7F781" w14:textId="77777777" w:rsidR="00016DD7" w:rsidRPr="00C820F9" w:rsidRDefault="00016DD7" w:rsidP="00C820F9">
      <w:pPr>
        <w:pStyle w:val="BodyText2"/>
        <w:jc w:val="both"/>
      </w:pPr>
      <w:r w:rsidRPr="00C820F9">
        <w:t>&gt;90 days to 6 months</w:t>
      </w:r>
    </w:p>
    <w:p w14:paraId="1F9EC716" w14:textId="77777777" w:rsidR="00016DD7" w:rsidRPr="00C820F9" w:rsidRDefault="00016DD7" w:rsidP="00C820F9">
      <w:pPr>
        <w:pStyle w:val="BodyText2"/>
        <w:jc w:val="both"/>
      </w:pPr>
      <w:r w:rsidRPr="00C820F9">
        <w:t>&gt;6 months to 12 months</w:t>
      </w:r>
    </w:p>
    <w:p w14:paraId="29486BD0" w14:textId="77777777" w:rsidR="00016DD7" w:rsidRPr="00C820F9" w:rsidRDefault="00016DD7" w:rsidP="00C820F9">
      <w:pPr>
        <w:pStyle w:val="BodyText2"/>
        <w:jc w:val="both"/>
      </w:pPr>
      <w:r w:rsidRPr="00C820F9">
        <w:t>&gt;12 months to 24 months</w:t>
      </w:r>
    </w:p>
    <w:p w14:paraId="5A5CD5B7" w14:textId="77777777" w:rsidR="00016DD7" w:rsidRPr="00C820F9" w:rsidRDefault="00016DD7" w:rsidP="00C820F9">
      <w:pPr>
        <w:pStyle w:val="BodyText2"/>
        <w:jc w:val="both"/>
      </w:pPr>
      <w:r w:rsidRPr="00C820F9">
        <w:t>&gt;24 months to 36 months</w:t>
      </w:r>
    </w:p>
    <w:p w14:paraId="5B53DA2C" w14:textId="426A4B1E" w:rsidR="00016DD7" w:rsidRPr="00C820F9" w:rsidRDefault="00016DD7" w:rsidP="00C820F9">
      <w:pPr>
        <w:pStyle w:val="BodyText2"/>
        <w:jc w:val="both"/>
      </w:pPr>
      <w:r w:rsidRPr="00C820F9">
        <w:t>&gt;36 months</w:t>
      </w:r>
    </w:p>
    <w:p w14:paraId="3AE5C1DF" w14:textId="5C8EE361" w:rsidR="00016DD7" w:rsidRPr="00C820F9" w:rsidRDefault="00194286" w:rsidP="00C820F9">
      <w:pPr>
        <w:pStyle w:val="BodyText1"/>
      </w:pPr>
      <w:r>
        <w:t>The detail set out in p</w:t>
      </w:r>
      <w:r w:rsidR="00457B3B">
        <w:t>aragraph</w:t>
      </w:r>
      <w:r w:rsidR="00016DD7" w:rsidRPr="00C820F9">
        <w:t xml:space="preserve">s </w:t>
      </w:r>
      <w:r w:rsidR="00F655CB">
        <w:t>88</w:t>
      </w:r>
      <w:r w:rsidR="00016DD7" w:rsidRPr="00C820F9">
        <w:t xml:space="preserve"> to </w:t>
      </w:r>
      <w:r w:rsidR="00F655CB">
        <w:t>97</w:t>
      </w:r>
      <w:r w:rsidR="00016DD7" w:rsidRPr="00C820F9">
        <w:t xml:space="preserve"> should also be provided </w:t>
      </w:r>
      <w:r w:rsidR="00DE3FF1">
        <w:t xml:space="preserve">for </w:t>
      </w:r>
      <w:r w:rsidR="00016DD7" w:rsidRPr="00C820F9">
        <w:t>the Claim Sum Insured associated with the dispute.</w:t>
      </w:r>
    </w:p>
    <w:p w14:paraId="33CDD2B3" w14:textId="7D9C5908" w:rsidR="00016DD7" w:rsidRPr="00C820F9" w:rsidRDefault="00194286" w:rsidP="00C820F9">
      <w:pPr>
        <w:pStyle w:val="BodyText1"/>
      </w:pPr>
      <w:r>
        <w:t>The detail set out in p</w:t>
      </w:r>
      <w:r w:rsidR="00457B3B">
        <w:t>aragraph</w:t>
      </w:r>
      <w:r w:rsidR="00016DD7" w:rsidRPr="00C820F9">
        <w:t xml:space="preserve">s </w:t>
      </w:r>
      <w:r w:rsidR="00F655CB">
        <w:t>88</w:t>
      </w:r>
      <w:r w:rsidR="00016DD7" w:rsidRPr="00C820F9">
        <w:t xml:space="preserve"> to </w:t>
      </w:r>
      <w:r w:rsidR="00922011">
        <w:t>95</w:t>
      </w:r>
      <w:r w:rsidR="00922011" w:rsidRPr="00C820F9">
        <w:t xml:space="preserve"> </w:t>
      </w:r>
      <w:r w:rsidR="00016DD7" w:rsidRPr="00C820F9">
        <w:t xml:space="preserve">should also be provided in respect of the actual payments made following the resolution of a dispute. Where the resolution of a dispute includes the payment of a benefit of any kind, be it the full contractual benefit or a partial payment of any kind, the amount of the payment (or equivalent value if the resolution resulted in a non-cash benefit) should be recorded under </w:t>
      </w:r>
      <w:r w:rsidR="00E869F5" w:rsidRPr="00C820F9">
        <w:t>‘</w:t>
      </w:r>
      <w:r w:rsidR="00016DD7" w:rsidRPr="00C820F9">
        <w:t>Dispute Payment Amounts (Resolved</w:t>
      </w:r>
      <w:r w:rsidR="00E869F5" w:rsidRPr="00C820F9">
        <w:t xml:space="preserve">)’ </w:t>
      </w:r>
      <w:r w:rsidR="00016DD7" w:rsidRPr="00C820F9">
        <w:t xml:space="preserve">on the dispute sheets in the </w:t>
      </w:r>
      <w:r w:rsidR="00C17199">
        <w:t>reporting form</w:t>
      </w:r>
      <w:r w:rsidR="00016DD7" w:rsidRPr="00C820F9">
        <w:t xml:space="preserve">. Entries should only be reported in respect of outcome categories where a payment is possible, namely categories with </w:t>
      </w:r>
      <w:r w:rsidR="004C4EDB">
        <w:t>reporting form</w:t>
      </w:r>
      <w:r w:rsidR="004C4EDB" w:rsidRPr="00C820F9">
        <w:t xml:space="preserve"> </w:t>
      </w:r>
      <w:r w:rsidR="00016DD7" w:rsidRPr="00C820F9">
        <w:t>labels E.2.1, E.2.2, E.2.3 and E.3.</w:t>
      </w:r>
    </w:p>
    <w:p w14:paraId="23CF6470" w14:textId="47D9C29A" w:rsidR="00600389" w:rsidRPr="00C820F9" w:rsidRDefault="00016DD7" w:rsidP="00C820F9">
      <w:pPr>
        <w:pStyle w:val="ListParagraph"/>
        <w:ind w:left="567"/>
        <w:contextualSpacing w:val="0"/>
        <w:jc w:val="both"/>
      </w:pPr>
      <w:r w:rsidRPr="00C820F9">
        <w:rPr>
          <w:iCs/>
        </w:rPr>
        <w:t xml:space="preserve">In respect of DII claims, the </w:t>
      </w:r>
      <w:r w:rsidR="00600389" w:rsidRPr="00C820F9">
        <w:rPr>
          <w:iCs/>
        </w:rPr>
        <w:t xml:space="preserve">main collection </w:t>
      </w:r>
      <w:r w:rsidRPr="00C820F9">
        <w:rPr>
          <w:iCs/>
        </w:rPr>
        <w:t>should only reflect benefits paid in the form of a monthly income</w:t>
      </w:r>
      <w:r w:rsidR="00600389" w:rsidRPr="00C820F9">
        <w:rPr>
          <w:iCs/>
        </w:rPr>
        <w:t xml:space="preserve"> </w:t>
      </w:r>
      <w:r w:rsidR="00600389" w:rsidRPr="00C820F9">
        <w:t>(where these occur).</w:t>
      </w:r>
      <w:r w:rsidRPr="00C820F9">
        <w:rPr>
          <w:iCs/>
        </w:rPr>
        <w:t xml:space="preserve"> Any payments related to the dispute that are not in the form of a monthly income benefit should be </w:t>
      </w:r>
      <w:r w:rsidR="00600389" w:rsidRPr="00C820F9">
        <w:t xml:space="preserve">reported in the relevant table in the </w:t>
      </w:r>
      <w:r w:rsidR="0069731F">
        <w:rPr>
          <w:iCs/>
        </w:rPr>
        <w:t>SUPPLEMENT_D</w:t>
      </w:r>
      <w:r w:rsidR="001B33D5">
        <w:rPr>
          <w:iCs/>
        </w:rPr>
        <w:t>isputes</w:t>
      </w:r>
      <w:r w:rsidR="00600389" w:rsidRPr="00C820F9">
        <w:rPr>
          <w:iCs/>
        </w:rPr>
        <w:t xml:space="preserve"> sheet of </w:t>
      </w:r>
      <w:r w:rsidR="00C17199">
        <w:rPr>
          <w:iCs/>
        </w:rPr>
        <w:t>the reporting form</w:t>
      </w:r>
      <w:r w:rsidR="00600389" w:rsidRPr="00C820F9">
        <w:t>.</w:t>
      </w:r>
    </w:p>
    <w:p w14:paraId="546298E1" w14:textId="6487A337" w:rsidR="00016DD7" w:rsidRPr="00016DD7" w:rsidRDefault="00016DD7" w:rsidP="00C820F9">
      <w:pPr>
        <w:pStyle w:val="ListParagraph"/>
        <w:ind w:left="567"/>
        <w:contextualSpacing w:val="0"/>
        <w:jc w:val="both"/>
        <w:rPr>
          <w:rFonts w:asciiTheme="minorHAnsi" w:hAnsiTheme="minorHAnsi" w:cstheme="minorHAnsi"/>
        </w:rPr>
      </w:pPr>
      <w:r w:rsidRPr="00C820F9">
        <w:rPr>
          <w:iCs/>
        </w:rPr>
        <w:t xml:space="preserve">To calculate the dispute payment amount, the Dispute Outcome </w:t>
      </w:r>
      <w:r w:rsidR="00194286">
        <w:rPr>
          <w:iCs/>
        </w:rPr>
        <w:t>‘</w:t>
      </w:r>
      <w:r w:rsidRPr="00C820F9">
        <w:rPr>
          <w:iCs/>
        </w:rPr>
        <w:t>Original claims outcome reversed or amended</w:t>
      </w:r>
      <w:r w:rsidR="00194286">
        <w:rPr>
          <w:iCs/>
        </w:rPr>
        <w:t>’</w:t>
      </w:r>
      <w:r w:rsidR="00194286" w:rsidRPr="00C820F9">
        <w:rPr>
          <w:iCs/>
        </w:rPr>
        <w:t xml:space="preserve"> </w:t>
      </w:r>
      <w:r w:rsidRPr="00C820F9">
        <w:rPr>
          <w:iCs/>
        </w:rPr>
        <w:t xml:space="preserve">includes any compensatory interest payments made under section 57 of the </w:t>
      </w:r>
      <w:r w:rsidRPr="00C820F9">
        <w:rPr>
          <w:i/>
          <w:iCs/>
        </w:rPr>
        <w:t>Insurance Contracts Act 1984</w:t>
      </w:r>
      <w:r w:rsidRPr="00C820F9">
        <w:rPr>
          <w:iCs/>
        </w:rPr>
        <w:t xml:space="preserve"> for unreasonably delayed claims.</w:t>
      </w:r>
    </w:p>
    <w:p w14:paraId="5820E557" w14:textId="73B1C662" w:rsidR="00016DD7" w:rsidRPr="00C820F9" w:rsidRDefault="00194286" w:rsidP="00C820F9">
      <w:pPr>
        <w:pStyle w:val="BodyText1"/>
      </w:pPr>
      <w:r>
        <w:lastRenderedPageBreak/>
        <w:t>The detail set out in p</w:t>
      </w:r>
      <w:r w:rsidR="00457B3B">
        <w:t>aragraph</w:t>
      </w:r>
      <w:r w:rsidR="00016DD7" w:rsidRPr="00C820F9">
        <w:t xml:space="preserve">s </w:t>
      </w:r>
      <w:r w:rsidR="00F655CB">
        <w:t>88</w:t>
      </w:r>
      <w:r w:rsidR="00016DD7" w:rsidRPr="00C820F9">
        <w:t xml:space="preserve"> to </w:t>
      </w:r>
      <w:r w:rsidR="00F655CB">
        <w:t>99</w:t>
      </w:r>
      <w:r w:rsidR="00016DD7" w:rsidRPr="00C820F9">
        <w:t xml:space="preserve"> should be provided for each combination of the following data dimensions:</w:t>
      </w:r>
    </w:p>
    <w:p w14:paraId="010B30D9" w14:textId="061484DB" w:rsidR="00016DD7" w:rsidRPr="00C820F9" w:rsidRDefault="00016DD7" w:rsidP="00C820F9">
      <w:pPr>
        <w:pStyle w:val="BodyText2"/>
        <w:jc w:val="both"/>
      </w:pPr>
      <w:r w:rsidRPr="00C820F9">
        <w:t>Insurance Type</w:t>
      </w:r>
      <w:r w:rsidR="00F8215C">
        <w:t>;</w:t>
      </w:r>
    </w:p>
    <w:p w14:paraId="12EC88F2" w14:textId="5C3984B9" w:rsidR="00016DD7" w:rsidRPr="00C820F9" w:rsidRDefault="00016DD7" w:rsidP="00C820F9">
      <w:pPr>
        <w:pStyle w:val="BodyText2"/>
        <w:jc w:val="both"/>
      </w:pPr>
      <w:r w:rsidRPr="00C820F9">
        <w:t>Advice Type</w:t>
      </w:r>
      <w:r w:rsidR="00F8215C">
        <w:t>;</w:t>
      </w:r>
    </w:p>
    <w:p w14:paraId="38B1F2C4" w14:textId="25A58BC5" w:rsidR="00016DD7" w:rsidRPr="00C820F9" w:rsidRDefault="00016DD7" w:rsidP="00C820F9">
      <w:pPr>
        <w:pStyle w:val="BodyText2"/>
        <w:jc w:val="both"/>
      </w:pPr>
      <w:r w:rsidRPr="00C820F9">
        <w:t>Cover/Product Types</w:t>
      </w:r>
      <w:r w:rsidR="00F8215C">
        <w:t>; and</w:t>
      </w:r>
    </w:p>
    <w:p w14:paraId="2FB93915" w14:textId="5AEFC0E2" w:rsidR="00016DD7" w:rsidRPr="00C820F9" w:rsidRDefault="00016DD7" w:rsidP="00C820F9">
      <w:pPr>
        <w:pStyle w:val="BodyText2"/>
        <w:jc w:val="both"/>
      </w:pPr>
      <w:r w:rsidRPr="00C820F9">
        <w:t>Dispute Type.</w:t>
      </w:r>
    </w:p>
    <w:p w14:paraId="74DF7804" w14:textId="1724108A" w:rsidR="002B1A74" w:rsidRDefault="002B1A74" w:rsidP="002B1A74">
      <w:pPr>
        <w:pStyle w:val="BodyText1"/>
      </w:pPr>
      <w:r w:rsidRPr="00A84FE4">
        <w:t xml:space="preserve">Ancillary Benefit </w:t>
      </w:r>
      <w:r>
        <w:t>that results in an enhancement to the underlying product or cover, as listed in paragraphs 16 to 18, should be included.</w:t>
      </w:r>
    </w:p>
    <w:p w14:paraId="52794248" w14:textId="75BCC4BB" w:rsidR="000C370D" w:rsidRPr="00C820F9" w:rsidRDefault="00683FA1" w:rsidP="00C820F9">
      <w:pPr>
        <w:pStyle w:val="BodyText1"/>
      </w:pPr>
      <w:r>
        <w:t xml:space="preserve">Additional CCI disputes </w:t>
      </w:r>
      <w:r w:rsidR="00F11CA5">
        <w:t xml:space="preserve">data </w:t>
      </w:r>
      <w:r>
        <w:t xml:space="preserve">detail should be recorded in the </w:t>
      </w:r>
      <w:r w:rsidRPr="00C820F9">
        <w:t xml:space="preserve">SUPPLEMENT_CCI sheet of the </w:t>
      </w:r>
      <w:r w:rsidR="00C17199">
        <w:t>reporting form</w:t>
      </w:r>
      <w:r w:rsidRPr="00C820F9">
        <w:t xml:space="preserve">. </w:t>
      </w:r>
      <w:r w:rsidR="00194286">
        <w:t>T</w:t>
      </w:r>
      <w:r w:rsidRPr="00C820F9">
        <w:t>he detail provided should be consistent with what has been reported in the main collection</w:t>
      </w:r>
      <w:r w:rsidR="000C370D" w:rsidRPr="00C820F9">
        <w:t>, but providing a further split of data between credit card and loans, as well as between lump sum and monthly benefits.</w:t>
      </w:r>
    </w:p>
    <w:p w14:paraId="3E88040B" w14:textId="5580B9E3" w:rsidR="00016DD7" w:rsidRPr="00C216E2" w:rsidRDefault="00457B3B" w:rsidP="00C216E2">
      <w:pPr>
        <w:pStyle w:val="BodyText1"/>
      </w:pPr>
      <w:r>
        <w:t>Paragraph</w:t>
      </w:r>
      <w:r w:rsidR="00016DD7" w:rsidRPr="008D35D7">
        <w:t xml:space="preserve">s </w:t>
      </w:r>
      <w:r w:rsidR="004D53A7">
        <w:t>88</w:t>
      </w:r>
      <w:r w:rsidR="00016DD7" w:rsidRPr="008D35D7">
        <w:t xml:space="preserve"> to </w:t>
      </w:r>
      <w:r w:rsidR="00F655CB">
        <w:t>102</w:t>
      </w:r>
      <w:r w:rsidR="0027419A" w:rsidRPr="00C216E2">
        <w:t xml:space="preserve"> </w:t>
      </w:r>
      <w:r w:rsidR="00016DD7" w:rsidRPr="00C216E2">
        <w:t xml:space="preserve">correspond with the following sheets in the </w:t>
      </w:r>
      <w:r w:rsidR="00C17199">
        <w:t>reporting form</w:t>
      </w:r>
      <w:r w:rsidR="00016DD7" w:rsidRPr="00C216E2">
        <w:t>:</w:t>
      </w:r>
    </w:p>
    <w:p w14:paraId="17E76BF4" w14:textId="3901E656" w:rsidR="00016DD7" w:rsidRPr="00016DD7" w:rsidRDefault="00016DD7" w:rsidP="00016DD7">
      <w:pPr>
        <w:pStyle w:val="ListParagraph"/>
        <w:keepNext/>
        <w:spacing w:after="0"/>
        <w:ind w:left="0"/>
        <w:jc w:val="both"/>
        <w:rPr>
          <w:rFonts w:asciiTheme="minorHAnsi" w:hAnsiTheme="minorHAnsi" w:cstheme="minorHAnsi"/>
          <w:b/>
        </w:rPr>
      </w:pPr>
      <w:r w:rsidRPr="00016DD7">
        <w:rPr>
          <w:rFonts w:asciiTheme="minorHAnsi" w:hAnsiTheme="minorHAnsi" w:cstheme="minorHAnsi"/>
          <w:b/>
        </w:rPr>
        <w:t>Dispute</w:t>
      </w:r>
      <w:r w:rsidR="005113CC">
        <w:rPr>
          <w:rFonts w:asciiTheme="minorHAnsi" w:hAnsiTheme="minorHAnsi" w:cstheme="minorHAnsi"/>
          <w:b/>
        </w:rPr>
        <w:t>s</w:t>
      </w:r>
      <w:r w:rsidRPr="00016DD7">
        <w:rPr>
          <w:rFonts w:asciiTheme="minorHAnsi" w:hAnsiTheme="minorHAnsi" w:cstheme="minorHAnsi"/>
          <w:b/>
        </w:rPr>
        <w:t xml:space="preserve"> Data</w:t>
      </w:r>
    </w:p>
    <w:tbl>
      <w:tblPr>
        <w:tblStyle w:val="TableGrid"/>
        <w:tblW w:w="8961" w:type="dxa"/>
        <w:tblInd w:w="-5" w:type="dxa"/>
        <w:tblLook w:val="04A0" w:firstRow="1" w:lastRow="0" w:firstColumn="1" w:lastColumn="0" w:noHBand="0" w:noVBand="1"/>
      </w:tblPr>
      <w:tblGrid>
        <w:gridCol w:w="3119"/>
        <w:gridCol w:w="2835"/>
        <w:gridCol w:w="1503"/>
        <w:gridCol w:w="1504"/>
      </w:tblGrid>
      <w:tr w:rsidR="00016DD7" w:rsidRPr="00016DD7" w14:paraId="3B48BC50" w14:textId="77777777" w:rsidTr="00016DD7">
        <w:tc>
          <w:tcPr>
            <w:tcW w:w="3119" w:type="dxa"/>
            <w:shd w:val="clear" w:color="auto" w:fill="D9D9D9" w:themeFill="background1" w:themeFillShade="D9"/>
          </w:tcPr>
          <w:p w14:paraId="2425200C" w14:textId="77777777" w:rsidR="00016DD7" w:rsidRPr="00016DD7" w:rsidRDefault="00016DD7" w:rsidP="00016DD7">
            <w:pPr>
              <w:keepNext/>
              <w:spacing w:after="0"/>
              <w:rPr>
                <w:rFonts w:asciiTheme="minorHAnsi" w:hAnsiTheme="minorHAnsi" w:cstheme="minorHAnsi"/>
                <w:b/>
              </w:rPr>
            </w:pPr>
            <w:r w:rsidRPr="00016DD7">
              <w:rPr>
                <w:rFonts w:asciiTheme="minorHAnsi" w:hAnsiTheme="minorHAnsi" w:cstheme="minorHAnsi"/>
                <w:b/>
              </w:rPr>
              <w:t>Sheet Name</w:t>
            </w:r>
          </w:p>
        </w:tc>
        <w:tc>
          <w:tcPr>
            <w:tcW w:w="2835" w:type="dxa"/>
            <w:shd w:val="clear" w:color="auto" w:fill="D9D9D9" w:themeFill="background1" w:themeFillShade="D9"/>
          </w:tcPr>
          <w:p w14:paraId="3F4B43E0" w14:textId="77777777" w:rsidR="00016DD7" w:rsidRPr="00016DD7" w:rsidRDefault="00016DD7" w:rsidP="00016DD7">
            <w:pPr>
              <w:keepNext/>
              <w:spacing w:after="0"/>
              <w:rPr>
                <w:rFonts w:asciiTheme="minorHAnsi" w:hAnsiTheme="minorHAnsi" w:cstheme="minorHAnsi"/>
                <w:b/>
              </w:rPr>
            </w:pPr>
            <w:r w:rsidRPr="00016DD7">
              <w:rPr>
                <w:rFonts w:asciiTheme="minorHAnsi" w:hAnsiTheme="minorHAnsi" w:cstheme="minorHAnsi"/>
                <w:b/>
              </w:rPr>
              <w:t>Insurance Type</w:t>
            </w:r>
          </w:p>
        </w:tc>
        <w:tc>
          <w:tcPr>
            <w:tcW w:w="1503" w:type="dxa"/>
            <w:shd w:val="clear" w:color="auto" w:fill="D9D9D9" w:themeFill="background1" w:themeFillShade="D9"/>
          </w:tcPr>
          <w:p w14:paraId="4577C835" w14:textId="77777777" w:rsidR="00016DD7" w:rsidRPr="00016DD7" w:rsidRDefault="00016DD7" w:rsidP="00016DD7">
            <w:pPr>
              <w:keepNext/>
              <w:spacing w:after="0"/>
              <w:rPr>
                <w:rFonts w:asciiTheme="minorHAnsi" w:hAnsiTheme="minorHAnsi" w:cstheme="minorHAnsi"/>
                <w:b/>
              </w:rPr>
            </w:pPr>
            <w:r w:rsidRPr="00016DD7">
              <w:rPr>
                <w:rFonts w:asciiTheme="minorHAnsi" w:hAnsiTheme="minorHAnsi" w:cstheme="minorHAnsi"/>
                <w:b/>
              </w:rPr>
              <w:t>On Sale Status</w:t>
            </w:r>
          </w:p>
        </w:tc>
        <w:tc>
          <w:tcPr>
            <w:tcW w:w="1504" w:type="dxa"/>
            <w:shd w:val="clear" w:color="auto" w:fill="D9D9D9" w:themeFill="background1" w:themeFillShade="D9"/>
          </w:tcPr>
          <w:p w14:paraId="1F487F4F" w14:textId="77777777" w:rsidR="00016DD7" w:rsidRPr="00016DD7" w:rsidRDefault="00016DD7" w:rsidP="00016DD7">
            <w:pPr>
              <w:keepNext/>
              <w:spacing w:after="0"/>
              <w:rPr>
                <w:rFonts w:asciiTheme="minorHAnsi" w:hAnsiTheme="minorHAnsi" w:cstheme="minorHAnsi"/>
                <w:b/>
              </w:rPr>
            </w:pPr>
            <w:r w:rsidRPr="00016DD7">
              <w:rPr>
                <w:rFonts w:asciiTheme="minorHAnsi" w:hAnsiTheme="minorHAnsi" w:cstheme="minorHAnsi"/>
                <w:b/>
              </w:rPr>
              <w:t>Advice Type</w:t>
            </w:r>
          </w:p>
        </w:tc>
      </w:tr>
      <w:tr w:rsidR="00016DD7" w:rsidRPr="00016DD7" w14:paraId="4F5E88A8" w14:textId="77777777" w:rsidTr="00016DD7">
        <w:tc>
          <w:tcPr>
            <w:tcW w:w="3119" w:type="dxa"/>
            <w:vAlign w:val="bottom"/>
          </w:tcPr>
          <w:p w14:paraId="706D0EE5"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DISPUTES_IndOS_Adv</w:t>
            </w:r>
          </w:p>
        </w:tc>
        <w:tc>
          <w:tcPr>
            <w:tcW w:w="2835" w:type="dxa"/>
            <w:vAlign w:val="bottom"/>
          </w:tcPr>
          <w:p w14:paraId="22E14C1F"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503" w:type="dxa"/>
            <w:vAlign w:val="bottom"/>
          </w:tcPr>
          <w:p w14:paraId="38320E83"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504" w:type="dxa"/>
            <w:vAlign w:val="bottom"/>
          </w:tcPr>
          <w:p w14:paraId="73639BD7"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67C0C8D3" w14:textId="77777777" w:rsidTr="00016DD7">
        <w:tc>
          <w:tcPr>
            <w:tcW w:w="3119" w:type="dxa"/>
            <w:vAlign w:val="bottom"/>
          </w:tcPr>
          <w:p w14:paraId="78AD711D"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DISPUTES_IndOS_NonAdv</w:t>
            </w:r>
          </w:p>
        </w:tc>
        <w:tc>
          <w:tcPr>
            <w:tcW w:w="2835" w:type="dxa"/>
            <w:vAlign w:val="bottom"/>
          </w:tcPr>
          <w:p w14:paraId="30D96ECE"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503" w:type="dxa"/>
            <w:vAlign w:val="bottom"/>
          </w:tcPr>
          <w:p w14:paraId="207CA5B0"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504" w:type="dxa"/>
            <w:vAlign w:val="bottom"/>
          </w:tcPr>
          <w:p w14:paraId="68ED0409"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5A38D5D3" w14:textId="77777777" w:rsidTr="00016DD7">
        <w:tc>
          <w:tcPr>
            <w:tcW w:w="3119" w:type="dxa"/>
            <w:vAlign w:val="bottom"/>
          </w:tcPr>
          <w:p w14:paraId="69E534A5"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DISPUTES_IndIS_Adv</w:t>
            </w:r>
          </w:p>
        </w:tc>
        <w:tc>
          <w:tcPr>
            <w:tcW w:w="2835" w:type="dxa"/>
            <w:vAlign w:val="bottom"/>
          </w:tcPr>
          <w:p w14:paraId="192190A9"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503" w:type="dxa"/>
            <w:vAlign w:val="bottom"/>
          </w:tcPr>
          <w:p w14:paraId="37B75A65"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504" w:type="dxa"/>
            <w:vAlign w:val="bottom"/>
          </w:tcPr>
          <w:p w14:paraId="1013949C"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6E29DE15" w14:textId="77777777" w:rsidTr="00016DD7">
        <w:tc>
          <w:tcPr>
            <w:tcW w:w="3119" w:type="dxa"/>
            <w:vAlign w:val="bottom"/>
          </w:tcPr>
          <w:p w14:paraId="516FDF7C"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DISPUTES_IndIS_NonAdv</w:t>
            </w:r>
          </w:p>
        </w:tc>
        <w:tc>
          <w:tcPr>
            <w:tcW w:w="2835" w:type="dxa"/>
            <w:vAlign w:val="bottom"/>
          </w:tcPr>
          <w:p w14:paraId="4BDD7E19"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503" w:type="dxa"/>
            <w:vAlign w:val="bottom"/>
          </w:tcPr>
          <w:p w14:paraId="0B3B6E0F"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504" w:type="dxa"/>
            <w:vAlign w:val="bottom"/>
          </w:tcPr>
          <w:p w14:paraId="01F9FB49"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0C48BBC3" w14:textId="77777777" w:rsidTr="00016DD7">
        <w:tc>
          <w:tcPr>
            <w:tcW w:w="3119" w:type="dxa"/>
            <w:vAlign w:val="bottom"/>
          </w:tcPr>
          <w:p w14:paraId="5739BF2B"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DISPUTES_GrpOS</w:t>
            </w:r>
          </w:p>
        </w:tc>
        <w:tc>
          <w:tcPr>
            <w:tcW w:w="2835" w:type="dxa"/>
            <w:vAlign w:val="bottom"/>
          </w:tcPr>
          <w:p w14:paraId="5D67C8FC"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Group outside Super</w:t>
            </w:r>
          </w:p>
        </w:tc>
        <w:tc>
          <w:tcPr>
            <w:tcW w:w="1503" w:type="dxa"/>
            <w:vAlign w:val="bottom"/>
          </w:tcPr>
          <w:p w14:paraId="719648C1"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N/A</w:t>
            </w:r>
          </w:p>
        </w:tc>
        <w:tc>
          <w:tcPr>
            <w:tcW w:w="1504" w:type="dxa"/>
            <w:vAlign w:val="bottom"/>
          </w:tcPr>
          <w:p w14:paraId="2D7212D2"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N/A</w:t>
            </w:r>
          </w:p>
        </w:tc>
      </w:tr>
      <w:tr w:rsidR="00016DD7" w:rsidRPr="00016DD7" w14:paraId="115513FA" w14:textId="77777777" w:rsidTr="00016DD7">
        <w:tc>
          <w:tcPr>
            <w:tcW w:w="3119" w:type="dxa"/>
            <w:vAlign w:val="bottom"/>
          </w:tcPr>
          <w:p w14:paraId="5D57E787"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DISPUTES_GrpIS</w:t>
            </w:r>
          </w:p>
        </w:tc>
        <w:tc>
          <w:tcPr>
            <w:tcW w:w="2835" w:type="dxa"/>
            <w:vAlign w:val="bottom"/>
          </w:tcPr>
          <w:p w14:paraId="105A0F05"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Group inside Super</w:t>
            </w:r>
          </w:p>
        </w:tc>
        <w:tc>
          <w:tcPr>
            <w:tcW w:w="1503" w:type="dxa"/>
            <w:vAlign w:val="bottom"/>
          </w:tcPr>
          <w:p w14:paraId="69FEF8A6"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N/A</w:t>
            </w:r>
          </w:p>
        </w:tc>
        <w:tc>
          <w:tcPr>
            <w:tcW w:w="1504" w:type="dxa"/>
            <w:vAlign w:val="bottom"/>
          </w:tcPr>
          <w:p w14:paraId="7595DD3B"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N/A</w:t>
            </w:r>
          </w:p>
        </w:tc>
      </w:tr>
    </w:tbl>
    <w:p w14:paraId="07EC14E5" w14:textId="77777777" w:rsidR="00016DD7" w:rsidRPr="00016DD7" w:rsidRDefault="00016DD7" w:rsidP="001266B5">
      <w:pPr>
        <w:pStyle w:val="ListParagraph"/>
        <w:spacing w:after="0"/>
        <w:ind w:left="0"/>
        <w:jc w:val="both"/>
        <w:rPr>
          <w:rFonts w:asciiTheme="minorHAnsi" w:hAnsiTheme="minorHAnsi" w:cstheme="minorHAnsi"/>
        </w:rPr>
      </w:pPr>
    </w:p>
    <w:p w14:paraId="06EA5C14" w14:textId="0B0C76E9" w:rsidR="00016DD7" w:rsidRPr="00016DD7" w:rsidRDefault="00016DD7" w:rsidP="00016DD7">
      <w:pPr>
        <w:pStyle w:val="ListParagraph"/>
        <w:keepNext/>
        <w:spacing w:after="0"/>
        <w:ind w:left="0"/>
        <w:jc w:val="both"/>
        <w:rPr>
          <w:rFonts w:asciiTheme="minorHAnsi" w:hAnsiTheme="minorHAnsi" w:cstheme="minorHAnsi"/>
          <w:b/>
        </w:rPr>
      </w:pPr>
      <w:r w:rsidRPr="00016DD7">
        <w:rPr>
          <w:rFonts w:asciiTheme="minorHAnsi" w:hAnsiTheme="minorHAnsi" w:cstheme="minorHAnsi"/>
          <w:b/>
        </w:rPr>
        <w:t>Dispute</w:t>
      </w:r>
      <w:r w:rsidR="005113CC">
        <w:rPr>
          <w:rFonts w:asciiTheme="minorHAnsi" w:hAnsiTheme="minorHAnsi" w:cstheme="minorHAnsi"/>
          <w:b/>
        </w:rPr>
        <w:t>s</w:t>
      </w:r>
      <w:r w:rsidRPr="00016DD7">
        <w:rPr>
          <w:rFonts w:asciiTheme="minorHAnsi" w:hAnsiTheme="minorHAnsi" w:cstheme="minorHAnsi"/>
          <w:b/>
        </w:rPr>
        <w:t xml:space="preserve"> Duration Data</w:t>
      </w:r>
    </w:p>
    <w:tbl>
      <w:tblPr>
        <w:tblStyle w:val="TableGrid"/>
        <w:tblW w:w="8976" w:type="dxa"/>
        <w:tblInd w:w="-5" w:type="dxa"/>
        <w:tblLayout w:type="fixed"/>
        <w:tblLook w:val="04A0" w:firstRow="1" w:lastRow="0" w:firstColumn="1" w:lastColumn="0" w:noHBand="0" w:noVBand="1"/>
      </w:tblPr>
      <w:tblGrid>
        <w:gridCol w:w="3828"/>
        <w:gridCol w:w="2551"/>
        <w:gridCol w:w="1078"/>
        <w:gridCol w:w="8"/>
        <w:gridCol w:w="1496"/>
        <w:gridCol w:w="15"/>
      </w:tblGrid>
      <w:tr w:rsidR="00016DD7" w:rsidRPr="00016DD7" w14:paraId="604E8014" w14:textId="77777777" w:rsidTr="00E704EB">
        <w:trPr>
          <w:gridAfter w:val="1"/>
          <w:wAfter w:w="15" w:type="dxa"/>
        </w:trPr>
        <w:tc>
          <w:tcPr>
            <w:tcW w:w="3828" w:type="dxa"/>
            <w:shd w:val="clear" w:color="auto" w:fill="D9D9D9" w:themeFill="background1" w:themeFillShade="D9"/>
          </w:tcPr>
          <w:p w14:paraId="67DB184C" w14:textId="77777777" w:rsidR="00016DD7" w:rsidRPr="00016DD7" w:rsidRDefault="00016DD7" w:rsidP="00016DD7">
            <w:pPr>
              <w:keepNext/>
              <w:spacing w:after="0"/>
              <w:rPr>
                <w:rFonts w:asciiTheme="minorHAnsi" w:hAnsiTheme="minorHAnsi" w:cstheme="minorHAnsi"/>
                <w:b/>
              </w:rPr>
            </w:pPr>
            <w:r w:rsidRPr="00016DD7">
              <w:rPr>
                <w:rFonts w:asciiTheme="minorHAnsi" w:hAnsiTheme="minorHAnsi" w:cstheme="minorHAnsi"/>
                <w:b/>
              </w:rPr>
              <w:t>Sheet Name</w:t>
            </w:r>
          </w:p>
        </w:tc>
        <w:tc>
          <w:tcPr>
            <w:tcW w:w="2551" w:type="dxa"/>
            <w:shd w:val="clear" w:color="auto" w:fill="D9D9D9" w:themeFill="background1" w:themeFillShade="D9"/>
          </w:tcPr>
          <w:p w14:paraId="5B3FFBD1" w14:textId="77777777" w:rsidR="00016DD7" w:rsidRPr="00016DD7" w:rsidRDefault="00016DD7" w:rsidP="00016DD7">
            <w:pPr>
              <w:keepNext/>
              <w:spacing w:after="0"/>
              <w:rPr>
                <w:rFonts w:asciiTheme="minorHAnsi" w:hAnsiTheme="minorHAnsi" w:cstheme="minorHAnsi"/>
                <w:b/>
              </w:rPr>
            </w:pPr>
            <w:r w:rsidRPr="00016DD7">
              <w:rPr>
                <w:rFonts w:asciiTheme="minorHAnsi" w:hAnsiTheme="minorHAnsi" w:cstheme="minorHAnsi"/>
                <w:b/>
              </w:rPr>
              <w:t>Insurance Type</w:t>
            </w:r>
          </w:p>
        </w:tc>
        <w:tc>
          <w:tcPr>
            <w:tcW w:w="1078" w:type="dxa"/>
            <w:shd w:val="clear" w:color="auto" w:fill="D9D9D9" w:themeFill="background1" w:themeFillShade="D9"/>
          </w:tcPr>
          <w:p w14:paraId="40AC6375" w14:textId="77777777" w:rsidR="00016DD7" w:rsidRPr="00016DD7" w:rsidRDefault="00016DD7" w:rsidP="00016DD7">
            <w:pPr>
              <w:keepNext/>
              <w:spacing w:after="0"/>
              <w:rPr>
                <w:rFonts w:asciiTheme="minorHAnsi" w:hAnsiTheme="minorHAnsi" w:cstheme="minorHAnsi"/>
                <w:b/>
              </w:rPr>
            </w:pPr>
            <w:r w:rsidRPr="00016DD7">
              <w:rPr>
                <w:rFonts w:asciiTheme="minorHAnsi" w:hAnsiTheme="minorHAnsi" w:cstheme="minorHAnsi"/>
                <w:b/>
              </w:rPr>
              <w:t>On Sale Status</w:t>
            </w:r>
          </w:p>
        </w:tc>
        <w:tc>
          <w:tcPr>
            <w:tcW w:w="1504" w:type="dxa"/>
            <w:gridSpan w:val="2"/>
            <w:shd w:val="clear" w:color="auto" w:fill="D9D9D9" w:themeFill="background1" w:themeFillShade="D9"/>
          </w:tcPr>
          <w:p w14:paraId="307053E0" w14:textId="77777777" w:rsidR="00016DD7" w:rsidRPr="00016DD7" w:rsidRDefault="00016DD7" w:rsidP="00016DD7">
            <w:pPr>
              <w:keepNext/>
              <w:spacing w:after="0"/>
              <w:rPr>
                <w:rFonts w:asciiTheme="minorHAnsi" w:hAnsiTheme="minorHAnsi" w:cstheme="minorHAnsi"/>
                <w:b/>
              </w:rPr>
            </w:pPr>
            <w:r w:rsidRPr="00016DD7">
              <w:rPr>
                <w:rFonts w:asciiTheme="minorHAnsi" w:hAnsiTheme="minorHAnsi" w:cstheme="minorHAnsi"/>
                <w:b/>
              </w:rPr>
              <w:t>Advice Type</w:t>
            </w:r>
          </w:p>
        </w:tc>
      </w:tr>
      <w:tr w:rsidR="00016DD7" w:rsidRPr="00016DD7" w14:paraId="21307691" w14:textId="77777777" w:rsidTr="00E704EB">
        <w:tc>
          <w:tcPr>
            <w:tcW w:w="3828" w:type="dxa"/>
            <w:vAlign w:val="bottom"/>
          </w:tcPr>
          <w:p w14:paraId="3E9478F3"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DISPUTESDURN_IndOS_Adv</w:t>
            </w:r>
          </w:p>
        </w:tc>
        <w:tc>
          <w:tcPr>
            <w:tcW w:w="2551" w:type="dxa"/>
            <w:vAlign w:val="bottom"/>
          </w:tcPr>
          <w:p w14:paraId="60F0DB84"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086" w:type="dxa"/>
            <w:gridSpan w:val="2"/>
            <w:vAlign w:val="bottom"/>
          </w:tcPr>
          <w:p w14:paraId="13223D9C"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511" w:type="dxa"/>
            <w:gridSpan w:val="2"/>
            <w:vAlign w:val="bottom"/>
          </w:tcPr>
          <w:p w14:paraId="23A2374E"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04C834C9" w14:textId="77777777" w:rsidTr="00E704EB">
        <w:tc>
          <w:tcPr>
            <w:tcW w:w="3828" w:type="dxa"/>
            <w:vAlign w:val="bottom"/>
          </w:tcPr>
          <w:p w14:paraId="5B415A3D"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DISPUTESDURN_IndOS_NonAdv</w:t>
            </w:r>
          </w:p>
        </w:tc>
        <w:tc>
          <w:tcPr>
            <w:tcW w:w="2551" w:type="dxa"/>
            <w:vAlign w:val="bottom"/>
          </w:tcPr>
          <w:p w14:paraId="752FAD86"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outside Super</w:t>
            </w:r>
          </w:p>
        </w:tc>
        <w:tc>
          <w:tcPr>
            <w:tcW w:w="1086" w:type="dxa"/>
            <w:gridSpan w:val="2"/>
            <w:vAlign w:val="bottom"/>
          </w:tcPr>
          <w:p w14:paraId="4120E5F1"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511" w:type="dxa"/>
            <w:gridSpan w:val="2"/>
            <w:vAlign w:val="bottom"/>
          </w:tcPr>
          <w:p w14:paraId="2622168F"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64A39540" w14:textId="77777777" w:rsidTr="00E704EB">
        <w:tc>
          <w:tcPr>
            <w:tcW w:w="3828" w:type="dxa"/>
            <w:vAlign w:val="bottom"/>
          </w:tcPr>
          <w:p w14:paraId="0F9DA56A"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DISPUTESDURN_IndIS_Adv</w:t>
            </w:r>
          </w:p>
        </w:tc>
        <w:tc>
          <w:tcPr>
            <w:tcW w:w="2551" w:type="dxa"/>
            <w:vAlign w:val="bottom"/>
          </w:tcPr>
          <w:p w14:paraId="2DDF954C"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086" w:type="dxa"/>
            <w:gridSpan w:val="2"/>
            <w:vAlign w:val="bottom"/>
          </w:tcPr>
          <w:p w14:paraId="756F4A84"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511" w:type="dxa"/>
            <w:gridSpan w:val="2"/>
            <w:vAlign w:val="bottom"/>
          </w:tcPr>
          <w:p w14:paraId="498A95D9"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Advised</w:t>
            </w:r>
          </w:p>
        </w:tc>
      </w:tr>
      <w:tr w:rsidR="00016DD7" w:rsidRPr="00016DD7" w14:paraId="6EB5262F" w14:textId="77777777" w:rsidTr="00E704EB">
        <w:tc>
          <w:tcPr>
            <w:tcW w:w="3828" w:type="dxa"/>
            <w:vAlign w:val="bottom"/>
          </w:tcPr>
          <w:p w14:paraId="72A195E8"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DISPUTESDURN_IndIS_NonAdv</w:t>
            </w:r>
          </w:p>
        </w:tc>
        <w:tc>
          <w:tcPr>
            <w:tcW w:w="2551" w:type="dxa"/>
            <w:vAlign w:val="bottom"/>
          </w:tcPr>
          <w:p w14:paraId="3C00E76F"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Individual inside Super</w:t>
            </w:r>
          </w:p>
        </w:tc>
        <w:tc>
          <w:tcPr>
            <w:tcW w:w="1086" w:type="dxa"/>
            <w:gridSpan w:val="2"/>
            <w:vAlign w:val="bottom"/>
          </w:tcPr>
          <w:p w14:paraId="09BB546F"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All</w:t>
            </w:r>
          </w:p>
        </w:tc>
        <w:tc>
          <w:tcPr>
            <w:tcW w:w="1511" w:type="dxa"/>
            <w:gridSpan w:val="2"/>
            <w:vAlign w:val="bottom"/>
          </w:tcPr>
          <w:p w14:paraId="72A2E842" w14:textId="77777777" w:rsidR="00016DD7" w:rsidRPr="00016DD7" w:rsidRDefault="00016DD7" w:rsidP="00016DD7">
            <w:pPr>
              <w:keepNext/>
              <w:spacing w:after="0"/>
              <w:jc w:val="both"/>
              <w:rPr>
                <w:rFonts w:asciiTheme="minorHAnsi" w:hAnsiTheme="minorHAnsi" w:cstheme="minorHAnsi"/>
              </w:rPr>
            </w:pPr>
            <w:r w:rsidRPr="00016DD7">
              <w:rPr>
                <w:rFonts w:asciiTheme="minorHAnsi" w:hAnsiTheme="minorHAnsi" w:cstheme="minorHAnsi"/>
                <w:color w:val="000000"/>
              </w:rPr>
              <w:t>Non-Advised</w:t>
            </w:r>
          </w:p>
        </w:tc>
      </w:tr>
      <w:tr w:rsidR="00016DD7" w:rsidRPr="00016DD7" w14:paraId="06C3E2A7" w14:textId="77777777" w:rsidTr="00E704EB">
        <w:tc>
          <w:tcPr>
            <w:tcW w:w="3828" w:type="dxa"/>
            <w:vAlign w:val="bottom"/>
          </w:tcPr>
          <w:p w14:paraId="3686BCCE" w14:textId="77777777" w:rsidR="00016DD7" w:rsidRPr="00016DD7" w:rsidRDefault="00016DD7" w:rsidP="00016DD7">
            <w:pPr>
              <w:keepNext/>
              <w:spacing w:after="0"/>
              <w:jc w:val="both"/>
              <w:rPr>
                <w:rFonts w:asciiTheme="minorHAnsi" w:hAnsiTheme="minorHAnsi" w:cstheme="minorHAnsi"/>
                <w:color w:val="000000"/>
              </w:rPr>
            </w:pPr>
            <w:r w:rsidRPr="00016DD7">
              <w:rPr>
                <w:rFonts w:asciiTheme="minorHAnsi" w:hAnsiTheme="minorHAnsi" w:cstheme="minorHAnsi"/>
                <w:color w:val="000000"/>
              </w:rPr>
              <w:t>DISPUTESDURN_GrpOS</w:t>
            </w:r>
          </w:p>
        </w:tc>
        <w:tc>
          <w:tcPr>
            <w:tcW w:w="2551" w:type="dxa"/>
            <w:vAlign w:val="bottom"/>
          </w:tcPr>
          <w:p w14:paraId="6A05FBAE" w14:textId="77777777" w:rsidR="00016DD7" w:rsidRPr="00016DD7" w:rsidRDefault="00016DD7" w:rsidP="00016DD7">
            <w:pPr>
              <w:keepNext/>
              <w:spacing w:after="0"/>
              <w:jc w:val="both"/>
              <w:rPr>
                <w:rFonts w:asciiTheme="minorHAnsi" w:hAnsiTheme="minorHAnsi" w:cstheme="minorHAnsi"/>
                <w:color w:val="000000"/>
              </w:rPr>
            </w:pPr>
            <w:r w:rsidRPr="00016DD7">
              <w:rPr>
                <w:rFonts w:asciiTheme="minorHAnsi" w:hAnsiTheme="minorHAnsi" w:cstheme="minorHAnsi"/>
                <w:color w:val="000000"/>
              </w:rPr>
              <w:t>Group outside Super</w:t>
            </w:r>
          </w:p>
        </w:tc>
        <w:tc>
          <w:tcPr>
            <w:tcW w:w="1086" w:type="dxa"/>
            <w:gridSpan w:val="2"/>
            <w:vAlign w:val="bottom"/>
          </w:tcPr>
          <w:p w14:paraId="0295420B" w14:textId="77777777" w:rsidR="00016DD7" w:rsidRPr="00016DD7" w:rsidRDefault="00016DD7" w:rsidP="00016DD7">
            <w:pPr>
              <w:keepNext/>
              <w:spacing w:after="0"/>
              <w:jc w:val="both"/>
              <w:rPr>
                <w:rFonts w:asciiTheme="minorHAnsi" w:hAnsiTheme="minorHAnsi" w:cstheme="minorHAnsi"/>
                <w:color w:val="000000"/>
              </w:rPr>
            </w:pPr>
            <w:r w:rsidRPr="00016DD7">
              <w:rPr>
                <w:rFonts w:asciiTheme="minorHAnsi" w:hAnsiTheme="minorHAnsi" w:cstheme="minorHAnsi"/>
                <w:color w:val="000000"/>
              </w:rPr>
              <w:t>N/A</w:t>
            </w:r>
          </w:p>
        </w:tc>
        <w:tc>
          <w:tcPr>
            <w:tcW w:w="1511" w:type="dxa"/>
            <w:gridSpan w:val="2"/>
            <w:vAlign w:val="bottom"/>
          </w:tcPr>
          <w:p w14:paraId="33134ED4" w14:textId="77777777" w:rsidR="00016DD7" w:rsidRPr="00016DD7" w:rsidRDefault="00016DD7" w:rsidP="00016DD7">
            <w:pPr>
              <w:keepNext/>
              <w:spacing w:after="0"/>
              <w:jc w:val="both"/>
              <w:rPr>
                <w:rFonts w:asciiTheme="minorHAnsi" w:hAnsiTheme="minorHAnsi" w:cstheme="minorHAnsi"/>
                <w:color w:val="000000"/>
              </w:rPr>
            </w:pPr>
            <w:r w:rsidRPr="00016DD7">
              <w:rPr>
                <w:rFonts w:asciiTheme="minorHAnsi" w:hAnsiTheme="minorHAnsi" w:cstheme="minorHAnsi"/>
                <w:color w:val="000000"/>
              </w:rPr>
              <w:t>N/A</w:t>
            </w:r>
          </w:p>
        </w:tc>
      </w:tr>
      <w:tr w:rsidR="00016DD7" w:rsidRPr="00016DD7" w14:paraId="4A413BC4" w14:textId="77777777" w:rsidTr="00E704EB">
        <w:tc>
          <w:tcPr>
            <w:tcW w:w="3828" w:type="dxa"/>
            <w:vAlign w:val="bottom"/>
          </w:tcPr>
          <w:p w14:paraId="23DADDA9"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DISPUTESDURN_GrpIS</w:t>
            </w:r>
          </w:p>
        </w:tc>
        <w:tc>
          <w:tcPr>
            <w:tcW w:w="2551" w:type="dxa"/>
            <w:vAlign w:val="bottom"/>
          </w:tcPr>
          <w:p w14:paraId="1E7670B1"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Group inside Super</w:t>
            </w:r>
          </w:p>
        </w:tc>
        <w:tc>
          <w:tcPr>
            <w:tcW w:w="1086" w:type="dxa"/>
            <w:gridSpan w:val="2"/>
            <w:vAlign w:val="bottom"/>
          </w:tcPr>
          <w:p w14:paraId="40CDF70A"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N/A</w:t>
            </w:r>
          </w:p>
        </w:tc>
        <w:tc>
          <w:tcPr>
            <w:tcW w:w="1511" w:type="dxa"/>
            <w:gridSpan w:val="2"/>
            <w:vAlign w:val="bottom"/>
          </w:tcPr>
          <w:p w14:paraId="388B1213" w14:textId="77777777" w:rsidR="00016DD7" w:rsidRPr="00016DD7" w:rsidRDefault="00016DD7" w:rsidP="00016DD7">
            <w:pPr>
              <w:spacing w:after="0"/>
              <w:jc w:val="both"/>
              <w:rPr>
                <w:rFonts w:asciiTheme="minorHAnsi" w:hAnsiTheme="minorHAnsi" w:cstheme="minorHAnsi"/>
              </w:rPr>
            </w:pPr>
            <w:r w:rsidRPr="00016DD7">
              <w:rPr>
                <w:rFonts w:asciiTheme="minorHAnsi" w:hAnsiTheme="minorHAnsi" w:cstheme="minorHAnsi"/>
                <w:color w:val="000000"/>
              </w:rPr>
              <w:t>N/A</w:t>
            </w:r>
          </w:p>
        </w:tc>
      </w:tr>
    </w:tbl>
    <w:p w14:paraId="487C83B5" w14:textId="77777777" w:rsidR="00E65B82" w:rsidRPr="001266B5" w:rsidRDefault="00E65B82" w:rsidP="001266B5">
      <w:pPr>
        <w:pStyle w:val="ListParagraph"/>
        <w:spacing w:after="0"/>
        <w:ind w:left="0"/>
        <w:jc w:val="both"/>
        <w:rPr>
          <w:rFonts w:asciiTheme="minorHAnsi" w:hAnsiTheme="minorHAnsi" w:cstheme="minorHAnsi"/>
        </w:rPr>
      </w:pPr>
    </w:p>
    <w:p w14:paraId="773CB5E8" w14:textId="2D17753B" w:rsidR="00683FA1" w:rsidRPr="00370872" w:rsidRDefault="00683FA1" w:rsidP="005113CC">
      <w:pPr>
        <w:keepNext/>
        <w:spacing w:after="0"/>
        <w:jc w:val="both"/>
        <w:rPr>
          <w:b/>
        </w:rPr>
      </w:pPr>
      <w:r w:rsidRPr="00370872">
        <w:rPr>
          <w:b/>
        </w:rPr>
        <w:t>Supplementary Data</w:t>
      </w:r>
    </w:p>
    <w:tbl>
      <w:tblPr>
        <w:tblW w:w="8921" w:type="dxa"/>
        <w:tblLook w:val="04A0" w:firstRow="1" w:lastRow="0" w:firstColumn="1" w:lastColumn="0" w:noHBand="0" w:noVBand="1"/>
      </w:tblPr>
      <w:tblGrid>
        <w:gridCol w:w="3676"/>
        <w:gridCol w:w="1984"/>
        <w:gridCol w:w="1843"/>
        <w:gridCol w:w="1418"/>
      </w:tblGrid>
      <w:tr w:rsidR="00683FA1" w:rsidRPr="00683FA1" w14:paraId="5A8FAE01" w14:textId="77777777" w:rsidTr="00370872">
        <w:trPr>
          <w:cantSplit/>
          <w:trHeight w:val="645"/>
        </w:trPr>
        <w:tc>
          <w:tcPr>
            <w:tcW w:w="3676" w:type="dxa"/>
            <w:tcBorders>
              <w:top w:val="single" w:sz="8" w:space="0" w:color="auto"/>
              <w:left w:val="single" w:sz="8" w:space="0" w:color="auto"/>
              <w:bottom w:val="single" w:sz="8" w:space="0" w:color="auto"/>
              <w:right w:val="single" w:sz="8" w:space="0" w:color="auto"/>
            </w:tcBorders>
            <w:shd w:val="clear" w:color="000000" w:fill="D9D9D9"/>
            <w:hideMark/>
          </w:tcPr>
          <w:p w14:paraId="003646C7" w14:textId="77777777" w:rsidR="00683FA1" w:rsidRPr="00683FA1" w:rsidRDefault="00683FA1" w:rsidP="005113CC">
            <w:pPr>
              <w:keepNext/>
              <w:spacing w:after="0"/>
              <w:rPr>
                <w:rFonts w:eastAsia="Times New Roman"/>
                <w:b/>
                <w:bCs/>
                <w:color w:val="000000"/>
              </w:rPr>
            </w:pPr>
            <w:r w:rsidRPr="00683FA1">
              <w:rPr>
                <w:rFonts w:eastAsia="Times New Roman"/>
                <w:b/>
                <w:bCs/>
                <w:color w:val="000000"/>
              </w:rPr>
              <w:t>Sheet Name</w:t>
            </w:r>
          </w:p>
        </w:tc>
        <w:tc>
          <w:tcPr>
            <w:tcW w:w="1984" w:type="dxa"/>
            <w:tcBorders>
              <w:top w:val="single" w:sz="8" w:space="0" w:color="auto"/>
              <w:left w:val="nil"/>
              <w:bottom w:val="single" w:sz="8" w:space="0" w:color="auto"/>
              <w:right w:val="single" w:sz="8" w:space="0" w:color="auto"/>
            </w:tcBorders>
            <w:shd w:val="clear" w:color="000000" w:fill="D9D9D9"/>
            <w:hideMark/>
          </w:tcPr>
          <w:p w14:paraId="3D45EE00" w14:textId="77777777" w:rsidR="00683FA1" w:rsidRPr="00683FA1" w:rsidRDefault="00683FA1" w:rsidP="005113CC">
            <w:pPr>
              <w:keepNext/>
              <w:spacing w:after="0"/>
              <w:rPr>
                <w:rFonts w:eastAsia="Times New Roman"/>
                <w:b/>
                <w:bCs/>
                <w:color w:val="000000"/>
              </w:rPr>
            </w:pPr>
            <w:r w:rsidRPr="00683FA1">
              <w:rPr>
                <w:rFonts w:eastAsia="Times New Roman"/>
                <w:b/>
                <w:bCs/>
                <w:color w:val="000000"/>
              </w:rPr>
              <w:t>Insurance Type</w:t>
            </w:r>
          </w:p>
        </w:tc>
        <w:tc>
          <w:tcPr>
            <w:tcW w:w="1843" w:type="dxa"/>
            <w:tcBorders>
              <w:top w:val="single" w:sz="8" w:space="0" w:color="auto"/>
              <w:left w:val="nil"/>
              <w:bottom w:val="single" w:sz="8" w:space="0" w:color="auto"/>
              <w:right w:val="single" w:sz="8" w:space="0" w:color="auto"/>
            </w:tcBorders>
            <w:shd w:val="clear" w:color="000000" w:fill="D9D9D9"/>
            <w:hideMark/>
          </w:tcPr>
          <w:p w14:paraId="3EC84833" w14:textId="77777777" w:rsidR="00683FA1" w:rsidRPr="00683FA1" w:rsidRDefault="00683FA1" w:rsidP="005113CC">
            <w:pPr>
              <w:keepNext/>
              <w:spacing w:after="0"/>
              <w:rPr>
                <w:rFonts w:eastAsia="Times New Roman"/>
                <w:b/>
                <w:bCs/>
                <w:color w:val="000000"/>
              </w:rPr>
            </w:pPr>
            <w:r w:rsidRPr="00683FA1">
              <w:rPr>
                <w:rFonts w:eastAsia="Times New Roman"/>
                <w:b/>
                <w:bCs/>
                <w:color w:val="000000"/>
              </w:rPr>
              <w:t>On Sale Status</w:t>
            </w:r>
          </w:p>
        </w:tc>
        <w:tc>
          <w:tcPr>
            <w:tcW w:w="1418" w:type="dxa"/>
            <w:tcBorders>
              <w:top w:val="single" w:sz="8" w:space="0" w:color="auto"/>
              <w:left w:val="nil"/>
              <w:bottom w:val="single" w:sz="8" w:space="0" w:color="auto"/>
              <w:right w:val="single" w:sz="8" w:space="0" w:color="auto"/>
            </w:tcBorders>
            <w:shd w:val="clear" w:color="000000" w:fill="D9D9D9"/>
            <w:hideMark/>
          </w:tcPr>
          <w:p w14:paraId="2486985B" w14:textId="77777777" w:rsidR="00683FA1" w:rsidRPr="00683FA1" w:rsidRDefault="00683FA1" w:rsidP="005113CC">
            <w:pPr>
              <w:keepNext/>
              <w:spacing w:after="0"/>
              <w:rPr>
                <w:rFonts w:eastAsia="Times New Roman"/>
                <w:b/>
                <w:bCs/>
                <w:color w:val="000000"/>
              </w:rPr>
            </w:pPr>
            <w:r w:rsidRPr="00683FA1">
              <w:rPr>
                <w:rFonts w:eastAsia="Times New Roman"/>
                <w:b/>
                <w:bCs/>
                <w:color w:val="000000"/>
              </w:rPr>
              <w:t>Advice Type</w:t>
            </w:r>
          </w:p>
        </w:tc>
      </w:tr>
      <w:tr w:rsidR="00683FA1" w:rsidRPr="00683FA1" w14:paraId="12D34A8B" w14:textId="77777777" w:rsidTr="00370872">
        <w:trPr>
          <w:trHeight w:val="330"/>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55133920" w14:textId="77777777" w:rsidR="00683FA1" w:rsidRPr="00683FA1" w:rsidRDefault="00683FA1" w:rsidP="005113CC">
            <w:pPr>
              <w:keepNext/>
              <w:spacing w:after="0"/>
              <w:jc w:val="both"/>
              <w:rPr>
                <w:rFonts w:eastAsia="Times New Roman"/>
                <w:color w:val="000000"/>
              </w:rPr>
            </w:pPr>
            <w:r w:rsidRPr="00683FA1">
              <w:rPr>
                <w:rFonts w:eastAsia="Times New Roman"/>
                <w:color w:val="000000"/>
              </w:rPr>
              <w:t>SUPPLEMENT_CCI</w:t>
            </w:r>
          </w:p>
        </w:tc>
        <w:tc>
          <w:tcPr>
            <w:tcW w:w="1984" w:type="dxa"/>
            <w:tcBorders>
              <w:top w:val="nil"/>
              <w:left w:val="nil"/>
              <w:bottom w:val="single" w:sz="8" w:space="0" w:color="auto"/>
              <w:right w:val="single" w:sz="8" w:space="0" w:color="auto"/>
            </w:tcBorders>
            <w:shd w:val="clear" w:color="auto" w:fill="auto"/>
            <w:vAlign w:val="center"/>
            <w:hideMark/>
          </w:tcPr>
          <w:p w14:paraId="5D835584" w14:textId="6B24C603" w:rsidR="00683FA1" w:rsidRPr="00683FA1" w:rsidRDefault="00683FA1" w:rsidP="005113CC">
            <w:pPr>
              <w:keepNext/>
              <w:spacing w:after="0"/>
              <w:jc w:val="both"/>
              <w:rPr>
                <w:rFonts w:eastAsia="Times New Roman"/>
                <w:color w:val="000000"/>
              </w:rPr>
            </w:pPr>
            <w:r w:rsidRPr="00683FA1">
              <w:rPr>
                <w:rFonts w:eastAsia="Times New Roman"/>
                <w:color w:val="000000"/>
              </w:rPr>
              <w:t>All</w:t>
            </w:r>
            <w:r w:rsidR="000C370D">
              <w:rPr>
                <w:rFonts w:eastAsia="Times New Roman"/>
                <w:color w:val="000000"/>
              </w:rPr>
              <w:t xml:space="preserve"> CCI benefits</w:t>
            </w:r>
          </w:p>
        </w:tc>
        <w:tc>
          <w:tcPr>
            <w:tcW w:w="1843" w:type="dxa"/>
            <w:tcBorders>
              <w:top w:val="nil"/>
              <w:left w:val="nil"/>
              <w:bottom w:val="single" w:sz="8" w:space="0" w:color="auto"/>
              <w:right w:val="single" w:sz="8" w:space="0" w:color="auto"/>
            </w:tcBorders>
            <w:shd w:val="clear" w:color="auto" w:fill="auto"/>
            <w:vAlign w:val="center"/>
            <w:hideMark/>
          </w:tcPr>
          <w:p w14:paraId="1274A171" w14:textId="77777777" w:rsidR="00683FA1" w:rsidRPr="00683FA1" w:rsidRDefault="00683FA1" w:rsidP="005113CC">
            <w:pPr>
              <w:keepNext/>
              <w:spacing w:after="0"/>
              <w:jc w:val="both"/>
              <w:rPr>
                <w:rFonts w:eastAsia="Times New Roman"/>
                <w:color w:val="000000"/>
              </w:rPr>
            </w:pPr>
            <w:r w:rsidRPr="00683FA1">
              <w:rPr>
                <w:rFonts w:eastAsia="Times New Roman"/>
                <w:color w:val="000000"/>
              </w:rPr>
              <w:t>All</w:t>
            </w:r>
          </w:p>
        </w:tc>
        <w:tc>
          <w:tcPr>
            <w:tcW w:w="1418" w:type="dxa"/>
            <w:tcBorders>
              <w:top w:val="nil"/>
              <w:left w:val="nil"/>
              <w:bottom w:val="single" w:sz="8" w:space="0" w:color="auto"/>
              <w:right w:val="single" w:sz="8" w:space="0" w:color="auto"/>
            </w:tcBorders>
            <w:shd w:val="clear" w:color="auto" w:fill="auto"/>
            <w:vAlign w:val="center"/>
            <w:hideMark/>
          </w:tcPr>
          <w:p w14:paraId="1F622287" w14:textId="77777777" w:rsidR="00683FA1" w:rsidRPr="00683FA1" w:rsidRDefault="00683FA1" w:rsidP="005113CC">
            <w:pPr>
              <w:keepNext/>
              <w:spacing w:after="0"/>
              <w:jc w:val="both"/>
              <w:rPr>
                <w:rFonts w:eastAsia="Times New Roman"/>
                <w:color w:val="000000"/>
              </w:rPr>
            </w:pPr>
            <w:r w:rsidRPr="00683FA1">
              <w:rPr>
                <w:rFonts w:eastAsia="Times New Roman"/>
                <w:color w:val="000000"/>
              </w:rPr>
              <w:t>All</w:t>
            </w:r>
          </w:p>
        </w:tc>
      </w:tr>
      <w:tr w:rsidR="001F6C36" w:rsidRPr="00683FA1" w14:paraId="2669B27B" w14:textId="77777777" w:rsidTr="00370872">
        <w:trPr>
          <w:trHeight w:val="330"/>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4EDF847F" w14:textId="21ADE987" w:rsidR="001F6C36" w:rsidRPr="00683FA1" w:rsidRDefault="0069731F" w:rsidP="001B33D5">
            <w:pPr>
              <w:spacing w:after="0"/>
              <w:jc w:val="both"/>
              <w:rPr>
                <w:rFonts w:eastAsia="Times New Roman"/>
                <w:color w:val="000000"/>
              </w:rPr>
            </w:pPr>
            <w:r>
              <w:rPr>
                <w:rFonts w:eastAsia="Times New Roman"/>
                <w:color w:val="000000"/>
              </w:rPr>
              <w:t>SUPPLEMENT_D</w:t>
            </w:r>
            <w:r w:rsidR="001B33D5">
              <w:rPr>
                <w:rFonts w:eastAsia="Times New Roman"/>
                <w:color w:val="000000"/>
              </w:rPr>
              <w:t>isputes</w:t>
            </w:r>
          </w:p>
        </w:tc>
        <w:tc>
          <w:tcPr>
            <w:tcW w:w="1984" w:type="dxa"/>
            <w:tcBorders>
              <w:top w:val="nil"/>
              <w:left w:val="nil"/>
              <w:bottom w:val="single" w:sz="8" w:space="0" w:color="auto"/>
              <w:right w:val="single" w:sz="8" w:space="0" w:color="auto"/>
            </w:tcBorders>
            <w:shd w:val="clear" w:color="auto" w:fill="auto"/>
            <w:vAlign w:val="center"/>
            <w:hideMark/>
          </w:tcPr>
          <w:p w14:paraId="6FEAD958" w14:textId="5267A5BD" w:rsidR="001F6C36" w:rsidRPr="00683FA1" w:rsidRDefault="001F6C36" w:rsidP="00683FA1">
            <w:pPr>
              <w:spacing w:after="0"/>
              <w:jc w:val="both"/>
              <w:rPr>
                <w:rFonts w:eastAsia="Times New Roman"/>
                <w:color w:val="000000"/>
              </w:rPr>
            </w:pPr>
            <w:r w:rsidRPr="00683FA1">
              <w:rPr>
                <w:rFonts w:eastAsia="Times New Roman"/>
                <w:color w:val="000000"/>
              </w:rPr>
              <w:t>All</w:t>
            </w:r>
            <w:r w:rsidR="000C2DFF">
              <w:rPr>
                <w:rFonts w:eastAsia="Times New Roman"/>
                <w:color w:val="000000"/>
              </w:rPr>
              <w:t xml:space="preserve"> Disputes</w:t>
            </w:r>
          </w:p>
        </w:tc>
        <w:tc>
          <w:tcPr>
            <w:tcW w:w="1843" w:type="dxa"/>
            <w:tcBorders>
              <w:top w:val="nil"/>
              <w:left w:val="nil"/>
              <w:bottom w:val="single" w:sz="8" w:space="0" w:color="auto"/>
              <w:right w:val="single" w:sz="8" w:space="0" w:color="auto"/>
            </w:tcBorders>
            <w:shd w:val="clear" w:color="auto" w:fill="auto"/>
            <w:vAlign w:val="center"/>
            <w:hideMark/>
          </w:tcPr>
          <w:p w14:paraId="1FA103AD" w14:textId="2081E102" w:rsidR="001F6C36" w:rsidRPr="00683FA1" w:rsidRDefault="001F6C36" w:rsidP="00683FA1">
            <w:pPr>
              <w:spacing w:after="0"/>
              <w:jc w:val="both"/>
              <w:rPr>
                <w:rFonts w:eastAsia="Times New Roman"/>
                <w:color w:val="000000"/>
              </w:rPr>
            </w:pPr>
            <w:r w:rsidRPr="00683FA1">
              <w:rPr>
                <w:rFonts w:eastAsia="Times New Roman"/>
                <w:color w:val="000000"/>
              </w:rPr>
              <w:t>All</w:t>
            </w:r>
          </w:p>
        </w:tc>
        <w:tc>
          <w:tcPr>
            <w:tcW w:w="1418" w:type="dxa"/>
            <w:tcBorders>
              <w:top w:val="nil"/>
              <w:left w:val="nil"/>
              <w:bottom w:val="single" w:sz="8" w:space="0" w:color="auto"/>
              <w:right w:val="single" w:sz="8" w:space="0" w:color="auto"/>
            </w:tcBorders>
            <w:shd w:val="clear" w:color="auto" w:fill="auto"/>
            <w:vAlign w:val="center"/>
            <w:hideMark/>
          </w:tcPr>
          <w:p w14:paraId="7F16BD50" w14:textId="294832FF" w:rsidR="001F6C36" w:rsidRPr="00683FA1" w:rsidRDefault="001F6C36" w:rsidP="00683FA1">
            <w:pPr>
              <w:spacing w:after="0"/>
              <w:jc w:val="both"/>
              <w:rPr>
                <w:rFonts w:eastAsia="Times New Roman"/>
                <w:color w:val="000000"/>
              </w:rPr>
            </w:pPr>
            <w:r w:rsidRPr="00683FA1">
              <w:rPr>
                <w:rFonts w:eastAsia="Times New Roman"/>
                <w:color w:val="000000"/>
              </w:rPr>
              <w:t>All</w:t>
            </w:r>
          </w:p>
        </w:tc>
      </w:tr>
    </w:tbl>
    <w:p w14:paraId="382B9A87" w14:textId="387B9BEE" w:rsidR="001F6B8D" w:rsidRPr="0056044F" w:rsidRDefault="001F6B8D" w:rsidP="001266B5">
      <w:pPr>
        <w:pStyle w:val="ListParagraph"/>
        <w:spacing w:after="0"/>
        <w:ind w:left="0"/>
        <w:jc w:val="both"/>
        <w:rPr>
          <w:rFonts w:asciiTheme="minorHAnsi" w:hAnsiTheme="minorHAnsi" w:cstheme="minorHAnsi"/>
        </w:rPr>
      </w:pPr>
    </w:p>
    <w:sectPr w:rsidR="001F6B8D" w:rsidRPr="0056044F" w:rsidSect="000D63A8">
      <w:footerReference w:type="default" r:id="rId2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4CC82" w14:textId="77777777" w:rsidR="00BA152D" w:rsidRDefault="00BA152D" w:rsidP="006A6A52">
      <w:pPr>
        <w:spacing w:after="0"/>
      </w:pPr>
      <w:r>
        <w:separator/>
      </w:r>
    </w:p>
  </w:endnote>
  <w:endnote w:type="continuationSeparator" w:id="0">
    <w:p w14:paraId="443BF2CC" w14:textId="77777777" w:rsidR="00BA152D" w:rsidRDefault="00BA152D" w:rsidP="006A6A52">
      <w:pPr>
        <w:spacing w:after="0"/>
      </w:pPr>
      <w:r>
        <w:continuationSeparator/>
      </w:r>
    </w:p>
  </w:endnote>
  <w:endnote w:type="continuationNotice" w:id="1">
    <w:p w14:paraId="4BFC1AD3" w14:textId="77777777" w:rsidR="00BA152D" w:rsidRDefault="00BA15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DIN OT">
    <w:panose1 w:val="020B0504020201010104"/>
    <w:charset w:val="00"/>
    <w:family w:val="swiss"/>
    <w:pitch w:val="variable"/>
    <w:sig w:usb0="800000EF" w:usb1="4000A47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B5F01" w14:textId="77777777" w:rsidR="00B80A99" w:rsidRPr="00842FBD" w:rsidRDefault="00B80A99" w:rsidP="00842FBD">
    <w:pPr>
      <w:pStyle w:val="Footer"/>
    </w:pPr>
    <w:r>
      <w:rPr>
        <w:noProof/>
      </w:rPr>
      <w:fldChar w:fldCharType="begin"/>
    </w:r>
    <w:r>
      <w:rPr>
        <w:noProof/>
      </w:rPr>
      <w:instrText xml:space="preserve"> STYLEREF  "PS No. field text"  \* MERGEFORMAT </w:instrText>
    </w:r>
    <w:r>
      <w:rPr>
        <w:noProof/>
      </w:rPr>
      <w:fldChar w:fldCharType="separate"/>
    </w:r>
    <w:r w:rsidR="00E83EE3">
      <w:rPr>
        <w:noProof/>
      </w:rPr>
      <w:t>LRS 750.0</w:t>
    </w:r>
    <w:r>
      <w:rPr>
        <w:noProof/>
      </w:rPr>
      <w:fldChar w:fldCharType="end"/>
    </w:r>
    <w:r>
      <w:t xml:space="preserve"> - </w:t>
    </w:r>
    <w:r w:rsidRPr="00842FBD">
      <w:fldChar w:fldCharType="begin"/>
    </w:r>
    <w:r w:rsidRPr="00842FBD">
      <w:instrText xml:space="preserve"> PAGE </w:instrText>
    </w:r>
    <w:r w:rsidRPr="00842FBD">
      <w:fldChar w:fldCharType="separate"/>
    </w:r>
    <w:r w:rsidR="00E83EE3">
      <w:rPr>
        <w:noProof/>
      </w:rPr>
      <w:t>2</w:t>
    </w:r>
    <w:r w:rsidRPr="00842FB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34C11" w14:textId="77777777" w:rsidR="00BA152D" w:rsidRPr="00842FBD" w:rsidRDefault="00BA152D" w:rsidP="00842FBD">
    <w:pPr>
      <w:pStyle w:val="Footer"/>
    </w:pPr>
    <w:r>
      <w:rPr>
        <w:noProof/>
      </w:rPr>
      <w:fldChar w:fldCharType="begin"/>
    </w:r>
    <w:r>
      <w:rPr>
        <w:noProof/>
      </w:rPr>
      <w:instrText xml:space="preserve"> STYLEREF  "PS No. field text"  \* MERGEFORMAT </w:instrText>
    </w:r>
    <w:r>
      <w:rPr>
        <w:noProof/>
      </w:rPr>
      <w:fldChar w:fldCharType="separate"/>
    </w:r>
    <w:r w:rsidR="00E83EE3">
      <w:rPr>
        <w:noProof/>
      </w:rPr>
      <w:t>LRS 750.0</w:t>
    </w:r>
    <w:r>
      <w:rPr>
        <w:noProof/>
      </w:rPr>
      <w:fldChar w:fldCharType="end"/>
    </w:r>
    <w:r>
      <w:t xml:space="preserve"> - </w:t>
    </w:r>
    <w:r w:rsidRPr="00842FBD">
      <w:fldChar w:fldCharType="begin"/>
    </w:r>
    <w:r w:rsidRPr="00842FBD">
      <w:instrText xml:space="preserve"> PAGE </w:instrText>
    </w:r>
    <w:r w:rsidRPr="00842FBD">
      <w:fldChar w:fldCharType="separate"/>
    </w:r>
    <w:r w:rsidR="00E83EE3">
      <w:rPr>
        <w:noProof/>
      </w:rPr>
      <w:t>20</w:t>
    </w:r>
    <w:r w:rsidRPr="00842FB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F3D51" w14:textId="77777777" w:rsidR="00BA152D" w:rsidRDefault="00BA152D" w:rsidP="006A6A52">
      <w:pPr>
        <w:spacing w:after="0"/>
      </w:pPr>
      <w:r>
        <w:separator/>
      </w:r>
    </w:p>
  </w:footnote>
  <w:footnote w:type="continuationSeparator" w:id="0">
    <w:p w14:paraId="546988D1" w14:textId="77777777" w:rsidR="00BA152D" w:rsidRDefault="00BA152D" w:rsidP="006A6A52">
      <w:pPr>
        <w:spacing w:after="0"/>
      </w:pPr>
      <w:r>
        <w:continuationSeparator/>
      </w:r>
    </w:p>
  </w:footnote>
  <w:footnote w:type="continuationNotice" w:id="1">
    <w:p w14:paraId="3287E49B" w14:textId="77777777" w:rsidR="00BA152D" w:rsidRDefault="00BA152D">
      <w:pPr>
        <w:spacing w:after="0"/>
      </w:pPr>
    </w:p>
  </w:footnote>
  <w:footnote w:id="2">
    <w:p w14:paraId="2B3B495E" w14:textId="16D52A94" w:rsidR="00BA152D" w:rsidRDefault="00BA152D">
      <w:pPr>
        <w:pStyle w:val="FootnoteText"/>
      </w:pPr>
      <w:r>
        <w:rPr>
          <w:rStyle w:val="FootnoteReference"/>
        </w:rPr>
        <w:footnoteRef/>
      </w:r>
      <w:r>
        <w:t xml:space="preserve"> </w:t>
      </w:r>
      <w:r>
        <w:tab/>
        <w:t>The tables shown in this section are a simplified representation of the reporting form. Any visual differences between these simplified representations and the reporting form do not change the information required by LRS 750.0.</w:t>
      </w:r>
    </w:p>
  </w:footnote>
  <w:footnote w:id="3">
    <w:p w14:paraId="5F92D725" w14:textId="6F50C4FC" w:rsidR="00BA152D" w:rsidRDefault="00BA152D">
      <w:pPr>
        <w:pStyle w:val="FootnoteText"/>
      </w:pPr>
      <w:r>
        <w:rPr>
          <w:rStyle w:val="FootnoteReference"/>
        </w:rPr>
        <w:footnoteRef/>
      </w:r>
      <w:r>
        <w:t xml:space="preserve"> </w:t>
      </w:r>
      <w:r>
        <w:tab/>
        <w:t>The “Instructions” sheet of the electronic reporting form identifies which cells require data input or need attention by reporting entities, and which cells are not for action.</w:t>
      </w:r>
    </w:p>
  </w:footnote>
  <w:footnote w:id="4">
    <w:p w14:paraId="750BC455" w14:textId="77777777" w:rsidR="00BA152D" w:rsidRDefault="00BA152D" w:rsidP="00EB7262">
      <w:pPr>
        <w:pStyle w:val="FootnoteText"/>
      </w:pPr>
      <w:r>
        <w:rPr>
          <w:rStyle w:val="FootnoteReference"/>
        </w:rPr>
        <w:footnoteRef/>
      </w:r>
      <w:r>
        <w:t xml:space="preserve"> </w:t>
      </w:r>
      <w:r>
        <w:tab/>
        <w:t>In these instructions and in the reporting form, references to the insurer mean the life company.</w:t>
      </w:r>
    </w:p>
  </w:footnote>
  <w:footnote w:id="5">
    <w:p w14:paraId="49430AF9" w14:textId="731E7FD6" w:rsidR="00BA152D" w:rsidRDefault="00BA152D" w:rsidP="00A5756F">
      <w:pPr>
        <w:pStyle w:val="FootnoteText"/>
      </w:pPr>
      <w:r>
        <w:rPr>
          <w:rStyle w:val="FootnoteReference"/>
        </w:rPr>
        <w:footnoteRef/>
      </w:r>
      <w:r>
        <w:t xml:space="preserve"> </w:t>
      </w:r>
      <w:r>
        <w:tab/>
        <w:t>Regarding the relationship between Notified and Received claims, note that:</w:t>
      </w:r>
    </w:p>
    <w:p w14:paraId="2C08DAAF" w14:textId="77777777" w:rsidR="00BA152D" w:rsidRDefault="00BA152D" w:rsidP="00A5756F">
      <w:pPr>
        <w:pStyle w:val="FootnoteText"/>
      </w:pPr>
    </w:p>
    <w:p w14:paraId="05147B8F" w14:textId="7919DE63" w:rsidR="00BA152D" w:rsidRDefault="00BA152D" w:rsidP="006B245C">
      <w:pPr>
        <w:pStyle w:val="FootnoteText"/>
        <w:numPr>
          <w:ilvl w:val="0"/>
          <w:numId w:val="6"/>
        </w:numPr>
        <w:ind w:left="851" w:hanging="284"/>
      </w:pPr>
      <w:r>
        <w:t>Every claim recorded as Received should also be recorded as Notified, including where they occur on the same date. It is, however, possible that claims recorded as Notified may not be recorded as Received; and</w:t>
      </w:r>
    </w:p>
    <w:p w14:paraId="7DD4C003" w14:textId="77777777" w:rsidR="00BA152D" w:rsidRDefault="00BA152D" w:rsidP="006B245C">
      <w:pPr>
        <w:pStyle w:val="FootnoteText"/>
        <w:numPr>
          <w:ilvl w:val="0"/>
          <w:numId w:val="6"/>
        </w:numPr>
        <w:ind w:left="851" w:hanging="284"/>
      </w:pPr>
      <w:r>
        <w:t>It is possible (and acceptable) that the notification of a claim does not happen in the same Reporting Period as the claim being recorded as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44"/>
    </w:tblGrid>
    <w:tr w:rsidR="00B80A99" w14:paraId="4226D67A" w14:textId="77777777" w:rsidTr="00B80A99">
      <w:tc>
        <w:tcPr>
          <w:tcW w:w="4144" w:type="dxa"/>
          <w:tcBorders>
            <w:top w:val="nil"/>
            <w:left w:val="nil"/>
            <w:bottom w:val="nil"/>
            <w:right w:val="nil"/>
          </w:tcBorders>
        </w:tcPr>
        <w:p w14:paraId="4FB8725D" w14:textId="6F41778B" w:rsidR="00B80A99" w:rsidRDefault="00B80A99" w:rsidP="00FF513E">
          <w:pPr>
            <w:pStyle w:val="Header"/>
          </w:pPr>
        </w:p>
      </w:tc>
    </w:tr>
  </w:tbl>
  <w:p w14:paraId="66FECBA0" w14:textId="1DBBCDEA" w:rsidR="00BA152D" w:rsidRDefault="00BA1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44"/>
      <w:gridCol w:w="4168"/>
    </w:tblGrid>
    <w:tr w:rsidR="00B80A99" w14:paraId="0441A31A" w14:textId="77777777" w:rsidTr="000D63A8">
      <w:tc>
        <w:tcPr>
          <w:tcW w:w="4264" w:type="dxa"/>
          <w:tcBorders>
            <w:top w:val="nil"/>
            <w:left w:val="nil"/>
            <w:bottom w:val="nil"/>
            <w:right w:val="nil"/>
          </w:tcBorders>
        </w:tcPr>
        <w:p w14:paraId="12563CD9" w14:textId="77777777" w:rsidR="00B80A99" w:rsidRDefault="00B80A99" w:rsidP="00FF513E">
          <w:pPr>
            <w:pStyle w:val="Header"/>
          </w:pPr>
        </w:p>
      </w:tc>
      <w:tc>
        <w:tcPr>
          <w:tcW w:w="4264" w:type="dxa"/>
          <w:tcBorders>
            <w:top w:val="nil"/>
            <w:left w:val="nil"/>
            <w:bottom w:val="nil"/>
            <w:right w:val="nil"/>
          </w:tcBorders>
        </w:tcPr>
        <w:p w14:paraId="1169006A" w14:textId="77777777" w:rsidR="00B80A99" w:rsidRDefault="00B80A99" w:rsidP="000D63A8">
          <w:pPr>
            <w:pStyle w:val="Header"/>
          </w:pPr>
          <w:r>
            <w:t>October 2018</w:t>
          </w:r>
        </w:p>
      </w:tc>
    </w:tr>
  </w:tbl>
  <w:p w14:paraId="651ABF96" w14:textId="77777777" w:rsidR="00B80A99" w:rsidRDefault="00B80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463545"/>
    <w:multiLevelType w:val="multilevel"/>
    <w:tmpl w:val="5D10913E"/>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B35CF0"/>
    <w:multiLevelType w:val="hybridMultilevel"/>
    <w:tmpl w:val="6810B4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69054C"/>
    <w:multiLevelType w:val="hybridMultilevel"/>
    <w:tmpl w:val="EED622C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49DD6E37"/>
    <w:multiLevelType w:val="hybridMultilevel"/>
    <w:tmpl w:val="34E8E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6"/>
  </w:num>
  <w:num w:numId="11">
    <w:abstractNumId w:val="2"/>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190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F6"/>
    <w:rsid w:val="00000FC0"/>
    <w:rsid w:val="0000183A"/>
    <w:rsid w:val="00001D43"/>
    <w:rsid w:val="00005135"/>
    <w:rsid w:val="0000515B"/>
    <w:rsid w:val="0000669E"/>
    <w:rsid w:val="000067CF"/>
    <w:rsid w:val="00007CF9"/>
    <w:rsid w:val="0001172A"/>
    <w:rsid w:val="00012A9B"/>
    <w:rsid w:val="000142BF"/>
    <w:rsid w:val="00014DFC"/>
    <w:rsid w:val="00015087"/>
    <w:rsid w:val="00016DD7"/>
    <w:rsid w:val="0002067E"/>
    <w:rsid w:val="00020BDD"/>
    <w:rsid w:val="00024A94"/>
    <w:rsid w:val="00024B0A"/>
    <w:rsid w:val="0002751D"/>
    <w:rsid w:val="00030B15"/>
    <w:rsid w:val="00032872"/>
    <w:rsid w:val="0003330A"/>
    <w:rsid w:val="00033B44"/>
    <w:rsid w:val="0003540C"/>
    <w:rsid w:val="000361FD"/>
    <w:rsid w:val="00040590"/>
    <w:rsid w:val="0004248D"/>
    <w:rsid w:val="000453B9"/>
    <w:rsid w:val="00047508"/>
    <w:rsid w:val="000518B9"/>
    <w:rsid w:val="00052A49"/>
    <w:rsid w:val="00052AC3"/>
    <w:rsid w:val="00053813"/>
    <w:rsid w:val="00056F70"/>
    <w:rsid w:val="000579AB"/>
    <w:rsid w:val="00061E5A"/>
    <w:rsid w:val="00062A93"/>
    <w:rsid w:val="0006337F"/>
    <w:rsid w:val="000640E1"/>
    <w:rsid w:val="00074D85"/>
    <w:rsid w:val="00075DC8"/>
    <w:rsid w:val="00080CA2"/>
    <w:rsid w:val="00082438"/>
    <w:rsid w:val="0008389F"/>
    <w:rsid w:val="00084472"/>
    <w:rsid w:val="00086169"/>
    <w:rsid w:val="00086A45"/>
    <w:rsid w:val="00087D3E"/>
    <w:rsid w:val="00091990"/>
    <w:rsid w:val="000925C7"/>
    <w:rsid w:val="00097193"/>
    <w:rsid w:val="000A30BF"/>
    <w:rsid w:val="000A3115"/>
    <w:rsid w:val="000A4CF1"/>
    <w:rsid w:val="000B217D"/>
    <w:rsid w:val="000B47B2"/>
    <w:rsid w:val="000B7EF5"/>
    <w:rsid w:val="000C2DFF"/>
    <w:rsid w:val="000C2F9E"/>
    <w:rsid w:val="000C370D"/>
    <w:rsid w:val="000C5D80"/>
    <w:rsid w:val="000C607C"/>
    <w:rsid w:val="000D253B"/>
    <w:rsid w:val="000D63A8"/>
    <w:rsid w:val="000D6D38"/>
    <w:rsid w:val="000D7A9C"/>
    <w:rsid w:val="000E1A89"/>
    <w:rsid w:val="000E3F86"/>
    <w:rsid w:val="000E5B03"/>
    <w:rsid w:val="000F0368"/>
    <w:rsid w:val="000F3086"/>
    <w:rsid w:val="000F3198"/>
    <w:rsid w:val="000F3A48"/>
    <w:rsid w:val="000F52ED"/>
    <w:rsid w:val="000F7FBF"/>
    <w:rsid w:val="00103A98"/>
    <w:rsid w:val="001067A9"/>
    <w:rsid w:val="00110917"/>
    <w:rsid w:val="00110A0F"/>
    <w:rsid w:val="001117EE"/>
    <w:rsid w:val="0011219D"/>
    <w:rsid w:val="0011364A"/>
    <w:rsid w:val="001211D0"/>
    <w:rsid w:val="00122173"/>
    <w:rsid w:val="00122EC2"/>
    <w:rsid w:val="00125E53"/>
    <w:rsid w:val="001266B5"/>
    <w:rsid w:val="00126E06"/>
    <w:rsid w:val="00130A87"/>
    <w:rsid w:val="00131FBC"/>
    <w:rsid w:val="00132172"/>
    <w:rsid w:val="0013237B"/>
    <w:rsid w:val="00134D68"/>
    <w:rsid w:val="00136890"/>
    <w:rsid w:val="00141C7D"/>
    <w:rsid w:val="00141CA6"/>
    <w:rsid w:val="001438B6"/>
    <w:rsid w:val="00144113"/>
    <w:rsid w:val="001454F9"/>
    <w:rsid w:val="00146031"/>
    <w:rsid w:val="00146494"/>
    <w:rsid w:val="00146773"/>
    <w:rsid w:val="00150DD1"/>
    <w:rsid w:val="00160813"/>
    <w:rsid w:val="00161206"/>
    <w:rsid w:val="00161A4F"/>
    <w:rsid w:val="00163056"/>
    <w:rsid w:val="00165C99"/>
    <w:rsid w:val="00165F8C"/>
    <w:rsid w:val="0016740D"/>
    <w:rsid w:val="00170DFB"/>
    <w:rsid w:val="001716B8"/>
    <w:rsid w:val="00173A04"/>
    <w:rsid w:val="00174EF5"/>
    <w:rsid w:val="00174FD0"/>
    <w:rsid w:val="00175604"/>
    <w:rsid w:val="0017690A"/>
    <w:rsid w:val="00182FA1"/>
    <w:rsid w:val="00185DE8"/>
    <w:rsid w:val="00190CD3"/>
    <w:rsid w:val="00194286"/>
    <w:rsid w:val="00195C9B"/>
    <w:rsid w:val="00195F4E"/>
    <w:rsid w:val="001A041F"/>
    <w:rsid w:val="001A64C9"/>
    <w:rsid w:val="001B33D5"/>
    <w:rsid w:val="001B4604"/>
    <w:rsid w:val="001B4EDD"/>
    <w:rsid w:val="001B5AEE"/>
    <w:rsid w:val="001B72BE"/>
    <w:rsid w:val="001C134B"/>
    <w:rsid w:val="001C297B"/>
    <w:rsid w:val="001C515A"/>
    <w:rsid w:val="001C6F08"/>
    <w:rsid w:val="001C755C"/>
    <w:rsid w:val="001C7D25"/>
    <w:rsid w:val="001D15BA"/>
    <w:rsid w:val="001D4231"/>
    <w:rsid w:val="001E22EC"/>
    <w:rsid w:val="001E3D80"/>
    <w:rsid w:val="001E5F22"/>
    <w:rsid w:val="001E7EA9"/>
    <w:rsid w:val="001F0E41"/>
    <w:rsid w:val="001F58B9"/>
    <w:rsid w:val="001F6B8D"/>
    <w:rsid w:val="001F6C36"/>
    <w:rsid w:val="001F79A8"/>
    <w:rsid w:val="002023BC"/>
    <w:rsid w:val="00202719"/>
    <w:rsid w:val="00202C62"/>
    <w:rsid w:val="0021029C"/>
    <w:rsid w:val="00212FAF"/>
    <w:rsid w:val="00213185"/>
    <w:rsid w:val="00214233"/>
    <w:rsid w:val="00214AE7"/>
    <w:rsid w:val="0022372A"/>
    <w:rsid w:val="00223C3E"/>
    <w:rsid w:val="002248C1"/>
    <w:rsid w:val="002260F3"/>
    <w:rsid w:val="00231E9C"/>
    <w:rsid w:val="00233525"/>
    <w:rsid w:val="00233AE6"/>
    <w:rsid w:val="00235E39"/>
    <w:rsid w:val="00237E32"/>
    <w:rsid w:val="00242E41"/>
    <w:rsid w:val="00243736"/>
    <w:rsid w:val="002439F9"/>
    <w:rsid w:val="002445B5"/>
    <w:rsid w:val="00244E3D"/>
    <w:rsid w:val="00246720"/>
    <w:rsid w:val="002500F9"/>
    <w:rsid w:val="00254F31"/>
    <w:rsid w:val="002559A9"/>
    <w:rsid w:val="002571FC"/>
    <w:rsid w:val="00257DF9"/>
    <w:rsid w:val="002607C2"/>
    <w:rsid w:val="00261A40"/>
    <w:rsid w:val="0026226C"/>
    <w:rsid w:val="00262473"/>
    <w:rsid w:val="0026699D"/>
    <w:rsid w:val="002724AB"/>
    <w:rsid w:val="0027419A"/>
    <w:rsid w:val="002742B3"/>
    <w:rsid w:val="002803AA"/>
    <w:rsid w:val="002850FC"/>
    <w:rsid w:val="00285D2C"/>
    <w:rsid w:val="00287F37"/>
    <w:rsid w:val="00290128"/>
    <w:rsid w:val="00290840"/>
    <w:rsid w:val="0029325B"/>
    <w:rsid w:val="00293406"/>
    <w:rsid w:val="00293B72"/>
    <w:rsid w:val="0029455F"/>
    <w:rsid w:val="002946A2"/>
    <w:rsid w:val="0029708B"/>
    <w:rsid w:val="002A07F8"/>
    <w:rsid w:val="002A2A44"/>
    <w:rsid w:val="002B1A74"/>
    <w:rsid w:val="002B20E4"/>
    <w:rsid w:val="002B2870"/>
    <w:rsid w:val="002B5D6F"/>
    <w:rsid w:val="002C24CA"/>
    <w:rsid w:val="002C2A55"/>
    <w:rsid w:val="002C397A"/>
    <w:rsid w:val="002C4852"/>
    <w:rsid w:val="002C6183"/>
    <w:rsid w:val="002C67AE"/>
    <w:rsid w:val="002D41BD"/>
    <w:rsid w:val="002D6515"/>
    <w:rsid w:val="002D7A76"/>
    <w:rsid w:val="002E02B5"/>
    <w:rsid w:val="002E30E8"/>
    <w:rsid w:val="002E32F1"/>
    <w:rsid w:val="002E4A0A"/>
    <w:rsid w:val="002E564C"/>
    <w:rsid w:val="002E66A6"/>
    <w:rsid w:val="002F06C2"/>
    <w:rsid w:val="002F1438"/>
    <w:rsid w:val="002F4B64"/>
    <w:rsid w:val="002F575E"/>
    <w:rsid w:val="002F7206"/>
    <w:rsid w:val="00301C87"/>
    <w:rsid w:val="00302D01"/>
    <w:rsid w:val="00303436"/>
    <w:rsid w:val="003036B0"/>
    <w:rsid w:val="00304F33"/>
    <w:rsid w:val="0030731F"/>
    <w:rsid w:val="003079DE"/>
    <w:rsid w:val="00312A54"/>
    <w:rsid w:val="00313152"/>
    <w:rsid w:val="0031419C"/>
    <w:rsid w:val="00326BBE"/>
    <w:rsid w:val="003279B8"/>
    <w:rsid w:val="00332849"/>
    <w:rsid w:val="00337084"/>
    <w:rsid w:val="0033759D"/>
    <w:rsid w:val="00340DF8"/>
    <w:rsid w:val="00340FFA"/>
    <w:rsid w:val="00341552"/>
    <w:rsid w:val="003419F1"/>
    <w:rsid w:val="003432E6"/>
    <w:rsid w:val="0034583F"/>
    <w:rsid w:val="00345AAB"/>
    <w:rsid w:val="00346F36"/>
    <w:rsid w:val="00347245"/>
    <w:rsid w:val="003510EB"/>
    <w:rsid w:val="00355E98"/>
    <w:rsid w:val="003607CD"/>
    <w:rsid w:val="00361169"/>
    <w:rsid w:val="0036155E"/>
    <w:rsid w:val="00361BA8"/>
    <w:rsid w:val="003630FD"/>
    <w:rsid w:val="00364C53"/>
    <w:rsid w:val="003701BC"/>
    <w:rsid w:val="00370872"/>
    <w:rsid w:val="003726E8"/>
    <w:rsid w:val="0037276F"/>
    <w:rsid w:val="0037343B"/>
    <w:rsid w:val="003734C7"/>
    <w:rsid w:val="003759FD"/>
    <w:rsid w:val="00377A2A"/>
    <w:rsid w:val="00381226"/>
    <w:rsid w:val="003823F1"/>
    <w:rsid w:val="0038413F"/>
    <w:rsid w:val="003844C3"/>
    <w:rsid w:val="003873A2"/>
    <w:rsid w:val="00387E3D"/>
    <w:rsid w:val="00387F58"/>
    <w:rsid w:val="00391AD7"/>
    <w:rsid w:val="003936EA"/>
    <w:rsid w:val="003A0202"/>
    <w:rsid w:val="003A08EE"/>
    <w:rsid w:val="003A5D75"/>
    <w:rsid w:val="003A5F49"/>
    <w:rsid w:val="003B52EB"/>
    <w:rsid w:val="003B7D9A"/>
    <w:rsid w:val="003C25F1"/>
    <w:rsid w:val="003C2E70"/>
    <w:rsid w:val="003C46D7"/>
    <w:rsid w:val="003D0E73"/>
    <w:rsid w:val="003D2E5B"/>
    <w:rsid w:val="003D386F"/>
    <w:rsid w:val="003D4EF8"/>
    <w:rsid w:val="003D5032"/>
    <w:rsid w:val="003E1971"/>
    <w:rsid w:val="003E1A8F"/>
    <w:rsid w:val="003E262E"/>
    <w:rsid w:val="003E4B3A"/>
    <w:rsid w:val="003E6200"/>
    <w:rsid w:val="003E6708"/>
    <w:rsid w:val="003F22DE"/>
    <w:rsid w:val="003F3403"/>
    <w:rsid w:val="003F687D"/>
    <w:rsid w:val="003F7594"/>
    <w:rsid w:val="003F7E41"/>
    <w:rsid w:val="004046AF"/>
    <w:rsid w:val="004048BE"/>
    <w:rsid w:val="00404E5B"/>
    <w:rsid w:val="00410E67"/>
    <w:rsid w:val="004144E7"/>
    <w:rsid w:val="00414727"/>
    <w:rsid w:val="00416322"/>
    <w:rsid w:val="0042444A"/>
    <w:rsid w:val="00425580"/>
    <w:rsid w:val="004259ED"/>
    <w:rsid w:val="00432296"/>
    <w:rsid w:val="004323FD"/>
    <w:rsid w:val="004327B3"/>
    <w:rsid w:val="00437FBC"/>
    <w:rsid w:val="00440D20"/>
    <w:rsid w:val="0045009E"/>
    <w:rsid w:val="00450DC5"/>
    <w:rsid w:val="004535C1"/>
    <w:rsid w:val="00453E3A"/>
    <w:rsid w:val="004560E3"/>
    <w:rsid w:val="004566A1"/>
    <w:rsid w:val="00457B3B"/>
    <w:rsid w:val="00460020"/>
    <w:rsid w:val="0046117D"/>
    <w:rsid w:val="004644C0"/>
    <w:rsid w:val="004676D8"/>
    <w:rsid w:val="0047072E"/>
    <w:rsid w:val="00474D91"/>
    <w:rsid w:val="004776D4"/>
    <w:rsid w:val="00481E42"/>
    <w:rsid w:val="00483544"/>
    <w:rsid w:val="004848B9"/>
    <w:rsid w:val="00484E05"/>
    <w:rsid w:val="0048511B"/>
    <w:rsid w:val="00486686"/>
    <w:rsid w:val="00491148"/>
    <w:rsid w:val="00491160"/>
    <w:rsid w:val="004921DE"/>
    <w:rsid w:val="0049309A"/>
    <w:rsid w:val="00493981"/>
    <w:rsid w:val="00494FFA"/>
    <w:rsid w:val="004966B8"/>
    <w:rsid w:val="004A011D"/>
    <w:rsid w:val="004A3254"/>
    <w:rsid w:val="004A4DA4"/>
    <w:rsid w:val="004A593E"/>
    <w:rsid w:val="004B1151"/>
    <w:rsid w:val="004B5461"/>
    <w:rsid w:val="004B64A5"/>
    <w:rsid w:val="004C26AE"/>
    <w:rsid w:val="004C3D07"/>
    <w:rsid w:val="004C4EDB"/>
    <w:rsid w:val="004C5844"/>
    <w:rsid w:val="004C7769"/>
    <w:rsid w:val="004C7FB4"/>
    <w:rsid w:val="004D153E"/>
    <w:rsid w:val="004D15D2"/>
    <w:rsid w:val="004D3418"/>
    <w:rsid w:val="004D34CC"/>
    <w:rsid w:val="004D38C3"/>
    <w:rsid w:val="004D3A66"/>
    <w:rsid w:val="004D41B5"/>
    <w:rsid w:val="004D53A7"/>
    <w:rsid w:val="004D635A"/>
    <w:rsid w:val="004E147C"/>
    <w:rsid w:val="004E1CF9"/>
    <w:rsid w:val="004E2C31"/>
    <w:rsid w:val="004E3503"/>
    <w:rsid w:val="004E3919"/>
    <w:rsid w:val="004E3BB5"/>
    <w:rsid w:val="004E4302"/>
    <w:rsid w:val="004E5E71"/>
    <w:rsid w:val="004E700B"/>
    <w:rsid w:val="004E7CE2"/>
    <w:rsid w:val="004F1F0A"/>
    <w:rsid w:val="004F2AC1"/>
    <w:rsid w:val="004F2F38"/>
    <w:rsid w:val="004F2F7E"/>
    <w:rsid w:val="004F6E4F"/>
    <w:rsid w:val="004F77F7"/>
    <w:rsid w:val="00502D02"/>
    <w:rsid w:val="0050420E"/>
    <w:rsid w:val="005050E8"/>
    <w:rsid w:val="00505428"/>
    <w:rsid w:val="00505C73"/>
    <w:rsid w:val="00506079"/>
    <w:rsid w:val="005067EF"/>
    <w:rsid w:val="0051011C"/>
    <w:rsid w:val="00510E6C"/>
    <w:rsid w:val="005113CC"/>
    <w:rsid w:val="00511487"/>
    <w:rsid w:val="00513609"/>
    <w:rsid w:val="0051446D"/>
    <w:rsid w:val="00514710"/>
    <w:rsid w:val="00521673"/>
    <w:rsid w:val="00521A35"/>
    <w:rsid w:val="00522967"/>
    <w:rsid w:val="00522AED"/>
    <w:rsid w:val="005272A8"/>
    <w:rsid w:val="00527876"/>
    <w:rsid w:val="0053021B"/>
    <w:rsid w:val="005314E8"/>
    <w:rsid w:val="005326F6"/>
    <w:rsid w:val="00533ADE"/>
    <w:rsid w:val="00534298"/>
    <w:rsid w:val="00534FFE"/>
    <w:rsid w:val="00535AAE"/>
    <w:rsid w:val="00536B08"/>
    <w:rsid w:val="00540AC2"/>
    <w:rsid w:val="00542910"/>
    <w:rsid w:val="00544072"/>
    <w:rsid w:val="00551C22"/>
    <w:rsid w:val="00552093"/>
    <w:rsid w:val="0056044F"/>
    <w:rsid w:val="00560CC1"/>
    <w:rsid w:val="0056469A"/>
    <w:rsid w:val="00566BD8"/>
    <w:rsid w:val="00567B4A"/>
    <w:rsid w:val="00576882"/>
    <w:rsid w:val="005803D1"/>
    <w:rsid w:val="0058138B"/>
    <w:rsid w:val="00583949"/>
    <w:rsid w:val="00583DAF"/>
    <w:rsid w:val="00585C2C"/>
    <w:rsid w:val="00586213"/>
    <w:rsid w:val="00586713"/>
    <w:rsid w:val="00590656"/>
    <w:rsid w:val="005921CD"/>
    <w:rsid w:val="005936F5"/>
    <w:rsid w:val="005936FA"/>
    <w:rsid w:val="00594C57"/>
    <w:rsid w:val="005A05F4"/>
    <w:rsid w:val="005A75C6"/>
    <w:rsid w:val="005A7E86"/>
    <w:rsid w:val="005B0B8A"/>
    <w:rsid w:val="005B1A16"/>
    <w:rsid w:val="005B1E78"/>
    <w:rsid w:val="005B28B5"/>
    <w:rsid w:val="005B424C"/>
    <w:rsid w:val="005B43BA"/>
    <w:rsid w:val="005B6DC2"/>
    <w:rsid w:val="005C675F"/>
    <w:rsid w:val="005C6B30"/>
    <w:rsid w:val="005C7205"/>
    <w:rsid w:val="005D13A6"/>
    <w:rsid w:val="005D5172"/>
    <w:rsid w:val="005D6A12"/>
    <w:rsid w:val="005D7D4A"/>
    <w:rsid w:val="005E1086"/>
    <w:rsid w:val="005E1E75"/>
    <w:rsid w:val="005E4E23"/>
    <w:rsid w:val="005E5663"/>
    <w:rsid w:val="005E5910"/>
    <w:rsid w:val="005F36B9"/>
    <w:rsid w:val="005F3BC7"/>
    <w:rsid w:val="005F3C43"/>
    <w:rsid w:val="005F6BC3"/>
    <w:rsid w:val="005F6F74"/>
    <w:rsid w:val="00600389"/>
    <w:rsid w:val="00604B3B"/>
    <w:rsid w:val="00604CBB"/>
    <w:rsid w:val="00612BB5"/>
    <w:rsid w:val="00616009"/>
    <w:rsid w:val="00616A36"/>
    <w:rsid w:val="00616ECF"/>
    <w:rsid w:val="00617725"/>
    <w:rsid w:val="0061794C"/>
    <w:rsid w:val="00617D4E"/>
    <w:rsid w:val="006200CC"/>
    <w:rsid w:val="006212BF"/>
    <w:rsid w:val="00622480"/>
    <w:rsid w:val="00622A73"/>
    <w:rsid w:val="006252CE"/>
    <w:rsid w:val="00630084"/>
    <w:rsid w:val="0063182D"/>
    <w:rsid w:val="00634DBE"/>
    <w:rsid w:val="006404AC"/>
    <w:rsid w:val="006415A7"/>
    <w:rsid w:val="00641D59"/>
    <w:rsid w:val="0064362A"/>
    <w:rsid w:val="00647D58"/>
    <w:rsid w:val="0065039C"/>
    <w:rsid w:val="00651499"/>
    <w:rsid w:val="00651D66"/>
    <w:rsid w:val="00656D42"/>
    <w:rsid w:val="00660280"/>
    <w:rsid w:val="00665DCB"/>
    <w:rsid w:val="00671FFC"/>
    <w:rsid w:val="006720F3"/>
    <w:rsid w:val="0068020B"/>
    <w:rsid w:val="006802E5"/>
    <w:rsid w:val="006829EE"/>
    <w:rsid w:val="00682CB2"/>
    <w:rsid w:val="00682E5A"/>
    <w:rsid w:val="00683FA1"/>
    <w:rsid w:val="00684F73"/>
    <w:rsid w:val="006947DF"/>
    <w:rsid w:val="00696639"/>
    <w:rsid w:val="00696E43"/>
    <w:rsid w:val="0069731F"/>
    <w:rsid w:val="006976CB"/>
    <w:rsid w:val="006A05E3"/>
    <w:rsid w:val="006A3564"/>
    <w:rsid w:val="006A452B"/>
    <w:rsid w:val="006A6102"/>
    <w:rsid w:val="006A6A52"/>
    <w:rsid w:val="006A6EAE"/>
    <w:rsid w:val="006B0F43"/>
    <w:rsid w:val="006B245C"/>
    <w:rsid w:val="006B3830"/>
    <w:rsid w:val="006B39DF"/>
    <w:rsid w:val="006B3DE7"/>
    <w:rsid w:val="006B4644"/>
    <w:rsid w:val="006B4C94"/>
    <w:rsid w:val="006B7A57"/>
    <w:rsid w:val="006C06E6"/>
    <w:rsid w:val="006C2343"/>
    <w:rsid w:val="006C44FB"/>
    <w:rsid w:val="006D042E"/>
    <w:rsid w:val="006D279E"/>
    <w:rsid w:val="006D4414"/>
    <w:rsid w:val="006E3D63"/>
    <w:rsid w:val="006E5DD8"/>
    <w:rsid w:val="006F275C"/>
    <w:rsid w:val="006F47A5"/>
    <w:rsid w:val="006F5A09"/>
    <w:rsid w:val="006F6371"/>
    <w:rsid w:val="006F641E"/>
    <w:rsid w:val="006F7D5E"/>
    <w:rsid w:val="007020E7"/>
    <w:rsid w:val="00702C3D"/>
    <w:rsid w:val="007031F4"/>
    <w:rsid w:val="00704B31"/>
    <w:rsid w:val="00707F2D"/>
    <w:rsid w:val="00707F77"/>
    <w:rsid w:val="00710C2A"/>
    <w:rsid w:val="00714A1E"/>
    <w:rsid w:val="00714C04"/>
    <w:rsid w:val="00715765"/>
    <w:rsid w:val="007158FB"/>
    <w:rsid w:val="00715F18"/>
    <w:rsid w:val="007164ED"/>
    <w:rsid w:val="00716896"/>
    <w:rsid w:val="00717A90"/>
    <w:rsid w:val="00717B15"/>
    <w:rsid w:val="00724449"/>
    <w:rsid w:val="00725AA6"/>
    <w:rsid w:val="00725F10"/>
    <w:rsid w:val="00725FCF"/>
    <w:rsid w:val="0072638B"/>
    <w:rsid w:val="00726911"/>
    <w:rsid w:val="0072746A"/>
    <w:rsid w:val="00732B56"/>
    <w:rsid w:val="007334F2"/>
    <w:rsid w:val="00734378"/>
    <w:rsid w:val="00734A53"/>
    <w:rsid w:val="00735918"/>
    <w:rsid w:val="00737E60"/>
    <w:rsid w:val="00742475"/>
    <w:rsid w:val="00742E0F"/>
    <w:rsid w:val="0074595C"/>
    <w:rsid w:val="00745B81"/>
    <w:rsid w:val="007461C5"/>
    <w:rsid w:val="00747A27"/>
    <w:rsid w:val="00753986"/>
    <w:rsid w:val="007561FE"/>
    <w:rsid w:val="007627F1"/>
    <w:rsid w:val="007628A3"/>
    <w:rsid w:val="0076309F"/>
    <w:rsid w:val="00763C8C"/>
    <w:rsid w:val="007666D7"/>
    <w:rsid w:val="00767AFC"/>
    <w:rsid w:val="00774E0C"/>
    <w:rsid w:val="00774F17"/>
    <w:rsid w:val="00775C63"/>
    <w:rsid w:val="0077614F"/>
    <w:rsid w:val="00776CE5"/>
    <w:rsid w:val="00776D66"/>
    <w:rsid w:val="00777ACD"/>
    <w:rsid w:val="00782DEF"/>
    <w:rsid w:val="00787FA9"/>
    <w:rsid w:val="00792908"/>
    <w:rsid w:val="00792CE0"/>
    <w:rsid w:val="007951FA"/>
    <w:rsid w:val="007A1AC5"/>
    <w:rsid w:val="007A2B5C"/>
    <w:rsid w:val="007A33E6"/>
    <w:rsid w:val="007A3DDC"/>
    <w:rsid w:val="007A53AC"/>
    <w:rsid w:val="007B0E16"/>
    <w:rsid w:val="007B686B"/>
    <w:rsid w:val="007C18AD"/>
    <w:rsid w:val="007C35EF"/>
    <w:rsid w:val="007C6532"/>
    <w:rsid w:val="007D2D7F"/>
    <w:rsid w:val="007E1F42"/>
    <w:rsid w:val="007E7424"/>
    <w:rsid w:val="007F24EE"/>
    <w:rsid w:val="007F3516"/>
    <w:rsid w:val="007F3BE5"/>
    <w:rsid w:val="007F6A99"/>
    <w:rsid w:val="00806D1F"/>
    <w:rsid w:val="00810037"/>
    <w:rsid w:val="00810057"/>
    <w:rsid w:val="00810B5F"/>
    <w:rsid w:val="00813EFC"/>
    <w:rsid w:val="0081454B"/>
    <w:rsid w:val="00816038"/>
    <w:rsid w:val="00816DC5"/>
    <w:rsid w:val="00821EF4"/>
    <w:rsid w:val="00824247"/>
    <w:rsid w:val="00824795"/>
    <w:rsid w:val="00824C47"/>
    <w:rsid w:val="0082664A"/>
    <w:rsid w:val="008300AE"/>
    <w:rsid w:val="00831400"/>
    <w:rsid w:val="00833FBD"/>
    <w:rsid w:val="008353D4"/>
    <w:rsid w:val="00840AD5"/>
    <w:rsid w:val="00841154"/>
    <w:rsid w:val="00842FBD"/>
    <w:rsid w:val="0084403C"/>
    <w:rsid w:val="00844F89"/>
    <w:rsid w:val="008468CE"/>
    <w:rsid w:val="00852C8F"/>
    <w:rsid w:val="00852E41"/>
    <w:rsid w:val="008531FD"/>
    <w:rsid w:val="008534FC"/>
    <w:rsid w:val="0085645B"/>
    <w:rsid w:val="008607DF"/>
    <w:rsid w:val="0086194F"/>
    <w:rsid w:val="00862E3D"/>
    <w:rsid w:val="008636B0"/>
    <w:rsid w:val="00864A7E"/>
    <w:rsid w:val="0086707A"/>
    <w:rsid w:val="00867092"/>
    <w:rsid w:val="008679A9"/>
    <w:rsid w:val="008708CD"/>
    <w:rsid w:val="00871597"/>
    <w:rsid w:val="00872C49"/>
    <w:rsid w:val="00875828"/>
    <w:rsid w:val="00876FC8"/>
    <w:rsid w:val="00880C72"/>
    <w:rsid w:val="00882872"/>
    <w:rsid w:val="00885215"/>
    <w:rsid w:val="00887222"/>
    <w:rsid w:val="00895112"/>
    <w:rsid w:val="00895C35"/>
    <w:rsid w:val="00897E8D"/>
    <w:rsid w:val="008A17D8"/>
    <w:rsid w:val="008A3854"/>
    <w:rsid w:val="008A46AB"/>
    <w:rsid w:val="008A4AF0"/>
    <w:rsid w:val="008A631B"/>
    <w:rsid w:val="008A7790"/>
    <w:rsid w:val="008B0C3B"/>
    <w:rsid w:val="008B2F0D"/>
    <w:rsid w:val="008B4E6D"/>
    <w:rsid w:val="008B4FEC"/>
    <w:rsid w:val="008C0520"/>
    <w:rsid w:val="008C3D9F"/>
    <w:rsid w:val="008D0311"/>
    <w:rsid w:val="008D1265"/>
    <w:rsid w:val="008D1A9F"/>
    <w:rsid w:val="008D35D7"/>
    <w:rsid w:val="008D3ABF"/>
    <w:rsid w:val="008D41D1"/>
    <w:rsid w:val="008D76C5"/>
    <w:rsid w:val="008E170A"/>
    <w:rsid w:val="008E52A8"/>
    <w:rsid w:val="008E75CD"/>
    <w:rsid w:val="008E76F7"/>
    <w:rsid w:val="008F2455"/>
    <w:rsid w:val="008F2E9E"/>
    <w:rsid w:val="008F6612"/>
    <w:rsid w:val="008F6861"/>
    <w:rsid w:val="00904BE0"/>
    <w:rsid w:val="009101E1"/>
    <w:rsid w:val="009129AA"/>
    <w:rsid w:val="009160B3"/>
    <w:rsid w:val="0091625A"/>
    <w:rsid w:val="00917200"/>
    <w:rsid w:val="00920FDC"/>
    <w:rsid w:val="00922011"/>
    <w:rsid w:val="0092287A"/>
    <w:rsid w:val="00924B5E"/>
    <w:rsid w:val="00927985"/>
    <w:rsid w:val="00927F64"/>
    <w:rsid w:val="0093226F"/>
    <w:rsid w:val="00934BCE"/>
    <w:rsid w:val="00935B4D"/>
    <w:rsid w:val="0094245B"/>
    <w:rsid w:val="009472C6"/>
    <w:rsid w:val="009472CE"/>
    <w:rsid w:val="009473D3"/>
    <w:rsid w:val="00952557"/>
    <w:rsid w:val="00952908"/>
    <w:rsid w:val="009550C7"/>
    <w:rsid w:val="00956A83"/>
    <w:rsid w:val="009606C1"/>
    <w:rsid w:val="009609E8"/>
    <w:rsid w:val="0096181A"/>
    <w:rsid w:val="00961C2F"/>
    <w:rsid w:val="00962E12"/>
    <w:rsid w:val="00963BC5"/>
    <w:rsid w:val="00964A12"/>
    <w:rsid w:val="00966579"/>
    <w:rsid w:val="009705A0"/>
    <w:rsid w:val="00970C42"/>
    <w:rsid w:val="00971180"/>
    <w:rsid w:val="00971D46"/>
    <w:rsid w:val="009727F9"/>
    <w:rsid w:val="00973090"/>
    <w:rsid w:val="00974B54"/>
    <w:rsid w:val="00974E93"/>
    <w:rsid w:val="0097741B"/>
    <w:rsid w:val="00980146"/>
    <w:rsid w:val="009811A1"/>
    <w:rsid w:val="009871FB"/>
    <w:rsid w:val="009910DB"/>
    <w:rsid w:val="00991B14"/>
    <w:rsid w:val="00992CD3"/>
    <w:rsid w:val="009A1043"/>
    <w:rsid w:val="009A1F4A"/>
    <w:rsid w:val="009A32C8"/>
    <w:rsid w:val="009A683E"/>
    <w:rsid w:val="009B0A33"/>
    <w:rsid w:val="009B16B1"/>
    <w:rsid w:val="009B28A5"/>
    <w:rsid w:val="009B37CE"/>
    <w:rsid w:val="009B5CC0"/>
    <w:rsid w:val="009B6212"/>
    <w:rsid w:val="009B6491"/>
    <w:rsid w:val="009B68B9"/>
    <w:rsid w:val="009C1BD6"/>
    <w:rsid w:val="009C5368"/>
    <w:rsid w:val="009C62A9"/>
    <w:rsid w:val="009C7608"/>
    <w:rsid w:val="009C77A0"/>
    <w:rsid w:val="009D0BD0"/>
    <w:rsid w:val="009D2208"/>
    <w:rsid w:val="009D284C"/>
    <w:rsid w:val="009D467A"/>
    <w:rsid w:val="009D4D23"/>
    <w:rsid w:val="009E0436"/>
    <w:rsid w:val="009E096D"/>
    <w:rsid w:val="009E1E6C"/>
    <w:rsid w:val="009E5AAC"/>
    <w:rsid w:val="009E5BB4"/>
    <w:rsid w:val="009E76B1"/>
    <w:rsid w:val="009F0667"/>
    <w:rsid w:val="009F0D12"/>
    <w:rsid w:val="009F222A"/>
    <w:rsid w:val="009F3A3D"/>
    <w:rsid w:val="009F4B99"/>
    <w:rsid w:val="009F7699"/>
    <w:rsid w:val="00A026C1"/>
    <w:rsid w:val="00A0308C"/>
    <w:rsid w:val="00A03BFF"/>
    <w:rsid w:val="00A04007"/>
    <w:rsid w:val="00A04D81"/>
    <w:rsid w:val="00A05D8D"/>
    <w:rsid w:val="00A13664"/>
    <w:rsid w:val="00A16FF5"/>
    <w:rsid w:val="00A231DD"/>
    <w:rsid w:val="00A23507"/>
    <w:rsid w:val="00A23A47"/>
    <w:rsid w:val="00A26F5C"/>
    <w:rsid w:val="00A27B72"/>
    <w:rsid w:val="00A3041A"/>
    <w:rsid w:val="00A30F2F"/>
    <w:rsid w:val="00A354FE"/>
    <w:rsid w:val="00A36732"/>
    <w:rsid w:val="00A37B90"/>
    <w:rsid w:val="00A418F0"/>
    <w:rsid w:val="00A4417A"/>
    <w:rsid w:val="00A50372"/>
    <w:rsid w:val="00A51107"/>
    <w:rsid w:val="00A5159D"/>
    <w:rsid w:val="00A53C7F"/>
    <w:rsid w:val="00A5756F"/>
    <w:rsid w:val="00A6144E"/>
    <w:rsid w:val="00A61515"/>
    <w:rsid w:val="00A62BF4"/>
    <w:rsid w:val="00A63A2B"/>
    <w:rsid w:val="00A6494B"/>
    <w:rsid w:val="00A64CAB"/>
    <w:rsid w:val="00A7086E"/>
    <w:rsid w:val="00A732AA"/>
    <w:rsid w:val="00A73618"/>
    <w:rsid w:val="00A75165"/>
    <w:rsid w:val="00A83E60"/>
    <w:rsid w:val="00A84FE4"/>
    <w:rsid w:val="00A87E73"/>
    <w:rsid w:val="00A95E30"/>
    <w:rsid w:val="00A97802"/>
    <w:rsid w:val="00AA106D"/>
    <w:rsid w:val="00AA1508"/>
    <w:rsid w:val="00AA1BAE"/>
    <w:rsid w:val="00AA2A43"/>
    <w:rsid w:val="00AA4AD8"/>
    <w:rsid w:val="00AA4C38"/>
    <w:rsid w:val="00AA60F6"/>
    <w:rsid w:val="00AB01A3"/>
    <w:rsid w:val="00AB0FEF"/>
    <w:rsid w:val="00AB159E"/>
    <w:rsid w:val="00AB1E05"/>
    <w:rsid w:val="00AB3458"/>
    <w:rsid w:val="00AB345B"/>
    <w:rsid w:val="00AB3E2C"/>
    <w:rsid w:val="00AB5030"/>
    <w:rsid w:val="00AB7F93"/>
    <w:rsid w:val="00AC2517"/>
    <w:rsid w:val="00AC3B8E"/>
    <w:rsid w:val="00AC6130"/>
    <w:rsid w:val="00AC70AB"/>
    <w:rsid w:val="00AC74AC"/>
    <w:rsid w:val="00AD0FA7"/>
    <w:rsid w:val="00AD1757"/>
    <w:rsid w:val="00AD2B34"/>
    <w:rsid w:val="00AD705C"/>
    <w:rsid w:val="00AD71FB"/>
    <w:rsid w:val="00AD740D"/>
    <w:rsid w:val="00AE1650"/>
    <w:rsid w:val="00AE1D22"/>
    <w:rsid w:val="00AE28DB"/>
    <w:rsid w:val="00AE2B72"/>
    <w:rsid w:val="00B038A3"/>
    <w:rsid w:val="00B03CE9"/>
    <w:rsid w:val="00B047E0"/>
    <w:rsid w:val="00B04B20"/>
    <w:rsid w:val="00B05C37"/>
    <w:rsid w:val="00B072E9"/>
    <w:rsid w:val="00B125E2"/>
    <w:rsid w:val="00B12AFA"/>
    <w:rsid w:val="00B130DA"/>
    <w:rsid w:val="00B16BA9"/>
    <w:rsid w:val="00B2064A"/>
    <w:rsid w:val="00B22F00"/>
    <w:rsid w:val="00B23760"/>
    <w:rsid w:val="00B2508B"/>
    <w:rsid w:val="00B25C3C"/>
    <w:rsid w:val="00B2704F"/>
    <w:rsid w:val="00B27764"/>
    <w:rsid w:val="00B30229"/>
    <w:rsid w:val="00B3430F"/>
    <w:rsid w:val="00B3451A"/>
    <w:rsid w:val="00B3666B"/>
    <w:rsid w:val="00B3720C"/>
    <w:rsid w:val="00B425B8"/>
    <w:rsid w:val="00B44AED"/>
    <w:rsid w:val="00B46FCB"/>
    <w:rsid w:val="00B4746D"/>
    <w:rsid w:val="00B47BD7"/>
    <w:rsid w:val="00B540CE"/>
    <w:rsid w:val="00B6068B"/>
    <w:rsid w:val="00B611F2"/>
    <w:rsid w:val="00B62D6D"/>
    <w:rsid w:val="00B632A4"/>
    <w:rsid w:val="00B65A00"/>
    <w:rsid w:val="00B7331B"/>
    <w:rsid w:val="00B750CF"/>
    <w:rsid w:val="00B766FA"/>
    <w:rsid w:val="00B769B9"/>
    <w:rsid w:val="00B76B18"/>
    <w:rsid w:val="00B80A99"/>
    <w:rsid w:val="00B84852"/>
    <w:rsid w:val="00B872F5"/>
    <w:rsid w:val="00B90FE9"/>
    <w:rsid w:val="00B9206D"/>
    <w:rsid w:val="00B925FD"/>
    <w:rsid w:val="00B9266A"/>
    <w:rsid w:val="00B94DA1"/>
    <w:rsid w:val="00B95EE8"/>
    <w:rsid w:val="00B971C4"/>
    <w:rsid w:val="00BA152D"/>
    <w:rsid w:val="00BA20C6"/>
    <w:rsid w:val="00BA4C45"/>
    <w:rsid w:val="00BA5FB3"/>
    <w:rsid w:val="00BA6D10"/>
    <w:rsid w:val="00BA72BD"/>
    <w:rsid w:val="00BB18C4"/>
    <w:rsid w:val="00BC2450"/>
    <w:rsid w:val="00BC2D08"/>
    <w:rsid w:val="00BC7A2E"/>
    <w:rsid w:val="00BC7B8B"/>
    <w:rsid w:val="00BD4461"/>
    <w:rsid w:val="00BD4CA3"/>
    <w:rsid w:val="00BD4FC7"/>
    <w:rsid w:val="00BE17A8"/>
    <w:rsid w:val="00BE4E2B"/>
    <w:rsid w:val="00BE59F9"/>
    <w:rsid w:val="00BE6DAE"/>
    <w:rsid w:val="00BF1D48"/>
    <w:rsid w:val="00BF6CDF"/>
    <w:rsid w:val="00BF7F16"/>
    <w:rsid w:val="00C00090"/>
    <w:rsid w:val="00C0120F"/>
    <w:rsid w:val="00C0320C"/>
    <w:rsid w:val="00C03557"/>
    <w:rsid w:val="00C1094B"/>
    <w:rsid w:val="00C10BB1"/>
    <w:rsid w:val="00C132CF"/>
    <w:rsid w:val="00C13F43"/>
    <w:rsid w:val="00C14367"/>
    <w:rsid w:val="00C17199"/>
    <w:rsid w:val="00C17649"/>
    <w:rsid w:val="00C20025"/>
    <w:rsid w:val="00C216E2"/>
    <w:rsid w:val="00C21A2A"/>
    <w:rsid w:val="00C22B27"/>
    <w:rsid w:val="00C242C0"/>
    <w:rsid w:val="00C302FA"/>
    <w:rsid w:val="00C34EEC"/>
    <w:rsid w:val="00C36FA4"/>
    <w:rsid w:val="00C37218"/>
    <w:rsid w:val="00C50589"/>
    <w:rsid w:val="00C53AC8"/>
    <w:rsid w:val="00C5686C"/>
    <w:rsid w:val="00C57594"/>
    <w:rsid w:val="00C6788C"/>
    <w:rsid w:val="00C67A76"/>
    <w:rsid w:val="00C7195C"/>
    <w:rsid w:val="00C72D1B"/>
    <w:rsid w:val="00C74819"/>
    <w:rsid w:val="00C77653"/>
    <w:rsid w:val="00C80415"/>
    <w:rsid w:val="00C8198E"/>
    <w:rsid w:val="00C820F9"/>
    <w:rsid w:val="00C8313A"/>
    <w:rsid w:val="00C838B0"/>
    <w:rsid w:val="00C840E8"/>
    <w:rsid w:val="00C86748"/>
    <w:rsid w:val="00C872D2"/>
    <w:rsid w:val="00C87549"/>
    <w:rsid w:val="00C91A3D"/>
    <w:rsid w:val="00C93A38"/>
    <w:rsid w:val="00C94FB6"/>
    <w:rsid w:val="00C95633"/>
    <w:rsid w:val="00C95887"/>
    <w:rsid w:val="00CA0C4F"/>
    <w:rsid w:val="00CA1CC1"/>
    <w:rsid w:val="00CA288F"/>
    <w:rsid w:val="00CA6032"/>
    <w:rsid w:val="00CA6CB3"/>
    <w:rsid w:val="00CB0354"/>
    <w:rsid w:val="00CB1BA6"/>
    <w:rsid w:val="00CB423B"/>
    <w:rsid w:val="00CB4D62"/>
    <w:rsid w:val="00CB7762"/>
    <w:rsid w:val="00CB783E"/>
    <w:rsid w:val="00CC12B2"/>
    <w:rsid w:val="00CC24A0"/>
    <w:rsid w:val="00CC3FD2"/>
    <w:rsid w:val="00CC7775"/>
    <w:rsid w:val="00CC7D99"/>
    <w:rsid w:val="00CD4468"/>
    <w:rsid w:val="00CD661C"/>
    <w:rsid w:val="00CE0C39"/>
    <w:rsid w:val="00CE28E0"/>
    <w:rsid w:val="00CE7E23"/>
    <w:rsid w:val="00CF0EA9"/>
    <w:rsid w:val="00CF18D3"/>
    <w:rsid w:val="00CF7F81"/>
    <w:rsid w:val="00D01427"/>
    <w:rsid w:val="00D0176F"/>
    <w:rsid w:val="00D124EA"/>
    <w:rsid w:val="00D145A6"/>
    <w:rsid w:val="00D22147"/>
    <w:rsid w:val="00D23E3D"/>
    <w:rsid w:val="00D24476"/>
    <w:rsid w:val="00D24BB0"/>
    <w:rsid w:val="00D2558E"/>
    <w:rsid w:val="00D26A7A"/>
    <w:rsid w:val="00D316FE"/>
    <w:rsid w:val="00D3278A"/>
    <w:rsid w:val="00D32CA0"/>
    <w:rsid w:val="00D35D19"/>
    <w:rsid w:val="00D35DD0"/>
    <w:rsid w:val="00D36EC3"/>
    <w:rsid w:val="00D41DD9"/>
    <w:rsid w:val="00D45EC1"/>
    <w:rsid w:val="00D47051"/>
    <w:rsid w:val="00D4790E"/>
    <w:rsid w:val="00D51B03"/>
    <w:rsid w:val="00D538E4"/>
    <w:rsid w:val="00D56494"/>
    <w:rsid w:val="00D57207"/>
    <w:rsid w:val="00D6143F"/>
    <w:rsid w:val="00D61BAF"/>
    <w:rsid w:val="00D62D04"/>
    <w:rsid w:val="00D62EFA"/>
    <w:rsid w:val="00D630E2"/>
    <w:rsid w:val="00D64906"/>
    <w:rsid w:val="00D66EC6"/>
    <w:rsid w:val="00D71053"/>
    <w:rsid w:val="00D71F9A"/>
    <w:rsid w:val="00D72B90"/>
    <w:rsid w:val="00D73D53"/>
    <w:rsid w:val="00D80C84"/>
    <w:rsid w:val="00D810AF"/>
    <w:rsid w:val="00D82333"/>
    <w:rsid w:val="00D857C7"/>
    <w:rsid w:val="00D87EF1"/>
    <w:rsid w:val="00D970C0"/>
    <w:rsid w:val="00D97C6C"/>
    <w:rsid w:val="00DA09C0"/>
    <w:rsid w:val="00DA3651"/>
    <w:rsid w:val="00DA4B45"/>
    <w:rsid w:val="00DA4B6D"/>
    <w:rsid w:val="00DB43BD"/>
    <w:rsid w:val="00DB641E"/>
    <w:rsid w:val="00DB7AAD"/>
    <w:rsid w:val="00DC2E56"/>
    <w:rsid w:val="00DC47CE"/>
    <w:rsid w:val="00DC52E3"/>
    <w:rsid w:val="00DC5AF1"/>
    <w:rsid w:val="00DD0EAD"/>
    <w:rsid w:val="00DD1BB1"/>
    <w:rsid w:val="00DD5933"/>
    <w:rsid w:val="00DE2CD0"/>
    <w:rsid w:val="00DE3174"/>
    <w:rsid w:val="00DE39FA"/>
    <w:rsid w:val="00DE3FF1"/>
    <w:rsid w:val="00DF12C5"/>
    <w:rsid w:val="00DF2373"/>
    <w:rsid w:val="00DF28FA"/>
    <w:rsid w:val="00DF3770"/>
    <w:rsid w:val="00DF4C64"/>
    <w:rsid w:val="00DF539C"/>
    <w:rsid w:val="00E00A10"/>
    <w:rsid w:val="00E05BC3"/>
    <w:rsid w:val="00E05D90"/>
    <w:rsid w:val="00E07F40"/>
    <w:rsid w:val="00E114B0"/>
    <w:rsid w:val="00E15497"/>
    <w:rsid w:val="00E16DD9"/>
    <w:rsid w:val="00E17651"/>
    <w:rsid w:val="00E201A8"/>
    <w:rsid w:val="00E22195"/>
    <w:rsid w:val="00E230CF"/>
    <w:rsid w:val="00E23689"/>
    <w:rsid w:val="00E239BE"/>
    <w:rsid w:val="00E24E5C"/>
    <w:rsid w:val="00E2759A"/>
    <w:rsid w:val="00E30FBC"/>
    <w:rsid w:val="00E333F0"/>
    <w:rsid w:val="00E334CA"/>
    <w:rsid w:val="00E409C3"/>
    <w:rsid w:val="00E41E63"/>
    <w:rsid w:val="00E572F6"/>
    <w:rsid w:val="00E6087A"/>
    <w:rsid w:val="00E65B82"/>
    <w:rsid w:val="00E669C4"/>
    <w:rsid w:val="00E7024C"/>
    <w:rsid w:val="00E704EB"/>
    <w:rsid w:val="00E70693"/>
    <w:rsid w:val="00E707A0"/>
    <w:rsid w:val="00E70CA9"/>
    <w:rsid w:val="00E71275"/>
    <w:rsid w:val="00E712A0"/>
    <w:rsid w:val="00E714E0"/>
    <w:rsid w:val="00E71837"/>
    <w:rsid w:val="00E72D70"/>
    <w:rsid w:val="00E73FB5"/>
    <w:rsid w:val="00E74BEB"/>
    <w:rsid w:val="00E7738B"/>
    <w:rsid w:val="00E81441"/>
    <w:rsid w:val="00E83A76"/>
    <w:rsid w:val="00E83EE3"/>
    <w:rsid w:val="00E85609"/>
    <w:rsid w:val="00E869F5"/>
    <w:rsid w:val="00E87ABD"/>
    <w:rsid w:val="00E90C89"/>
    <w:rsid w:val="00E90E8E"/>
    <w:rsid w:val="00E92820"/>
    <w:rsid w:val="00E9496F"/>
    <w:rsid w:val="00E96B6D"/>
    <w:rsid w:val="00E9700A"/>
    <w:rsid w:val="00EA1C7F"/>
    <w:rsid w:val="00EA2B2E"/>
    <w:rsid w:val="00EA3587"/>
    <w:rsid w:val="00EA6785"/>
    <w:rsid w:val="00EA732D"/>
    <w:rsid w:val="00EB0FCD"/>
    <w:rsid w:val="00EB7262"/>
    <w:rsid w:val="00EC0076"/>
    <w:rsid w:val="00EC2FD1"/>
    <w:rsid w:val="00EC5653"/>
    <w:rsid w:val="00EC63C1"/>
    <w:rsid w:val="00ED5A35"/>
    <w:rsid w:val="00ED5BB9"/>
    <w:rsid w:val="00ED6C9E"/>
    <w:rsid w:val="00EE263C"/>
    <w:rsid w:val="00EE4C07"/>
    <w:rsid w:val="00F00F67"/>
    <w:rsid w:val="00F0147A"/>
    <w:rsid w:val="00F0224E"/>
    <w:rsid w:val="00F02DC8"/>
    <w:rsid w:val="00F039B1"/>
    <w:rsid w:val="00F04587"/>
    <w:rsid w:val="00F06B8B"/>
    <w:rsid w:val="00F11CA5"/>
    <w:rsid w:val="00F14A1D"/>
    <w:rsid w:val="00F15106"/>
    <w:rsid w:val="00F16D46"/>
    <w:rsid w:val="00F202E7"/>
    <w:rsid w:val="00F257B1"/>
    <w:rsid w:val="00F27F46"/>
    <w:rsid w:val="00F319A7"/>
    <w:rsid w:val="00F33A0C"/>
    <w:rsid w:val="00F350C5"/>
    <w:rsid w:val="00F3545D"/>
    <w:rsid w:val="00F420A3"/>
    <w:rsid w:val="00F555D2"/>
    <w:rsid w:val="00F55DA1"/>
    <w:rsid w:val="00F56604"/>
    <w:rsid w:val="00F57F1D"/>
    <w:rsid w:val="00F602E3"/>
    <w:rsid w:val="00F60881"/>
    <w:rsid w:val="00F61443"/>
    <w:rsid w:val="00F61BCE"/>
    <w:rsid w:val="00F61E29"/>
    <w:rsid w:val="00F63BC2"/>
    <w:rsid w:val="00F6431E"/>
    <w:rsid w:val="00F646D9"/>
    <w:rsid w:val="00F653DD"/>
    <w:rsid w:val="00F655CB"/>
    <w:rsid w:val="00F66943"/>
    <w:rsid w:val="00F66AFB"/>
    <w:rsid w:val="00F7706D"/>
    <w:rsid w:val="00F81DDA"/>
    <w:rsid w:val="00F8215C"/>
    <w:rsid w:val="00F8353D"/>
    <w:rsid w:val="00F86281"/>
    <w:rsid w:val="00F931C8"/>
    <w:rsid w:val="00F936A4"/>
    <w:rsid w:val="00F939C8"/>
    <w:rsid w:val="00F94828"/>
    <w:rsid w:val="00FA366F"/>
    <w:rsid w:val="00FA5345"/>
    <w:rsid w:val="00FA5EAC"/>
    <w:rsid w:val="00FA643C"/>
    <w:rsid w:val="00FA708E"/>
    <w:rsid w:val="00FA7512"/>
    <w:rsid w:val="00FB064D"/>
    <w:rsid w:val="00FB6CF1"/>
    <w:rsid w:val="00FC2616"/>
    <w:rsid w:val="00FC47C8"/>
    <w:rsid w:val="00FC696F"/>
    <w:rsid w:val="00FC7497"/>
    <w:rsid w:val="00FD1EA5"/>
    <w:rsid w:val="00FD3D7C"/>
    <w:rsid w:val="00FD44DE"/>
    <w:rsid w:val="00FD597A"/>
    <w:rsid w:val="00FD6F2A"/>
    <w:rsid w:val="00FD7ED7"/>
    <w:rsid w:val="00FE11C9"/>
    <w:rsid w:val="00FE2AA1"/>
    <w:rsid w:val="00FE52EB"/>
    <w:rsid w:val="00FE5A24"/>
    <w:rsid w:val="00FE71B5"/>
    <w:rsid w:val="00FF0F1C"/>
    <w:rsid w:val="00FF1155"/>
    <w:rsid w:val="00FF21BF"/>
    <w:rsid w:val="00FF29B3"/>
    <w:rsid w:val="00FF4246"/>
    <w:rsid w:val="00FF513E"/>
    <w:rsid w:val="00FF5BC2"/>
    <w:rsid w:val="00FF64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2BB390E3"/>
  <w15:docId w15:val="{CC0F506C-2E3F-4FF8-A092-6862573E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qFormat="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Emphasis" w:uiPriority="20" w:qFormat="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8"/>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99"/>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qFormat/>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3"/>
      </w:numPr>
    </w:pPr>
    <w:rPr>
      <w:rFonts w:eastAsia="Times New Roman"/>
      <w:szCs w:val="26"/>
    </w:rPr>
  </w:style>
  <w:style w:type="paragraph" w:customStyle="1" w:styleId="BodyText1">
    <w:name w:val="Body Text 1"/>
    <w:basedOn w:val="Normal"/>
    <w:link w:val="BodyText1Char"/>
    <w:qFormat/>
    <w:rsid w:val="00E07F40"/>
    <w:pPr>
      <w:numPr>
        <w:numId w:val="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8"/>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B130DA"/>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8"/>
      </w:numPr>
    </w:pPr>
  </w:style>
  <w:style w:type="character" w:styleId="CommentReference">
    <w:name w:val="annotation reference"/>
    <w:basedOn w:val="DefaultParagraphFont"/>
    <w:uiPriority w:val="49"/>
    <w:semiHidden/>
    <w:unhideWhenUsed/>
    <w:rsid w:val="00AB1E05"/>
    <w:rPr>
      <w:sz w:val="16"/>
      <w:szCs w:val="16"/>
    </w:rPr>
  </w:style>
  <w:style w:type="paragraph" w:styleId="CommentText">
    <w:name w:val="annotation text"/>
    <w:basedOn w:val="Normal"/>
    <w:link w:val="CommentTextChar"/>
    <w:uiPriority w:val="99"/>
    <w:unhideWhenUsed/>
    <w:rsid w:val="00AB1E05"/>
    <w:rPr>
      <w:sz w:val="20"/>
      <w:szCs w:val="20"/>
    </w:rPr>
  </w:style>
  <w:style w:type="character" w:customStyle="1" w:styleId="CommentTextChar">
    <w:name w:val="Comment Text Char"/>
    <w:basedOn w:val="DefaultParagraphFont"/>
    <w:link w:val="CommentText"/>
    <w:uiPriority w:val="99"/>
    <w:rsid w:val="00AB1E05"/>
    <w:rPr>
      <w:sz w:val="20"/>
      <w:szCs w:val="20"/>
    </w:rPr>
  </w:style>
  <w:style w:type="paragraph" w:styleId="CommentSubject">
    <w:name w:val="annotation subject"/>
    <w:basedOn w:val="CommentText"/>
    <w:next w:val="CommentText"/>
    <w:link w:val="CommentSubjectChar"/>
    <w:uiPriority w:val="49"/>
    <w:semiHidden/>
    <w:unhideWhenUsed/>
    <w:rsid w:val="00AB1E05"/>
    <w:rPr>
      <w:b/>
      <w:bCs/>
    </w:rPr>
  </w:style>
  <w:style w:type="character" w:customStyle="1" w:styleId="CommentSubjectChar">
    <w:name w:val="Comment Subject Char"/>
    <w:basedOn w:val="CommentTextChar"/>
    <w:link w:val="CommentSubject"/>
    <w:uiPriority w:val="49"/>
    <w:semiHidden/>
    <w:rsid w:val="00AB1E05"/>
    <w:rPr>
      <w:b/>
      <w:bCs/>
      <w:sz w:val="20"/>
      <w:szCs w:val="20"/>
    </w:rPr>
  </w:style>
  <w:style w:type="paragraph" w:customStyle="1" w:styleId="Default">
    <w:name w:val="Default"/>
    <w:rsid w:val="00484E05"/>
    <w:pPr>
      <w:autoSpaceDE w:val="0"/>
      <w:autoSpaceDN w:val="0"/>
      <w:adjustRightInd w:val="0"/>
      <w:spacing w:after="0"/>
    </w:pPr>
    <w:rPr>
      <w:rFonts w:ascii="DIN OT" w:hAnsi="DIN OT" w:cs="DIN OT"/>
      <w:color w:val="000000"/>
    </w:rPr>
  </w:style>
  <w:style w:type="paragraph" w:styleId="ListParagraph">
    <w:name w:val="List Paragraph"/>
    <w:basedOn w:val="Normal"/>
    <w:uiPriority w:val="34"/>
    <w:qFormat/>
    <w:rsid w:val="00FD6F2A"/>
    <w:pPr>
      <w:ind w:left="720"/>
      <w:contextualSpacing/>
    </w:pPr>
  </w:style>
  <w:style w:type="character" w:styleId="Emphasis">
    <w:name w:val="Emphasis"/>
    <w:basedOn w:val="DefaultParagraphFont"/>
    <w:uiPriority w:val="20"/>
    <w:qFormat/>
    <w:rsid w:val="00016DD7"/>
    <w:rPr>
      <w:i/>
      <w:iCs/>
    </w:rPr>
  </w:style>
  <w:style w:type="paragraph" w:styleId="Revision">
    <w:name w:val="Revision"/>
    <w:hidden/>
    <w:uiPriority w:val="99"/>
    <w:semiHidden/>
    <w:rsid w:val="000067CF"/>
    <w:pPr>
      <w:spacing w:after="0"/>
    </w:pPr>
  </w:style>
  <w:style w:type="character" w:styleId="FollowedHyperlink">
    <w:name w:val="FollowedHyperlink"/>
    <w:basedOn w:val="DefaultParagraphFont"/>
    <w:uiPriority w:val="49"/>
    <w:semiHidden/>
    <w:unhideWhenUsed/>
    <w:rsid w:val="00AB3458"/>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797489">
      <w:bodyDiv w:val="1"/>
      <w:marLeft w:val="0"/>
      <w:marRight w:val="0"/>
      <w:marTop w:val="0"/>
      <w:marBottom w:val="0"/>
      <w:divBdr>
        <w:top w:val="none" w:sz="0" w:space="0" w:color="auto"/>
        <w:left w:val="none" w:sz="0" w:space="0" w:color="auto"/>
        <w:bottom w:val="none" w:sz="0" w:space="0" w:color="auto"/>
        <w:right w:val="none" w:sz="0" w:space="0" w:color="auto"/>
      </w:divBdr>
    </w:div>
    <w:div w:id="1081869777">
      <w:bodyDiv w:val="1"/>
      <w:marLeft w:val="0"/>
      <w:marRight w:val="0"/>
      <w:marTop w:val="0"/>
      <w:marBottom w:val="0"/>
      <w:divBdr>
        <w:top w:val="none" w:sz="0" w:space="0" w:color="auto"/>
        <w:left w:val="none" w:sz="0" w:space="0" w:color="auto"/>
        <w:bottom w:val="none" w:sz="0" w:space="0" w:color="auto"/>
        <w:right w:val="none" w:sz="0" w:space="0" w:color="auto"/>
      </w:divBdr>
    </w:div>
    <w:div w:id="1241984862">
      <w:bodyDiv w:val="1"/>
      <w:marLeft w:val="0"/>
      <w:marRight w:val="0"/>
      <w:marTop w:val="0"/>
      <w:marBottom w:val="0"/>
      <w:divBdr>
        <w:top w:val="none" w:sz="0" w:space="0" w:color="auto"/>
        <w:left w:val="none" w:sz="0" w:space="0" w:color="auto"/>
        <w:bottom w:val="none" w:sz="0" w:space="0" w:color="auto"/>
        <w:right w:val="none" w:sz="0" w:space="0" w:color="auto"/>
      </w:divBdr>
    </w:div>
    <w:div w:id="1277520179">
      <w:bodyDiv w:val="1"/>
      <w:marLeft w:val="0"/>
      <w:marRight w:val="0"/>
      <w:marTop w:val="0"/>
      <w:marBottom w:val="0"/>
      <w:divBdr>
        <w:top w:val="none" w:sz="0" w:space="0" w:color="auto"/>
        <w:left w:val="none" w:sz="0" w:space="0" w:color="auto"/>
        <w:bottom w:val="none" w:sz="0" w:space="0" w:color="auto"/>
        <w:right w:val="none" w:sz="0" w:space="0" w:color="auto"/>
      </w:divBdr>
    </w:div>
    <w:div w:id="1808666609">
      <w:bodyDiv w:val="1"/>
      <w:marLeft w:val="0"/>
      <w:marRight w:val="0"/>
      <w:marTop w:val="0"/>
      <w:marBottom w:val="0"/>
      <w:divBdr>
        <w:top w:val="none" w:sz="0" w:space="0" w:color="auto"/>
        <w:left w:val="none" w:sz="0" w:space="0" w:color="auto"/>
        <w:bottom w:val="none" w:sz="0" w:space="0" w:color="auto"/>
        <w:right w:val="none" w:sz="0" w:space="0" w:color="auto"/>
      </w:divBdr>
    </w:div>
    <w:div w:id="1899315868">
      <w:bodyDiv w:val="1"/>
      <w:marLeft w:val="0"/>
      <w:marRight w:val="0"/>
      <w:marTop w:val="0"/>
      <w:marBottom w:val="0"/>
      <w:divBdr>
        <w:top w:val="none" w:sz="0" w:space="0" w:color="auto"/>
        <w:left w:val="none" w:sz="0" w:space="0" w:color="auto"/>
        <w:bottom w:val="none" w:sz="0" w:space="0" w:color="auto"/>
        <w:right w:val="none" w:sz="0" w:space="0" w:color="auto"/>
      </w:divBdr>
    </w:div>
    <w:div w:id="1911501060">
      <w:bodyDiv w:val="1"/>
      <w:marLeft w:val="0"/>
      <w:marRight w:val="0"/>
      <w:marTop w:val="0"/>
      <w:marBottom w:val="0"/>
      <w:divBdr>
        <w:top w:val="none" w:sz="0" w:space="0" w:color="auto"/>
        <w:left w:val="none" w:sz="0" w:space="0" w:color="auto"/>
        <w:bottom w:val="none" w:sz="0" w:space="0" w:color="auto"/>
        <w:right w:val="none" w:sz="0" w:space="0" w:color="auto"/>
      </w:divBdr>
    </w:div>
    <w:div w:id="2008246799">
      <w:bodyDiv w:val="1"/>
      <w:marLeft w:val="0"/>
      <w:marRight w:val="0"/>
      <w:marTop w:val="0"/>
      <w:marBottom w:val="0"/>
      <w:divBdr>
        <w:top w:val="none" w:sz="0" w:space="0" w:color="auto"/>
        <w:left w:val="none" w:sz="0" w:space="0" w:color="auto"/>
        <w:bottom w:val="none" w:sz="0" w:space="0" w:color="auto"/>
        <w:right w:val="none" w:sz="0" w:space="0" w:color="auto"/>
      </w:divBdr>
    </w:div>
    <w:div w:id="21323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7.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Prudential%20Standard.dotx" TargetMode="Externa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Industry analysis</TermName>
          <TermId xmlns="http://schemas.microsoft.com/office/infopath/2007/PartnerControls">cdd91846-fd3b-4f2a-8719-bb6a420c4a65</TermId>
        </TermInfo>
      </Terms>
    </i05115a133414b4dabee2531e4b46b67>
    <h67caa35a4114acd8e15fe89b3f29f9e xmlns="814d62cb-2db6-4c25-ab62-b9075facbc11">
      <Terms xmlns="http://schemas.microsoft.com/office/infopath/2007/PartnerControls">
        <TermInfo xmlns="http://schemas.microsoft.com/office/infopath/2007/PartnerControls">
          <TermName>Prudential standard</TermName>
          <TermId>6ce5a155-9ab2-41e3-9b2a-5baab4b7f1d1</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TermInfo xmlns="http://schemas.microsoft.com/office/infopath/2007/PartnerControls">
          <TermName xmlns="http://schemas.microsoft.com/office/infopath/2007/PartnerControls">Management of insurance risk (LI)</TermName>
          <TermId xmlns="http://schemas.microsoft.com/office/infopath/2007/PartnerControls">028ed8b1-49e1-40e5-a699-3adc81098243</TermId>
        </TermInfo>
      </Term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m2df5fdf6d1643b4a596982762bb3d00 xmlns="814d62cb-2db6-4c25-ab62-b9075facbc11">
      <Terms xmlns="http://schemas.microsoft.com/office/infopath/2007/PartnerControls"/>
    </m2df5fdf6d1643b4a596982762bb3d0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746</Value>
      <Value>83</Value>
      <Value>134</Value>
      <Value>93</Value>
      <Value>26</Value>
      <Value>603</Value>
      <Value>24</Value>
      <Value>142</Value>
      <Value>158</Value>
      <Value>4</Value>
      <Value>1</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f284b4f8578a44cfae4f67a86df81119 xmlns="814d62cb-2db6-4c25-ab62-b9075facbc11">
      <Terms xmlns="http://schemas.microsoft.com/office/infopath/2007/PartnerControls"/>
    </f284b4f8578a44cfae4f67a86df81119>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5JENXJJSCC7A-445999044-8756</_dlc_DocId>
    <_dlc_DocIdUrl xmlns="814d62cb-2db6-4c25-ab62-b9075facbc11">
      <Url>https://im/teams/LEGAL/_layouts/15/DocIdRedir.aspx?ID=5JENXJJSCC7A-445999044-8756</Url>
      <Description>5JENXJJSCC7A-445999044-8756</Description>
    </_dlc_DocIdUrl>
    <APRAMeetingDate xmlns="814d62cb-2db6-4c25-ab62-b9075facbc11" xsi:nil="true"/>
    <APRAMeetingNumber xmlns="814d62cb-2db6-4c25-ab62-b9075facbc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D59C-6A2A-4939-9493-8490C42A3001}">
  <ds:schemaRefs>
    <ds:schemaRef ds:uri="http://schemas.microsoft.com/sharepoint/events"/>
  </ds:schemaRefs>
</ds:datastoreItem>
</file>

<file path=customXml/itemProps2.xml><?xml version="1.0" encoding="utf-8"?>
<ds:datastoreItem xmlns:ds="http://schemas.openxmlformats.org/officeDocument/2006/customXml" ds:itemID="{899DDF6A-1DF6-4A30-8F9E-84F413038804}">
  <ds:schemaRefs>
    <ds:schemaRef ds:uri="Microsoft.SharePoint.Taxonomy.ContentTypeSync"/>
  </ds:schemaRefs>
</ds:datastoreItem>
</file>

<file path=customXml/itemProps3.xml><?xml version="1.0" encoding="utf-8"?>
<ds:datastoreItem xmlns:ds="http://schemas.openxmlformats.org/officeDocument/2006/customXml" ds:itemID="{834FACA5-FF25-44EB-9F22-13BC540CEFF1}">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5.xml><?xml version="1.0" encoding="utf-8"?>
<ds:datastoreItem xmlns:ds="http://schemas.openxmlformats.org/officeDocument/2006/customXml" ds:itemID="{9275EF9B-88D0-4C08-B081-BC378342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A8A0A5-8E87-4BD5-8A97-D54DD76D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Prudential%20Standard.dotx</Template>
  <TotalTime>7</TotalTime>
  <Pages>40</Pages>
  <Words>11584</Words>
  <Characters>62541</Characters>
  <Application>Microsoft Office Word</Application>
  <DocSecurity>0</DocSecurity>
  <Lines>1418</Lines>
  <Paragraphs>662</Paragraphs>
  <ScaleCrop>false</ScaleCrop>
  <HeadingPairs>
    <vt:vector size="2" baseType="variant">
      <vt:variant>
        <vt:lpstr>Title</vt:lpstr>
      </vt:variant>
      <vt:variant>
        <vt:i4>1</vt:i4>
      </vt:variant>
    </vt:vector>
  </HeadingPairs>
  <TitlesOfParts>
    <vt:vector size="1" baseType="lpstr">
      <vt:lpstr>Life Claims - Reporting Standard - Post Legal review</vt:lpstr>
    </vt:vector>
  </TitlesOfParts>
  <Company>APRA</Company>
  <LinksUpToDate>false</LinksUpToDate>
  <CharactersWithSpaces>73501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Claims - Reporting Standard - Post Legal review</dc:title>
  <dc:creator>Rebecca Johnstone</dc:creator>
  <cp:keywords>;Life Claims;Reporting Standard;Life Insurance Disputes [SEC=UNCLASSIFIED]</cp:keywords>
  <cp:lastModifiedBy>Li, Joanne</cp:lastModifiedBy>
  <cp:revision>4</cp:revision>
  <cp:lastPrinted>2018-10-22T07:34:00Z</cp:lastPrinted>
  <dcterms:created xsi:type="dcterms:W3CDTF">2018-10-26T04:53:00Z</dcterms:created>
  <dcterms:modified xsi:type="dcterms:W3CDTF">2018-10-26T05:08:00Z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InsertionValue">
    <vt:lpwstr>UNCLASSIFIED</vt:lpwstr>
  </property>
  <property fmtid="{D5CDD505-2E9C-101B-9397-08002B2CF9AE}" pid="7" name="PM_Originator_Hash_SHA1">
    <vt:lpwstr>72E4215BDC330D4951586C8783F6288BBF3E4D01</vt:lpwstr>
  </property>
  <property fmtid="{D5CDD505-2E9C-101B-9397-08002B2CF9AE}" pid="8" name="PM_Hash_Version">
    <vt:lpwstr>2016.1</vt:lpwstr>
  </property>
  <property fmtid="{D5CDD505-2E9C-101B-9397-08002B2CF9AE}" pid="9" name="PM_Hash_Salt">
    <vt:lpwstr>267A2DBDC369845B172F27EB1867689F</vt:lpwstr>
  </property>
  <property fmtid="{D5CDD505-2E9C-101B-9397-08002B2CF9AE}" pid="10" name="PM_Hash_SHA1">
    <vt:lpwstr>2CE7ECF7A8A878222BA4D78072448917A05D18F4</vt:lpwstr>
  </property>
  <property fmtid="{D5CDD505-2E9C-101B-9397-08002B2CF9AE}" pid="11" name="PM_SecurityClassification_Prev">
    <vt:lpwstr>DLM-ONLY</vt:lpwstr>
  </property>
  <property fmtid="{D5CDD505-2E9C-101B-9397-08002B2CF9AE}" pid="12" name="PM_Qualifier_Prev">
    <vt:lpwstr>For-Official-Use-Only</vt:lpwstr>
  </property>
  <property fmtid="{D5CDD505-2E9C-101B-9397-08002B2CF9AE}" pid="13" name="PM_Hash_Salt_Prev">
    <vt:lpwstr>B678E60316BE56831A939A3F2530DEE2</vt:lpwstr>
  </property>
  <property fmtid="{D5CDD505-2E9C-101B-9397-08002B2CF9AE}" pid="14" name="PM_Caveats_Count">
    <vt:lpwstr>0</vt:lpwstr>
  </property>
  <property fmtid="{D5CDD505-2E9C-101B-9397-08002B2CF9AE}" pid="15" name="PM_ProtectiveMarkingImage_Header">
    <vt:lpwstr>C:\Program Files (x86)\Common Files\janusNET Shared\janusSEAL\Images\DocumentSlashBlue.png</vt:lpwstr>
  </property>
  <property fmtid="{D5CDD505-2E9C-101B-9397-08002B2CF9AE}" pid="16" name="PM_ProtectiveMarkingValue_Header">
    <vt:lpwstr>UNCLASSIFIED</vt:lpwstr>
  </property>
  <property fmtid="{D5CDD505-2E9C-101B-9397-08002B2CF9AE}" pid="17" name="PM_ProtectiveMarkingValue_Footer">
    <vt:lpwstr>UNCLASSIFIED</vt:lpwstr>
  </property>
  <property fmtid="{D5CDD505-2E9C-101B-9397-08002B2CF9AE}" pid="18" name="PM_ProtectiveMarkingImage_Footer">
    <vt:lpwstr>C:\Program Files (x86)\Common Files\janusNET Shared\janusSEAL\Images\DocumentSlashBlue.png</vt:lpwstr>
  </property>
  <property fmtid="{D5CDD505-2E9C-101B-9397-08002B2CF9AE}" pid="19" name="PM_Namespace">
    <vt:lpwstr>gov.au</vt:lpwstr>
  </property>
  <property fmtid="{D5CDD505-2E9C-101B-9397-08002B2CF9AE}" pid="20" name="PM_Version">
    <vt:lpwstr>2012.3</vt:lpwstr>
  </property>
  <property fmtid="{D5CDD505-2E9C-101B-9397-08002B2CF9AE}" pid="21" name="PM_Originating_FileId">
    <vt:lpwstr>9CDD4A8A38FF4D3681F9F9DB8CFE362E</vt:lpwstr>
  </property>
  <property fmtid="{D5CDD505-2E9C-101B-9397-08002B2CF9AE}" pid="22" name="PM_OriginationTimeStamp">
    <vt:lpwstr>2018-10-22T07:04:22Z</vt:lpwstr>
  </property>
  <property fmtid="{D5CDD505-2E9C-101B-9397-08002B2CF9AE}" pid="23" name="PM_MinimumSecurityClassification">
    <vt:lpwstr/>
  </property>
  <property fmtid="{D5CDD505-2E9C-101B-9397-08002B2CF9AE}" pid="24" name="ContentTypeId">
    <vt:lpwstr>0x0101008CA7A4F8331B45C7B0D3158B4994D0CA0200577EC0F5A1FBFC498F9A8436B963F8A6</vt:lpwstr>
  </property>
  <property fmtid="{D5CDD505-2E9C-101B-9397-08002B2CF9AE}" pid="25"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26" name="IT system type">
    <vt:lpwstr/>
  </property>
  <property fmtid="{D5CDD505-2E9C-101B-9397-08002B2CF9AE}" pid="27" name="APRACategory">
    <vt:lpwstr/>
  </property>
  <property fmtid="{D5CDD505-2E9C-101B-9397-08002B2CF9AE}" pid="28" name="APRAPeerGroup">
    <vt:lpwstr/>
  </property>
  <property fmtid="{D5CDD505-2E9C-101B-9397-08002B2CF9AE}" pid="29" name="APRADocumentType">
    <vt:lpwstr>142;#Prudential standard|6ce5a155-9ab2-41e3-9b2a-5baab4b7f1d1</vt:lpwstr>
  </property>
  <property fmtid="{D5CDD505-2E9C-101B-9397-08002B2CF9AE}" pid="30" name="APRAStatus">
    <vt:lpwstr>1;#Draft|0e1556d2-3fe8-443a-ada7-3620563b46b3</vt:lpwstr>
  </property>
  <property fmtid="{D5CDD505-2E9C-101B-9397-08002B2CF9AE}" pid="31" name="APRAPRSG">
    <vt:lpwstr/>
  </property>
  <property fmtid="{D5CDD505-2E9C-101B-9397-08002B2CF9AE}" pid="32" name="APRAReportingGroup">
    <vt:lpwstr/>
  </property>
  <property fmtid="{D5CDD505-2E9C-101B-9397-08002B2CF9AE}" pid="33" name="APRAActivity">
    <vt:lpwstr>603;#Industry analysis|cdd91846-fd3b-4f2a-8719-bb6a420c4a65</vt:lpwstr>
  </property>
  <property fmtid="{D5CDD505-2E9C-101B-9397-08002B2CF9AE}" pid="34" name="APRAEntityAdviceSupport">
    <vt:lpwstr/>
  </property>
  <property fmtid="{D5CDD505-2E9C-101B-9397-08002B2CF9AE}" pid="35" name="APRATemplateType">
    <vt:lpwstr>23;#Policy|f1d41970-be64-43ea-8d6f-300cb1384ee7</vt:lpwstr>
  </property>
  <property fmtid="{D5CDD505-2E9C-101B-9397-08002B2CF9AE}" pid="36" name="APRAYear">
    <vt:lpwstr>171;#2018|337d548e-be9a-4363-bbb3-ec2b7c3daa90</vt:lpwstr>
  </property>
  <property fmtid="{D5CDD505-2E9C-101B-9397-08002B2CF9AE}" pid="37" name="APRAIndustry">
    <vt:lpwstr/>
  </property>
  <property fmtid="{D5CDD505-2E9C-101B-9397-08002B2CF9AE}" pid="38" name="APRALegislation">
    <vt:lpwstr/>
  </property>
  <property fmtid="{D5CDD505-2E9C-101B-9397-08002B2CF9AE}" pid="39" name="APRAExternalOrganisation">
    <vt:lpwstr/>
  </property>
  <property fmtid="{D5CDD505-2E9C-101B-9397-08002B2CF9AE}" pid="40" name="APRAIRTR">
    <vt:lpwstr>746;#Management of insurance risk (LI)|028ed8b1-49e1-40e5-a699-3adc81098243</vt:lpwstr>
  </property>
  <property fmtid="{D5CDD505-2E9C-101B-9397-08002B2CF9AE}" pid="41" name="APRAPeriod">
    <vt:lpwstr/>
  </property>
  <property fmtid="{D5CDD505-2E9C-101B-9397-08002B2CF9AE}" pid="42" name="_dlc_DocIdItemGuid">
    <vt:lpwstr>b9def7ae-3183-4d0f-88ca-5f3880f5a218</vt:lpwstr>
  </property>
  <property fmtid="{D5CDD505-2E9C-101B-9397-08002B2CF9AE}" pid="43" name="RecordPoint_WorkflowType">
    <vt:lpwstr>ActiveSubmitStub</vt:lpwstr>
  </property>
  <property fmtid="{D5CDD505-2E9C-101B-9397-08002B2CF9AE}" pid="44" name="RecordPoint_ActiveItemWebId">
    <vt:lpwstr>{b7c132af-ef8f-43c8-b784-c343c8358833}</vt:lpwstr>
  </property>
  <property fmtid="{D5CDD505-2E9C-101B-9397-08002B2CF9AE}" pid="45" name="RecordPoint_ActiveItemSiteId">
    <vt:lpwstr>{0108aca2-193a-480a-9365-26eca985c6f0}</vt:lpwstr>
  </property>
  <property fmtid="{D5CDD505-2E9C-101B-9397-08002B2CF9AE}" pid="46" name="RecordPoint_ActiveItemListId">
    <vt:lpwstr>{8524f2be-f3e8-4e4e-b114-b0bf6497a529}</vt:lpwstr>
  </property>
  <property fmtid="{D5CDD505-2E9C-101B-9397-08002B2CF9AE}" pid="47" name="RecordPoint_ActiveItemUniqueId">
    <vt:lpwstr>{3fd39c43-7171-4f0d-aa6b-872b33fc5c5f}</vt:lpwstr>
  </property>
  <property fmtid="{D5CDD505-2E9C-101B-9397-08002B2CF9AE}" pid="48" name="IsLocked">
    <vt:lpwstr>Yes</vt:lpwstr>
  </property>
  <property fmtid="{D5CDD505-2E9C-101B-9397-08002B2CF9AE}" pid="49" name="_docset_NoMedatataSyncRequired">
    <vt:lpwstr>False</vt:lpwstr>
  </property>
  <property fmtid="{D5CDD505-2E9C-101B-9397-08002B2CF9AE}" pid="50" name="RecordPoint_SubmissionDate">
    <vt:lpwstr/>
  </property>
  <property fmtid="{D5CDD505-2E9C-101B-9397-08002B2CF9AE}" pid="51" name="RecordPoint_ActiveItemMoved">
    <vt:lpwstr/>
  </property>
  <property fmtid="{D5CDD505-2E9C-101B-9397-08002B2CF9AE}" pid="52" name="RecordPoint_RecordFormat">
    <vt:lpwstr/>
  </property>
  <property fmtid="{D5CDD505-2E9C-101B-9397-08002B2CF9AE}" pid="53" name="RecordPoint_RecordNumberSubmitted">
    <vt:lpwstr>R0000505657</vt:lpwstr>
  </property>
  <property fmtid="{D5CDD505-2E9C-101B-9397-08002B2CF9AE}" pid="54" name="RecordPoint_SubmissionCompleted">
    <vt:lpwstr>2018-10-25T10:23:51.9639707+11:00</vt:lpwstr>
  </property>
</Properties>
</file>