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7306BA" w14:textId="6F6E6544" w:rsidR="00DD7CEF" w:rsidRPr="001823A0" w:rsidRDefault="00DD7CEF" w:rsidP="00A04B66">
      <w:pPr>
        <w:pStyle w:val="Heading1"/>
        <w:ind w:left="0"/>
        <w:rPr>
          <w:szCs w:val="40"/>
          <w:lang w:val="en-AU"/>
        </w:rPr>
      </w:pPr>
      <w:bookmarkStart w:id="0" w:name="_GoBack"/>
      <w:bookmarkEnd w:id="0"/>
      <w:r w:rsidRPr="001823A0">
        <w:rPr>
          <w:lang w:val="en-AU"/>
        </w:rPr>
        <w:t>Regulation Impact</w:t>
      </w:r>
      <w:r w:rsidRPr="001823A0">
        <w:rPr>
          <w:spacing w:val="-2"/>
          <w:lang w:val="en-AU"/>
        </w:rPr>
        <w:t xml:space="preserve"> </w:t>
      </w:r>
      <w:r w:rsidRPr="001823A0">
        <w:rPr>
          <w:lang w:val="en-AU"/>
        </w:rPr>
        <w:t>Statement</w:t>
      </w:r>
      <w:r w:rsidR="00A04B66">
        <w:rPr>
          <w:lang w:val="en-AU"/>
        </w:rPr>
        <w:t xml:space="preserve"> </w:t>
      </w:r>
    </w:p>
    <w:p w14:paraId="6F6066FA" w14:textId="0BEDBB3F" w:rsidR="00DD7CEF" w:rsidRPr="001823A0" w:rsidRDefault="004C42F1" w:rsidP="00DD7CEF">
      <w:pPr>
        <w:pStyle w:val="Heading2"/>
        <w:rPr>
          <w:lang w:val="en-AU"/>
        </w:rPr>
      </w:pPr>
      <w:r>
        <w:rPr>
          <w:lang w:val="en-AU"/>
        </w:rPr>
        <w:t xml:space="preserve">Claims and </w:t>
      </w:r>
      <w:r w:rsidR="00165A04">
        <w:rPr>
          <w:lang w:val="en-AU"/>
        </w:rPr>
        <w:t>D</w:t>
      </w:r>
      <w:r>
        <w:rPr>
          <w:lang w:val="en-AU"/>
        </w:rPr>
        <w:t>isputes</w:t>
      </w:r>
      <w:r w:rsidR="00DD7CEF" w:rsidRPr="001823A0">
        <w:rPr>
          <w:lang w:val="en-AU"/>
        </w:rPr>
        <w:t xml:space="preserve"> </w:t>
      </w:r>
      <w:r w:rsidR="00165A04">
        <w:rPr>
          <w:lang w:val="en-AU"/>
        </w:rPr>
        <w:t>R</w:t>
      </w:r>
      <w:r w:rsidR="00DD7CEF" w:rsidRPr="001823A0">
        <w:rPr>
          <w:lang w:val="en-AU"/>
        </w:rPr>
        <w:t xml:space="preserve">eporting </w:t>
      </w:r>
      <w:r w:rsidR="00165A04">
        <w:rPr>
          <w:lang w:val="en-AU"/>
        </w:rPr>
        <w:t>R</w:t>
      </w:r>
      <w:r w:rsidR="00DD7CEF" w:rsidRPr="001823A0">
        <w:rPr>
          <w:lang w:val="en-AU"/>
        </w:rPr>
        <w:t>equirements</w:t>
      </w:r>
      <w:r w:rsidR="007F41A3">
        <w:rPr>
          <w:lang w:val="en-AU"/>
        </w:rPr>
        <w:t xml:space="preserve"> for </w:t>
      </w:r>
      <w:r w:rsidR="00165A04">
        <w:rPr>
          <w:lang w:val="en-AU"/>
        </w:rPr>
        <w:t>L</w:t>
      </w:r>
      <w:r>
        <w:rPr>
          <w:lang w:val="en-AU"/>
        </w:rPr>
        <w:t xml:space="preserve">ife </w:t>
      </w:r>
      <w:r w:rsidR="00165A04">
        <w:rPr>
          <w:lang w:val="en-AU"/>
        </w:rPr>
        <w:t>I</w:t>
      </w:r>
      <w:r>
        <w:rPr>
          <w:lang w:val="en-AU"/>
        </w:rPr>
        <w:t>nsurers</w:t>
      </w:r>
    </w:p>
    <w:p w14:paraId="12DBC343" w14:textId="07515C50" w:rsidR="00DD7CEF" w:rsidRPr="001823A0" w:rsidRDefault="004C42F1" w:rsidP="00DD7CEF">
      <w:pPr>
        <w:rPr>
          <w:lang w:val="en-AU"/>
        </w:rPr>
      </w:pPr>
      <w:r>
        <w:rPr>
          <w:lang w:val="en-AU"/>
        </w:rPr>
        <w:t>(OBPR ID: 2018</w:t>
      </w:r>
      <w:r w:rsidR="007F41A3">
        <w:rPr>
          <w:lang w:val="en-AU"/>
        </w:rPr>
        <w:t>/</w:t>
      </w:r>
      <w:r>
        <w:rPr>
          <w:lang w:val="en-AU"/>
        </w:rPr>
        <w:t>23799</w:t>
      </w:r>
      <w:r w:rsidR="00DD7CEF" w:rsidRPr="001823A0">
        <w:rPr>
          <w:lang w:val="en-AU"/>
        </w:rPr>
        <w:t>)</w:t>
      </w:r>
    </w:p>
    <w:p w14:paraId="7C9EC915" w14:textId="72C11226" w:rsidR="00DD7CEF" w:rsidRPr="001823A0" w:rsidRDefault="00DD147E" w:rsidP="00F46FE6">
      <w:pPr>
        <w:pStyle w:val="Heading4"/>
      </w:pPr>
      <w:r w:rsidRPr="001823A0">
        <w:t>Intro</w:t>
      </w:r>
      <w:r w:rsidR="00DD7CEF" w:rsidRPr="001823A0">
        <w:t>duction</w:t>
      </w:r>
    </w:p>
    <w:p w14:paraId="0C48E7F6" w14:textId="13E40E07" w:rsidR="00DD7CEF" w:rsidRPr="001823A0" w:rsidRDefault="00DD7CEF" w:rsidP="00543A30">
      <w:pPr>
        <w:pStyle w:val="ListParagraph"/>
        <w:numPr>
          <w:ilvl w:val="0"/>
          <w:numId w:val="14"/>
        </w:numPr>
        <w:ind w:left="567" w:hanging="567"/>
      </w:pPr>
      <w:r w:rsidRPr="001823A0">
        <w:t xml:space="preserve">This Regulation Impact Statement (RIS) has been prepared by the Australian Prudential </w:t>
      </w:r>
      <w:r w:rsidRPr="00133F2B">
        <w:t>Regulation</w:t>
      </w:r>
      <w:r w:rsidRPr="001823A0">
        <w:t xml:space="preserve"> Authority (APRA). Its purpose is to assist APRA</w:t>
      </w:r>
      <w:r w:rsidR="001D2A6E">
        <w:t>, in consultation with</w:t>
      </w:r>
      <w:r w:rsidR="00FA35DC">
        <w:t xml:space="preserve"> the Australian Securities and Investments Commission (ASIC)</w:t>
      </w:r>
      <w:r w:rsidR="001D2A6E">
        <w:t>,</w:t>
      </w:r>
      <w:r w:rsidR="00FA35DC">
        <w:t xml:space="preserve"> </w:t>
      </w:r>
      <w:r w:rsidRPr="001823A0">
        <w:t xml:space="preserve">in making a decision on the implementation of proposed new reporting requirements for </w:t>
      </w:r>
      <w:r w:rsidR="00172581">
        <w:t>life insurers</w:t>
      </w:r>
      <w:r w:rsidR="00F74404" w:rsidDel="00F74404">
        <w:rPr>
          <w:rStyle w:val="FootnoteReference"/>
        </w:rPr>
        <w:t xml:space="preserve"> </w:t>
      </w:r>
      <w:r w:rsidRPr="001823A0">
        <w:t xml:space="preserve"> to report information regarding </w:t>
      </w:r>
      <w:r w:rsidR="00172581">
        <w:t>claims and disputes data</w:t>
      </w:r>
      <w:r w:rsidR="00725E93">
        <w:t xml:space="preserve"> to APRA. The proposals would </w:t>
      </w:r>
      <w:r w:rsidRPr="001823A0">
        <w:t xml:space="preserve">require </w:t>
      </w:r>
      <w:r w:rsidR="00A455C4">
        <w:t>life insurers</w:t>
      </w:r>
      <w:r w:rsidR="00E26E88">
        <w:t>,</w:t>
      </w:r>
      <w:r w:rsidR="00A455C4">
        <w:t xml:space="preserve"> regulated under the </w:t>
      </w:r>
      <w:r w:rsidR="00A455C4" w:rsidRPr="00E921F1">
        <w:rPr>
          <w:i/>
        </w:rPr>
        <w:t>Life Insurance Act 1995</w:t>
      </w:r>
      <w:r w:rsidR="00A455C4">
        <w:t xml:space="preserve"> (Life Act)</w:t>
      </w:r>
      <w:r w:rsidR="00E26E88">
        <w:t>,</w:t>
      </w:r>
      <w:r w:rsidR="00172581">
        <w:t xml:space="preserve"> to</w:t>
      </w:r>
      <w:r w:rsidRPr="001823A0">
        <w:t xml:space="preserve"> report information on</w:t>
      </w:r>
      <w:r w:rsidR="00A455C4">
        <w:t xml:space="preserve"> life insurance claims and disputes data </w:t>
      </w:r>
      <w:r w:rsidR="001F549B">
        <w:t xml:space="preserve">twice a year, covering </w:t>
      </w:r>
      <w:r w:rsidR="00A455C4">
        <w:t>six</w:t>
      </w:r>
      <w:r w:rsidR="00651713">
        <w:t>-</w:t>
      </w:r>
      <w:r w:rsidR="00A455C4">
        <w:t>month reporting periods.</w:t>
      </w:r>
      <w:r w:rsidRPr="001823A0">
        <w:t xml:space="preserve"> </w:t>
      </w:r>
    </w:p>
    <w:p w14:paraId="4EFBA983" w14:textId="4451FC26" w:rsidR="00DD7CEF" w:rsidRDefault="00DD7CEF" w:rsidP="00B635BC">
      <w:pPr>
        <w:pStyle w:val="ListParagraph"/>
        <w:numPr>
          <w:ilvl w:val="0"/>
          <w:numId w:val="29"/>
        </w:numPr>
      </w:pPr>
      <w:r w:rsidRPr="001823A0">
        <w:t>APRA</w:t>
      </w:r>
      <w:r w:rsidRPr="001823A0">
        <w:rPr>
          <w:spacing w:val="44"/>
        </w:rPr>
        <w:t xml:space="preserve"> </w:t>
      </w:r>
      <w:r w:rsidRPr="001823A0">
        <w:t>has</w:t>
      </w:r>
      <w:r w:rsidRPr="001823A0">
        <w:rPr>
          <w:spacing w:val="45"/>
        </w:rPr>
        <w:t xml:space="preserve"> </w:t>
      </w:r>
      <w:r w:rsidRPr="001823A0">
        <w:t>prepared</w:t>
      </w:r>
      <w:r w:rsidRPr="001823A0">
        <w:rPr>
          <w:spacing w:val="47"/>
        </w:rPr>
        <w:t xml:space="preserve"> </w:t>
      </w:r>
      <w:r w:rsidRPr="001823A0">
        <w:t>a</w:t>
      </w:r>
      <w:r w:rsidRPr="001823A0">
        <w:rPr>
          <w:spacing w:val="44"/>
        </w:rPr>
        <w:t xml:space="preserve"> </w:t>
      </w:r>
      <w:r w:rsidRPr="001823A0">
        <w:t>standard-form</w:t>
      </w:r>
      <w:r w:rsidRPr="001823A0">
        <w:rPr>
          <w:spacing w:val="45"/>
        </w:rPr>
        <w:t xml:space="preserve"> </w:t>
      </w:r>
      <w:r w:rsidRPr="001823A0">
        <w:rPr>
          <w:spacing w:val="-2"/>
        </w:rPr>
        <w:t>RIS</w:t>
      </w:r>
      <w:r w:rsidRPr="001823A0">
        <w:rPr>
          <w:spacing w:val="46"/>
        </w:rPr>
        <w:t xml:space="preserve"> </w:t>
      </w:r>
      <w:r w:rsidRPr="001823A0">
        <w:t>as</w:t>
      </w:r>
      <w:r w:rsidRPr="001823A0">
        <w:rPr>
          <w:spacing w:val="45"/>
        </w:rPr>
        <w:t xml:space="preserve"> </w:t>
      </w:r>
      <w:r w:rsidRPr="001823A0">
        <w:t>the</w:t>
      </w:r>
      <w:r w:rsidRPr="001823A0">
        <w:rPr>
          <w:spacing w:val="47"/>
        </w:rPr>
        <w:t xml:space="preserve"> </w:t>
      </w:r>
      <w:r w:rsidRPr="001823A0">
        <w:t>Office</w:t>
      </w:r>
      <w:r w:rsidRPr="001823A0">
        <w:rPr>
          <w:spacing w:val="44"/>
        </w:rPr>
        <w:t xml:space="preserve"> </w:t>
      </w:r>
      <w:r w:rsidRPr="001823A0">
        <w:t>of</w:t>
      </w:r>
      <w:r w:rsidRPr="001823A0">
        <w:rPr>
          <w:spacing w:val="47"/>
        </w:rPr>
        <w:t xml:space="preserve"> </w:t>
      </w:r>
      <w:r w:rsidRPr="001823A0">
        <w:t>Best</w:t>
      </w:r>
      <w:r w:rsidRPr="001823A0">
        <w:rPr>
          <w:spacing w:val="46"/>
        </w:rPr>
        <w:t xml:space="preserve"> </w:t>
      </w:r>
      <w:r w:rsidRPr="001823A0">
        <w:t>Practice</w:t>
      </w:r>
      <w:r w:rsidRPr="001823A0">
        <w:rPr>
          <w:spacing w:val="46"/>
        </w:rPr>
        <w:t xml:space="preserve"> </w:t>
      </w:r>
      <w:r w:rsidRPr="001823A0">
        <w:t>Regulation</w:t>
      </w:r>
      <w:r w:rsidRPr="001823A0">
        <w:rPr>
          <w:spacing w:val="71"/>
        </w:rPr>
        <w:t xml:space="preserve"> </w:t>
      </w:r>
      <w:r w:rsidRPr="001823A0">
        <w:t>(OBPR)</w:t>
      </w:r>
      <w:r w:rsidRPr="001823A0">
        <w:rPr>
          <w:spacing w:val="47"/>
        </w:rPr>
        <w:t xml:space="preserve"> </w:t>
      </w:r>
      <w:r w:rsidRPr="001823A0">
        <w:t>considers</w:t>
      </w:r>
      <w:r w:rsidRPr="001823A0">
        <w:rPr>
          <w:spacing w:val="44"/>
        </w:rPr>
        <w:t xml:space="preserve"> </w:t>
      </w:r>
      <w:r w:rsidRPr="001823A0">
        <w:t>that</w:t>
      </w:r>
      <w:r w:rsidRPr="001823A0">
        <w:rPr>
          <w:spacing w:val="45"/>
        </w:rPr>
        <w:t xml:space="preserve"> </w:t>
      </w:r>
      <w:r w:rsidRPr="001823A0">
        <w:t>the</w:t>
      </w:r>
      <w:r w:rsidRPr="001823A0">
        <w:rPr>
          <w:spacing w:val="44"/>
        </w:rPr>
        <w:t xml:space="preserve"> </w:t>
      </w:r>
      <w:r w:rsidRPr="001823A0">
        <w:t>proposals</w:t>
      </w:r>
      <w:r w:rsidRPr="001823A0">
        <w:rPr>
          <w:spacing w:val="48"/>
        </w:rPr>
        <w:t xml:space="preserve"> </w:t>
      </w:r>
      <w:r w:rsidRPr="001823A0">
        <w:t>are</w:t>
      </w:r>
      <w:r w:rsidRPr="001823A0">
        <w:rPr>
          <w:spacing w:val="45"/>
        </w:rPr>
        <w:t xml:space="preserve"> </w:t>
      </w:r>
      <w:r w:rsidRPr="001823A0">
        <w:t>likely</w:t>
      </w:r>
      <w:r w:rsidRPr="001823A0">
        <w:rPr>
          <w:spacing w:val="45"/>
        </w:rPr>
        <w:t xml:space="preserve"> </w:t>
      </w:r>
      <w:r w:rsidRPr="001823A0">
        <w:t>to</w:t>
      </w:r>
      <w:r w:rsidRPr="001823A0">
        <w:rPr>
          <w:spacing w:val="45"/>
        </w:rPr>
        <w:t xml:space="preserve"> </w:t>
      </w:r>
      <w:r w:rsidRPr="001823A0">
        <w:t>hav</w:t>
      </w:r>
      <w:r w:rsidR="00520CCF">
        <w:t>e more than minor regulatory impacts</w:t>
      </w:r>
      <w:r w:rsidR="001F549B">
        <w:t>.</w:t>
      </w:r>
      <w:r w:rsidR="001F549B">
        <w:rPr>
          <w:rStyle w:val="FootnoteReference"/>
        </w:rPr>
        <w:footnoteReference w:id="2"/>
      </w:r>
      <w:r w:rsidR="00520CCF">
        <w:rPr>
          <w:spacing w:val="44"/>
        </w:rPr>
        <w:t xml:space="preserve"> </w:t>
      </w:r>
      <w:r w:rsidRPr="001823A0">
        <w:rPr>
          <w:rFonts w:cs="Times New Roman"/>
        </w:rPr>
        <w:t>The</w:t>
      </w:r>
      <w:r w:rsidRPr="001823A0">
        <w:rPr>
          <w:rFonts w:cs="Times New Roman"/>
          <w:spacing w:val="17"/>
        </w:rPr>
        <w:t xml:space="preserve"> </w:t>
      </w:r>
      <w:r w:rsidRPr="001823A0">
        <w:rPr>
          <w:rFonts w:cs="Times New Roman"/>
        </w:rPr>
        <w:t>issues</w:t>
      </w:r>
      <w:r w:rsidRPr="001823A0">
        <w:rPr>
          <w:rFonts w:cs="Times New Roman"/>
          <w:spacing w:val="19"/>
        </w:rPr>
        <w:t xml:space="preserve"> </w:t>
      </w:r>
      <w:r w:rsidRPr="001823A0">
        <w:rPr>
          <w:rFonts w:cs="Times New Roman"/>
        </w:rPr>
        <w:t>addressed</w:t>
      </w:r>
      <w:r w:rsidRPr="001823A0">
        <w:rPr>
          <w:rFonts w:cs="Times New Roman"/>
          <w:spacing w:val="18"/>
        </w:rPr>
        <w:t xml:space="preserve"> </w:t>
      </w:r>
      <w:r w:rsidRPr="001823A0">
        <w:rPr>
          <w:rFonts w:cs="Times New Roman"/>
        </w:rPr>
        <w:t>in</w:t>
      </w:r>
      <w:r w:rsidRPr="001823A0">
        <w:rPr>
          <w:rFonts w:cs="Times New Roman"/>
          <w:spacing w:val="19"/>
        </w:rPr>
        <w:t xml:space="preserve"> </w:t>
      </w:r>
      <w:r w:rsidRPr="001823A0">
        <w:rPr>
          <w:rFonts w:cs="Times New Roman"/>
        </w:rPr>
        <w:t>this</w:t>
      </w:r>
      <w:r w:rsidRPr="001823A0">
        <w:rPr>
          <w:rFonts w:cs="Times New Roman"/>
          <w:spacing w:val="19"/>
        </w:rPr>
        <w:t xml:space="preserve"> </w:t>
      </w:r>
      <w:r w:rsidRPr="001823A0">
        <w:rPr>
          <w:rFonts w:cs="Times New Roman"/>
          <w:spacing w:val="-2"/>
        </w:rPr>
        <w:t>RIS</w:t>
      </w:r>
      <w:r w:rsidRPr="001823A0">
        <w:rPr>
          <w:rFonts w:cs="Times New Roman"/>
          <w:spacing w:val="19"/>
        </w:rPr>
        <w:t xml:space="preserve"> </w:t>
      </w:r>
      <w:r w:rsidRPr="001823A0">
        <w:rPr>
          <w:rFonts w:cs="Times New Roman"/>
        </w:rPr>
        <w:t>were</w:t>
      </w:r>
      <w:r w:rsidRPr="001823A0">
        <w:rPr>
          <w:rFonts w:cs="Times New Roman"/>
          <w:spacing w:val="17"/>
        </w:rPr>
        <w:t xml:space="preserve"> </w:t>
      </w:r>
      <w:r w:rsidRPr="001823A0">
        <w:rPr>
          <w:rFonts w:cs="Times New Roman"/>
        </w:rPr>
        <w:t>considered</w:t>
      </w:r>
      <w:r w:rsidRPr="001823A0">
        <w:rPr>
          <w:rFonts w:cs="Times New Roman"/>
          <w:spacing w:val="18"/>
        </w:rPr>
        <w:t xml:space="preserve"> </w:t>
      </w:r>
      <w:r w:rsidRPr="001823A0">
        <w:rPr>
          <w:rFonts w:cs="Times New Roman"/>
        </w:rPr>
        <w:t>as</w:t>
      </w:r>
      <w:r w:rsidRPr="001823A0">
        <w:rPr>
          <w:rFonts w:cs="Times New Roman"/>
          <w:spacing w:val="19"/>
        </w:rPr>
        <w:t xml:space="preserve"> </w:t>
      </w:r>
      <w:r w:rsidRPr="001823A0">
        <w:rPr>
          <w:rFonts w:cs="Times New Roman"/>
        </w:rPr>
        <w:t>part</w:t>
      </w:r>
      <w:r w:rsidRPr="001823A0">
        <w:rPr>
          <w:rFonts w:cs="Times New Roman"/>
          <w:spacing w:val="18"/>
        </w:rPr>
        <w:t xml:space="preserve"> </w:t>
      </w:r>
      <w:r w:rsidRPr="001823A0">
        <w:rPr>
          <w:rFonts w:cs="Times New Roman"/>
        </w:rPr>
        <w:t>of</w:t>
      </w:r>
      <w:r w:rsidRPr="001823A0">
        <w:rPr>
          <w:rFonts w:cs="Times New Roman"/>
          <w:spacing w:val="18"/>
        </w:rPr>
        <w:t xml:space="preserve"> </w:t>
      </w:r>
      <w:r w:rsidRPr="001823A0">
        <w:rPr>
          <w:rFonts w:cs="Times New Roman"/>
        </w:rPr>
        <w:t>APRA’s</w:t>
      </w:r>
      <w:r w:rsidRPr="001823A0">
        <w:rPr>
          <w:rFonts w:cs="Times New Roman"/>
          <w:spacing w:val="63"/>
        </w:rPr>
        <w:t xml:space="preserve"> </w:t>
      </w:r>
      <w:proofErr w:type="gramStart"/>
      <w:r w:rsidRPr="00FD49F5">
        <w:rPr>
          <w:rFonts w:cs="Times New Roman"/>
        </w:rPr>
        <w:t>decision</w:t>
      </w:r>
      <w:proofErr w:type="gramEnd"/>
      <w:r w:rsidRPr="00FD49F5">
        <w:rPr>
          <w:rFonts w:cs="Times New Roman"/>
          <w:spacing w:val="21"/>
        </w:rPr>
        <w:t xml:space="preserve"> </w:t>
      </w:r>
      <w:r w:rsidRPr="00FD49F5">
        <w:rPr>
          <w:rFonts w:cs="Times New Roman"/>
        </w:rPr>
        <w:t>making</w:t>
      </w:r>
      <w:r w:rsidRPr="00FD49F5">
        <w:rPr>
          <w:rFonts w:cs="Times New Roman"/>
          <w:spacing w:val="18"/>
        </w:rPr>
        <w:t xml:space="preserve"> </w:t>
      </w:r>
      <w:r w:rsidRPr="00FD49F5">
        <w:rPr>
          <w:rFonts w:cs="Times New Roman"/>
        </w:rPr>
        <w:t>process</w:t>
      </w:r>
      <w:r w:rsidRPr="00FD49F5">
        <w:rPr>
          <w:rFonts w:cs="Times New Roman"/>
          <w:spacing w:val="21"/>
        </w:rPr>
        <w:t xml:space="preserve"> </w:t>
      </w:r>
      <w:r w:rsidRPr="00FD49F5">
        <w:rPr>
          <w:rFonts w:cs="Times New Roman"/>
        </w:rPr>
        <w:t>relating</w:t>
      </w:r>
      <w:r w:rsidRPr="00FD49F5">
        <w:rPr>
          <w:rFonts w:cs="Times New Roman"/>
          <w:spacing w:val="19"/>
        </w:rPr>
        <w:t xml:space="preserve"> </w:t>
      </w:r>
      <w:r w:rsidRPr="00FD49F5">
        <w:rPr>
          <w:rFonts w:cs="Times New Roman"/>
        </w:rPr>
        <w:t>to</w:t>
      </w:r>
      <w:r w:rsidRPr="00FD49F5">
        <w:rPr>
          <w:rFonts w:cs="Times New Roman"/>
          <w:spacing w:val="21"/>
        </w:rPr>
        <w:t xml:space="preserve"> </w:t>
      </w:r>
      <w:r w:rsidRPr="00FD49F5">
        <w:rPr>
          <w:rFonts w:cs="Times New Roman"/>
        </w:rPr>
        <w:t>these</w:t>
      </w:r>
      <w:r w:rsidRPr="00FD49F5">
        <w:rPr>
          <w:rFonts w:cs="Times New Roman"/>
          <w:spacing w:val="20"/>
        </w:rPr>
        <w:t xml:space="preserve"> </w:t>
      </w:r>
      <w:r w:rsidRPr="00FD49F5">
        <w:rPr>
          <w:rFonts w:cs="Times New Roman"/>
        </w:rPr>
        <w:t>measures.</w:t>
      </w:r>
      <w:r w:rsidRPr="00FD49F5">
        <w:rPr>
          <w:rFonts w:cs="Times New Roman"/>
          <w:spacing w:val="21"/>
        </w:rPr>
        <w:t xml:space="preserve"> </w:t>
      </w:r>
      <w:r w:rsidRPr="00FD49F5">
        <w:rPr>
          <w:rFonts w:cs="Times New Roman"/>
        </w:rPr>
        <w:t>This</w:t>
      </w:r>
      <w:r w:rsidRPr="00FD49F5">
        <w:rPr>
          <w:rFonts w:cs="Times New Roman"/>
          <w:spacing w:val="21"/>
        </w:rPr>
        <w:t xml:space="preserve"> </w:t>
      </w:r>
      <w:r w:rsidRPr="00FD49F5">
        <w:rPr>
          <w:rFonts w:cs="Times New Roman"/>
          <w:spacing w:val="-2"/>
        </w:rPr>
        <w:t>RIS</w:t>
      </w:r>
      <w:r w:rsidRPr="00FD49F5">
        <w:rPr>
          <w:rFonts w:cs="Times New Roman"/>
          <w:spacing w:val="22"/>
        </w:rPr>
        <w:t xml:space="preserve"> </w:t>
      </w:r>
      <w:r w:rsidRPr="00FD49F5">
        <w:rPr>
          <w:rFonts w:cs="Times New Roman"/>
        </w:rPr>
        <w:t>follows</w:t>
      </w:r>
      <w:r w:rsidR="00520CCF" w:rsidRPr="00FD49F5">
        <w:rPr>
          <w:rFonts w:cs="Times New Roman"/>
          <w:spacing w:val="21"/>
        </w:rPr>
        <w:t xml:space="preserve"> a </w:t>
      </w:r>
      <w:r w:rsidR="00520CCF" w:rsidRPr="00FD49F5">
        <w:rPr>
          <w:rFonts w:cs="Times New Roman"/>
        </w:rPr>
        <w:t>Preliminary Assessment</w:t>
      </w:r>
      <w:r w:rsidR="0004516D" w:rsidRPr="00FD49F5">
        <w:rPr>
          <w:rFonts w:cs="Times New Roman"/>
        </w:rPr>
        <w:t xml:space="preserve"> (PA)</w:t>
      </w:r>
      <w:r w:rsidR="00520CCF" w:rsidRPr="00FD49F5">
        <w:rPr>
          <w:rFonts w:cs="Times New Roman"/>
        </w:rPr>
        <w:t xml:space="preserve"> s</w:t>
      </w:r>
      <w:r w:rsidRPr="00FD49F5">
        <w:rPr>
          <w:rFonts w:cs="Times New Roman"/>
        </w:rPr>
        <w:t>ubmitted</w:t>
      </w:r>
      <w:r w:rsidRPr="00FD49F5">
        <w:rPr>
          <w:rFonts w:cs="Times New Roman"/>
          <w:spacing w:val="6"/>
        </w:rPr>
        <w:t xml:space="preserve"> </w:t>
      </w:r>
      <w:r w:rsidRPr="00FD49F5">
        <w:rPr>
          <w:rFonts w:cs="Times New Roman"/>
        </w:rPr>
        <w:t>to</w:t>
      </w:r>
      <w:r w:rsidRPr="00FD49F5">
        <w:rPr>
          <w:rFonts w:cs="Times New Roman"/>
          <w:spacing w:val="5"/>
        </w:rPr>
        <w:t xml:space="preserve"> </w:t>
      </w:r>
      <w:r w:rsidRPr="00FD49F5">
        <w:rPr>
          <w:rFonts w:cs="Times New Roman"/>
        </w:rPr>
        <w:t>OBPR</w:t>
      </w:r>
      <w:r w:rsidRPr="00FD49F5">
        <w:rPr>
          <w:rFonts w:cs="Times New Roman"/>
          <w:spacing w:val="7"/>
        </w:rPr>
        <w:t xml:space="preserve"> </w:t>
      </w:r>
      <w:r w:rsidR="00520CCF" w:rsidRPr="00FD49F5">
        <w:rPr>
          <w:rFonts w:cs="Times New Roman"/>
          <w:spacing w:val="7"/>
        </w:rPr>
        <w:t xml:space="preserve">on 3 </w:t>
      </w:r>
      <w:r w:rsidR="00520CCF" w:rsidRPr="00FD49F5">
        <w:t>May 2018</w:t>
      </w:r>
      <w:r w:rsidR="00951DC5">
        <w:t xml:space="preserve"> and</w:t>
      </w:r>
      <w:r w:rsidR="00FD49F5" w:rsidRPr="00FD49F5">
        <w:t xml:space="preserve"> a draft RIS for first pass consideration submitted to OBPR on 30 August 2018,</w:t>
      </w:r>
      <w:r w:rsidR="00520CCF" w:rsidRPr="00FD49F5">
        <w:t xml:space="preserve"> </w:t>
      </w:r>
      <w:r w:rsidRPr="00FD49F5">
        <w:t>and takes</w:t>
      </w:r>
      <w:r w:rsidR="00FD49F5" w:rsidRPr="00FD49F5">
        <w:t xml:space="preserve"> into </w:t>
      </w:r>
      <w:r w:rsidRPr="00FD49F5">
        <w:t>account</w:t>
      </w:r>
      <w:r w:rsidRPr="00FD49F5">
        <w:rPr>
          <w:rFonts w:cs="Times New Roman"/>
          <w:spacing w:val="29"/>
        </w:rPr>
        <w:t xml:space="preserve"> </w:t>
      </w:r>
      <w:r w:rsidRPr="00FD49F5">
        <w:rPr>
          <w:rFonts w:cs="Times New Roman"/>
        </w:rPr>
        <w:t xml:space="preserve">the OBPR’s </w:t>
      </w:r>
      <w:r w:rsidR="00FD49F5" w:rsidRPr="00FD49F5">
        <w:rPr>
          <w:rFonts w:cs="Times New Roman"/>
        </w:rPr>
        <w:t xml:space="preserve">subsequent </w:t>
      </w:r>
      <w:r w:rsidRPr="00FD49F5">
        <w:rPr>
          <w:rFonts w:cs="Times New Roman"/>
        </w:rPr>
        <w:t>feedback.</w:t>
      </w:r>
      <w:r w:rsidRPr="00FD49F5">
        <w:rPr>
          <w:rFonts w:cs="Times New Roman"/>
          <w:spacing w:val="28"/>
        </w:rPr>
        <w:t xml:space="preserve"> </w:t>
      </w:r>
      <w:r w:rsidRPr="00FD49F5">
        <w:rPr>
          <w:rFonts w:cs="Times New Roman"/>
        </w:rPr>
        <w:t>The</w:t>
      </w:r>
      <w:r w:rsidRPr="00FD49F5">
        <w:rPr>
          <w:rFonts w:cs="Times New Roman"/>
          <w:spacing w:val="27"/>
        </w:rPr>
        <w:t xml:space="preserve"> </w:t>
      </w:r>
      <w:r w:rsidRPr="00FD49F5">
        <w:rPr>
          <w:rFonts w:cs="Times New Roman"/>
          <w:spacing w:val="-2"/>
        </w:rPr>
        <w:t>RIS</w:t>
      </w:r>
      <w:r w:rsidRPr="00FD49F5">
        <w:rPr>
          <w:rFonts w:cs="Times New Roman"/>
          <w:spacing w:val="32"/>
        </w:rPr>
        <w:t xml:space="preserve"> </w:t>
      </w:r>
      <w:r w:rsidRPr="00FD49F5">
        <w:rPr>
          <w:rFonts w:cs="Times New Roman"/>
        </w:rPr>
        <w:t>has</w:t>
      </w:r>
      <w:r w:rsidRPr="00FD49F5">
        <w:rPr>
          <w:rFonts w:cs="Times New Roman"/>
          <w:spacing w:val="28"/>
        </w:rPr>
        <w:t xml:space="preserve"> </w:t>
      </w:r>
      <w:r w:rsidRPr="00FD49F5">
        <w:rPr>
          <w:rFonts w:cs="Times New Roman"/>
        </w:rPr>
        <w:t>been</w:t>
      </w:r>
      <w:r w:rsidRPr="00FD49F5">
        <w:rPr>
          <w:rFonts w:cs="Times New Roman"/>
          <w:spacing w:val="28"/>
        </w:rPr>
        <w:t xml:space="preserve"> </w:t>
      </w:r>
      <w:r w:rsidRPr="00FD49F5">
        <w:rPr>
          <w:rFonts w:cs="Times New Roman"/>
        </w:rPr>
        <w:t>prepared</w:t>
      </w:r>
      <w:r w:rsidRPr="001823A0">
        <w:rPr>
          <w:spacing w:val="28"/>
        </w:rPr>
        <w:t xml:space="preserve"> </w:t>
      </w:r>
      <w:r w:rsidRPr="001823A0">
        <w:t>in</w:t>
      </w:r>
      <w:r w:rsidRPr="001823A0">
        <w:rPr>
          <w:spacing w:val="59"/>
        </w:rPr>
        <w:t xml:space="preserve"> </w:t>
      </w:r>
      <w:r w:rsidRPr="001823A0">
        <w:t>accordance</w:t>
      </w:r>
      <w:r w:rsidRPr="001823A0">
        <w:rPr>
          <w:spacing w:val="44"/>
        </w:rPr>
        <w:t xml:space="preserve"> </w:t>
      </w:r>
      <w:r w:rsidRPr="001823A0">
        <w:t>with</w:t>
      </w:r>
      <w:r w:rsidRPr="001823A0">
        <w:rPr>
          <w:spacing w:val="46"/>
        </w:rPr>
        <w:t xml:space="preserve"> </w:t>
      </w:r>
      <w:r w:rsidRPr="001823A0">
        <w:t>the</w:t>
      </w:r>
      <w:r w:rsidRPr="001823A0">
        <w:rPr>
          <w:spacing w:val="45"/>
        </w:rPr>
        <w:t xml:space="preserve"> </w:t>
      </w:r>
      <w:r w:rsidRPr="001823A0">
        <w:rPr>
          <w:rFonts w:cs="Times New Roman"/>
          <w:i/>
        </w:rPr>
        <w:t>Australian</w:t>
      </w:r>
      <w:r w:rsidRPr="001823A0">
        <w:rPr>
          <w:rFonts w:cs="Times New Roman"/>
          <w:i/>
          <w:spacing w:val="45"/>
        </w:rPr>
        <w:t xml:space="preserve"> </w:t>
      </w:r>
      <w:r w:rsidRPr="001823A0">
        <w:rPr>
          <w:rFonts w:cs="Times New Roman"/>
          <w:i/>
        </w:rPr>
        <w:t>Government</w:t>
      </w:r>
      <w:r w:rsidRPr="001823A0">
        <w:rPr>
          <w:rFonts w:cs="Times New Roman"/>
          <w:i/>
          <w:spacing w:val="45"/>
        </w:rPr>
        <w:t xml:space="preserve"> </w:t>
      </w:r>
      <w:r w:rsidRPr="001823A0">
        <w:rPr>
          <w:rFonts w:cs="Times New Roman"/>
          <w:i/>
        </w:rPr>
        <w:t>Guide</w:t>
      </w:r>
      <w:r w:rsidRPr="001823A0">
        <w:rPr>
          <w:rFonts w:cs="Times New Roman"/>
          <w:i/>
          <w:spacing w:val="44"/>
        </w:rPr>
        <w:t xml:space="preserve"> </w:t>
      </w:r>
      <w:r w:rsidRPr="001823A0">
        <w:rPr>
          <w:rFonts w:cs="Times New Roman"/>
          <w:i/>
        </w:rPr>
        <w:t>to</w:t>
      </w:r>
      <w:r w:rsidRPr="001823A0">
        <w:rPr>
          <w:rFonts w:cs="Times New Roman"/>
          <w:i/>
          <w:spacing w:val="45"/>
        </w:rPr>
        <w:t xml:space="preserve"> </w:t>
      </w:r>
      <w:r w:rsidRPr="001823A0">
        <w:rPr>
          <w:rFonts w:cs="Times New Roman"/>
          <w:i/>
        </w:rPr>
        <w:t>Regulation</w:t>
      </w:r>
      <w:r w:rsidRPr="001823A0">
        <w:rPr>
          <w:spacing w:val="45"/>
        </w:rPr>
        <w:t xml:space="preserve"> </w:t>
      </w:r>
      <w:r w:rsidRPr="001823A0">
        <w:t>and</w:t>
      </w:r>
      <w:r w:rsidRPr="001823A0">
        <w:rPr>
          <w:spacing w:val="45"/>
        </w:rPr>
        <w:t xml:space="preserve"> </w:t>
      </w:r>
      <w:r w:rsidRPr="001823A0">
        <w:t>relevant</w:t>
      </w:r>
      <w:r w:rsidRPr="001823A0">
        <w:rPr>
          <w:spacing w:val="2"/>
        </w:rPr>
        <w:t xml:space="preserve"> </w:t>
      </w:r>
      <w:r w:rsidRPr="001823A0">
        <w:t>guidance notes.</w:t>
      </w:r>
    </w:p>
    <w:p w14:paraId="1F2E537A" w14:textId="2EB9494D" w:rsidR="002A0825" w:rsidRPr="001823A0" w:rsidRDefault="002A0825" w:rsidP="00F92ACE">
      <w:pPr>
        <w:pStyle w:val="ListParagraph"/>
        <w:ind w:left="567" w:hanging="567"/>
      </w:pPr>
      <w:r>
        <w:t xml:space="preserve">The issues raised in this RIS were considered by APRA </w:t>
      </w:r>
      <w:r w:rsidR="00FA35DC">
        <w:t xml:space="preserve">and ASIC </w:t>
      </w:r>
      <w:r>
        <w:t xml:space="preserve">at each major decision point. The </w:t>
      </w:r>
      <w:r w:rsidR="004F09E4">
        <w:t>need for regulatory action,</w:t>
      </w:r>
      <w:r>
        <w:t xml:space="preserve"> proposed solution, industry feedback, estimates of regulatory burden and alternative options were considered by APRA </w:t>
      </w:r>
      <w:r w:rsidR="00FA35DC">
        <w:t xml:space="preserve">and ASIC </w:t>
      </w:r>
      <w:r>
        <w:t>throughout the development and consultation process.</w:t>
      </w:r>
    </w:p>
    <w:p w14:paraId="7A876A87" w14:textId="77777777" w:rsidR="00DD147E" w:rsidRPr="001823A0" w:rsidRDefault="00DD147E" w:rsidP="00F46FE6">
      <w:pPr>
        <w:pStyle w:val="Heading4"/>
      </w:pPr>
      <w:r w:rsidRPr="001823A0">
        <w:lastRenderedPageBreak/>
        <w:t>Background</w:t>
      </w:r>
    </w:p>
    <w:p w14:paraId="478F201B" w14:textId="11973078" w:rsidR="00DD7CEF" w:rsidRPr="001823A0" w:rsidRDefault="00DD7CEF" w:rsidP="00A70B36">
      <w:pPr>
        <w:pStyle w:val="Heading5"/>
      </w:pPr>
      <w:r w:rsidRPr="001823A0">
        <w:t>APRA</w:t>
      </w:r>
      <w:r w:rsidRPr="001823A0">
        <w:t>’</w:t>
      </w:r>
      <w:r w:rsidRPr="001823A0">
        <w:t xml:space="preserve">s </w:t>
      </w:r>
      <w:r w:rsidR="001823A0" w:rsidRPr="001823A0">
        <w:t>supervisory framework</w:t>
      </w:r>
    </w:p>
    <w:p w14:paraId="6D7DFF7A" w14:textId="2EFACD1B" w:rsidR="00DD7CEF" w:rsidRDefault="001823A0" w:rsidP="00257B81">
      <w:pPr>
        <w:pStyle w:val="ListParagraph"/>
      </w:pPr>
      <w:r w:rsidRPr="00882E63">
        <w:t xml:space="preserve">APRA’s mandate is to ensure the safety and soundness of APRA-regulated institutions so that they can in all reasonable circumstances meet their financial promises to depositors, policyholders and fund </w:t>
      </w:r>
      <w:r w:rsidRPr="00882E63">
        <w:rPr>
          <w:spacing w:val="-1"/>
        </w:rPr>
        <w:t>members</w:t>
      </w:r>
      <w:r w:rsidRPr="00882E63">
        <w:t xml:space="preserve"> within a stable, efficient and competitive financial system. APRA carries out this mandate through a multi-layered prudential framework that encompasses </w:t>
      </w:r>
      <w:r w:rsidR="00920CC0">
        <w:t>authorisation</w:t>
      </w:r>
      <w:r w:rsidR="00920CC0" w:rsidRPr="00882E63">
        <w:t xml:space="preserve"> </w:t>
      </w:r>
      <w:r w:rsidRPr="00882E63">
        <w:t>and supervision of institutions.</w:t>
      </w:r>
      <w:r w:rsidR="0004516D">
        <w:t xml:space="preserve"> Under the</w:t>
      </w:r>
      <w:r w:rsidRPr="00882E63">
        <w:t xml:space="preserve"> </w:t>
      </w:r>
      <w:r w:rsidR="000E5F6B">
        <w:t xml:space="preserve">Life </w:t>
      </w:r>
      <w:r w:rsidR="00F2188A">
        <w:t>Act</w:t>
      </w:r>
      <w:r w:rsidR="00E26E88">
        <w:t>,</w:t>
      </w:r>
      <w:r w:rsidRPr="00882E63">
        <w:t xml:space="preserve"> </w:t>
      </w:r>
      <w:r w:rsidR="0004516D">
        <w:t xml:space="preserve">APRA </w:t>
      </w:r>
      <w:r w:rsidRPr="00882E63">
        <w:t>issue</w:t>
      </w:r>
      <w:r w:rsidR="0004516D">
        <w:t>s</w:t>
      </w:r>
      <w:r w:rsidRPr="00882E63">
        <w:t xml:space="preserve"> legally binding prudential standards that set out specific requirements with which </w:t>
      </w:r>
      <w:r w:rsidR="000E5F6B">
        <w:t>life insurer</w:t>
      </w:r>
      <w:r w:rsidRPr="00882E63">
        <w:t>s must comply. APRA also publishes prudential practice guides (PPGs), which clarify APRA’s expectations with regard to prudential matters.</w:t>
      </w:r>
    </w:p>
    <w:p w14:paraId="1D2C2988" w14:textId="5826BEE3" w:rsidR="001823A0" w:rsidRDefault="001823A0" w:rsidP="00E921F1">
      <w:pPr>
        <w:pStyle w:val="ListParagraph"/>
      </w:pPr>
      <w:r w:rsidRPr="00882E63">
        <w:t xml:space="preserve">A key </w:t>
      </w:r>
      <w:r w:rsidRPr="00257B81">
        <w:t>component</w:t>
      </w:r>
      <w:r w:rsidRPr="00882E63">
        <w:t xml:space="preserve"> of delivering </w:t>
      </w:r>
      <w:r w:rsidR="00F2188A">
        <w:t>APRA’s</w:t>
      </w:r>
      <w:r w:rsidRPr="00882E63">
        <w:t xml:space="preserve"> mandate is the use of data analysis for identification of </w:t>
      </w:r>
      <w:r w:rsidRPr="0021212A">
        <w:t xml:space="preserve">key entity risks and for analysis of broader industry trends. </w:t>
      </w:r>
      <w:r w:rsidR="000E5F6B" w:rsidRPr="0021212A">
        <w:t>APRA currently collects data from life insurers</w:t>
      </w:r>
      <w:r w:rsidRPr="0021212A">
        <w:t xml:space="preserve"> on areas such as</w:t>
      </w:r>
      <w:r w:rsidRPr="00882E63">
        <w:t xml:space="preserve"> financial strength, performance and operations. The analysis </w:t>
      </w:r>
      <w:r w:rsidR="00954074">
        <w:t xml:space="preserve">of this data helps to inform APRA’s </w:t>
      </w:r>
      <w:r w:rsidRPr="00882E63">
        <w:t>assessment of a regulated entity’s financial position and emerging trends or potential issues that should be monitored or followed up with the entity. These are critical inputs into APRA’s supervisory assessment and supervisory action plans. The depth of financial analysis and areas to be reviewed depend on the nature and operations of the regulated entity, its size, complexity and risk profile. Appropriate supervisory actions are taken where a deterioration in financial performance or stability becomes evident.</w:t>
      </w:r>
    </w:p>
    <w:p w14:paraId="702B1986" w14:textId="56A2C6E7" w:rsidR="00DF53DB" w:rsidRPr="00DF53DB" w:rsidRDefault="00DF53DB" w:rsidP="00123E4D">
      <w:pPr>
        <w:pStyle w:val="Heading5"/>
      </w:pPr>
      <w:r>
        <w:t>APRA</w:t>
      </w:r>
      <w:r>
        <w:t>’</w:t>
      </w:r>
      <w:r>
        <w:t>s reporting framework</w:t>
      </w:r>
    </w:p>
    <w:p w14:paraId="610D6134" w14:textId="7470163E" w:rsidR="001823A0" w:rsidRPr="00BD01F6" w:rsidRDefault="000E5F6B" w:rsidP="00137B0F">
      <w:pPr>
        <w:pStyle w:val="ListParagraph"/>
        <w:ind w:left="567" w:hanging="567"/>
      </w:pPr>
      <w:r w:rsidRPr="00882E63">
        <w:t xml:space="preserve">APRA is empowered under </w:t>
      </w:r>
      <w:r w:rsidRPr="000E5F6B">
        <w:t xml:space="preserve">section 13 of the </w:t>
      </w:r>
      <w:r w:rsidRPr="000E5F6B">
        <w:rPr>
          <w:i/>
        </w:rPr>
        <w:t>Financial Sector (Collection of Data) Act 2001</w:t>
      </w:r>
      <w:r w:rsidRPr="000E5F6B">
        <w:t xml:space="preserve"> (FSCODA)</w:t>
      </w:r>
      <w:r>
        <w:t xml:space="preserve"> to </w:t>
      </w:r>
      <w:r w:rsidRPr="000E5F6B">
        <w:t>require financial sector entities to provide information to APRA.</w:t>
      </w:r>
      <w:r>
        <w:t xml:space="preserve"> </w:t>
      </w:r>
      <w:r w:rsidR="001823A0" w:rsidRPr="00882E63">
        <w:t xml:space="preserve">Under </w:t>
      </w:r>
      <w:r>
        <w:t>FSCODA</w:t>
      </w:r>
      <w:r w:rsidR="001823A0" w:rsidRPr="00882E63">
        <w:t>, APRA may determine reporting standards that require</w:t>
      </w:r>
      <w:r w:rsidR="00F12DE8">
        <w:t xml:space="preserve"> life insurers and other</w:t>
      </w:r>
      <w:r w:rsidR="001823A0" w:rsidRPr="00882E63">
        <w:t xml:space="preserve"> regulated institutions to provide information about their businesses and activities. These powers assist APRA in the prudential regulation of the financial sector and enable APRA to </w:t>
      </w:r>
      <w:r w:rsidR="00966B78">
        <w:t>share data with</w:t>
      </w:r>
      <w:r w:rsidR="001823A0" w:rsidRPr="00882E63">
        <w:t xml:space="preserve"> other government bodies</w:t>
      </w:r>
      <w:r w:rsidR="00E26E88">
        <w:t>,</w:t>
      </w:r>
      <w:r w:rsidR="001823A0" w:rsidRPr="00882E63">
        <w:t xml:space="preserve"> such </w:t>
      </w:r>
      <w:r w:rsidR="00FA35DC">
        <w:t>as</w:t>
      </w:r>
      <w:r w:rsidR="007C4C1A">
        <w:t xml:space="preserve"> </w:t>
      </w:r>
      <w:r w:rsidR="00566645">
        <w:t>ASIC</w:t>
      </w:r>
      <w:r w:rsidR="00E26E88">
        <w:t>,</w:t>
      </w:r>
      <w:r w:rsidR="00966B78" w:rsidRPr="00BD01F6">
        <w:t xml:space="preserve"> in accordance with </w:t>
      </w:r>
      <w:r w:rsidR="00566645">
        <w:t xml:space="preserve">the </w:t>
      </w:r>
      <w:r w:rsidR="00966B78" w:rsidRPr="0021212A">
        <w:rPr>
          <w:i/>
        </w:rPr>
        <w:t>A</w:t>
      </w:r>
      <w:r w:rsidR="0021212A" w:rsidRPr="0021212A">
        <w:rPr>
          <w:i/>
        </w:rPr>
        <w:t xml:space="preserve">ustralian </w:t>
      </w:r>
      <w:r w:rsidR="00966B78" w:rsidRPr="0021212A">
        <w:rPr>
          <w:i/>
        </w:rPr>
        <w:t>P</w:t>
      </w:r>
      <w:r w:rsidR="0021212A" w:rsidRPr="0021212A">
        <w:rPr>
          <w:i/>
        </w:rPr>
        <w:t xml:space="preserve">rudential </w:t>
      </w:r>
      <w:r w:rsidR="00966B78" w:rsidRPr="0021212A">
        <w:rPr>
          <w:i/>
        </w:rPr>
        <w:t>R</w:t>
      </w:r>
      <w:r w:rsidR="0021212A" w:rsidRPr="0021212A">
        <w:rPr>
          <w:i/>
        </w:rPr>
        <w:t xml:space="preserve">egulation </w:t>
      </w:r>
      <w:r w:rsidR="00966B78" w:rsidRPr="0021212A">
        <w:rPr>
          <w:i/>
        </w:rPr>
        <w:t>A</w:t>
      </w:r>
      <w:r w:rsidR="0021212A" w:rsidRPr="0021212A">
        <w:rPr>
          <w:i/>
        </w:rPr>
        <w:t>uthority</w:t>
      </w:r>
      <w:r w:rsidR="00966B78" w:rsidRPr="0021212A">
        <w:rPr>
          <w:i/>
        </w:rPr>
        <w:t xml:space="preserve"> Act </w:t>
      </w:r>
      <w:r w:rsidR="0021212A" w:rsidRPr="0021212A">
        <w:rPr>
          <w:i/>
        </w:rPr>
        <w:t>1998</w:t>
      </w:r>
      <w:r w:rsidR="00966B78" w:rsidRPr="00BD01F6">
        <w:t xml:space="preserve"> and the Memorandum of Understanding that exists between the two agencies</w:t>
      </w:r>
      <w:r w:rsidR="001823A0" w:rsidRPr="00BD01F6">
        <w:t>.</w:t>
      </w:r>
      <w:r w:rsidR="00137B0F" w:rsidRPr="00BD01F6">
        <w:t xml:space="preserve"> </w:t>
      </w:r>
      <w:r w:rsidR="00966B78" w:rsidRPr="00BD01F6">
        <w:t>It is an offence for a life insurer</w:t>
      </w:r>
      <w:r w:rsidR="00412C73" w:rsidRPr="00BD01F6">
        <w:t xml:space="preserve"> to </w:t>
      </w:r>
      <w:r w:rsidR="00412C73" w:rsidRPr="00BD01F6">
        <w:lastRenderedPageBreak/>
        <w:t xml:space="preserve">breach </w:t>
      </w:r>
      <w:r w:rsidR="00966B78" w:rsidRPr="00BD01F6">
        <w:t>a reporting standard</w:t>
      </w:r>
      <w:r w:rsidR="00651713">
        <w:t>,</w:t>
      </w:r>
      <w:r w:rsidR="00966B78" w:rsidRPr="00BD01F6">
        <w:t xml:space="preserve"> and life insurer</w:t>
      </w:r>
      <w:r w:rsidR="00412C73" w:rsidRPr="00BD01F6">
        <w:t>s typically apply robust governance procedures to ensure compliance.</w:t>
      </w:r>
    </w:p>
    <w:p w14:paraId="4D7D1D8F" w14:textId="76FD7E0E" w:rsidR="00B913EC" w:rsidRPr="00BD01F6" w:rsidRDefault="00B913EC" w:rsidP="00A70B36">
      <w:pPr>
        <w:pStyle w:val="Heading5"/>
      </w:pPr>
      <w:r w:rsidRPr="00BD01F6">
        <w:t>APRA</w:t>
      </w:r>
      <w:r w:rsidRPr="00BD01F6">
        <w:t>’</w:t>
      </w:r>
      <w:r w:rsidRPr="00BD01F6">
        <w:t>s current data coll</w:t>
      </w:r>
      <w:r w:rsidR="001D798A" w:rsidRPr="00BD01F6">
        <w:t>ections on life insurance</w:t>
      </w:r>
    </w:p>
    <w:p w14:paraId="3F373F4D" w14:textId="3081B8EA" w:rsidR="00533877" w:rsidRPr="00BD01F6" w:rsidRDefault="00533877">
      <w:pPr>
        <w:pStyle w:val="ListParagraph"/>
        <w:ind w:left="567" w:hanging="567"/>
      </w:pPr>
      <w:r w:rsidRPr="00BD01F6">
        <w:t xml:space="preserve">APRA’s existing data collection and publications include a significant amount of insurer-specific and industry-aggregate data. APRA’s life insurance data collection has been primarily developed for the purposes of supporting APRA’s prudential supervision of life insurers. </w:t>
      </w:r>
      <w:r w:rsidR="0089099C" w:rsidRPr="00BD01F6">
        <w:t>Some of the key features of APRA’s current data collection include, but are not limited to</w:t>
      </w:r>
      <w:r w:rsidR="003E130C" w:rsidRPr="00BD01F6">
        <w:t xml:space="preserve">, information on the value of premiums, policy revenue and expenses, and </w:t>
      </w:r>
      <w:r w:rsidR="00BD01F6" w:rsidRPr="00BD01F6">
        <w:t>basic claims statistics. APRA also collects insurance information from superannuation funds. More information can be found in APRA’s May 2017 Discussion Paper</w:t>
      </w:r>
      <w:r w:rsidR="00257B81">
        <w:t>.</w:t>
      </w:r>
      <w:r w:rsidR="00F11E54">
        <w:rPr>
          <w:rStyle w:val="FootnoteReference"/>
        </w:rPr>
        <w:footnoteReference w:id="3"/>
      </w:r>
      <w:r w:rsidR="00F11E54">
        <w:t xml:space="preserve"> </w:t>
      </w:r>
    </w:p>
    <w:p w14:paraId="3549293C" w14:textId="3A20ABF7" w:rsidR="002628C4" w:rsidRPr="003B1347" w:rsidRDefault="00DD147E" w:rsidP="0014738D">
      <w:pPr>
        <w:pStyle w:val="Heading4"/>
      </w:pPr>
      <w:r w:rsidRPr="00A70B36">
        <w:t>Policy</w:t>
      </w:r>
      <w:r w:rsidRPr="001823A0">
        <w:t xml:space="preserve"> problem and need for intervention</w:t>
      </w:r>
    </w:p>
    <w:p w14:paraId="73F86897" w14:textId="32C6868B" w:rsidR="001C4AA1" w:rsidRPr="001823A0" w:rsidRDefault="001C4AA1" w:rsidP="00A70B36">
      <w:pPr>
        <w:pStyle w:val="Heading5"/>
      </w:pPr>
      <w:r>
        <w:t xml:space="preserve">Importance of reliable information </w:t>
      </w:r>
      <w:r w:rsidR="00F37C60">
        <w:t>on claims and disputes in life claims</w:t>
      </w:r>
    </w:p>
    <w:p w14:paraId="5B476550" w14:textId="77012747" w:rsidR="007453C4" w:rsidRDefault="008A5415" w:rsidP="00BE4334">
      <w:pPr>
        <w:pStyle w:val="ListParagraph"/>
        <w:ind w:left="567" w:hanging="567"/>
      </w:pPr>
      <w:r>
        <w:t xml:space="preserve">Life insurance is an important </w:t>
      </w:r>
      <w:r w:rsidRPr="008A5415">
        <w:t>financial product that helps support consumers and their familie</w:t>
      </w:r>
      <w:r>
        <w:t>s in times of need</w:t>
      </w:r>
      <w:r w:rsidRPr="008A5415">
        <w:t xml:space="preserve">. </w:t>
      </w:r>
      <w:r w:rsidR="00825F70" w:rsidRPr="00BE4334">
        <w:rPr>
          <w:rFonts w:cs="Times New Roman"/>
          <w:color w:val="000000"/>
        </w:rPr>
        <w:t xml:space="preserve">For consumers, the intrinsic value of an insurance product is in the ability to make a successful claim when an insured event occurs. </w:t>
      </w:r>
      <w:r w:rsidR="006712B9">
        <w:t>Not</w:t>
      </w:r>
      <w:r w:rsidRPr="008A5415">
        <w:t xml:space="preserve"> being able to successfully claim on a life insurance policy can be financially distressing for </w:t>
      </w:r>
      <w:r>
        <w:t>consumers</w:t>
      </w:r>
      <w:r w:rsidRPr="008A5415">
        <w:t>, so it</w:t>
      </w:r>
      <w:r w:rsidR="00825F70">
        <w:t xml:space="preserve"> i</w:t>
      </w:r>
      <w:r w:rsidRPr="008A5415">
        <w:t>s important that the industry operates in a way that is fair and transparent</w:t>
      </w:r>
      <w:r>
        <w:t xml:space="preserve">. </w:t>
      </w:r>
      <w:r w:rsidR="003130E4">
        <w:t>The financial system</w:t>
      </w:r>
      <w:r w:rsidR="00825F70">
        <w:t xml:space="preserve">, of which life insurance is a key part, </w:t>
      </w:r>
      <w:r w:rsidR="006712B9">
        <w:t xml:space="preserve">plays a crucial role </w:t>
      </w:r>
      <w:r w:rsidR="00825F70">
        <w:t>in</w:t>
      </w:r>
      <w:r w:rsidR="006712B9">
        <w:t xml:space="preserve"> the wellbeing of Australian households and businesses, so it</w:t>
      </w:r>
      <w:r w:rsidR="00825F70">
        <w:t xml:space="preserve"> i</w:t>
      </w:r>
      <w:r w:rsidR="006712B9">
        <w:t xml:space="preserve">s </w:t>
      </w:r>
      <w:r w:rsidR="00825F70">
        <w:t>critical</w:t>
      </w:r>
      <w:r w:rsidR="006712B9">
        <w:t xml:space="preserve"> that </w:t>
      </w:r>
      <w:r w:rsidR="00825F70">
        <w:t>financial service</w:t>
      </w:r>
      <w:r w:rsidR="00954074">
        <w:t xml:space="preserve"> providers</w:t>
      </w:r>
      <w:r w:rsidR="00825F70">
        <w:t xml:space="preserve"> </w:t>
      </w:r>
      <w:r w:rsidR="006712B9">
        <w:t>operate at the highest standards and meet</w:t>
      </w:r>
      <w:r w:rsidR="00825F70">
        <w:t xml:space="preserve"> their legal obligations as well as</w:t>
      </w:r>
      <w:r w:rsidR="006712B9">
        <w:t xml:space="preserve"> community expectations. </w:t>
      </w:r>
    </w:p>
    <w:p w14:paraId="66C8FD57" w14:textId="33288D36" w:rsidR="009A38F6" w:rsidRDefault="00825F70" w:rsidP="00BE4334">
      <w:pPr>
        <w:pStyle w:val="ListParagraph"/>
        <w:ind w:left="567" w:hanging="567"/>
      </w:pPr>
      <w:r>
        <w:t>In</w:t>
      </w:r>
      <w:r w:rsidR="009A38F6">
        <w:t xml:space="preserve"> recent years</w:t>
      </w:r>
      <w:r>
        <w:t xml:space="preserve"> concerns have emerged about </w:t>
      </w:r>
      <w:r w:rsidR="009A38F6">
        <w:t xml:space="preserve">the misconduct of financial institutions </w:t>
      </w:r>
      <w:r>
        <w:t>and about</w:t>
      </w:r>
      <w:r w:rsidR="009A38F6">
        <w:t xml:space="preserve"> whether </w:t>
      </w:r>
      <w:r>
        <w:t xml:space="preserve">there are </w:t>
      </w:r>
      <w:r w:rsidR="009A38F6">
        <w:t xml:space="preserve">systemic issues within </w:t>
      </w:r>
      <w:r w:rsidR="00DF19EC">
        <w:t>the Australian financial system</w:t>
      </w:r>
      <w:r w:rsidR="009A38F6">
        <w:t xml:space="preserve"> that </w:t>
      </w:r>
      <w:r>
        <w:t>are</w:t>
      </w:r>
      <w:r w:rsidR="009A38F6">
        <w:t xml:space="preserve"> not being adequately addressed through </w:t>
      </w:r>
      <w:r>
        <w:t xml:space="preserve">the </w:t>
      </w:r>
      <w:r w:rsidR="00DF19EC">
        <w:t>existing regulatory framework</w:t>
      </w:r>
      <w:r w:rsidR="009A38F6">
        <w:t xml:space="preserve">. </w:t>
      </w:r>
      <w:r>
        <w:t xml:space="preserve">A key issue that has emerged is </w:t>
      </w:r>
      <w:r w:rsidR="00DF19EC">
        <w:t xml:space="preserve">the </w:t>
      </w:r>
      <w:r w:rsidR="009A38F6">
        <w:t xml:space="preserve">alleged </w:t>
      </w:r>
      <w:r w:rsidR="00DF19EC">
        <w:t xml:space="preserve">mishandling of insurance claims. </w:t>
      </w:r>
    </w:p>
    <w:p w14:paraId="5B2160BF" w14:textId="0ADFF05C" w:rsidR="00461688" w:rsidRDefault="00EC281D" w:rsidP="00461688">
      <w:pPr>
        <w:pStyle w:val="ListParagraph"/>
        <w:ind w:left="567" w:hanging="567"/>
      </w:pPr>
      <w:r>
        <w:lastRenderedPageBreak/>
        <w:t>I</w:t>
      </w:r>
      <w:r w:rsidR="00A00FF6">
        <w:t>n 2016, ASIC conducted a thematic review to identify any systemic concerns with claims handling across the life insurance industry</w:t>
      </w:r>
      <w:r w:rsidR="004546A1">
        <w:rPr>
          <w:rStyle w:val="FootnoteReference"/>
        </w:rPr>
        <w:footnoteReference w:id="4"/>
      </w:r>
      <w:r w:rsidR="00A00FF6">
        <w:t xml:space="preserve">. </w:t>
      </w:r>
      <w:r w:rsidR="005A2F64">
        <w:t xml:space="preserve">While significant shortcomings </w:t>
      </w:r>
      <w:r w:rsidR="00825F70">
        <w:t xml:space="preserve">were identified </w:t>
      </w:r>
      <w:r w:rsidR="005A2F64">
        <w:t>in a number of areas of claims handling, a</w:t>
      </w:r>
      <w:r w:rsidR="009D5012">
        <w:t xml:space="preserve"> </w:t>
      </w:r>
      <w:r w:rsidR="00A00FF6">
        <w:t xml:space="preserve">key finding was that </w:t>
      </w:r>
      <w:r w:rsidR="00B17DB6">
        <w:t>“</w:t>
      </w:r>
      <w:r w:rsidR="009D5012">
        <w:t xml:space="preserve">there </w:t>
      </w:r>
      <w:r w:rsidR="00B17DB6">
        <w:t>is a clear need for better quality, more consistent and more transparent data about insurance claims”</w:t>
      </w:r>
      <w:r w:rsidR="00B17DB6">
        <w:rPr>
          <w:rStyle w:val="FootnoteReference"/>
        </w:rPr>
        <w:footnoteReference w:id="5"/>
      </w:r>
      <w:r w:rsidR="005A2F64">
        <w:t xml:space="preserve"> at an industry and individual insurer level</w:t>
      </w:r>
      <w:r w:rsidR="009D5012">
        <w:t xml:space="preserve">. </w:t>
      </w:r>
      <w:r w:rsidR="00461688">
        <w:t xml:space="preserve">In particular, ASIC found that the current data limitations mean that: </w:t>
      </w:r>
    </w:p>
    <w:p w14:paraId="2A895375" w14:textId="77777777" w:rsidR="00461688" w:rsidRDefault="00461688" w:rsidP="00543A30">
      <w:pPr>
        <w:pStyle w:val="ListParagraph"/>
        <w:numPr>
          <w:ilvl w:val="1"/>
          <w:numId w:val="13"/>
        </w:numPr>
      </w:pPr>
      <w:r>
        <w:t xml:space="preserve">it is difficult to compare and assess declined claim rates and other key measures of claims performance across insurers; </w:t>
      </w:r>
    </w:p>
    <w:p w14:paraId="715381B3" w14:textId="77777777" w:rsidR="00461688" w:rsidRDefault="00461688" w:rsidP="00543A30">
      <w:pPr>
        <w:pStyle w:val="ListParagraph"/>
        <w:numPr>
          <w:ilvl w:val="1"/>
          <w:numId w:val="13"/>
        </w:numPr>
      </w:pPr>
      <w:r>
        <w:t>it is more difficult for insurers, including boards and senior management, to assess the performance of their own claims handling and claims outcomes; and</w:t>
      </w:r>
    </w:p>
    <w:p w14:paraId="2BA393D5" w14:textId="77777777" w:rsidR="00461688" w:rsidRPr="00451BA0" w:rsidRDefault="00461688" w:rsidP="00543A30">
      <w:pPr>
        <w:pStyle w:val="ListParagraph"/>
        <w:numPr>
          <w:ilvl w:val="1"/>
          <w:numId w:val="13"/>
        </w:numPr>
      </w:pPr>
      <w:proofErr w:type="gramStart"/>
      <w:r>
        <w:t>it</w:t>
      </w:r>
      <w:proofErr w:type="gramEnd"/>
      <w:r>
        <w:t xml:space="preserve"> is very difficult for consumers and other stakeholders to assess the claims outcomes and performance of the life insurance sector, including trends over time, and this undermines insurer accountability and consumer trust. </w:t>
      </w:r>
    </w:p>
    <w:p w14:paraId="0F193F0B" w14:textId="02B07A1F" w:rsidR="006F6EF1" w:rsidRDefault="006F6EF1" w:rsidP="009926F3">
      <w:pPr>
        <w:pStyle w:val="ListParagraph"/>
        <w:ind w:left="567" w:hanging="567"/>
      </w:pPr>
      <w:r>
        <w:t xml:space="preserve">Given growing community concern </w:t>
      </w:r>
      <w:r w:rsidR="00624A39">
        <w:t xml:space="preserve">over </w:t>
      </w:r>
      <w:r>
        <w:t>the handling and payment of claims across the life insurance industry</w:t>
      </w:r>
      <w:r w:rsidR="000F3115">
        <w:t>,</w:t>
      </w:r>
      <w:r>
        <w:t xml:space="preserve"> </w:t>
      </w:r>
      <w:r w:rsidR="00EC281D">
        <w:t xml:space="preserve">the limited information available to better assess and understand the effectiveness and performance of insurance products, </w:t>
      </w:r>
      <w:r w:rsidR="00F36C9B">
        <w:t xml:space="preserve">and the issues with data provided to ASIC by insurers, </w:t>
      </w:r>
      <w:r>
        <w:t xml:space="preserve">the report recommended the establishment of a consistent public reporting regime for claims data and claims outcomes, including claims handling timeframes and dispute levels across all policy types. </w:t>
      </w:r>
      <w:r w:rsidR="00316591">
        <w:t>C</w:t>
      </w:r>
      <w:r w:rsidR="00155749">
        <w:t xml:space="preserve">laims handling </w:t>
      </w:r>
      <w:r w:rsidR="00316591">
        <w:t>issues have</w:t>
      </w:r>
      <w:r w:rsidR="00155749">
        <w:t xml:space="preserve"> been raised as a concern</w:t>
      </w:r>
      <w:r w:rsidR="00424748">
        <w:t xml:space="preserve"> </w:t>
      </w:r>
      <w:r w:rsidR="00155749">
        <w:t xml:space="preserve">in the </w:t>
      </w:r>
      <w:r w:rsidR="009926F3">
        <w:t xml:space="preserve">2018 </w:t>
      </w:r>
      <w:r w:rsidR="009926F3" w:rsidRPr="00954074">
        <w:t>Royal Commission into Misconduct in the Banking, Superannuation and Financial Services Industry</w:t>
      </w:r>
      <w:r w:rsidR="00316591">
        <w:t>, reinforcing</w:t>
      </w:r>
      <w:r w:rsidR="00155749">
        <w:t xml:space="preserve"> the need for this data.</w:t>
      </w:r>
      <w:r w:rsidR="00954074">
        <w:t xml:space="preserve"> </w:t>
      </w:r>
    </w:p>
    <w:p w14:paraId="533CB468" w14:textId="17F9ECB0" w:rsidR="00965785" w:rsidRDefault="0095269A" w:rsidP="00BE4334">
      <w:pPr>
        <w:pStyle w:val="ListParagraph"/>
        <w:ind w:left="567" w:hanging="567"/>
      </w:pPr>
      <w:r>
        <w:t>A</w:t>
      </w:r>
      <w:r w:rsidR="00155749">
        <w:t>n ongoing</w:t>
      </w:r>
      <w:r>
        <w:t xml:space="preserve"> public reporting regime</w:t>
      </w:r>
      <w:r w:rsidR="00965785">
        <w:t xml:space="preserve"> </w:t>
      </w:r>
      <w:r w:rsidR="00155749">
        <w:t xml:space="preserve">is critical to allow </w:t>
      </w:r>
      <w:r w:rsidR="000F3115">
        <w:t>APRA and ASIC (</w:t>
      </w:r>
      <w:r w:rsidR="00155749">
        <w:t>the agencies</w:t>
      </w:r>
      <w:r w:rsidR="000F3115">
        <w:t>)</w:t>
      </w:r>
      <w:r w:rsidR="00155749">
        <w:t xml:space="preserve"> to</w:t>
      </w:r>
      <w:r w:rsidR="00965785" w:rsidRPr="00965785">
        <w:t xml:space="preserve"> identify trends and issues </w:t>
      </w:r>
      <w:r w:rsidR="00155749">
        <w:t>in a timely way with</w:t>
      </w:r>
      <w:r w:rsidR="00965785" w:rsidRPr="00965785">
        <w:t xml:space="preserve"> a product, an insurer</w:t>
      </w:r>
      <w:r w:rsidR="00155749">
        <w:t>, a distribution channel</w:t>
      </w:r>
      <w:r w:rsidR="00965785" w:rsidRPr="00965785">
        <w:t xml:space="preserve"> or the industry as a whole.</w:t>
      </w:r>
      <w:r w:rsidR="00965785">
        <w:t xml:space="preserve"> </w:t>
      </w:r>
      <w:r w:rsidR="00EC281D">
        <w:t>For insurers, i</w:t>
      </w:r>
      <w:r w:rsidR="00965785">
        <w:t xml:space="preserve">t will </w:t>
      </w:r>
      <w:r w:rsidR="00965785" w:rsidRPr="00965785">
        <w:t>provide important insights</w:t>
      </w:r>
      <w:r w:rsidR="00A25825">
        <w:t xml:space="preserve"> into portfolio experience, support and facilitate the </w:t>
      </w:r>
      <w:r w:rsidR="00965785" w:rsidRPr="00965785">
        <w:t>enhanc</w:t>
      </w:r>
      <w:r w:rsidR="00A25825">
        <w:t>ement</w:t>
      </w:r>
      <w:r w:rsidR="00965785" w:rsidRPr="00965785">
        <w:t xml:space="preserve"> </w:t>
      </w:r>
      <w:r w:rsidR="00A25825">
        <w:t xml:space="preserve">of </w:t>
      </w:r>
      <w:r w:rsidR="00965785" w:rsidRPr="00965785">
        <w:t>claims handling procedures</w:t>
      </w:r>
      <w:r w:rsidR="00EC281D">
        <w:t xml:space="preserve">, as well as provide a basis for assessing product suitability – ensuring </w:t>
      </w:r>
      <w:r w:rsidR="00EC281D">
        <w:lastRenderedPageBreak/>
        <w:t>products remain fit for purpose and are beneficial to consumers. For consumers, the data published will contain various statistics on the different insurance products, which can be used to assist them to make informed purchasing decisions</w:t>
      </w:r>
      <w:r w:rsidR="00D20A6F">
        <w:t xml:space="preserve">; and to increase consumer understanding of the products more broadly. </w:t>
      </w:r>
    </w:p>
    <w:p w14:paraId="3B7B1CA7" w14:textId="50986996" w:rsidR="00140E25" w:rsidRDefault="00140E25" w:rsidP="0047725D">
      <w:pPr>
        <w:pStyle w:val="ListParagraph"/>
        <w:ind w:left="567" w:hanging="567"/>
      </w:pPr>
      <w:r w:rsidRPr="00140E25">
        <w:t xml:space="preserve">APRA’s </w:t>
      </w:r>
      <w:r w:rsidR="00461688">
        <w:t xml:space="preserve">current </w:t>
      </w:r>
      <w:r w:rsidRPr="00140E25">
        <w:t>life insurance data collection has been primarily developed for the purposes of supporting APRA’s prudential supervision of life insurers</w:t>
      </w:r>
      <w:r w:rsidR="005E6D16">
        <w:t xml:space="preserve"> </w:t>
      </w:r>
      <w:r w:rsidR="00525DEF">
        <w:t>–</w:t>
      </w:r>
      <w:r w:rsidR="005E6D16">
        <w:t xml:space="preserve"> that is, information relating to the prudential standing of a life insurer </w:t>
      </w:r>
      <w:r w:rsidR="00155749">
        <w:t>–</w:t>
      </w:r>
      <w:r w:rsidR="005E6D16">
        <w:t xml:space="preserve"> </w:t>
      </w:r>
      <w:r w:rsidR="00155749">
        <w:t xml:space="preserve">and </w:t>
      </w:r>
      <w:r w:rsidRPr="00140E25">
        <w:t>it does not include data that can help to fully understand the claims processes of insurers</w:t>
      </w:r>
      <w:r w:rsidR="00F36C9B">
        <w:t xml:space="preserve"> or the way insurers handle disputes</w:t>
      </w:r>
      <w:r w:rsidR="00155749">
        <w:t>, in order to identify issues early</w:t>
      </w:r>
      <w:r w:rsidRPr="00140E25">
        <w:t xml:space="preserve">. </w:t>
      </w:r>
    </w:p>
    <w:p w14:paraId="5031E17D" w14:textId="267F67E2" w:rsidR="004546A1" w:rsidRPr="00451BA0" w:rsidRDefault="00F936A8" w:rsidP="00C62A84">
      <w:pPr>
        <w:pStyle w:val="ListParagraph"/>
        <w:ind w:left="567" w:hanging="567"/>
      </w:pPr>
      <w:r>
        <w:t xml:space="preserve">Other data collection </w:t>
      </w:r>
      <w:r w:rsidR="00155749">
        <w:t xml:space="preserve">in this area </w:t>
      </w:r>
      <w:r>
        <w:t>includes that of t</w:t>
      </w:r>
      <w:r w:rsidR="004546A1">
        <w:t xml:space="preserve">he Code Compliance Committee (CCC), which </w:t>
      </w:r>
      <w:r w:rsidR="004546A1" w:rsidRPr="004546A1">
        <w:t xml:space="preserve">is an independent body responsible for the monitoring and enforcement of the </w:t>
      </w:r>
      <w:r w:rsidR="00155749">
        <w:t xml:space="preserve">voluntary industry </w:t>
      </w:r>
      <w:r w:rsidR="004546A1" w:rsidRPr="004546A1">
        <w:t>Life Insurance Code of Practice</w:t>
      </w:r>
      <w:r>
        <w:t>.</w:t>
      </w:r>
      <w:r w:rsidR="004546A1">
        <w:t xml:space="preserve"> </w:t>
      </w:r>
      <w:r>
        <w:t xml:space="preserve">The CCC </w:t>
      </w:r>
      <w:r w:rsidR="004546A1">
        <w:t xml:space="preserve">currently </w:t>
      </w:r>
      <w:r w:rsidR="00EC6450">
        <w:t>collects and publish</w:t>
      </w:r>
      <w:r>
        <w:t>es aggregated industry data for the primary</w:t>
      </w:r>
      <w:r w:rsidR="00412A2C">
        <w:t xml:space="preserve"> purpose </w:t>
      </w:r>
      <w:r>
        <w:t>of</w:t>
      </w:r>
      <w:r w:rsidR="00412A2C">
        <w:t xml:space="preserve"> assess</w:t>
      </w:r>
      <w:r>
        <w:t>ing</w:t>
      </w:r>
      <w:r w:rsidR="00412A2C">
        <w:t xml:space="preserve"> </w:t>
      </w:r>
      <w:r>
        <w:t xml:space="preserve">code </w:t>
      </w:r>
      <w:r w:rsidR="00412A2C">
        <w:t xml:space="preserve">compliance by </w:t>
      </w:r>
      <w:r>
        <w:t xml:space="preserve">subscribing </w:t>
      </w:r>
      <w:r w:rsidR="00412A2C">
        <w:t xml:space="preserve">life insurers. </w:t>
      </w:r>
      <w:r w:rsidR="006A3B3D">
        <w:t>The</w:t>
      </w:r>
      <w:r>
        <w:t xml:space="preserve">re remain significant gaps as </w:t>
      </w:r>
      <w:r w:rsidR="006A3B3D">
        <w:t xml:space="preserve">only those who subscribe to the Code of Practice fall within scope of this exercise, and the mechanism is discretionary </w:t>
      </w:r>
      <w:r w:rsidR="00525DEF">
        <w:t>–</w:t>
      </w:r>
      <w:r w:rsidR="006A3B3D">
        <w:t xml:space="preserve"> meaning the CCC is responsible for determining what information to collect and publish. </w:t>
      </w:r>
    </w:p>
    <w:p w14:paraId="5E1AB120" w14:textId="120B868B" w:rsidR="00E2180E" w:rsidRDefault="00F36C9B" w:rsidP="00E2180E">
      <w:pPr>
        <w:pStyle w:val="ListParagraph"/>
        <w:ind w:left="567" w:hanging="567"/>
      </w:pPr>
      <w:r>
        <w:t xml:space="preserve">There is currently no ongoing public reporting regime for life claims and disputes data. </w:t>
      </w:r>
      <w:r w:rsidR="00451BA0">
        <w:t>Consumers and other stakeholders cannot readily compare the claims</w:t>
      </w:r>
      <w:r w:rsidR="00E2180E" w:rsidRPr="00451BA0">
        <w:t xml:space="preserve"> performance of different insurers. This lack of transparency has given rise to a lack of confidence in the integrity of the claims assessment</w:t>
      </w:r>
      <w:r w:rsidR="008E2413">
        <w:t xml:space="preserve"> process</w:t>
      </w:r>
      <w:r w:rsidR="008B5EF1">
        <w:t xml:space="preserve"> </w:t>
      </w:r>
      <w:r w:rsidR="00A25825">
        <w:t>and</w:t>
      </w:r>
      <w:r w:rsidR="00951DC5">
        <w:t xml:space="preserve"> by extension</w:t>
      </w:r>
      <w:r w:rsidR="00A25825">
        <w:t xml:space="preserve"> the industry as a whole</w:t>
      </w:r>
      <w:r w:rsidR="00951DC5">
        <w:t>.</w:t>
      </w:r>
    </w:p>
    <w:p w14:paraId="1E15A3D4" w14:textId="76422121" w:rsidR="00363C83" w:rsidRPr="00451BA0" w:rsidRDefault="00363C83" w:rsidP="00E2180E">
      <w:pPr>
        <w:pStyle w:val="ListParagraph"/>
        <w:ind w:left="567" w:hanging="567"/>
      </w:pPr>
      <w:r>
        <w:t xml:space="preserve">Accordingly, there is a need for </w:t>
      </w:r>
      <w:r w:rsidR="000560C6">
        <w:t xml:space="preserve">industry wide, timely provision of data that is </w:t>
      </w:r>
      <w:r>
        <w:t>credible, reliable</w:t>
      </w:r>
      <w:r w:rsidR="00D66C87">
        <w:t xml:space="preserve">, </w:t>
      </w:r>
      <w:r>
        <w:t xml:space="preserve">comparable </w:t>
      </w:r>
      <w:r w:rsidR="008E2413">
        <w:t>and</w:t>
      </w:r>
      <w:r>
        <w:t xml:space="preserve"> of a standard that can be published at</w:t>
      </w:r>
      <w:r w:rsidR="008E2413">
        <w:t xml:space="preserve"> both</w:t>
      </w:r>
      <w:r>
        <w:t xml:space="preserve"> an industry-aggregate and entity level. </w:t>
      </w:r>
    </w:p>
    <w:p w14:paraId="1A5AA0E8" w14:textId="77777777" w:rsidR="00DD147E" w:rsidRPr="005D65D9" w:rsidRDefault="00DD147E" w:rsidP="00F46FE6">
      <w:pPr>
        <w:pStyle w:val="Heading4"/>
      </w:pPr>
      <w:r w:rsidRPr="005D65D9">
        <w:t xml:space="preserve">Policy </w:t>
      </w:r>
      <w:r w:rsidRPr="00F46FE6">
        <w:t>options</w:t>
      </w:r>
      <w:r w:rsidRPr="005D65D9">
        <w:t xml:space="preserve"> and comparative net benefit</w:t>
      </w:r>
    </w:p>
    <w:p w14:paraId="749C87F7" w14:textId="7346A8F4" w:rsidR="00951372" w:rsidRDefault="00951372" w:rsidP="00BA0F86">
      <w:pPr>
        <w:pStyle w:val="ListParagraph"/>
        <w:ind w:left="567" w:hanging="567"/>
      </w:pPr>
      <w:r>
        <w:t xml:space="preserve">Commencing in May 2017, </w:t>
      </w:r>
      <w:r w:rsidR="00C77BF1">
        <w:t xml:space="preserve">the agencies </w:t>
      </w:r>
      <w:r>
        <w:t>undertook</w:t>
      </w:r>
      <w:r w:rsidR="002A5BDE" w:rsidRPr="002A5BDE">
        <w:t xml:space="preserve"> a joint initiative to collect and publicly report on life insurance claims and disputes data. </w:t>
      </w:r>
    </w:p>
    <w:p w14:paraId="15D5146D" w14:textId="3A8E8C1D" w:rsidR="00951372" w:rsidRDefault="00951372" w:rsidP="00F41BA8">
      <w:pPr>
        <w:pStyle w:val="ListParagraph"/>
        <w:ind w:left="567" w:hanging="567"/>
      </w:pPr>
      <w:r w:rsidRPr="00A035C8">
        <w:t>The agencies adopted a two phase approach to this work: the first involve</w:t>
      </w:r>
      <w:r>
        <w:t>d</w:t>
      </w:r>
      <w:r w:rsidRPr="00A035C8">
        <w:t xml:space="preserve"> collecting three rounds of data in a pilot process to establish an effective and consistent collection </w:t>
      </w:r>
      <w:r w:rsidRPr="00A035C8">
        <w:lastRenderedPageBreak/>
        <w:t xml:space="preserve">approach (pilot data </w:t>
      </w:r>
      <w:r w:rsidR="00BD213E">
        <w:t>phase</w:t>
      </w:r>
      <w:r w:rsidRPr="00A035C8">
        <w:t xml:space="preserve">), </w:t>
      </w:r>
      <w:r>
        <w:t>with th</w:t>
      </w:r>
      <w:r w:rsidRPr="00A035C8">
        <w:t xml:space="preserve">e second </w:t>
      </w:r>
      <w:r>
        <w:t>being</w:t>
      </w:r>
      <w:r w:rsidRPr="00A035C8">
        <w:t xml:space="preserve"> the ongoing collection and publication of credible, reliable and comparable data (ongoing reporting phase). </w:t>
      </w:r>
    </w:p>
    <w:p w14:paraId="3835B354" w14:textId="77777777" w:rsidR="008A63BE" w:rsidRDefault="002A5BDE" w:rsidP="00BA0F86">
      <w:pPr>
        <w:pStyle w:val="ListParagraph"/>
        <w:ind w:left="567" w:hanging="567"/>
      </w:pPr>
      <w:r w:rsidRPr="002A5BDE">
        <w:t>The agencies’ objectives in</w:t>
      </w:r>
      <w:r w:rsidR="003B2644">
        <w:t xml:space="preserve"> both phases of this project</w:t>
      </w:r>
      <w:r w:rsidR="00BA0F86">
        <w:t xml:space="preserve"> are to: </w:t>
      </w:r>
    </w:p>
    <w:p w14:paraId="1571B333" w14:textId="7B9E04C2" w:rsidR="008A63BE" w:rsidRDefault="002A5BDE" w:rsidP="000F3115">
      <w:pPr>
        <w:pStyle w:val="ListParagraph"/>
        <w:numPr>
          <w:ilvl w:val="1"/>
          <w:numId w:val="13"/>
        </w:numPr>
      </w:pPr>
      <w:r w:rsidRPr="002A5BDE">
        <w:t xml:space="preserve">improve accountability and performance of life insurers; </w:t>
      </w:r>
      <w:r w:rsidR="008A63BE" w:rsidRPr="002A5BDE">
        <w:t>and</w:t>
      </w:r>
    </w:p>
    <w:p w14:paraId="678E44FC" w14:textId="45F46CCA" w:rsidR="002A5BDE" w:rsidRPr="002A5BDE" w:rsidRDefault="002A5BDE" w:rsidP="000F3115">
      <w:pPr>
        <w:pStyle w:val="ListParagraph"/>
        <w:numPr>
          <w:ilvl w:val="1"/>
          <w:numId w:val="13"/>
        </w:numPr>
      </w:pPr>
      <w:proofErr w:type="gramStart"/>
      <w:r w:rsidRPr="002A5BDE">
        <w:t>facilitate</w:t>
      </w:r>
      <w:proofErr w:type="gramEnd"/>
      <w:r w:rsidRPr="002A5BDE">
        <w:t xml:space="preserve"> an informed public discussion about the performance of the life insurance industry. </w:t>
      </w:r>
    </w:p>
    <w:p w14:paraId="1EB7FE6E" w14:textId="4144677B" w:rsidR="003B2644" w:rsidRDefault="002A5BDE" w:rsidP="002A5BDE">
      <w:pPr>
        <w:pStyle w:val="ListParagraph"/>
        <w:ind w:left="567" w:hanging="567"/>
      </w:pPr>
      <w:r w:rsidRPr="002A5BDE">
        <w:t>The aim</w:t>
      </w:r>
      <w:r w:rsidR="00BA0F86">
        <w:t>, and criteria for success,</w:t>
      </w:r>
      <w:r w:rsidRPr="002A5BDE">
        <w:t xml:space="preserve"> is to achieve these objectives through publication of credible, reliable and comparable data. </w:t>
      </w:r>
      <w:r w:rsidR="003B2644" w:rsidRPr="002A5BDE">
        <w:t>The agencies’ intention is for this data to be</w:t>
      </w:r>
      <w:r w:rsidR="003B2644">
        <w:t xml:space="preserve"> regularly</w:t>
      </w:r>
      <w:r w:rsidR="003B2644" w:rsidRPr="002A5BDE">
        <w:t xml:space="preserve"> published on an entity-level basis, at a sufficient level of granularity to allow for meaningful comparisons of insurer performance and with sufficient context to effectively inform consumers and other stakeholders.</w:t>
      </w:r>
    </w:p>
    <w:p w14:paraId="19DEAF0F" w14:textId="57AB810F" w:rsidR="00463C2E" w:rsidRPr="002A5BDE" w:rsidRDefault="003B2644" w:rsidP="00463C2E">
      <w:pPr>
        <w:pStyle w:val="ListParagraph"/>
        <w:ind w:left="567" w:hanging="567"/>
      </w:pPr>
      <w:r>
        <w:t xml:space="preserve">The pilot data </w:t>
      </w:r>
      <w:r w:rsidR="008A63BE">
        <w:t xml:space="preserve">phase </w:t>
      </w:r>
      <w:r>
        <w:t xml:space="preserve">commenced in May 2017. It contained three rounds of voluntary data collection of claims and disputes data. Data was collected from </w:t>
      </w:r>
      <w:r w:rsidR="00A11F5E">
        <w:t xml:space="preserve">approximately 20 </w:t>
      </w:r>
      <w:r>
        <w:t>insurers. Over the course of three data collections, the definitions used, the scope of data collected and the collection template were incrementally improved.</w:t>
      </w:r>
      <w:r w:rsidRPr="002A5BDE" w:rsidDel="003B2644">
        <w:t xml:space="preserve"> </w:t>
      </w:r>
    </w:p>
    <w:p w14:paraId="6C3F39BB" w14:textId="3249FC2A" w:rsidR="00DE47C8" w:rsidRDefault="00241D11" w:rsidP="00C22EC5">
      <w:pPr>
        <w:pStyle w:val="ListParagraph"/>
        <w:ind w:left="567" w:hanging="567"/>
      </w:pPr>
      <w:r w:rsidRPr="00241D11">
        <w:t xml:space="preserve">The agencies </w:t>
      </w:r>
      <w:r>
        <w:t>consulted with industry during each round of</w:t>
      </w:r>
      <w:r w:rsidR="00463C2E">
        <w:t xml:space="preserve"> pilot</w:t>
      </w:r>
      <w:r>
        <w:t xml:space="preserve"> data collection, and </w:t>
      </w:r>
      <w:r w:rsidRPr="00241D11">
        <w:t>considered and acted on feedback received</w:t>
      </w:r>
      <w:r>
        <w:t xml:space="preserve"> throughout the process. Th</w:t>
      </w:r>
      <w:r w:rsidR="008E2413">
        <w:t>is</w:t>
      </w:r>
      <w:r>
        <w:t xml:space="preserve"> ap</w:t>
      </w:r>
      <w:r w:rsidR="00903110">
        <w:t xml:space="preserve">proach has </w:t>
      </w:r>
      <w:r w:rsidR="00463C2E">
        <w:t>enabled insurers to</w:t>
      </w:r>
      <w:r w:rsidR="00903110">
        <w:t xml:space="preserve"> </w:t>
      </w:r>
      <w:r w:rsidR="00C22EC5">
        <w:t>amend</w:t>
      </w:r>
      <w:r w:rsidR="00903110">
        <w:t xml:space="preserve"> their systems and practices to meet the needs of the data collection </w:t>
      </w:r>
      <w:r w:rsidR="00C22EC5">
        <w:t xml:space="preserve">and reporting </w:t>
      </w:r>
      <w:r w:rsidR="00903110">
        <w:t>process.</w:t>
      </w:r>
      <w:r w:rsidR="00463C2E">
        <w:rPr>
          <w:rStyle w:val="FootnoteReference"/>
        </w:rPr>
        <w:footnoteReference w:id="6"/>
      </w:r>
      <w:r w:rsidR="00903110">
        <w:t xml:space="preserve"> </w:t>
      </w:r>
    </w:p>
    <w:p w14:paraId="0B350C7E" w14:textId="6A6607DB" w:rsidR="00463C2E" w:rsidRDefault="00463C2E" w:rsidP="00C22EC5">
      <w:pPr>
        <w:pStyle w:val="ListParagraph"/>
        <w:ind w:left="567" w:hanging="567"/>
      </w:pPr>
      <w:r>
        <w:t xml:space="preserve">Two data </w:t>
      </w:r>
      <w:r w:rsidRPr="006A3B3D">
        <w:t>publications were issued during the pilot data collection, in order that the results could be shared with the public.</w:t>
      </w:r>
      <w:r w:rsidRPr="006A3B3D">
        <w:rPr>
          <w:rStyle w:val="FootnoteReference"/>
        </w:rPr>
        <w:footnoteReference w:id="7"/>
      </w:r>
    </w:p>
    <w:p w14:paraId="65D459F9" w14:textId="20C2095D" w:rsidR="00BA5909" w:rsidRDefault="00C77BF1" w:rsidP="00BA5909">
      <w:pPr>
        <w:pStyle w:val="ListParagraph"/>
        <w:ind w:left="567" w:hanging="567"/>
      </w:pPr>
      <w:r>
        <w:t xml:space="preserve">The agencies </w:t>
      </w:r>
      <w:r w:rsidR="00516FDE">
        <w:t>ha</w:t>
      </w:r>
      <w:r w:rsidR="00FA4AB2">
        <w:t>ve</w:t>
      </w:r>
      <w:r w:rsidR="00516FDE">
        <w:t xml:space="preserve"> consequently</w:t>
      </w:r>
      <w:r w:rsidR="00AC63A1">
        <w:t xml:space="preserve"> considered the following</w:t>
      </w:r>
      <w:r w:rsidR="00516FDE">
        <w:t xml:space="preserve"> </w:t>
      </w:r>
      <w:r w:rsidR="008368F2">
        <w:t>three</w:t>
      </w:r>
      <w:r w:rsidR="005D65D9">
        <w:t xml:space="preserve"> options</w:t>
      </w:r>
      <w:r w:rsidR="000772D5">
        <w:t xml:space="preserve"> for reform</w:t>
      </w:r>
      <w:r w:rsidR="00570510">
        <w:t xml:space="preserve"> which, with the exception of Option 3 (the status quo), will impact approximately 20 out of the </w:t>
      </w:r>
      <w:r w:rsidR="00570510">
        <w:lastRenderedPageBreak/>
        <w:t xml:space="preserve">41 </w:t>
      </w:r>
      <w:r w:rsidR="00D93C38">
        <w:t xml:space="preserve">currently </w:t>
      </w:r>
      <w:r w:rsidR="00570510">
        <w:t>registered life insurers and friendly societies</w:t>
      </w:r>
      <w:r w:rsidR="00B0588A">
        <w:t xml:space="preserve">. </w:t>
      </w:r>
      <w:r w:rsidR="00951DC5">
        <w:t>This coverage includes all insurers that offer business of the sort that is in scope</w:t>
      </w:r>
      <w:r w:rsidR="00155F2F">
        <w:t xml:space="preserve"> for the collection. Insurers that do not offer business that gives rise to the issues noted in this RIS are not in scope.</w:t>
      </w:r>
    </w:p>
    <w:p w14:paraId="21DBAFA9" w14:textId="15C07C51" w:rsidR="00DD147E" w:rsidRDefault="003C67D0" w:rsidP="00A70B36">
      <w:pPr>
        <w:pStyle w:val="Heading5"/>
      </w:pPr>
      <w:r>
        <w:t xml:space="preserve">Option 1: </w:t>
      </w:r>
      <w:r w:rsidR="007F2FA8">
        <w:t>Voluntary collection and reporting of claims and disputes data</w:t>
      </w:r>
    </w:p>
    <w:p w14:paraId="6481A05A" w14:textId="76DE09E2" w:rsidR="00B725EB" w:rsidRDefault="00040084" w:rsidP="00B725EB">
      <w:pPr>
        <w:pStyle w:val="ListParagraph"/>
        <w:ind w:left="567" w:hanging="567"/>
      </w:pPr>
      <w:r>
        <w:t xml:space="preserve">APRA </w:t>
      </w:r>
      <w:r w:rsidR="00C9599D">
        <w:t>would</w:t>
      </w:r>
      <w:r>
        <w:t xml:space="preserve"> </w:t>
      </w:r>
      <w:r w:rsidR="00AC3B16">
        <w:t xml:space="preserve">request </w:t>
      </w:r>
      <w:r w:rsidR="00893417">
        <w:t>life insurers</w:t>
      </w:r>
      <w:r w:rsidR="00AC3B16">
        <w:t xml:space="preserve"> to voluntarily provide </w:t>
      </w:r>
      <w:r w:rsidR="007F2FA8">
        <w:t xml:space="preserve">claims and disputes </w:t>
      </w:r>
      <w:r w:rsidR="00AC3B16">
        <w:t>data on a ‘best endeavours’ basis</w:t>
      </w:r>
      <w:r w:rsidR="000753FC">
        <w:t>.</w:t>
      </w:r>
      <w:r w:rsidR="00F12E2B">
        <w:t xml:space="preserve"> </w:t>
      </w:r>
    </w:p>
    <w:p w14:paraId="57B79D4D" w14:textId="03620567" w:rsidR="007F2FA8" w:rsidRPr="00CD0CF9" w:rsidRDefault="003C67D0" w:rsidP="007F2FA8">
      <w:pPr>
        <w:pStyle w:val="Heading5"/>
      </w:pPr>
      <w:r>
        <w:t xml:space="preserve">Option 2: </w:t>
      </w:r>
      <w:r w:rsidR="00146D79">
        <w:t xml:space="preserve">Formal </w:t>
      </w:r>
      <w:r w:rsidR="007F2FA8">
        <w:t>collection and reporting of claims and disputes data</w:t>
      </w:r>
    </w:p>
    <w:p w14:paraId="61ED43E3" w14:textId="6A5BC088" w:rsidR="00DB7B63" w:rsidRPr="00DB7B63" w:rsidRDefault="00C9599D" w:rsidP="00F74404">
      <w:pPr>
        <w:pStyle w:val="ListParagraph"/>
        <w:ind w:left="567" w:hanging="567"/>
      </w:pPr>
      <w:r>
        <w:t>APRA would</w:t>
      </w:r>
      <w:r w:rsidR="00B725EB">
        <w:t xml:space="preserve"> compel </w:t>
      </w:r>
      <w:r w:rsidR="007F2FA8">
        <w:t xml:space="preserve">insurers to provide claims and disputes </w:t>
      </w:r>
      <w:r w:rsidR="008A6209">
        <w:t xml:space="preserve">data under a </w:t>
      </w:r>
      <w:r w:rsidR="006E66CA">
        <w:t>reporting standard</w:t>
      </w:r>
      <w:r w:rsidR="008A6209">
        <w:t xml:space="preserve">, issued under </w:t>
      </w:r>
      <w:r w:rsidR="00F769E3" w:rsidRPr="00F769E3">
        <w:t>FSCODA</w:t>
      </w:r>
      <w:r w:rsidR="008A6209">
        <w:rPr>
          <w:i/>
        </w:rPr>
        <w:t xml:space="preserve">. </w:t>
      </w:r>
    </w:p>
    <w:p w14:paraId="5E855F4B" w14:textId="43C64478" w:rsidR="000753FC" w:rsidRPr="005D65D9" w:rsidRDefault="00A074FE" w:rsidP="00A70B36">
      <w:pPr>
        <w:pStyle w:val="Heading5"/>
      </w:pPr>
      <w:r>
        <w:t xml:space="preserve">Option 3: </w:t>
      </w:r>
      <w:r w:rsidR="00F50AF8">
        <w:t xml:space="preserve">Status quo - </w:t>
      </w:r>
      <w:r w:rsidR="00146D79">
        <w:t>No collection of</w:t>
      </w:r>
      <w:r w:rsidR="00893417">
        <w:t xml:space="preserve"> claims and disputes data </w:t>
      </w:r>
    </w:p>
    <w:p w14:paraId="541DED24" w14:textId="487A093F" w:rsidR="000753FC" w:rsidRDefault="00C4594E" w:rsidP="00F74404">
      <w:pPr>
        <w:pStyle w:val="ListParagraph"/>
        <w:ind w:left="567" w:hanging="567"/>
      </w:pPr>
      <w:r>
        <w:t xml:space="preserve">APRA </w:t>
      </w:r>
      <w:r w:rsidR="00C9599D">
        <w:t>would</w:t>
      </w:r>
      <w:r w:rsidR="00AC3B16">
        <w:t xml:space="preserve"> not collect</w:t>
      </w:r>
      <w:r w:rsidR="000B42F2">
        <w:t xml:space="preserve"> claims and disputes data from life insurers.</w:t>
      </w:r>
      <w:r w:rsidR="00942165">
        <w:t xml:space="preserve"> </w:t>
      </w:r>
    </w:p>
    <w:p w14:paraId="322B425B" w14:textId="1E67C986" w:rsidR="00051FD7" w:rsidRDefault="00051FD7" w:rsidP="00F46FE6">
      <w:pPr>
        <w:pStyle w:val="Heading4"/>
      </w:pPr>
      <w:r w:rsidRPr="00051FD7">
        <w:t>What is the likely net benefit of each option?</w:t>
      </w:r>
    </w:p>
    <w:p w14:paraId="0A094D46" w14:textId="0F74FF1D" w:rsidR="00FF0150" w:rsidRPr="00CD0CF9" w:rsidRDefault="00CD0CF9" w:rsidP="00A70B36">
      <w:pPr>
        <w:pStyle w:val="Heading5"/>
      </w:pPr>
      <w:r w:rsidRPr="00CD0CF9">
        <w:t>Net benefit of</w:t>
      </w:r>
      <w:r w:rsidR="00BF2CED">
        <w:t xml:space="preserve"> O</w:t>
      </w:r>
      <w:r w:rsidRPr="00CD0CF9">
        <w:t>ption 1</w:t>
      </w:r>
      <w:r w:rsidR="007F2FA8">
        <w:t xml:space="preserve"> </w:t>
      </w:r>
      <w:r w:rsidR="007F2FA8">
        <w:t>–</w:t>
      </w:r>
      <w:r w:rsidR="007F2FA8">
        <w:t xml:space="preserve"> Voluntary collection and reporting of claims and disputes data</w:t>
      </w:r>
    </w:p>
    <w:p w14:paraId="046B85AE" w14:textId="288D27A5" w:rsidR="00330D1E" w:rsidRDefault="00AC63A1" w:rsidP="00330D1E">
      <w:pPr>
        <w:pStyle w:val="ListParagraph"/>
        <w:ind w:left="567" w:hanging="567"/>
      </w:pPr>
      <w:r>
        <w:t>Under this option, data w</w:t>
      </w:r>
      <w:r w:rsidR="00463C2E">
        <w:t>ould</w:t>
      </w:r>
      <w:r>
        <w:t xml:space="preserve"> be submitted to APRA on a ‘best endeavours’ basis</w:t>
      </w:r>
      <w:r w:rsidR="00330D1E">
        <w:t xml:space="preserve">, utilising the reporting template which was created as part of the pilot data collection phase. </w:t>
      </w:r>
    </w:p>
    <w:p w14:paraId="46183F66" w14:textId="16DF6D19" w:rsidR="0023384C" w:rsidRDefault="00062E85" w:rsidP="00AC63A1">
      <w:pPr>
        <w:pStyle w:val="ListParagraph"/>
        <w:ind w:left="567" w:hanging="567"/>
      </w:pPr>
      <w:r>
        <w:t xml:space="preserve">While the pilot data </w:t>
      </w:r>
      <w:r w:rsidRPr="00062E85">
        <w:t xml:space="preserve">collection has been a useful process for understanding the limitations of the data, ongoing voluntary data provision runs the risk of </w:t>
      </w:r>
      <w:r w:rsidR="009E424F">
        <w:t>part of the industry failing to provide</w:t>
      </w:r>
      <w:r w:rsidRPr="00062E85">
        <w:t xml:space="preserve"> data</w:t>
      </w:r>
      <w:r w:rsidR="009E424F">
        <w:t xml:space="preserve">.  This </w:t>
      </w:r>
      <w:r w:rsidRPr="00062E85">
        <w:t>would undermine the</w:t>
      </w:r>
      <w:r w:rsidR="009E424F">
        <w:t xml:space="preserve"> credibility and</w:t>
      </w:r>
      <w:r w:rsidRPr="00062E85">
        <w:t xml:space="preserve"> reliability of the data set and potentially disadvantage those insurers that do provide data relative to others</w:t>
      </w:r>
      <w:r>
        <w:t xml:space="preserve">. </w:t>
      </w:r>
    </w:p>
    <w:p w14:paraId="7A530BB9" w14:textId="5737861D" w:rsidR="00AC63A1" w:rsidRDefault="00EF08B9" w:rsidP="00AC63A1">
      <w:pPr>
        <w:pStyle w:val="ListParagraph"/>
        <w:ind w:left="567" w:hanging="567"/>
      </w:pPr>
      <w:r>
        <w:t>This option would only partially resolve the policy problem. A</w:t>
      </w:r>
      <w:r w:rsidR="00AC63A1">
        <w:t xml:space="preserve"> voluntary framework for the reporting and publication of claims and disputes information</w:t>
      </w:r>
      <w:r>
        <w:t xml:space="preserve"> would not have</w:t>
      </w:r>
      <w:r w:rsidR="00AC63A1">
        <w:t xml:space="preserve"> controls to ensure that data being provided</w:t>
      </w:r>
      <w:r>
        <w:t xml:space="preserve"> is of sufficient quality</w:t>
      </w:r>
      <w:r w:rsidR="007D583E">
        <w:t xml:space="preserve"> to</w:t>
      </w:r>
      <w:r>
        <w:t xml:space="preserve"> </w:t>
      </w:r>
      <w:r w:rsidR="007D583E">
        <w:t xml:space="preserve">rectify </w:t>
      </w:r>
      <w:r w:rsidR="00AC63A1">
        <w:t>the data limitations</w:t>
      </w:r>
      <w:r w:rsidR="007D583E">
        <w:t xml:space="preserve"> </w:t>
      </w:r>
      <w:r w:rsidR="008A63BE">
        <w:t>identified in</w:t>
      </w:r>
      <w:r w:rsidR="007D583E">
        <w:t xml:space="preserve"> </w:t>
      </w:r>
      <w:r w:rsidR="00AC63A1">
        <w:t xml:space="preserve">ASIC’s report. </w:t>
      </w:r>
      <w:r w:rsidR="00B75459">
        <w:t xml:space="preserve">As the data </w:t>
      </w:r>
      <w:r w:rsidR="007D583E">
        <w:t>would not be</w:t>
      </w:r>
      <w:r w:rsidR="00B75459">
        <w:t xml:space="preserve"> subject to the reporting requirements of the </w:t>
      </w:r>
      <w:r w:rsidR="00B75459" w:rsidRPr="00F12E2B">
        <w:t>FSCODA</w:t>
      </w:r>
      <w:r w:rsidR="00B75459">
        <w:t xml:space="preserve">, </w:t>
      </w:r>
      <w:r w:rsidR="00E54DEF">
        <w:t xml:space="preserve">it </w:t>
      </w:r>
      <w:r w:rsidR="007D583E">
        <w:t>could be of</w:t>
      </w:r>
      <w:r w:rsidR="00B75459">
        <w:t xml:space="preserve"> varying quality, timeliness and usability</w:t>
      </w:r>
      <w:r w:rsidR="007D583E">
        <w:t xml:space="preserve">. Overall, this option would fall short of </w:t>
      </w:r>
      <w:r w:rsidR="00B701F1">
        <w:t>addressing the policy problem and need for intervention</w:t>
      </w:r>
      <w:r w:rsidR="007D583E" w:rsidRPr="00894552">
        <w:t>.</w:t>
      </w:r>
    </w:p>
    <w:p w14:paraId="52514E89" w14:textId="216DA839" w:rsidR="00F769E3" w:rsidRPr="000E4CDB" w:rsidRDefault="006504C7" w:rsidP="00AC63A1">
      <w:pPr>
        <w:pStyle w:val="ListParagraph"/>
        <w:ind w:left="567" w:hanging="567"/>
      </w:pPr>
      <w:r>
        <w:t>A summary of the regulatory costs are below</w:t>
      </w:r>
      <w:r w:rsidR="00B609FC" w:rsidRPr="000E4CDB">
        <w:t xml:space="preserve">. </w:t>
      </w:r>
    </w:p>
    <w:tbl>
      <w:tblPr>
        <w:tblStyle w:val="LightGrid-Accent21"/>
        <w:tblW w:w="9356" w:type="dxa"/>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1871"/>
        <w:gridCol w:w="1871"/>
        <w:gridCol w:w="1871"/>
        <w:gridCol w:w="1871"/>
        <w:gridCol w:w="1872"/>
      </w:tblGrid>
      <w:tr w:rsidR="000E4CDB" w:rsidRPr="0039252D" w14:paraId="08EF43F5" w14:textId="77777777" w:rsidTr="00131C0D">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9356" w:type="dxa"/>
            <w:gridSpan w:val="5"/>
            <w:tcBorders>
              <w:top w:val="single" w:sz="8" w:space="0" w:color="000000" w:themeColor="text1"/>
            </w:tcBorders>
            <w:shd w:val="clear" w:color="auto" w:fill="auto"/>
            <w:noWrap/>
          </w:tcPr>
          <w:p w14:paraId="172887D2" w14:textId="77777777" w:rsidR="000E4CDB" w:rsidRPr="0039252D" w:rsidRDefault="000E4CDB" w:rsidP="00E768E8">
            <w:pPr>
              <w:spacing w:before="120" w:after="120"/>
              <w:rPr>
                <w:rFonts w:ascii="Arial" w:hAnsi="Arial"/>
                <w:sz w:val="20"/>
              </w:rPr>
            </w:pPr>
            <w:r w:rsidRPr="0039252D">
              <w:rPr>
                <w:rFonts w:ascii="Arial" w:hAnsi="Arial"/>
                <w:sz w:val="20"/>
              </w:rPr>
              <w:lastRenderedPageBreak/>
              <w:t>Average annual regulatory costs (from business as usual)</w:t>
            </w:r>
          </w:p>
        </w:tc>
      </w:tr>
      <w:tr w:rsidR="000E4CDB" w:rsidRPr="0039252D" w14:paraId="29C99C71" w14:textId="77777777" w:rsidTr="00131C0D">
        <w:trPr>
          <w:trHeight w:val="300"/>
        </w:trPr>
        <w:tc>
          <w:tcPr>
            <w:cnfStyle w:val="001000000000" w:firstRow="0" w:lastRow="0" w:firstColumn="1" w:lastColumn="0" w:oddVBand="0" w:evenVBand="0" w:oddHBand="0" w:evenHBand="0" w:firstRowFirstColumn="0" w:firstRowLastColumn="0" w:lastRowFirstColumn="0" w:lastRowLastColumn="0"/>
            <w:tcW w:w="1871" w:type="dxa"/>
            <w:tcBorders>
              <w:bottom w:val="single" w:sz="8" w:space="0" w:color="auto"/>
            </w:tcBorders>
            <w:noWrap/>
          </w:tcPr>
          <w:p w14:paraId="5E0EB81D" w14:textId="77777777" w:rsidR="000E4CDB" w:rsidRPr="0039252D" w:rsidRDefault="000E4CDB" w:rsidP="00E768E8">
            <w:pPr>
              <w:spacing w:before="120" w:after="120"/>
              <w:rPr>
                <w:rFonts w:ascii="Arial" w:hAnsi="Arial"/>
                <w:sz w:val="20"/>
              </w:rPr>
            </w:pPr>
            <w:r w:rsidRPr="0039252D">
              <w:rPr>
                <w:rFonts w:ascii="Arial" w:hAnsi="Arial"/>
                <w:sz w:val="20"/>
              </w:rPr>
              <w:t>Change in costs ($ million)</w:t>
            </w:r>
          </w:p>
        </w:tc>
        <w:tc>
          <w:tcPr>
            <w:tcW w:w="1871" w:type="dxa"/>
            <w:tcBorders>
              <w:bottom w:val="single" w:sz="8" w:space="0" w:color="auto"/>
            </w:tcBorders>
            <w:noWrap/>
          </w:tcPr>
          <w:p w14:paraId="75BA0D85" w14:textId="77777777" w:rsidR="000E4CDB" w:rsidRPr="0039252D" w:rsidRDefault="000E4CDB" w:rsidP="00E768E8">
            <w:pPr>
              <w:spacing w:before="120" w:after="120"/>
              <w:cnfStyle w:val="000000000000" w:firstRow="0" w:lastRow="0" w:firstColumn="0" w:lastColumn="0" w:oddVBand="0" w:evenVBand="0" w:oddHBand="0" w:evenHBand="0" w:firstRowFirstColumn="0" w:firstRowLastColumn="0" w:lastRowFirstColumn="0" w:lastRowLastColumn="0"/>
              <w:rPr>
                <w:rFonts w:ascii="Arial" w:eastAsiaTheme="majorEastAsia" w:hAnsi="Arial"/>
                <w:sz w:val="20"/>
              </w:rPr>
            </w:pPr>
            <w:r w:rsidRPr="0039252D">
              <w:rPr>
                <w:rFonts w:ascii="Arial" w:eastAsiaTheme="majorEastAsia" w:hAnsi="Arial"/>
                <w:sz w:val="20"/>
              </w:rPr>
              <w:t>Business</w:t>
            </w:r>
          </w:p>
        </w:tc>
        <w:tc>
          <w:tcPr>
            <w:tcW w:w="1871" w:type="dxa"/>
            <w:tcBorders>
              <w:bottom w:val="single" w:sz="8" w:space="0" w:color="auto"/>
            </w:tcBorders>
            <w:noWrap/>
          </w:tcPr>
          <w:p w14:paraId="7DA5911D" w14:textId="77777777" w:rsidR="000E4CDB" w:rsidRPr="0039252D" w:rsidRDefault="000E4CDB" w:rsidP="00E768E8">
            <w:pPr>
              <w:spacing w:before="120" w:after="120"/>
              <w:cnfStyle w:val="000000000000" w:firstRow="0" w:lastRow="0" w:firstColumn="0" w:lastColumn="0" w:oddVBand="0" w:evenVBand="0" w:oddHBand="0" w:evenHBand="0" w:firstRowFirstColumn="0" w:firstRowLastColumn="0" w:lastRowFirstColumn="0" w:lastRowLastColumn="0"/>
              <w:rPr>
                <w:rFonts w:ascii="Arial" w:hAnsi="Arial"/>
                <w:sz w:val="20"/>
              </w:rPr>
            </w:pPr>
            <w:r w:rsidRPr="0039252D">
              <w:rPr>
                <w:rFonts w:ascii="Arial" w:hAnsi="Arial"/>
                <w:sz w:val="20"/>
              </w:rPr>
              <w:t xml:space="preserve">Community </w:t>
            </w:r>
            <w:proofErr w:type="spellStart"/>
            <w:r w:rsidRPr="0039252D">
              <w:rPr>
                <w:rFonts w:ascii="Arial" w:hAnsi="Arial"/>
                <w:sz w:val="20"/>
              </w:rPr>
              <w:t>organisations</w:t>
            </w:r>
            <w:proofErr w:type="spellEnd"/>
          </w:p>
        </w:tc>
        <w:tc>
          <w:tcPr>
            <w:tcW w:w="1871" w:type="dxa"/>
            <w:tcBorders>
              <w:bottom w:val="single" w:sz="8" w:space="0" w:color="auto"/>
            </w:tcBorders>
            <w:noWrap/>
          </w:tcPr>
          <w:p w14:paraId="53BCF1A8" w14:textId="77777777" w:rsidR="000E4CDB" w:rsidRPr="0039252D" w:rsidRDefault="000E4CDB" w:rsidP="00E768E8">
            <w:pPr>
              <w:spacing w:before="120" w:after="120"/>
              <w:cnfStyle w:val="000000000000" w:firstRow="0" w:lastRow="0" w:firstColumn="0" w:lastColumn="0" w:oddVBand="0" w:evenVBand="0" w:oddHBand="0" w:evenHBand="0" w:firstRowFirstColumn="0" w:firstRowLastColumn="0" w:lastRowFirstColumn="0" w:lastRowLastColumn="0"/>
              <w:rPr>
                <w:rFonts w:ascii="Arial" w:hAnsi="Arial"/>
                <w:sz w:val="20"/>
              </w:rPr>
            </w:pPr>
            <w:r w:rsidRPr="0039252D">
              <w:rPr>
                <w:rFonts w:ascii="Arial" w:hAnsi="Arial"/>
                <w:sz w:val="20"/>
              </w:rPr>
              <w:t>Individuals</w:t>
            </w:r>
          </w:p>
        </w:tc>
        <w:tc>
          <w:tcPr>
            <w:tcW w:w="1872" w:type="dxa"/>
            <w:tcBorders>
              <w:bottom w:val="single" w:sz="8" w:space="0" w:color="auto"/>
            </w:tcBorders>
            <w:noWrap/>
          </w:tcPr>
          <w:p w14:paraId="128F9812" w14:textId="77777777" w:rsidR="000E4CDB" w:rsidRPr="0039252D" w:rsidRDefault="000E4CDB" w:rsidP="00E768E8">
            <w:pPr>
              <w:spacing w:before="120" w:after="120"/>
              <w:cnfStyle w:val="000000000000" w:firstRow="0" w:lastRow="0" w:firstColumn="0" w:lastColumn="0" w:oddVBand="0" w:evenVBand="0" w:oddHBand="0" w:evenHBand="0" w:firstRowFirstColumn="0" w:firstRowLastColumn="0" w:lastRowFirstColumn="0" w:lastRowLastColumn="0"/>
              <w:rPr>
                <w:rFonts w:ascii="Arial" w:hAnsi="Arial"/>
                <w:sz w:val="20"/>
              </w:rPr>
            </w:pPr>
            <w:r w:rsidRPr="0039252D">
              <w:rPr>
                <w:rFonts w:ascii="Arial" w:hAnsi="Arial"/>
                <w:sz w:val="20"/>
              </w:rPr>
              <w:t>Total change in costs</w:t>
            </w:r>
          </w:p>
        </w:tc>
      </w:tr>
      <w:tr w:rsidR="000E4CDB" w:rsidRPr="00DE2F08" w14:paraId="2E8D5D6F" w14:textId="77777777" w:rsidTr="00131C0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1" w:type="dxa"/>
            <w:tcBorders>
              <w:top w:val="single" w:sz="8" w:space="0" w:color="auto"/>
              <w:left w:val="single" w:sz="8" w:space="0" w:color="auto"/>
              <w:bottom w:val="single" w:sz="8" w:space="0" w:color="auto"/>
              <w:right w:val="single" w:sz="8" w:space="0" w:color="auto"/>
            </w:tcBorders>
            <w:noWrap/>
          </w:tcPr>
          <w:p w14:paraId="368373D7" w14:textId="77777777" w:rsidR="000E4CDB" w:rsidRPr="007F471D" w:rsidRDefault="000E4CDB" w:rsidP="00E768E8">
            <w:pPr>
              <w:spacing w:before="120" w:after="120"/>
              <w:rPr>
                <w:rFonts w:ascii="Arial" w:hAnsi="Arial" w:cs="Arial"/>
                <w:sz w:val="20"/>
                <w:szCs w:val="20"/>
              </w:rPr>
            </w:pPr>
            <w:r w:rsidRPr="007F471D">
              <w:rPr>
                <w:rFonts w:ascii="Arial" w:hAnsi="Arial" w:cs="Arial"/>
                <w:sz w:val="20"/>
                <w:szCs w:val="20"/>
              </w:rPr>
              <w:t>Total, by sector</w:t>
            </w:r>
          </w:p>
        </w:tc>
        <w:tc>
          <w:tcPr>
            <w:tcW w:w="1871" w:type="dxa"/>
            <w:tcBorders>
              <w:top w:val="single" w:sz="8" w:space="0" w:color="auto"/>
              <w:left w:val="single" w:sz="8" w:space="0" w:color="auto"/>
              <w:bottom w:val="single" w:sz="8" w:space="0" w:color="auto"/>
              <w:right w:val="single" w:sz="8" w:space="0" w:color="auto"/>
            </w:tcBorders>
            <w:noWrap/>
          </w:tcPr>
          <w:p w14:paraId="6BFFE24F" w14:textId="36CD7EEA" w:rsidR="000E4CDB" w:rsidRPr="007F471D" w:rsidRDefault="007840B4" w:rsidP="00E768E8">
            <w:pPr>
              <w:spacing w:before="120" w:after="120"/>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Pr>
                <w:rFonts w:ascii="Arial" w:hAnsi="Arial" w:cs="Arial"/>
                <w:sz w:val="20"/>
                <w:szCs w:val="20"/>
              </w:rPr>
              <w:t>0.9</w:t>
            </w:r>
          </w:p>
        </w:tc>
        <w:tc>
          <w:tcPr>
            <w:tcW w:w="1871" w:type="dxa"/>
            <w:tcBorders>
              <w:top w:val="single" w:sz="8" w:space="0" w:color="auto"/>
              <w:left w:val="single" w:sz="8" w:space="0" w:color="auto"/>
              <w:bottom w:val="single" w:sz="8" w:space="0" w:color="auto"/>
              <w:right w:val="single" w:sz="8" w:space="0" w:color="auto"/>
            </w:tcBorders>
            <w:noWrap/>
          </w:tcPr>
          <w:p w14:paraId="5299DD6B" w14:textId="77777777" w:rsidR="000E4CDB" w:rsidRPr="007F471D" w:rsidRDefault="000E4CDB" w:rsidP="00E768E8">
            <w:pPr>
              <w:spacing w:before="120" w:after="120"/>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C94AA6">
              <w:rPr>
                <w:rFonts w:ascii="Arial" w:hAnsi="Arial" w:cs="Arial"/>
                <w:sz w:val="20"/>
                <w:szCs w:val="20"/>
              </w:rPr>
              <w:t>-</w:t>
            </w:r>
          </w:p>
        </w:tc>
        <w:tc>
          <w:tcPr>
            <w:tcW w:w="1871" w:type="dxa"/>
            <w:tcBorders>
              <w:top w:val="single" w:sz="8" w:space="0" w:color="auto"/>
              <w:left w:val="single" w:sz="8" w:space="0" w:color="auto"/>
              <w:bottom w:val="single" w:sz="8" w:space="0" w:color="auto"/>
              <w:right w:val="single" w:sz="8" w:space="0" w:color="auto"/>
            </w:tcBorders>
            <w:noWrap/>
          </w:tcPr>
          <w:p w14:paraId="73D04149" w14:textId="77777777" w:rsidR="000E4CDB" w:rsidRPr="007F471D" w:rsidRDefault="000E4CDB" w:rsidP="00E768E8">
            <w:pPr>
              <w:spacing w:before="120" w:after="120"/>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C94AA6">
              <w:rPr>
                <w:rFonts w:ascii="Arial" w:hAnsi="Arial" w:cs="Arial"/>
                <w:sz w:val="20"/>
                <w:szCs w:val="20"/>
              </w:rPr>
              <w:t>-</w:t>
            </w:r>
          </w:p>
        </w:tc>
        <w:tc>
          <w:tcPr>
            <w:tcW w:w="1872" w:type="dxa"/>
            <w:tcBorders>
              <w:top w:val="single" w:sz="8" w:space="0" w:color="auto"/>
              <w:left w:val="single" w:sz="8" w:space="0" w:color="auto"/>
              <w:bottom w:val="single" w:sz="8" w:space="0" w:color="auto"/>
              <w:right w:val="single" w:sz="8" w:space="0" w:color="auto"/>
            </w:tcBorders>
            <w:noWrap/>
          </w:tcPr>
          <w:p w14:paraId="1765918C" w14:textId="4CFD6942" w:rsidR="000E4CDB" w:rsidRPr="00DE2F08" w:rsidRDefault="007840B4" w:rsidP="00E768E8">
            <w:pPr>
              <w:spacing w:before="120" w:after="120"/>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Pr>
                <w:rFonts w:ascii="Arial" w:hAnsi="Arial"/>
                <w:sz w:val="20"/>
              </w:rPr>
              <w:t>0.9</w:t>
            </w:r>
          </w:p>
        </w:tc>
      </w:tr>
    </w:tbl>
    <w:p w14:paraId="3ABAB08D" w14:textId="3FF86006" w:rsidR="00E61247" w:rsidRDefault="00E61247" w:rsidP="00E61247">
      <w:pPr>
        <w:rPr>
          <w:lang w:val="en-AU"/>
        </w:rPr>
      </w:pPr>
    </w:p>
    <w:p w14:paraId="72D23A5B" w14:textId="695BE8B6" w:rsidR="00106E6D" w:rsidRDefault="00106E6D" w:rsidP="00E61247">
      <w:pPr>
        <w:pStyle w:val="Heading5"/>
      </w:pPr>
      <w:r w:rsidRPr="00CD0CF9">
        <w:t xml:space="preserve">Net benefit of </w:t>
      </w:r>
      <w:r w:rsidR="00146D79">
        <w:t>O</w:t>
      </w:r>
      <w:r w:rsidRPr="00CD0CF9">
        <w:t xml:space="preserve">ption </w:t>
      </w:r>
      <w:r>
        <w:t>2</w:t>
      </w:r>
      <w:r w:rsidR="002C5D17">
        <w:t>—</w:t>
      </w:r>
      <w:r w:rsidR="007F2FA8" w:rsidRPr="007F2FA8">
        <w:t xml:space="preserve"> </w:t>
      </w:r>
      <w:r w:rsidR="00146D79">
        <w:t>Formal collection and reporting of claims and disputes data</w:t>
      </w:r>
    </w:p>
    <w:p w14:paraId="127A307A" w14:textId="1B74FBAA" w:rsidR="008901B0" w:rsidRDefault="00AC63A1" w:rsidP="008901B0">
      <w:pPr>
        <w:pStyle w:val="ListParagraph"/>
        <w:ind w:left="567" w:hanging="567"/>
      </w:pPr>
      <w:r>
        <w:t>Under this option, APRA w</w:t>
      </w:r>
      <w:r w:rsidR="00D33038">
        <w:t>ould</w:t>
      </w:r>
      <w:r>
        <w:t xml:space="preserve"> compel insurers to provide the data under a </w:t>
      </w:r>
      <w:r w:rsidR="006E66CA">
        <w:t>reporting standard</w:t>
      </w:r>
      <w:r>
        <w:t xml:space="preserve">, issued under the </w:t>
      </w:r>
      <w:r w:rsidR="00F1247C">
        <w:t>FSCODA</w:t>
      </w:r>
      <w:r>
        <w:rPr>
          <w:i/>
        </w:rPr>
        <w:t xml:space="preserve">. </w:t>
      </w:r>
      <w:r w:rsidR="00065C20">
        <w:t>This option</w:t>
      </w:r>
      <w:r w:rsidR="00D33038">
        <w:t xml:space="preserve"> would, like Option 1, use the data collection template developed in the pilot data collection. The key point of difference from Option 1 is that it would involve APRA making a formal reporting standard under FSCODA.</w:t>
      </w:r>
      <w:r w:rsidR="00E54DEF">
        <w:t xml:space="preserve"> This would help ensure the collection of consistent, reliable data. </w:t>
      </w:r>
    </w:p>
    <w:p w14:paraId="39837017" w14:textId="1F4AA55F" w:rsidR="000A7318" w:rsidRDefault="002617EF" w:rsidP="002617EF">
      <w:pPr>
        <w:pStyle w:val="ListParagraph"/>
        <w:ind w:left="567" w:hanging="567"/>
      </w:pPr>
      <w:r w:rsidRPr="002617EF">
        <w:t>As delegated legislation, the reporting standard would impose reporting requirements on affected life insurers. APRA would monitor ongoing compliance with the reporting standard and the balance of the reporting framework as a part of its supervisory activities. APRA has a range of remedial powers available under FSCODA for non-compliance with the reporting standard including: the requirement for entities to report to APRA that a failure has occurred and the issuing of directions to the entities for compliance with their obligations (a breach of these requirements within the prescribed timeframes is a criminal offence which may attract daily penalties).</w:t>
      </w:r>
      <w:r>
        <w:t xml:space="preserve"> </w:t>
      </w:r>
    </w:p>
    <w:p w14:paraId="0DAC9AAC" w14:textId="077FF8AD" w:rsidR="00A11A16" w:rsidRDefault="00A62902" w:rsidP="00C24520">
      <w:pPr>
        <w:pStyle w:val="ListParagraph"/>
        <w:ind w:left="567" w:hanging="567"/>
      </w:pPr>
      <w:r>
        <w:t>This resolves the critical short comings of a voluntary collection</w:t>
      </w:r>
      <w:r w:rsidR="00155F2F">
        <w:t>, such as that contemplated in Option 1,</w:t>
      </w:r>
      <w:r>
        <w:t xml:space="preserve"> in that </w:t>
      </w:r>
      <w:r w:rsidR="008F3BBF">
        <w:t xml:space="preserve">there are no controls or remedies available </w:t>
      </w:r>
      <w:r>
        <w:t xml:space="preserve">if </w:t>
      </w:r>
      <w:r w:rsidR="008F3BBF">
        <w:t>the data being provided is of poor quality</w:t>
      </w:r>
      <w:r>
        <w:t>; and that t</w:t>
      </w:r>
      <w:r w:rsidR="008F3BBF">
        <w:t xml:space="preserve">here is also no </w:t>
      </w:r>
      <w:r>
        <w:t xml:space="preserve">legal </w:t>
      </w:r>
      <w:r w:rsidR="008F3BBF">
        <w:t>obligation on industry to provide data to APRA</w:t>
      </w:r>
      <w:r>
        <w:t xml:space="preserve"> – creating a</w:t>
      </w:r>
      <w:r w:rsidR="008F3BBF">
        <w:t xml:space="preserve"> risk that </w:t>
      </w:r>
      <w:r>
        <w:t>the industry will</w:t>
      </w:r>
      <w:r w:rsidR="008F3BBF">
        <w:t xml:space="preserve"> cease providing data</w:t>
      </w:r>
      <w:r>
        <w:t xml:space="preserve"> </w:t>
      </w:r>
      <w:r w:rsidR="00525DEF">
        <w:t>–</w:t>
      </w:r>
      <w:r>
        <w:t xml:space="preserve"> resulting in the policy problem remaining unresolved. </w:t>
      </w:r>
    </w:p>
    <w:p w14:paraId="7CBB9FDC" w14:textId="72B4854C" w:rsidR="00312D6E" w:rsidRDefault="00CC15D0" w:rsidP="007C304F">
      <w:pPr>
        <w:pStyle w:val="ListParagraph"/>
        <w:ind w:left="567" w:hanging="567"/>
      </w:pPr>
      <w:r>
        <w:lastRenderedPageBreak/>
        <w:t>Option 2</w:t>
      </w:r>
      <w:r w:rsidRPr="00894552">
        <w:t xml:space="preserve"> </w:t>
      </w:r>
      <w:r w:rsidR="00312D6E" w:rsidRPr="00894552">
        <w:t>is the approach APRA proposed in its May 2017 Discussion Paper, November 2017 Information Paper an</w:t>
      </w:r>
      <w:r w:rsidR="00847AB2" w:rsidRPr="00894552">
        <w:t>d May 201</w:t>
      </w:r>
      <w:r>
        <w:t>8</w:t>
      </w:r>
      <w:r w:rsidR="00847AB2" w:rsidRPr="00894552">
        <w:t xml:space="preserve"> Response Paper</w:t>
      </w:r>
      <w:r w:rsidR="00894552" w:rsidRPr="00894552">
        <w:rPr>
          <w:rStyle w:val="FootnoteReference"/>
        </w:rPr>
        <w:footnoteReference w:id="8"/>
      </w:r>
      <w:r w:rsidR="00847AB2" w:rsidRPr="00894552">
        <w:t xml:space="preserve"> </w:t>
      </w:r>
      <w:r w:rsidR="007C304F" w:rsidRPr="00894552">
        <w:t>and meets the required criteria for effective data provision and reporting as outlined in the previous section.</w:t>
      </w:r>
      <w:r w:rsidR="007C304F">
        <w:t xml:space="preserve"> </w:t>
      </w:r>
    </w:p>
    <w:p w14:paraId="4ECFC1B2" w14:textId="1ACAF914" w:rsidR="00AC63A1" w:rsidRDefault="00AC63A1" w:rsidP="00AC63A1">
      <w:pPr>
        <w:pStyle w:val="ListParagraph"/>
        <w:ind w:left="567" w:hanging="567"/>
      </w:pPr>
      <w:r>
        <w:t>The policy problem and need for intervention would be adequately addressed</w:t>
      </w:r>
      <w:r w:rsidR="00FD2317">
        <w:t xml:space="preserve"> as</w:t>
      </w:r>
      <w:r w:rsidR="005A56D7">
        <w:t xml:space="preserve"> t</w:t>
      </w:r>
      <w:r w:rsidR="005A56D7" w:rsidRPr="005A56D7">
        <w:t xml:space="preserve">his option would meet </w:t>
      </w:r>
      <w:r w:rsidR="00C77BF1">
        <w:t>the agencies’</w:t>
      </w:r>
      <w:r w:rsidR="005A56D7" w:rsidRPr="005A56D7">
        <w:t xml:space="preserve"> needs for high quality data on claims and disputes</w:t>
      </w:r>
      <w:r w:rsidR="005A56D7">
        <w:t>. The i</w:t>
      </w:r>
      <w:r>
        <w:t>mplementation of this option would see a strengthened framework for the reporting and publication of claims and disputes information</w:t>
      </w:r>
      <w:r w:rsidR="00FD2317">
        <w:t xml:space="preserve"> </w:t>
      </w:r>
      <w:r>
        <w:t xml:space="preserve">due to its mandatory nature and stricter reporting requirements – providing sufficient controls to ensure that data being provided rectifies the data limitations outlined in ASIC’s report. </w:t>
      </w:r>
    </w:p>
    <w:p w14:paraId="360D50FC" w14:textId="1F6E9F4E" w:rsidR="007A2BC4" w:rsidRDefault="007A2BC4" w:rsidP="006E7D3E">
      <w:pPr>
        <w:pStyle w:val="ListParagraph"/>
        <w:ind w:left="567" w:hanging="567"/>
      </w:pPr>
      <w:r>
        <w:t>The regulatory costs of this option are not expected to be sig</w:t>
      </w:r>
      <w:r w:rsidR="00674B5C">
        <w:t>nificantly different to Option 1</w:t>
      </w:r>
      <w:r w:rsidR="005A56D7">
        <w:t xml:space="preserve">, </w:t>
      </w:r>
      <w:r>
        <w:t xml:space="preserve">the principle difference </w:t>
      </w:r>
      <w:r w:rsidR="00674B5C">
        <w:t xml:space="preserve">being that </w:t>
      </w:r>
      <w:r w:rsidR="00E47D27" w:rsidRPr="00A11A16">
        <w:t>reporting standards impose enforceable obligations on affected life insurers.</w:t>
      </w:r>
      <w:r w:rsidR="00E47D27">
        <w:t xml:space="preserve"> </w:t>
      </w:r>
    </w:p>
    <w:p w14:paraId="71E24647" w14:textId="1759E411" w:rsidR="005A56D7" w:rsidRDefault="007A2BC4" w:rsidP="00DF0481">
      <w:pPr>
        <w:pStyle w:val="ListParagraph"/>
        <w:ind w:left="567" w:hanging="567"/>
      </w:pPr>
      <w:r>
        <w:t>A</w:t>
      </w:r>
      <w:r w:rsidR="006E7D3E">
        <w:t xml:space="preserve">dopting this option would require life insurers to make minimal modifications to information systems because it would simply </w:t>
      </w:r>
      <w:r w:rsidR="006E7D3E" w:rsidRPr="007A2BC4">
        <w:t xml:space="preserve">formalise </w:t>
      </w:r>
      <w:r w:rsidR="006E7D3E">
        <w:t xml:space="preserve">the existing claims and disputes data collection. </w:t>
      </w:r>
    </w:p>
    <w:p w14:paraId="69EFF2C6" w14:textId="2BEC01DE" w:rsidR="006504C7" w:rsidRPr="000E4CDB" w:rsidRDefault="006504C7" w:rsidP="006504C7">
      <w:pPr>
        <w:pStyle w:val="ListParagraph"/>
        <w:ind w:left="567" w:hanging="567"/>
      </w:pPr>
      <w:r>
        <w:t xml:space="preserve">A summary of the regulatory costs are below. </w:t>
      </w:r>
    </w:p>
    <w:tbl>
      <w:tblPr>
        <w:tblStyle w:val="LightGrid-Accent21"/>
        <w:tblW w:w="9356" w:type="dxa"/>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1871"/>
        <w:gridCol w:w="1871"/>
        <w:gridCol w:w="1871"/>
        <w:gridCol w:w="1871"/>
        <w:gridCol w:w="1872"/>
      </w:tblGrid>
      <w:tr w:rsidR="007840B4" w:rsidRPr="0039252D" w14:paraId="34282DE3" w14:textId="77777777" w:rsidTr="007840B4">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9356" w:type="dxa"/>
            <w:gridSpan w:val="5"/>
            <w:shd w:val="clear" w:color="auto" w:fill="auto"/>
            <w:noWrap/>
          </w:tcPr>
          <w:p w14:paraId="5A4C1756" w14:textId="51C1F379" w:rsidR="007840B4" w:rsidRPr="0039252D" w:rsidRDefault="00E61247" w:rsidP="00E768E8">
            <w:pPr>
              <w:spacing w:before="120" w:after="120"/>
              <w:rPr>
                <w:rFonts w:ascii="Arial" w:hAnsi="Arial"/>
                <w:sz w:val="20"/>
              </w:rPr>
            </w:pPr>
            <w:r>
              <w:rPr>
                <w:lang w:val="en-AU"/>
              </w:rPr>
              <w:t xml:space="preserve"> </w:t>
            </w:r>
            <w:r w:rsidR="007840B4" w:rsidRPr="0039252D">
              <w:rPr>
                <w:rFonts w:ascii="Arial" w:hAnsi="Arial"/>
                <w:sz w:val="20"/>
              </w:rPr>
              <w:t>Average annual regulatory costs (from business as usual)</w:t>
            </w:r>
          </w:p>
        </w:tc>
      </w:tr>
      <w:tr w:rsidR="007840B4" w:rsidRPr="0039252D" w14:paraId="7ECDDF3D" w14:textId="77777777" w:rsidTr="00131C0D">
        <w:trPr>
          <w:trHeight w:val="300"/>
        </w:trPr>
        <w:tc>
          <w:tcPr>
            <w:cnfStyle w:val="001000000000" w:firstRow="0" w:lastRow="0" w:firstColumn="1" w:lastColumn="0" w:oddVBand="0" w:evenVBand="0" w:oddHBand="0" w:evenHBand="0" w:firstRowFirstColumn="0" w:firstRowLastColumn="0" w:lastRowFirstColumn="0" w:lastRowLastColumn="0"/>
            <w:tcW w:w="1871" w:type="dxa"/>
            <w:tcBorders>
              <w:bottom w:val="single" w:sz="8" w:space="0" w:color="auto"/>
            </w:tcBorders>
            <w:noWrap/>
          </w:tcPr>
          <w:p w14:paraId="047529AC" w14:textId="77777777" w:rsidR="007840B4" w:rsidRPr="0039252D" w:rsidRDefault="007840B4" w:rsidP="00E768E8">
            <w:pPr>
              <w:spacing w:before="120" w:after="120"/>
              <w:rPr>
                <w:rFonts w:ascii="Arial" w:hAnsi="Arial"/>
                <w:sz w:val="20"/>
              </w:rPr>
            </w:pPr>
            <w:r w:rsidRPr="0039252D">
              <w:rPr>
                <w:rFonts w:ascii="Arial" w:hAnsi="Arial"/>
                <w:sz w:val="20"/>
              </w:rPr>
              <w:t>Change in costs ($ million)</w:t>
            </w:r>
          </w:p>
        </w:tc>
        <w:tc>
          <w:tcPr>
            <w:tcW w:w="1871" w:type="dxa"/>
            <w:tcBorders>
              <w:bottom w:val="single" w:sz="8" w:space="0" w:color="auto"/>
            </w:tcBorders>
            <w:noWrap/>
          </w:tcPr>
          <w:p w14:paraId="1DCC548C" w14:textId="77777777" w:rsidR="007840B4" w:rsidRPr="0039252D" w:rsidRDefault="007840B4" w:rsidP="00E768E8">
            <w:pPr>
              <w:spacing w:before="120" w:after="120"/>
              <w:cnfStyle w:val="000000000000" w:firstRow="0" w:lastRow="0" w:firstColumn="0" w:lastColumn="0" w:oddVBand="0" w:evenVBand="0" w:oddHBand="0" w:evenHBand="0" w:firstRowFirstColumn="0" w:firstRowLastColumn="0" w:lastRowFirstColumn="0" w:lastRowLastColumn="0"/>
              <w:rPr>
                <w:rFonts w:ascii="Arial" w:eastAsiaTheme="majorEastAsia" w:hAnsi="Arial"/>
                <w:sz w:val="20"/>
              </w:rPr>
            </w:pPr>
            <w:r w:rsidRPr="0039252D">
              <w:rPr>
                <w:rFonts w:ascii="Arial" w:eastAsiaTheme="majorEastAsia" w:hAnsi="Arial"/>
                <w:sz w:val="20"/>
              </w:rPr>
              <w:t>Business</w:t>
            </w:r>
          </w:p>
        </w:tc>
        <w:tc>
          <w:tcPr>
            <w:tcW w:w="1871" w:type="dxa"/>
            <w:tcBorders>
              <w:bottom w:val="single" w:sz="8" w:space="0" w:color="auto"/>
            </w:tcBorders>
            <w:noWrap/>
          </w:tcPr>
          <w:p w14:paraId="42D44704" w14:textId="77777777" w:rsidR="007840B4" w:rsidRPr="0039252D" w:rsidRDefault="007840B4" w:rsidP="00E768E8">
            <w:pPr>
              <w:spacing w:before="120" w:after="120"/>
              <w:cnfStyle w:val="000000000000" w:firstRow="0" w:lastRow="0" w:firstColumn="0" w:lastColumn="0" w:oddVBand="0" w:evenVBand="0" w:oddHBand="0" w:evenHBand="0" w:firstRowFirstColumn="0" w:firstRowLastColumn="0" w:lastRowFirstColumn="0" w:lastRowLastColumn="0"/>
              <w:rPr>
                <w:rFonts w:ascii="Arial" w:hAnsi="Arial"/>
                <w:sz w:val="20"/>
              </w:rPr>
            </w:pPr>
            <w:r w:rsidRPr="0039252D">
              <w:rPr>
                <w:rFonts w:ascii="Arial" w:hAnsi="Arial"/>
                <w:sz w:val="20"/>
              </w:rPr>
              <w:t xml:space="preserve">Community </w:t>
            </w:r>
            <w:proofErr w:type="spellStart"/>
            <w:r w:rsidRPr="0039252D">
              <w:rPr>
                <w:rFonts w:ascii="Arial" w:hAnsi="Arial"/>
                <w:sz w:val="20"/>
              </w:rPr>
              <w:t>organisations</w:t>
            </w:r>
            <w:proofErr w:type="spellEnd"/>
          </w:p>
        </w:tc>
        <w:tc>
          <w:tcPr>
            <w:tcW w:w="1871" w:type="dxa"/>
            <w:tcBorders>
              <w:bottom w:val="single" w:sz="8" w:space="0" w:color="auto"/>
            </w:tcBorders>
            <w:noWrap/>
          </w:tcPr>
          <w:p w14:paraId="64B53B38" w14:textId="77777777" w:rsidR="007840B4" w:rsidRPr="0039252D" w:rsidRDefault="007840B4" w:rsidP="00E768E8">
            <w:pPr>
              <w:spacing w:before="120" w:after="120"/>
              <w:cnfStyle w:val="000000000000" w:firstRow="0" w:lastRow="0" w:firstColumn="0" w:lastColumn="0" w:oddVBand="0" w:evenVBand="0" w:oddHBand="0" w:evenHBand="0" w:firstRowFirstColumn="0" w:firstRowLastColumn="0" w:lastRowFirstColumn="0" w:lastRowLastColumn="0"/>
              <w:rPr>
                <w:rFonts w:ascii="Arial" w:hAnsi="Arial"/>
                <w:sz w:val="20"/>
              </w:rPr>
            </w:pPr>
            <w:r w:rsidRPr="0039252D">
              <w:rPr>
                <w:rFonts w:ascii="Arial" w:hAnsi="Arial"/>
                <w:sz w:val="20"/>
              </w:rPr>
              <w:t>Individuals</w:t>
            </w:r>
          </w:p>
        </w:tc>
        <w:tc>
          <w:tcPr>
            <w:tcW w:w="1872" w:type="dxa"/>
            <w:tcBorders>
              <w:bottom w:val="single" w:sz="8" w:space="0" w:color="auto"/>
            </w:tcBorders>
            <w:noWrap/>
          </w:tcPr>
          <w:p w14:paraId="17ADBA39" w14:textId="77777777" w:rsidR="007840B4" w:rsidRPr="0039252D" w:rsidRDefault="007840B4" w:rsidP="00E768E8">
            <w:pPr>
              <w:spacing w:before="120" w:after="120"/>
              <w:cnfStyle w:val="000000000000" w:firstRow="0" w:lastRow="0" w:firstColumn="0" w:lastColumn="0" w:oddVBand="0" w:evenVBand="0" w:oddHBand="0" w:evenHBand="0" w:firstRowFirstColumn="0" w:firstRowLastColumn="0" w:lastRowFirstColumn="0" w:lastRowLastColumn="0"/>
              <w:rPr>
                <w:rFonts w:ascii="Arial" w:hAnsi="Arial"/>
                <w:sz w:val="20"/>
              </w:rPr>
            </w:pPr>
            <w:r w:rsidRPr="0039252D">
              <w:rPr>
                <w:rFonts w:ascii="Arial" w:hAnsi="Arial"/>
                <w:sz w:val="20"/>
              </w:rPr>
              <w:t>Total change in costs</w:t>
            </w:r>
          </w:p>
        </w:tc>
      </w:tr>
      <w:tr w:rsidR="007840B4" w:rsidRPr="00DE2F08" w14:paraId="0D6C2320" w14:textId="77777777" w:rsidTr="00131C0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1" w:type="dxa"/>
            <w:tcBorders>
              <w:top w:val="single" w:sz="8" w:space="0" w:color="auto"/>
              <w:left w:val="single" w:sz="8" w:space="0" w:color="auto"/>
              <w:bottom w:val="single" w:sz="8" w:space="0" w:color="auto"/>
              <w:right w:val="single" w:sz="8" w:space="0" w:color="auto"/>
            </w:tcBorders>
            <w:noWrap/>
          </w:tcPr>
          <w:p w14:paraId="3AFA32C1" w14:textId="77777777" w:rsidR="007840B4" w:rsidRPr="007F471D" w:rsidRDefault="007840B4" w:rsidP="00E768E8">
            <w:pPr>
              <w:spacing w:before="120" w:after="120"/>
              <w:rPr>
                <w:rFonts w:ascii="Arial" w:hAnsi="Arial" w:cs="Arial"/>
                <w:sz w:val="20"/>
                <w:szCs w:val="20"/>
              </w:rPr>
            </w:pPr>
            <w:r w:rsidRPr="007F471D">
              <w:rPr>
                <w:rFonts w:ascii="Arial" w:hAnsi="Arial" w:cs="Arial"/>
                <w:sz w:val="20"/>
                <w:szCs w:val="20"/>
              </w:rPr>
              <w:t>Total, by sector</w:t>
            </w:r>
          </w:p>
        </w:tc>
        <w:tc>
          <w:tcPr>
            <w:tcW w:w="1871" w:type="dxa"/>
            <w:tcBorders>
              <w:top w:val="single" w:sz="8" w:space="0" w:color="auto"/>
              <w:left w:val="single" w:sz="8" w:space="0" w:color="auto"/>
              <w:bottom w:val="single" w:sz="8" w:space="0" w:color="auto"/>
              <w:right w:val="single" w:sz="8" w:space="0" w:color="auto"/>
            </w:tcBorders>
            <w:noWrap/>
          </w:tcPr>
          <w:p w14:paraId="2B79D8E0" w14:textId="29A9A6B1" w:rsidR="007840B4" w:rsidRPr="007F471D" w:rsidRDefault="007840B4" w:rsidP="00E768E8">
            <w:pPr>
              <w:spacing w:before="120" w:after="120"/>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Pr>
                <w:rFonts w:ascii="Arial" w:hAnsi="Arial" w:cs="Arial"/>
                <w:sz w:val="20"/>
                <w:szCs w:val="20"/>
              </w:rPr>
              <w:t>1.2</w:t>
            </w:r>
          </w:p>
        </w:tc>
        <w:tc>
          <w:tcPr>
            <w:tcW w:w="1871" w:type="dxa"/>
            <w:tcBorders>
              <w:top w:val="single" w:sz="8" w:space="0" w:color="auto"/>
              <w:left w:val="single" w:sz="8" w:space="0" w:color="auto"/>
              <w:bottom w:val="single" w:sz="8" w:space="0" w:color="auto"/>
              <w:right w:val="single" w:sz="8" w:space="0" w:color="auto"/>
            </w:tcBorders>
            <w:noWrap/>
          </w:tcPr>
          <w:p w14:paraId="7C81DD24" w14:textId="77777777" w:rsidR="007840B4" w:rsidRPr="007F471D" w:rsidRDefault="007840B4" w:rsidP="00E768E8">
            <w:pPr>
              <w:spacing w:before="120" w:after="120"/>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C94AA6">
              <w:rPr>
                <w:rFonts w:ascii="Arial" w:hAnsi="Arial" w:cs="Arial"/>
                <w:sz w:val="20"/>
                <w:szCs w:val="20"/>
              </w:rPr>
              <w:t>-</w:t>
            </w:r>
          </w:p>
        </w:tc>
        <w:tc>
          <w:tcPr>
            <w:tcW w:w="1871" w:type="dxa"/>
            <w:tcBorders>
              <w:top w:val="single" w:sz="8" w:space="0" w:color="auto"/>
              <w:left w:val="single" w:sz="8" w:space="0" w:color="auto"/>
              <w:bottom w:val="single" w:sz="8" w:space="0" w:color="auto"/>
              <w:right w:val="single" w:sz="8" w:space="0" w:color="auto"/>
            </w:tcBorders>
            <w:noWrap/>
          </w:tcPr>
          <w:p w14:paraId="1D0DB121" w14:textId="77777777" w:rsidR="007840B4" w:rsidRPr="007F471D" w:rsidRDefault="007840B4" w:rsidP="00E768E8">
            <w:pPr>
              <w:spacing w:before="120" w:after="120"/>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C94AA6">
              <w:rPr>
                <w:rFonts w:ascii="Arial" w:hAnsi="Arial" w:cs="Arial"/>
                <w:sz w:val="20"/>
                <w:szCs w:val="20"/>
              </w:rPr>
              <w:t>-</w:t>
            </w:r>
          </w:p>
        </w:tc>
        <w:tc>
          <w:tcPr>
            <w:tcW w:w="1872" w:type="dxa"/>
            <w:tcBorders>
              <w:top w:val="single" w:sz="8" w:space="0" w:color="auto"/>
              <w:left w:val="single" w:sz="8" w:space="0" w:color="auto"/>
              <w:bottom w:val="single" w:sz="8" w:space="0" w:color="auto"/>
              <w:right w:val="single" w:sz="8" w:space="0" w:color="auto"/>
            </w:tcBorders>
            <w:noWrap/>
          </w:tcPr>
          <w:p w14:paraId="31510CFD" w14:textId="1FC67049" w:rsidR="007840B4" w:rsidRPr="00DE2F08" w:rsidRDefault="007840B4" w:rsidP="00E768E8">
            <w:pPr>
              <w:spacing w:before="120" w:after="120"/>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Pr>
                <w:rFonts w:ascii="Arial" w:hAnsi="Arial"/>
                <w:sz w:val="20"/>
              </w:rPr>
              <w:t>1.2</w:t>
            </w:r>
          </w:p>
        </w:tc>
      </w:tr>
    </w:tbl>
    <w:p w14:paraId="6443D6BA" w14:textId="7467BCD3" w:rsidR="003F04F2" w:rsidRDefault="003F04F2" w:rsidP="00AF29EE">
      <w:pPr>
        <w:rPr>
          <w:lang w:val="en-AU"/>
        </w:rPr>
      </w:pPr>
    </w:p>
    <w:p w14:paraId="72415D65" w14:textId="244B3219" w:rsidR="00F93A63" w:rsidRDefault="00146D79" w:rsidP="00A70B36">
      <w:pPr>
        <w:pStyle w:val="Heading5"/>
      </w:pPr>
      <w:r>
        <w:t>Net benefit of O</w:t>
      </w:r>
      <w:r w:rsidR="003F04F2" w:rsidRPr="00CD0CF9">
        <w:t xml:space="preserve">ption </w:t>
      </w:r>
      <w:r w:rsidR="003F04F2">
        <w:t>3</w:t>
      </w:r>
      <w:r w:rsidR="002C5D17">
        <w:t>—</w:t>
      </w:r>
      <w:r w:rsidR="0067295D">
        <w:t xml:space="preserve"> Status quo -</w:t>
      </w:r>
      <w:r w:rsidR="00552EB1" w:rsidRPr="00552EB1">
        <w:t xml:space="preserve"> </w:t>
      </w:r>
      <w:r w:rsidR="0067295D">
        <w:t>n</w:t>
      </w:r>
      <w:r w:rsidR="007F2FA8">
        <w:t>o collection of</w:t>
      </w:r>
      <w:r w:rsidR="00552EB1">
        <w:t xml:space="preserve"> claims and disputes data</w:t>
      </w:r>
    </w:p>
    <w:p w14:paraId="6F5FB397" w14:textId="35268727" w:rsidR="00E61247" w:rsidRDefault="00E61247" w:rsidP="00E61247">
      <w:pPr>
        <w:pStyle w:val="ListParagraph"/>
        <w:ind w:left="567" w:hanging="567"/>
      </w:pPr>
      <w:r>
        <w:t xml:space="preserve">Under this option, data, either voluntary or mandatory, </w:t>
      </w:r>
      <w:r w:rsidR="0067295D">
        <w:t xml:space="preserve">would </w:t>
      </w:r>
      <w:r>
        <w:t xml:space="preserve">not be submitted to APRA. There </w:t>
      </w:r>
      <w:r w:rsidR="0067295D">
        <w:t xml:space="preserve">would </w:t>
      </w:r>
      <w:r>
        <w:t xml:space="preserve">be no additional requirements imposed on industry. </w:t>
      </w:r>
    </w:p>
    <w:p w14:paraId="0EB00CC9" w14:textId="2E8461E3" w:rsidR="008F02AE" w:rsidRPr="008F02AE" w:rsidRDefault="008F02AE" w:rsidP="008F02AE">
      <w:pPr>
        <w:pStyle w:val="ListParagraph"/>
        <w:ind w:left="567" w:hanging="567"/>
      </w:pPr>
      <w:r w:rsidRPr="008F02AE">
        <w:lastRenderedPageBreak/>
        <w:t>While some other organisations collect data on disputes</w:t>
      </w:r>
      <w:r w:rsidR="008A63BE">
        <w:t>,</w:t>
      </w:r>
      <w:r w:rsidRPr="008F02AE">
        <w:t xml:space="preserve"> there is no comprehensive data collection and that data is not readily available to the agencies.</w:t>
      </w:r>
      <w:r>
        <w:t xml:space="preserve"> </w:t>
      </w:r>
    </w:p>
    <w:p w14:paraId="5676B3FF" w14:textId="67DFDE98" w:rsidR="008F02AE" w:rsidRDefault="00447C32" w:rsidP="008F02AE">
      <w:pPr>
        <w:pStyle w:val="ListParagraph"/>
        <w:ind w:left="567" w:hanging="567"/>
      </w:pPr>
      <w:r>
        <w:t>The policy problem and need for interv</w:t>
      </w:r>
      <w:r w:rsidR="008F02AE">
        <w:t xml:space="preserve">ention </w:t>
      </w:r>
      <w:r w:rsidR="005D3345">
        <w:t>would remain. T</w:t>
      </w:r>
      <w:r w:rsidR="008F02AE">
        <w:t xml:space="preserve">here would be no mechanism to address the data limitations outlined in ASIC’s report. </w:t>
      </w:r>
      <w:r w:rsidR="005D3345">
        <w:t>C</w:t>
      </w:r>
      <w:r w:rsidR="008F02AE" w:rsidRPr="008F02AE">
        <w:t>easing the collection of claims and disputes data from the life insurance industry would leave consumers and other stakeholders in the current position that data is poor and unreliable</w:t>
      </w:r>
      <w:r w:rsidR="008F02AE">
        <w:t xml:space="preserve">. </w:t>
      </w:r>
      <w:r w:rsidR="00992227">
        <w:t xml:space="preserve">The agencies would not have the benefit of access to consistent reliable data to inform their regulatory activities. </w:t>
      </w:r>
    </w:p>
    <w:p w14:paraId="48168CC6" w14:textId="460A9FCD" w:rsidR="008F02AE" w:rsidRPr="00451BA0" w:rsidRDefault="00C43A33" w:rsidP="008F02AE">
      <w:pPr>
        <w:pStyle w:val="ListParagraph"/>
        <w:ind w:left="567" w:hanging="567"/>
      </w:pPr>
      <w:r>
        <w:t xml:space="preserve">There are no expected regulatory costs for this option as there will be no requirements placed on industry. </w:t>
      </w:r>
    </w:p>
    <w:p w14:paraId="6A56A0DD" w14:textId="07D4D199" w:rsidR="00DD147E" w:rsidRDefault="00DD147E" w:rsidP="00F46FE6">
      <w:pPr>
        <w:pStyle w:val="Heading4"/>
      </w:pPr>
      <w:r w:rsidRPr="000753FC">
        <w:t>Consultation</w:t>
      </w:r>
    </w:p>
    <w:p w14:paraId="2C16F57F" w14:textId="69F33D12" w:rsidR="000753FC" w:rsidRDefault="00C77BF1" w:rsidP="00131C0D">
      <w:pPr>
        <w:pStyle w:val="ListParagraph"/>
        <w:ind w:left="567" w:hanging="567"/>
      </w:pPr>
      <w:r>
        <w:t>The agencies have</w:t>
      </w:r>
      <w:r w:rsidR="000753FC">
        <w:t xml:space="preserve"> </w:t>
      </w:r>
      <w:r w:rsidR="000753FC" w:rsidRPr="000753FC">
        <w:t xml:space="preserve">developed </w:t>
      </w:r>
      <w:r w:rsidR="000753FC">
        <w:t>the proposals and preferred option</w:t>
      </w:r>
      <w:r w:rsidR="00E8159F">
        <w:t xml:space="preserve"> - </w:t>
      </w:r>
      <w:r w:rsidR="00E8159F" w:rsidRPr="00E8159F">
        <w:t>Formal collection and reporting of claims and disputes data</w:t>
      </w:r>
      <w:r w:rsidR="00E8159F">
        <w:t xml:space="preserve"> -</w:t>
      </w:r>
      <w:r w:rsidR="000753FC">
        <w:t xml:space="preserve"> </w:t>
      </w:r>
      <w:r w:rsidR="000D3D4E">
        <w:t xml:space="preserve">through </w:t>
      </w:r>
      <w:r w:rsidR="000753FC">
        <w:t>extensive consultation with</w:t>
      </w:r>
      <w:r w:rsidR="00A96233">
        <w:t xml:space="preserve"> life insurers, consumer representatives, service providers and the Financial Services Council</w:t>
      </w:r>
      <w:r w:rsidR="00F90BCD">
        <w:t xml:space="preserve"> (FSC)</w:t>
      </w:r>
      <w:r w:rsidR="000753FC">
        <w:t>.</w:t>
      </w:r>
      <w:r w:rsidR="004567F4">
        <w:t xml:space="preserve"> Informal c</w:t>
      </w:r>
      <w:r w:rsidR="00C4594E">
        <w:t xml:space="preserve">onsultation </w:t>
      </w:r>
      <w:r>
        <w:t>between the agencies,</w:t>
      </w:r>
      <w:r w:rsidR="00C4594E">
        <w:t xml:space="preserve"> </w:t>
      </w:r>
      <w:r w:rsidR="00F90BCD">
        <w:t xml:space="preserve">and </w:t>
      </w:r>
      <w:r>
        <w:t xml:space="preserve">with </w:t>
      </w:r>
      <w:r w:rsidR="00F90BCD">
        <w:t>the FSC</w:t>
      </w:r>
      <w:r w:rsidR="00633869">
        <w:t>, has been</w:t>
      </w:r>
      <w:r w:rsidR="00F90BCD">
        <w:t xml:space="preserve"> </w:t>
      </w:r>
      <w:r w:rsidR="00C4594E">
        <w:t>ongoing</w:t>
      </w:r>
      <w:r w:rsidR="004567F4">
        <w:t xml:space="preserve"> with r</w:t>
      </w:r>
      <w:r w:rsidR="00C4594E">
        <w:t>egular meetings at senior levels.</w:t>
      </w:r>
      <w:r w:rsidR="000D3D4E">
        <w:t xml:space="preserve"> </w:t>
      </w:r>
      <w:r w:rsidR="004567F4">
        <w:t xml:space="preserve">Formal consultation has taken place </w:t>
      </w:r>
      <w:r w:rsidR="0033402F">
        <w:t>through the issue of a number of papers</w:t>
      </w:r>
      <w:r w:rsidR="00992227">
        <w:t>:</w:t>
      </w:r>
      <w:r w:rsidR="004567F4">
        <w:t xml:space="preserve"> the May 2017 Discussion Paper</w:t>
      </w:r>
      <w:r w:rsidR="001D68AB">
        <w:t>, the November 2017 Information Paper</w:t>
      </w:r>
      <w:r w:rsidR="004567F4">
        <w:t xml:space="preserve"> and </w:t>
      </w:r>
      <w:r w:rsidR="001D68AB">
        <w:t xml:space="preserve">the </w:t>
      </w:r>
      <w:r w:rsidR="004567F4">
        <w:t>May 2018 Response Paper.</w:t>
      </w:r>
    </w:p>
    <w:p w14:paraId="1B41C230" w14:textId="62869F98" w:rsidR="004567F4" w:rsidRDefault="00872E07" w:rsidP="004567F4">
      <w:r>
        <w:rPr>
          <w:i/>
        </w:rPr>
        <w:t>May 2017</w:t>
      </w:r>
      <w:r w:rsidR="004567F4">
        <w:rPr>
          <w:i/>
        </w:rPr>
        <w:t xml:space="preserve"> – Discussion Paper</w:t>
      </w:r>
    </w:p>
    <w:p w14:paraId="5A15F421" w14:textId="66A2EF0E" w:rsidR="00EA24DC" w:rsidRDefault="00103704" w:rsidP="00002C9A">
      <w:pPr>
        <w:pStyle w:val="ListParagraph"/>
        <w:ind w:left="567" w:hanging="567"/>
      </w:pPr>
      <w:r w:rsidRPr="00603AD4">
        <w:t xml:space="preserve">APRA’s formal </w:t>
      </w:r>
      <w:r w:rsidR="00E87B4E">
        <w:t>public</w:t>
      </w:r>
      <w:r w:rsidR="00875F02">
        <w:t xml:space="preserve"> </w:t>
      </w:r>
      <w:r w:rsidR="004567F4">
        <w:t xml:space="preserve">consultation on </w:t>
      </w:r>
      <w:r w:rsidR="00F0083D">
        <w:t>a new reporting standard commenced in</w:t>
      </w:r>
      <w:r w:rsidRPr="00603AD4">
        <w:t xml:space="preserve"> </w:t>
      </w:r>
      <w:r w:rsidR="00F0083D">
        <w:t>May 2017</w:t>
      </w:r>
      <w:r w:rsidRPr="00603AD4">
        <w:t xml:space="preserve">, with the release of a consultation discussion paper </w:t>
      </w:r>
      <w:r w:rsidR="00942D18">
        <w:t>setting out the two phases of data collection: pilot and ongoing</w:t>
      </w:r>
      <w:r w:rsidRPr="00603AD4">
        <w:t>. The aim of this consultation was to obtain feedback on all aspects of the proposed</w:t>
      </w:r>
      <w:r w:rsidR="00942D18">
        <w:t xml:space="preserve"> data collection</w:t>
      </w:r>
      <w:r w:rsidRPr="00603AD4">
        <w:t xml:space="preserve"> fr</w:t>
      </w:r>
      <w:r w:rsidR="00EA24DC">
        <w:t>om interested stakeholders.</w:t>
      </w:r>
      <w:r w:rsidR="00EA24DC" w:rsidRPr="00EA24DC">
        <w:t xml:space="preserve"> </w:t>
      </w:r>
      <w:r w:rsidR="00304DC0">
        <w:t>The formal consultati</w:t>
      </w:r>
      <w:r w:rsidR="006720C8">
        <w:t>on package reflected Option 2</w:t>
      </w:r>
      <w:r w:rsidR="00304DC0">
        <w:t xml:space="preserve">. </w:t>
      </w:r>
      <w:r w:rsidR="00EA24DC" w:rsidRPr="00603AD4">
        <w:t>APRA issued a media release</w:t>
      </w:r>
      <w:r w:rsidR="00EA24DC">
        <w:rPr>
          <w:rStyle w:val="FootnoteReference"/>
        </w:rPr>
        <w:footnoteReference w:id="9"/>
      </w:r>
      <w:r w:rsidR="00EA24DC" w:rsidRPr="00603AD4">
        <w:t xml:space="preserve"> and sent an email to subscribers to its email alert service and to representatives from each </w:t>
      </w:r>
      <w:r w:rsidR="008F5B6E">
        <w:t>life insurer</w:t>
      </w:r>
      <w:r w:rsidR="00EA24DC" w:rsidRPr="00603AD4">
        <w:t>. Writ</w:t>
      </w:r>
      <w:r w:rsidR="00216B21">
        <w:t>ten submissions were invited by 11 August 2017</w:t>
      </w:r>
      <w:r w:rsidR="00EA24DC" w:rsidRPr="00603AD4">
        <w:t>.</w:t>
      </w:r>
    </w:p>
    <w:p w14:paraId="694C4FA0" w14:textId="4D154CF2" w:rsidR="00EA24DC" w:rsidRDefault="00603AD4" w:rsidP="00002C9A">
      <w:pPr>
        <w:pStyle w:val="ListParagraph"/>
        <w:ind w:left="567" w:hanging="567"/>
      </w:pPr>
      <w:r w:rsidRPr="00603AD4">
        <w:lastRenderedPageBreak/>
        <w:t xml:space="preserve">APRA requested that </w:t>
      </w:r>
      <w:r w:rsidR="00216B21">
        <w:t>respondents provide</w:t>
      </w:r>
      <w:r w:rsidRPr="00603AD4">
        <w:t xml:space="preserve"> an assessment of the impact of the proposed changes and, specifically, </w:t>
      </w:r>
      <w:r w:rsidR="00216B21">
        <w:t>the</w:t>
      </w:r>
      <w:r w:rsidRPr="00603AD4">
        <w:t xml:space="preserve"> compliance costs </w:t>
      </w:r>
      <w:r w:rsidR="008F5B6E">
        <w:t>life insurers</w:t>
      </w:r>
      <w:r w:rsidRPr="00603AD4">
        <w:t xml:space="preserve"> are likely to face</w:t>
      </w:r>
      <w:r w:rsidR="00131B8B">
        <w:t>. R</w:t>
      </w:r>
      <w:r w:rsidR="00216B21">
        <w:t>espondents were also requested to indicate whether there wer</w:t>
      </w:r>
      <w:r w:rsidRPr="00603AD4">
        <w:t xml:space="preserve">e any other </w:t>
      </w:r>
      <w:r w:rsidR="008F5B6E">
        <w:t xml:space="preserve">aspects of the data collection template or definitions </w:t>
      </w:r>
      <w:r w:rsidRPr="00603AD4">
        <w:t>that should be improved or remo</w:t>
      </w:r>
      <w:r w:rsidR="00EA24DC">
        <w:t>ved to reduce compliance costs.</w:t>
      </w:r>
    </w:p>
    <w:p w14:paraId="498388EF" w14:textId="419472BE" w:rsidR="00C4594E" w:rsidRDefault="00603AD4" w:rsidP="00002C9A">
      <w:pPr>
        <w:pStyle w:val="ListParagraph"/>
        <w:ind w:left="567" w:hanging="567"/>
      </w:pPr>
      <w:r w:rsidRPr="00603AD4">
        <w:t xml:space="preserve">APRA also requested feedback on the ability of </w:t>
      </w:r>
      <w:r w:rsidR="00216B21">
        <w:t>li</w:t>
      </w:r>
      <w:r w:rsidR="00A813A1">
        <w:t>f</w:t>
      </w:r>
      <w:r w:rsidR="00216B21">
        <w:t>e insurers</w:t>
      </w:r>
      <w:r w:rsidRPr="00603AD4">
        <w:t xml:space="preserve">’ data systems to align to the concepts and definitions in the proposed data requirements. APRA sought suggestions for changes to definitions that will improve data quality and reduce reporting burden. </w:t>
      </w:r>
    </w:p>
    <w:p w14:paraId="2DD6849C" w14:textId="60FCDF3D" w:rsidR="00F91C52" w:rsidRDefault="00603AD4" w:rsidP="00F91C52">
      <w:pPr>
        <w:pStyle w:val="ListParagraph"/>
        <w:ind w:left="567" w:hanging="567"/>
      </w:pPr>
      <w:r w:rsidRPr="00603AD4">
        <w:t>APRA</w:t>
      </w:r>
      <w:r w:rsidR="002626DA">
        <w:t xml:space="preserve"> received nine</w:t>
      </w:r>
      <w:r w:rsidRPr="00603AD4">
        <w:t xml:space="preserve"> submissions</w:t>
      </w:r>
      <w:r w:rsidR="004273DC">
        <w:t xml:space="preserve"> in response to the May</w:t>
      </w:r>
      <w:r w:rsidR="007C701C">
        <w:t xml:space="preserve"> 2017 Discussion Pape</w:t>
      </w:r>
      <w:r w:rsidR="002626DA">
        <w:t>r</w:t>
      </w:r>
      <w:r w:rsidR="00131C0D">
        <w:t>.</w:t>
      </w:r>
      <w:r w:rsidR="002626DA">
        <w:rPr>
          <w:rStyle w:val="FootnoteReference"/>
        </w:rPr>
        <w:footnoteReference w:id="10"/>
      </w:r>
      <w:r w:rsidR="002626DA">
        <w:t xml:space="preserve"> </w:t>
      </w:r>
      <w:r w:rsidR="00FF319C">
        <w:t>N</w:t>
      </w:r>
      <w:r w:rsidRPr="00603AD4">
        <w:t>o submissions objected to the proposal</w:t>
      </w:r>
      <w:r w:rsidR="00D24291">
        <w:t>, and n</w:t>
      </w:r>
      <w:r w:rsidR="00F91C52">
        <w:t xml:space="preserve">o respondents provided </w:t>
      </w:r>
      <w:r w:rsidR="006A519E">
        <w:t>estimates of costs</w:t>
      </w:r>
      <w:r w:rsidR="00445CE0">
        <w:t xml:space="preserve"> as requested by APRA.</w:t>
      </w:r>
      <w:r w:rsidR="00D24291">
        <w:t xml:space="preserve"> </w:t>
      </w:r>
    </w:p>
    <w:p w14:paraId="07434546" w14:textId="17A34B4C" w:rsidR="00A62DBC" w:rsidRDefault="00A62DBC" w:rsidP="00A62DBC">
      <w:pPr>
        <w:rPr>
          <w:i/>
        </w:rPr>
      </w:pPr>
      <w:r>
        <w:rPr>
          <w:i/>
        </w:rPr>
        <w:t>November 2017 – Information Paper</w:t>
      </w:r>
    </w:p>
    <w:p w14:paraId="059668FD" w14:textId="5F633FAA" w:rsidR="0054027C" w:rsidRDefault="0069238D" w:rsidP="00DC15AC">
      <w:pPr>
        <w:pStyle w:val="ListParagraph"/>
        <w:ind w:left="567" w:hanging="567"/>
      </w:pPr>
      <w:r>
        <w:t>In November 2017, APR</w:t>
      </w:r>
      <w:r w:rsidR="00670573">
        <w:t>A released an Information Paper which:</w:t>
      </w:r>
      <w:r w:rsidR="008D236C">
        <w:t xml:space="preserve"> </w:t>
      </w:r>
      <w:r w:rsidR="0054027C">
        <w:t>p</w:t>
      </w:r>
      <w:r w:rsidR="00670573">
        <w:t>rovided an update on progress and next steps</w:t>
      </w:r>
      <w:r w:rsidR="00CC15D0">
        <w:t>. It</w:t>
      </w:r>
      <w:r w:rsidR="00670573">
        <w:t xml:space="preserve"> </w:t>
      </w:r>
      <w:r w:rsidR="0054027C">
        <w:t>l</w:t>
      </w:r>
      <w:r w:rsidR="00775D03">
        <w:t xml:space="preserve">aunched the second round of </w:t>
      </w:r>
      <w:r w:rsidR="0054027C">
        <w:t>the pilot data collection, with refinements made to the data template and definitions</w:t>
      </w:r>
      <w:r w:rsidR="00CC15D0">
        <w:t xml:space="preserve"> and</w:t>
      </w:r>
      <w:r w:rsidR="002C0FC9">
        <w:t xml:space="preserve"> </w:t>
      </w:r>
      <w:r w:rsidR="0054027C">
        <w:t>provided feedback to insurers and other stakeholders regarding common data quality issues observed in round one of the pilot data collection, to support improvements for subsequent collections</w:t>
      </w:r>
      <w:r w:rsidR="00CC15D0">
        <w:t>.</w:t>
      </w:r>
      <w:r w:rsidR="0054027C">
        <w:t xml:space="preserve"> </w:t>
      </w:r>
      <w:r w:rsidR="00DC15AC">
        <w:t xml:space="preserve">Consistent with the intent outlined in the May 2017 Discussion Paper, it </w:t>
      </w:r>
      <w:r w:rsidR="0054027C">
        <w:t>provided key initial industry aggregate results from round one of the pilot data collection to contribute to informed public debate</w:t>
      </w:r>
      <w:r w:rsidR="00DC15AC">
        <w:t>.</w:t>
      </w:r>
      <w:r w:rsidR="0054027C">
        <w:t xml:space="preserve"> </w:t>
      </w:r>
    </w:p>
    <w:p w14:paraId="5B8CE749" w14:textId="16D74706" w:rsidR="00872E07" w:rsidRPr="00872E07" w:rsidRDefault="00872E07" w:rsidP="00872E07">
      <w:pPr>
        <w:rPr>
          <w:i/>
        </w:rPr>
      </w:pPr>
      <w:r w:rsidRPr="00872E07">
        <w:rPr>
          <w:i/>
        </w:rPr>
        <w:t>May 2018 –</w:t>
      </w:r>
      <w:r>
        <w:rPr>
          <w:i/>
        </w:rPr>
        <w:t xml:space="preserve"> Response Paper</w:t>
      </w:r>
    </w:p>
    <w:p w14:paraId="56CAB1BE" w14:textId="289E6A4D" w:rsidR="008936E9" w:rsidRDefault="00080EAF" w:rsidP="000B1FBB">
      <w:pPr>
        <w:pStyle w:val="ListParagraph"/>
        <w:ind w:left="567" w:hanging="567"/>
      </w:pPr>
      <w:r>
        <w:t>APRA considered the feedback received and responded with a second formal consultation package, the Response Paper released in May 2018</w:t>
      </w:r>
      <w:r w:rsidR="00615C53">
        <w:t>,</w:t>
      </w:r>
      <w:r>
        <w:t xml:space="preserve"> </w:t>
      </w:r>
      <w:r w:rsidR="00615C53">
        <w:t xml:space="preserve">which also </w:t>
      </w:r>
      <w:r>
        <w:t>reflected a refined version of Option 2.</w:t>
      </w:r>
      <w:r w:rsidR="00131C0D" w:rsidRPr="00131C0D">
        <w:rPr>
          <w:rStyle w:val="FootnoteReference"/>
        </w:rPr>
        <w:t xml:space="preserve"> </w:t>
      </w:r>
      <w:r w:rsidR="00E65A17">
        <w:t>T</w:t>
      </w:r>
      <w:r>
        <w:t xml:space="preserve">he Response </w:t>
      </w:r>
      <w:r w:rsidR="008936E9">
        <w:t>P</w:t>
      </w:r>
      <w:r>
        <w:t>aper</w:t>
      </w:r>
      <w:r w:rsidR="00690816">
        <w:t xml:space="preserve"> </w:t>
      </w:r>
      <w:r w:rsidR="00F520D9">
        <w:t xml:space="preserve">also </w:t>
      </w:r>
      <w:r w:rsidR="00690816">
        <w:t>provided an update on the second round of the pilot data collection and published aggregate data; consulted on the approach that the agencies proposed to take to the ongoing reporting phase, after completion of the pilot data collection; and</w:t>
      </w:r>
      <w:r w:rsidR="00E65A17">
        <w:t xml:space="preserve"> </w:t>
      </w:r>
      <w:r w:rsidR="00690816">
        <w:t xml:space="preserve">sought further feedback </w:t>
      </w:r>
      <w:r w:rsidR="00053BCD">
        <w:t>from stakeholders</w:t>
      </w:r>
      <w:r w:rsidR="00C046AF">
        <w:t>.</w:t>
      </w:r>
      <w:r w:rsidR="00894552">
        <w:t xml:space="preserve"> </w:t>
      </w:r>
      <w:r w:rsidR="0007238A">
        <w:t xml:space="preserve">Some of the key </w:t>
      </w:r>
      <w:r w:rsidR="0007238A">
        <w:lastRenderedPageBreak/>
        <w:t xml:space="preserve">issues </w:t>
      </w:r>
      <w:r w:rsidR="008936E9">
        <w:t>addressed</w:t>
      </w:r>
      <w:r w:rsidR="00131C0D">
        <w:t xml:space="preserve"> </w:t>
      </w:r>
      <w:r w:rsidR="00AF1B17">
        <w:t xml:space="preserve">in response to </w:t>
      </w:r>
      <w:r w:rsidR="00097A43">
        <w:t>submissions</w:t>
      </w:r>
      <w:r w:rsidR="00AF1B17">
        <w:t>,</w:t>
      </w:r>
      <w:r w:rsidR="0007238A">
        <w:t xml:space="preserve"> included</w:t>
      </w:r>
      <w:r w:rsidR="00D37C8B">
        <w:t>:</w:t>
      </w:r>
      <w:r w:rsidR="008936E9">
        <w:t xml:space="preserve"> </w:t>
      </w:r>
      <w:r w:rsidR="00D37C8B">
        <w:t>the collection scope of dat</w:t>
      </w:r>
      <w:r w:rsidR="0007238A">
        <w:t xml:space="preserve">a items; the collection method; the scope and design of publication; and alternative approaches to data collection. </w:t>
      </w:r>
    </w:p>
    <w:p w14:paraId="785103CE" w14:textId="73833FAD" w:rsidR="00304DC0" w:rsidRDefault="006720C8" w:rsidP="0047527F">
      <w:pPr>
        <w:pStyle w:val="ListParagraph"/>
        <w:ind w:left="567" w:hanging="567"/>
      </w:pPr>
      <w:r w:rsidRPr="00603AD4">
        <w:t>APRA issued a media release</w:t>
      </w:r>
      <w:r>
        <w:rPr>
          <w:rStyle w:val="FootnoteReference"/>
        </w:rPr>
        <w:footnoteReference w:id="11"/>
      </w:r>
      <w:r w:rsidRPr="00603AD4">
        <w:t xml:space="preserve"> and sent an email to subscribers to its email alert service and to representatives from each </w:t>
      </w:r>
      <w:r>
        <w:t>life insurer</w:t>
      </w:r>
      <w:r w:rsidRPr="00603AD4">
        <w:t xml:space="preserve">. </w:t>
      </w:r>
    </w:p>
    <w:p w14:paraId="5D996C07" w14:textId="7A6F06B9" w:rsidR="000F7EDF" w:rsidRDefault="005C6886" w:rsidP="005C6886">
      <w:pPr>
        <w:pStyle w:val="ListParagraph"/>
        <w:ind w:left="567" w:hanging="567"/>
      </w:pPr>
      <w:r>
        <w:t xml:space="preserve">The Response Paper </w:t>
      </w:r>
      <w:r w:rsidR="000F7EDF">
        <w:t xml:space="preserve">also detailed the approach the agencies propose to take to the ongoing reporting phase, after the completion of the pilot data collection. </w:t>
      </w:r>
      <w:r w:rsidR="005D3345">
        <w:t>Reflecting Option 2, it</w:t>
      </w:r>
      <w:r w:rsidR="003E5727">
        <w:t xml:space="preserve"> </w:t>
      </w:r>
      <w:r>
        <w:t>contained an outline of the proposed reporting standard, including details on the purpose, application, commencement, information required, forms and method of submission, reporting periods and due dates, quality contro</w:t>
      </w:r>
      <w:r w:rsidR="000F7EDF">
        <w:t xml:space="preserve">l, authorisation and timeframes. </w:t>
      </w:r>
      <w:r w:rsidR="000F7EDF" w:rsidRPr="00603AD4">
        <w:t>Writ</w:t>
      </w:r>
      <w:r w:rsidR="000F7EDF">
        <w:t>ten submissions from stakeholders were invited by 5 July 2018</w:t>
      </w:r>
      <w:r w:rsidR="000F7EDF" w:rsidRPr="00603AD4">
        <w:t>.</w:t>
      </w:r>
      <w:r w:rsidR="000F7EDF">
        <w:t xml:space="preserve"> </w:t>
      </w:r>
    </w:p>
    <w:p w14:paraId="4F6133F0" w14:textId="5922966A" w:rsidR="000468FC" w:rsidRDefault="00872E07" w:rsidP="00B5268E">
      <w:pPr>
        <w:pStyle w:val="ListParagraph"/>
      </w:pPr>
      <w:r w:rsidRPr="003E5727">
        <w:t>APRA received</w:t>
      </w:r>
      <w:r w:rsidR="00C03361" w:rsidRPr="003E5727">
        <w:t xml:space="preserve"> </w:t>
      </w:r>
      <w:r w:rsidR="00965459">
        <w:t xml:space="preserve">a total of </w:t>
      </w:r>
      <w:r w:rsidR="00C03361" w:rsidRPr="003E5727">
        <w:t>seven</w:t>
      </w:r>
      <w:r w:rsidR="008A2DAD" w:rsidRPr="003E5727">
        <w:t xml:space="preserve"> submissions</w:t>
      </w:r>
      <w:r w:rsidR="00C1332A">
        <w:t xml:space="preserve"> (three of which were confidential)</w:t>
      </w:r>
      <w:r w:rsidR="000468FC">
        <w:t xml:space="preserve"> from industry</w:t>
      </w:r>
      <w:r w:rsidR="00C1332A">
        <w:t xml:space="preserve">, consumer bodies, and legal </w:t>
      </w:r>
      <w:r w:rsidR="00131C0D">
        <w:t>practitioners</w:t>
      </w:r>
      <w:r w:rsidR="00C03361" w:rsidRPr="003E5727">
        <w:t xml:space="preserve">, </w:t>
      </w:r>
      <w:r w:rsidR="005C6886" w:rsidRPr="003E5727">
        <w:t>in response to the May 2018</w:t>
      </w:r>
      <w:r w:rsidR="00FF319C" w:rsidRPr="003E5727">
        <w:t xml:space="preserve"> </w:t>
      </w:r>
      <w:r w:rsidR="005C6886" w:rsidRPr="003E5727">
        <w:t xml:space="preserve">Response Paper. </w:t>
      </w:r>
      <w:r w:rsidR="00A04D47">
        <w:t xml:space="preserve">Submissions were broadly supportive </w:t>
      </w:r>
      <w:r w:rsidR="00B5268E">
        <w:t xml:space="preserve">of the </w:t>
      </w:r>
      <w:r w:rsidR="00155F2F">
        <w:t>f</w:t>
      </w:r>
      <w:r w:rsidR="00B5268E" w:rsidRPr="00B5268E">
        <w:t>ormal collection and reporting of claims and disputes data</w:t>
      </w:r>
      <w:r w:rsidR="000468FC">
        <w:t xml:space="preserve"> – in particular </w:t>
      </w:r>
      <w:r w:rsidR="00E04872">
        <w:t xml:space="preserve">the </w:t>
      </w:r>
      <w:r w:rsidR="00155F2F">
        <w:t xml:space="preserve">content of the reporting template and instructions, the </w:t>
      </w:r>
      <w:r w:rsidR="00E04872">
        <w:t xml:space="preserve">publication principles, the provision of educational materials, and APRA’s intention to determine the data collected as non-confidential. </w:t>
      </w:r>
    </w:p>
    <w:p w14:paraId="2BA52E96" w14:textId="10354906" w:rsidR="00A04D47" w:rsidRDefault="00E04872" w:rsidP="00155F2F">
      <w:pPr>
        <w:pStyle w:val="ListParagraph"/>
        <w:ind w:left="567" w:hanging="567"/>
      </w:pPr>
      <w:r>
        <w:t>Given the complexities and product differences, the importance of providing sufficient context was emphasised in order to e</w:t>
      </w:r>
      <w:r w:rsidR="000468FC">
        <w:t xml:space="preserve">ffectively meet the principles, and </w:t>
      </w:r>
      <w:r w:rsidR="00155F2F">
        <w:t>m</w:t>
      </w:r>
      <w:r>
        <w:t xml:space="preserve">inor refinements to the data tables and data items were also suggested to better facilitate meaningful comparisons. These submissions will be further considered by APRA and ASIC as the final publication is being developed ahead of its intended release early in 2019. </w:t>
      </w:r>
    </w:p>
    <w:p w14:paraId="2F5CA89D" w14:textId="77777777" w:rsidR="00DD147E" w:rsidRPr="00862204" w:rsidRDefault="00DD147E" w:rsidP="00F46FE6">
      <w:pPr>
        <w:pStyle w:val="Heading4"/>
      </w:pPr>
      <w:r w:rsidRPr="00862204">
        <w:t>Conclusion and recommended option</w:t>
      </w:r>
    </w:p>
    <w:p w14:paraId="10BD65E1" w14:textId="12F371BB" w:rsidR="00DD147E" w:rsidRPr="002A282B" w:rsidRDefault="00F07C7B" w:rsidP="00F74404">
      <w:pPr>
        <w:pStyle w:val="ListParagraph"/>
        <w:ind w:left="567" w:hanging="567"/>
      </w:pPr>
      <w:r>
        <w:t xml:space="preserve">The </w:t>
      </w:r>
      <w:r w:rsidR="002B7E68">
        <w:t xml:space="preserve">following </w:t>
      </w:r>
      <w:r>
        <w:t>table</w:t>
      </w:r>
      <w:r w:rsidR="00862204" w:rsidRPr="00862204">
        <w:t xml:space="preserve"> provides a summary of the costs and benefits of each option against </w:t>
      </w:r>
      <w:r w:rsidR="00862204" w:rsidRPr="002A282B">
        <w:t>the key criteria discussed in this RIS.</w:t>
      </w:r>
    </w:p>
    <w:tbl>
      <w:tblPr>
        <w:tblStyle w:val="TableGrid"/>
        <w:tblW w:w="0" w:type="auto"/>
        <w:tblLook w:val="04A0" w:firstRow="1" w:lastRow="0" w:firstColumn="1" w:lastColumn="0" w:noHBand="0" w:noVBand="1"/>
      </w:tblPr>
      <w:tblGrid>
        <w:gridCol w:w="1965"/>
        <w:gridCol w:w="2350"/>
        <w:gridCol w:w="2350"/>
        <w:gridCol w:w="2351"/>
      </w:tblGrid>
      <w:tr w:rsidR="008C5664" w:rsidRPr="002A282B" w14:paraId="31306CFB" w14:textId="77777777" w:rsidTr="000C3AE5">
        <w:tc>
          <w:tcPr>
            <w:tcW w:w="0" w:type="auto"/>
          </w:tcPr>
          <w:p w14:paraId="3E19DD8B" w14:textId="77777777" w:rsidR="00F07C7B" w:rsidRPr="002A282B" w:rsidRDefault="00F07C7B" w:rsidP="00123E4D">
            <w:pPr>
              <w:keepNext/>
              <w:keepLines/>
              <w:rPr>
                <w:lang w:val="en-AU"/>
              </w:rPr>
            </w:pPr>
          </w:p>
        </w:tc>
        <w:tc>
          <w:tcPr>
            <w:tcW w:w="2350" w:type="dxa"/>
          </w:tcPr>
          <w:p w14:paraId="0154F1DF" w14:textId="6B2D42F7" w:rsidR="00F07C7B" w:rsidRPr="002A282B" w:rsidRDefault="00F07C7B" w:rsidP="0073170D">
            <w:pPr>
              <w:keepNext/>
              <w:keepLines/>
              <w:jc w:val="left"/>
              <w:rPr>
                <w:b/>
                <w:lang w:val="en-AU"/>
              </w:rPr>
            </w:pPr>
            <w:r w:rsidRPr="002A282B">
              <w:rPr>
                <w:b/>
                <w:lang w:val="en-AU"/>
              </w:rPr>
              <w:t xml:space="preserve">Option 1: </w:t>
            </w:r>
            <w:r w:rsidR="0073170D" w:rsidRPr="002A282B">
              <w:rPr>
                <w:i/>
                <w:lang w:val="en-AU"/>
              </w:rPr>
              <w:t>Voluntary collection and reporting of claims and disputes data</w:t>
            </w:r>
          </w:p>
        </w:tc>
        <w:tc>
          <w:tcPr>
            <w:tcW w:w="2350" w:type="dxa"/>
          </w:tcPr>
          <w:p w14:paraId="32CF995B" w14:textId="614CCC8F" w:rsidR="00F07C7B" w:rsidRPr="002A282B" w:rsidRDefault="00F07C7B" w:rsidP="0073170D">
            <w:pPr>
              <w:keepNext/>
              <w:keepLines/>
              <w:jc w:val="left"/>
              <w:rPr>
                <w:b/>
                <w:lang w:val="en-AU"/>
              </w:rPr>
            </w:pPr>
            <w:r w:rsidRPr="002A282B">
              <w:rPr>
                <w:b/>
                <w:lang w:val="en-AU"/>
              </w:rPr>
              <w:t xml:space="preserve">Option 2: </w:t>
            </w:r>
            <w:r w:rsidR="0073170D" w:rsidRPr="002A282B">
              <w:rPr>
                <w:i/>
                <w:lang w:val="en-AU"/>
              </w:rPr>
              <w:t>Formal collection and reporting of claims and disputes data</w:t>
            </w:r>
          </w:p>
        </w:tc>
        <w:tc>
          <w:tcPr>
            <w:tcW w:w="2351" w:type="dxa"/>
          </w:tcPr>
          <w:p w14:paraId="613B0B61" w14:textId="6C79E054" w:rsidR="00F07C7B" w:rsidRPr="002A282B" w:rsidRDefault="00F07C7B" w:rsidP="0073170D">
            <w:pPr>
              <w:keepNext/>
              <w:keepLines/>
              <w:jc w:val="left"/>
              <w:rPr>
                <w:b/>
                <w:lang w:val="en-AU"/>
              </w:rPr>
            </w:pPr>
            <w:r w:rsidRPr="002A282B">
              <w:rPr>
                <w:b/>
                <w:lang w:val="en-AU"/>
              </w:rPr>
              <w:t xml:space="preserve">Option 3: </w:t>
            </w:r>
            <w:r w:rsidR="0073170D" w:rsidRPr="002A282B">
              <w:rPr>
                <w:i/>
                <w:lang w:val="en-AU"/>
              </w:rPr>
              <w:t>No collection of claims and disputes data</w:t>
            </w:r>
          </w:p>
        </w:tc>
      </w:tr>
      <w:tr w:rsidR="008C5664" w:rsidRPr="002A282B" w14:paraId="5634E417" w14:textId="77777777" w:rsidTr="000C3AE5">
        <w:tc>
          <w:tcPr>
            <w:tcW w:w="0" w:type="auto"/>
          </w:tcPr>
          <w:p w14:paraId="29D1A829" w14:textId="25136D3F" w:rsidR="00F07C7B" w:rsidRPr="002A282B" w:rsidRDefault="0025786B" w:rsidP="0025786B">
            <w:pPr>
              <w:keepNext/>
              <w:keepLines/>
              <w:jc w:val="left"/>
              <w:rPr>
                <w:b/>
                <w:lang w:val="en-AU"/>
              </w:rPr>
            </w:pPr>
            <w:r w:rsidRPr="002A282B">
              <w:rPr>
                <w:b/>
                <w:lang w:val="en-AU"/>
              </w:rPr>
              <w:t>Average annual regulatory cost ($ million)</w:t>
            </w:r>
          </w:p>
        </w:tc>
        <w:tc>
          <w:tcPr>
            <w:tcW w:w="2350" w:type="dxa"/>
          </w:tcPr>
          <w:p w14:paraId="6B2CF19A" w14:textId="131844C8" w:rsidR="00F07C7B" w:rsidRPr="002A282B" w:rsidRDefault="0025786B" w:rsidP="00123E4D">
            <w:pPr>
              <w:keepNext/>
              <w:keepLines/>
              <w:jc w:val="left"/>
              <w:rPr>
                <w:lang w:val="en-AU"/>
              </w:rPr>
            </w:pPr>
            <w:r w:rsidRPr="002A282B">
              <w:rPr>
                <w:lang w:val="en-AU"/>
              </w:rPr>
              <w:t>0.9</w:t>
            </w:r>
          </w:p>
        </w:tc>
        <w:tc>
          <w:tcPr>
            <w:tcW w:w="2350" w:type="dxa"/>
          </w:tcPr>
          <w:p w14:paraId="363D9071" w14:textId="35AC66AC" w:rsidR="00F07C7B" w:rsidRPr="002A282B" w:rsidRDefault="0025786B" w:rsidP="00123E4D">
            <w:pPr>
              <w:keepNext/>
              <w:keepLines/>
              <w:jc w:val="left"/>
              <w:rPr>
                <w:lang w:val="en-AU"/>
              </w:rPr>
            </w:pPr>
            <w:r w:rsidRPr="002A282B">
              <w:rPr>
                <w:lang w:val="en-AU"/>
              </w:rPr>
              <w:t>1.2</w:t>
            </w:r>
          </w:p>
        </w:tc>
        <w:tc>
          <w:tcPr>
            <w:tcW w:w="2351" w:type="dxa"/>
          </w:tcPr>
          <w:p w14:paraId="72DAFD50" w14:textId="3CE8B7B2" w:rsidR="00F07C7B" w:rsidRPr="002A282B" w:rsidRDefault="0025786B" w:rsidP="00123E4D">
            <w:pPr>
              <w:keepNext/>
              <w:keepLines/>
              <w:jc w:val="left"/>
              <w:rPr>
                <w:lang w:val="en-AU"/>
              </w:rPr>
            </w:pPr>
            <w:r w:rsidRPr="002A282B">
              <w:rPr>
                <w:lang w:val="en-AU"/>
              </w:rPr>
              <w:t>N/A</w:t>
            </w:r>
          </w:p>
        </w:tc>
      </w:tr>
      <w:tr w:rsidR="008C5664" w:rsidRPr="002A282B" w14:paraId="25532C69" w14:textId="77777777" w:rsidTr="000C3AE5">
        <w:tc>
          <w:tcPr>
            <w:tcW w:w="0" w:type="auto"/>
          </w:tcPr>
          <w:p w14:paraId="461F3446" w14:textId="4C622BFF" w:rsidR="00F07C7B" w:rsidRPr="002A282B" w:rsidRDefault="00F078A0" w:rsidP="00F07C7B">
            <w:pPr>
              <w:jc w:val="left"/>
              <w:rPr>
                <w:b/>
                <w:lang w:val="en-AU"/>
              </w:rPr>
            </w:pPr>
            <w:r w:rsidRPr="002A282B">
              <w:rPr>
                <w:b/>
                <w:lang w:val="en-AU"/>
              </w:rPr>
              <w:t xml:space="preserve">Assessment against </w:t>
            </w:r>
            <w:r w:rsidR="007E4D1B" w:rsidRPr="002A282B">
              <w:rPr>
                <w:b/>
                <w:lang w:val="en-AU"/>
              </w:rPr>
              <w:t>criteria</w:t>
            </w:r>
          </w:p>
        </w:tc>
        <w:tc>
          <w:tcPr>
            <w:tcW w:w="2350" w:type="dxa"/>
          </w:tcPr>
          <w:p w14:paraId="36254D2D" w14:textId="04945AA1" w:rsidR="00F07C7B" w:rsidRPr="002A282B" w:rsidRDefault="00F07C7B" w:rsidP="00F07C7B">
            <w:pPr>
              <w:jc w:val="left"/>
              <w:rPr>
                <w:lang w:val="en-AU"/>
              </w:rPr>
            </w:pPr>
            <w:r w:rsidRPr="002A282B">
              <w:rPr>
                <w:lang w:val="en-AU"/>
              </w:rPr>
              <w:t>Does not meet criteria</w:t>
            </w:r>
          </w:p>
        </w:tc>
        <w:tc>
          <w:tcPr>
            <w:tcW w:w="2350" w:type="dxa"/>
          </w:tcPr>
          <w:p w14:paraId="500E98D4" w14:textId="5F54AA4C" w:rsidR="00F07C7B" w:rsidRPr="002A282B" w:rsidRDefault="00F07C7B" w:rsidP="007E4D1B">
            <w:pPr>
              <w:jc w:val="left"/>
              <w:rPr>
                <w:lang w:val="en-AU"/>
              </w:rPr>
            </w:pPr>
            <w:r w:rsidRPr="002A282B">
              <w:rPr>
                <w:lang w:val="en-AU"/>
              </w:rPr>
              <w:t>Meets</w:t>
            </w:r>
            <w:r w:rsidR="008A1A32" w:rsidRPr="002A282B">
              <w:rPr>
                <w:lang w:val="en-AU"/>
              </w:rPr>
              <w:t xml:space="preserve"> </w:t>
            </w:r>
            <w:r w:rsidR="007E4D1B" w:rsidRPr="002A282B">
              <w:rPr>
                <w:lang w:val="en-AU"/>
              </w:rPr>
              <w:t>criteria</w:t>
            </w:r>
          </w:p>
        </w:tc>
        <w:tc>
          <w:tcPr>
            <w:tcW w:w="2351" w:type="dxa"/>
          </w:tcPr>
          <w:p w14:paraId="5B09E2EB" w14:textId="70DB491B" w:rsidR="00F07C7B" w:rsidRPr="002A282B" w:rsidRDefault="007E4D1B" w:rsidP="000C3AE5">
            <w:pPr>
              <w:jc w:val="left"/>
              <w:rPr>
                <w:lang w:val="en-AU"/>
              </w:rPr>
            </w:pPr>
            <w:r w:rsidRPr="002A282B">
              <w:rPr>
                <w:lang w:val="en-AU"/>
              </w:rPr>
              <w:t>Does not meet criteria</w:t>
            </w:r>
          </w:p>
        </w:tc>
      </w:tr>
      <w:tr w:rsidR="008C5664" w:rsidRPr="002A282B" w14:paraId="1DA144CD" w14:textId="77777777" w:rsidTr="000C3AE5">
        <w:tc>
          <w:tcPr>
            <w:tcW w:w="0" w:type="auto"/>
          </w:tcPr>
          <w:p w14:paraId="02DB8639" w14:textId="301AE6F1" w:rsidR="008A1A32" w:rsidRPr="002A282B" w:rsidRDefault="008C5664" w:rsidP="00614DE3">
            <w:pPr>
              <w:jc w:val="left"/>
              <w:rPr>
                <w:b/>
                <w:lang w:val="en-AU"/>
              </w:rPr>
            </w:pPr>
            <w:r w:rsidRPr="002A282B">
              <w:rPr>
                <w:b/>
                <w:lang w:val="en-AU"/>
              </w:rPr>
              <w:t>Quality data</w:t>
            </w:r>
          </w:p>
        </w:tc>
        <w:tc>
          <w:tcPr>
            <w:tcW w:w="2350" w:type="dxa"/>
          </w:tcPr>
          <w:p w14:paraId="3AB8F686" w14:textId="1513FB13" w:rsidR="008A1A32" w:rsidRPr="002A282B" w:rsidRDefault="008C5664" w:rsidP="00C96EB7">
            <w:pPr>
              <w:jc w:val="left"/>
              <w:rPr>
                <w:lang w:val="en-AU"/>
              </w:rPr>
            </w:pPr>
            <w:r w:rsidRPr="002A282B">
              <w:rPr>
                <w:lang w:val="en-AU"/>
              </w:rPr>
              <w:t>Mostly meets criteria.</w:t>
            </w:r>
          </w:p>
        </w:tc>
        <w:tc>
          <w:tcPr>
            <w:tcW w:w="2350" w:type="dxa"/>
          </w:tcPr>
          <w:p w14:paraId="64D646E6" w14:textId="2AA3DF15" w:rsidR="008A1A32" w:rsidRPr="002A282B" w:rsidRDefault="008A1A32" w:rsidP="00A46FD5">
            <w:pPr>
              <w:jc w:val="left"/>
              <w:rPr>
                <w:lang w:val="en-AU"/>
              </w:rPr>
            </w:pPr>
            <w:r w:rsidRPr="002A282B">
              <w:rPr>
                <w:lang w:val="en-AU"/>
              </w:rPr>
              <w:t>Meets this criteria</w:t>
            </w:r>
            <w:r w:rsidR="00C96EB7" w:rsidRPr="002A282B">
              <w:rPr>
                <w:lang w:val="en-AU"/>
              </w:rPr>
              <w:t xml:space="preserve">. </w:t>
            </w:r>
            <w:r w:rsidR="00A46FD5">
              <w:rPr>
                <w:lang w:val="en-AU"/>
              </w:rPr>
              <w:t>The agencies</w:t>
            </w:r>
            <w:r w:rsidR="00A46FD5" w:rsidRPr="002A282B">
              <w:rPr>
                <w:lang w:val="en-AU"/>
              </w:rPr>
              <w:t xml:space="preserve">’ </w:t>
            </w:r>
            <w:r w:rsidR="00C96EB7" w:rsidRPr="002A282B">
              <w:rPr>
                <w:lang w:val="en-AU"/>
              </w:rPr>
              <w:t>data needs</w:t>
            </w:r>
            <w:r w:rsidR="008C5664" w:rsidRPr="002A282B">
              <w:rPr>
                <w:lang w:val="en-AU"/>
              </w:rPr>
              <w:t xml:space="preserve"> would be</w:t>
            </w:r>
            <w:r w:rsidR="00C96EB7" w:rsidRPr="002A282B">
              <w:rPr>
                <w:lang w:val="en-AU"/>
              </w:rPr>
              <w:t xml:space="preserve"> </w:t>
            </w:r>
            <w:r w:rsidR="008C5664" w:rsidRPr="002A282B">
              <w:rPr>
                <w:lang w:val="en-AU"/>
              </w:rPr>
              <w:t xml:space="preserve">met through </w:t>
            </w:r>
            <w:r w:rsidR="00BC61E8">
              <w:rPr>
                <w:lang w:val="en-AU"/>
              </w:rPr>
              <w:t>the determining of a</w:t>
            </w:r>
            <w:r w:rsidR="008C5664" w:rsidRPr="002A282B">
              <w:rPr>
                <w:lang w:val="en-AU"/>
              </w:rPr>
              <w:t xml:space="preserve"> reporting standard</w:t>
            </w:r>
          </w:p>
        </w:tc>
        <w:tc>
          <w:tcPr>
            <w:tcW w:w="2351" w:type="dxa"/>
          </w:tcPr>
          <w:p w14:paraId="0B6ADCB2" w14:textId="69FBBDFF" w:rsidR="008A1A32" w:rsidRPr="002A282B" w:rsidRDefault="008C5664" w:rsidP="000C3AE5">
            <w:pPr>
              <w:jc w:val="left"/>
              <w:rPr>
                <w:lang w:val="en-AU"/>
              </w:rPr>
            </w:pPr>
            <w:r w:rsidRPr="002A282B">
              <w:rPr>
                <w:lang w:val="en-AU"/>
              </w:rPr>
              <w:t>Does not meet criteria</w:t>
            </w:r>
          </w:p>
        </w:tc>
      </w:tr>
      <w:tr w:rsidR="008C5664" w14:paraId="1C7CBF72" w14:textId="77777777" w:rsidTr="000C3AE5">
        <w:tc>
          <w:tcPr>
            <w:tcW w:w="0" w:type="auto"/>
          </w:tcPr>
          <w:p w14:paraId="6EBC9C5D" w14:textId="1F9F1179" w:rsidR="008A1A32" w:rsidRPr="002A282B" w:rsidRDefault="008A1A32" w:rsidP="008A1A32">
            <w:pPr>
              <w:jc w:val="left"/>
              <w:rPr>
                <w:b/>
                <w:lang w:val="en-AU"/>
              </w:rPr>
            </w:pPr>
            <w:r w:rsidRPr="002A282B">
              <w:rPr>
                <w:b/>
                <w:lang w:val="en-AU"/>
              </w:rPr>
              <w:t>Overall</w:t>
            </w:r>
          </w:p>
        </w:tc>
        <w:tc>
          <w:tcPr>
            <w:tcW w:w="2350" w:type="dxa"/>
          </w:tcPr>
          <w:p w14:paraId="54C7868F" w14:textId="3622FC90" w:rsidR="008A1A32" w:rsidRPr="002A282B" w:rsidRDefault="000C3AE5" w:rsidP="007B69D4">
            <w:pPr>
              <w:jc w:val="left"/>
              <w:rPr>
                <w:b/>
                <w:lang w:val="en-AU"/>
              </w:rPr>
            </w:pPr>
            <w:r w:rsidRPr="002A282B">
              <w:rPr>
                <w:b/>
                <w:lang w:val="en-AU"/>
              </w:rPr>
              <w:t xml:space="preserve">Potential </w:t>
            </w:r>
            <w:r w:rsidR="008A1A32" w:rsidRPr="002A282B">
              <w:rPr>
                <w:b/>
                <w:lang w:val="en-AU"/>
              </w:rPr>
              <w:t>net benefit</w:t>
            </w:r>
          </w:p>
        </w:tc>
        <w:tc>
          <w:tcPr>
            <w:tcW w:w="2350" w:type="dxa"/>
          </w:tcPr>
          <w:p w14:paraId="0581EFA6" w14:textId="1C60C858" w:rsidR="008A1A32" w:rsidRPr="002A282B" w:rsidRDefault="00BF6FA6" w:rsidP="008A1A32">
            <w:pPr>
              <w:jc w:val="left"/>
              <w:rPr>
                <w:b/>
                <w:lang w:val="en-AU"/>
              </w:rPr>
            </w:pPr>
            <w:r w:rsidRPr="002A282B">
              <w:rPr>
                <w:b/>
                <w:lang w:val="en-AU"/>
              </w:rPr>
              <w:t>Positive net benefit</w:t>
            </w:r>
          </w:p>
        </w:tc>
        <w:tc>
          <w:tcPr>
            <w:tcW w:w="2351" w:type="dxa"/>
          </w:tcPr>
          <w:p w14:paraId="64D362A8" w14:textId="78BA13DA" w:rsidR="008A1A32" w:rsidRPr="002A282B" w:rsidRDefault="000C3AE5" w:rsidP="008A1A32">
            <w:pPr>
              <w:jc w:val="left"/>
              <w:rPr>
                <w:b/>
                <w:lang w:val="en-AU"/>
              </w:rPr>
            </w:pPr>
            <w:r w:rsidRPr="002A282B">
              <w:rPr>
                <w:b/>
                <w:lang w:val="en-AU"/>
              </w:rPr>
              <w:t>No net benefit</w:t>
            </w:r>
          </w:p>
        </w:tc>
      </w:tr>
    </w:tbl>
    <w:p w14:paraId="6CEB4C9B" w14:textId="230D92D3" w:rsidR="002B6DF5" w:rsidRDefault="005F63BA" w:rsidP="006111B8">
      <w:pPr>
        <w:pStyle w:val="ListParagraph"/>
        <w:ind w:left="567" w:hanging="567"/>
      </w:pPr>
      <w:r>
        <w:t xml:space="preserve">The agencies </w:t>
      </w:r>
      <w:r w:rsidR="0092030E">
        <w:t xml:space="preserve">consider Option 2 to be the preferred option to deliver </w:t>
      </w:r>
      <w:r w:rsidR="00D20D22">
        <w:t>better quality, more consistent and more transparent data about life</w:t>
      </w:r>
      <w:r w:rsidR="0092030E">
        <w:t xml:space="preserve"> insurance claims as it delivers the highest net benefit. </w:t>
      </w:r>
      <w:r w:rsidR="00F044EC">
        <w:t>This option is</w:t>
      </w:r>
      <w:r w:rsidR="004929C0">
        <w:t xml:space="preserve"> </w:t>
      </w:r>
      <w:r w:rsidR="006E7B74">
        <w:t xml:space="preserve">preferred </w:t>
      </w:r>
      <w:r w:rsidR="002B6DF5">
        <w:t xml:space="preserve">to </w:t>
      </w:r>
      <w:r w:rsidR="006E7B74">
        <w:t>Option 1 a</w:t>
      </w:r>
      <w:r w:rsidR="00BB40B0">
        <w:t xml:space="preserve">s </w:t>
      </w:r>
      <w:r w:rsidR="006E4A15">
        <w:t xml:space="preserve">while </w:t>
      </w:r>
      <w:r w:rsidR="00BB40B0">
        <w:t>the regulatory costs are not sig</w:t>
      </w:r>
      <w:r w:rsidR="006E7B74">
        <w:t xml:space="preserve">nificantly different </w:t>
      </w:r>
      <w:r w:rsidR="007A5CAC">
        <w:t xml:space="preserve">it has </w:t>
      </w:r>
      <w:r w:rsidR="006E7B74">
        <w:t xml:space="preserve">the additional benefit of a strengthened framework for </w:t>
      </w:r>
      <w:r w:rsidR="006E7B74" w:rsidRPr="006E7B74">
        <w:t>the reporting and publication of claims and disputes informatio</w:t>
      </w:r>
      <w:r w:rsidR="007A5CAC">
        <w:t xml:space="preserve">n. </w:t>
      </w:r>
    </w:p>
    <w:p w14:paraId="26420029" w14:textId="680C0F72" w:rsidR="000575A2" w:rsidRDefault="006111B8" w:rsidP="000575A2">
      <w:pPr>
        <w:pStyle w:val="ListParagraph"/>
        <w:ind w:left="567" w:hanging="567"/>
      </w:pPr>
      <w:r w:rsidRPr="005A56D7">
        <w:t xml:space="preserve">In addition, </w:t>
      </w:r>
      <w:r>
        <w:t>Option 2</w:t>
      </w:r>
      <w:r w:rsidRPr="005A56D7">
        <w:t xml:space="preserve"> would create certainty about the on-going nature of the data reporting and collection, allowing life insurers to streamline the</w:t>
      </w:r>
      <w:r w:rsidR="00F044EC">
        <w:t>ir internal reporting processes; and would ensure</w:t>
      </w:r>
      <w:r w:rsidR="00F044EC" w:rsidRPr="00062E85">
        <w:t xml:space="preserve"> the whole industry </w:t>
      </w:r>
      <w:r w:rsidR="00F044EC">
        <w:t xml:space="preserve">continues to </w:t>
      </w:r>
      <w:r w:rsidR="00F044EC" w:rsidRPr="00062E85">
        <w:t>provi</w:t>
      </w:r>
      <w:r w:rsidR="00F044EC">
        <w:t>de</w:t>
      </w:r>
      <w:r w:rsidR="00F044EC" w:rsidRPr="00062E85">
        <w:t xml:space="preserve"> data</w:t>
      </w:r>
      <w:r w:rsidR="00D15EE3">
        <w:t>. This resolves</w:t>
      </w:r>
      <w:r w:rsidR="000575A2">
        <w:t xml:space="preserve"> the concern </w:t>
      </w:r>
      <w:r w:rsidR="00D15EE3">
        <w:t xml:space="preserve">that </w:t>
      </w:r>
      <w:r w:rsidR="006E4A15">
        <w:t>parts of the</w:t>
      </w:r>
      <w:r w:rsidR="000575A2" w:rsidRPr="00062E85">
        <w:t xml:space="preserve"> industry </w:t>
      </w:r>
      <w:r w:rsidR="000575A2">
        <w:t xml:space="preserve">would </w:t>
      </w:r>
      <w:r w:rsidR="006E4A15">
        <w:t xml:space="preserve">not </w:t>
      </w:r>
      <w:r w:rsidR="000575A2" w:rsidRPr="00062E85">
        <w:t>provid</w:t>
      </w:r>
      <w:r w:rsidR="000575A2">
        <w:t>e</w:t>
      </w:r>
      <w:r w:rsidR="000575A2" w:rsidRPr="00062E85">
        <w:t xml:space="preserve"> data </w:t>
      </w:r>
      <w:r w:rsidR="000575A2">
        <w:t>under Option 1, undermining</w:t>
      </w:r>
      <w:r w:rsidR="000575A2" w:rsidRPr="00062E85">
        <w:t xml:space="preserve"> the reliability of the data set and potentially disadvantag</w:t>
      </w:r>
      <w:r w:rsidR="006E4A15">
        <w:t>ing</w:t>
      </w:r>
      <w:r w:rsidR="000575A2" w:rsidRPr="00062E85">
        <w:t xml:space="preserve"> those insurers that do provide data relative to others</w:t>
      </w:r>
      <w:r w:rsidR="000575A2">
        <w:t xml:space="preserve">. </w:t>
      </w:r>
    </w:p>
    <w:p w14:paraId="68892D50" w14:textId="1EF14E94" w:rsidR="001C6DB5" w:rsidRPr="006E7B74" w:rsidRDefault="00D15EE3" w:rsidP="006E7B74">
      <w:pPr>
        <w:pStyle w:val="ListParagraph"/>
        <w:ind w:left="567" w:hanging="567"/>
      </w:pPr>
      <w:r>
        <w:t xml:space="preserve">Option 3 is not </w:t>
      </w:r>
      <w:r w:rsidR="00C51898">
        <w:t xml:space="preserve">acceptable to </w:t>
      </w:r>
      <w:r w:rsidR="005F63BA">
        <w:t>the agencies</w:t>
      </w:r>
      <w:r w:rsidR="005F63BA" w:rsidRPr="006E7B74">
        <w:t xml:space="preserve"> </w:t>
      </w:r>
      <w:r w:rsidR="000E00F6" w:rsidRPr="006E7B74">
        <w:t>as it does not address the data limitations outlined in ASIC’s report</w:t>
      </w:r>
      <w:r w:rsidR="001C727F">
        <w:t xml:space="preserve"> and highlighted again in the 2018 Royal Commission.</w:t>
      </w:r>
      <w:r w:rsidR="000E00F6" w:rsidRPr="006E7B74">
        <w:t xml:space="preserve"> </w:t>
      </w:r>
    </w:p>
    <w:p w14:paraId="4CFA3038" w14:textId="59C1D7EE" w:rsidR="00DD147E" w:rsidRDefault="00DD147E" w:rsidP="00F46FE6">
      <w:pPr>
        <w:pStyle w:val="Heading4"/>
      </w:pPr>
      <w:r w:rsidRPr="006E7B74">
        <w:lastRenderedPageBreak/>
        <w:t>Implementation and review</w:t>
      </w:r>
    </w:p>
    <w:p w14:paraId="0A171010" w14:textId="369490FA" w:rsidR="003464AA" w:rsidRPr="002A282B" w:rsidRDefault="00862204" w:rsidP="0052307B">
      <w:pPr>
        <w:pStyle w:val="ListParagraph"/>
        <w:ind w:left="567" w:hanging="567"/>
      </w:pPr>
      <w:r w:rsidRPr="002A282B">
        <w:t>APRA will give effect to the proposed reporting requirements by determining</w:t>
      </w:r>
      <w:r w:rsidR="00B216D6" w:rsidRPr="002A282B">
        <w:t xml:space="preserve"> </w:t>
      </w:r>
      <w:r w:rsidR="002A282B">
        <w:t xml:space="preserve">a </w:t>
      </w:r>
      <w:r w:rsidR="006E66CA">
        <w:t>reporting standard</w:t>
      </w:r>
      <w:r w:rsidR="002A282B">
        <w:t xml:space="preserve"> under the </w:t>
      </w:r>
      <w:r w:rsidR="003353CD" w:rsidRPr="002A282B">
        <w:t>FSCODA</w:t>
      </w:r>
      <w:r w:rsidR="00B216D6" w:rsidRPr="002A282B">
        <w:t>.</w:t>
      </w:r>
      <w:r w:rsidR="00102F0D" w:rsidRPr="002A282B">
        <w:t xml:space="preserve"> </w:t>
      </w:r>
    </w:p>
    <w:p w14:paraId="5956E328" w14:textId="01E9E9F2" w:rsidR="00102F0D" w:rsidRPr="002A282B" w:rsidRDefault="006E66CA" w:rsidP="00F74404">
      <w:pPr>
        <w:pStyle w:val="ListParagraph"/>
        <w:ind w:left="567" w:hanging="567"/>
      </w:pPr>
      <w:r>
        <w:t>The r</w:t>
      </w:r>
      <w:r w:rsidR="00E26284" w:rsidRPr="002A282B">
        <w:t xml:space="preserve">eporting </w:t>
      </w:r>
      <w:r>
        <w:t>s</w:t>
      </w:r>
      <w:r w:rsidR="00E26284" w:rsidRPr="002A282B">
        <w:t xml:space="preserve">tandard will apply from the date of its registration on the Federal Register of Legislative Instruments. </w:t>
      </w:r>
      <w:r w:rsidR="008D2C09" w:rsidRPr="002A282B">
        <w:t xml:space="preserve">It is expected that this will occur by the end of 2018. </w:t>
      </w:r>
    </w:p>
    <w:p w14:paraId="02B3DC5B" w14:textId="543D4253" w:rsidR="00B3165C" w:rsidRPr="002A282B" w:rsidRDefault="00B3165C" w:rsidP="00F74404">
      <w:pPr>
        <w:pStyle w:val="ListParagraph"/>
        <w:ind w:left="567" w:hanging="567"/>
      </w:pPr>
      <w:r w:rsidRPr="002A282B">
        <w:t xml:space="preserve">APRA will </w:t>
      </w:r>
      <w:r w:rsidR="008E74F0" w:rsidRPr="002A282B">
        <w:t>be available to</w:t>
      </w:r>
      <w:r w:rsidRPr="002A282B">
        <w:t xml:space="preserve"> engage</w:t>
      </w:r>
      <w:r w:rsidR="008E74F0" w:rsidRPr="002A282B">
        <w:t xml:space="preserve"> with life insurers</w:t>
      </w:r>
      <w:r w:rsidRPr="002A282B">
        <w:t xml:space="preserve"> to ensure that they understand the </w:t>
      </w:r>
      <w:r w:rsidR="008E74F0" w:rsidRPr="002A282B">
        <w:t xml:space="preserve">new </w:t>
      </w:r>
      <w:r w:rsidRPr="002A282B">
        <w:t xml:space="preserve">reporting requirements, and to </w:t>
      </w:r>
      <w:r w:rsidR="008E74F0" w:rsidRPr="002A282B">
        <w:t>provide guidance</w:t>
      </w:r>
      <w:r w:rsidRPr="002A282B">
        <w:t xml:space="preserve"> </w:t>
      </w:r>
      <w:r w:rsidR="008E74F0" w:rsidRPr="002A282B">
        <w:t xml:space="preserve">through the process if necessary. </w:t>
      </w:r>
    </w:p>
    <w:p w14:paraId="383A9782" w14:textId="60CC4675" w:rsidR="00924C0A" w:rsidRDefault="0025052C" w:rsidP="00A13E6E">
      <w:pPr>
        <w:pStyle w:val="ListParagraph"/>
        <w:ind w:left="567" w:hanging="567"/>
      </w:pPr>
      <w:r w:rsidRPr="002A282B">
        <w:t xml:space="preserve">APRA regularly reviews </w:t>
      </w:r>
      <w:r w:rsidR="00101880" w:rsidRPr="002A282B">
        <w:t xml:space="preserve">its prudential and reporting framework as part of </w:t>
      </w:r>
      <w:r w:rsidR="007F41A3" w:rsidRPr="002A282B">
        <w:t>APRA’s policy development process. Such review</w:t>
      </w:r>
      <w:r w:rsidR="00101880" w:rsidRPr="002A282B">
        <w:t>s</w:t>
      </w:r>
      <w:r w:rsidR="007F41A3" w:rsidRPr="002A282B">
        <w:t xml:space="preserve"> would consider whether the requirements continue to reflect good practice or impose undue regulatory burden</w:t>
      </w:r>
      <w:r w:rsidR="008E74F0" w:rsidRPr="002A282B">
        <w:t xml:space="preserve">. </w:t>
      </w:r>
      <w:r w:rsidR="007F41A3" w:rsidRPr="002A282B">
        <w:t>APRA will also take action within a shorter timeframe where there is a demonstrable need to amend a reporting requirement.</w:t>
      </w:r>
      <w:r w:rsidR="00924C0A" w:rsidRPr="002A282B">
        <w:t xml:space="preserve"> Such a need could be identified through AP</w:t>
      </w:r>
      <w:r w:rsidR="00A13E6E" w:rsidRPr="002A282B">
        <w:t>RA’s</w:t>
      </w:r>
      <w:r w:rsidR="00A13E6E">
        <w:t xml:space="preserve"> ongoing engagement with life insurer</w:t>
      </w:r>
      <w:r w:rsidR="00924C0A">
        <w:t xml:space="preserve">s as part of its supervisory activity, regular stakeholder surveys, or internally within APRA. </w:t>
      </w:r>
    </w:p>
    <w:p w14:paraId="66FFF957" w14:textId="24507E16" w:rsidR="00492296" w:rsidRDefault="00B02151" w:rsidP="005247D4">
      <w:pPr>
        <w:pStyle w:val="ListParagraph"/>
        <w:ind w:left="567" w:hanging="567"/>
      </w:pPr>
      <w:r>
        <w:t>APRA and ASIC will monitor the effectiveness of the publications made using the data collected</w:t>
      </w:r>
      <w:r w:rsidR="00BF0B58">
        <w:t xml:space="preserve"> and will also monitor the quality of data provided</w:t>
      </w:r>
      <w:r>
        <w:t xml:space="preserve">. The </w:t>
      </w:r>
      <w:r w:rsidR="00BF0B58">
        <w:t>extent to which the publication successfully addresses the policy problem will be assessed through that process</w:t>
      </w:r>
      <w:r w:rsidR="00B1559A">
        <w:t>, taking into account the views of stakeholders and users of the data</w:t>
      </w:r>
      <w:r w:rsidR="00BF0B58">
        <w:t xml:space="preserve">. </w:t>
      </w:r>
      <w:r w:rsidR="00E56F92">
        <w:t xml:space="preserve">This will include assessment of whether the publication is assisting users of the data, including consumers, to make more informed decisions. </w:t>
      </w:r>
      <w:r w:rsidR="00BF0B58">
        <w:t>If enhancements are identified as a result of that monitoring, APRA will consider and consult on changes to the Reporting Standard</w:t>
      </w:r>
      <w:r w:rsidR="00B1559A">
        <w:t xml:space="preserve"> or the publication</w:t>
      </w:r>
      <w:r w:rsidR="00BF0B58">
        <w:t xml:space="preserve">. </w:t>
      </w:r>
    </w:p>
    <w:p w14:paraId="421BB721" w14:textId="17B7E9AC" w:rsidR="00B216D6" w:rsidRDefault="007F41A3" w:rsidP="00F74404">
      <w:pPr>
        <w:pStyle w:val="ListParagraph"/>
        <w:ind w:left="567" w:hanging="567"/>
      </w:pPr>
      <w:r w:rsidRPr="007F41A3">
        <w:t xml:space="preserve">As legislative instruments, </w:t>
      </w:r>
      <w:r>
        <w:t xml:space="preserve">reporting </w:t>
      </w:r>
      <w:r w:rsidRPr="007F41A3">
        <w:t xml:space="preserve">standards </w:t>
      </w:r>
      <w:r w:rsidR="00A13E6E">
        <w:t>are</w:t>
      </w:r>
      <w:r w:rsidRPr="007F41A3">
        <w:t xml:space="preserve"> subject to sun</w:t>
      </w:r>
      <w:r w:rsidR="00EA24DC">
        <w:t>-</w:t>
      </w:r>
      <w:r w:rsidRPr="007F41A3">
        <w:t>setting requirements</w:t>
      </w:r>
      <w:r w:rsidR="00924C0A">
        <w:t xml:space="preserve"> after </w:t>
      </w:r>
      <w:r w:rsidR="00D973E7">
        <w:t>10</w:t>
      </w:r>
      <w:r w:rsidR="00924C0A">
        <w:t xml:space="preserve"> years</w:t>
      </w:r>
      <w:r w:rsidRPr="007F41A3">
        <w:t>.</w:t>
      </w:r>
      <w:r w:rsidR="008E74F0">
        <w:t xml:space="preserve"> </w:t>
      </w:r>
    </w:p>
    <w:p w14:paraId="55B65951" w14:textId="238CF64E" w:rsidR="007F41A3" w:rsidRDefault="007F41A3" w:rsidP="001462A2">
      <w:pPr>
        <w:keepNext/>
        <w:rPr>
          <w:b/>
          <w:bCs/>
          <w:spacing w:val="-1"/>
          <w:sz w:val="28"/>
          <w:szCs w:val="28"/>
          <w:lang w:val="en-AU"/>
        </w:rPr>
      </w:pPr>
      <w:r w:rsidRPr="007F41A3">
        <w:rPr>
          <w:b/>
          <w:bCs/>
          <w:spacing w:val="-1"/>
          <w:sz w:val="28"/>
          <w:szCs w:val="28"/>
          <w:lang w:val="en-AU"/>
        </w:rPr>
        <w:t>Regulatory offset</w:t>
      </w:r>
    </w:p>
    <w:p w14:paraId="798FFA94" w14:textId="6AB04E55" w:rsidR="007F41A3" w:rsidRPr="001462A2" w:rsidRDefault="00AE604C" w:rsidP="00311B64">
      <w:pPr>
        <w:pStyle w:val="ListParagraph"/>
        <w:ind w:left="567" w:hanging="567"/>
      </w:pPr>
      <w:r>
        <w:t xml:space="preserve">A regulatory offset has not been identified. However, </w:t>
      </w:r>
      <w:r w:rsidR="00B80983" w:rsidRPr="009E7727">
        <w:rPr>
          <w:iCs/>
          <w:lang w:val="en-US"/>
        </w:rPr>
        <w:t>APRA is seeking to pursue net reductions in compliance costs and will work with affected stakeholders and across Government to identify regulatory burden reductions where appropriate.</w:t>
      </w:r>
    </w:p>
    <w:sectPr w:rsidR="007F41A3" w:rsidRPr="001462A2" w:rsidSect="00C62913">
      <w:pgSz w:w="11906" w:h="16838" w:code="9"/>
      <w:pgMar w:top="1440" w:right="1440" w:bottom="1440" w:left="1440" w:header="567" w:footer="567"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3859DB" w16cid:durableId="1F53B8F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EFB237" w14:textId="77777777" w:rsidR="006B678E" w:rsidRDefault="006B678E" w:rsidP="00DD7CEF">
      <w:r>
        <w:separator/>
      </w:r>
    </w:p>
    <w:p w14:paraId="7694A5F1" w14:textId="77777777" w:rsidR="006B678E" w:rsidRDefault="006B678E" w:rsidP="00DD7CEF"/>
  </w:endnote>
  <w:endnote w:type="continuationSeparator" w:id="0">
    <w:p w14:paraId="3B14E595" w14:textId="77777777" w:rsidR="006B678E" w:rsidRDefault="006B678E" w:rsidP="00DD7CEF">
      <w:r>
        <w:continuationSeparator/>
      </w:r>
    </w:p>
    <w:p w14:paraId="2BB84904" w14:textId="77777777" w:rsidR="006B678E" w:rsidRDefault="006B678E" w:rsidP="00DD7CEF"/>
  </w:endnote>
  <w:endnote w:type="continuationNotice" w:id="1">
    <w:p w14:paraId="442503A1" w14:textId="77777777" w:rsidR="006B678E" w:rsidRDefault="006B678E">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C76339" w14:textId="77777777" w:rsidR="006B678E" w:rsidRDefault="006B678E" w:rsidP="00DD7CEF">
      <w:r>
        <w:separator/>
      </w:r>
    </w:p>
    <w:p w14:paraId="2336516F" w14:textId="77777777" w:rsidR="006B678E" w:rsidRDefault="006B678E" w:rsidP="00DD7CEF"/>
  </w:footnote>
  <w:footnote w:type="continuationSeparator" w:id="0">
    <w:p w14:paraId="7F6AF28D" w14:textId="77777777" w:rsidR="006B678E" w:rsidRDefault="006B678E" w:rsidP="00DD7CEF">
      <w:r>
        <w:continuationSeparator/>
      </w:r>
    </w:p>
    <w:p w14:paraId="44E81A1C" w14:textId="77777777" w:rsidR="006B678E" w:rsidRDefault="006B678E" w:rsidP="00DD7CEF"/>
  </w:footnote>
  <w:footnote w:type="continuationNotice" w:id="1">
    <w:p w14:paraId="55B3F0E5" w14:textId="77777777" w:rsidR="006B678E" w:rsidRDefault="006B678E">
      <w:pPr>
        <w:spacing w:before="0" w:line="240" w:lineRule="auto"/>
      </w:pPr>
    </w:p>
  </w:footnote>
  <w:footnote w:id="2">
    <w:p w14:paraId="69164345" w14:textId="0153AF3A" w:rsidR="006B678E" w:rsidRDefault="006B678E">
      <w:pPr>
        <w:pStyle w:val="FootnoteText"/>
      </w:pPr>
      <w:r>
        <w:rPr>
          <w:rStyle w:val="FootnoteReference"/>
        </w:rPr>
        <w:footnoteRef/>
      </w:r>
      <w:r>
        <w:t xml:space="preserve"> Email from OBPR to APRA dated 8 May 2018.</w:t>
      </w:r>
    </w:p>
  </w:footnote>
  <w:footnote w:id="3">
    <w:p w14:paraId="01175A52" w14:textId="034A7F6B" w:rsidR="006B678E" w:rsidRPr="00F11E54" w:rsidRDefault="006B678E">
      <w:pPr>
        <w:pStyle w:val="FootnoteText"/>
        <w:rPr>
          <w:lang w:val="en-AU"/>
        </w:rPr>
      </w:pPr>
      <w:r w:rsidRPr="00AA79FC">
        <w:rPr>
          <w:rStyle w:val="FootnoteReference"/>
        </w:rPr>
        <w:footnoteRef/>
      </w:r>
      <w:r w:rsidRPr="00AA79FC">
        <w:t xml:space="preserve"> </w:t>
      </w:r>
      <w:r>
        <w:t xml:space="preserve">APRA </w:t>
      </w:r>
      <w:r w:rsidRPr="008B0FBE">
        <w:t>Discussion Paper ‘Towards a transparent public reporting regime for life insurance claims information</w:t>
      </w:r>
      <w:r>
        <w:t>’,</w:t>
      </w:r>
      <w:r w:rsidRPr="008B0FBE">
        <w:t xml:space="preserve"> May 2017</w:t>
      </w:r>
    </w:p>
  </w:footnote>
  <w:footnote w:id="4">
    <w:p w14:paraId="033F9CF6" w14:textId="785DA109" w:rsidR="006B678E" w:rsidRPr="004546A1" w:rsidRDefault="006B678E">
      <w:pPr>
        <w:pStyle w:val="FootnoteText"/>
      </w:pPr>
      <w:r>
        <w:rPr>
          <w:rStyle w:val="FootnoteReference"/>
        </w:rPr>
        <w:footnoteRef/>
      </w:r>
      <w:r>
        <w:t xml:space="preserve"> ASIC REP 498 ‘Life insurance claims: An industry review’</w:t>
      </w:r>
    </w:p>
  </w:footnote>
  <w:footnote w:id="5">
    <w:p w14:paraId="35197AA8" w14:textId="62448A19" w:rsidR="006B678E" w:rsidRPr="00B17DB6" w:rsidRDefault="006B678E">
      <w:pPr>
        <w:pStyle w:val="FootnoteText"/>
      </w:pPr>
      <w:r>
        <w:rPr>
          <w:rStyle w:val="FootnoteReference"/>
        </w:rPr>
        <w:footnoteRef/>
      </w:r>
      <w:r>
        <w:t xml:space="preserve"> Ibid</w:t>
      </w:r>
      <w:r w:rsidR="00A065A6">
        <w:t xml:space="preserve">. </w:t>
      </w:r>
    </w:p>
  </w:footnote>
  <w:footnote w:id="6">
    <w:p w14:paraId="0DDECE2C" w14:textId="68226978" w:rsidR="006B678E" w:rsidRDefault="006B678E">
      <w:pPr>
        <w:pStyle w:val="FootnoteText"/>
      </w:pPr>
      <w:r>
        <w:rPr>
          <w:rStyle w:val="FootnoteReference"/>
        </w:rPr>
        <w:footnoteRef/>
      </w:r>
      <w:r>
        <w:t xml:space="preserve"> More details of the consultation process can be found in the Consultation section of this RIS.  </w:t>
      </w:r>
    </w:p>
  </w:footnote>
  <w:footnote w:id="7">
    <w:p w14:paraId="67485544" w14:textId="66BB44D5" w:rsidR="006B678E" w:rsidRDefault="006B678E">
      <w:pPr>
        <w:pStyle w:val="FootnoteText"/>
      </w:pPr>
      <w:r>
        <w:rPr>
          <w:rStyle w:val="FootnoteReference"/>
        </w:rPr>
        <w:footnoteRef/>
      </w:r>
      <w:r>
        <w:t xml:space="preserve"> </w:t>
      </w:r>
      <w:r w:rsidRPr="000A59EA">
        <w:t xml:space="preserve">APRA </w:t>
      </w:r>
      <w:r>
        <w:t>Information</w:t>
      </w:r>
      <w:r w:rsidRPr="000A59EA">
        <w:t xml:space="preserve"> Paper ‘</w:t>
      </w:r>
      <w:r>
        <w:t>Update on steps to implement a public reporting regime for life insurance claims information’, November</w:t>
      </w:r>
      <w:r w:rsidRPr="000A59EA">
        <w:t xml:space="preserve"> 2017’</w:t>
      </w:r>
      <w:r>
        <w:t xml:space="preserve"> and APRA Response Paper: ‘Response to submissions: Life insurance – public reporting of claims information – update on progress’ May 2018</w:t>
      </w:r>
    </w:p>
  </w:footnote>
  <w:footnote w:id="8">
    <w:p w14:paraId="3FDCD5FF" w14:textId="2DA0CFF3" w:rsidR="006B678E" w:rsidRPr="004B5DAF" w:rsidRDefault="006B678E">
      <w:pPr>
        <w:pStyle w:val="FootnoteText"/>
        <w:rPr>
          <w:lang w:val="en-AU"/>
        </w:rPr>
      </w:pPr>
      <w:r>
        <w:rPr>
          <w:rStyle w:val="FootnoteReference"/>
        </w:rPr>
        <w:footnoteRef/>
      </w:r>
      <w:r>
        <w:t xml:space="preserve"> </w:t>
      </w:r>
      <w:r>
        <w:rPr>
          <w:lang w:val="en-AU"/>
        </w:rPr>
        <w:t xml:space="preserve">See consultation section in this RIS for more details. </w:t>
      </w:r>
    </w:p>
  </w:footnote>
  <w:footnote w:id="9">
    <w:p w14:paraId="4FD8ACB3" w14:textId="5B0CD4EF" w:rsidR="006B678E" w:rsidRPr="00603AD4" w:rsidRDefault="006B678E" w:rsidP="00EA24DC">
      <w:pPr>
        <w:pStyle w:val="FootnoteText"/>
        <w:ind w:left="567" w:hanging="567"/>
        <w:rPr>
          <w:lang w:val="en-AU"/>
        </w:rPr>
      </w:pPr>
      <w:r>
        <w:rPr>
          <w:rStyle w:val="FootnoteReference"/>
        </w:rPr>
        <w:footnoteRef/>
      </w:r>
      <w:r>
        <w:t xml:space="preserve"> </w:t>
      </w:r>
      <w:hyperlink r:id="rId1" w:history="1">
        <w:r w:rsidRPr="00EB11B3">
          <w:rPr>
            <w:rStyle w:val="Hyperlink"/>
            <w:rFonts w:ascii="Times New Roman" w:hAnsi="Times New Roman"/>
            <w:sz w:val="18"/>
          </w:rPr>
          <w:t>https://www.apra.gov.au/media-centre/media-releases/launch-pilot-data-collection-life-insurance-claims</w:t>
        </w:r>
      </w:hyperlink>
      <w:r>
        <w:t xml:space="preserve"> </w:t>
      </w:r>
    </w:p>
  </w:footnote>
  <w:footnote w:id="10">
    <w:p w14:paraId="1DEE8B46" w14:textId="1A552305" w:rsidR="006B678E" w:rsidRPr="002626DA" w:rsidRDefault="006B678E">
      <w:pPr>
        <w:pStyle w:val="FootnoteText"/>
        <w:rPr>
          <w:lang w:val="en-AU"/>
        </w:rPr>
      </w:pPr>
      <w:r>
        <w:rPr>
          <w:rStyle w:val="FootnoteReference"/>
        </w:rPr>
        <w:footnoteRef/>
      </w:r>
      <w:r>
        <w:t xml:space="preserve"> </w:t>
      </w:r>
      <w:r>
        <w:rPr>
          <w:lang w:val="en-AU"/>
        </w:rPr>
        <w:t xml:space="preserve">Non-confidential submissions are published at </w:t>
      </w:r>
      <w:hyperlink r:id="rId2" w:history="1">
        <w:r w:rsidRPr="00EB11B3">
          <w:rPr>
            <w:rStyle w:val="Hyperlink"/>
            <w:rFonts w:ascii="Times New Roman" w:hAnsi="Times New Roman"/>
            <w:sz w:val="18"/>
            <w:lang w:val="en-AU"/>
          </w:rPr>
          <w:t>https://www.apra.gov.au/life-claims-data-collection</w:t>
        </w:r>
      </w:hyperlink>
      <w:r>
        <w:rPr>
          <w:lang w:val="en-AU"/>
        </w:rPr>
        <w:t xml:space="preserve"> </w:t>
      </w:r>
    </w:p>
  </w:footnote>
  <w:footnote w:id="11">
    <w:p w14:paraId="2F53D924" w14:textId="78B2305F" w:rsidR="006B678E" w:rsidRPr="00603AD4" w:rsidRDefault="006B678E" w:rsidP="006720C8">
      <w:pPr>
        <w:pStyle w:val="FootnoteText"/>
        <w:ind w:left="567" w:hanging="567"/>
        <w:rPr>
          <w:lang w:val="en-AU"/>
        </w:rPr>
      </w:pPr>
      <w:r>
        <w:rPr>
          <w:rStyle w:val="FootnoteReference"/>
        </w:rPr>
        <w:footnoteRef/>
      </w:r>
      <w:r>
        <w:t xml:space="preserve"> </w:t>
      </w:r>
      <w:hyperlink r:id="rId3" w:history="1">
        <w:r w:rsidRPr="002C76F1">
          <w:rPr>
            <w:rStyle w:val="Hyperlink"/>
            <w:rFonts w:ascii="Times New Roman" w:hAnsi="Times New Roman"/>
            <w:sz w:val="18"/>
          </w:rPr>
          <w:t>https://www.apra.gov.au/media-centre/media-releases/apra-and-asic-release-new-life-claims-data</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65E3206"/>
    <w:lvl w:ilvl="0">
      <w:start w:val="1"/>
      <w:numFmt w:val="lowerLetter"/>
      <w:pStyle w:val="ListNumber5"/>
      <w:lvlText w:val="%1."/>
      <w:lvlJc w:val="left"/>
      <w:pPr>
        <w:ind w:left="1492" w:hanging="360"/>
      </w:pPr>
    </w:lvl>
  </w:abstractNum>
  <w:abstractNum w:abstractNumId="1" w15:restartNumberingAfterBreak="0">
    <w:nsid w:val="FFFFFF7D"/>
    <w:multiLevelType w:val="singleLevel"/>
    <w:tmpl w:val="989E8622"/>
    <w:lvl w:ilvl="0">
      <w:start w:val="1"/>
      <w:numFmt w:val="lowerRoman"/>
      <w:pStyle w:val="ListNumber4"/>
      <w:lvlText w:val="%1."/>
      <w:lvlJc w:val="right"/>
      <w:pPr>
        <w:ind w:left="1209" w:hanging="360"/>
      </w:pPr>
    </w:lvl>
  </w:abstractNum>
  <w:abstractNum w:abstractNumId="2" w15:restartNumberingAfterBreak="0">
    <w:nsid w:val="FFFFFF7E"/>
    <w:multiLevelType w:val="singleLevel"/>
    <w:tmpl w:val="767836BE"/>
    <w:lvl w:ilvl="0">
      <w:start w:val="1"/>
      <w:numFmt w:val="decimal"/>
      <w:pStyle w:val="ListNumber3"/>
      <w:lvlText w:val="%1.1.1"/>
      <w:lvlJc w:val="left"/>
      <w:pPr>
        <w:ind w:left="926" w:hanging="360"/>
      </w:pPr>
      <w:rPr>
        <w:rFonts w:ascii="Trebuchet MS" w:hAnsi="Trebuchet MS" w:hint="default"/>
      </w:rPr>
    </w:lvl>
  </w:abstractNum>
  <w:abstractNum w:abstractNumId="3" w15:restartNumberingAfterBreak="0">
    <w:nsid w:val="FFFFFF7F"/>
    <w:multiLevelType w:val="singleLevel"/>
    <w:tmpl w:val="B25284C2"/>
    <w:lvl w:ilvl="0">
      <w:start w:val="1"/>
      <w:numFmt w:val="decimal"/>
      <w:pStyle w:val="ListNumber2"/>
      <w:lvlText w:val="%1.1"/>
      <w:lvlJc w:val="left"/>
      <w:pPr>
        <w:ind w:left="643" w:hanging="360"/>
      </w:pPr>
      <w:rPr>
        <w:rFonts w:ascii="Trebuchet MS" w:hAnsi="Trebuchet MS" w:hint="default"/>
      </w:rPr>
    </w:lvl>
  </w:abstractNum>
  <w:abstractNum w:abstractNumId="4" w15:restartNumberingAfterBreak="0">
    <w:nsid w:val="FFFFFF88"/>
    <w:multiLevelType w:val="multilevel"/>
    <w:tmpl w:val="25DA7400"/>
    <w:lvl w:ilvl="0">
      <w:start w:val="1"/>
      <w:numFmt w:val="decimal"/>
      <w:pStyle w:val="ListNumber"/>
      <w:lvlText w:val="%1."/>
      <w:lvlJc w:val="left"/>
      <w:pPr>
        <w:tabs>
          <w:tab w:val="num" w:pos="360"/>
        </w:tabs>
        <w:ind w:left="360" w:hanging="360"/>
      </w:pPr>
    </w:lvl>
    <w:lvl w:ilvl="1">
      <w:start w:val="1"/>
      <w:numFmt w:val="decimal"/>
      <w:isLgl/>
      <w:lvlText w:val="%1.%2"/>
      <w:lvlJc w:val="left"/>
      <w:pPr>
        <w:ind w:left="643" w:hanging="36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855" w:hanging="1440"/>
      </w:pPr>
      <w:rPr>
        <w:rFonts w:hint="default"/>
      </w:rPr>
    </w:lvl>
    <w:lvl w:ilvl="6">
      <w:start w:val="1"/>
      <w:numFmt w:val="decimal"/>
      <w:isLgl/>
      <w:lvlText w:val="%1.%2.%3.%4.%5.%6.%7"/>
      <w:lvlJc w:val="left"/>
      <w:pPr>
        <w:ind w:left="3138" w:hanging="1440"/>
      </w:pPr>
      <w:rPr>
        <w:rFonts w:hint="default"/>
      </w:rPr>
    </w:lvl>
    <w:lvl w:ilvl="7">
      <w:start w:val="1"/>
      <w:numFmt w:val="decimal"/>
      <w:isLgl/>
      <w:lvlText w:val="%1.%2.%3.%4.%5.%6.%7.%8"/>
      <w:lvlJc w:val="left"/>
      <w:pPr>
        <w:ind w:left="3781" w:hanging="1800"/>
      </w:pPr>
      <w:rPr>
        <w:rFonts w:hint="default"/>
      </w:rPr>
    </w:lvl>
    <w:lvl w:ilvl="8">
      <w:start w:val="1"/>
      <w:numFmt w:val="decimal"/>
      <w:isLgl/>
      <w:lvlText w:val="%1.%2.%3.%4.%5.%6.%7.%8.%9"/>
      <w:lvlJc w:val="left"/>
      <w:pPr>
        <w:ind w:left="4064" w:hanging="1800"/>
      </w:pPr>
      <w:rPr>
        <w:rFonts w:hint="default"/>
      </w:rPr>
    </w:lvl>
  </w:abstractNum>
  <w:abstractNum w:abstractNumId="5" w15:restartNumberingAfterBreak="0">
    <w:nsid w:val="0DB45A13"/>
    <w:multiLevelType w:val="hybridMultilevel"/>
    <w:tmpl w:val="25083140"/>
    <w:lvl w:ilvl="0" w:tplc="3B9C39BA">
      <w:start w:val="1"/>
      <w:numFmt w:val="decimal"/>
      <w:pStyle w:val="ListParagraph"/>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C6C12A2"/>
    <w:multiLevelType w:val="hybridMultilevel"/>
    <w:tmpl w:val="9B1E54E0"/>
    <w:lvl w:ilvl="0" w:tplc="0C090001">
      <w:start w:val="1"/>
      <w:numFmt w:val="bullet"/>
      <w:lvlText w:val=""/>
      <w:lvlJc w:val="left"/>
      <w:pPr>
        <w:tabs>
          <w:tab w:val="num" w:pos="720"/>
        </w:tabs>
        <w:ind w:left="720" w:hanging="360"/>
      </w:pPr>
      <w:rPr>
        <w:rFonts w:ascii="Symbol" w:hAnsi="Symbol" w:hint="default"/>
      </w:rPr>
    </w:lvl>
    <w:lvl w:ilvl="1" w:tplc="AB22E4FE">
      <w:start w:val="1"/>
      <w:numFmt w:val="bullet"/>
      <w:pStyle w:val="APRABullet2"/>
      <w:lvlText w:val=""/>
      <w:lvlJc w:val="left"/>
      <w:pPr>
        <w:tabs>
          <w:tab w:val="num" w:pos="397"/>
        </w:tabs>
        <w:ind w:left="397" w:hanging="397"/>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1409B1"/>
    <w:multiLevelType w:val="multilevel"/>
    <w:tmpl w:val="0C09001F"/>
    <w:numStyleLink w:val="111111"/>
  </w:abstractNum>
  <w:abstractNum w:abstractNumId="8" w15:restartNumberingAfterBreak="0">
    <w:nsid w:val="255444F2"/>
    <w:multiLevelType w:val="multilevel"/>
    <w:tmpl w:val="0C09001F"/>
    <w:styleLink w:val="111111"/>
    <w:lvl w:ilvl="0">
      <w:start w:val="1"/>
      <w:numFmt w:val="decimal"/>
      <w:pStyle w:val="NumberedLis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ED5866"/>
    <w:multiLevelType w:val="hybridMultilevel"/>
    <w:tmpl w:val="2D44E9E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3F2167"/>
    <w:multiLevelType w:val="hybridMultilevel"/>
    <w:tmpl w:val="9DA2E1D4"/>
    <w:lvl w:ilvl="0" w:tplc="702CB01A">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0776594"/>
    <w:multiLevelType w:val="multilevel"/>
    <w:tmpl w:val="6B24E690"/>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710A4DD0"/>
    <w:multiLevelType w:val="hybridMultilevel"/>
    <w:tmpl w:val="0972BC4E"/>
    <w:lvl w:ilvl="0" w:tplc="687260A0">
      <w:start w:val="1"/>
      <w:numFmt w:val="bullet"/>
      <w:pStyle w:val="APRABullet1"/>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7BB35E31"/>
    <w:multiLevelType w:val="hybridMultilevel"/>
    <w:tmpl w:val="8966B4A4"/>
    <w:lvl w:ilvl="0" w:tplc="9FE46678">
      <w:start w:val="1"/>
      <w:numFmt w:val="bullet"/>
      <w:pStyle w:val="APRABullet3"/>
      <w:lvlText w:val="o"/>
      <w:lvlJc w:val="left"/>
      <w:pPr>
        <w:ind w:left="1930" w:hanging="360"/>
      </w:pPr>
      <w:rPr>
        <w:rFonts w:ascii="Courier New" w:hAnsi="Courier New" w:cs="Courier New" w:hint="default"/>
      </w:rPr>
    </w:lvl>
    <w:lvl w:ilvl="1" w:tplc="0C090003" w:tentative="1">
      <w:start w:val="1"/>
      <w:numFmt w:val="bullet"/>
      <w:lvlText w:val="o"/>
      <w:lvlJc w:val="left"/>
      <w:pPr>
        <w:ind w:left="2650" w:hanging="360"/>
      </w:pPr>
      <w:rPr>
        <w:rFonts w:ascii="Courier New" w:hAnsi="Courier New" w:cs="Courier New" w:hint="default"/>
      </w:rPr>
    </w:lvl>
    <w:lvl w:ilvl="2" w:tplc="0C090005" w:tentative="1">
      <w:start w:val="1"/>
      <w:numFmt w:val="bullet"/>
      <w:lvlText w:val=""/>
      <w:lvlJc w:val="left"/>
      <w:pPr>
        <w:ind w:left="3370" w:hanging="360"/>
      </w:pPr>
      <w:rPr>
        <w:rFonts w:ascii="Wingdings" w:hAnsi="Wingdings" w:hint="default"/>
      </w:rPr>
    </w:lvl>
    <w:lvl w:ilvl="3" w:tplc="0C090001" w:tentative="1">
      <w:start w:val="1"/>
      <w:numFmt w:val="bullet"/>
      <w:lvlText w:val=""/>
      <w:lvlJc w:val="left"/>
      <w:pPr>
        <w:ind w:left="4090" w:hanging="360"/>
      </w:pPr>
      <w:rPr>
        <w:rFonts w:ascii="Symbol" w:hAnsi="Symbol" w:hint="default"/>
      </w:rPr>
    </w:lvl>
    <w:lvl w:ilvl="4" w:tplc="0C090003" w:tentative="1">
      <w:start w:val="1"/>
      <w:numFmt w:val="bullet"/>
      <w:lvlText w:val="o"/>
      <w:lvlJc w:val="left"/>
      <w:pPr>
        <w:ind w:left="4810" w:hanging="360"/>
      </w:pPr>
      <w:rPr>
        <w:rFonts w:ascii="Courier New" w:hAnsi="Courier New" w:cs="Courier New" w:hint="default"/>
      </w:rPr>
    </w:lvl>
    <w:lvl w:ilvl="5" w:tplc="0C090005" w:tentative="1">
      <w:start w:val="1"/>
      <w:numFmt w:val="bullet"/>
      <w:lvlText w:val=""/>
      <w:lvlJc w:val="left"/>
      <w:pPr>
        <w:ind w:left="5530" w:hanging="360"/>
      </w:pPr>
      <w:rPr>
        <w:rFonts w:ascii="Wingdings" w:hAnsi="Wingdings" w:hint="default"/>
      </w:rPr>
    </w:lvl>
    <w:lvl w:ilvl="6" w:tplc="0C090001" w:tentative="1">
      <w:start w:val="1"/>
      <w:numFmt w:val="bullet"/>
      <w:lvlText w:val=""/>
      <w:lvlJc w:val="left"/>
      <w:pPr>
        <w:ind w:left="6250" w:hanging="360"/>
      </w:pPr>
      <w:rPr>
        <w:rFonts w:ascii="Symbol" w:hAnsi="Symbol" w:hint="default"/>
      </w:rPr>
    </w:lvl>
    <w:lvl w:ilvl="7" w:tplc="0C090003" w:tentative="1">
      <w:start w:val="1"/>
      <w:numFmt w:val="bullet"/>
      <w:lvlText w:val="o"/>
      <w:lvlJc w:val="left"/>
      <w:pPr>
        <w:ind w:left="6970" w:hanging="360"/>
      </w:pPr>
      <w:rPr>
        <w:rFonts w:ascii="Courier New" w:hAnsi="Courier New" w:cs="Courier New" w:hint="default"/>
      </w:rPr>
    </w:lvl>
    <w:lvl w:ilvl="8" w:tplc="0C090005" w:tentative="1">
      <w:start w:val="1"/>
      <w:numFmt w:val="bullet"/>
      <w:lvlText w:val=""/>
      <w:lvlJc w:val="left"/>
      <w:pPr>
        <w:ind w:left="7690" w:hanging="360"/>
      </w:pPr>
      <w:rPr>
        <w:rFonts w:ascii="Wingdings" w:hAnsi="Wingdings" w:hint="default"/>
      </w:rPr>
    </w:lvl>
  </w:abstractNum>
  <w:num w:numId="1">
    <w:abstractNumId w:val="8"/>
  </w:num>
  <w:num w:numId="2">
    <w:abstractNumId w:val="11"/>
  </w:num>
  <w:num w:numId="3">
    <w:abstractNumId w:val="10"/>
  </w:num>
  <w:num w:numId="4">
    <w:abstractNumId w:val="4"/>
  </w:num>
  <w:num w:numId="5">
    <w:abstractNumId w:val="3"/>
  </w:num>
  <w:num w:numId="6">
    <w:abstractNumId w:val="2"/>
  </w:num>
  <w:num w:numId="7">
    <w:abstractNumId w:val="1"/>
  </w:num>
  <w:num w:numId="8">
    <w:abstractNumId w:val="0"/>
  </w:num>
  <w:num w:numId="9">
    <w:abstractNumId w:val="7"/>
  </w:num>
  <w:num w:numId="10">
    <w:abstractNumId w:val="12"/>
  </w:num>
  <w:num w:numId="11">
    <w:abstractNumId w:val="6"/>
  </w:num>
  <w:num w:numId="12">
    <w:abstractNumId w:val="13"/>
  </w:num>
  <w:num w:numId="13">
    <w:abstractNumId w:val="5"/>
  </w:num>
  <w:num w:numId="14">
    <w:abstractNumId w:val="5"/>
    <w:lvlOverride w:ilvl="0">
      <w:startOverride w:val="1"/>
    </w:lvlOverride>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573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B36"/>
    <w:rsid w:val="00001D25"/>
    <w:rsid w:val="00002C9A"/>
    <w:rsid w:val="00002DDB"/>
    <w:rsid w:val="00003065"/>
    <w:rsid w:val="0000543A"/>
    <w:rsid w:val="00005A7C"/>
    <w:rsid w:val="00011B0A"/>
    <w:rsid w:val="00014CEA"/>
    <w:rsid w:val="000168A9"/>
    <w:rsid w:val="00022FC1"/>
    <w:rsid w:val="00024ED8"/>
    <w:rsid w:val="0003168B"/>
    <w:rsid w:val="000325EE"/>
    <w:rsid w:val="00040084"/>
    <w:rsid w:val="000408CA"/>
    <w:rsid w:val="00040C27"/>
    <w:rsid w:val="00042814"/>
    <w:rsid w:val="0004516D"/>
    <w:rsid w:val="00046299"/>
    <w:rsid w:val="000468FC"/>
    <w:rsid w:val="00046AF7"/>
    <w:rsid w:val="00051FD7"/>
    <w:rsid w:val="00052171"/>
    <w:rsid w:val="00053759"/>
    <w:rsid w:val="000537F8"/>
    <w:rsid w:val="00053BCD"/>
    <w:rsid w:val="00053F0B"/>
    <w:rsid w:val="000560C6"/>
    <w:rsid w:val="000573E2"/>
    <w:rsid w:val="000575A2"/>
    <w:rsid w:val="00060A73"/>
    <w:rsid w:val="000612C1"/>
    <w:rsid w:val="00061606"/>
    <w:rsid w:val="000622C7"/>
    <w:rsid w:val="00062E85"/>
    <w:rsid w:val="00063BDC"/>
    <w:rsid w:val="00065C20"/>
    <w:rsid w:val="0007238A"/>
    <w:rsid w:val="000753DD"/>
    <w:rsid w:val="000753FC"/>
    <w:rsid w:val="000772D5"/>
    <w:rsid w:val="000808E5"/>
    <w:rsid w:val="00080EAF"/>
    <w:rsid w:val="000810C4"/>
    <w:rsid w:val="00091063"/>
    <w:rsid w:val="00094E7F"/>
    <w:rsid w:val="00096F17"/>
    <w:rsid w:val="00097A43"/>
    <w:rsid w:val="000A1A18"/>
    <w:rsid w:val="000A318B"/>
    <w:rsid w:val="000A3DA2"/>
    <w:rsid w:val="000A59EA"/>
    <w:rsid w:val="000A6E06"/>
    <w:rsid w:val="000A7318"/>
    <w:rsid w:val="000B1FBB"/>
    <w:rsid w:val="000B238B"/>
    <w:rsid w:val="000B42F2"/>
    <w:rsid w:val="000C084B"/>
    <w:rsid w:val="000C170D"/>
    <w:rsid w:val="000C225E"/>
    <w:rsid w:val="000C37E2"/>
    <w:rsid w:val="000C3AE5"/>
    <w:rsid w:val="000D07E9"/>
    <w:rsid w:val="000D09FA"/>
    <w:rsid w:val="000D0B83"/>
    <w:rsid w:val="000D17F5"/>
    <w:rsid w:val="000D2D92"/>
    <w:rsid w:val="000D3D4E"/>
    <w:rsid w:val="000D6E9B"/>
    <w:rsid w:val="000E00F6"/>
    <w:rsid w:val="000E057F"/>
    <w:rsid w:val="000E0B9C"/>
    <w:rsid w:val="000E0F40"/>
    <w:rsid w:val="000E1954"/>
    <w:rsid w:val="000E1F75"/>
    <w:rsid w:val="000E2CE4"/>
    <w:rsid w:val="000E4CDB"/>
    <w:rsid w:val="000E5792"/>
    <w:rsid w:val="000E5F6B"/>
    <w:rsid w:val="000E642C"/>
    <w:rsid w:val="000F0446"/>
    <w:rsid w:val="000F20CF"/>
    <w:rsid w:val="000F3115"/>
    <w:rsid w:val="000F3DE9"/>
    <w:rsid w:val="000F7EDF"/>
    <w:rsid w:val="00101880"/>
    <w:rsid w:val="0010231F"/>
    <w:rsid w:val="00102F0D"/>
    <w:rsid w:val="00103704"/>
    <w:rsid w:val="00106E6D"/>
    <w:rsid w:val="00107656"/>
    <w:rsid w:val="00112C6E"/>
    <w:rsid w:val="00123643"/>
    <w:rsid w:val="00123E4D"/>
    <w:rsid w:val="00125245"/>
    <w:rsid w:val="0012644A"/>
    <w:rsid w:val="00127EF0"/>
    <w:rsid w:val="00131B8B"/>
    <w:rsid w:val="00131C0D"/>
    <w:rsid w:val="00133F2B"/>
    <w:rsid w:val="00134442"/>
    <w:rsid w:val="00137B0F"/>
    <w:rsid w:val="00140E25"/>
    <w:rsid w:val="001462A2"/>
    <w:rsid w:val="00146D79"/>
    <w:rsid w:val="0014738D"/>
    <w:rsid w:val="001474C7"/>
    <w:rsid w:val="001502F1"/>
    <w:rsid w:val="00153219"/>
    <w:rsid w:val="0015386F"/>
    <w:rsid w:val="00155749"/>
    <w:rsid w:val="00155F2F"/>
    <w:rsid w:val="001578CD"/>
    <w:rsid w:val="00157C26"/>
    <w:rsid w:val="00162850"/>
    <w:rsid w:val="00162AC0"/>
    <w:rsid w:val="00164716"/>
    <w:rsid w:val="00165A04"/>
    <w:rsid w:val="00170400"/>
    <w:rsid w:val="0017150C"/>
    <w:rsid w:val="00172581"/>
    <w:rsid w:val="00172FEF"/>
    <w:rsid w:val="001823A0"/>
    <w:rsid w:val="0018691F"/>
    <w:rsid w:val="00190AE2"/>
    <w:rsid w:val="00197E74"/>
    <w:rsid w:val="001A2484"/>
    <w:rsid w:val="001A7DA8"/>
    <w:rsid w:val="001B17EE"/>
    <w:rsid w:val="001B2D90"/>
    <w:rsid w:val="001C1689"/>
    <w:rsid w:val="001C35AE"/>
    <w:rsid w:val="001C44B5"/>
    <w:rsid w:val="001C4AA1"/>
    <w:rsid w:val="001C6DB5"/>
    <w:rsid w:val="001C727F"/>
    <w:rsid w:val="001C7EC4"/>
    <w:rsid w:val="001D2981"/>
    <w:rsid w:val="001D2A6E"/>
    <w:rsid w:val="001D3046"/>
    <w:rsid w:val="001D3B1C"/>
    <w:rsid w:val="001D505A"/>
    <w:rsid w:val="001D68AB"/>
    <w:rsid w:val="001D6AF8"/>
    <w:rsid w:val="001D798A"/>
    <w:rsid w:val="001D7D3C"/>
    <w:rsid w:val="001E00D2"/>
    <w:rsid w:val="001E4679"/>
    <w:rsid w:val="001E7D40"/>
    <w:rsid w:val="001F549B"/>
    <w:rsid w:val="001F584B"/>
    <w:rsid w:val="00201B32"/>
    <w:rsid w:val="00204357"/>
    <w:rsid w:val="0020507C"/>
    <w:rsid w:val="0020699C"/>
    <w:rsid w:val="0021143E"/>
    <w:rsid w:val="0021212A"/>
    <w:rsid w:val="00216B21"/>
    <w:rsid w:val="00217470"/>
    <w:rsid w:val="00217B2D"/>
    <w:rsid w:val="0023056A"/>
    <w:rsid w:val="00230855"/>
    <w:rsid w:val="002321A0"/>
    <w:rsid w:val="0023384C"/>
    <w:rsid w:val="00235DE4"/>
    <w:rsid w:val="00235EFE"/>
    <w:rsid w:val="002403C8"/>
    <w:rsid w:val="0024171B"/>
    <w:rsid w:val="00241D11"/>
    <w:rsid w:val="00244A5E"/>
    <w:rsid w:val="0024683B"/>
    <w:rsid w:val="00246D62"/>
    <w:rsid w:val="0025052C"/>
    <w:rsid w:val="00251EFF"/>
    <w:rsid w:val="0025237D"/>
    <w:rsid w:val="00255BC4"/>
    <w:rsid w:val="00255D15"/>
    <w:rsid w:val="00255F08"/>
    <w:rsid w:val="0025786B"/>
    <w:rsid w:val="00257B81"/>
    <w:rsid w:val="00257E33"/>
    <w:rsid w:val="002606B4"/>
    <w:rsid w:val="00260CC5"/>
    <w:rsid w:val="002617EF"/>
    <w:rsid w:val="002626DA"/>
    <w:rsid w:val="002628C4"/>
    <w:rsid w:val="0026542C"/>
    <w:rsid w:val="00266648"/>
    <w:rsid w:val="00267EBC"/>
    <w:rsid w:val="002708A5"/>
    <w:rsid w:val="002767A4"/>
    <w:rsid w:val="002767C9"/>
    <w:rsid w:val="002829CA"/>
    <w:rsid w:val="00282AF8"/>
    <w:rsid w:val="00290EE7"/>
    <w:rsid w:val="002A0825"/>
    <w:rsid w:val="002A282B"/>
    <w:rsid w:val="002A3082"/>
    <w:rsid w:val="002A5BDE"/>
    <w:rsid w:val="002B0B89"/>
    <w:rsid w:val="002B1438"/>
    <w:rsid w:val="002B4A39"/>
    <w:rsid w:val="002B6DF5"/>
    <w:rsid w:val="002B6F5E"/>
    <w:rsid w:val="002B7E68"/>
    <w:rsid w:val="002C0FC9"/>
    <w:rsid w:val="002C140D"/>
    <w:rsid w:val="002C25BE"/>
    <w:rsid w:val="002C26BA"/>
    <w:rsid w:val="002C5D17"/>
    <w:rsid w:val="002C6E68"/>
    <w:rsid w:val="002D5586"/>
    <w:rsid w:val="002D7013"/>
    <w:rsid w:val="002E1207"/>
    <w:rsid w:val="002E13BF"/>
    <w:rsid w:val="002E176B"/>
    <w:rsid w:val="002E7C82"/>
    <w:rsid w:val="002F0157"/>
    <w:rsid w:val="002F31B7"/>
    <w:rsid w:val="002F5035"/>
    <w:rsid w:val="002F72CF"/>
    <w:rsid w:val="002F7556"/>
    <w:rsid w:val="0030363F"/>
    <w:rsid w:val="00303670"/>
    <w:rsid w:val="00304401"/>
    <w:rsid w:val="00304DC0"/>
    <w:rsid w:val="003067E1"/>
    <w:rsid w:val="00311B64"/>
    <w:rsid w:val="00312D6E"/>
    <w:rsid w:val="003130E4"/>
    <w:rsid w:val="00314DF4"/>
    <w:rsid w:val="00315A3B"/>
    <w:rsid w:val="00316591"/>
    <w:rsid w:val="00317E56"/>
    <w:rsid w:val="00320F71"/>
    <w:rsid w:val="0032198C"/>
    <w:rsid w:val="00321EA3"/>
    <w:rsid w:val="00325888"/>
    <w:rsid w:val="00330D1E"/>
    <w:rsid w:val="00331F6C"/>
    <w:rsid w:val="0033402F"/>
    <w:rsid w:val="003349AE"/>
    <w:rsid w:val="003353CD"/>
    <w:rsid w:val="00340359"/>
    <w:rsid w:val="00341ECA"/>
    <w:rsid w:val="003464AA"/>
    <w:rsid w:val="0034730A"/>
    <w:rsid w:val="003506BE"/>
    <w:rsid w:val="00352483"/>
    <w:rsid w:val="00353DE2"/>
    <w:rsid w:val="00361EAA"/>
    <w:rsid w:val="00362749"/>
    <w:rsid w:val="00363B31"/>
    <w:rsid w:val="00363C83"/>
    <w:rsid w:val="00364C11"/>
    <w:rsid w:val="00367738"/>
    <w:rsid w:val="00367A5D"/>
    <w:rsid w:val="003707EE"/>
    <w:rsid w:val="00371CC2"/>
    <w:rsid w:val="00373219"/>
    <w:rsid w:val="00373B0D"/>
    <w:rsid w:val="00373C8D"/>
    <w:rsid w:val="00374623"/>
    <w:rsid w:val="003766B5"/>
    <w:rsid w:val="003872A0"/>
    <w:rsid w:val="003900FA"/>
    <w:rsid w:val="00390D68"/>
    <w:rsid w:val="003968AF"/>
    <w:rsid w:val="003A0452"/>
    <w:rsid w:val="003B1347"/>
    <w:rsid w:val="003B2644"/>
    <w:rsid w:val="003C116D"/>
    <w:rsid w:val="003C1427"/>
    <w:rsid w:val="003C4B6D"/>
    <w:rsid w:val="003C67D0"/>
    <w:rsid w:val="003C6CBE"/>
    <w:rsid w:val="003D1D9A"/>
    <w:rsid w:val="003D306E"/>
    <w:rsid w:val="003D6738"/>
    <w:rsid w:val="003D71D4"/>
    <w:rsid w:val="003D7CE9"/>
    <w:rsid w:val="003E130C"/>
    <w:rsid w:val="003E172A"/>
    <w:rsid w:val="003E1D61"/>
    <w:rsid w:val="003E4C37"/>
    <w:rsid w:val="003E55DC"/>
    <w:rsid w:val="003E5727"/>
    <w:rsid w:val="003E5D75"/>
    <w:rsid w:val="003F04F2"/>
    <w:rsid w:val="003F0A97"/>
    <w:rsid w:val="003F41A4"/>
    <w:rsid w:val="003F7DA2"/>
    <w:rsid w:val="0040304A"/>
    <w:rsid w:val="004126D0"/>
    <w:rsid w:val="00412A2C"/>
    <w:rsid w:val="00412C73"/>
    <w:rsid w:val="00421E3F"/>
    <w:rsid w:val="00424748"/>
    <w:rsid w:val="004255DA"/>
    <w:rsid w:val="004268E1"/>
    <w:rsid w:val="00427363"/>
    <w:rsid w:val="004273DC"/>
    <w:rsid w:val="00431BF0"/>
    <w:rsid w:val="0043440F"/>
    <w:rsid w:val="0043658F"/>
    <w:rsid w:val="00440619"/>
    <w:rsid w:val="00444BF0"/>
    <w:rsid w:val="00445CE0"/>
    <w:rsid w:val="00445EBD"/>
    <w:rsid w:val="00447C32"/>
    <w:rsid w:val="00450333"/>
    <w:rsid w:val="00451BA0"/>
    <w:rsid w:val="00453A5F"/>
    <w:rsid w:val="004546A1"/>
    <w:rsid w:val="00455F03"/>
    <w:rsid w:val="004567F4"/>
    <w:rsid w:val="00456AA8"/>
    <w:rsid w:val="00456B36"/>
    <w:rsid w:val="00461414"/>
    <w:rsid w:val="00461688"/>
    <w:rsid w:val="004618D4"/>
    <w:rsid w:val="004628E8"/>
    <w:rsid w:val="00463C2E"/>
    <w:rsid w:val="00473F97"/>
    <w:rsid w:val="00474CA2"/>
    <w:rsid w:val="0047527F"/>
    <w:rsid w:val="0047725D"/>
    <w:rsid w:val="0048250F"/>
    <w:rsid w:val="00483493"/>
    <w:rsid w:val="004855B7"/>
    <w:rsid w:val="004855F6"/>
    <w:rsid w:val="00492296"/>
    <w:rsid w:val="004929C0"/>
    <w:rsid w:val="004A2521"/>
    <w:rsid w:val="004A31E9"/>
    <w:rsid w:val="004A5F86"/>
    <w:rsid w:val="004A6363"/>
    <w:rsid w:val="004B1AB1"/>
    <w:rsid w:val="004B30B2"/>
    <w:rsid w:val="004B31E8"/>
    <w:rsid w:val="004B32E1"/>
    <w:rsid w:val="004B4492"/>
    <w:rsid w:val="004B5DAF"/>
    <w:rsid w:val="004B6EC2"/>
    <w:rsid w:val="004C1C65"/>
    <w:rsid w:val="004C2EC4"/>
    <w:rsid w:val="004C42F1"/>
    <w:rsid w:val="004C48FA"/>
    <w:rsid w:val="004D54C7"/>
    <w:rsid w:val="004D7117"/>
    <w:rsid w:val="004E13AF"/>
    <w:rsid w:val="004E1726"/>
    <w:rsid w:val="004E67C9"/>
    <w:rsid w:val="004E67F2"/>
    <w:rsid w:val="004F09E4"/>
    <w:rsid w:val="004F27CF"/>
    <w:rsid w:val="004F3313"/>
    <w:rsid w:val="005013C8"/>
    <w:rsid w:val="00507B1E"/>
    <w:rsid w:val="00512928"/>
    <w:rsid w:val="00516348"/>
    <w:rsid w:val="00516ADA"/>
    <w:rsid w:val="00516FDE"/>
    <w:rsid w:val="00517893"/>
    <w:rsid w:val="00520CCF"/>
    <w:rsid w:val="00521CD2"/>
    <w:rsid w:val="00522FAB"/>
    <w:rsid w:val="0052307B"/>
    <w:rsid w:val="005247D4"/>
    <w:rsid w:val="00524CCF"/>
    <w:rsid w:val="00525DEF"/>
    <w:rsid w:val="00526484"/>
    <w:rsid w:val="00526E27"/>
    <w:rsid w:val="00530934"/>
    <w:rsid w:val="0053349C"/>
    <w:rsid w:val="00533877"/>
    <w:rsid w:val="00533E4C"/>
    <w:rsid w:val="00536FD5"/>
    <w:rsid w:val="0054027C"/>
    <w:rsid w:val="00541ABB"/>
    <w:rsid w:val="00543A30"/>
    <w:rsid w:val="00543B67"/>
    <w:rsid w:val="00547263"/>
    <w:rsid w:val="005518B1"/>
    <w:rsid w:val="00551AD8"/>
    <w:rsid w:val="005521D0"/>
    <w:rsid w:val="00552CA7"/>
    <w:rsid w:val="00552EB1"/>
    <w:rsid w:val="00553BDC"/>
    <w:rsid w:val="00562F31"/>
    <w:rsid w:val="0056426A"/>
    <w:rsid w:val="00564559"/>
    <w:rsid w:val="00566645"/>
    <w:rsid w:val="0057010D"/>
    <w:rsid w:val="00570510"/>
    <w:rsid w:val="00571817"/>
    <w:rsid w:val="005722F6"/>
    <w:rsid w:val="00575375"/>
    <w:rsid w:val="00577085"/>
    <w:rsid w:val="00577195"/>
    <w:rsid w:val="0058100B"/>
    <w:rsid w:val="00582767"/>
    <w:rsid w:val="005840A4"/>
    <w:rsid w:val="00584A8F"/>
    <w:rsid w:val="00591FB5"/>
    <w:rsid w:val="005928BD"/>
    <w:rsid w:val="005A074D"/>
    <w:rsid w:val="005A2F64"/>
    <w:rsid w:val="005A385E"/>
    <w:rsid w:val="005A569A"/>
    <w:rsid w:val="005A56D7"/>
    <w:rsid w:val="005B50E9"/>
    <w:rsid w:val="005C6886"/>
    <w:rsid w:val="005D0AFB"/>
    <w:rsid w:val="005D1708"/>
    <w:rsid w:val="005D2195"/>
    <w:rsid w:val="005D3345"/>
    <w:rsid w:val="005D5DE2"/>
    <w:rsid w:val="005D65D9"/>
    <w:rsid w:val="005D6F2B"/>
    <w:rsid w:val="005E471F"/>
    <w:rsid w:val="005E6AF8"/>
    <w:rsid w:val="005E6D16"/>
    <w:rsid w:val="005E7C8A"/>
    <w:rsid w:val="005F1076"/>
    <w:rsid w:val="005F4031"/>
    <w:rsid w:val="005F41BD"/>
    <w:rsid w:val="005F4764"/>
    <w:rsid w:val="005F63BA"/>
    <w:rsid w:val="005F7555"/>
    <w:rsid w:val="005F7848"/>
    <w:rsid w:val="005F7D37"/>
    <w:rsid w:val="00600A05"/>
    <w:rsid w:val="00603501"/>
    <w:rsid w:val="00603AD4"/>
    <w:rsid w:val="00606F5A"/>
    <w:rsid w:val="0060742D"/>
    <w:rsid w:val="006111B8"/>
    <w:rsid w:val="006128BA"/>
    <w:rsid w:val="00614DE3"/>
    <w:rsid w:val="00615AEF"/>
    <w:rsid w:val="00615C53"/>
    <w:rsid w:val="006172DF"/>
    <w:rsid w:val="006213E2"/>
    <w:rsid w:val="00621834"/>
    <w:rsid w:val="00624A39"/>
    <w:rsid w:val="00633869"/>
    <w:rsid w:val="006352A2"/>
    <w:rsid w:val="00635CEC"/>
    <w:rsid w:val="006464E2"/>
    <w:rsid w:val="00646C7A"/>
    <w:rsid w:val="006504C7"/>
    <w:rsid w:val="00651713"/>
    <w:rsid w:val="00652A0E"/>
    <w:rsid w:val="006540A7"/>
    <w:rsid w:val="00660476"/>
    <w:rsid w:val="00662F55"/>
    <w:rsid w:val="00665727"/>
    <w:rsid w:val="0067037F"/>
    <w:rsid w:val="00670573"/>
    <w:rsid w:val="006712B9"/>
    <w:rsid w:val="006720C8"/>
    <w:rsid w:val="0067295D"/>
    <w:rsid w:val="006741D9"/>
    <w:rsid w:val="00674B5C"/>
    <w:rsid w:val="00677A36"/>
    <w:rsid w:val="006819BB"/>
    <w:rsid w:val="00683BF0"/>
    <w:rsid w:val="006843E3"/>
    <w:rsid w:val="00686723"/>
    <w:rsid w:val="0068743E"/>
    <w:rsid w:val="00690816"/>
    <w:rsid w:val="0069238D"/>
    <w:rsid w:val="00693ABA"/>
    <w:rsid w:val="00694E40"/>
    <w:rsid w:val="006A0C76"/>
    <w:rsid w:val="006A1EFB"/>
    <w:rsid w:val="006A3618"/>
    <w:rsid w:val="006A3A74"/>
    <w:rsid w:val="006A3B3D"/>
    <w:rsid w:val="006A5169"/>
    <w:rsid w:val="006A519E"/>
    <w:rsid w:val="006A6C3C"/>
    <w:rsid w:val="006B26C9"/>
    <w:rsid w:val="006B678E"/>
    <w:rsid w:val="006C1429"/>
    <w:rsid w:val="006C3A05"/>
    <w:rsid w:val="006C668F"/>
    <w:rsid w:val="006D10D6"/>
    <w:rsid w:val="006D17E0"/>
    <w:rsid w:val="006D53B0"/>
    <w:rsid w:val="006E3A50"/>
    <w:rsid w:val="006E4003"/>
    <w:rsid w:val="006E4019"/>
    <w:rsid w:val="006E4A15"/>
    <w:rsid w:val="006E665B"/>
    <w:rsid w:val="006E66CA"/>
    <w:rsid w:val="006E6E95"/>
    <w:rsid w:val="006E7A70"/>
    <w:rsid w:val="006E7B74"/>
    <w:rsid w:val="006E7D3E"/>
    <w:rsid w:val="006F23DE"/>
    <w:rsid w:val="006F5E0E"/>
    <w:rsid w:val="006F6EF1"/>
    <w:rsid w:val="006F7064"/>
    <w:rsid w:val="00707280"/>
    <w:rsid w:val="007075F1"/>
    <w:rsid w:val="0071785F"/>
    <w:rsid w:val="00721A05"/>
    <w:rsid w:val="00721C73"/>
    <w:rsid w:val="007236E2"/>
    <w:rsid w:val="00725868"/>
    <w:rsid w:val="00725E93"/>
    <w:rsid w:val="0073170D"/>
    <w:rsid w:val="00732E10"/>
    <w:rsid w:val="007358A7"/>
    <w:rsid w:val="007403DD"/>
    <w:rsid w:val="007453C4"/>
    <w:rsid w:val="0074761E"/>
    <w:rsid w:val="007479ED"/>
    <w:rsid w:val="007509FA"/>
    <w:rsid w:val="00750D7E"/>
    <w:rsid w:val="00751B67"/>
    <w:rsid w:val="00753472"/>
    <w:rsid w:val="00754A50"/>
    <w:rsid w:val="0076386C"/>
    <w:rsid w:val="00763978"/>
    <w:rsid w:val="00763BD0"/>
    <w:rsid w:val="00767203"/>
    <w:rsid w:val="00773D8E"/>
    <w:rsid w:val="00775D03"/>
    <w:rsid w:val="007770B8"/>
    <w:rsid w:val="007775E3"/>
    <w:rsid w:val="00781FF4"/>
    <w:rsid w:val="007838B2"/>
    <w:rsid w:val="00783F0A"/>
    <w:rsid w:val="007840B4"/>
    <w:rsid w:val="00784B12"/>
    <w:rsid w:val="00786B63"/>
    <w:rsid w:val="007870CD"/>
    <w:rsid w:val="00793603"/>
    <w:rsid w:val="00793D70"/>
    <w:rsid w:val="007952A5"/>
    <w:rsid w:val="007A1CFD"/>
    <w:rsid w:val="007A2BC4"/>
    <w:rsid w:val="007A463E"/>
    <w:rsid w:val="007A598B"/>
    <w:rsid w:val="007A5CAC"/>
    <w:rsid w:val="007A7CE3"/>
    <w:rsid w:val="007B2DD9"/>
    <w:rsid w:val="007B69D4"/>
    <w:rsid w:val="007C05FF"/>
    <w:rsid w:val="007C0C16"/>
    <w:rsid w:val="007C24F5"/>
    <w:rsid w:val="007C304F"/>
    <w:rsid w:val="007C36B2"/>
    <w:rsid w:val="007C47D5"/>
    <w:rsid w:val="007C4C1A"/>
    <w:rsid w:val="007C6DEB"/>
    <w:rsid w:val="007C701C"/>
    <w:rsid w:val="007C757B"/>
    <w:rsid w:val="007D00E2"/>
    <w:rsid w:val="007D070F"/>
    <w:rsid w:val="007D20B7"/>
    <w:rsid w:val="007D2BCD"/>
    <w:rsid w:val="007D583E"/>
    <w:rsid w:val="007D5996"/>
    <w:rsid w:val="007D5CF4"/>
    <w:rsid w:val="007D7322"/>
    <w:rsid w:val="007E07DD"/>
    <w:rsid w:val="007E2730"/>
    <w:rsid w:val="007E3AC6"/>
    <w:rsid w:val="007E4D1B"/>
    <w:rsid w:val="007E6359"/>
    <w:rsid w:val="007E6BCA"/>
    <w:rsid w:val="007F12BC"/>
    <w:rsid w:val="007F2FA8"/>
    <w:rsid w:val="007F41A3"/>
    <w:rsid w:val="007F4B95"/>
    <w:rsid w:val="007F66D4"/>
    <w:rsid w:val="007F6E9D"/>
    <w:rsid w:val="007F73CB"/>
    <w:rsid w:val="00803150"/>
    <w:rsid w:val="00803C9D"/>
    <w:rsid w:val="00807A36"/>
    <w:rsid w:val="00812600"/>
    <w:rsid w:val="00814919"/>
    <w:rsid w:val="0081505E"/>
    <w:rsid w:val="00816255"/>
    <w:rsid w:val="008163EB"/>
    <w:rsid w:val="00816A3B"/>
    <w:rsid w:val="0081749D"/>
    <w:rsid w:val="00817B41"/>
    <w:rsid w:val="008204C0"/>
    <w:rsid w:val="00825710"/>
    <w:rsid w:val="00825F70"/>
    <w:rsid w:val="00827956"/>
    <w:rsid w:val="00830D20"/>
    <w:rsid w:val="00830F77"/>
    <w:rsid w:val="00833065"/>
    <w:rsid w:val="00833155"/>
    <w:rsid w:val="00835B32"/>
    <w:rsid w:val="008368F2"/>
    <w:rsid w:val="008373FF"/>
    <w:rsid w:val="0084509F"/>
    <w:rsid w:val="008451D1"/>
    <w:rsid w:val="00846566"/>
    <w:rsid w:val="0084669F"/>
    <w:rsid w:val="00847823"/>
    <w:rsid w:val="00847AB2"/>
    <w:rsid w:val="0085100D"/>
    <w:rsid w:val="00851333"/>
    <w:rsid w:val="00853E6E"/>
    <w:rsid w:val="00857307"/>
    <w:rsid w:val="00857706"/>
    <w:rsid w:val="00857AEB"/>
    <w:rsid w:val="008602A4"/>
    <w:rsid w:val="00862204"/>
    <w:rsid w:val="008659F7"/>
    <w:rsid w:val="00870FFC"/>
    <w:rsid w:val="00871343"/>
    <w:rsid w:val="00871616"/>
    <w:rsid w:val="00872E07"/>
    <w:rsid w:val="00872E1D"/>
    <w:rsid w:val="00874126"/>
    <w:rsid w:val="00875F02"/>
    <w:rsid w:val="00877518"/>
    <w:rsid w:val="008777CC"/>
    <w:rsid w:val="008821CB"/>
    <w:rsid w:val="00882E63"/>
    <w:rsid w:val="008838AD"/>
    <w:rsid w:val="00883F18"/>
    <w:rsid w:val="008901B0"/>
    <w:rsid w:val="0089099C"/>
    <w:rsid w:val="00890A46"/>
    <w:rsid w:val="00891BC8"/>
    <w:rsid w:val="00893074"/>
    <w:rsid w:val="00893417"/>
    <w:rsid w:val="008936E9"/>
    <w:rsid w:val="00894552"/>
    <w:rsid w:val="00894592"/>
    <w:rsid w:val="00896E03"/>
    <w:rsid w:val="008A1A32"/>
    <w:rsid w:val="008A2DAD"/>
    <w:rsid w:val="008A5415"/>
    <w:rsid w:val="008A6209"/>
    <w:rsid w:val="008A63BE"/>
    <w:rsid w:val="008A795D"/>
    <w:rsid w:val="008A7E09"/>
    <w:rsid w:val="008B0FBE"/>
    <w:rsid w:val="008B12BA"/>
    <w:rsid w:val="008B23E2"/>
    <w:rsid w:val="008B38A6"/>
    <w:rsid w:val="008B5DBD"/>
    <w:rsid w:val="008B5EF1"/>
    <w:rsid w:val="008C026C"/>
    <w:rsid w:val="008C224C"/>
    <w:rsid w:val="008C29C0"/>
    <w:rsid w:val="008C3FF8"/>
    <w:rsid w:val="008C5664"/>
    <w:rsid w:val="008C5F85"/>
    <w:rsid w:val="008C72CE"/>
    <w:rsid w:val="008D19EE"/>
    <w:rsid w:val="008D236C"/>
    <w:rsid w:val="008D29BA"/>
    <w:rsid w:val="008D2C09"/>
    <w:rsid w:val="008D5479"/>
    <w:rsid w:val="008E2413"/>
    <w:rsid w:val="008E2FE7"/>
    <w:rsid w:val="008E3120"/>
    <w:rsid w:val="008E31D6"/>
    <w:rsid w:val="008E3A78"/>
    <w:rsid w:val="008E74F0"/>
    <w:rsid w:val="008F02AE"/>
    <w:rsid w:val="008F3A44"/>
    <w:rsid w:val="008F3BBF"/>
    <w:rsid w:val="008F57DE"/>
    <w:rsid w:val="008F5B6E"/>
    <w:rsid w:val="008F7B02"/>
    <w:rsid w:val="00900230"/>
    <w:rsid w:val="00900C47"/>
    <w:rsid w:val="00901558"/>
    <w:rsid w:val="00902A2B"/>
    <w:rsid w:val="00903110"/>
    <w:rsid w:val="00907579"/>
    <w:rsid w:val="00907C53"/>
    <w:rsid w:val="00910073"/>
    <w:rsid w:val="0091179E"/>
    <w:rsid w:val="00913898"/>
    <w:rsid w:val="00917CC1"/>
    <w:rsid w:val="0092030E"/>
    <w:rsid w:val="00920CC0"/>
    <w:rsid w:val="00920FFC"/>
    <w:rsid w:val="00921341"/>
    <w:rsid w:val="00921D6A"/>
    <w:rsid w:val="00922ADE"/>
    <w:rsid w:val="00923462"/>
    <w:rsid w:val="009246AC"/>
    <w:rsid w:val="00924C0A"/>
    <w:rsid w:val="0092635A"/>
    <w:rsid w:val="00932F4B"/>
    <w:rsid w:val="009331B4"/>
    <w:rsid w:val="009347CA"/>
    <w:rsid w:val="00940073"/>
    <w:rsid w:val="009405B6"/>
    <w:rsid w:val="00942165"/>
    <w:rsid w:val="00942D18"/>
    <w:rsid w:val="00946385"/>
    <w:rsid w:val="00951372"/>
    <w:rsid w:val="00951DC5"/>
    <w:rsid w:val="00951E75"/>
    <w:rsid w:val="0095269A"/>
    <w:rsid w:val="00952F00"/>
    <w:rsid w:val="00954074"/>
    <w:rsid w:val="00954BE6"/>
    <w:rsid w:val="00955FEF"/>
    <w:rsid w:val="0096392F"/>
    <w:rsid w:val="0096481C"/>
    <w:rsid w:val="00965459"/>
    <w:rsid w:val="00965785"/>
    <w:rsid w:val="00966B78"/>
    <w:rsid w:val="00970A4C"/>
    <w:rsid w:val="0097343C"/>
    <w:rsid w:val="00973DF3"/>
    <w:rsid w:val="00974CA5"/>
    <w:rsid w:val="009766AF"/>
    <w:rsid w:val="00977EF4"/>
    <w:rsid w:val="0098213D"/>
    <w:rsid w:val="009823FD"/>
    <w:rsid w:val="00982FF1"/>
    <w:rsid w:val="00983285"/>
    <w:rsid w:val="00987C59"/>
    <w:rsid w:val="00992227"/>
    <w:rsid w:val="009926F3"/>
    <w:rsid w:val="00994428"/>
    <w:rsid w:val="009962AF"/>
    <w:rsid w:val="009A1C2A"/>
    <w:rsid w:val="009A27AC"/>
    <w:rsid w:val="009A3493"/>
    <w:rsid w:val="009A38F6"/>
    <w:rsid w:val="009A6135"/>
    <w:rsid w:val="009B07C8"/>
    <w:rsid w:val="009B113F"/>
    <w:rsid w:val="009B2F91"/>
    <w:rsid w:val="009B5D21"/>
    <w:rsid w:val="009B5DE0"/>
    <w:rsid w:val="009B6737"/>
    <w:rsid w:val="009B6C44"/>
    <w:rsid w:val="009C095D"/>
    <w:rsid w:val="009C0BBC"/>
    <w:rsid w:val="009C486B"/>
    <w:rsid w:val="009C54BD"/>
    <w:rsid w:val="009D166E"/>
    <w:rsid w:val="009D4DCD"/>
    <w:rsid w:val="009D5012"/>
    <w:rsid w:val="009D72C6"/>
    <w:rsid w:val="009E424F"/>
    <w:rsid w:val="009E4A3C"/>
    <w:rsid w:val="009E6BF3"/>
    <w:rsid w:val="009E7727"/>
    <w:rsid w:val="009F06E6"/>
    <w:rsid w:val="009F08D5"/>
    <w:rsid w:val="009F0D98"/>
    <w:rsid w:val="009F1036"/>
    <w:rsid w:val="009F1D0E"/>
    <w:rsid w:val="009F210E"/>
    <w:rsid w:val="009F2FA2"/>
    <w:rsid w:val="00A00652"/>
    <w:rsid w:val="00A00FF6"/>
    <w:rsid w:val="00A01EF8"/>
    <w:rsid w:val="00A02D20"/>
    <w:rsid w:val="00A035C8"/>
    <w:rsid w:val="00A0430D"/>
    <w:rsid w:val="00A04B66"/>
    <w:rsid w:val="00A04D47"/>
    <w:rsid w:val="00A05ED0"/>
    <w:rsid w:val="00A065A6"/>
    <w:rsid w:val="00A06A42"/>
    <w:rsid w:val="00A06EE8"/>
    <w:rsid w:val="00A074FE"/>
    <w:rsid w:val="00A10229"/>
    <w:rsid w:val="00A11A16"/>
    <w:rsid w:val="00A11F5E"/>
    <w:rsid w:val="00A13E6E"/>
    <w:rsid w:val="00A14934"/>
    <w:rsid w:val="00A14F10"/>
    <w:rsid w:val="00A17687"/>
    <w:rsid w:val="00A2139D"/>
    <w:rsid w:val="00A21D95"/>
    <w:rsid w:val="00A23490"/>
    <w:rsid w:val="00A250AD"/>
    <w:rsid w:val="00A25825"/>
    <w:rsid w:val="00A25A43"/>
    <w:rsid w:val="00A27287"/>
    <w:rsid w:val="00A30827"/>
    <w:rsid w:val="00A33DF3"/>
    <w:rsid w:val="00A365B8"/>
    <w:rsid w:val="00A37017"/>
    <w:rsid w:val="00A455C4"/>
    <w:rsid w:val="00A46FD5"/>
    <w:rsid w:val="00A477CC"/>
    <w:rsid w:val="00A54B10"/>
    <w:rsid w:val="00A61782"/>
    <w:rsid w:val="00A62902"/>
    <w:rsid w:val="00A62DBC"/>
    <w:rsid w:val="00A6664D"/>
    <w:rsid w:val="00A67230"/>
    <w:rsid w:val="00A676B3"/>
    <w:rsid w:val="00A70B36"/>
    <w:rsid w:val="00A711EA"/>
    <w:rsid w:val="00A748F9"/>
    <w:rsid w:val="00A7763E"/>
    <w:rsid w:val="00A80181"/>
    <w:rsid w:val="00A813A1"/>
    <w:rsid w:val="00A8488F"/>
    <w:rsid w:val="00A84DA3"/>
    <w:rsid w:val="00A936D3"/>
    <w:rsid w:val="00A96233"/>
    <w:rsid w:val="00A96AD5"/>
    <w:rsid w:val="00AA0734"/>
    <w:rsid w:val="00AA79FC"/>
    <w:rsid w:val="00AB40C2"/>
    <w:rsid w:val="00AB7048"/>
    <w:rsid w:val="00AB7C92"/>
    <w:rsid w:val="00AC0E4E"/>
    <w:rsid w:val="00AC0F3F"/>
    <w:rsid w:val="00AC15BD"/>
    <w:rsid w:val="00AC3B16"/>
    <w:rsid w:val="00AC42B6"/>
    <w:rsid w:val="00AC4A4F"/>
    <w:rsid w:val="00AC63A1"/>
    <w:rsid w:val="00AC74A6"/>
    <w:rsid w:val="00AD0491"/>
    <w:rsid w:val="00AD154D"/>
    <w:rsid w:val="00AD42B1"/>
    <w:rsid w:val="00AD49E1"/>
    <w:rsid w:val="00AD5CB1"/>
    <w:rsid w:val="00AD653F"/>
    <w:rsid w:val="00AD70B3"/>
    <w:rsid w:val="00AE2DB0"/>
    <w:rsid w:val="00AE5FCC"/>
    <w:rsid w:val="00AE604C"/>
    <w:rsid w:val="00AF04A1"/>
    <w:rsid w:val="00AF11E5"/>
    <w:rsid w:val="00AF1B17"/>
    <w:rsid w:val="00AF29EE"/>
    <w:rsid w:val="00AF338E"/>
    <w:rsid w:val="00B006D6"/>
    <w:rsid w:val="00B02151"/>
    <w:rsid w:val="00B04050"/>
    <w:rsid w:val="00B0588A"/>
    <w:rsid w:val="00B10704"/>
    <w:rsid w:val="00B10C39"/>
    <w:rsid w:val="00B11DCF"/>
    <w:rsid w:val="00B125A3"/>
    <w:rsid w:val="00B139E6"/>
    <w:rsid w:val="00B14663"/>
    <w:rsid w:val="00B15222"/>
    <w:rsid w:val="00B1559A"/>
    <w:rsid w:val="00B17DB6"/>
    <w:rsid w:val="00B20CD1"/>
    <w:rsid w:val="00B216D6"/>
    <w:rsid w:val="00B21A37"/>
    <w:rsid w:val="00B24EAB"/>
    <w:rsid w:val="00B252CD"/>
    <w:rsid w:val="00B30710"/>
    <w:rsid w:val="00B3165C"/>
    <w:rsid w:val="00B319F6"/>
    <w:rsid w:val="00B41179"/>
    <w:rsid w:val="00B41332"/>
    <w:rsid w:val="00B41BD4"/>
    <w:rsid w:val="00B4276B"/>
    <w:rsid w:val="00B50099"/>
    <w:rsid w:val="00B5268E"/>
    <w:rsid w:val="00B609FC"/>
    <w:rsid w:val="00B635BC"/>
    <w:rsid w:val="00B701F1"/>
    <w:rsid w:val="00B70642"/>
    <w:rsid w:val="00B70F09"/>
    <w:rsid w:val="00B725EB"/>
    <w:rsid w:val="00B7269E"/>
    <w:rsid w:val="00B73003"/>
    <w:rsid w:val="00B7337E"/>
    <w:rsid w:val="00B75459"/>
    <w:rsid w:val="00B80983"/>
    <w:rsid w:val="00B860AA"/>
    <w:rsid w:val="00B86EF7"/>
    <w:rsid w:val="00B913EC"/>
    <w:rsid w:val="00B97D7D"/>
    <w:rsid w:val="00BA0F86"/>
    <w:rsid w:val="00BA21F7"/>
    <w:rsid w:val="00BA56E1"/>
    <w:rsid w:val="00BA5909"/>
    <w:rsid w:val="00BA7BB7"/>
    <w:rsid w:val="00BB14B9"/>
    <w:rsid w:val="00BB1C8A"/>
    <w:rsid w:val="00BB23D9"/>
    <w:rsid w:val="00BB40B0"/>
    <w:rsid w:val="00BB7656"/>
    <w:rsid w:val="00BC2C31"/>
    <w:rsid w:val="00BC2F1E"/>
    <w:rsid w:val="00BC3835"/>
    <w:rsid w:val="00BC4E40"/>
    <w:rsid w:val="00BC61E8"/>
    <w:rsid w:val="00BD01F6"/>
    <w:rsid w:val="00BD213E"/>
    <w:rsid w:val="00BD4E2B"/>
    <w:rsid w:val="00BD5F38"/>
    <w:rsid w:val="00BE04A4"/>
    <w:rsid w:val="00BE344F"/>
    <w:rsid w:val="00BE3787"/>
    <w:rsid w:val="00BE4334"/>
    <w:rsid w:val="00BE69D2"/>
    <w:rsid w:val="00BF0B58"/>
    <w:rsid w:val="00BF2779"/>
    <w:rsid w:val="00BF2CED"/>
    <w:rsid w:val="00BF3A48"/>
    <w:rsid w:val="00BF5912"/>
    <w:rsid w:val="00BF63F8"/>
    <w:rsid w:val="00BF6FA6"/>
    <w:rsid w:val="00C01C27"/>
    <w:rsid w:val="00C03361"/>
    <w:rsid w:val="00C046AF"/>
    <w:rsid w:val="00C112DA"/>
    <w:rsid w:val="00C11DE2"/>
    <w:rsid w:val="00C1332A"/>
    <w:rsid w:val="00C146B5"/>
    <w:rsid w:val="00C14DA8"/>
    <w:rsid w:val="00C15AA1"/>
    <w:rsid w:val="00C16761"/>
    <w:rsid w:val="00C16BF4"/>
    <w:rsid w:val="00C22E79"/>
    <w:rsid w:val="00C22EC5"/>
    <w:rsid w:val="00C24520"/>
    <w:rsid w:val="00C24C5B"/>
    <w:rsid w:val="00C25212"/>
    <w:rsid w:val="00C43A33"/>
    <w:rsid w:val="00C44DE3"/>
    <w:rsid w:val="00C4594E"/>
    <w:rsid w:val="00C459DE"/>
    <w:rsid w:val="00C46B59"/>
    <w:rsid w:val="00C51898"/>
    <w:rsid w:val="00C522F9"/>
    <w:rsid w:val="00C5285C"/>
    <w:rsid w:val="00C529EF"/>
    <w:rsid w:val="00C53AE7"/>
    <w:rsid w:val="00C55105"/>
    <w:rsid w:val="00C572AB"/>
    <w:rsid w:val="00C57DE7"/>
    <w:rsid w:val="00C60DDA"/>
    <w:rsid w:val="00C614C0"/>
    <w:rsid w:val="00C62913"/>
    <w:rsid w:val="00C62A84"/>
    <w:rsid w:val="00C66ECD"/>
    <w:rsid w:val="00C714A9"/>
    <w:rsid w:val="00C7199B"/>
    <w:rsid w:val="00C72665"/>
    <w:rsid w:val="00C72982"/>
    <w:rsid w:val="00C7343C"/>
    <w:rsid w:val="00C75299"/>
    <w:rsid w:val="00C75E3B"/>
    <w:rsid w:val="00C77BF1"/>
    <w:rsid w:val="00C8186A"/>
    <w:rsid w:val="00C8335E"/>
    <w:rsid w:val="00C83C1F"/>
    <w:rsid w:val="00C83C4E"/>
    <w:rsid w:val="00C86634"/>
    <w:rsid w:val="00C94DB5"/>
    <w:rsid w:val="00C9599D"/>
    <w:rsid w:val="00C96EB7"/>
    <w:rsid w:val="00C97F58"/>
    <w:rsid w:val="00CA2562"/>
    <w:rsid w:val="00CA4400"/>
    <w:rsid w:val="00CA6D7A"/>
    <w:rsid w:val="00CA7E8F"/>
    <w:rsid w:val="00CB0DBA"/>
    <w:rsid w:val="00CB5BB1"/>
    <w:rsid w:val="00CC05EA"/>
    <w:rsid w:val="00CC10DA"/>
    <w:rsid w:val="00CC15D0"/>
    <w:rsid w:val="00CC201A"/>
    <w:rsid w:val="00CC2719"/>
    <w:rsid w:val="00CC6B1B"/>
    <w:rsid w:val="00CD0CF9"/>
    <w:rsid w:val="00CD1EA6"/>
    <w:rsid w:val="00CD2FA8"/>
    <w:rsid w:val="00CD3F85"/>
    <w:rsid w:val="00CE4DC3"/>
    <w:rsid w:val="00CE5D2D"/>
    <w:rsid w:val="00CF1AB2"/>
    <w:rsid w:val="00CF1FC4"/>
    <w:rsid w:val="00CF25CF"/>
    <w:rsid w:val="00CF261A"/>
    <w:rsid w:val="00CF51AC"/>
    <w:rsid w:val="00D02242"/>
    <w:rsid w:val="00D03C3C"/>
    <w:rsid w:val="00D079B4"/>
    <w:rsid w:val="00D1197C"/>
    <w:rsid w:val="00D14049"/>
    <w:rsid w:val="00D15EE3"/>
    <w:rsid w:val="00D2005F"/>
    <w:rsid w:val="00D2081C"/>
    <w:rsid w:val="00D20A6F"/>
    <w:rsid w:val="00D20D22"/>
    <w:rsid w:val="00D227C5"/>
    <w:rsid w:val="00D23D6B"/>
    <w:rsid w:val="00D24291"/>
    <w:rsid w:val="00D26C3F"/>
    <w:rsid w:val="00D30CBA"/>
    <w:rsid w:val="00D33038"/>
    <w:rsid w:val="00D35205"/>
    <w:rsid w:val="00D36D55"/>
    <w:rsid w:val="00D373D4"/>
    <w:rsid w:val="00D37C8B"/>
    <w:rsid w:val="00D41B4F"/>
    <w:rsid w:val="00D43020"/>
    <w:rsid w:val="00D46042"/>
    <w:rsid w:val="00D46602"/>
    <w:rsid w:val="00D627EB"/>
    <w:rsid w:val="00D65073"/>
    <w:rsid w:val="00D66C87"/>
    <w:rsid w:val="00D6796D"/>
    <w:rsid w:val="00D70657"/>
    <w:rsid w:val="00D71F40"/>
    <w:rsid w:val="00D722C6"/>
    <w:rsid w:val="00D73B7E"/>
    <w:rsid w:val="00D80A7B"/>
    <w:rsid w:val="00D842AB"/>
    <w:rsid w:val="00D85735"/>
    <w:rsid w:val="00D85B13"/>
    <w:rsid w:val="00D86E30"/>
    <w:rsid w:val="00D92776"/>
    <w:rsid w:val="00D9321B"/>
    <w:rsid w:val="00D93C38"/>
    <w:rsid w:val="00D95999"/>
    <w:rsid w:val="00D96499"/>
    <w:rsid w:val="00D973E7"/>
    <w:rsid w:val="00D97882"/>
    <w:rsid w:val="00DA1CE5"/>
    <w:rsid w:val="00DA5D9E"/>
    <w:rsid w:val="00DA754A"/>
    <w:rsid w:val="00DB2256"/>
    <w:rsid w:val="00DB58FA"/>
    <w:rsid w:val="00DB7B63"/>
    <w:rsid w:val="00DC15AC"/>
    <w:rsid w:val="00DC3A9D"/>
    <w:rsid w:val="00DC49DE"/>
    <w:rsid w:val="00DC7EF3"/>
    <w:rsid w:val="00DD147E"/>
    <w:rsid w:val="00DD4F39"/>
    <w:rsid w:val="00DD71DA"/>
    <w:rsid w:val="00DD7CEF"/>
    <w:rsid w:val="00DE04AF"/>
    <w:rsid w:val="00DE0A59"/>
    <w:rsid w:val="00DE47C8"/>
    <w:rsid w:val="00DE52B7"/>
    <w:rsid w:val="00DF0481"/>
    <w:rsid w:val="00DF19EC"/>
    <w:rsid w:val="00DF5237"/>
    <w:rsid w:val="00DF53DB"/>
    <w:rsid w:val="00DF5F1F"/>
    <w:rsid w:val="00DF78F9"/>
    <w:rsid w:val="00E04872"/>
    <w:rsid w:val="00E06116"/>
    <w:rsid w:val="00E07681"/>
    <w:rsid w:val="00E1225E"/>
    <w:rsid w:val="00E12394"/>
    <w:rsid w:val="00E12B1E"/>
    <w:rsid w:val="00E1430F"/>
    <w:rsid w:val="00E1604F"/>
    <w:rsid w:val="00E1740E"/>
    <w:rsid w:val="00E178F6"/>
    <w:rsid w:val="00E20916"/>
    <w:rsid w:val="00E2180E"/>
    <w:rsid w:val="00E22BAB"/>
    <w:rsid w:val="00E24736"/>
    <w:rsid w:val="00E26284"/>
    <w:rsid w:val="00E263E4"/>
    <w:rsid w:val="00E26E88"/>
    <w:rsid w:val="00E32B85"/>
    <w:rsid w:val="00E32CE9"/>
    <w:rsid w:val="00E34FC5"/>
    <w:rsid w:val="00E36C9E"/>
    <w:rsid w:val="00E4469E"/>
    <w:rsid w:val="00E448C7"/>
    <w:rsid w:val="00E47D27"/>
    <w:rsid w:val="00E51129"/>
    <w:rsid w:val="00E527F7"/>
    <w:rsid w:val="00E54541"/>
    <w:rsid w:val="00E54DEF"/>
    <w:rsid w:val="00E55A7E"/>
    <w:rsid w:val="00E55D4C"/>
    <w:rsid w:val="00E56E64"/>
    <w:rsid w:val="00E56F92"/>
    <w:rsid w:val="00E61247"/>
    <w:rsid w:val="00E63012"/>
    <w:rsid w:val="00E632E1"/>
    <w:rsid w:val="00E65A17"/>
    <w:rsid w:val="00E66DEE"/>
    <w:rsid w:val="00E768E8"/>
    <w:rsid w:val="00E8159F"/>
    <w:rsid w:val="00E83D82"/>
    <w:rsid w:val="00E87B4E"/>
    <w:rsid w:val="00E921F1"/>
    <w:rsid w:val="00E95EFD"/>
    <w:rsid w:val="00E96618"/>
    <w:rsid w:val="00EA0041"/>
    <w:rsid w:val="00EA11C7"/>
    <w:rsid w:val="00EA24DC"/>
    <w:rsid w:val="00EA4527"/>
    <w:rsid w:val="00EA5FEA"/>
    <w:rsid w:val="00EB1CE6"/>
    <w:rsid w:val="00EB1F91"/>
    <w:rsid w:val="00EB6EBF"/>
    <w:rsid w:val="00EC281D"/>
    <w:rsid w:val="00EC2992"/>
    <w:rsid w:val="00EC39CB"/>
    <w:rsid w:val="00EC6450"/>
    <w:rsid w:val="00EC7F76"/>
    <w:rsid w:val="00EC7FFA"/>
    <w:rsid w:val="00ED3926"/>
    <w:rsid w:val="00ED48F3"/>
    <w:rsid w:val="00ED5271"/>
    <w:rsid w:val="00ED73DE"/>
    <w:rsid w:val="00EE0324"/>
    <w:rsid w:val="00EE1450"/>
    <w:rsid w:val="00EE216C"/>
    <w:rsid w:val="00EE270E"/>
    <w:rsid w:val="00EE4F72"/>
    <w:rsid w:val="00EF02A5"/>
    <w:rsid w:val="00EF08B9"/>
    <w:rsid w:val="00EF1679"/>
    <w:rsid w:val="00EF3D61"/>
    <w:rsid w:val="00EF496F"/>
    <w:rsid w:val="00EF4B7B"/>
    <w:rsid w:val="00EF5EE9"/>
    <w:rsid w:val="00F0083D"/>
    <w:rsid w:val="00F00F9D"/>
    <w:rsid w:val="00F02FB1"/>
    <w:rsid w:val="00F0301E"/>
    <w:rsid w:val="00F03974"/>
    <w:rsid w:val="00F044EC"/>
    <w:rsid w:val="00F078A0"/>
    <w:rsid w:val="00F07C75"/>
    <w:rsid w:val="00F07C7B"/>
    <w:rsid w:val="00F101FC"/>
    <w:rsid w:val="00F11E54"/>
    <w:rsid w:val="00F1247C"/>
    <w:rsid w:val="00F12DE8"/>
    <w:rsid w:val="00F12E2B"/>
    <w:rsid w:val="00F12FD3"/>
    <w:rsid w:val="00F14314"/>
    <w:rsid w:val="00F14796"/>
    <w:rsid w:val="00F147D1"/>
    <w:rsid w:val="00F21555"/>
    <w:rsid w:val="00F2188A"/>
    <w:rsid w:val="00F21C03"/>
    <w:rsid w:val="00F22CFD"/>
    <w:rsid w:val="00F25989"/>
    <w:rsid w:val="00F31D08"/>
    <w:rsid w:val="00F3349C"/>
    <w:rsid w:val="00F33ED8"/>
    <w:rsid w:val="00F34F34"/>
    <w:rsid w:val="00F36B4C"/>
    <w:rsid w:val="00F36C9B"/>
    <w:rsid w:val="00F37C60"/>
    <w:rsid w:val="00F41BA8"/>
    <w:rsid w:val="00F42177"/>
    <w:rsid w:val="00F46FE6"/>
    <w:rsid w:val="00F50174"/>
    <w:rsid w:val="00F50AF8"/>
    <w:rsid w:val="00F520D9"/>
    <w:rsid w:val="00F572B3"/>
    <w:rsid w:val="00F6460D"/>
    <w:rsid w:val="00F6494B"/>
    <w:rsid w:val="00F64AB7"/>
    <w:rsid w:val="00F71D34"/>
    <w:rsid w:val="00F74404"/>
    <w:rsid w:val="00F7556A"/>
    <w:rsid w:val="00F769E3"/>
    <w:rsid w:val="00F77F5D"/>
    <w:rsid w:val="00F865EB"/>
    <w:rsid w:val="00F90BCD"/>
    <w:rsid w:val="00F91B87"/>
    <w:rsid w:val="00F91C52"/>
    <w:rsid w:val="00F9263D"/>
    <w:rsid w:val="00F92ACE"/>
    <w:rsid w:val="00F936A8"/>
    <w:rsid w:val="00F93940"/>
    <w:rsid w:val="00F93A63"/>
    <w:rsid w:val="00F941F6"/>
    <w:rsid w:val="00F95C52"/>
    <w:rsid w:val="00F95D6C"/>
    <w:rsid w:val="00FA144E"/>
    <w:rsid w:val="00FA153D"/>
    <w:rsid w:val="00FA261A"/>
    <w:rsid w:val="00FA2B50"/>
    <w:rsid w:val="00FA2F99"/>
    <w:rsid w:val="00FA35DC"/>
    <w:rsid w:val="00FA4AB2"/>
    <w:rsid w:val="00FA50F7"/>
    <w:rsid w:val="00FA6351"/>
    <w:rsid w:val="00FB6069"/>
    <w:rsid w:val="00FC260D"/>
    <w:rsid w:val="00FD120B"/>
    <w:rsid w:val="00FD2317"/>
    <w:rsid w:val="00FD2829"/>
    <w:rsid w:val="00FD2C2F"/>
    <w:rsid w:val="00FD404F"/>
    <w:rsid w:val="00FD49F5"/>
    <w:rsid w:val="00FE6395"/>
    <w:rsid w:val="00FF0150"/>
    <w:rsid w:val="00FF1BA9"/>
    <w:rsid w:val="00FF319C"/>
    <w:rsid w:val="00FF6653"/>
    <w:rsid w:val="00FF6E1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28901405"/>
  <w15:chartTrackingRefBased/>
  <w15:docId w15:val="{ACD980BE-0E27-420F-B937-9106886E4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ebuchet MS" w:eastAsia="Times New Roman" w:hAnsi="Trebuchet MS" w:cs="Times New Roman"/>
        <w:sz w:val="22"/>
        <w:szCs w:val="22"/>
        <w:lang w:val="en-AU" w:eastAsia="en-US" w:bidi="ar-SA"/>
      </w:rPr>
    </w:rPrDefault>
    <w:pPrDefault>
      <w:pPr>
        <w:spacing w:after="120" w:line="288"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7CEF"/>
    <w:pPr>
      <w:spacing w:before="69" w:after="0" w:line="360" w:lineRule="auto"/>
      <w:jc w:val="both"/>
    </w:pPr>
    <w:rPr>
      <w:rFonts w:ascii="Times New Roman" w:hAnsi="Times New Roman" w:cstheme="minorBidi"/>
      <w:sz w:val="24"/>
      <w:szCs w:val="24"/>
      <w:lang w:val="en-US"/>
    </w:rPr>
  </w:style>
  <w:style w:type="paragraph" w:styleId="Heading1">
    <w:name w:val="heading 1"/>
    <w:basedOn w:val="Normal"/>
    <w:next w:val="Normal"/>
    <w:link w:val="Heading1Char"/>
    <w:uiPriority w:val="1"/>
    <w:qFormat/>
    <w:rsid w:val="00DD7CEF"/>
    <w:pPr>
      <w:spacing w:before="20"/>
      <w:ind w:left="100"/>
      <w:outlineLvl w:val="0"/>
    </w:pPr>
    <w:rPr>
      <w:b/>
      <w:spacing w:val="-1"/>
      <w:sz w:val="40"/>
    </w:rPr>
  </w:style>
  <w:style w:type="paragraph" w:styleId="Heading2">
    <w:name w:val="heading 2"/>
    <w:basedOn w:val="Heading3"/>
    <w:next w:val="Normal"/>
    <w:link w:val="Heading2Char"/>
    <w:qFormat/>
    <w:rsid w:val="00DD7CEF"/>
    <w:pPr>
      <w:outlineLvl w:val="1"/>
    </w:pPr>
  </w:style>
  <w:style w:type="paragraph" w:styleId="Heading3">
    <w:name w:val="heading 3"/>
    <w:basedOn w:val="Normal"/>
    <w:next w:val="Normal"/>
    <w:link w:val="Heading3Char"/>
    <w:qFormat/>
    <w:rsid w:val="00DD7CEF"/>
    <w:pPr>
      <w:outlineLvl w:val="2"/>
    </w:pPr>
    <w:rPr>
      <w:rFonts w:eastAsiaTheme="minorHAnsi" w:hAnsiTheme="minorHAnsi"/>
      <w:b/>
      <w:sz w:val="32"/>
      <w:szCs w:val="22"/>
    </w:rPr>
  </w:style>
  <w:style w:type="paragraph" w:styleId="Heading4">
    <w:name w:val="heading 4"/>
    <w:basedOn w:val="Heading1"/>
    <w:next w:val="Normal"/>
    <w:link w:val="Heading4Char"/>
    <w:uiPriority w:val="9"/>
    <w:unhideWhenUsed/>
    <w:qFormat/>
    <w:rsid w:val="00F46FE6"/>
    <w:pPr>
      <w:keepNext/>
      <w:widowControl w:val="0"/>
      <w:spacing w:before="240" w:after="240"/>
      <w:ind w:left="0"/>
      <w:jc w:val="left"/>
      <w:outlineLvl w:val="3"/>
    </w:pPr>
    <w:rPr>
      <w:bCs/>
      <w:sz w:val="28"/>
      <w:szCs w:val="28"/>
      <w:lang w:val="en-AU"/>
    </w:rPr>
  </w:style>
  <w:style w:type="paragraph" w:styleId="Heading5">
    <w:name w:val="heading 5"/>
    <w:basedOn w:val="Normal"/>
    <w:next w:val="Normal"/>
    <w:link w:val="Heading5Char"/>
    <w:uiPriority w:val="9"/>
    <w:unhideWhenUsed/>
    <w:qFormat/>
    <w:rsid w:val="00A70B36"/>
    <w:pPr>
      <w:keepNext/>
      <w:widowControl w:val="0"/>
      <w:spacing w:before="120" w:after="240" w:line="240" w:lineRule="auto"/>
      <w:jc w:val="left"/>
      <w:outlineLvl w:val="4"/>
    </w:pPr>
    <w:rPr>
      <w:rFonts w:eastAsiaTheme="minorHAnsi" w:hAnsiTheme="minorHAnsi"/>
      <w:i/>
      <w:spacing w:val="-1"/>
      <w:szCs w:val="22"/>
      <w:lang w:val="en-AU"/>
    </w:rPr>
  </w:style>
  <w:style w:type="paragraph" w:styleId="Heading6">
    <w:name w:val="heading 6"/>
    <w:basedOn w:val="Heading5"/>
    <w:next w:val="Normal"/>
    <w:link w:val="Heading6Char"/>
    <w:uiPriority w:val="9"/>
    <w:unhideWhenUsed/>
    <w:qFormat/>
    <w:rsid w:val="005F4764"/>
    <w:pPr>
      <w:numPr>
        <w:ilvl w:val="5"/>
      </w:numPr>
      <w:ind w:left="102"/>
      <w:outlineLvl w:val="5"/>
    </w:pPr>
    <w:rPr>
      <w:b/>
      <w:i w:val="0"/>
    </w:rPr>
  </w:style>
  <w:style w:type="paragraph" w:styleId="Heading7">
    <w:name w:val="heading 7"/>
    <w:basedOn w:val="Heading6"/>
    <w:next w:val="Normal"/>
    <w:link w:val="Heading7Char"/>
    <w:uiPriority w:val="9"/>
    <w:unhideWhenUsed/>
    <w:rsid w:val="005F4764"/>
    <w:pPr>
      <w:numPr>
        <w:ilvl w:val="6"/>
      </w:numPr>
      <w:spacing w:before="200" w:after="120" w:line="288" w:lineRule="auto"/>
      <w:ind w:left="102"/>
      <w:outlineLvl w:val="6"/>
    </w:pPr>
    <w:rPr>
      <w:b w:val="0"/>
      <w:i/>
      <w:color w:val="404040"/>
    </w:rPr>
  </w:style>
  <w:style w:type="paragraph" w:styleId="Heading8">
    <w:name w:val="heading 8"/>
    <w:basedOn w:val="Normal"/>
    <w:next w:val="Normal"/>
    <w:link w:val="Heading8Char"/>
    <w:uiPriority w:val="9"/>
    <w:unhideWhenUsed/>
    <w:qFormat/>
    <w:rsid w:val="005F4764"/>
    <w:pPr>
      <w:keepNext/>
      <w:keepLines/>
      <w:spacing w:before="20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unhideWhenUsed/>
    <w:qFormat/>
    <w:rsid w:val="005F4764"/>
    <w:pPr>
      <w:keepNext/>
      <w:keepLines/>
      <w:spacing w:before="20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4764"/>
    <w:pPr>
      <w:spacing w:line="240" w:lineRule="auto"/>
    </w:pPr>
    <w:rPr>
      <w:rFonts w:ascii="Arial" w:hAnsi="Arial"/>
    </w:rPr>
  </w:style>
  <w:style w:type="character" w:customStyle="1" w:styleId="Heading1Char">
    <w:name w:val="Heading 1 Char"/>
    <w:basedOn w:val="DefaultParagraphFont"/>
    <w:link w:val="Heading1"/>
    <w:rsid w:val="00DD7CEF"/>
    <w:rPr>
      <w:rFonts w:ascii="Times New Roman" w:hAnsi="Arial"/>
      <w:b/>
      <w:spacing w:val="-1"/>
      <w:sz w:val="40"/>
      <w:szCs w:val="24"/>
      <w:lang w:eastAsia="en-AU"/>
    </w:rPr>
  </w:style>
  <w:style w:type="character" w:customStyle="1" w:styleId="Heading2Char">
    <w:name w:val="Heading 2 Char"/>
    <w:basedOn w:val="DefaultParagraphFont"/>
    <w:link w:val="Heading2"/>
    <w:rsid w:val="00DD7CEF"/>
    <w:rPr>
      <w:rFonts w:ascii="Times New Roman" w:eastAsiaTheme="minorHAnsi" w:hAnsiTheme="minorHAnsi" w:cstheme="minorBidi"/>
      <w:b/>
      <w:sz w:val="32"/>
      <w:lang w:val="en-US"/>
    </w:rPr>
  </w:style>
  <w:style w:type="character" w:customStyle="1" w:styleId="Heading4Char">
    <w:name w:val="Heading 4 Char"/>
    <w:link w:val="Heading4"/>
    <w:uiPriority w:val="9"/>
    <w:rsid w:val="00F46FE6"/>
    <w:rPr>
      <w:rFonts w:ascii="Times New Roman" w:hAnsi="Times New Roman" w:cstheme="minorBidi"/>
      <w:b/>
      <w:bCs/>
      <w:spacing w:val="-1"/>
      <w:sz w:val="28"/>
      <w:szCs w:val="28"/>
    </w:rPr>
  </w:style>
  <w:style w:type="paragraph" w:customStyle="1" w:styleId="Bullet">
    <w:name w:val="Bullet"/>
    <w:basedOn w:val="Normal"/>
    <w:link w:val="BulletChar"/>
    <w:rsid w:val="005F4764"/>
    <w:pPr>
      <w:numPr>
        <w:numId w:val="2"/>
      </w:numPr>
      <w:tabs>
        <w:tab w:val="left" w:pos="1935"/>
      </w:tabs>
      <w:spacing w:before="120"/>
    </w:pPr>
  </w:style>
  <w:style w:type="character" w:customStyle="1" w:styleId="BulletChar">
    <w:name w:val="Bullet Char"/>
    <w:link w:val="Bullet"/>
    <w:rsid w:val="005F4764"/>
    <w:rPr>
      <w:rFonts w:ascii="Times New Roman" w:hAnsi="Times New Roman" w:cstheme="minorBidi"/>
      <w:sz w:val="24"/>
      <w:szCs w:val="24"/>
      <w:lang w:val="en-US"/>
    </w:rPr>
  </w:style>
  <w:style w:type="paragraph" w:customStyle="1" w:styleId="Nonchapterheading">
    <w:name w:val="Non chapter heading"/>
    <w:basedOn w:val="Heading5"/>
    <w:link w:val="NonchapterheadingChar"/>
    <w:rsid w:val="005F4764"/>
    <w:pPr>
      <w:spacing w:after="120" w:line="288" w:lineRule="auto"/>
      <w:ind w:left="360" w:hanging="360"/>
    </w:pPr>
    <w:rPr>
      <w:iCs/>
    </w:rPr>
  </w:style>
  <w:style w:type="character" w:customStyle="1" w:styleId="NonchapterheadingChar">
    <w:name w:val="Non chapter heading Char"/>
    <w:basedOn w:val="Heading5Char"/>
    <w:link w:val="Nonchapterheading"/>
    <w:rsid w:val="005F4764"/>
    <w:rPr>
      <w:rFonts w:ascii="Arial" w:eastAsiaTheme="minorHAnsi" w:hAnsi="Arial" w:cs="Arial"/>
      <w:i/>
      <w:iCs/>
      <w:spacing w:val="-1"/>
      <w:sz w:val="24"/>
      <w:szCs w:val="26"/>
      <w:lang w:val="en-US" w:eastAsia="en-AU"/>
    </w:rPr>
  </w:style>
  <w:style w:type="character" w:customStyle="1" w:styleId="Heading5Char">
    <w:name w:val="Heading 5 Char"/>
    <w:link w:val="Heading5"/>
    <w:uiPriority w:val="9"/>
    <w:rsid w:val="00A70B36"/>
    <w:rPr>
      <w:rFonts w:ascii="Times New Roman" w:eastAsiaTheme="minorHAnsi" w:hAnsiTheme="minorHAnsi" w:cstheme="minorBidi"/>
      <w:i/>
      <w:spacing w:val="-1"/>
      <w:sz w:val="24"/>
    </w:rPr>
  </w:style>
  <w:style w:type="paragraph" w:customStyle="1" w:styleId="Non-numberedchapterheading">
    <w:name w:val="Non-numbered chapter heading"/>
    <w:basedOn w:val="Heading5"/>
    <w:link w:val="Non-numberedchapterheadingChar"/>
    <w:rsid w:val="005F4764"/>
    <w:pPr>
      <w:spacing w:after="120" w:line="288" w:lineRule="auto"/>
      <w:ind w:left="360" w:hanging="360"/>
    </w:pPr>
    <w:rPr>
      <w:iCs/>
    </w:rPr>
  </w:style>
  <w:style w:type="character" w:customStyle="1" w:styleId="Non-numberedchapterheadingChar">
    <w:name w:val="Non-numbered chapter heading Char"/>
    <w:basedOn w:val="Heading5Char"/>
    <w:link w:val="Non-numberedchapterheading"/>
    <w:rsid w:val="005F4764"/>
    <w:rPr>
      <w:rFonts w:ascii="Arial" w:eastAsiaTheme="minorHAnsi" w:hAnsi="Arial" w:cs="Arial"/>
      <w:i/>
      <w:iCs/>
      <w:spacing w:val="-1"/>
      <w:sz w:val="24"/>
      <w:szCs w:val="26"/>
      <w:lang w:val="en-US" w:eastAsia="en-AU"/>
    </w:rPr>
  </w:style>
  <w:style w:type="character" w:customStyle="1" w:styleId="Heading3Char">
    <w:name w:val="Heading 3 Char"/>
    <w:basedOn w:val="DefaultParagraphFont"/>
    <w:link w:val="Heading3"/>
    <w:rsid w:val="00DD7CEF"/>
    <w:rPr>
      <w:rFonts w:ascii="Times New Roman" w:eastAsiaTheme="minorHAnsi" w:hAnsiTheme="minorHAnsi" w:cstheme="minorBidi"/>
      <w:b/>
      <w:sz w:val="32"/>
      <w:lang w:val="en-US"/>
    </w:rPr>
  </w:style>
  <w:style w:type="character" w:customStyle="1" w:styleId="Heading6Char">
    <w:name w:val="Heading 6 Char"/>
    <w:link w:val="Heading6"/>
    <w:uiPriority w:val="9"/>
    <w:rsid w:val="005F4764"/>
    <w:rPr>
      <w:rFonts w:ascii="Arial" w:hAnsi="Arial" w:cs="Arial"/>
      <w:b/>
      <w:iCs/>
      <w:szCs w:val="26"/>
      <w:lang w:eastAsia="en-AU"/>
    </w:rPr>
  </w:style>
  <w:style w:type="character" w:customStyle="1" w:styleId="Heading7Char">
    <w:name w:val="Heading 7 Char"/>
    <w:link w:val="Heading7"/>
    <w:uiPriority w:val="9"/>
    <w:rsid w:val="005F4764"/>
    <w:rPr>
      <w:rFonts w:ascii="Arial" w:hAnsi="Arial" w:cs="Arial"/>
      <w:i/>
      <w:iCs/>
      <w:color w:val="404040"/>
      <w:lang w:eastAsia="en-AU"/>
    </w:rPr>
  </w:style>
  <w:style w:type="paragraph" w:styleId="TOC1">
    <w:name w:val="toc 1"/>
    <w:basedOn w:val="Normal"/>
    <w:next w:val="Normal"/>
    <w:autoRedefine/>
    <w:uiPriority w:val="39"/>
    <w:unhideWhenUsed/>
    <w:rsid w:val="005F4764"/>
    <w:pPr>
      <w:tabs>
        <w:tab w:val="right" w:leader="dot" w:pos="9016"/>
      </w:tabs>
    </w:pPr>
    <w:rPr>
      <w:b/>
      <w:noProof/>
    </w:rPr>
  </w:style>
  <w:style w:type="paragraph" w:styleId="TOC2">
    <w:name w:val="toc 2"/>
    <w:basedOn w:val="Normal"/>
    <w:next w:val="Normal"/>
    <w:autoRedefine/>
    <w:uiPriority w:val="39"/>
    <w:unhideWhenUsed/>
    <w:rsid w:val="005F4764"/>
    <w:pPr>
      <w:ind w:left="220"/>
    </w:pPr>
    <w:rPr>
      <w:b/>
    </w:rPr>
  </w:style>
  <w:style w:type="paragraph" w:styleId="TOC3">
    <w:name w:val="toc 3"/>
    <w:basedOn w:val="Normal"/>
    <w:next w:val="Normal"/>
    <w:autoRedefine/>
    <w:uiPriority w:val="39"/>
    <w:unhideWhenUsed/>
    <w:rsid w:val="005F4764"/>
    <w:pPr>
      <w:ind w:left="440"/>
    </w:pPr>
  </w:style>
  <w:style w:type="paragraph" w:styleId="TOC4">
    <w:name w:val="toc 4"/>
    <w:basedOn w:val="Normal"/>
    <w:next w:val="Normal"/>
    <w:autoRedefine/>
    <w:uiPriority w:val="39"/>
    <w:unhideWhenUsed/>
    <w:rsid w:val="005F4764"/>
    <w:pPr>
      <w:ind w:left="660"/>
    </w:pPr>
  </w:style>
  <w:style w:type="paragraph" w:styleId="FootnoteText">
    <w:name w:val="footnote text"/>
    <w:basedOn w:val="Normal"/>
    <w:link w:val="FootnoteTextChar"/>
    <w:uiPriority w:val="99"/>
    <w:unhideWhenUsed/>
    <w:rsid w:val="005F4764"/>
    <w:rPr>
      <w:sz w:val="18"/>
    </w:rPr>
  </w:style>
  <w:style w:type="character" w:customStyle="1" w:styleId="FootnoteTextChar">
    <w:name w:val="Footnote Text Char"/>
    <w:link w:val="FootnoteText"/>
    <w:uiPriority w:val="99"/>
    <w:rsid w:val="005F4764"/>
    <w:rPr>
      <w:rFonts w:ascii="Arial" w:hAnsi="Arial"/>
      <w:sz w:val="18"/>
      <w:szCs w:val="24"/>
      <w:lang w:eastAsia="en-AU"/>
    </w:rPr>
  </w:style>
  <w:style w:type="paragraph" w:styleId="Header">
    <w:name w:val="header"/>
    <w:basedOn w:val="Normal"/>
    <w:link w:val="HeaderChar"/>
    <w:unhideWhenUsed/>
    <w:rsid w:val="005F4764"/>
    <w:pPr>
      <w:tabs>
        <w:tab w:val="center" w:pos="4513"/>
        <w:tab w:val="right" w:pos="9026"/>
      </w:tabs>
    </w:pPr>
  </w:style>
  <w:style w:type="character" w:customStyle="1" w:styleId="HeaderChar">
    <w:name w:val="Header Char"/>
    <w:link w:val="Header"/>
    <w:rsid w:val="005F4764"/>
    <w:rPr>
      <w:rFonts w:ascii="Arial" w:hAnsi="Arial"/>
      <w:szCs w:val="24"/>
      <w:lang w:eastAsia="en-AU"/>
    </w:rPr>
  </w:style>
  <w:style w:type="paragraph" w:styleId="Footer">
    <w:name w:val="footer"/>
    <w:basedOn w:val="Normal"/>
    <w:link w:val="FooterChar"/>
    <w:uiPriority w:val="99"/>
    <w:unhideWhenUsed/>
    <w:rsid w:val="005F4764"/>
    <w:pPr>
      <w:tabs>
        <w:tab w:val="center" w:pos="4513"/>
        <w:tab w:val="right" w:pos="9026"/>
      </w:tabs>
      <w:jc w:val="right"/>
    </w:pPr>
    <w:rPr>
      <w:sz w:val="18"/>
    </w:rPr>
  </w:style>
  <w:style w:type="character" w:customStyle="1" w:styleId="FooterChar">
    <w:name w:val="Footer Char"/>
    <w:link w:val="Footer"/>
    <w:uiPriority w:val="99"/>
    <w:rsid w:val="005F4764"/>
    <w:rPr>
      <w:rFonts w:ascii="Arial" w:hAnsi="Arial"/>
      <w:sz w:val="18"/>
      <w:szCs w:val="24"/>
      <w:lang w:eastAsia="en-AU"/>
    </w:rPr>
  </w:style>
  <w:style w:type="character" w:styleId="FootnoteReference">
    <w:name w:val="footnote reference"/>
    <w:uiPriority w:val="99"/>
    <w:unhideWhenUsed/>
    <w:rsid w:val="005F4764"/>
    <w:rPr>
      <w:rFonts w:ascii="Arial" w:hAnsi="Arial"/>
      <w:i w:val="0"/>
      <w:color w:val="595959" w:themeColor="text1" w:themeTint="A6"/>
      <w:sz w:val="18"/>
      <w:vertAlign w:val="superscript"/>
    </w:rPr>
  </w:style>
  <w:style w:type="paragraph" w:styleId="Subtitle">
    <w:name w:val="Subtitle"/>
    <w:basedOn w:val="Normal"/>
    <w:next w:val="Normal"/>
    <w:link w:val="SubtitleChar"/>
    <w:uiPriority w:val="11"/>
    <w:qFormat/>
    <w:rsid w:val="005F4764"/>
    <w:pPr>
      <w:numPr>
        <w:ilvl w:val="1"/>
      </w:numPr>
    </w:pPr>
    <w:rPr>
      <w:rFonts w:eastAsiaTheme="majorEastAsia" w:cstheme="majorBidi"/>
      <w:i/>
      <w:iCs/>
      <w:spacing w:val="15"/>
    </w:rPr>
  </w:style>
  <w:style w:type="character" w:customStyle="1" w:styleId="SubtitleChar">
    <w:name w:val="Subtitle Char"/>
    <w:link w:val="Subtitle"/>
    <w:uiPriority w:val="11"/>
    <w:rsid w:val="005F4764"/>
    <w:rPr>
      <w:rFonts w:ascii="Arial" w:eastAsiaTheme="majorEastAsia" w:hAnsi="Arial" w:cstheme="majorBidi"/>
      <w:i/>
      <w:iCs/>
      <w:spacing w:val="15"/>
      <w:szCs w:val="24"/>
      <w:lang w:eastAsia="en-AU"/>
    </w:rPr>
  </w:style>
  <w:style w:type="character" w:styleId="Hyperlink">
    <w:name w:val="Hyperlink"/>
    <w:uiPriority w:val="99"/>
    <w:rsid w:val="005F4764"/>
    <w:rPr>
      <w:rFonts w:ascii="Arial" w:hAnsi="Arial"/>
      <w:color w:val="0000FF"/>
      <w:sz w:val="22"/>
      <w:u w:val="single"/>
    </w:rPr>
  </w:style>
  <w:style w:type="character" w:styleId="Strong">
    <w:name w:val="Strong"/>
    <w:uiPriority w:val="22"/>
    <w:qFormat/>
    <w:rsid w:val="005F4764"/>
    <w:rPr>
      <w:rFonts w:ascii="Arial" w:hAnsi="Arial"/>
      <w:b/>
      <w:bCs/>
      <w:sz w:val="22"/>
    </w:rPr>
  </w:style>
  <w:style w:type="character" w:styleId="Emphasis">
    <w:name w:val="Emphasis"/>
    <w:uiPriority w:val="20"/>
    <w:qFormat/>
    <w:rsid w:val="005F4764"/>
    <w:rPr>
      <w:rFonts w:ascii="Arial" w:hAnsi="Arial"/>
      <w:i/>
      <w:iCs/>
      <w:sz w:val="22"/>
    </w:rPr>
  </w:style>
  <w:style w:type="table" w:styleId="TableGrid">
    <w:name w:val="Table Grid"/>
    <w:basedOn w:val="TableNormal"/>
    <w:uiPriority w:val="59"/>
    <w:rsid w:val="005F4764"/>
    <w:pPr>
      <w:spacing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
    <w:name w:val="Numbered List"/>
    <w:basedOn w:val="ListNumber3"/>
    <w:link w:val="NumberedListChar"/>
    <w:rsid w:val="005F4764"/>
    <w:pPr>
      <w:numPr>
        <w:numId w:val="9"/>
      </w:numPr>
    </w:pPr>
  </w:style>
  <w:style w:type="paragraph" w:styleId="ListParagraph">
    <w:name w:val="List Paragraph"/>
    <w:basedOn w:val="Normal"/>
    <w:uiPriority w:val="34"/>
    <w:qFormat/>
    <w:rsid w:val="00133F2B"/>
    <w:pPr>
      <w:numPr>
        <w:numId w:val="13"/>
      </w:numPr>
      <w:spacing w:before="240"/>
    </w:pPr>
    <w:rPr>
      <w:lang w:val="en-AU"/>
    </w:rPr>
  </w:style>
  <w:style w:type="paragraph" w:styleId="Quote">
    <w:name w:val="Quote"/>
    <w:basedOn w:val="Normal"/>
    <w:next w:val="Normal"/>
    <w:link w:val="QuoteChar"/>
    <w:uiPriority w:val="29"/>
    <w:qFormat/>
    <w:rsid w:val="005F4764"/>
    <w:rPr>
      <w:i/>
      <w:iCs/>
      <w:color w:val="000000"/>
    </w:rPr>
  </w:style>
  <w:style w:type="character" w:customStyle="1" w:styleId="QuoteChar">
    <w:name w:val="Quote Char"/>
    <w:link w:val="Quote"/>
    <w:uiPriority w:val="29"/>
    <w:rsid w:val="005F4764"/>
    <w:rPr>
      <w:rFonts w:ascii="Arial" w:hAnsi="Arial"/>
      <w:i/>
      <w:iCs/>
      <w:color w:val="000000"/>
      <w:szCs w:val="24"/>
      <w:lang w:eastAsia="en-AU"/>
    </w:rPr>
  </w:style>
  <w:style w:type="paragraph" w:styleId="TOAHeading">
    <w:name w:val="toa heading"/>
    <w:basedOn w:val="Normal"/>
    <w:next w:val="Normal"/>
    <w:uiPriority w:val="99"/>
    <w:semiHidden/>
    <w:unhideWhenUsed/>
    <w:rsid w:val="005F4764"/>
    <w:pPr>
      <w:spacing w:before="120"/>
    </w:pPr>
    <w:rPr>
      <w:rFonts w:eastAsiaTheme="majorEastAsia" w:cstheme="majorBidi"/>
      <w:b/>
      <w:bCs/>
      <w:sz w:val="28"/>
    </w:rPr>
  </w:style>
  <w:style w:type="character" w:styleId="IntenseEmphasis">
    <w:name w:val="Intense Emphasis"/>
    <w:uiPriority w:val="21"/>
    <w:qFormat/>
    <w:rsid w:val="005F4764"/>
    <w:rPr>
      <w:rFonts w:ascii="Trebuchet MS" w:hAnsi="Trebuchet MS"/>
      <w:b/>
      <w:bCs/>
      <w:i/>
      <w:iCs/>
      <w:color w:val="000000" w:themeColor="text1"/>
      <w:sz w:val="22"/>
    </w:rPr>
  </w:style>
  <w:style w:type="paragraph" w:styleId="ListBullet">
    <w:name w:val="List Bullet"/>
    <w:basedOn w:val="List"/>
    <w:uiPriority w:val="99"/>
    <w:unhideWhenUsed/>
    <w:qFormat/>
    <w:rsid w:val="005F4764"/>
    <w:pPr>
      <w:numPr>
        <w:numId w:val="3"/>
      </w:numPr>
      <w:contextualSpacing w:val="0"/>
    </w:pPr>
  </w:style>
  <w:style w:type="paragraph" w:styleId="ListNumber2">
    <w:name w:val="List Number 2"/>
    <w:basedOn w:val="Normal"/>
    <w:uiPriority w:val="99"/>
    <w:unhideWhenUsed/>
    <w:rsid w:val="005F4764"/>
    <w:pPr>
      <w:numPr>
        <w:numId w:val="5"/>
      </w:numPr>
      <w:contextualSpacing/>
    </w:pPr>
  </w:style>
  <w:style w:type="paragraph" w:styleId="ListNumber3">
    <w:name w:val="List Number 3"/>
    <w:basedOn w:val="Normal"/>
    <w:link w:val="ListNumber3Char"/>
    <w:uiPriority w:val="99"/>
    <w:unhideWhenUsed/>
    <w:rsid w:val="005F4764"/>
    <w:pPr>
      <w:numPr>
        <w:numId w:val="6"/>
      </w:numPr>
      <w:contextualSpacing/>
    </w:pPr>
  </w:style>
  <w:style w:type="paragraph" w:styleId="ListNumber4">
    <w:name w:val="List Number 4"/>
    <w:basedOn w:val="Normal"/>
    <w:uiPriority w:val="99"/>
    <w:semiHidden/>
    <w:unhideWhenUsed/>
    <w:rsid w:val="005F4764"/>
    <w:pPr>
      <w:numPr>
        <w:numId w:val="7"/>
      </w:numPr>
      <w:contextualSpacing/>
    </w:pPr>
  </w:style>
  <w:style w:type="paragraph" w:styleId="ListNumber5">
    <w:name w:val="List Number 5"/>
    <w:basedOn w:val="Normal"/>
    <w:uiPriority w:val="99"/>
    <w:semiHidden/>
    <w:unhideWhenUsed/>
    <w:rsid w:val="005F4764"/>
    <w:pPr>
      <w:numPr>
        <w:numId w:val="8"/>
      </w:numPr>
      <w:contextualSpacing/>
    </w:pPr>
  </w:style>
  <w:style w:type="paragraph" w:styleId="ListNumber">
    <w:name w:val="List Number"/>
    <w:basedOn w:val="Normal"/>
    <w:uiPriority w:val="99"/>
    <w:unhideWhenUsed/>
    <w:rsid w:val="005F4764"/>
    <w:pPr>
      <w:numPr>
        <w:numId w:val="4"/>
      </w:numPr>
      <w:contextualSpacing/>
    </w:pPr>
  </w:style>
  <w:style w:type="paragraph" w:styleId="List">
    <w:name w:val="List"/>
    <w:basedOn w:val="Normal"/>
    <w:uiPriority w:val="99"/>
    <w:unhideWhenUsed/>
    <w:rsid w:val="005F4764"/>
    <w:pPr>
      <w:ind w:left="283" w:hanging="283"/>
      <w:contextualSpacing/>
    </w:pPr>
  </w:style>
  <w:style w:type="paragraph" w:styleId="List2">
    <w:name w:val="List 2"/>
    <w:basedOn w:val="Normal"/>
    <w:uiPriority w:val="99"/>
    <w:unhideWhenUsed/>
    <w:rsid w:val="005F4764"/>
    <w:pPr>
      <w:ind w:left="566" w:hanging="283"/>
      <w:contextualSpacing/>
    </w:pPr>
  </w:style>
  <w:style w:type="paragraph" w:styleId="List3">
    <w:name w:val="List 3"/>
    <w:basedOn w:val="Normal"/>
    <w:uiPriority w:val="99"/>
    <w:unhideWhenUsed/>
    <w:rsid w:val="005F4764"/>
    <w:pPr>
      <w:ind w:left="849" w:hanging="283"/>
      <w:contextualSpacing/>
    </w:pPr>
  </w:style>
  <w:style w:type="paragraph" w:styleId="List4">
    <w:name w:val="List 4"/>
    <w:basedOn w:val="Normal"/>
    <w:uiPriority w:val="99"/>
    <w:unhideWhenUsed/>
    <w:rsid w:val="005F4764"/>
    <w:pPr>
      <w:ind w:left="1132" w:hanging="283"/>
      <w:contextualSpacing/>
    </w:pPr>
  </w:style>
  <w:style w:type="numbering" w:styleId="111111">
    <w:name w:val="Outline List 2"/>
    <w:basedOn w:val="NoList"/>
    <w:uiPriority w:val="99"/>
    <w:semiHidden/>
    <w:unhideWhenUsed/>
    <w:rsid w:val="005F4764"/>
    <w:pPr>
      <w:numPr>
        <w:numId w:val="1"/>
      </w:numPr>
    </w:pPr>
  </w:style>
  <w:style w:type="character" w:customStyle="1" w:styleId="ListNumber3Char">
    <w:name w:val="List Number 3 Char"/>
    <w:basedOn w:val="DefaultParagraphFont"/>
    <w:link w:val="ListNumber3"/>
    <w:uiPriority w:val="99"/>
    <w:rsid w:val="005F4764"/>
    <w:rPr>
      <w:rFonts w:ascii="Times New Roman" w:hAnsi="Times New Roman" w:cstheme="minorBidi"/>
      <w:sz w:val="24"/>
      <w:szCs w:val="24"/>
      <w:lang w:val="en-US"/>
    </w:rPr>
  </w:style>
  <w:style w:type="character" w:customStyle="1" w:styleId="NumberedListChar">
    <w:name w:val="Numbered List Char"/>
    <w:basedOn w:val="ListNumber3Char"/>
    <w:link w:val="NumberedList"/>
    <w:rsid w:val="005F4764"/>
    <w:rPr>
      <w:rFonts w:ascii="Times New Roman" w:hAnsi="Times New Roman" w:cstheme="minorBidi"/>
      <w:sz w:val="24"/>
      <w:szCs w:val="24"/>
      <w:lang w:val="en-US"/>
    </w:rPr>
  </w:style>
  <w:style w:type="paragraph" w:styleId="BodyText">
    <w:name w:val="Body Text"/>
    <w:basedOn w:val="Normal"/>
    <w:link w:val="BodyTextChar"/>
    <w:uiPriority w:val="99"/>
    <w:unhideWhenUsed/>
    <w:rsid w:val="005F4764"/>
  </w:style>
  <w:style w:type="character" w:customStyle="1" w:styleId="BodyTextChar">
    <w:name w:val="Body Text Char"/>
    <w:basedOn w:val="DefaultParagraphFont"/>
    <w:link w:val="BodyText"/>
    <w:uiPriority w:val="99"/>
    <w:rsid w:val="005F4764"/>
    <w:rPr>
      <w:rFonts w:ascii="Arial" w:hAnsi="Arial"/>
      <w:szCs w:val="24"/>
      <w:lang w:eastAsia="en-AU"/>
    </w:rPr>
  </w:style>
  <w:style w:type="character" w:customStyle="1" w:styleId="Heading8Char">
    <w:name w:val="Heading 8 Char"/>
    <w:basedOn w:val="DefaultParagraphFont"/>
    <w:link w:val="Heading8"/>
    <w:uiPriority w:val="9"/>
    <w:rsid w:val="005F4764"/>
    <w:rPr>
      <w:rFonts w:ascii="Arial" w:eastAsiaTheme="majorEastAsia" w:hAnsi="Arial" w:cstheme="majorBidi"/>
      <w:color w:val="404040" w:themeColor="text1" w:themeTint="BF"/>
      <w:sz w:val="20"/>
      <w:szCs w:val="20"/>
      <w:lang w:eastAsia="en-AU"/>
    </w:rPr>
  </w:style>
  <w:style w:type="character" w:customStyle="1" w:styleId="Heading9Char">
    <w:name w:val="Heading 9 Char"/>
    <w:basedOn w:val="DefaultParagraphFont"/>
    <w:link w:val="Heading9"/>
    <w:uiPriority w:val="9"/>
    <w:rsid w:val="005F4764"/>
    <w:rPr>
      <w:rFonts w:ascii="Arial" w:eastAsiaTheme="majorEastAsia" w:hAnsi="Arial" w:cstheme="majorBidi"/>
      <w:i/>
      <w:iCs/>
      <w:color w:val="404040" w:themeColor="text1" w:themeTint="BF"/>
      <w:sz w:val="20"/>
      <w:szCs w:val="20"/>
      <w:lang w:eastAsia="en-AU"/>
    </w:rPr>
  </w:style>
  <w:style w:type="paragraph" w:styleId="TOCHeading">
    <w:name w:val="TOC Heading"/>
    <w:basedOn w:val="Heading1"/>
    <w:next w:val="Normal"/>
    <w:uiPriority w:val="39"/>
    <w:unhideWhenUsed/>
    <w:qFormat/>
    <w:rsid w:val="005F4764"/>
    <w:pPr>
      <w:outlineLvl w:val="9"/>
    </w:pPr>
    <w:rPr>
      <w:sz w:val="36"/>
      <w:szCs w:val="28"/>
    </w:rPr>
  </w:style>
  <w:style w:type="paragraph" w:customStyle="1" w:styleId="TableColumnHeading">
    <w:name w:val="Table Column Heading"/>
    <w:basedOn w:val="Normal"/>
    <w:rsid w:val="005F4764"/>
    <w:pPr>
      <w:widowControl w:val="0"/>
      <w:spacing w:before="120"/>
    </w:pPr>
    <w:rPr>
      <w:rFonts w:eastAsia="Times" w:cstheme="majorBidi"/>
      <w:b/>
      <w:iCs/>
      <w:color w:val="000000" w:themeColor="text1"/>
      <w:szCs w:val="20"/>
    </w:rPr>
  </w:style>
  <w:style w:type="paragraph" w:customStyle="1" w:styleId="TableColumnSub-Heading">
    <w:name w:val="Table Column Sub-Heading"/>
    <w:basedOn w:val="Normal"/>
    <w:rsid w:val="005F4764"/>
    <w:pPr>
      <w:keepNext/>
      <w:widowControl w:val="0"/>
      <w:spacing w:before="60" w:after="60"/>
    </w:pPr>
    <w:rPr>
      <w:b/>
      <w:sz w:val="20"/>
    </w:rPr>
  </w:style>
  <w:style w:type="paragraph" w:customStyle="1" w:styleId="TableRowHeading">
    <w:name w:val="Table Row Heading"/>
    <w:basedOn w:val="Normal"/>
    <w:rsid w:val="005F4764"/>
    <w:pPr>
      <w:keepNext/>
      <w:widowControl w:val="0"/>
      <w:spacing w:before="120"/>
    </w:pPr>
    <w:rPr>
      <w:b/>
      <w:i/>
      <w:sz w:val="20"/>
    </w:rPr>
  </w:style>
  <w:style w:type="table" w:customStyle="1" w:styleId="APRAWorkingPaperTable">
    <w:name w:val="APRA Working Paper Table"/>
    <w:basedOn w:val="TableNormal"/>
    <w:uiPriority w:val="99"/>
    <w:rsid w:val="005F4764"/>
    <w:pPr>
      <w:spacing w:after="0" w:line="240" w:lineRule="auto"/>
    </w:pPr>
    <w:rPr>
      <w:rFonts w:ascii="Arial" w:hAnsi="Arial"/>
      <w:sz w:val="20"/>
      <w:lang w:eastAsia="en-AU"/>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0" w:beforeAutospacing="0" w:afterLines="0" w:after="0" w:afterAutospacing="0" w:line="240" w:lineRule="auto"/>
        <w:ind w:leftChars="0" w:left="0" w:rightChars="0" w:right="0" w:firstLineChars="0" w:firstLine="0"/>
        <w:jc w:val="left"/>
        <w:outlineLvl w:val="3"/>
      </w:pPr>
      <w:rPr>
        <w:rFonts w:ascii="Trebuchet MS" w:hAnsi="Trebuchet MS"/>
        <w:b w:val="0"/>
        <w:i w:val="0"/>
        <w:sz w:val="22"/>
      </w:rPr>
      <w:tblPr/>
      <w:tcPr>
        <w:shd w:val="clear" w:color="auto" w:fill="8DB3E2" w:themeFill="text2" w:themeFillTint="66"/>
      </w:tcPr>
    </w:tblStylePr>
    <w:tblStylePr w:type="band1Vert">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styleId="BalloonText">
    <w:name w:val="Balloon Text"/>
    <w:basedOn w:val="Normal"/>
    <w:link w:val="BalloonTextChar"/>
    <w:uiPriority w:val="99"/>
    <w:semiHidden/>
    <w:unhideWhenUsed/>
    <w:rsid w:val="005F4764"/>
    <w:rPr>
      <w:rFonts w:cs="Tahoma"/>
      <w:sz w:val="16"/>
      <w:szCs w:val="16"/>
    </w:rPr>
  </w:style>
  <w:style w:type="character" w:customStyle="1" w:styleId="BalloonTextChar">
    <w:name w:val="Balloon Text Char"/>
    <w:basedOn w:val="DefaultParagraphFont"/>
    <w:link w:val="BalloonText"/>
    <w:uiPriority w:val="99"/>
    <w:semiHidden/>
    <w:rsid w:val="005F4764"/>
    <w:rPr>
      <w:rFonts w:ascii="Arial" w:hAnsi="Arial" w:cs="Tahoma"/>
      <w:sz w:val="16"/>
      <w:szCs w:val="16"/>
      <w:lang w:eastAsia="en-AU"/>
    </w:rPr>
  </w:style>
  <w:style w:type="character" w:styleId="FollowedHyperlink">
    <w:name w:val="FollowedHyperlink"/>
    <w:basedOn w:val="DefaultParagraphFont"/>
    <w:uiPriority w:val="99"/>
    <w:semiHidden/>
    <w:unhideWhenUsed/>
    <w:rsid w:val="005F4764"/>
    <w:rPr>
      <w:color w:val="800080" w:themeColor="followedHyperlink"/>
      <w:u w:val="single"/>
    </w:rPr>
  </w:style>
  <w:style w:type="paragraph" w:styleId="Title">
    <w:name w:val="Title"/>
    <w:basedOn w:val="Default"/>
    <w:next w:val="Normal"/>
    <w:link w:val="TitleChar"/>
    <w:uiPriority w:val="10"/>
    <w:qFormat/>
    <w:rsid w:val="00456B36"/>
    <w:rPr>
      <w:b/>
      <w:bCs/>
      <w:sz w:val="40"/>
      <w:szCs w:val="40"/>
    </w:rPr>
  </w:style>
  <w:style w:type="character" w:customStyle="1" w:styleId="TitleChar">
    <w:name w:val="Title Char"/>
    <w:basedOn w:val="DefaultParagraphFont"/>
    <w:link w:val="Title"/>
    <w:uiPriority w:val="10"/>
    <w:rsid w:val="00456B36"/>
    <w:rPr>
      <w:rFonts w:ascii="Times New Roman" w:hAnsi="Times New Roman"/>
      <w:b/>
      <w:bCs/>
      <w:color w:val="000000"/>
      <w:sz w:val="40"/>
      <w:szCs w:val="40"/>
    </w:rPr>
  </w:style>
  <w:style w:type="character" w:styleId="SubtleEmphasis">
    <w:name w:val="Subtle Emphasis"/>
    <w:basedOn w:val="DefaultParagraphFont"/>
    <w:uiPriority w:val="19"/>
    <w:qFormat/>
    <w:rsid w:val="005F4764"/>
    <w:rPr>
      <w:i/>
      <w:iCs/>
      <w:color w:val="808080" w:themeColor="text1" w:themeTint="7F"/>
    </w:rPr>
  </w:style>
  <w:style w:type="character" w:styleId="PlaceholderText">
    <w:name w:val="Placeholder Text"/>
    <w:basedOn w:val="DefaultParagraphFont"/>
    <w:uiPriority w:val="99"/>
    <w:semiHidden/>
    <w:rsid w:val="005F4764"/>
    <w:rPr>
      <w:color w:val="808080"/>
    </w:rPr>
  </w:style>
  <w:style w:type="paragraph" w:customStyle="1" w:styleId="APRASignature">
    <w:name w:val="APRA Signature"/>
    <w:basedOn w:val="Normal"/>
    <w:link w:val="APRASignatureChar"/>
    <w:qFormat/>
    <w:rsid w:val="005F4764"/>
    <w:rPr>
      <w:i/>
    </w:rPr>
  </w:style>
  <w:style w:type="character" w:customStyle="1" w:styleId="APRASignatureChar">
    <w:name w:val="APRA Signature Char"/>
    <w:basedOn w:val="DefaultParagraphFont"/>
    <w:link w:val="APRASignature"/>
    <w:rsid w:val="005F4764"/>
    <w:rPr>
      <w:rFonts w:ascii="Arial" w:hAnsi="Arial"/>
      <w:i/>
      <w:szCs w:val="24"/>
      <w:lang w:eastAsia="en-AU"/>
    </w:rPr>
  </w:style>
  <w:style w:type="paragraph" w:customStyle="1" w:styleId="APRAtabeltext">
    <w:name w:val="APRA tabel text"/>
    <w:basedOn w:val="Normal"/>
    <w:link w:val="APRAtabeltextChar"/>
    <w:qFormat/>
    <w:rsid w:val="005F4764"/>
    <w:pPr>
      <w:spacing w:before="60" w:after="60"/>
    </w:pPr>
    <w:rPr>
      <w:rFonts w:cs="Arial"/>
    </w:rPr>
  </w:style>
  <w:style w:type="character" w:customStyle="1" w:styleId="APRAtabeltextChar">
    <w:name w:val="APRA tabel text Char"/>
    <w:basedOn w:val="DefaultParagraphFont"/>
    <w:link w:val="APRAtabeltext"/>
    <w:rsid w:val="005F4764"/>
    <w:rPr>
      <w:rFonts w:ascii="Arial" w:hAnsi="Arial" w:cs="Arial"/>
      <w:szCs w:val="24"/>
      <w:lang w:eastAsia="en-AU"/>
    </w:rPr>
  </w:style>
  <w:style w:type="paragraph" w:customStyle="1" w:styleId="Bullet1">
    <w:name w:val="Bullet 1"/>
    <w:basedOn w:val="Normal"/>
    <w:link w:val="Bullet1Char"/>
    <w:qFormat/>
    <w:rsid w:val="00CC10DA"/>
    <w:pPr>
      <w:tabs>
        <w:tab w:val="left" w:pos="426"/>
      </w:tabs>
    </w:pPr>
    <w:rPr>
      <w:rFonts w:cs="Arial"/>
      <w:color w:val="000000"/>
      <w:szCs w:val="22"/>
    </w:rPr>
  </w:style>
  <w:style w:type="character" w:customStyle="1" w:styleId="Bullet1Char">
    <w:name w:val="Bullet 1 Char"/>
    <w:basedOn w:val="DefaultParagraphFont"/>
    <w:link w:val="Bullet1"/>
    <w:rsid w:val="00CC10DA"/>
    <w:rPr>
      <w:rFonts w:ascii="Arial" w:hAnsi="Arial" w:cs="Arial"/>
      <w:color w:val="000000"/>
      <w:lang w:eastAsia="en-AU"/>
    </w:rPr>
  </w:style>
  <w:style w:type="paragraph" w:customStyle="1" w:styleId="Bullet2">
    <w:name w:val="Bullet 2"/>
    <w:basedOn w:val="Normal"/>
    <w:link w:val="Bullet2Char"/>
    <w:qFormat/>
    <w:rsid w:val="00CC10DA"/>
    <w:pPr>
      <w:spacing w:before="240"/>
    </w:pPr>
    <w:rPr>
      <w:rFonts w:cs="Arial"/>
      <w:color w:val="000000"/>
      <w:szCs w:val="22"/>
    </w:rPr>
  </w:style>
  <w:style w:type="character" w:customStyle="1" w:styleId="Bullet2Char">
    <w:name w:val="Bullet 2 Char"/>
    <w:basedOn w:val="DefaultParagraphFont"/>
    <w:link w:val="Bullet2"/>
    <w:rsid w:val="00CC10DA"/>
    <w:rPr>
      <w:rFonts w:ascii="Arial" w:hAnsi="Arial" w:cs="Arial"/>
      <w:color w:val="000000"/>
      <w:lang w:eastAsia="en-AU"/>
    </w:rPr>
  </w:style>
  <w:style w:type="paragraph" w:customStyle="1" w:styleId="Bullet3">
    <w:name w:val="Bullet 3"/>
    <w:basedOn w:val="Normal"/>
    <w:link w:val="Bullet3Char"/>
    <w:qFormat/>
    <w:rsid w:val="00CC10DA"/>
    <w:rPr>
      <w:rFonts w:cs="Arial"/>
      <w:color w:val="000000"/>
    </w:rPr>
  </w:style>
  <w:style w:type="character" w:customStyle="1" w:styleId="Bullet3Char">
    <w:name w:val="Bullet 3 Char"/>
    <w:basedOn w:val="Bullet1Char"/>
    <w:link w:val="Bullet3"/>
    <w:rsid w:val="00CC10DA"/>
    <w:rPr>
      <w:rFonts w:ascii="Arial" w:hAnsi="Arial" w:cs="Arial"/>
      <w:color w:val="000000"/>
      <w:szCs w:val="24"/>
      <w:lang w:eastAsia="en-AU"/>
    </w:rPr>
  </w:style>
  <w:style w:type="paragraph" w:styleId="MacroText">
    <w:name w:val="macro"/>
    <w:link w:val="MacroTextChar"/>
    <w:uiPriority w:val="99"/>
    <w:semiHidden/>
    <w:unhideWhenUsed/>
    <w:rsid w:val="005F4764"/>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Arial" w:hAnsi="Arial"/>
      <w:sz w:val="20"/>
      <w:szCs w:val="20"/>
      <w:lang w:eastAsia="en-AU"/>
    </w:rPr>
  </w:style>
  <w:style w:type="character" w:customStyle="1" w:styleId="MacroTextChar">
    <w:name w:val="Macro Text Char"/>
    <w:basedOn w:val="DefaultParagraphFont"/>
    <w:link w:val="MacroText"/>
    <w:uiPriority w:val="99"/>
    <w:semiHidden/>
    <w:rsid w:val="005F4764"/>
    <w:rPr>
      <w:rFonts w:ascii="Arial" w:hAnsi="Arial"/>
      <w:sz w:val="20"/>
      <w:szCs w:val="20"/>
      <w:lang w:eastAsia="en-AU"/>
    </w:rPr>
  </w:style>
  <w:style w:type="paragraph" w:styleId="BlockText">
    <w:name w:val="Block Text"/>
    <w:basedOn w:val="Normal"/>
    <w:uiPriority w:val="99"/>
    <w:semiHidden/>
    <w:unhideWhenUsed/>
    <w:rsid w:val="005F4764"/>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i/>
      <w:iCs/>
      <w:color w:val="4F81BD" w:themeColor="accent1"/>
    </w:rPr>
  </w:style>
  <w:style w:type="table" w:styleId="ColorfulGrid">
    <w:name w:val="Colorful Grid"/>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5F4764"/>
    <w:pPr>
      <w:spacing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5F4764"/>
    <w:pPr>
      <w:spacing w:after="0" w:line="240" w:lineRule="auto"/>
    </w:pPr>
    <w:rPr>
      <w:rFonts w:ascii="Arial" w:hAnsi="Arial"/>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F4764"/>
    <w:pPr>
      <w:spacing w:after="0" w:line="240" w:lineRule="auto"/>
    </w:pPr>
    <w:rPr>
      <w:rFonts w:ascii="Arial" w:hAnsi="Arial"/>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5F4764"/>
    <w:pPr>
      <w:spacing w:after="0" w:line="240" w:lineRule="auto"/>
    </w:pPr>
    <w:rPr>
      <w:rFonts w:ascii="Arial" w:hAnsi="Arial"/>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EnvelopeAddress">
    <w:name w:val="envelope address"/>
    <w:basedOn w:val="Normal"/>
    <w:uiPriority w:val="99"/>
    <w:semiHidden/>
    <w:unhideWhenUsed/>
    <w:rsid w:val="005F4764"/>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sid w:val="005F4764"/>
    <w:rPr>
      <w:rFonts w:eastAsiaTheme="majorEastAsia" w:cstheme="majorBidi"/>
      <w:sz w:val="20"/>
      <w:szCs w:val="20"/>
    </w:rPr>
  </w:style>
  <w:style w:type="table" w:styleId="GridTable1Light">
    <w:name w:val="Grid Table 1 Light"/>
    <w:basedOn w:val="TableNormal"/>
    <w:uiPriority w:val="46"/>
    <w:rsid w:val="005F4764"/>
    <w:pPr>
      <w:spacing w:after="0" w:line="240" w:lineRule="auto"/>
    </w:pPr>
    <w:rPr>
      <w:rFonts w:ascii="Arial" w:hAnsi="Ari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F4764"/>
    <w:pPr>
      <w:spacing w:after="0" w:line="240" w:lineRule="auto"/>
    </w:pPr>
    <w:rPr>
      <w:rFonts w:ascii="Arial" w:hAnsi="Arial"/>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F4764"/>
    <w:pPr>
      <w:spacing w:after="0" w:line="240" w:lineRule="auto"/>
    </w:pPr>
    <w:rPr>
      <w:rFonts w:ascii="Arial" w:hAnsi="Arial"/>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F4764"/>
    <w:pPr>
      <w:spacing w:after="0" w:line="240" w:lineRule="auto"/>
    </w:pPr>
    <w:rPr>
      <w:rFonts w:ascii="Arial" w:hAnsi="Arial"/>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F4764"/>
    <w:pPr>
      <w:spacing w:after="0" w:line="240" w:lineRule="auto"/>
    </w:pPr>
    <w:rPr>
      <w:rFonts w:ascii="Arial" w:hAnsi="Arial"/>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F4764"/>
    <w:pPr>
      <w:spacing w:after="0" w:line="240" w:lineRule="auto"/>
    </w:pPr>
    <w:rPr>
      <w:rFonts w:ascii="Arial" w:hAnsi="Arial"/>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F4764"/>
    <w:pPr>
      <w:spacing w:after="0" w:line="240" w:lineRule="auto"/>
    </w:pPr>
    <w:rPr>
      <w:rFonts w:ascii="Arial" w:hAnsi="Arial"/>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F4764"/>
    <w:pPr>
      <w:spacing w:after="0" w:line="240" w:lineRule="auto"/>
    </w:pPr>
    <w:rPr>
      <w:rFonts w:ascii="Arial" w:hAnsi="Aria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F4764"/>
    <w:pPr>
      <w:spacing w:after="0" w:line="240" w:lineRule="auto"/>
    </w:pPr>
    <w:rPr>
      <w:rFonts w:ascii="Arial" w:hAnsi="Arial"/>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5F4764"/>
    <w:pPr>
      <w:spacing w:after="0" w:line="240" w:lineRule="auto"/>
    </w:pPr>
    <w:rPr>
      <w:rFonts w:ascii="Arial" w:hAnsi="Arial"/>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5F4764"/>
    <w:pPr>
      <w:spacing w:after="0" w:line="240" w:lineRule="auto"/>
    </w:pPr>
    <w:rPr>
      <w:rFonts w:ascii="Arial" w:hAnsi="Arial"/>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5F4764"/>
    <w:pPr>
      <w:spacing w:after="0" w:line="240" w:lineRule="auto"/>
    </w:pPr>
    <w:rPr>
      <w:rFonts w:ascii="Arial" w:hAnsi="Arial"/>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5F4764"/>
    <w:pPr>
      <w:spacing w:after="0" w:line="240" w:lineRule="auto"/>
    </w:pPr>
    <w:rPr>
      <w:rFonts w:ascii="Arial" w:hAnsi="Arial"/>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5F4764"/>
    <w:pPr>
      <w:spacing w:after="0" w:line="240" w:lineRule="auto"/>
    </w:pPr>
    <w:rPr>
      <w:rFonts w:ascii="Arial" w:hAnsi="Arial"/>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5F4764"/>
    <w:pPr>
      <w:spacing w:after="0" w:line="240" w:lineRule="auto"/>
    </w:pPr>
    <w:rPr>
      <w:rFonts w:ascii="Arial" w:hAnsi="Ari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F4764"/>
    <w:pPr>
      <w:spacing w:after="0" w:line="240" w:lineRule="auto"/>
    </w:pPr>
    <w:rPr>
      <w:rFonts w:ascii="Arial" w:hAnsi="Ari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5F4764"/>
    <w:pPr>
      <w:spacing w:after="0" w:line="240" w:lineRule="auto"/>
    </w:pPr>
    <w:rPr>
      <w:rFonts w:ascii="Arial" w:hAnsi="Arial"/>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5F4764"/>
    <w:pPr>
      <w:spacing w:after="0" w:line="240" w:lineRule="auto"/>
    </w:pPr>
    <w:rPr>
      <w:rFonts w:ascii="Arial" w:hAnsi="Arial"/>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5F4764"/>
    <w:pPr>
      <w:spacing w:after="0" w:line="240" w:lineRule="auto"/>
    </w:pPr>
    <w:rPr>
      <w:rFonts w:ascii="Arial" w:hAnsi="Arial"/>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5F4764"/>
    <w:pPr>
      <w:spacing w:after="0" w:line="240" w:lineRule="auto"/>
    </w:pPr>
    <w:rPr>
      <w:rFonts w:ascii="Arial" w:hAnsi="Arial"/>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5F4764"/>
    <w:pPr>
      <w:spacing w:after="0" w:line="240" w:lineRule="auto"/>
    </w:pPr>
    <w:rPr>
      <w:rFonts w:ascii="Arial" w:hAnsi="Arial"/>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5F4764"/>
    <w:pPr>
      <w:spacing w:after="0" w:line="240" w:lineRule="auto"/>
    </w:pPr>
    <w:rPr>
      <w:rFonts w:ascii="Arial" w:hAnsi="Ari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F4764"/>
    <w:pPr>
      <w:spacing w:after="0" w:line="240" w:lineRule="auto"/>
    </w:pPr>
    <w:rPr>
      <w:rFonts w:ascii="Arial" w:hAnsi="Ari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5F4764"/>
    <w:pPr>
      <w:spacing w:after="0" w:line="240" w:lineRule="auto"/>
    </w:pPr>
    <w:rPr>
      <w:rFonts w:ascii="Arial" w:hAnsi="Arial"/>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5F4764"/>
    <w:pPr>
      <w:spacing w:after="0" w:line="240" w:lineRule="auto"/>
    </w:pPr>
    <w:rPr>
      <w:rFonts w:ascii="Arial" w:hAnsi="Arial"/>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5F4764"/>
    <w:pPr>
      <w:spacing w:after="0" w:line="240" w:lineRule="auto"/>
    </w:pPr>
    <w:rPr>
      <w:rFonts w:ascii="Arial" w:hAnsi="Arial"/>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5F4764"/>
    <w:pPr>
      <w:spacing w:after="0" w:line="240" w:lineRule="auto"/>
    </w:pPr>
    <w:rPr>
      <w:rFonts w:ascii="Arial" w:hAnsi="Arial"/>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5F4764"/>
    <w:pPr>
      <w:spacing w:after="0" w:line="240" w:lineRule="auto"/>
    </w:pPr>
    <w:rPr>
      <w:rFonts w:ascii="Arial" w:hAnsi="Arial"/>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5F4764"/>
    <w:pPr>
      <w:spacing w:after="0" w:line="240" w:lineRule="auto"/>
    </w:pPr>
    <w:rPr>
      <w:rFonts w:ascii="Arial" w:hAnsi="Ari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5F4764"/>
    <w:pPr>
      <w:spacing w:after="0" w:line="240" w:lineRule="auto"/>
    </w:pPr>
    <w:rPr>
      <w:rFonts w:ascii="Arial" w:hAnsi="Arial"/>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F4764"/>
    <w:pPr>
      <w:spacing w:after="0" w:line="240" w:lineRule="auto"/>
    </w:pPr>
    <w:rPr>
      <w:rFonts w:ascii="Arial" w:hAnsi="Arial"/>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5F4764"/>
    <w:pPr>
      <w:spacing w:after="0" w:line="240" w:lineRule="auto"/>
    </w:pPr>
    <w:rPr>
      <w:rFonts w:ascii="Arial" w:hAnsi="Arial"/>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5F4764"/>
    <w:pPr>
      <w:spacing w:after="0" w:line="240" w:lineRule="auto"/>
    </w:pPr>
    <w:rPr>
      <w:rFonts w:ascii="Arial" w:hAnsi="Arial"/>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5F4764"/>
    <w:pPr>
      <w:spacing w:after="0" w:line="240" w:lineRule="auto"/>
    </w:pPr>
    <w:rPr>
      <w:rFonts w:ascii="Arial" w:hAnsi="Arial"/>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5F4764"/>
    <w:pPr>
      <w:spacing w:after="0" w:line="240" w:lineRule="auto"/>
    </w:pPr>
    <w:rPr>
      <w:rFonts w:ascii="Arial" w:hAnsi="Arial"/>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5F4764"/>
    <w:pPr>
      <w:spacing w:after="0" w:line="240" w:lineRule="auto"/>
    </w:pPr>
    <w:rPr>
      <w:rFonts w:ascii="Arial" w:hAnsi="Arial"/>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5F4764"/>
    <w:pPr>
      <w:spacing w:after="0" w:line="240" w:lineRule="auto"/>
    </w:pPr>
    <w:rPr>
      <w:rFonts w:ascii="Arial" w:hAnsi="Arial"/>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F4764"/>
    <w:pPr>
      <w:spacing w:after="0" w:line="240" w:lineRule="auto"/>
    </w:pPr>
    <w:rPr>
      <w:rFonts w:ascii="Arial" w:hAnsi="Arial"/>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5F4764"/>
    <w:pPr>
      <w:spacing w:after="0" w:line="240" w:lineRule="auto"/>
    </w:pPr>
    <w:rPr>
      <w:rFonts w:ascii="Arial" w:hAnsi="Arial"/>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5F4764"/>
    <w:pPr>
      <w:spacing w:after="0" w:line="240" w:lineRule="auto"/>
    </w:pPr>
    <w:rPr>
      <w:rFonts w:ascii="Arial" w:hAnsi="Arial"/>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5F4764"/>
    <w:pPr>
      <w:spacing w:after="0" w:line="240" w:lineRule="auto"/>
    </w:pPr>
    <w:rPr>
      <w:rFonts w:ascii="Arial" w:hAnsi="Arial"/>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5F4764"/>
    <w:pPr>
      <w:spacing w:after="0" w:line="240" w:lineRule="auto"/>
    </w:pPr>
    <w:rPr>
      <w:rFonts w:ascii="Arial" w:hAnsi="Arial"/>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5F4764"/>
    <w:pPr>
      <w:spacing w:after="0" w:line="240" w:lineRule="auto"/>
    </w:pPr>
    <w:rPr>
      <w:rFonts w:ascii="Arial" w:hAnsi="Arial"/>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styleId="Index1">
    <w:name w:val="index 1"/>
    <w:basedOn w:val="Normal"/>
    <w:next w:val="Normal"/>
    <w:autoRedefine/>
    <w:uiPriority w:val="99"/>
    <w:semiHidden/>
    <w:unhideWhenUsed/>
    <w:rsid w:val="005F4764"/>
    <w:pPr>
      <w:ind w:left="220" w:hanging="220"/>
    </w:pPr>
  </w:style>
  <w:style w:type="paragraph" w:styleId="IndexHeading">
    <w:name w:val="index heading"/>
    <w:basedOn w:val="Normal"/>
    <w:next w:val="Index1"/>
    <w:uiPriority w:val="99"/>
    <w:semiHidden/>
    <w:unhideWhenUsed/>
    <w:rsid w:val="005F4764"/>
    <w:rPr>
      <w:rFonts w:eastAsiaTheme="majorEastAsia" w:cstheme="majorBidi"/>
      <w:b/>
      <w:bCs/>
    </w:rPr>
  </w:style>
  <w:style w:type="table" w:styleId="LightGrid">
    <w:name w:val="Light Grid"/>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5F4764"/>
    <w:pPr>
      <w:spacing w:after="0" w:line="240" w:lineRule="auto"/>
    </w:pPr>
    <w:rPr>
      <w:rFonts w:ascii="Arial" w:hAnsi="Arial"/>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5F4764"/>
    <w:pPr>
      <w:spacing w:after="0" w:line="240" w:lineRule="auto"/>
    </w:pPr>
    <w:rPr>
      <w:rFonts w:ascii="Arial" w:hAnsi="Arial"/>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5F4764"/>
    <w:pPr>
      <w:spacing w:after="0" w:line="240" w:lineRule="auto"/>
    </w:pPr>
    <w:rPr>
      <w:rFonts w:ascii="Arial" w:hAnsi="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F4764"/>
    <w:pPr>
      <w:spacing w:after="0" w:line="240" w:lineRule="auto"/>
    </w:pPr>
    <w:rPr>
      <w:rFonts w:ascii="Arial" w:hAnsi="Arial"/>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5F4764"/>
    <w:pPr>
      <w:spacing w:after="0" w:line="240" w:lineRule="auto"/>
    </w:pPr>
    <w:rPr>
      <w:rFonts w:ascii="Arial" w:hAnsi="Arial"/>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5F4764"/>
    <w:pPr>
      <w:spacing w:after="0" w:line="240" w:lineRule="auto"/>
    </w:pPr>
    <w:rPr>
      <w:rFonts w:ascii="Arial" w:hAnsi="Arial"/>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5F4764"/>
    <w:pPr>
      <w:spacing w:after="0" w:line="240" w:lineRule="auto"/>
    </w:pPr>
    <w:rPr>
      <w:rFonts w:ascii="Arial" w:hAnsi="Arial"/>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5F4764"/>
    <w:pPr>
      <w:spacing w:after="0" w:line="240" w:lineRule="auto"/>
    </w:pPr>
    <w:rPr>
      <w:rFonts w:ascii="Arial" w:hAnsi="Arial"/>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5F4764"/>
    <w:pPr>
      <w:spacing w:after="0" w:line="240" w:lineRule="auto"/>
    </w:pPr>
    <w:rPr>
      <w:rFonts w:ascii="Arial" w:hAnsi="Arial"/>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Table1Light">
    <w:name w:val="List Table 1 Light"/>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5F4764"/>
    <w:pPr>
      <w:spacing w:after="0" w:line="240" w:lineRule="auto"/>
    </w:pPr>
    <w:rPr>
      <w:rFonts w:ascii="Arial" w:hAnsi="Arial"/>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5F4764"/>
    <w:pPr>
      <w:spacing w:after="0" w:line="240" w:lineRule="auto"/>
    </w:pPr>
    <w:rPr>
      <w:rFonts w:ascii="Arial" w:hAnsi="Arial"/>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F4764"/>
    <w:pPr>
      <w:spacing w:after="0" w:line="240" w:lineRule="auto"/>
    </w:pPr>
    <w:rPr>
      <w:rFonts w:ascii="Arial" w:hAnsi="Arial"/>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5F4764"/>
    <w:pPr>
      <w:spacing w:after="0" w:line="240" w:lineRule="auto"/>
    </w:pPr>
    <w:rPr>
      <w:rFonts w:ascii="Arial" w:hAnsi="Arial"/>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5F4764"/>
    <w:pPr>
      <w:spacing w:after="0" w:line="240" w:lineRule="auto"/>
    </w:pPr>
    <w:rPr>
      <w:rFonts w:ascii="Arial" w:hAnsi="Arial"/>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5F4764"/>
    <w:pPr>
      <w:spacing w:after="0" w:line="240" w:lineRule="auto"/>
    </w:pPr>
    <w:rPr>
      <w:rFonts w:ascii="Arial" w:hAnsi="Arial"/>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
    <w:name w:val="List Table 6 Colorful"/>
    <w:basedOn w:val="TableNormal"/>
    <w:uiPriority w:val="51"/>
    <w:rsid w:val="005F4764"/>
    <w:pPr>
      <w:spacing w:after="0" w:line="240" w:lineRule="auto"/>
    </w:pPr>
    <w:rPr>
      <w:rFonts w:ascii="Arial" w:hAnsi="Arial"/>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F4764"/>
    <w:pPr>
      <w:spacing w:after="0" w:line="240" w:lineRule="auto"/>
    </w:pPr>
    <w:rPr>
      <w:rFonts w:ascii="Arial" w:hAnsi="Arial"/>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5">
    <w:name w:val="List Table 6 Colorful Accent 5"/>
    <w:basedOn w:val="TableNormal"/>
    <w:uiPriority w:val="51"/>
    <w:rsid w:val="005F4764"/>
    <w:pPr>
      <w:spacing w:after="0" w:line="240" w:lineRule="auto"/>
    </w:pPr>
    <w:rPr>
      <w:rFonts w:ascii="Arial" w:hAnsi="Arial"/>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5F4764"/>
    <w:pPr>
      <w:spacing w:after="0" w:line="240" w:lineRule="auto"/>
    </w:pPr>
    <w:rPr>
      <w:rFonts w:ascii="Arial" w:hAnsi="Arial"/>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5F4764"/>
    <w:pPr>
      <w:spacing w:after="0" w:line="240" w:lineRule="auto"/>
    </w:pPr>
    <w:rPr>
      <w:rFonts w:ascii="Arial" w:hAnsi="Arial"/>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F4764"/>
    <w:pPr>
      <w:spacing w:after="0" w:line="240" w:lineRule="auto"/>
    </w:pPr>
    <w:rPr>
      <w:rFonts w:ascii="Arial" w:hAnsi="Arial"/>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F4764"/>
    <w:pPr>
      <w:spacing w:after="0" w:line="240" w:lineRule="auto"/>
    </w:pPr>
    <w:rPr>
      <w:rFonts w:ascii="Arial" w:hAnsi="Arial"/>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F4764"/>
    <w:pPr>
      <w:spacing w:after="0" w:line="240" w:lineRule="auto"/>
    </w:pPr>
    <w:rPr>
      <w:rFonts w:ascii="Arial" w:hAnsi="Arial"/>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F4764"/>
    <w:pPr>
      <w:spacing w:after="0" w:line="240" w:lineRule="auto"/>
    </w:pPr>
    <w:rPr>
      <w:rFonts w:ascii="Arial" w:hAnsi="Arial"/>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F4764"/>
    <w:pPr>
      <w:spacing w:after="0" w:line="240" w:lineRule="auto"/>
    </w:pPr>
    <w:rPr>
      <w:rFonts w:ascii="Arial" w:hAnsi="Arial"/>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F4764"/>
    <w:pPr>
      <w:spacing w:after="0" w:line="240" w:lineRule="auto"/>
    </w:pPr>
    <w:rPr>
      <w:rFonts w:ascii="Arial" w:hAnsi="Arial"/>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3">
    <w:name w:val="Medium Grid 1 Accent 3"/>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5F4764"/>
    <w:pPr>
      <w:spacing w:after="0" w:line="240" w:lineRule="auto"/>
    </w:pPr>
    <w:rPr>
      <w:rFonts w:ascii="Arial" w:hAnsi="Arial"/>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5F4764"/>
    <w:pPr>
      <w:spacing w:after="0" w:line="240" w:lineRule="auto"/>
    </w:pPr>
    <w:rPr>
      <w:rFonts w:ascii="Arial" w:hAnsi="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5F4764"/>
    <w:pPr>
      <w:spacing w:after="0" w:line="240" w:lineRule="auto"/>
    </w:pPr>
    <w:rPr>
      <w:rFonts w:ascii="Arial" w:hAnsi="Arial"/>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F4764"/>
    <w:pPr>
      <w:spacing w:after="0" w:line="240" w:lineRule="auto"/>
    </w:pPr>
    <w:rPr>
      <w:rFonts w:ascii="Arial" w:eastAsiaTheme="majorEastAsia" w:hAnsi="Arial"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F4764"/>
    <w:pPr>
      <w:spacing w:after="0" w:line="240" w:lineRule="auto"/>
    </w:pPr>
    <w:rPr>
      <w:rFonts w:ascii="Arial" w:hAnsi="Arial"/>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5F4764"/>
    <w:pPr>
      <w:spacing w:after="0" w:line="240" w:lineRule="auto"/>
    </w:pPr>
    <w:rPr>
      <w:rFonts w:ascii="Arial" w:hAnsi="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5F4764"/>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rPr>
  </w:style>
  <w:style w:type="character" w:customStyle="1" w:styleId="MessageHeaderChar">
    <w:name w:val="Message Header Char"/>
    <w:basedOn w:val="DefaultParagraphFont"/>
    <w:link w:val="MessageHeader"/>
    <w:uiPriority w:val="99"/>
    <w:semiHidden/>
    <w:rsid w:val="005F4764"/>
    <w:rPr>
      <w:rFonts w:ascii="Arial" w:eastAsiaTheme="majorEastAsia" w:hAnsi="Arial" w:cstheme="majorBidi"/>
      <w:sz w:val="24"/>
      <w:szCs w:val="24"/>
      <w:shd w:val="pct20" w:color="auto" w:fill="auto"/>
      <w:lang w:eastAsia="en-AU"/>
    </w:rPr>
  </w:style>
  <w:style w:type="paragraph" w:styleId="NormalWeb">
    <w:name w:val="Normal (Web)"/>
    <w:basedOn w:val="Normal"/>
    <w:uiPriority w:val="99"/>
    <w:semiHidden/>
    <w:unhideWhenUsed/>
    <w:rsid w:val="005F4764"/>
  </w:style>
  <w:style w:type="table" w:styleId="PlainTable1">
    <w:name w:val="Plain Table 1"/>
    <w:basedOn w:val="TableNormal"/>
    <w:uiPriority w:val="41"/>
    <w:rsid w:val="005F4764"/>
    <w:pPr>
      <w:spacing w:after="0" w:line="240" w:lineRule="auto"/>
    </w:pPr>
    <w:rPr>
      <w:rFonts w:ascii="Arial" w:hAnsi="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F4764"/>
    <w:pPr>
      <w:spacing w:after="0" w:line="240" w:lineRule="auto"/>
    </w:pPr>
    <w:rPr>
      <w:rFonts w:ascii="Arial" w:hAnsi="Ari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F4764"/>
    <w:pPr>
      <w:spacing w:after="0" w:line="240" w:lineRule="auto"/>
    </w:pPr>
    <w:rPr>
      <w:rFonts w:ascii="Arial" w:hAnsi="Ari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F4764"/>
    <w:pPr>
      <w:spacing w:after="0" w:line="240" w:lineRule="auto"/>
    </w:pPr>
    <w:rPr>
      <w:rFonts w:ascii="Arial" w:hAnsi="Ari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F4764"/>
    <w:pPr>
      <w:spacing w:after="0" w:line="240" w:lineRule="auto"/>
    </w:pPr>
    <w:rPr>
      <w:rFonts w:ascii="Arial" w:hAnsi="Ari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F4764"/>
    <w:rPr>
      <w:sz w:val="21"/>
      <w:szCs w:val="21"/>
    </w:rPr>
  </w:style>
  <w:style w:type="character" w:customStyle="1" w:styleId="PlainTextChar">
    <w:name w:val="Plain Text Char"/>
    <w:basedOn w:val="DefaultParagraphFont"/>
    <w:link w:val="PlainText"/>
    <w:uiPriority w:val="99"/>
    <w:semiHidden/>
    <w:rsid w:val="005F4764"/>
    <w:rPr>
      <w:rFonts w:ascii="Arial" w:hAnsi="Arial"/>
      <w:sz w:val="21"/>
      <w:szCs w:val="21"/>
      <w:lang w:eastAsia="en-AU"/>
    </w:rPr>
  </w:style>
  <w:style w:type="table" w:styleId="Table3Deffects1">
    <w:name w:val="Table 3D effects 1"/>
    <w:basedOn w:val="TableNormal"/>
    <w:uiPriority w:val="99"/>
    <w:semiHidden/>
    <w:unhideWhenUsed/>
    <w:rsid w:val="005F4764"/>
    <w:pPr>
      <w:spacing w:after="240" w:line="240" w:lineRule="auto"/>
      <w:jc w:val="both"/>
    </w:pPr>
    <w:rPr>
      <w:rFonts w:ascii="Arial" w:hAnsi="Ari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F4764"/>
    <w:pPr>
      <w:spacing w:after="240" w:line="240" w:lineRule="auto"/>
      <w:jc w:val="both"/>
    </w:pPr>
    <w:rPr>
      <w:rFonts w:ascii="Arial" w:hAnsi="Ari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F4764"/>
    <w:pPr>
      <w:spacing w:after="240" w:line="240" w:lineRule="auto"/>
      <w:jc w:val="both"/>
    </w:pPr>
    <w:rPr>
      <w:rFonts w:ascii="Arial" w:hAnsi="Ari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F4764"/>
    <w:pPr>
      <w:spacing w:after="240" w:line="240" w:lineRule="auto"/>
      <w:jc w:val="both"/>
    </w:pPr>
    <w:rPr>
      <w:rFonts w:ascii="Arial" w:hAnsi="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F4764"/>
    <w:pPr>
      <w:spacing w:after="240" w:line="240" w:lineRule="auto"/>
      <w:jc w:val="both"/>
    </w:pPr>
    <w:rPr>
      <w:rFonts w:ascii="Arial" w:hAnsi="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F4764"/>
    <w:pPr>
      <w:spacing w:after="240" w:line="240" w:lineRule="auto"/>
      <w:jc w:val="both"/>
    </w:pPr>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F4764"/>
    <w:pPr>
      <w:spacing w:after="240" w:line="240" w:lineRule="auto"/>
      <w:jc w:val="both"/>
    </w:pPr>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F4764"/>
    <w:pPr>
      <w:spacing w:after="240" w:line="240" w:lineRule="auto"/>
      <w:jc w:val="both"/>
    </w:pPr>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F4764"/>
    <w:pPr>
      <w:spacing w:after="240" w:line="240" w:lineRule="auto"/>
      <w:jc w:val="both"/>
    </w:pPr>
    <w:rPr>
      <w:rFonts w:ascii="Arial" w:hAnsi="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F4764"/>
    <w:pPr>
      <w:spacing w:after="240" w:line="240" w:lineRule="auto"/>
      <w:jc w:val="both"/>
    </w:pPr>
    <w:rPr>
      <w:rFonts w:ascii="Arial" w:hAnsi="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F4764"/>
    <w:pPr>
      <w:spacing w:after="240" w:line="240" w:lineRule="auto"/>
      <w:jc w:val="both"/>
    </w:pPr>
    <w:rPr>
      <w:rFonts w:ascii="Arial" w:hAnsi="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F4764"/>
    <w:pPr>
      <w:spacing w:after="240" w:line="240" w:lineRule="auto"/>
      <w:jc w:val="both"/>
    </w:pPr>
    <w:rPr>
      <w:rFonts w:ascii="Arial" w:hAnsi="Arial"/>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F4764"/>
    <w:pPr>
      <w:spacing w:after="240" w:line="240" w:lineRule="auto"/>
      <w:jc w:val="both"/>
    </w:pPr>
    <w:rPr>
      <w:rFonts w:ascii="Arial" w:hAnsi="Arial"/>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F4764"/>
    <w:pPr>
      <w:spacing w:after="240" w:line="240" w:lineRule="auto"/>
      <w:jc w:val="both"/>
    </w:pPr>
    <w:rPr>
      <w:rFonts w:ascii="Arial" w:hAnsi="Ari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F4764"/>
    <w:pPr>
      <w:spacing w:after="240" w:line="240" w:lineRule="auto"/>
      <w:jc w:val="both"/>
    </w:pPr>
    <w:rPr>
      <w:rFonts w:ascii="Arial" w:hAnsi="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F4764"/>
    <w:pPr>
      <w:spacing w:after="240" w:line="240" w:lineRule="auto"/>
      <w:jc w:val="both"/>
    </w:pPr>
    <w:rPr>
      <w:rFonts w:ascii="Arial" w:hAnsi="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F4764"/>
    <w:pPr>
      <w:spacing w:after="240" w:line="240" w:lineRule="auto"/>
      <w:jc w:val="both"/>
    </w:pPr>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F4764"/>
    <w:pPr>
      <w:spacing w:after="240" w:line="240" w:lineRule="auto"/>
      <w:jc w:val="both"/>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F4764"/>
    <w:pPr>
      <w:spacing w:after="240" w:line="240" w:lineRule="auto"/>
      <w:jc w:val="both"/>
    </w:pPr>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F4764"/>
    <w:pPr>
      <w:spacing w:after="240" w:line="240" w:lineRule="auto"/>
      <w:jc w:val="both"/>
    </w:pPr>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F4764"/>
    <w:pPr>
      <w:spacing w:after="240" w:line="240" w:lineRule="auto"/>
      <w:jc w:val="both"/>
    </w:pPr>
    <w:rPr>
      <w:rFonts w:ascii="Arial" w:hAnsi="Ari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F4764"/>
    <w:pPr>
      <w:spacing w:after="240" w:line="240" w:lineRule="auto"/>
      <w:jc w:val="both"/>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F4764"/>
    <w:pPr>
      <w:spacing w:after="240" w:line="240" w:lineRule="auto"/>
      <w:jc w:val="both"/>
    </w:pPr>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F4764"/>
    <w:pPr>
      <w:spacing w:after="240" w:line="240" w:lineRule="auto"/>
      <w:jc w:val="both"/>
    </w:pPr>
    <w:rPr>
      <w:rFonts w:ascii="Arial" w:hAnsi="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F4764"/>
    <w:pPr>
      <w:spacing w:after="240" w:line="240" w:lineRule="auto"/>
      <w:jc w:val="both"/>
    </w:pPr>
    <w:rPr>
      <w:rFonts w:ascii="Arial" w:hAnsi="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F4764"/>
    <w:pPr>
      <w:spacing w:after="0" w:line="240" w:lineRule="auto"/>
    </w:pPr>
    <w:rPr>
      <w:rFonts w:ascii="Arial" w:hAnsi="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F4764"/>
    <w:pPr>
      <w:spacing w:after="240" w:line="240" w:lineRule="auto"/>
      <w:jc w:val="both"/>
    </w:pPr>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F4764"/>
    <w:pPr>
      <w:spacing w:after="240" w:line="240" w:lineRule="auto"/>
      <w:jc w:val="both"/>
    </w:pPr>
    <w:rPr>
      <w:rFonts w:ascii="Arial" w:hAnsi="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F4764"/>
    <w:pPr>
      <w:spacing w:after="240" w:line="240" w:lineRule="auto"/>
      <w:jc w:val="both"/>
    </w:pPr>
    <w:rPr>
      <w:rFonts w:ascii="Arial" w:hAnsi="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F4764"/>
    <w:pPr>
      <w:spacing w:after="240" w:line="240" w:lineRule="auto"/>
      <w:jc w:val="both"/>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F4764"/>
    <w:pPr>
      <w:spacing w:after="240" w:line="240" w:lineRule="auto"/>
      <w:jc w:val="both"/>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F4764"/>
    <w:pPr>
      <w:spacing w:after="240" w:line="240" w:lineRule="auto"/>
      <w:jc w:val="both"/>
    </w:pPr>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F4764"/>
    <w:pPr>
      <w:spacing w:after="240" w:line="240" w:lineRule="auto"/>
      <w:jc w:val="both"/>
    </w:pPr>
    <w:rPr>
      <w:rFonts w:ascii="Arial" w:hAnsi="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F4764"/>
    <w:pPr>
      <w:spacing w:after="240" w:line="240" w:lineRule="auto"/>
      <w:jc w:val="both"/>
    </w:pPr>
    <w:rPr>
      <w:rFonts w:ascii="Arial" w:hAnsi="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5F4764"/>
    <w:pPr>
      <w:spacing w:after="240" w:line="240" w:lineRule="auto"/>
      <w:jc w:val="both"/>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F4764"/>
    <w:pPr>
      <w:spacing w:after="240" w:line="240" w:lineRule="auto"/>
      <w:jc w:val="both"/>
    </w:pPr>
    <w:rPr>
      <w:rFonts w:ascii="Arial" w:hAnsi="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F4764"/>
    <w:pPr>
      <w:spacing w:after="240" w:line="240" w:lineRule="auto"/>
      <w:jc w:val="both"/>
    </w:pPr>
    <w:rPr>
      <w:rFonts w:ascii="Arial" w:hAnsi="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F4764"/>
    <w:pPr>
      <w:spacing w:after="240" w:line="240" w:lineRule="auto"/>
      <w:jc w:val="both"/>
    </w:pPr>
    <w:rPr>
      <w:rFonts w:ascii="Arial" w:hAnsi="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F4764"/>
    <w:pPr>
      <w:spacing w:after="240" w:line="240" w:lineRule="auto"/>
      <w:jc w:val="both"/>
    </w:pPr>
    <w:rPr>
      <w:rFonts w:ascii="Arial" w:hAnsi="Ari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F4764"/>
    <w:pPr>
      <w:spacing w:after="240" w:line="240" w:lineRule="auto"/>
      <w:jc w:val="both"/>
    </w:pPr>
    <w:rPr>
      <w:rFonts w:ascii="Arial" w:hAnsi="Ari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F4764"/>
    <w:pPr>
      <w:spacing w:after="240" w:line="240" w:lineRule="auto"/>
      <w:jc w:val="both"/>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F4764"/>
    <w:pPr>
      <w:spacing w:after="240" w:line="240" w:lineRule="auto"/>
      <w:jc w:val="both"/>
    </w:pPr>
    <w:rPr>
      <w:rFonts w:ascii="Arial" w:hAnsi="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F4764"/>
    <w:pPr>
      <w:spacing w:after="240" w:line="240" w:lineRule="auto"/>
      <w:jc w:val="both"/>
    </w:pPr>
    <w:rPr>
      <w:rFonts w:ascii="Arial" w:hAnsi="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F4764"/>
    <w:pPr>
      <w:spacing w:after="240" w:line="240" w:lineRule="auto"/>
      <w:jc w:val="both"/>
    </w:pPr>
    <w:rPr>
      <w:rFonts w:ascii="Arial" w:hAnsi="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PRABullet1">
    <w:name w:val="APRA Bullet 1"/>
    <w:basedOn w:val="Normal"/>
    <w:link w:val="APRABullet1Char"/>
    <w:qFormat/>
    <w:rsid w:val="00F02FB1"/>
    <w:pPr>
      <w:numPr>
        <w:numId w:val="10"/>
      </w:numPr>
      <w:tabs>
        <w:tab w:val="left" w:pos="426"/>
      </w:tabs>
      <w:ind w:left="357" w:hanging="357"/>
    </w:pPr>
    <w:rPr>
      <w:rFonts w:cs="Arial"/>
      <w:color w:val="000000"/>
      <w:szCs w:val="22"/>
    </w:rPr>
  </w:style>
  <w:style w:type="character" w:customStyle="1" w:styleId="APRABullet1Char">
    <w:name w:val="APRA Bullet 1 Char"/>
    <w:basedOn w:val="DefaultParagraphFont"/>
    <w:link w:val="APRABullet1"/>
    <w:rsid w:val="00F02FB1"/>
    <w:rPr>
      <w:rFonts w:ascii="Times New Roman" w:hAnsi="Times New Roman" w:cs="Arial"/>
      <w:color w:val="000000"/>
      <w:sz w:val="24"/>
      <w:lang w:val="en-US"/>
    </w:rPr>
  </w:style>
  <w:style w:type="paragraph" w:customStyle="1" w:styleId="APRABullet2">
    <w:name w:val="APRA Bullet 2"/>
    <w:basedOn w:val="Normal"/>
    <w:link w:val="APRABullet2Char"/>
    <w:qFormat/>
    <w:rsid w:val="00F02FB1"/>
    <w:pPr>
      <w:numPr>
        <w:ilvl w:val="1"/>
        <w:numId w:val="11"/>
      </w:numPr>
      <w:tabs>
        <w:tab w:val="clear" w:pos="397"/>
        <w:tab w:val="num" w:pos="426"/>
      </w:tabs>
      <w:spacing w:before="240"/>
      <w:ind w:left="822"/>
    </w:pPr>
    <w:rPr>
      <w:rFonts w:cs="Arial"/>
      <w:color w:val="000000"/>
      <w:szCs w:val="22"/>
    </w:rPr>
  </w:style>
  <w:style w:type="character" w:customStyle="1" w:styleId="APRABullet2Char">
    <w:name w:val="APRA Bullet 2 Char"/>
    <w:basedOn w:val="DefaultParagraphFont"/>
    <w:link w:val="APRABullet2"/>
    <w:rsid w:val="00F02FB1"/>
    <w:rPr>
      <w:rFonts w:ascii="Times New Roman" w:hAnsi="Times New Roman" w:cs="Arial"/>
      <w:color w:val="000000"/>
      <w:sz w:val="24"/>
      <w:lang w:val="en-US"/>
    </w:rPr>
  </w:style>
  <w:style w:type="paragraph" w:customStyle="1" w:styleId="APRABullet3">
    <w:name w:val="APRA Bullet 3"/>
    <w:basedOn w:val="Normal"/>
    <w:link w:val="APRABullet3Char"/>
    <w:qFormat/>
    <w:rsid w:val="00F02FB1"/>
    <w:pPr>
      <w:numPr>
        <w:numId w:val="12"/>
      </w:numPr>
      <w:ind w:left="1208" w:hanging="357"/>
    </w:pPr>
    <w:rPr>
      <w:rFonts w:cs="Arial"/>
      <w:color w:val="000000"/>
    </w:rPr>
  </w:style>
  <w:style w:type="character" w:customStyle="1" w:styleId="APRABullet3Char">
    <w:name w:val="APRA Bullet 3 Char"/>
    <w:basedOn w:val="APRABullet1Char"/>
    <w:link w:val="APRABullet3"/>
    <w:rsid w:val="00F02FB1"/>
    <w:rPr>
      <w:rFonts w:ascii="Times New Roman" w:hAnsi="Times New Roman" w:cs="Arial"/>
      <w:color w:val="000000"/>
      <w:sz w:val="24"/>
      <w:szCs w:val="24"/>
      <w:lang w:val="en-US"/>
    </w:rPr>
  </w:style>
  <w:style w:type="paragraph" w:customStyle="1" w:styleId="Default">
    <w:name w:val="Default"/>
    <w:rsid w:val="00456B36"/>
    <w:pPr>
      <w:autoSpaceDE w:val="0"/>
      <w:autoSpaceDN w:val="0"/>
      <w:adjustRightInd w:val="0"/>
      <w:spacing w:after="0" w:line="240" w:lineRule="auto"/>
    </w:pPr>
    <w:rPr>
      <w:rFonts w:ascii="Times New Roman" w:hAnsi="Times New Roman"/>
      <w:color w:val="000000"/>
      <w:sz w:val="24"/>
      <w:szCs w:val="24"/>
    </w:rPr>
  </w:style>
  <w:style w:type="character" w:styleId="CommentReference">
    <w:name w:val="annotation reference"/>
    <w:basedOn w:val="DefaultParagraphFont"/>
    <w:uiPriority w:val="99"/>
    <w:semiHidden/>
    <w:unhideWhenUsed/>
    <w:rsid w:val="00133F2B"/>
    <w:rPr>
      <w:sz w:val="16"/>
      <w:szCs w:val="16"/>
    </w:rPr>
  </w:style>
  <w:style w:type="paragraph" w:styleId="CommentText">
    <w:name w:val="annotation text"/>
    <w:basedOn w:val="Normal"/>
    <w:link w:val="CommentTextChar"/>
    <w:uiPriority w:val="99"/>
    <w:unhideWhenUsed/>
    <w:rsid w:val="00133F2B"/>
    <w:pPr>
      <w:spacing w:line="240" w:lineRule="auto"/>
    </w:pPr>
    <w:rPr>
      <w:sz w:val="20"/>
      <w:szCs w:val="20"/>
    </w:rPr>
  </w:style>
  <w:style w:type="character" w:customStyle="1" w:styleId="CommentTextChar">
    <w:name w:val="Comment Text Char"/>
    <w:basedOn w:val="DefaultParagraphFont"/>
    <w:link w:val="CommentText"/>
    <w:uiPriority w:val="99"/>
    <w:rsid w:val="00133F2B"/>
    <w:rPr>
      <w:rFonts w:ascii="Times New Roman" w:hAnsi="Times New Roman" w:cstheme="minorBidi"/>
      <w:sz w:val="20"/>
      <w:szCs w:val="20"/>
      <w:lang w:val="en-US"/>
    </w:rPr>
  </w:style>
  <w:style w:type="paragraph" w:styleId="CommentSubject">
    <w:name w:val="annotation subject"/>
    <w:basedOn w:val="CommentText"/>
    <w:next w:val="CommentText"/>
    <w:link w:val="CommentSubjectChar"/>
    <w:uiPriority w:val="99"/>
    <w:semiHidden/>
    <w:unhideWhenUsed/>
    <w:rsid w:val="00133F2B"/>
    <w:rPr>
      <w:b/>
      <w:bCs/>
    </w:rPr>
  </w:style>
  <w:style w:type="character" w:customStyle="1" w:styleId="CommentSubjectChar">
    <w:name w:val="Comment Subject Char"/>
    <w:basedOn w:val="CommentTextChar"/>
    <w:link w:val="CommentSubject"/>
    <w:uiPriority w:val="99"/>
    <w:semiHidden/>
    <w:rsid w:val="00133F2B"/>
    <w:rPr>
      <w:rFonts w:ascii="Times New Roman" w:hAnsi="Times New Roman" w:cstheme="minorBidi"/>
      <w:b/>
      <w:bCs/>
      <w:sz w:val="20"/>
      <w:szCs w:val="20"/>
      <w:lang w:val="en-US"/>
    </w:rPr>
  </w:style>
  <w:style w:type="paragraph" w:customStyle="1" w:styleId="TableTextform">
    <w:name w:val="TableText form"/>
    <w:basedOn w:val="Normal"/>
    <w:qFormat/>
    <w:rsid w:val="00EA11C7"/>
    <w:pPr>
      <w:spacing w:before="40" w:after="240" w:line="240" w:lineRule="auto"/>
      <w:jc w:val="left"/>
    </w:pPr>
    <w:rPr>
      <w:rFonts w:ascii="Arial" w:eastAsiaTheme="majorEastAsia" w:hAnsi="Arial" w:cs="Arial"/>
      <w:bCs/>
      <w:sz w:val="20"/>
      <w:szCs w:val="20"/>
      <w:lang w:val="en-AU"/>
    </w:rPr>
  </w:style>
  <w:style w:type="table" w:customStyle="1" w:styleId="LightGrid-Accent21">
    <w:name w:val="Light Grid - Accent 21"/>
    <w:basedOn w:val="TableNormal"/>
    <w:next w:val="LightGrid-Accent2"/>
    <w:uiPriority w:val="62"/>
    <w:rsid w:val="000E4CDB"/>
    <w:pPr>
      <w:spacing w:after="0" w:line="240" w:lineRule="auto"/>
    </w:pPr>
    <w:rPr>
      <w:rFonts w:asciiTheme="minorHAnsi" w:eastAsiaTheme="minorEastAsia" w:hAnsiTheme="minorHAnsi" w:cstheme="minorBidi"/>
      <w:sz w:val="24"/>
      <w:szCs w:val="24"/>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auto"/>
    </w:tcPr>
    <w:tblStylePr w:type="firstRow">
      <w:pPr>
        <w:spacing w:before="0" w:after="0" w:line="240" w:lineRule="auto"/>
      </w:pPr>
      <w:rPr>
        <w:rFonts w:asciiTheme="majorHAnsi" w:eastAsiaTheme="majorEastAsia" w:hAnsiTheme="majorHAnsi" w:cstheme="majorBidi"/>
        <w:b/>
        <w:bCs/>
      </w:rPr>
      <w:tblPr/>
      <w:tcPr>
        <w:shd w:val="clear" w:color="auto" w:fill="CD0920"/>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Revision">
    <w:name w:val="Revision"/>
    <w:hidden/>
    <w:uiPriority w:val="99"/>
    <w:semiHidden/>
    <w:rsid w:val="00825F70"/>
    <w:pPr>
      <w:spacing w:after="0" w:line="240" w:lineRule="auto"/>
    </w:pPr>
    <w:rPr>
      <w:rFonts w:ascii="Times New Roman" w:hAnsi="Times New Roman" w:cstheme="minorBid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apra.gov.au/media-centre/media-releases/apra-and-asic-release-new-life-claims-data" TargetMode="External"/><Relationship Id="rId2" Type="http://schemas.openxmlformats.org/officeDocument/2006/relationships/hyperlink" Target="https://www.apra.gov.au/life-claims-data-collection" TargetMode="External"/><Relationship Id="rId1" Type="http://schemas.openxmlformats.org/officeDocument/2006/relationships/hyperlink" Target="https://www.apra.gov.au/media-centre/media-releases/launch-pilot-data-collection-life-insurance-claims" TargetMode="External"/></Relationships>
</file>

<file path=word/theme/theme1.xml><?xml version="1.0" encoding="utf-8"?>
<a:theme xmlns:a="http://schemas.openxmlformats.org/drawingml/2006/main" name="APRA">
  <a:themeElements>
    <a:clrScheme name="APRA">
      <a:dk1>
        <a:sysClr val="windowText" lastClr="000000"/>
      </a:dk1>
      <a:lt1>
        <a:sysClr val="window" lastClr="FFFFFF"/>
      </a:lt1>
      <a:dk2>
        <a:srgbClr val="1F497D"/>
      </a:dk2>
      <a:lt2>
        <a:srgbClr val="FFFFFF"/>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PRA">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14d62cb-2db6-4c25-ab62-b9075facbc11">
      <Value>83</Value>
      <Value>134</Value>
      <Value>158</Value>
      <Value>435</Value>
      <Value>26</Value>
      <Value>93</Value>
      <Value>24</Value>
      <Value>176</Value>
      <Value>175</Value>
      <Value>4</Value>
      <Value>1</Value>
      <Value>171</Value>
    </TaxCatchAll>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Data collection</TermName>
          <TermId xmlns="http://schemas.microsoft.com/office/infopath/2007/PartnerControls">9c208ec1-acb8-4005-ba1a-e7d4ed62ea16</TermId>
        </TermInfo>
        <TermInfo xmlns="http://schemas.microsoft.com/office/infopath/2007/PartnerControls">
          <TermName xmlns="http://schemas.microsoft.com/office/infopath/2007/PartnerControls">Development</TermName>
          <TermId xmlns="http://schemas.microsoft.com/office/infopath/2007/PartnerControls">7276960b-cd04-4fd9-bbf6-f5b03d867772</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Regulation impact statement</TermName>
          <TermId xmlns="http://schemas.microsoft.com/office/infopath/2007/PartnerControls">a6de7b22-aec6-40f3-a54e-dbfeb004713c</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UNCLASSIFIED</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 xsi:nil="true"/>
    <APRAApprovedBy xmlns="814d62cb-2db6-4c25-ab62-b9075facbc11">
      <UserInfo>
        <DisplayName/>
        <AccountId xsi:nil="true"/>
        <AccountType/>
      </UserInfo>
    </APRAApprovedBy>
    <APRAMeetingDate xmlns="814d62cb-2db6-4c25-ab62-b9075facbc11" xsi:nil="true"/>
    <APRAMeetingNumber xmlns="814d62cb-2db6-4c25-ab62-b9075facbc11" xsi:nil="true"/>
    <APRADate xmlns="814d62cb-2db6-4c25-ab62-b9075facbc11" xsi:nil="true"/>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0e1556d2-3fe8-443a-ada7-3620563b46b3</TermId>
        </TermInfo>
      </Terms>
    </j163382b748246d3b6e7caae71dbeeb0>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l003ee8eff60461aa1bd0027aba92ea4>
    <APRADescription xmlns="814d62cb-2db6-4c25-ab62-b9075facbc11" xsi:nil="true"/>
    <APRAActivityID xmlns="814d62cb-2db6-4c25-ab62-b9075facbc11" xsi:nil="true"/>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PAD300</TermName>
          <TermId xmlns="http://schemas.microsoft.com/office/infopath/2007/PartnerControls">98bbdbe4-d019-48eb-87c4-aa31a7f2f98f</TermId>
        </TermInfo>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Info xmlns="http://schemas.microsoft.com/office/infopath/2007/PartnerControls">
          <TermName xmlns="http://schemas.microsoft.com/office/infopath/2007/PartnerControls">Legal - Resolution ＆ Corporate</TermName>
          <TermId xmlns="http://schemas.microsoft.com/office/infopath/2007/PartnerControls">696624b1-19f4-47b2-a07b-57868a922a96</TermId>
        </TermInfo>
      </Terms>
    </p10c80fc2da942ae8f2ea9b33b6ea0ba>
    <i08e72d8ce2b4ffa9361f9f4e0a63abc xmlns="814d62cb-2db6-4c25-ab62-b9075facbc11">
      <Terms xmlns="http://schemas.microsoft.com/office/infopath/2007/PartnerControls">
        <TermInfo xmlns="http://schemas.microsoft.com/office/infopath/2007/PartnerControls">
          <TermName xmlns="http://schemas.microsoft.com/office/infopath/2007/PartnerControls">2018</TermName>
          <TermId xmlns="http://schemas.microsoft.com/office/infopath/2007/PartnerControls">337d548e-be9a-4363-bbb3-ec2b7c3daa90</TermId>
        </TermInfo>
      </Terms>
    </i08e72d8ce2b4ffa9361f9f4e0a63abc>
    <APRADocScanCheck xmlns="814d62cb-2db6-4c25-ab62-b9075facbc11">false</APRADocScanCheck>
    <aa36a5a650d54f768f171f4d17b8b238 xmlns="814d62cb-2db6-4c25-ab62-b9075facbc11">
      <Terms xmlns="http://schemas.microsoft.com/office/infopath/2007/PartnerControls"/>
    </aa36a5a650d54f768f171f4d17b8b238>
    <_dlc_DocId xmlns="814d62cb-2db6-4c25-ab62-b9075facbc11">5JENXJJSCC7A-445999044-8758</_dlc_DocId>
    <_dlc_DocIdUrl xmlns="814d62cb-2db6-4c25-ab62-b9075facbc11">
      <Url>https://im/teams/LEGAL/_layouts/15/DocIdRedir.aspx?ID=5JENXJJSCC7A-445999044-8758</Url>
      <Description>5JENXJJSCC7A-445999044-8758</Description>
    </_dlc_DocIdUrl>
  </documentManagement>
</p:properties>
</file>

<file path=customXml/item3.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4.xml><?xml version="1.0" encoding="utf-8"?>
<?mso-contentType ?>
<SharedContentType xmlns="Microsoft.SharePoint.Taxonomy.ContentTypeSync" SourceId="8aef97a4-ded2-4e4a-9fbc-e666dae3ecd2" ContentTypeId="0x0101008CA7A4F8331B45C7B0D3158B4994D0CA02"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41" ma:contentTypeDescription="Create a new document." ma:contentTypeScope="" ma:versionID="593a7336944447a431342e13939a075b">
  <xsd:schema xmlns:xsd="http://www.w3.org/2001/XMLSchema" xmlns:xs="http://www.w3.org/2001/XMLSchema" xmlns:p="http://schemas.microsoft.com/office/2006/metadata/properties" xmlns:ns1="814d62cb-2db6-4c25-ab62-b9075facbc11" targetNamespace="http://schemas.microsoft.com/office/2006/metadata/properties" ma:root="true" ma:fieldsID="f09e4a90de645c7ef264041fb58de94c"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DLM: For Official Use Only" ma:hidden="true" ma:internalName="APRASecurityClassification" ma:readOnly="false">
      <xsd:simpleType>
        <xsd:restriction base="dms:Choice">
          <xsd:enumeration value="UNCLASSIFIED"/>
          <xsd:enumeration value="DLM: For Official Use Only"/>
          <xsd:enumeration value="DLM: Sensitive"/>
          <xsd:enumeration value="DLM: Sensitive: Legal"/>
          <xsd:enumeration value="DLM: Sensitive: Personal"/>
          <xsd:enumeration value="PROTECTED"/>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66A73-BA10-4667-A8EB-48F458A0C284}">
  <ds:schemaRefs>
    <ds:schemaRef ds:uri="http://schemas.microsoft.com/sharepoint/v3/contenttype/forms"/>
  </ds:schemaRefs>
</ds:datastoreItem>
</file>

<file path=customXml/itemProps2.xml><?xml version="1.0" encoding="utf-8"?>
<ds:datastoreItem xmlns:ds="http://schemas.openxmlformats.org/officeDocument/2006/customXml" ds:itemID="{2EC858CB-B427-494D-877A-7E45AE1EEE1F}">
  <ds:schemaRefs>
    <ds:schemaRef ds:uri="http://purl.org/dc/elements/1.1/"/>
    <ds:schemaRef ds:uri="http://schemas.microsoft.com/office/2006/metadata/properties"/>
    <ds:schemaRef ds:uri="814d62cb-2db6-4c25-ab62-b9075facbc1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08D004BE-0F74-4743-90AD-5A5BC1CB7B23}">
  <ds:schemaRefs>
    <ds:schemaRef ds:uri="http://schemas.microsoft.com/office/2006/customDocumentInformationPanel"/>
  </ds:schemaRefs>
</ds:datastoreItem>
</file>

<file path=customXml/itemProps4.xml><?xml version="1.0" encoding="utf-8"?>
<ds:datastoreItem xmlns:ds="http://schemas.openxmlformats.org/officeDocument/2006/customXml" ds:itemID="{2439FE0D-8669-435F-9CE2-198E7E630246}">
  <ds:schemaRefs>
    <ds:schemaRef ds:uri="Microsoft.SharePoint.Taxonomy.ContentTypeSync"/>
  </ds:schemaRefs>
</ds:datastoreItem>
</file>

<file path=customXml/itemProps5.xml><?xml version="1.0" encoding="utf-8"?>
<ds:datastoreItem xmlns:ds="http://schemas.openxmlformats.org/officeDocument/2006/customXml" ds:itemID="{E49D08B3-618E-4B36-9A32-FCACE922BDCB}">
  <ds:schemaRefs>
    <ds:schemaRef ds:uri="http://schemas.microsoft.com/sharepoint/events"/>
  </ds:schemaRefs>
</ds:datastoreItem>
</file>

<file path=customXml/itemProps6.xml><?xml version="1.0" encoding="utf-8"?>
<ds:datastoreItem xmlns:ds="http://schemas.openxmlformats.org/officeDocument/2006/customXml" ds:itemID="{141C8649-E1BC-49BA-9054-6A07344F80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2490F3C8-2D0C-473B-A298-BFCC1BA7A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4128</Words>
  <Characters>22797</Characters>
  <Application>Microsoft Office Word</Application>
  <DocSecurity>4</DocSecurity>
  <Lines>409</Lines>
  <Paragraphs>136</Paragraphs>
  <ScaleCrop>false</ScaleCrop>
  <HeadingPairs>
    <vt:vector size="2" baseType="variant">
      <vt:variant>
        <vt:lpstr>Title</vt:lpstr>
      </vt:variant>
      <vt:variant>
        <vt:i4>1</vt:i4>
      </vt:variant>
    </vt:vector>
  </HeadingPairs>
  <TitlesOfParts>
    <vt:vector size="1" baseType="lpstr">
      <vt:lpstr>ARS 223 RIS</vt:lpstr>
    </vt:vector>
  </TitlesOfParts>
  <Company>APRA</Company>
  <LinksUpToDate>false</LinksUpToDate>
  <CharactersWithSpaces>26864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ARS 223 RIS</dc:title>
  <dc:subject/>
  <dc:creator>Kwong, Leron</dc:creator>
  <cp:keywords>;Life claims;OBPR ID 23799 [SEC=UNCLASSIFIED]</cp:keywords>
  <dc:description/>
  <cp:lastModifiedBy>Li, Joanne</cp:lastModifiedBy>
  <cp:revision>2</cp:revision>
  <cp:lastPrinted>2018-10-08T05:51:00Z</cp:lastPrinted>
  <dcterms:created xsi:type="dcterms:W3CDTF">2018-10-26T05:12:00Z</dcterms:created>
  <dcterms:modified xsi:type="dcterms:W3CDTF">2018-10-26T05:12:00Z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Value_Footer">
    <vt:lpwstr>UNCLASSIFIED</vt:lpwstr>
  </property>
  <property fmtid="{D5CDD505-2E9C-101B-9397-08002B2CF9AE}" pid="3" name="PM_Caveats_Count">
    <vt:lpwstr>0</vt:lpwstr>
  </property>
  <property fmtid="{D5CDD505-2E9C-101B-9397-08002B2CF9AE}" pid="4" name="PM_SecurityClassification">
    <vt:lpwstr>UNCLASSIFIED</vt:lpwstr>
  </property>
  <property fmtid="{D5CDD505-2E9C-101B-9397-08002B2CF9AE}" pid="5" name="PM_DisplayValueSecClassificationWithQualifier">
    <vt:lpwstr>UNCLASSIFIED</vt:lpwstr>
  </property>
  <property fmtid="{D5CDD505-2E9C-101B-9397-08002B2CF9AE}" pid="6" name="PM_Qualifier">
    <vt:lpwstr/>
  </property>
  <property fmtid="{D5CDD505-2E9C-101B-9397-08002B2CF9AE}" pid="7" name="PM_Hash_SHA1">
    <vt:lpwstr>C9EDA363F9B5EEB75AE9CB777E6F18194CB241A4</vt:lpwstr>
  </property>
  <property fmtid="{D5CDD505-2E9C-101B-9397-08002B2CF9AE}" pid="8" name="PM_ProtectiveMarkingImage_Header">
    <vt:lpwstr>C:\Program Files (x86)\Common Files\janusNET Shared\janusSEAL\Images\DocumentSlashBlue.png</vt:lpwstr>
  </property>
  <property fmtid="{D5CDD505-2E9C-101B-9397-08002B2CF9AE}" pid="9" name="PM_InsertionValue">
    <vt:lpwstr>UNCLASSIFIED</vt:lpwstr>
  </property>
  <property fmtid="{D5CDD505-2E9C-101B-9397-08002B2CF9AE}" pid="10" name="PM_ProtectiveMarkingValue_Header">
    <vt:lpwstr>UNCLASSIFIED</vt:lpwstr>
  </property>
  <property fmtid="{D5CDD505-2E9C-101B-9397-08002B2CF9AE}" pid="11" name="PM_ProtectiveMarkingImage_Footer">
    <vt:lpwstr>C:\Program Files (x86)\Common Files\janusNET Shared\janusSEAL\Images\DocumentSlashBlue.png</vt:lpwstr>
  </property>
  <property fmtid="{D5CDD505-2E9C-101B-9397-08002B2CF9AE}" pid="12" name="PM_Namespace">
    <vt:lpwstr>gov.au</vt:lpwstr>
  </property>
  <property fmtid="{D5CDD505-2E9C-101B-9397-08002B2CF9AE}" pid="13" name="PM_Version">
    <vt:lpwstr>2012.3</vt:lpwstr>
  </property>
  <property fmtid="{D5CDD505-2E9C-101B-9397-08002B2CF9AE}" pid="14" name="PM_Originating_FileId">
    <vt:lpwstr>DBCE173301AB41B3BC3B603A759E1841</vt:lpwstr>
  </property>
  <property fmtid="{D5CDD505-2E9C-101B-9397-08002B2CF9AE}" pid="15" name="PM_OriginationTimeStamp">
    <vt:lpwstr>2018-01-04T02:46:41Z</vt:lpwstr>
  </property>
  <property fmtid="{D5CDD505-2E9C-101B-9397-08002B2CF9AE}" pid="16" name="PM_Hash_Version">
    <vt:lpwstr>2016.1</vt:lpwstr>
  </property>
  <property fmtid="{D5CDD505-2E9C-101B-9397-08002B2CF9AE}" pid="17" name="PM_Hash_Salt_Prev">
    <vt:lpwstr>7E11DE03C0C60498953668737BCEB40B</vt:lpwstr>
  </property>
  <property fmtid="{D5CDD505-2E9C-101B-9397-08002B2CF9AE}" pid="18" name="PM_Hash_Salt">
    <vt:lpwstr>5FDEEA8CA4E2EA1FF2507FA84A8F1B6A</vt:lpwstr>
  </property>
  <property fmtid="{D5CDD505-2E9C-101B-9397-08002B2CF9AE}" pid="19" name="PM_MinimumSecurityClassification">
    <vt:lpwstr/>
  </property>
  <property fmtid="{D5CDD505-2E9C-101B-9397-08002B2CF9AE}" pid="20" name="ContentTypeId">
    <vt:lpwstr>0x0101008CA7A4F8331B45C7B0D3158B4994D0CA0200577EC0F5A1FBFC498F9A8436B963F8A6</vt:lpwstr>
  </property>
  <property fmtid="{D5CDD505-2E9C-101B-9397-08002B2CF9AE}" pid="21" name="APRAExternalOrganisation">
    <vt:lpwstr/>
  </property>
  <property fmtid="{D5CDD505-2E9C-101B-9397-08002B2CF9AE}" pid="22" name="APRAIRTR">
    <vt:lpwstr/>
  </property>
  <property fmtid="{D5CDD505-2E9C-101B-9397-08002B2CF9AE}" pid="23" name="APRAPeriod">
    <vt:lpwstr/>
  </property>
  <property fmtid="{D5CDD505-2E9C-101B-9397-08002B2CF9AE}" pid="24" name="APRACostCentre">
    <vt:lpwstr>158;#PAD300|98bbdbe4-d019-48eb-87c4-aa31a7f2f98f;#24;#Legal - ADI|652d8d2a-ab45-47b4-ac6e-fe6ac9299b39;#26;#Legal - Insurance: General|8229dc1a-d7f2-47b2-844a-b026fed0c13d;#83;#Legal - Insurance: Life|56f18b50-6605-4f3f-97e3-cad1cb5394e0;#93;#Legal - Insurance: Health|21611e62-d688-4f0d-8807-02701cc43699;#134;#Legal - Superannuation|cce3181d-fd23-4eee-94d3-c66abc2350cf;#4;#Legal - Resolution ＆ Corporate|696624b1-19f4-47b2-a07b-57868a922a96</vt:lpwstr>
  </property>
  <property fmtid="{D5CDD505-2E9C-101B-9397-08002B2CF9AE}" pid="25" name="IT system type">
    <vt:lpwstr/>
  </property>
  <property fmtid="{D5CDD505-2E9C-101B-9397-08002B2CF9AE}" pid="26" name="APRACategory">
    <vt:lpwstr/>
  </property>
  <property fmtid="{D5CDD505-2E9C-101B-9397-08002B2CF9AE}" pid="27" name="APRAPRSG">
    <vt:lpwstr/>
  </property>
  <property fmtid="{D5CDD505-2E9C-101B-9397-08002B2CF9AE}" pid="28" name="APRADocumentType">
    <vt:lpwstr>435;#Regulation impact statement|a6de7b22-aec6-40f3-a54e-dbfeb004713c</vt:lpwstr>
  </property>
  <property fmtid="{D5CDD505-2E9C-101B-9397-08002B2CF9AE}" pid="29" name="APRAStatus">
    <vt:lpwstr>1;#Draft|0e1556d2-3fe8-443a-ada7-3620563b46b3</vt:lpwstr>
  </property>
  <property fmtid="{D5CDD505-2E9C-101B-9397-08002B2CF9AE}" pid="30" name="APRAActivity">
    <vt:lpwstr>175;#Data collection|9c208ec1-acb8-4005-ba1a-e7d4ed62ea16;#176;#Development|7276960b-cd04-4fd9-bbf6-f5b03d867772</vt:lpwstr>
  </property>
  <property fmtid="{D5CDD505-2E9C-101B-9397-08002B2CF9AE}" pid="31" name="APRAEntityAdviceSupport">
    <vt:lpwstr/>
  </property>
  <property fmtid="{D5CDD505-2E9C-101B-9397-08002B2CF9AE}" pid="32" name="APRALegislation">
    <vt:lpwstr/>
  </property>
  <property fmtid="{D5CDD505-2E9C-101B-9397-08002B2CF9AE}" pid="33" name="APRAYear">
    <vt:lpwstr>171;#2018|337d548e-be9a-4363-bbb3-ec2b7c3daa90</vt:lpwstr>
  </property>
  <property fmtid="{D5CDD505-2E9C-101B-9397-08002B2CF9AE}" pid="34" name="APRAIndustry">
    <vt:lpwstr/>
  </property>
  <property fmtid="{D5CDD505-2E9C-101B-9397-08002B2CF9AE}" pid="35" name="_dlc_DocIdItemGuid">
    <vt:lpwstr>291fe3fb-2ab7-4b58-8640-3fdaf4f551f0</vt:lpwstr>
  </property>
  <property fmtid="{D5CDD505-2E9C-101B-9397-08002B2CF9AE}" pid="36" name="RecordPoint_WorkflowType">
    <vt:lpwstr>ActiveSubmitStub</vt:lpwstr>
  </property>
  <property fmtid="{D5CDD505-2E9C-101B-9397-08002B2CF9AE}" pid="37" name="RecordPoint_ActiveItemWebId">
    <vt:lpwstr>{b7c132af-ef8f-43c8-b784-c343c8358833}</vt:lpwstr>
  </property>
  <property fmtid="{D5CDD505-2E9C-101B-9397-08002B2CF9AE}" pid="38" name="RecordPoint_ActiveItemSiteId">
    <vt:lpwstr>{0108aca2-193a-480a-9365-26eca985c6f0}</vt:lpwstr>
  </property>
  <property fmtid="{D5CDD505-2E9C-101B-9397-08002B2CF9AE}" pid="39" name="RecordPoint_ActiveItemListId">
    <vt:lpwstr>{8524f2be-f3e8-4e4e-b114-b0bf6497a529}</vt:lpwstr>
  </property>
  <property fmtid="{D5CDD505-2E9C-101B-9397-08002B2CF9AE}" pid="40" name="RecordPoint_ActiveItemUniqueId">
    <vt:lpwstr>{e2b332f8-c149-49ce-9a71-4bcad38543fd}</vt:lpwstr>
  </property>
  <property fmtid="{D5CDD505-2E9C-101B-9397-08002B2CF9AE}" pid="41" name="PM_SecurityClassification_Prev">
    <vt:lpwstr>UNCLASSIFIED</vt:lpwstr>
  </property>
  <property fmtid="{D5CDD505-2E9C-101B-9397-08002B2CF9AE}" pid="42" name="PM_Qualifier_Prev">
    <vt:lpwstr/>
  </property>
  <property fmtid="{D5CDD505-2E9C-101B-9397-08002B2CF9AE}" pid="43" name="IsLocked">
    <vt:lpwstr>False</vt:lpwstr>
  </property>
  <property fmtid="{D5CDD505-2E9C-101B-9397-08002B2CF9AE}" pid="44" name="RecordPoint_RecordNumberSubmitted">
    <vt:lpwstr>R0000374332</vt:lpwstr>
  </property>
  <property fmtid="{D5CDD505-2E9C-101B-9397-08002B2CF9AE}" pid="45" name="RecordPoint_SubmissionCompleted">
    <vt:lpwstr>2018-10-10T16:34:19.6167412+11:00</vt:lpwstr>
  </property>
  <property fmtid="{D5CDD505-2E9C-101B-9397-08002B2CF9AE}" pid="46" name="PM_Originator_Hash_SHA1">
    <vt:lpwstr>AC7FC639A3FA8F71687990FCF49925688D147567</vt:lpwstr>
  </property>
  <property fmtid="{D5CDD505-2E9C-101B-9397-08002B2CF9AE}" pid="47" name="RecordPoint_SubmissionDate">
    <vt:lpwstr/>
  </property>
  <property fmtid="{D5CDD505-2E9C-101B-9397-08002B2CF9AE}" pid="48" name="RecordPoint_ActiveItemMoved">
    <vt:lpwstr/>
  </property>
  <property fmtid="{D5CDD505-2E9C-101B-9397-08002B2CF9AE}" pid="49" name="RecordPoint_RecordFormat">
    <vt:lpwstr/>
  </property>
  <property fmtid="{D5CDD505-2E9C-101B-9397-08002B2CF9AE}" pid="50" name="SecurityClassification">
    <vt:lpwstr>6;#Protected|0fdd1a11-afcd-482b-8e90-e57051455132</vt:lpwstr>
  </property>
  <property fmtid="{D5CDD505-2E9C-101B-9397-08002B2CF9AE}" pid="51" name="DCIProjectDocumentType">
    <vt:lpwstr/>
  </property>
</Properties>
</file>