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05" w:rsidRPr="00F73752" w:rsidRDefault="00F67B05" w:rsidP="00F67B05">
      <w:pPr>
        <w:spacing w:before="0"/>
        <w:ind w:right="91"/>
        <w:jc w:val="center"/>
        <w:rPr>
          <w:szCs w:val="24"/>
        </w:rPr>
      </w:pPr>
      <w:r w:rsidRPr="00F73752">
        <w:rPr>
          <w:b/>
          <w:szCs w:val="24"/>
          <w:u w:val="single"/>
        </w:rPr>
        <w:t xml:space="preserve">EXPLANATORY </w:t>
      </w:r>
      <w:r>
        <w:rPr>
          <w:b/>
          <w:szCs w:val="24"/>
          <w:u w:val="single"/>
        </w:rPr>
        <w:t xml:space="preserve">STATEMENT  </w:t>
      </w:r>
    </w:p>
    <w:p w:rsidR="00F67B05" w:rsidRPr="00F73752" w:rsidRDefault="00F67B05" w:rsidP="00F67B05">
      <w:pPr>
        <w:spacing w:before="0"/>
        <w:ind w:right="91"/>
        <w:jc w:val="center"/>
        <w:rPr>
          <w:szCs w:val="24"/>
        </w:rPr>
      </w:pPr>
    </w:p>
    <w:p w:rsidR="00F67B05" w:rsidRPr="00F25AE5" w:rsidRDefault="00F67B05" w:rsidP="00F67B05">
      <w:pPr>
        <w:pStyle w:val="Heading6"/>
        <w:spacing w:before="0" w:after="240"/>
        <w:jc w:val="center"/>
        <w:rPr>
          <w:spacing w:val="-4"/>
        </w:rPr>
      </w:pPr>
      <w:r w:rsidRPr="00033008">
        <w:rPr>
          <w:spacing w:val="-4"/>
        </w:rPr>
        <w:t xml:space="preserve">Issued by the </w:t>
      </w:r>
      <w:r>
        <w:rPr>
          <w:spacing w:val="-4"/>
        </w:rPr>
        <w:t xml:space="preserve">Authority of the </w:t>
      </w:r>
      <w:r w:rsidRPr="00033008">
        <w:rPr>
          <w:spacing w:val="-4"/>
        </w:rPr>
        <w:t>Attorney</w:t>
      </w:r>
      <w:r w:rsidRPr="00033008">
        <w:rPr>
          <w:spacing w:val="-4"/>
        </w:rPr>
        <w:noBreakHyphen/>
        <w:t>General</w:t>
      </w:r>
    </w:p>
    <w:p w:rsidR="001A0522" w:rsidRDefault="001A0522" w:rsidP="009237E9">
      <w:pPr>
        <w:jc w:val="center"/>
        <w:rPr>
          <w:i/>
        </w:rPr>
      </w:pPr>
      <w:r>
        <w:rPr>
          <w:i/>
        </w:rPr>
        <w:t>Judiciary Act 1903</w:t>
      </w:r>
    </w:p>
    <w:p w:rsidR="001A0522" w:rsidRDefault="001A0522" w:rsidP="001A0522">
      <w:pPr>
        <w:jc w:val="center"/>
        <w:rPr>
          <w:i/>
        </w:rPr>
      </w:pPr>
      <w:r w:rsidRPr="00F32114">
        <w:rPr>
          <w:i/>
        </w:rPr>
        <w:t xml:space="preserve">High Court </w:t>
      </w:r>
      <w:r w:rsidR="00F32114" w:rsidRPr="00F32114">
        <w:rPr>
          <w:i/>
        </w:rPr>
        <w:t>of Australia (Fees</w:t>
      </w:r>
      <w:r w:rsidRPr="00F32114">
        <w:rPr>
          <w:i/>
        </w:rPr>
        <w:t>)</w:t>
      </w:r>
      <w:r w:rsidR="00F32114" w:rsidRPr="00F32114">
        <w:rPr>
          <w:i/>
        </w:rPr>
        <w:t xml:space="preserve"> Amendment</w:t>
      </w:r>
      <w:r w:rsidRPr="00F32114">
        <w:rPr>
          <w:i/>
        </w:rPr>
        <w:t xml:space="preserve"> Regulation</w:t>
      </w:r>
      <w:r w:rsidR="00F32114" w:rsidRPr="00F32114">
        <w:rPr>
          <w:i/>
        </w:rPr>
        <w:t>s</w:t>
      </w:r>
      <w:r w:rsidRPr="00F32114">
        <w:rPr>
          <w:i/>
        </w:rPr>
        <w:t xml:space="preserve"> 2018</w:t>
      </w:r>
    </w:p>
    <w:p w:rsidR="00CF2278" w:rsidRDefault="00CF2278" w:rsidP="00CF2278"/>
    <w:p w:rsidR="009237E9" w:rsidRDefault="009237E9" w:rsidP="00CF2278">
      <w:r>
        <w:rPr>
          <w:szCs w:val="24"/>
        </w:rPr>
        <w:t>The</w:t>
      </w:r>
      <w:r>
        <w:rPr>
          <w:i/>
          <w:szCs w:val="24"/>
        </w:rPr>
        <w:t xml:space="preserve"> Judiciary Act 1903 </w:t>
      </w:r>
      <w:r>
        <w:rPr>
          <w:szCs w:val="24"/>
        </w:rPr>
        <w:t xml:space="preserve">(the </w:t>
      </w:r>
      <w:r w:rsidRPr="00A85EBC">
        <w:rPr>
          <w:szCs w:val="24"/>
        </w:rPr>
        <w:t xml:space="preserve">Act) </w:t>
      </w:r>
      <w:r w:rsidR="000134AF" w:rsidRPr="00A85EBC">
        <w:rPr>
          <w:szCs w:val="24"/>
        </w:rPr>
        <w:t>provides</w:t>
      </w:r>
      <w:r w:rsidRPr="00A85EBC">
        <w:rPr>
          <w:szCs w:val="24"/>
        </w:rPr>
        <w:t xml:space="preserve"> for the exercise of the judicial power of th</w:t>
      </w:r>
      <w:r w:rsidR="000134AF" w:rsidRPr="00A85EBC">
        <w:rPr>
          <w:szCs w:val="24"/>
        </w:rPr>
        <w:t>e Commonwealth. It</w:t>
      </w:r>
      <w:r w:rsidRPr="00A85EBC">
        <w:rPr>
          <w:szCs w:val="24"/>
        </w:rPr>
        <w:t xml:space="preserve"> </w:t>
      </w:r>
      <w:r w:rsidR="000134AF" w:rsidRPr="00A85EBC">
        <w:rPr>
          <w:szCs w:val="24"/>
        </w:rPr>
        <w:t xml:space="preserve">outlines </w:t>
      </w:r>
      <w:r w:rsidRPr="00A85EBC">
        <w:rPr>
          <w:szCs w:val="24"/>
        </w:rPr>
        <w:t>the</w:t>
      </w:r>
      <w:r>
        <w:rPr>
          <w:szCs w:val="24"/>
        </w:rPr>
        <w:t xml:space="preserve"> jurisdiction and procedure of the High Court of Australia. </w:t>
      </w:r>
      <w:r>
        <w:t>Section 88 of the Act provides that the Governor</w:t>
      </w:r>
      <w:r>
        <w:noBreakHyphen/>
        <w:t xml:space="preserve">General may make regulations prescribing </w:t>
      </w:r>
      <w:r>
        <w:rPr>
          <w:szCs w:val="24"/>
        </w:rPr>
        <w:t>matters required or permitted by the Act to be prescribed, or necessary or convenient to be prescribed, for carrying out or giving effect to the Act</w:t>
      </w:r>
      <w:r>
        <w:t xml:space="preserve">. </w:t>
      </w:r>
    </w:p>
    <w:p w:rsidR="00A85EBC" w:rsidRDefault="00A85EBC" w:rsidP="00A85EBC">
      <w:r>
        <w:t xml:space="preserve">The </w:t>
      </w:r>
      <w:r>
        <w:rPr>
          <w:i/>
        </w:rPr>
        <w:t xml:space="preserve">High Court of Australia (Fees) Amendment Regulations 2018 </w:t>
      </w:r>
      <w:r>
        <w:t xml:space="preserve">(the </w:t>
      </w:r>
      <w:r>
        <w:t>Regulation</w:t>
      </w:r>
      <w:r w:rsidRPr="00922BF2">
        <w:t>)</w:t>
      </w:r>
      <w:r>
        <w:rPr>
          <w:i/>
        </w:rPr>
        <w:t xml:space="preserve"> </w:t>
      </w:r>
      <w:r w:rsidRPr="00922BF2">
        <w:t>amend</w:t>
      </w:r>
      <w:r>
        <w:t>s</w:t>
      </w:r>
      <w:r w:rsidRPr="00922BF2">
        <w:t xml:space="preserve"> the</w:t>
      </w:r>
      <w:r>
        <w:rPr>
          <w:i/>
        </w:rPr>
        <w:t xml:space="preserve"> High Court of Australia (Fees) Regulation 2012</w:t>
      </w:r>
      <w:r w:rsidR="00AA0E99">
        <w:rPr>
          <w:i/>
        </w:rPr>
        <w:t xml:space="preserve"> </w:t>
      </w:r>
      <w:r w:rsidR="00AA0E99">
        <w:t>(</w:t>
      </w:r>
      <w:r w:rsidR="00AA0E99">
        <w:t>principal Regulation</w:t>
      </w:r>
      <w:r w:rsidR="00AA0E99">
        <w:t>)</w:t>
      </w:r>
      <w:r>
        <w:t>, making the following changes:</w:t>
      </w:r>
    </w:p>
    <w:p w:rsidR="00A85EBC" w:rsidRDefault="00A85EBC" w:rsidP="00A85EBC">
      <w:pPr>
        <w:pStyle w:val="ListParagraph"/>
        <w:numPr>
          <w:ilvl w:val="0"/>
          <w:numId w:val="2"/>
        </w:numPr>
      </w:pPr>
      <w:r>
        <w:t xml:space="preserve">amend the title of an ‘application for an order to show cause </w:t>
      </w:r>
      <w:r w:rsidRPr="00126691">
        <w:t>in relation to a writ of certiorari, a writ of mandamus, a writ of habeas corpus, an order for production, a writ of prohibition or an information of quo warranto or similar relief</w:t>
      </w:r>
      <w:r w:rsidRPr="00D663D8">
        <w:t>’ to ‘application for a constitutional or other wri</w:t>
      </w:r>
      <w:r>
        <w:t xml:space="preserve">t’ in table items 101 and 111(a) of Schedule 1, and </w:t>
      </w:r>
    </w:p>
    <w:p w:rsidR="00A85EBC" w:rsidRDefault="00A85EBC" w:rsidP="00A85EBC">
      <w:pPr>
        <w:pStyle w:val="ListParagraph"/>
        <w:numPr>
          <w:ilvl w:val="0"/>
          <w:numId w:val="3"/>
        </w:numPr>
      </w:pPr>
      <w:r>
        <w:t>delete the reference in table item 111(d) to ‘</w:t>
      </w:r>
      <w:r w:rsidRPr="00EB08C6">
        <w:t xml:space="preserve">or a summons mentioned in rule 25.03.1 of the Rules’ </w:t>
      </w:r>
      <w:r>
        <w:t xml:space="preserve">because an applicant will no longer be required to file a summons of this type mentioned in rule 25.03.1 of the </w:t>
      </w:r>
      <w:r w:rsidRPr="00A85EBC">
        <w:rPr>
          <w:i/>
        </w:rPr>
        <w:t>High Court Rules 2004</w:t>
      </w:r>
      <w:r w:rsidR="00C83B20">
        <w:rPr>
          <w:i/>
        </w:rPr>
        <w:t xml:space="preserve"> </w:t>
      </w:r>
      <w:r w:rsidR="00C83B20" w:rsidRPr="00C83B20">
        <w:t>(the Rules)</w:t>
      </w:r>
      <w:r w:rsidRPr="00C83B20">
        <w:t>.</w:t>
      </w:r>
    </w:p>
    <w:p w:rsidR="009237E9" w:rsidRDefault="00C83B20" w:rsidP="00A85EBC">
      <w:r>
        <w:t>The purpose of the</w:t>
      </w:r>
      <w:r w:rsidR="00A85EBC">
        <w:t xml:space="preserve"> Regulation is to make consequential </w:t>
      </w:r>
      <w:r w:rsidR="009237E9">
        <w:t xml:space="preserve">amendments </w:t>
      </w:r>
      <w:r w:rsidR="00AA0E99">
        <w:t xml:space="preserve">to the </w:t>
      </w:r>
      <w:r w:rsidR="00A85EBC">
        <w:t>princip</w:t>
      </w:r>
      <w:r>
        <w:t>al Regulation based on</w:t>
      </w:r>
      <w:r w:rsidR="009237E9">
        <w:t xml:space="preserve"> the </w:t>
      </w:r>
      <w:r w:rsidR="009237E9" w:rsidRPr="00072789">
        <w:rPr>
          <w:i/>
        </w:rPr>
        <w:t>High Court Amendment (Constitutional Writs and Other Matters) Rules 2018</w:t>
      </w:r>
      <w:r w:rsidR="009237E9" w:rsidRPr="00C83B20">
        <w:t xml:space="preserve">, </w:t>
      </w:r>
      <w:r w:rsidR="009237E9">
        <w:t xml:space="preserve">which also commenced on </w:t>
      </w:r>
      <w:r>
        <w:t>1 November 2018. The</w:t>
      </w:r>
      <w:r w:rsidR="004A772A">
        <w:t>se</w:t>
      </w:r>
      <w:r>
        <w:t xml:space="preserve"> amendments to the Rule</w:t>
      </w:r>
      <w:r w:rsidR="009237E9">
        <w:t xml:space="preserve">s provide a more streamlined procedure for the filing and consideration of applications. </w:t>
      </w:r>
      <w:r w:rsidR="004A772A">
        <w:t>The amendments to the Rules</w:t>
      </w:r>
      <w:r w:rsidR="009237E9" w:rsidRPr="00AF04DF">
        <w:t xml:space="preserve"> mov</w:t>
      </w:r>
      <w:r w:rsidR="009237E9">
        <w:t>e</w:t>
      </w:r>
      <w:r w:rsidR="009237E9" w:rsidRPr="00AF04DF">
        <w:t xml:space="preserve"> away from the phrase ‘</w:t>
      </w:r>
      <w:r w:rsidR="009237E9">
        <w:t xml:space="preserve">application for an order to show cause </w:t>
      </w:r>
      <w:r w:rsidR="009237E9" w:rsidRPr="00126691">
        <w:t>in relation to a writ of certiorari, a writ of mandamus, a writ of habeas corpus, an order for production, a writ of prohibition or an information of quo warranto or similar relief</w:t>
      </w:r>
      <w:r w:rsidR="009237E9" w:rsidRPr="00AF04DF">
        <w:t xml:space="preserve">’ which was more appropriate to the rules of the court before the </w:t>
      </w:r>
      <w:r w:rsidRPr="00C83B20">
        <w:t>Rules</w:t>
      </w:r>
      <w:r w:rsidR="009237E9" w:rsidRPr="00C83B20">
        <w:t>, to the</w:t>
      </w:r>
      <w:r w:rsidR="009237E9" w:rsidRPr="00AF04DF">
        <w:t xml:space="preserve"> phrase, ‘application for a constitutional or other writ’.</w:t>
      </w:r>
    </w:p>
    <w:p w:rsidR="00DE2428" w:rsidRDefault="00AA0E99" w:rsidP="00CF2278">
      <w:r>
        <w:t xml:space="preserve">The </w:t>
      </w:r>
      <w:r w:rsidR="00DE2428">
        <w:t>Regulation commenced on 1 November 2018.</w:t>
      </w:r>
    </w:p>
    <w:p w:rsidR="00F33C00" w:rsidRDefault="00B40A72" w:rsidP="00CF2278">
      <w:r>
        <w:t xml:space="preserve">The </w:t>
      </w:r>
      <w:r w:rsidR="00AA0E99">
        <w:t>High Court of Australia was</w:t>
      </w:r>
      <w:r>
        <w:t xml:space="preserve"> c</w:t>
      </w:r>
      <w:r w:rsidR="00C83B20">
        <w:t>onsulted</w:t>
      </w:r>
      <w:r w:rsidR="00A85EBC">
        <w:t xml:space="preserve"> </w:t>
      </w:r>
      <w:r w:rsidR="004A772A">
        <w:t>and supported</w:t>
      </w:r>
      <w:bookmarkStart w:id="0" w:name="_GoBack"/>
      <w:bookmarkEnd w:id="0"/>
      <w:r w:rsidR="00AA0E99">
        <w:t xml:space="preserve"> the </w:t>
      </w:r>
      <w:r w:rsidR="00A85EBC">
        <w:t>Regulation</w:t>
      </w:r>
      <w:r w:rsidR="00AA0E99">
        <w:t>.</w:t>
      </w:r>
      <w:r>
        <w:t xml:space="preserve"> Consultation also occurred between the High Court, relevant professional organisations and the Special Committee of Solicitors-</w:t>
      </w:r>
      <w:r w:rsidRPr="00A85EBC">
        <w:t>General in relation to and resulting in,</w:t>
      </w:r>
      <w:r>
        <w:t xml:space="preserve"> the </w:t>
      </w:r>
      <w:r>
        <w:rPr>
          <w:i/>
        </w:rPr>
        <w:t>High Court Amendment (Constitutional Writs and Other Matters) Rules 2018</w:t>
      </w:r>
      <w:r>
        <w:t>.</w:t>
      </w:r>
      <w:r w:rsidR="00AA0E99">
        <w:t xml:space="preserve"> </w:t>
      </w:r>
      <w:r w:rsidR="00F33C00">
        <w:t xml:space="preserve">These consultations were taken into account by the Court in </w:t>
      </w:r>
      <w:r w:rsidR="00C83B20">
        <w:t>making these amendments to</w:t>
      </w:r>
      <w:r w:rsidR="00F33C00">
        <w:t xml:space="preserve"> the Rules.</w:t>
      </w:r>
      <w:r w:rsidR="00F33C00" w:rsidRPr="00F33C00">
        <w:t xml:space="preserve"> </w:t>
      </w:r>
    </w:p>
    <w:p w:rsidR="00DE2428" w:rsidRPr="00DE2428" w:rsidRDefault="00DE2428" w:rsidP="00CF2278">
      <w:r>
        <w:t xml:space="preserve">A Statement of Compatibility with Human Rights is at </w:t>
      </w:r>
      <w:r w:rsidRPr="00DE2428">
        <w:rPr>
          <w:b/>
          <w:u w:val="single"/>
        </w:rPr>
        <w:t>Attachment A.</w:t>
      </w:r>
    </w:p>
    <w:p w:rsidR="00AA0E99" w:rsidRDefault="00AA0E99">
      <w:pPr>
        <w:spacing w:before="0" w:after="200" w:line="276" w:lineRule="auto"/>
      </w:pPr>
      <w:r>
        <w:br w:type="page"/>
      </w:r>
    </w:p>
    <w:p w:rsidR="00DE2428" w:rsidRDefault="00DE2428" w:rsidP="00AA0E99">
      <w:pPr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 A</w:t>
      </w:r>
    </w:p>
    <w:p w:rsidR="00DE2428" w:rsidRDefault="00DE2428" w:rsidP="00DE2428">
      <w:pPr>
        <w:jc w:val="center"/>
        <w:rPr>
          <w:b/>
          <w:sz w:val="28"/>
        </w:rPr>
      </w:pPr>
    </w:p>
    <w:p w:rsidR="00DE2428" w:rsidRDefault="00DE2428" w:rsidP="00DE2428">
      <w:pPr>
        <w:jc w:val="center"/>
        <w:rPr>
          <w:b/>
          <w:sz w:val="28"/>
        </w:rPr>
      </w:pPr>
      <w:r w:rsidRPr="00DE2428">
        <w:rPr>
          <w:b/>
          <w:sz w:val="28"/>
        </w:rPr>
        <w:t>Statement of Compatibility with Human Rights</w:t>
      </w:r>
    </w:p>
    <w:p w:rsidR="00DE2428" w:rsidRDefault="00DE2428" w:rsidP="00DE2428">
      <w:pPr>
        <w:jc w:val="center"/>
      </w:pPr>
      <w:r>
        <w:rPr>
          <w:i/>
        </w:rPr>
        <w:t>Prepared in accordance with Part 3 of the Human Rights (Parliamentary Scrutiny) Act 2011</w:t>
      </w:r>
    </w:p>
    <w:p w:rsidR="00DE2428" w:rsidRDefault="00DE2428" w:rsidP="00DE2428">
      <w:pPr>
        <w:jc w:val="center"/>
      </w:pPr>
    </w:p>
    <w:p w:rsidR="009E142A" w:rsidRPr="00F32114" w:rsidRDefault="00F32114" w:rsidP="009E142A">
      <w:pPr>
        <w:jc w:val="center"/>
        <w:rPr>
          <w:b/>
          <w:i/>
        </w:rPr>
      </w:pPr>
      <w:r w:rsidRPr="00F32114">
        <w:rPr>
          <w:b/>
          <w:i/>
        </w:rPr>
        <w:t>High Court of Australia (Fees) Amendment Regulations 2018</w:t>
      </w:r>
    </w:p>
    <w:p w:rsidR="00DE2428" w:rsidRPr="009E142A" w:rsidRDefault="009E142A" w:rsidP="00AA0E99">
      <w:pPr>
        <w:pStyle w:val="ListParagraph"/>
        <w:numPr>
          <w:ilvl w:val="0"/>
          <w:numId w:val="1"/>
        </w:numPr>
      </w:pPr>
      <w:r>
        <w:t xml:space="preserve">This Disallowable Legislative Instrument is compatible with the human rights and freedoms recognised or declared in the international instruments listed in section 3 of the </w:t>
      </w:r>
      <w:r>
        <w:rPr>
          <w:i/>
        </w:rPr>
        <w:t>Human Rights (Parliamentary Scrutiny) Act 2011.</w:t>
      </w:r>
    </w:p>
    <w:p w:rsidR="009E142A" w:rsidRDefault="009E142A" w:rsidP="009E142A">
      <w:pPr>
        <w:rPr>
          <w:b/>
        </w:rPr>
      </w:pPr>
    </w:p>
    <w:p w:rsidR="009E142A" w:rsidRDefault="009E142A" w:rsidP="009E142A">
      <w:pPr>
        <w:rPr>
          <w:b/>
        </w:rPr>
      </w:pPr>
      <w:r>
        <w:rPr>
          <w:b/>
        </w:rPr>
        <w:t>Overview of the Regulation</w:t>
      </w:r>
    </w:p>
    <w:p w:rsidR="009E142A" w:rsidRDefault="00F32114" w:rsidP="009E142A">
      <w:pPr>
        <w:pStyle w:val="ListParagraph"/>
        <w:numPr>
          <w:ilvl w:val="0"/>
          <w:numId w:val="1"/>
        </w:numPr>
      </w:pPr>
      <w:r>
        <w:t xml:space="preserve">The </w:t>
      </w:r>
      <w:r>
        <w:rPr>
          <w:i/>
        </w:rPr>
        <w:t>High Court of Australia (Fees) Amendment Regulations 2018</w:t>
      </w:r>
      <w:r w:rsidR="0059790D">
        <w:t xml:space="preserve"> </w:t>
      </w:r>
      <w:r w:rsidR="00AA0E99">
        <w:t>(the Regulations) provide</w:t>
      </w:r>
      <w:r w:rsidR="0059790D">
        <w:t xml:space="preserve"> only minor changes to the </w:t>
      </w:r>
      <w:r w:rsidR="0059790D">
        <w:rPr>
          <w:i/>
        </w:rPr>
        <w:t>High Court of Australia (Fees) Regulation 2012</w:t>
      </w:r>
      <w:r w:rsidR="00AA0E99">
        <w:rPr>
          <w:i/>
        </w:rPr>
        <w:t xml:space="preserve"> </w:t>
      </w:r>
      <w:r w:rsidR="00AA0E99" w:rsidRPr="00AA0E99">
        <w:t>(</w:t>
      </w:r>
      <w:r w:rsidR="00AA0E99" w:rsidRPr="00AA0E99">
        <w:t>principal</w:t>
      </w:r>
      <w:r w:rsidR="00AA0E99">
        <w:t xml:space="preserve"> Regulation</w:t>
      </w:r>
      <w:r w:rsidR="00AA0E99">
        <w:t>)</w:t>
      </w:r>
      <w:r w:rsidR="0059790D">
        <w:t>, which are machinery in nature and do not have a regulatory impact.</w:t>
      </w:r>
    </w:p>
    <w:p w:rsidR="00747D88" w:rsidRDefault="00747D88" w:rsidP="009E142A">
      <w:pPr>
        <w:pStyle w:val="ListParagraph"/>
        <w:numPr>
          <w:ilvl w:val="0"/>
          <w:numId w:val="1"/>
        </w:numPr>
      </w:pPr>
      <w:r>
        <w:t>The Regulat</w:t>
      </w:r>
      <w:r w:rsidR="00B40A72">
        <w:t>ion</w:t>
      </w:r>
      <w:r w:rsidR="00AA0E99">
        <w:t>s are</w:t>
      </w:r>
      <w:r w:rsidR="00B40A72">
        <w:t xml:space="preserve"> made under section 88</w:t>
      </w:r>
      <w:r>
        <w:t xml:space="preserve"> of the </w:t>
      </w:r>
      <w:r>
        <w:rPr>
          <w:i/>
        </w:rPr>
        <w:t>Judiciary Act 1903</w:t>
      </w:r>
      <w:r>
        <w:t>, which provides, in part, that the Governor-General may make regulations prescribing the fees payable in respect of proceedings in the High Court and the execution of the process of the High Court.</w:t>
      </w:r>
    </w:p>
    <w:p w:rsidR="009E142A" w:rsidRDefault="00C2071A" w:rsidP="00B40A72">
      <w:pPr>
        <w:pStyle w:val="ListParagraph"/>
        <w:numPr>
          <w:ilvl w:val="0"/>
          <w:numId w:val="1"/>
        </w:numPr>
      </w:pPr>
      <w:r>
        <w:t>The purpose of the Regulation</w:t>
      </w:r>
      <w:r w:rsidR="00AA0E99">
        <w:t>s</w:t>
      </w:r>
      <w:r>
        <w:t xml:space="preserve"> </w:t>
      </w:r>
      <w:r w:rsidR="00AA0E99">
        <w:t xml:space="preserve">is </w:t>
      </w:r>
      <w:r w:rsidR="00AA0E99">
        <w:t>to make consequential amendments to the principal Regulation based on proposed amendments</w:t>
      </w:r>
      <w:r w:rsidR="00AA0E99">
        <w:t xml:space="preserve"> </w:t>
      </w:r>
      <w:r>
        <w:t xml:space="preserve">to the </w:t>
      </w:r>
      <w:r w:rsidRPr="00072789">
        <w:rPr>
          <w:i/>
        </w:rPr>
        <w:t>High Court Amendment (Constitutional Writs and Other Matters) Rules 2018</w:t>
      </w:r>
      <w:r>
        <w:t>, which also commenced on 1 November 2018.</w:t>
      </w:r>
      <w:r w:rsidR="00B40A72">
        <w:t xml:space="preserve"> These amendments provide a more streamlined procedure for the filing and consideration of applications. </w:t>
      </w:r>
      <w:r w:rsidR="00B40A72" w:rsidRPr="00AF04DF">
        <w:t>Included in these amendments is a mov</w:t>
      </w:r>
      <w:r w:rsidR="00B40A72">
        <w:t>e</w:t>
      </w:r>
      <w:r w:rsidR="00B40A72" w:rsidRPr="00AF04DF">
        <w:t xml:space="preserve"> away from the phrase ‘</w:t>
      </w:r>
      <w:r w:rsidR="00B40A72">
        <w:t xml:space="preserve">application for an order to show cause </w:t>
      </w:r>
      <w:r w:rsidR="00B40A72" w:rsidRPr="00126691">
        <w:t>in relation to a writ of certiorari, a writ of mandamus, a writ of habeas corpus, an order for production, a writ of prohibition or an information of quo warranto or similar relief</w:t>
      </w:r>
      <w:r w:rsidR="00B40A72" w:rsidRPr="00AF04DF">
        <w:t xml:space="preserve">’ which was more appropriate to the rules of the court before the </w:t>
      </w:r>
      <w:r w:rsidR="00B40A72" w:rsidRPr="00B40A72">
        <w:rPr>
          <w:i/>
        </w:rPr>
        <w:t>High Court Rules 2004</w:t>
      </w:r>
      <w:r w:rsidR="00B40A72" w:rsidRPr="00AF04DF">
        <w:t>, to the phrase, ‘application for a constitutional or other writ’.</w:t>
      </w:r>
    </w:p>
    <w:p w:rsidR="009E142A" w:rsidRDefault="009E142A" w:rsidP="009E142A">
      <w:pPr>
        <w:pStyle w:val="ListParagraph"/>
      </w:pPr>
    </w:p>
    <w:p w:rsidR="009E142A" w:rsidRDefault="009E142A" w:rsidP="009E142A">
      <w:pPr>
        <w:pStyle w:val="ListParagraph"/>
        <w:ind w:left="0"/>
        <w:rPr>
          <w:b/>
        </w:rPr>
      </w:pPr>
      <w:r>
        <w:rPr>
          <w:b/>
        </w:rPr>
        <w:t>Human right implications</w:t>
      </w:r>
    </w:p>
    <w:p w:rsidR="009E142A" w:rsidRDefault="009E142A" w:rsidP="009E142A">
      <w:pPr>
        <w:pStyle w:val="ListParagraph"/>
        <w:ind w:left="0"/>
        <w:rPr>
          <w:b/>
        </w:rPr>
      </w:pPr>
    </w:p>
    <w:p w:rsidR="009E142A" w:rsidRDefault="00AA0E99" w:rsidP="009E142A">
      <w:pPr>
        <w:pStyle w:val="ListParagraph"/>
        <w:numPr>
          <w:ilvl w:val="0"/>
          <w:numId w:val="1"/>
        </w:numPr>
      </w:pPr>
      <w:r>
        <w:t>These</w:t>
      </w:r>
      <w:r w:rsidR="009E142A">
        <w:t xml:space="preserve"> Regulation</w:t>
      </w:r>
      <w:r>
        <w:t>s do</w:t>
      </w:r>
      <w:r w:rsidR="009E142A">
        <w:t xml:space="preserve"> not engage with any of the applicable rights or freedoms.</w:t>
      </w:r>
    </w:p>
    <w:p w:rsidR="009E142A" w:rsidRDefault="009E142A" w:rsidP="009E142A">
      <w:pPr>
        <w:ind w:left="360"/>
        <w:rPr>
          <w:b/>
        </w:rPr>
      </w:pPr>
      <w:r>
        <w:rPr>
          <w:b/>
        </w:rPr>
        <w:t>Conclusion</w:t>
      </w:r>
    </w:p>
    <w:p w:rsidR="009E142A" w:rsidRPr="009E142A" w:rsidRDefault="00AA0E99" w:rsidP="009E142A">
      <w:pPr>
        <w:pStyle w:val="ListParagraph"/>
        <w:numPr>
          <w:ilvl w:val="0"/>
          <w:numId w:val="1"/>
        </w:numPr>
      </w:pPr>
      <w:r>
        <w:t xml:space="preserve">These Regulations </w:t>
      </w:r>
      <w:r>
        <w:t>are</w:t>
      </w:r>
      <w:r w:rsidR="009E142A">
        <w:t xml:space="preserve"> compatible with human righ</w:t>
      </w:r>
      <w:r>
        <w:t xml:space="preserve">ts as they do </w:t>
      </w:r>
      <w:r w:rsidR="009E142A">
        <w:t>not raise any human rights issues.</w:t>
      </w:r>
    </w:p>
    <w:p w:rsidR="009E142A" w:rsidRPr="009E142A" w:rsidRDefault="009E142A" w:rsidP="009E142A">
      <w:pPr>
        <w:pStyle w:val="ListParagraph"/>
        <w:rPr>
          <w:b/>
        </w:rPr>
      </w:pPr>
    </w:p>
    <w:sectPr w:rsidR="009E142A" w:rsidRPr="009E14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80" w:rsidRDefault="00901D80" w:rsidP="00DE2428">
      <w:pPr>
        <w:spacing w:before="0"/>
      </w:pPr>
      <w:r>
        <w:separator/>
      </w:r>
    </w:p>
  </w:endnote>
  <w:endnote w:type="continuationSeparator" w:id="0">
    <w:p w:rsidR="00901D80" w:rsidRDefault="00901D80" w:rsidP="00DE24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055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2428" w:rsidRDefault="00DE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77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77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E2428" w:rsidRDefault="00DE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80" w:rsidRDefault="00901D80" w:rsidP="00DE2428">
      <w:pPr>
        <w:spacing w:before="0"/>
      </w:pPr>
      <w:r>
        <w:separator/>
      </w:r>
    </w:p>
  </w:footnote>
  <w:footnote w:type="continuationSeparator" w:id="0">
    <w:p w:rsidR="00901D80" w:rsidRDefault="00901D80" w:rsidP="00DE242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1EE0"/>
    <w:multiLevelType w:val="hybridMultilevel"/>
    <w:tmpl w:val="8FCAD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9625B"/>
    <w:multiLevelType w:val="hybridMultilevel"/>
    <w:tmpl w:val="0E3A18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95227F"/>
    <w:multiLevelType w:val="hybridMultilevel"/>
    <w:tmpl w:val="11147CAE"/>
    <w:lvl w:ilvl="0" w:tplc="56C8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D8"/>
    <w:rsid w:val="000134AF"/>
    <w:rsid w:val="00071883"/>
    <w:rsid w:val="00192B3C"/>
    <w:rsid w:val="001A02D8"/>
    <w:rsid w:val="001A0522"/>
    <w:rsid w:val="002365E8"/>
    <w:rsid w:val="00272743"/>
    <w:rsid w:val="002F6EFD"/>
    <w:rsid w:val="003166B7"/>
    <w:rsid w:val="003F2A99"/>
    <w:rsid w:val="004A772A"/>
    <w:rsid w:val="00523CD7"/>
    <w:rsid w:val="00552941"/>
    <w:rsid w:val="00577885"/>
    <w:rsid w:val="0059790D"/>
    <w:rsid w:val="00701D0C"/>
    <w:rsid w:val="00747D88"/>
    <w:rsid w:val="008C74D8"/>
    <w:rsid w:val="00901D80"/>
    <w:rsid w:val="00910850"/>
    <w:rsid w:val="00917CEB"/>
    <w:rsid w:val="009237E9"/>
    <w:rsid w:val="0096082F"/>
    <w:rsid w:val="009E142A"/>
    <w:rsid w:val="00A85EBC"/>
    <w:rsid w:val="00AA0E99"/>
    <w:rsid w:val="00B40A72"/>
    <w:rsid w:val="00BB32EB"/>
    <w:rsid w:val="00C2071A"/>
    <w:rsid w:val="00C41A2E"/>
    <w:rsid w:val="00C43B08"/>
    <w:rsid w:val="00C83B20"/>
    <w:rsid w:val="00C964F1"/>
    <w:rsid w:val="00CF2278"/>
    <w:rsid w:val="00DE2428"/>
    <w:rsid w:val="00EE3008"/>
    <w:rsid w:val="00F32114"/>
    <w:rsid w:val="00F33C00"/>
    <w:rsid w:val="00F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0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F67B05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67B05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E242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E242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E242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E242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E1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94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41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0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F67B05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67B05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E242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E242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E242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E242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E1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94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41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perkib</dc:creator>
  <cp:lastModifiedBy>meibus</cp:lastModifiedBy>
  <cp:revision>20</cp:revision>
  <cp:lastPrinted>2018-10-04T08:22:00Z</cp:lastPrinted>
  <dcterms:created xsi:type="dcterms:W3CDTF">2018-09-27T03:22:00Z</dcterms:created>
  <dcterms:modified xsi:type="dcterms:W3CDTF">2018-10-05T00:00:00Z</dcterms:modified>
</cp:coreProperties>
</file>