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E9" w:rsidRDefault="000D0DF3" w:rsidP="00CD0C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77.25pt">
            <v:imagedata r:id="rId9" o:title=""/>
          </v:shape>
        </w:pict>
      </w:r>
    </w:p>
    <w:p w:rsidR="00CD0CE9" w:rsidRDefault="00CD0CE9" w:rsidP="00CD0CE9"/>
    <w:p w:rsidR="00CD0CE9" w:rsidRDefault="00CD0CE9" w:rsidP="00CD0CE9"/>
    <w:p w:rsidR="00BB1AEB" w:rsidRPr="00BB1AEB" w:rsidRDefault="00BB1AEB" w:rsidP="00BB1AEB">
      <w:pPr>
        <w:spacing w:before="480"/>
        <w:rPr>
          <w:rFonts w:ascii="Arial" w:hAnsi="Arial" w:cs="Arial"/>
          <w:b/>
          <w:bCs/>
          <w:sz w:val="28"/>
          <w:szCs w:val="28"/>
        </w:rPr>
      </w:pPr>
      <w:r w:rsidRPr="00BB1AEB">
        <w:rPr>
          <w:rFonts w:ascii="Arial" w:hAnsi="Arial" w:cs="Arial"/>
          <w:b/>
          <w:bCs/>
          <w:sz w:val="28"/>
          <w:szCs w:val="28"/>
        </w:rPr>
        <w:t>PB </w:t>
      </w:r>
      <w:r w:rsidR="0093607C">
        <w:rPr>
          <w:rFonts w:ascii="Arial" w:hAnsi="Arial" w:cs="Arial"/>
          <w:b/>
          <w:bCs/>
          <w:sz w:val="28"/>
          <w:szCs w:val="28"/>
        </w:rPr>
        <w:t>97</w:t>
      </w:r>
      <w:r w:rsidRPr="00BB1AEB">
        <w:rPr>
          <w:rFonts w:ascii="Arial" w:hAnsi="Arial" w:cs="Arial"/>
          <w:b/>
          <w:bCs/>
          <w:sz w:val="28"/>
          <w:szCs w:val="28"/>
        </w:rPr>
        <w:t> of 201</w:t>
      </w:r>
      <w:r w:rsidR="00DE2051">
        <w:rPr>
          <w:rFonts w:ascii="Arial" w:hAnsi="Arial" w:cs="Arial"/>
          <w:b/>
          <w:bCs/>
          <w:sz w:val="28"/>
          <w:szCs w:val="28"/>
        </w:rPr>
        <w:t>8</w:t>
      </w:r>
    </w:p>
    <w:p w:rsidR="00BB1AEB" w:rsidRPr="00BB1AEB" w:rsidRDefault="00BB1AEB" w:rsidP="00BB1AEB">
      <w:pPr>
        <w:pBdr>
          <w:bottom w:val="single" w:sz="4" w:space="3" w:color="auto"/>
        </w:pBdr>
        <w:spacing w:before="480"/>
        <w:rPr>
          <w:rFonts w:ascii="Arial" w:hAnsi="Arial" w:cs="Arial"/>
          <w:b/>
          <w:sz w:val="40"/>
        </w:rPr>
      </w:pPr>
      <w:r w:rsidRPr="00BB1AEB">
        <w:rPr>
          <w:rFonts w:ascii="Arial" w:hAnsi="Arial" w:cs="Arial"/>
          <w:b/>
          <w:sz w:val="40"/>
        </w:rPr>
        <w:t>National Health (Pharmaceutical Benefits Scheme- Exempt items - Section 84AH) Amendment Determination 201</w:t>
      </w:r>
      <w:r w:rsidR="00DE2051">
        <w:rPr>
          <w:rFonts w:ascii="Arial" w:hAnsi="Arial" w:cs="Arial"/>
          <w:b/>
          <w:sz w:val="40"/>
        </w:rPr>
        <w:t>8</w:t>
      </w:r>
      <w:r w:rsidRPr="00BB1AEB">
        <w:rPr>
          <w:rFonts w:ascii="Arial" w:hAnsi="Arial" w:cs="Arial"/>
          <w:b/>
          <w:sz w:val="40"/>
        </w:rPr>
        <w:t xml:space="preserve"> (No. </w:t>
      </w:r>
      <w:r w:rsidR="00F00142">
        <w:rPr>
          <w:rFonts w:ascii="Arial" w:hAnsi="Arial" w:cs="Arial"/>
          <w:b/>
          <w:sz w:val="40"/>
        </w:rPr>
        <w:t>4</w:t>
      </w:r>
      <w:r w:rsidRPr="00BB1AEB">
        <w:rPr>
          <w:rFonts w:ascii="Arial" w:hAnsi="Arial" w:cs="Arial"/>
          <w:b/>
          <w:sz w:val="40"/>
        </w:rPr>
        <w:t>)</w:t>
      </w:r>
    </w:p>
    <w:p w:rsidR="00BB1AEB" w:rsidRPr="00BB1AEB" w:rsidRDefault="00BB1AEB" w:rsidP="00BB1AEB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B1AEB">
        <w:rPr>
          <w:rFonts w:ascii="Arial" w:hAnsi="Arial" w:cs="Arial"/>
          <w:i/>
          <w:sz w:val="28"/>
          <w:szCs w:val="28"/>
          <w:lang w:val="en-US"/>
        </w:rPr>
        <w:t>National Health Act</w:t>
      </w:r>
      <w:r w:rsidRPr="00BB1AEB">
        <w:t> </w:t>
      </w:r>
      <w:r w:rsidRPr="00BB1AEB">
        <w:rPr>
          <w:rFonts w:ascii="Arial" w:hAnsi="Arial" w:cs="Arial"/>
          <w:i/>
          <w:sz w:val="28"/>
          <w:szCs w:val="28"/>
          <w:lang w:val="en-US"/>
        </w:rPr>
        <w:t>1953</w:t>
      </w:r>
    </w:p>
    <w:p w:rsidR="00BB1AEB" w:rsidRPr="00BB1AEB" w:rsidRDefault="00BB1AEB" w:rsidP="00BB1AEB">
      <w:pPr>
        <w:spacing w:before="360"/>
        <w:jc w:val="both"/>
      </w:pPr>
      <w:r w:rsidRPr="00BB1AEB">
        <w:t xml:space="preserve">I, LISA LA RANCE, Assistant Secretary, Pricing and </w:t>
      </w:r>
      <w:r w:rsidR="00DE2051">
        <w:t xml:space="preserve">PBS </w:t>
      </w:r>
      <w:r w:rsidRPr="00BB1AEB">
        <w:t xml:space="preserve">Policy Branch, Technology Assessment and Access Division, Department of Health, delegate of the Minister for Health, make this Determination under section 84AH of the </w:t>
      </w:r>
      <w:r w:rsidRPr="00BB1AEB">
        <w:rPr>
          <w:i/>
        </w:rPr>
        <w:t>National Health Act 1953</w:t>
      </w:r>
      <w:r w:rsidRPr="00BB1AEB">
        <w:t xml:space="preserve">. </w:t>
      </w:r>
    </w:p>
    <w:p w:rsidR="00BB1AEB" w:rsidRPr="00BB1AEB" w:rsidRDefault="00BB1AEB" w:rsidP="00BB1AEB">
      <w:pPr>
        <w:tabs>
          <w:tab w:val="right" w:pos="3686"/>
        </w:tabs>
        <w:spacing w:before="300" w:after="600" w:line="300" w:lineRule="exact"/>
      </w:pPr>
      <w:r w:rsidRPr="00BB1AEB">
        <w:t xml:space="preserve">Dated  </w:t>
      </w:r>
      <w:r w:rsidR="000D0DF3">
        <w:t xml:space="preserve">  2</w:t>
      </w:r>
      <w:bookmarkStart w:id="0" w:name="_GoBack"/>
      <w:bookmarkEnd w:id="0"/>
      <w:r w:rsidR="000D0DF3">
        <w:t>5</w:t>
      </w:r>
      <w:r w:rsidR="00DE2051">
        <w:t xml:space="preserve"> </w:t>
      </w:r>
      <w:r w:rsidR="00F00142">
        <w:t>October</w:t>
      </w:r>
      <w:r w:rsidRPr="00BB1AEB">
        <w:t xml:space="preserve"> 201</w:t>
      </w:r>
      <w:r w:rsidR="00DE2051">
        <w:t>8</w:t>
      </w:r>
    </w:p>
    <w:p w:rsidR="00BB1AEB" w:rsidRPr="00BB1AEB" w:rsidRDefault="00BB1AEB" w:rsidP="00BB1AEB">
      <w:pPr>
        <w:tabs>
          <w:tab w:val="right" w:pos="3686"/>
        </w:tabs>
        <w:spacing w:before="300" w:after="600" w:line="300" w:lineRule="exact"/>
      </w:pPr>
    </w:p>
    <w:p w:rsidR="00BB1AEB" w:rsidRPr="00BB1AEB" w:rsidRDefault="00BB1AEB" w:rsidP="00BB1AEB">
      <w:pPr>
        <w:tabs>
          <w:tab w:val="right" w:pos="3686"/>
        </w:tabs>
        <w:spacing w:before="300" w:after="600" w:line="300" w:lineRule="exact"/>
      </w:pP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  <w:rPr>
          <w:b/>
        </w:rPr>
      </w:pPr>
      <w:r w:rsidRPr="00BB1AEB">
        <w:rPr>
          <w:b/>
        </w:rPr>
        <w:t>LISA LA RANCE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  <w:rPr>
          <w:b/>
        </w:rPr>
      </w:pP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</w:pPr>
      <w:r w:rsidRPr="00BB1AEB">
        <w:t>Assistant Secretary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</w:pPr>
      <w:r w:rsidRPr="00BB1AEB">
        <w:t xml:space="preserve">Pricing and </w:t>
      </w:r>
      <w:r w:rsidR="00DE2051">
        <w:t xml:space="preserve">PBS </w:t>
      </w:r>
      <w:r w:rsidRPr="00BB1AEB">
        <w:t>Policy Branch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</w:pPr>
      <w:r w:rsidRPr="00BB1AEB">
        <w:t>Technology Assessment and Access Division</w:t>
      </w:r>
    </w:p>
    <w:p w:rsidR="00BB1AEB" w:rsidRPr="00BB1AEB" w:rsidRDefault="00BB1AEB" w:rsidP="00BB1AEB">
      <w:pPr>
        <w:pBdr>
          <w:bottom w:val="single" w:sz="4" w:space="12" w:color="auto"/>
        </w:pBdr>
        <w:spacing w:line="240" w:lineRule="exact"/>
        <w:sectPr w:rsidR="00BB1AEB" w:rsidRPr="00BB1AEB" w:rsidSect="00BB1A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BB1AEB">
        <w:t xml:space="preserve">Department of Health </w:t>
      </w:r>
    </w:p>
    <w:p w:rsidR="00BB1AEB" w:rsidRPr="00BB1AEB" w:rsidRDefault="00BB1AEB" w:rsidP="00BB1AEB">
      <w:pPr>
        <w:spacing w:line="240" w:lineRule="exact"/>
      </w:pPr>
    </w:p>
    <w:p w:rsidR="00BB1AEB" w:rsidRPr="00BB1AEB" w:rsidRDefault="00BB1AEB" w:rsidP="00BB1AEB">
      <w:pPr>
        <w:keepNext/>
        <w:keepLines/>
        <w:spacing w:before="120"/>
        <w:ind w:left="964" w:hanging="964"/>
        <w:rPr>
          <w:rFonts w:ascii="Arial" w:hAnsi="Arial"/>
          <w:b/>
        </w:rPr>
      </w:pPr>
      <w:r w:rsidRPr="00BB1AEB">
        <w:rPr>
          <w:rFonts w:ascii="Arial" w:hAnsi="Arial"/>
          <w:b/>
        </w:rPr>
        <w:t>1</w:t>
      </w:r>
      <w:r w:rsidRPr="00BB1AEB">
        <w:rPr>
          <w:rFonts w:ascii="Arial" w:hAnsi="Arial"/>
          <w:b/>
        </w:rPr>
        <w:tab/>
        <w:t>Name of Instrument</w:t>
      </w:r>
    </w:p>
    <w:p w:rsidR="00BB1AEB" w:rsidRPr="00BB1AEB" w:rsidRDefault="00BB1AEB" w:rsidP="00BB1AEB">
      <w:pPr>
        <w:numPr>
          <w:ilvl w:val="0"/>
          <w:numId w:val="9"/>
        </w:numPr>
        <w:tabs>
          <w:tab w:val="right" w:pos="794"/>
        </w:tabs>
        <w:spacing w:before="120"/>
        <w:ind w:left="1418" w:hanging="426"/>
      </w:pPr>
      <w:r w:rsidRPr="00BB1AEB">
        <w:t xml:space="preserve">This instrument is the </w:t>
      </w:r>
      <w:r w:rsidRPr="00BB1AEB">
        <w:rPr>
          <w:i/>
        </w:rPr>
        <w:t>National Health (Pharmaceutical Benefits Scheme-Exempt items - Section 84AH) Amendment Determination 201</w:t>
      </w:r>
      <w:r w:rsidR="004A09BF">
        <w:rPr>
          <w:i/>
        </w:rPr>
        <w:t>8</w:t>
      </w:r>
      <w:r w:rsidRPr="00BB1AEB">
        <w:rPr>
          <w:i/>
        </w:rPr>
        <w:t xml:space="preserve"> (No. </w:t>
      </w:r>
      <w:r w:rsidR="00F00142">
        <w:rPr>
          <w:i/>
        </w:rPr>
        <w:t>4</w:t>
      </w:r>
      <w:r w:rsidRPr="00BB1AEB">
        <w:rPr>
          <w:i/>
        </w:rPr>
        <w:t>).</w:t>
      </w:r>
    </w:p>
    <w:p w:rsidR="00BB1AEB" w:rsidRPr="00BB1AEB" w:rsidRDefault="00BB1AEB" w:rsidP="00BB1AEB">
      <w:pPr>
        <w:numPr>
          <w:ilvl w:val="0"/>
          <w:numId w:val="9"/>
        </w:numPr>
        <w:spacing w:before="120"/>
        <w:ind w:left="1417" w:hanging="425"/>
      </w:pPr>
      <w:r w:rsidRPr="00BB1AEB">
        <w:t xml:space="preserve">This instrument may also be cited as PB </w:t>
      </w:r>
      <w:r w:rsidR="0093607C">
        <w:t>97</w:t>
      </w:r>
      <w:r w:rsidRPr="00BB1AEB">
        <w:t> of 201</w:t>
      </w:r>
      <w:r w:rsidR="00DE2051">
        <w:t>8</w:t>
      </w:r>
      <w:r w:rsidRPr="00BB1AEB">
        <w:t>.</w:t>
      </w:r>
    </w:p>
    <w:p w:rsidR="00BB1AEB" w:rsidRPr="00BB1AEB" w:rsidRDefault="00BB1AEB" w:rsidP="00BB1AEB">
      <w:pPr>
        <w:keepNext/>
        <w:keepLines/>
        <w:spacing w:before="480" w:line="260" w:lineRule="exact"/>
        <w:ind w:left="964" w:hanging="964"/>
        <w:rPr>
          <w:rFonts w:ascii="Arial" w:hAnsi="Arial"/>
          <w:b/>
        </w:rPr>
      </w:pPr>
      <w:r w:rsidRPr="00BB1AEB">
        <w:rPr>
          <w:rFonts w:ascii="Arial" w:hAnsi="Arial"/>
          <w:b/>
        </w:rPr>
        <w:t>2</w:t>
      </w:r>
      <w:r w:rsidRPr="00BB1AEB">
        <w:rPr>
          <w:rFonts w:ascii="Arial" w:hAnsi="Arial"/>
          <w:b/>
        </w:rPr>
        <w:tab/>
        <w:t xml:space="preserve">Commencement </w:t>
      </w:r>
    </w:p>
    <w:p w:rsidR="00BB1AEB" w:rsidRPr="00BB1AEB" w:rsidRDefault="00BB1AEB" w:rsidP="00BB1AEB">
      <w:pPr>
        <w:tabs>
          <w:tab w:val="right" w:pos="794"/>
        </w:tabs>
        <w:spacing w:before="120"/>
        <w:ind w:left="964" w:hanging="964"/>
        <w:jc w:val="both"/>
      </w:pPr>
      <w:r w:rsidRPr="00BB1AEB">
        <w:tab/>
      </w:r>
      <w:r w:rsidRPr="00BB1AEB">
        <w:tab/>
        <w:t xml:space="preserve">This instrument commences on 1 </w:t>
      </w:r>
      <w:r w:rsidR="00F00142">
        <w:t>November</w:t>
      </w:r>
      <w:r w:rsidRPr="00BB1AEB">
        <w:t xml:space="preserve"> 201</w:t>
      </w:r>
      <w:r w:rsidR="00DE2051">
        <w:t>8</w:t>
      </w:r>
      <w:r w:rsidRPr="00BB1AEB">
        <w:t>.</w:t>
      </w:r>
    </w:p>
    <w:p w:rsidR="00BB1AEB" w:rsidRPr="00BB1AEB" w:rsidRDefault="00BB1AEB" w:rsidP="00BB1AEB">
      <w:pPr>
        <w:keepNext/>
        <w:keepLines/>
        <w:spacing w:before="480" w:line="260" w:lineRule="exact"/>
        <w:ind w:left="964" w:hanging="964"/>
        <w:rPr>
          <w:rFonts w:ascii="Arial" w:hAnsi="Arial"/>
          <w:b/>
        </w:rPr>
      </w:pPr>
      <w:r w:rsidRPr="00BB1AEB">
        <w:rPr>
          <w:rFonts w:ascii="Arial" w:hAnsi="Arial"/>
          <w:b/>
        </w:rPr>
        <w:t>3</w:t>
      </w:r>
      <w:r w:rsidRPr="00BB1AEB">
        <w:rPr>
          <w:rFonts w:ascii="Arial" w:hAnsi="Arial"/>
          <w:b/>
        </w:rPr>
        <w:tab/>
        <w:t>Amendments t</w:t>
      </w:r>
      <w:r w:rsidR="008933AB">
        <w:rPr>
          <w:rFonts w:ascii="Arial" w:hAnsi="Arial"/>
          <w:b/>
        </w:rPr>
        <w:t>o</w:t>
      </w:r>
      <w:r w:rsidRPr="00BB1AEB">
        <w:rPr>
          <w:rFonts w:ascii="Arial" w:hAnsi="Arial"/>
          <w:b/>
        </w:rPr>
        <w:t xml:space="preserve"> PB 81 of 2017 </w:t>
      </w:r>
    </w:p>
    <w:p w:rsidR="00BB1AEB" w:rsidRPr="00BB1AEB" w:rsidRDefault="00BB1AEB" w:rsidP="00BB1AEB">
      <w:pPr>
        <w:ind w:left="993"/>
      </w:pPr>
      <w:r w:rsidRPr="00BB1AEB">
        <w:t xml:space="preserve">Schedule 1 amends the legislative instrument titled </w:t>
      </w:r>
      <w:r w:rsidRPr="00BB1AEB">
        <w:rPr>
          <w:i/>
        </w:rPr>
        <w:t xml:space="preserve">National Health (Pharmaceutical Benefits Scheme – Exempt items – Section 84AH) Determination 2017 (PB 81 of 2017) </w:t>
      </w:r>
      <w:r w:rsidRPr="00BB1AEB">
        <w:t>(as amended)</w:t>
      </w:r>
      <w:r w:rsidRPr="00BB1AEB">
        <w:rPr>
          <w:i/>
        </w:rPr>
        <w:t xml:space="preserve"> </w:t>
      </w:r>
    </w:p>
    <w:p w:rsidR="00BB1AEB" w:rsidRDefault="00BB1AEB" w:rsidP="00CD0CE9">
      <w:pPr>
        <w:sectPr w:rsidR="00BB1AEB" w:rsidSect="00A12887">
          <w:headerReference w:type="even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440" w:right="1440" w:bottom="1440" w:left="1440" w:header="720" w:footer="720" w:gutter="0"/>
          <w:pgNumType w:start="2"/>
          <w:cols w:space="720"/>
          <w:titlePg/>
          <w:docGrid w:linePitch="78"/>
        </w:sectPr>
      </w:pPr>
    </w:p>
    <w:p w:rsidR="00CD0CE9" w:rsidRDefault="00CD0CE9" w:rsidP="00CD0CE9">
      <w:pPr>
        <w:pStyle w:val="AS"/>
        <w:spacing w:before="0" w:after="120"/>
        <w:rPr>
          <w:sz w:val="24"/>
        </w:rPr>
      </w:pPr>
      <w:r>
        <w:rPr>
          <w:sz w:val="24"/>
        </w:rPr>
        <w:lastRenderedPageBreak/>
        <w:t>Schedule 1</w:t>
      </w:r>
      <w:r>
        <w:rPr>
          <w:sz w:val="24"/>
        </w:rPr>
        <w:tab/>
        <w:t xml:space="preserve">Amendments </w:t>
      </w:r>
    </w:p>
    <w:p w:rsidR="0041521C" w:rsidRDefault="0041521C" w:rsidP="0041521C"/>
    <w:p w:rsidR="00FD6257" w:rsidRDefault="00545BBE" w:rsidP="007C3F1C">
      <w:pPr>
        <w:pStyle w:val="A1S"/>
        <w:keepLines/>
        <w:widowControl w:val="0"/>
        <w:spacing w:before="0" w:after="60" w:line="240" w:lineRule="auto"/>
        <w:ind w:left="0" w:firstLine="0"/>
      </w:pPr>
      <w:r>
        <w:t xml:space="preserve">       </w:t>
      </w:r>
    </w:p>
    <w:p w:rsidR="000E496D" w:rsidRDefault="000E496D" w:rsidP="000E496D">
      <w:pPr>
        <w:pStyle w:val="A1S"/>
        <w:keepLines/>
        <w:widowControl w:val="0"/>
        <w:numPr>
          <w:ilvl w:val="0"/>
          <w:numId w:val="6"/>
        </w:numPr>
        <w:spacing w:before="0" w:after="60" w:line="240" w:lineRule="auto"/>
      </w:pPr>
      <w:r w:rsidRPr="000E496D">
        <w:rPr>
          <w:sz w:val="19"/>
          <w:szCs w:val="19"/>
        </w:rPr>
        <w:t xml:space="preserve">Schedule 1, after entry for </w:t>
      </w:r>
      <w:r w:rsidR="002119FF">
        <w:rPr>
          <w:sz w:val="19"/>
          <w:szCs w:val="19"/>
        </w:rPr>
        <w:t>Escitalopram</w:t>
      </w:r>
      <w:r>
        <w:rPr>
          <w:sz w:val="19"/>
          <w:szCs w:val="19"/>
        </w:rPr>
        <w:t xml:space="preserve">, Oral </w:t>
      </w:r>
      <w:r w:rsidR="002119FF">
        <w:rPr>
          <w:sz w:val="19"/>
          <w:szCs w:val="19"/>
        </w:rPr>
        <w:t>solution 20 mg (as oxalate) per mL, 15 mL</w:t>
      </w:r>
    </w:p>
    <w:p w:rsidR="000E496D" w:rsidRDefault="000E496D" w:rsidP="000E496D">
      <w:pPr>
        <w:rPr>
          <w:i/>
        </w:rPr>
      </w:pPr>
      <w:r>
        <w:t xml:space="preserve">            </w:t>
      </w:r>
      <w:r>
        <w:tab/>
      </w:r>
      <w:r w:rsidRPr="000E496D">
        <w:rPr>
          <w:i/>
        </w:rPr>
        <w:t>Insert</w:t>
      </w:r>
      <w:r w:rsidRPr="00E929B8">
        <w:rPr>
          <w:i/>
        </w:rPr>
        <w:t>:</w:t>
      </w:r>
    </w:p>
    <w:p w:rsidR="000E496D" w:rsidRPr="00E929B8" w:rsidRDefault="000E496D" w:rsidP="000E496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0E496D" w:rsidTr="00C92419">
        <w:tc>
          <w:tcPr>
            <w:tcW w:w="4503" w:type="dxa"/>
            <w:shd w:val="clear" w:color="auto" w:fill="auto"/>
          </w:tcPr>
          <w:p w:rsidR="000E496D" w:rsidRDefault="002119FF" w:rsidP="00C92419">
            <w:r>
              <w:t>Ethosuximide</w:t>
            </w:r>
          </w:p>
        </w:tc>
        <w:tc>
          <w:tcPr>
            <w:tcW w:w="4946" w:type="dxa"/>
            <w:shd w:val="clear" w:color="auto" w:fill="auto"/>
          </w:tcPr>
          <w:p w:rsidR="000E496D" w:rsidRDefault="002119FF" w:rsidP="00C92419">
            <w:r>
              <w:t>Oral solution 250 mg per 5 mL, 200 mL</w:t>
            </w:r>
          </w:p>
        </w:tc>
        <w:tc>
          <w:tcPr>
            <w:tcW w:w="4725" w:type="dxa"/>
            <w:shd w:val="clear" w:color="auto" w:fill="auto"/>
          </w:tcPr>
          <w:p w:rsidR="000E496D" w:rsidRDefault="000E496D" w:rsidP="00C92419">
            <w:r>
              <w:t>Oral</w:t>
            </w:r>
          </w:p>
        </w:tc>
      </w:tr>
    </w:tbl>
    <w:p w:rsidR="00DE5B2A" w:rsidRPr="00DE5B2A" w:rsidRDefault="00DE5B2A" w:rsidP="00DE5B2A"/>
    <w:p w:rsidR="00AB2364" w:rsidRDefault="00AB2364" w:rsidP="006507C8">
      <w:pPr>
        <w:rPr>
          <w:sz w:val="20"/>
          <w:szCs w:val="20"/>
        </w:rPr>
      </w:pPr>
    </w:p>
    <w:p w:rsidR="007C3F1C" w:rsidRDefault="007C3F1C" w:rsidP="007C3F1C">
      <w:pPr>
        <w:pStyle w:val="A1S"/>
        <w:keepLines/>
        <w:widowControl w:val="0"/>
        <w:numPr>
          <w:ilvl w:val="0"/>
          <w:numId w:val="6"/>
        </w:numPr>
        <w:spacing w:before="0" w:after="60" w:line="240" w:lineRule="auto"/>
      </w:pPr>
      <w:r w:rsidRPr="000E496D">
        <w:rPr>
          <w:sz w:val="19"/>
          <w:szCs w:val="19"/>
        </w:rPr>
        <w:t xml:space="preserve">Schedule 1, after entry for </w:t>
      </w:r>
      <w:r>
        <w:rPr>
          <w:sz w:val="19"/>
          <w:szCs w:val="19"/>
        </w:rPr>
        <w:t>Glyceryl Trinitrate, Sublingual spray (pump pack) 400 micrograms per dose, 200 doses</w:t>
      </w:r>
      <w:r w:rsidRPr="000E496D">
        <w:rPr>
          <w:sz w:val="19"/>
          <w:szCs w:val="19"/>
        </w:rPr>
        <w:t xml:space="preserve"> </w:t>
      </w:r>
    </w:p>
    <w:p w:rsidR="007C3F1C" w:rsidRDefault="007C3F1C" w:rsidP="007C3F1C">
      <w:pPr>
        <w:rPr>
          <w:i/>
        </w:rPr>
      </w:pPr>
      <w:r>
        <w:t xml:space="preserve">            </w:t>
      </w:r>
      <w:r>
        <w:tab/>
      </w:r>
      <w:r w:rsidRPr="00BB1AEB">
        <w:rPr>
          <w:i/>
        </w:rPr>
        <w:t>Omi</w:t>
      </w:r>
      <w:r>
        <w:rPr>
          <w:i/>
        </w:rPr>
        <w:t>t</w:t>
      </w:r>
      <w:r w:rsidRPr="00E929B8">
        <w:rPr>
          <w:i/>
        </w:rPr>
        <w:t>:</w:t>
      </w:r>
    </w:p>
    <w:p w:rsidR="007C3F1C" w:rsidRPr="00E929B8" w:rsidRDefault="007C3F1C" w:rsidP="007C3F1C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46"/>
        <w:gridCol w:w="4725"/>
      </w:tblGrid>
      <w:tr w:rsidR="007C3F1C" w:rsidTr="002E2E2E">
        <w:tc>
          <w:tcPr>
            <w:tcW w:w="4503" w:type="dxa"/>
            <w:shd w:val="clear" w:color="auto" w:fill="auto"/>
          </w:tcPr>
          <w:p w:rsidR="007C3F1C" w:rsidRDefault="007C3F1C" w:rsidP="002E2E2E">
            <w:r>
              <w:t>Hydromorphone</w:t>
            </w:r>
          </w:p>
        </w:tc>
        <w:tc>
          <w:tcPr>
            <w:tcW w:w="4946" w:type="dxa"/>
            <w:shd w:val="clear" w:color="auto" w:fill="auto"/>
          </w:tcPr>
          <w:p w:rsidR="007C3F1C" w:rsidRDefault="007C3F1C" w:rsidP="002E2E2E">
            <w:r>
              <w:t>Oral liquid containing hydromorphone hydrochloride 1 mg per mL, 473 mL</w:t>
            </w:r>
          </w:p>
        </w:tc>
        <w:tc>
          <w:tcPr>
            <w:tcW w:w="4725" w:type="dxa"/>
            <w:shd w:val="clear" w:color="auto" w:fill="auto"/>
          </w:tcPr>
          <w:p w:rsidR="007C3F1C" w:rsidRDefault="007C3F1C" w:rsidP="002E2E2E">
            <w:r>
              <w:t>Oral</w:t>
            </w:r>
          </w:p>
        </w:tc>
      </w:tr>
    </w:tbl>
    <w:p w:rsidR="006507C8" w:rsidRDefault="006507C8" w:rsidP="006507C8">
      <w:pPr>
        <w:pStyle w:val="A1S"/>
        <w:keepLines/>
        <w:widowControl w:val="0"/>
        <w:tabs>
          <w:tab w:val="left" w:pos="720"/>
        </w:tabs>
        <w:spacing w:before="0" w:after="60" w:line="240" w:lineRule="auto"/>
        <w:ind w:left="357" w:firstLine="0"/>
        <w:rPr>
          <w:sz w:val="19"/>
          <w:szCs w:val="19"/>
        </w:rPr>
      </w:pPr>
    </w:p>
    <w:p w:rsidR="003253FC" w:rsidRDefault="003253FC" w:rsidP="00CD0CE9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 w:val="19"/>
          <w:szCs w:val="19"/>
          <w:lang w:val="en-US" w:eastAsia="en-US"/>
        </w:rPr>
      </w:pPr>
    </w:p>
    <w:p w:rsidR="003253FC" w:rsidRDefault="003253FC" w:rsidP="003253FC">
      <w:pPr>
        <w:rPr>
          <w:rFonts w:ascii="Helv" w:hAnsi="Helv" w:cs="Helv"/>
          <w:sz w:val="19"/>
          <w:szCs w:val="19"/>
          <w:lang w:val="en-US" w:eastAsia="en-US"/>
        </w:rPr>
      </w:pPr>
    </w:p>
    <w:p w:rsidR="00CD0CE9" w:rsidRPr="003253FC" w:rsidRDefault="003253FC" w:rsidP="003253FC">
      <w:pPr>
        <w:tabs>
          <w:tab w:val="left" w:pos="11790"/>
        </w:tabs>
        <w:rPr>
          <w:rFonts w:ascii="Helv" w:hAnsi="Helv" w:cs="Helv"/>
          <w:sz w:val="19"/>
          <w:szCs w:val="19"/>
          <w:lang w:val="en-US" w:eastAsia="en-US"/>
        </w:rPr>
      </w:pPr>
      <w:r>
        <w:rPr>
          <w:rFonts w:ascii="Helv" w:hAnsi="Helv" w:cs="Helv"/>
          <w:sz w:val="19"/>
          <w:szCs w:val="19"/>
          <w:lang w:val="en-US" w:eastAsia="en-US"/>
        </w:rPr>
        <w:tab/>
      </w:r>
    </w:p>
    <w:sectPr w:rsidR="00CD0CE9" w:rsidRPr="003253FC" w:rsidSect="00CD0CE9">
      <w:pgSz w:w="16838" w:h="11906" w:orient="landscape" w:code="9"/>
      <w:pgMar w:top="1440" w:right="1440" w:bottom="1440" w:left="1440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41" w:rsidRDefault="002A3641">
      <w:r>
        <w:separator/>
      </w:r>
    </w:p>
  </w:endnote>
  <w:endnote w:type="continuationSeparator" w:id="0">
    <w:p w:rsidR="002A3641" w:rsidRDefault="002A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EB" w:rsidRDefault="00BB1AEB" w:rsidP="004122E4">
    <w:pPr>
      <w:pStyle w:val="Footer"/>
    </w:pPr>
    <w:r>
      <w:t>National Health (</w:t>
    </w:r>
    <w:r w:rsidRPr="00E81720">
      <w:t>Highly specialised drugs program for hospitals) Special</w:t>
    </w:r>
    <w:r>
      <w:t xml:space="preserve"> Arrangement Amendment Instrument 2015  (PB </w:t>
    </w:r>
    <w:r w:rsidRPr="00FC61F2">
      <w:rPr>
        <w:color w:val="FF0000"/>
      </w:rPr>
      <w:t>??</w:t>
    </w:r>
    <w:r>
      <w:t xml:space="preserve"> of 2015)                    </w:t>
    </w:r>
  </w:p>
  <w:p w:rsidR="00BB1AEB" w:rsidRDefault="00BB1AEB" w:rsidP="004122E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B1AEB" w:rsidRDefault="00BB1AEB" w:rsidP="004122E4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9"/>
      <w:gridCol w:w="6551"/>
      <w:gridCol w:w="1158"/>
    </w:tblGrid>
    <w:tr w:rsidR="00BB1AEB" w:rsidRPr="00036C2A" w:rsidTr="004122E4">
      <w:tc>
        <w:tcPr>
          <w:tcW w:w="1134" w:type="dxa"/>
          <w:shd w:val="clear" w:color="auto" w:fill="auto"/>
        </w:tcPr>
        <w:p w:rsidR="00BB1AEB" w:rsidRPr="00036C2A" w:rsidRDefault="00BB1AEB" w:rsidP="004122E4">
          <w:pPr>
            <w:pStyle w:val="Footer"/>
          </w:pPr>
        </w:p>
      </w:tc>
      <w:tc>
        <w:tcPr>
          <w:tcW w:w="6414" w:type="dxa"/>
          <w:shd w:val="clear" w:color="auto" w:fill="auto"/>
        </w:tcPr>
        <w:p w:rsidR="00BB1AEB" w:rsidRPr="00036C2A" w:rsidRDefault="00BB1AEB" w:rsidP="004122E4">
          <w:pPr>
            <w:pStyle w:val="Footer"/>
          </w:pPr>
        </w:p>
      </w:tc>
      <w:tc>
        <w:tcPr>
          <w:tcW w:w="1134" w:type="dxa"/>
          <w:shd w:val="clear" w:color="auto" w:fill="auto"/>
        </w:tcPr>
        <w:p w:rsidR="00BB1AEB" w:rsidRPr="00036C2A" w:rsidRDefault="00BB1AEB" w:rsidP="004122E4">
          <w:pPr>
            <w:pStyle w:val="Footer"/>
          </w:pPr>
        </w:p>
      </w:tc>
    </w:tr>
  </w:tbl>
  <w:p w:rsidR="00BB1AEB" w:rsidRPr="00036C2A" w:rsidRDefault="00BB1AEB" w:rsidP="004122E4">
    <w:pPr>
      <w:pStyle w:val="Footer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14"/>
      <w:gridCol w:w="600"/>
      <w:gridCol w:w="1080"/>
      <w:gridCol w:w="54"/>
      <w:gridCol w:w="186"/>
    </w:tblGrid>
    <w:tr w:rsidR="00BB1AEB" w:rsidTr="004122E4">
      <w:trPr>
        <w:gridAfter w:val="1"/>
        <w:wAfter w:w="186" w:type="dxa"/>
      </w:trPr>
      <w:tc>
        <w:tcPr>
          <w:tcW w:w="1134" w:type="dxa"/>
          <w:tcBorders>
            <w:top w:val="nil"/>
          </w:tcBorders>
          <w:shd w:val="clear" w:color="auto" w:fill="auto"/>
        </w:tcPr>
        <w:p w:rsidR="00BB1AEB" w:rsidRDefault="00BB1AEB" w:rsidP="004122E4">
          <w:pPr>
            <w:spacing w:line="240" w:lineRule="exact"/>
          </w:pPr>
        </w:p>
      </w:tc>
      <w:tc>
        <w:tcPr>
          <w:tcW w:w="6414" w:type="dxa"/>
          <w:gridSpan w:val="2"/>
          <w:tcBorders>
            <w:top w:val="nil"/>
          </w:tcBorders>
          <w:shd w:val="clear" w:color="auto" w:fill="auto"/>
        </w:tcPr>
        <w:p w:rsidR="00BB1AEB" w:rsidRPr="004F5D6D" w:rsidRDefault="00BB1AEB" w:rsidP="004122E4">
          <w:pPr>
            <w:pStyle w:val="FooterCitation"/>
          </w:pPr>
        </w:p>
      </w:tc>
      <w:tc>
        <w:tcPr>
          <w:tcW w:w="1134" w:type="dxa"/>
          <w:gridSpan w:val="2"/>
          <w:tcBorders>
            <w:top w:val="nil"/>
          </w:tcBorders>
          <w:shd w:val="clear" w:color="auto" w:fill="auto"/>
        </w:tcPr>
        <w:p w:rsidR="00BB1AEB" w:rsidRPr="00FE1BEE" w:rsidRDefault="00BB1AEB" w:rsidP="004122E4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BB1AEB" w:rsidRPr="00E71EB1" w:rsidTr="004122E4">
      <w:trPr>
        <w:trHeight w:val="70"/>
      </w:trPr>
      <w:tc>
        <w:tcPr>
          <w:tcW w:w="6948" w:type="dxa"/>
          <w:gridSpan w:val="2"/>
          <w:shd w:val="clear" w:color="auto" w:fill="auto"/>
        </w:tcPr>
        <w:p w:rsidR="00BB1AEB" w:rsidRPr="00E71EB1" w:rsidRDefault="00BB1AEB" w:rsidP="004122E4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1680" w:type="dxa"/>
          <w:gridSpan w:val="2"/>
          <w:shd w:val="clear" w:color="auto" w:fill="auto"/>
        </w:tcPr>
        <w:p w:rsidR="00BB1AEB" w:rsidRPr="00E71EB1" w:rsidRDefault="00BB1AEB" w:rsidP="004122E4">
          <w:pPr>
            <w:pStyle w:val="FooterCitation"/>
            <w:rPr>
              <w:sz w:val="20"/>
              <w:szCs w:val="20"/>
            </w:rPr>
          </w:pPr>
        </w:p>
      </w:tc>
      <w:tc>
        <w:tcPr>
          <w:tcW w:w="240" w:type="dxa"/>
          <w:gridSpan w:val="2"/>
          <w:shd w:val="clear" w:color="auto" w:fill="auto"/>
        </w:tcPr>
        <w:p w:rsidR="00BB1AEB" w:rsidRPr="00E71EB1" w:rsidRDefault="00BB1AEB" w:rsidP="004122E4">
          <w:pPr>
            <w:spacing w:line="240" w:lineRule="exact"/>
            <w:jc w:val="right"/>
            <w:rPr>
              <w:rStyle w:val="PageNumber"/>
              <w:rFonts w:cs="Arial"/>
              <w:sz w:val="20"/>
              <w:szCs w:val="20"/>
            </w:rPr>
          </w:pPr>
        </w:p>
      </w:tc>
    </w:tr>
  </w:tbl>
  <w:p w:rsidR="00BB1AEB" w:rsidRPr="00CB0B6D" w:rsidRDefault="00BB1AEB" w:rsidP="004122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FD" w:rsidRDefault="004177FD" w:rsidP="00A857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77FD" w:rsidRDefault="004177FD" w:rsidP="00A857B8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FD" w:rsidRDefault="004177FD" w:rsidP="006A1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9FF">
      <w:rPr>
        <w:rStyle w:val="PageNumber"/>
        <w:noProof/>
      </w:rPr>
      <w:t>4</w:t>
    </w:r>
    <w:r>
      <w:rPr>
        <w:rStyle w:val="PageNumber"/>
      </w:rPr>
      <w:fldChar w:fldCharType="end"/>
    </w:r>
  </w:p>
  <w:p w:rsidR="004177FD" w:rsidRDefault="004177FD" w:rsidP="00A857B8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E8223D" w:rsidRDefault="00E8223D" w:rsidP="00E8223D">
    <w:pPr>
      <w:pStyle w:val="Footer"/>
      <w:jc w:val="left"/>
    </w:pPr>
    <w:r w:rsidRPr="00BB1AEB">
      <w:t>National Health (Pharmaceutical B</w:t>
    </w:r>
    <w:r>
      <w:t>enefits Scheme- Exempt items – S</w:t>
    </w:r>
    <w:r w:rsidRPr="00BB1AEB">
      <w:t xml:space="preserve">ection 84AH) </w:t>
    </w:r>
    <w:r>
      <w:t xml:space="preserve">Amendment </w:t>
    </w:r>
    <w:r w:rsidRPr="00BB1AEB">
      <w:t>Determination 201</w:t>
    </w:r>
    <w:r>
      <w:t xml:space="preserve">8 </w:t>
    </w:r>
    <w:r w:rsidRPr="00BB1AEB">
      <w:t xml:space="preserve">(PB </w:t>
    </w:r>
    <w:r w:rsidR="001B420E">
      <w:t>61</w:t>
    </w:r>
    <w:r w:rsidRPr="00BB1AEB">
      <w:t> of 201</w:t>
    </w:r>
    <w:r>
      <w:t>8</w:t>
    </w:r>
    <w:r w:rsidRPr="00BB1AEB">
      <w:t>)</w:t>
    </w:r>
    <w:r>
      <w:tab/>
    </w:r>
    <w:r>
      <w:tab/>
    </w:r>
  </w:p>
  <w:p w:rsidR="004177FD" w:rsidRPr="00E72BC5" w:rsidRDefault="004177FD" w:rsidP="00CD0CE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</w:p>
  <w:p w:rsidR="004177FD" w:rsidRDefault="0074122E" w:rsidP="0074122E">
    <w:pPr>
      <w:pStyle w:val="Footer"/>
      <w:tabs>
        <w:tab w:val="clear" w:pos="7201"/>
        <w:tab w:val="left" w:pos="4320"/>
        <w:tab w:val="left" w:pos="5040"/>
        <w:tab w:val="left" w:pos="5760"/>
        <w:tab w:val="left" w:pos="6480"/>
        <w:tab w:val="left" w:pos="792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87" w:rsidRDefault="003253FC">
    <w:pPr>
      <w:pStyle w:val="Footer"/>
      <w:jc w:val="right"/>
    </w:pPr>
    <w:r w:rsidRPr="00BB1AEB">
      <w:t>National Health (Pharmaceutical B</w:t>
    </w:r>
    <w:r>
      <w:t>enefits Scheme- Exempt items – S</w:t>
    </w:r>
    <w:r w:rsidRPr="00BB1AEB">
      <w:t xml:space="preserve">ection 84AH) </w:t>
    </w:r>
    <w:r>
      <w:t xml:space="preserve">Amendment </w:t>
    </w:r>
    <w:r w:rsidRPr="00BB1AEB">
      <w:t>Determination 201</w:t>
    </w:r>
    <w:r>
      <w:t xml:space="preserve">8 </w:t>
    </w:r>
    <w:r w:rsidRPr="00BB1AEB">
      <w:t xml:space="preserve">(PB </w:t>
    </w:r>
    <w:r w:rsidR="0093607C">
      <w:t>97</w:t>
    </w:r>
    <w:r w:rsidRPr="00BB1AEB">
      <w:t> of 201</w:t>
    </w:r>
    <w:r>
      <w:t>8</w:t>
    </w:r>
    <w:r w:rsidRPr="00BB1AEB">
      <w:t>)</w:t>
    </w:r>
    <w:r>
      <w:tab/>
    </w:r>
    <w:r w:rsidR="00A12887">
      <w:fldChar w:fldCharType="begin"/>
    </w:r>
    <w:r w:rsidR="00A12887">
      <w:instrText xml:space="preserve"> PAGE   \* MERGEFORMAT </w:instrText>
    </w:r>
    <w:r w:rsidR="00A12887">
      <w:fldChar w:fldCharType="separate"/>
    </w:r>
    <w:r w:rsidR="000D0DF3">
      <w:rPr>
        <w:noProof/>
      </w:rPr>
      <w:t>2</w:t>
    </w:r>
    <w:r w:rsidR="00A12887">
      <w:rPr>
        <w:noProof/>
      </w:rPr>
      <w:fldChar w:fldCharType="end"/>
    </w:r>
  </w:p>
  <w:p w:rsidR="004177FD" w:rsidRDefault="004177FD" w:rsidP="00CD0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41" w:rsidRDefault="002A3641">
      <w:r>
        <w:separator/>
      </w:r>
    </w:p>
  </w:footnote>
  <w:footnote w:type="continuationSeparator" w:id="0">
    <w:p w:rsidR="002A3641" w:rsidRDefault="002A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B1AEB">
      <w:tc>
        <w:tcPr>
          <w:tcW w:w="1494" w:type="dxa"/>
        </w:tcPr>
        <w:p w:rsidR="00BB1AEB" w:rsidRDefault="00BB1AEB" w:rsidP="004122E4">
          <w:pPr>
            <w:pStyle w:val="HeaderLiteEven"/>
          </w:pPr>
        </w:p>
      </w:tc>
      <w:tc>
        <w:tcPr>
          <w:tcW w:w="6891" w:type="dxa"/>
        </w:tcPr>
        <w:p w:rsidR="00BB1AEB" w:rsidRDefault="00BB1AEB" w:rsidP="004122E4">
          <w:pPr>
            <w:pStyle w:val="HeaderLiteEven"/>
          </w:pPr>
        </w:p>
      </w:tc>
    </w:tr>
    <w:tr w:rsidR="00BB1AEB">
      <w:tc>
        <w:tcPr>
          <w:tcW w:w="1494" w:type="dxa"/>
        </w:tcPr>
        <w:p w:rsidR="00BB1AEB" w:rsidRDefault="00BB1AEB" w:rsidP="004122E4">
          <w:pPr>
            <w:pStyle w:val="HeaderLiteEven"/>
          </w:pPr>
        </w:p>
      </w:tc>
      <w:tc>
        <w:tcPr>
          <w:tcW w:w="6891" w:type="dxa"/>
        </w:tcPr>
        <w:p w:rsidR="00BB1AEB" w:rsidRDefault="00BB1AEB" w:rsidP="004122E4">
          <w:pPr>
            <w:pStyle w:val="HeaderLiteEven"/>
          </w:pPr>
        </w:p>
      </w:tc>
    </w:tr>
    <w:tr w:rsidR="00BB1AEB">
      <w:tc>
        <w:tcPr>
          <w:tcW w:w="8385" w:type="dxa"/>
          <w:gridSpan w:val="2"/>
          <w:tcBorders>
            <w:bottom w:val="single" w:sz="4" w:space="0" w:color="auto"/>
          </w:tcBorders>
        </w:tcPr>
        <w:p w:rsidR="00BB1AEB" w:rsidRDefault="00BB1AEB" w:rsidP="004122E4">
          <w:pPr>
            <w:pStyle w:val="HeaderBoldEven"/>
          </w:pPr>
        </w:p>
      </w:tc>
    </w:tr>
  </w:tbl>
  <w:p w:rsidR="00BB1AEB" w:rsidRDefault="00BB1AEB" w:rsidP="004122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B1AEB">
      <w:tc>
        <w:tcPr>
          <w:tcW w:w="6914" w:type="dxa"/>
        </w:tcPr>
        <w:p w:rsidR="00BB1AEB" w:rsidRDefault="00BB1AEB" w:rsidP="004122E4">
          <w:pPr>
            <w:pStyle w:val="HeaderLiteOdd"/>
          </w:pPr>
        </w:p>
      </w:tc>
      <w:tc>
        <w:tcPr>
          <w:tcW w:w="1471" w:type="dxa"/>
        </w:tcPr>
        <w:p w:rsidR="00BB1AEB" w:rsidRDefault="00BB1AEB" w:rsidP="004122E4">
          <w:pPr>
            <w:pStyle w:val="HeaderLiteOdd"/>
          </w:pPr>
        </w:p>
      </w:tc>
    </w:tr>
    <w:tr w:rsidR="00BB1AEB">
      <w:tc>
        <w:tcPr>
          <w:tcW w:w="6914" w:type="dxa"/>
        </w:tcPr>
        <w:p w:rsidR="00BB1AEB" w:rsidRDefault="00BB1AEB" w:rsidP="004122E4">
          <w:pPr>
            <w:pStyle w:val="HeaderLiteOdd"/>
          </w:pPr>
        </w:p>
      </w:tc>
      <w:tc>
        <w:tcPr>
          <w:tcW w:w="1471" w:type="dxa"/>
        </w:tcPr>
        <w:p w:rsidR="00BB1AEB" w:rsidRDefault="00BB1AEB" w:rsidP="004122E4">
          <w:pPr>
            <w:pStyle w:val="HeaderLiteOdd"/>
          </w:pPr>
        </w:p>
      </w:tc>
    </w:tr>
  </w:tbl>
  <w:p w:rsidR="00BB1AEB" w:rsidRDefault="00BB1AEB" w:rsidP="004122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BB1AEB" w:rsidRPr="00FF7AF0" w:rsidTr="004122E4">
      <w:trPr>
        <w:gridAfter w:val="1"/>
        <w:wAfter w:w="6798" w:type="dxa"/>
      </w:trPr>
      <w:tc>
        <w:tcPr>
          <w:tcW w:w="1548" w:type="dxa"/>
        </w:tcPr>
        <w:p w:rsidR="00BB1AEB" w:rsidRPr="00FF7AF0" w:rsidRDefault="00BB1AEB" w:rsidP="004122E4">
          <w:pPr>
            <w:tabs>
              <w:tab w:val="center" w:pos="3969"/>
              <w:tab w:val="right" w:pos="8505"/>
            </w:tabs>
            <w:spacing w:before="60"/>
            <w:jc w:val="right"/>
            <w:rPr>
              <w:rFonts w:ascii="Arial" w:hAnsi="Arial"/>
              <w:sz w:val="18"/>
            </w:rPr>
          </w:pPr>
        </w:p>
      </w:tc>
    </w:tr>
    <w:tr w:rsidR="00BB1AEB" w:rsidRPr="00FF7AF0" w:rsidTr="004122E4">
      <w:trPr>
        <w:gridAfter w:val="1"/>
        <w:wAfter w:w="6798" w:type="dxa"/>
      </w:trPr>
      <w:tc>
        <w:tcPr>
          <w:tcW w:w="1548" w:type="dxa"/>
        </w:tcPr>
        <w:p w:rsidR="00BB1AEB" w:rsidRPr="00FF7AF0" w:rsidRDefault="00BB1AEB" w:rsidP="004122E4">
          <w:pPr>
            <w:tabs>
              <w:tab w:val="center" w:pos="3969"/>
              <w:tab w:val="right" w:pos="8505"/>
            </w:tabs>
            <w:spacing w:before="60"/>
            <w:jc w:val="right"/>
            <w:rPr>
              <w:rFonts w:ascii="Arial" w:hAnsi="Arial"/>
              <w:sz w:val="18"/>
            </w:rPr>
          </w:pPr>
        </w:p>
      </w:tc>
    </w:tr>
    <w:tr w:rsidR="00BB1AEB" w:rsidRPr="00FF7AF0" w:rsidTr="004122E4">
      <w:tc>
        <w:tcPr>
          <w:tcW w:w="8346" w:type="dxa"/>
          <w:gridSpan w:val="2"/>
          <w:shd w:val="clear" w:color="auto" w:fill="auto"/>
        </w:tcPr>
        <w:p w:rsidR="00BB1AEB" w:rsidRPr="00FF7AF0" w:rsidRDefault="00BB1AEB" w:rsidP="004122E4">
          <w:pPr>
            <w:spacing w:before="120" w:after="60"/>
            <w:jc w:val="right"/>
            <w:rPr>
              <w:rFonts w:ascii="Arial" w:hAnsi="Arial"/>
              <w:b/>
              <w:sz w:val="20"/>
            </w:rPr>
          </w:pPr>
        </w:p>
      </w:tc>
    </w:tr>
  </w:tbl>
  <w:p w:rsidR="00BB1AEB" w:rsidRDefault="00BB1A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FD" w:rsidRDefault="004177FD" w:rsidP="00CD0C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77FD" w:rsidRDefault="004177F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FD" w:rsidRDefault="004177FD" w:rsidP="00CD0C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1BB6"/>
    <w:multiLevelType w:val="hybridMultilevel"/>
    <w:tmpl w:val="DDD27C14"/>
    <w:lvl w:ilvl="0" w:tplc="8C30B066">
      <w:start w:val="1"/>
      <w:numFmt w:val="lowerLetter"/>
      <w:lvlText w:val="(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2EF07BC7"/>
    <w:multiLevelType w:val="hybridMultilevel"/>
    <w:tmpl w:val="AD6C9FB0"/>
    <w:lvl w:ilvl="0" w:tplc="BCB62DBA">
      <w:start w:val="1"/>
      <w:numFmt w:val="decimal"/>
      <w:lvlText w:val="[%1]"/>
      <w:lvlJc w:val="left"/>
      <w:pPr>
        <w:tabs>
          <w:tab w:val="num" w:pos="237"/>
        </w:tabs>
        <w:ind w:left="181" w:firstLine="59"/>
      </w:pPr>
      <w:rPr>
        <w:rFonts w:ascii="Arial Bold" w:hAnsi="Arial Bold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0E7EA">
      <w:start w:val="1"/>
      <w:numFmt w:val="lowerLetter"/>
      <w:lvlText w:val="(%3)"/>
      <w:lvlJc w:val="left"/>
      <w:pPr>
        <w:tabs>
          <w:tab w:val="num" w:pos="600"/>
        </w:tabs>
        <w:ind w:left="600" w:hanging="480"/>
      </w:pPr>
      <w:rPr>
        <w:rFonts w:ascii="Arial" w:hAnsi="Arial" w:cs="Arial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85DF6"/>
    <w:multiLevelType w:val="hybridMultilevel"/>
    <w:tmpl w:val="FFEA76DE"/>
    <w:lvl w:ilvl="0" w:tplc="B322A888">
      <w:start w:val="1"/>
      <w:numFmt w:val="lowerLetter"/>
      <w:lvlText w:val="(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443A150F"/>
    <w:multiLevelType w:val="hybridMultilevel"/>
    <w:tmpl w:val="13BA1864"/>
    <w:lvl w:ilvl="0" w:tplc="502E57C8">
      <w:start w:val="1"/>
      <w:numFmt w:val="decimal"/>
      <w:lvlText w:val="(%1)"/>
      <w:lvlJc w:val="left"/>
      <w:pPr>
        <w:ind w:left="16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4D9A5CAE"/>
    <w:multiLevelType w:val="hybridMultilevel"/>
    <w:tmpl w:val="19F64E96"/>
    <w:lvl w:ilvl="0" w:tplc="DBF0034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 w:tplc="FDA66BFC">
      <w:start w:val="7"/>
      <w:numFmt w:val="lowerLetter"/>
      <w:lvlText w:val="(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09EC63A">
      <w:start w:val="1"/>
      <w:numFmt w:val="decimal"/>
      <w:lvlText w:val="(%4)"/>
      <w:lvlJc w:val="left"/>
      <w:pPr>
        <w:tabs>
          <w:tab w:val="num" w:pos="3135"/>
        </w:tabs>
        <w:ind w:left="3135" w:hanging="555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5CA781C"/>
    <w:multiLevelType w:val="hybridMultilevel"/>
    <w:tmpl w:val="64128F6E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4A312C"/>
    <w:multiLevelType w:val="hybridMultilevel"/>
    <w:tmpl w:val="BB261A9C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F902CB5"/>
    <w:multiLevelType w:val="hybridMultilevel"/>
    <w:tmpl w:val="C3D2C546"/>
    <w:lvl w:ilvl="0" w:tplc="A82C4044">
      <w:start w:val="6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CE9"/>
    <w:rsid w:val="00006A8D"/>
    <w:rsid w:val="00007423"/>
    <w:rsid w:val="00015E1C"/>
    <w:rsid w:val="00016B81"/>
    <w:rsid w:val="00023501"/>
    <w:rsid w:val="000235F4"/>
    <w:rsid w:val="00023CE1"/>
    <w:rsid w:val="00026DAB"/>
    <w:rsid w:val="00027C8E"/>
    <w:rsid w:val="00031683"/>
    <w:rsid w:val="00033B7E"/>
    <w:rsid w:val="0003691A"/>
    <w:rsid w:val="000418BE"/>
    <w:rsid w:val="00041937"/>
    <w:rsid w:val="00041D3B"/>
    <w:rsid w:val="00045826"/>
    <w:rsid w:val="00045DB6"/>
    <w:rsid w:val="0004700F"/>
    <w:rsid w:val="00050CE4"/>
    <w:rsid w:val="00052378"/>
    <w:rsid w:val="0005784C"/>
    <w:rsid w:val="00063C21"/>
    <w:rsid w:val="00075D3A"/>
    <w:rsid w:val="000766AE"/>
    <w:rsid w:val="00076FF4"/>
    <w:rsid w:val="0007788E"/>
    <w:rsid w:val="00087624"/>
    <w:rsid w:val="00092D40"/>
    <w:rsid w:val="00095206"/>
    <w:rsid w:val="000966C5"/>
    <w:rsid w:val="000A552B"/>
    <w:rsid w:val="000B0D05"/>
    <w:rsid w:val="000B28B9"/>
    <w:rsid w:val="000C277C"/>
    <w:rsid w:val="000C429B"/>
    <w:rsid w:val="000D0DF3"/>
    <w:rsid w:val="000D79C8"/>
    <w:rsid w:val="000D7D80"/>
    <w:rsid w:val="000E496D"/>
    <w:rsid w:val="000F2F00"/>
    <w:rsid w:val="000F5885"/>
    <w:rsid w:val="00105706"/>
    <w:rsid w:val="00117A4C"/>
    <w:rsid w:val="001230A1"/>
    <w:rsid w:val="00123FD9"/>
    <w:rsid w:val="00130259"/>
    <w:rsid w:val="00134AB0"/>
    <w:rsid w:val="00141D0A"/>
    <w:rsid w:val="00142730"/>
    <w:rsid w:val="00153D38"/>
    <w:rsid w:val="00154982"/>
    <w:rsid w:val="001627CD"/>
    <w:rsid w:val="00167458"/>
    <w:rsid w:val="001752A2"/>
    <w:rsid w:val="00182501"/>
    <w:rsid w:val="00190A04"/>
    <w:rsid w:val="001922C2"/>
    <w:rsid w:val="001927A1"/>
    <w:rsid w:val="001A38AC"/>
    <w:rsid w:val="001A49AD"/>
    <w:rsid w:val="001A5F7A"/>
    <w:rsid w:val="001B1922"/>
    <w:rsid w:val="001B420E"/>
    <w:rsid w:val="001B6943"/>
    <w:rsid w:val="001C0011"/>
    <w:rsid w:val="001C405B"/>
    <w:rsid w:val="001C43DE"/>
    <w:rsid w:val="001C6B84"/>
    <w:rsid w:val="001D55CD"/>
    <w:rsid w:val="001D5A74"/>
    <w:rsid w:val="001E0484"/>
    <w:rsid w:val="001F351C"/>
    <w:rsid w:val="002075B9"/>
    <w:rsid w:val="002105F3"/>
    <w:rsid w:val="00210EF8"/>
    <w:rsid w:val="00211144"/>
    <w:rsid w:val="002119FF"/>
    <w:rsid w:val="002160B6"/>
    <w:rsid w:val="00216410"/>
    <w:rsid w:val="00217B84"/>
    <w:rsid w:val="00225F71"/>
    <w:rsid w:val="00226709"/>
    <w:rsid w:val="00231D7B"/>
    <w:rsid w:val="0023637E"/>
    <w:rsid w:val="00241E95"/>
    <w:rsid w:val="00244473"/>
    <w:rsid w:val="002577D5"/>
    <w:rsid w:val="002640C3"/>
    <w:rsid w:val="00267B1A"/>
    <w:rsid w:val="002701CE"/>
    <w:rsid w:val="002706D1"/>
    <w:rsid w:val="0027086D"/>
    <w:rsid w:val="00281091"/>
    <w:rsid w:val="00285A75"/>
    <w:rsid w:val="002932C0"/>
    <w:rsid w:val="002956CD"/>
    <w:rsid w:val="002A2768"/>
    <w:rsid w:val="002A3641"/>
    <w:rsid w:val="002A48FF"/>
    <w:rsid w:val="002B10AF"/>
    <w:rsid w:val="002B4080"/>
    <w:rsid w:val="002B5ACB"/>
    <w:rsid w:val="002C4911"/>
    <w:rsid w:val="002C5315"/>
    <w:rsid w:val="002D0EF8"/>
    <w:rsid w:val="002E3BA8"/>
    <w:rsid w:val="00300852"/>
    <w:rsid w:val="00305180"/>
    <w:rsid w:val="0031170A"/>
    <w:rsid w:val="00313037"/>
    <w:rsid w:val="00313293"/>
    <w:rsid w:val="003219FB"/>
    <w:rsid w:val="00323DC3"/>
    <w:rsid w:val="00324450"/>
    <w:rsid w:val="003253FC"/>
    <w:rsid w:val="00335196"/>
    <w:rsid w:val="003405BA"/>
    <w:rsid w:val="00340C5B"/>
    <w:rsid w:val="00350E6E"/>
    <w:rsid w:val="00352C95"/>
    <w:rsid w:val="003610CD"/>
    <w:rsid w:val="00362EE6"/>
    <w:rsid w:val="00363553"/>
    <w:rsid w:val="00363C4D"/>
    <w:rsid w:val="00364B70"/>
    <w:rsid w:val="0037151B"/>
    <w:rsid w:val="00376640"/>
    <w:rsid w:val="00376803"/>
    <w:rsid w:val="003768C8"/>
    <w:rsid w:val="0037779D"/>
    <w:rsid w:val="003834BE"/>
    <w:rsid w:val="003859D1"/>
    <w:rsid w:val="00386BCD"/>
    <w:rsid w:val="003A0043"/>
    <w:rsid w:val="003A47DE"/>
    <w:rsid w:val="003B00BE"/>
    <w:rsid w:val="003B2886"/>
    <w:rsid w:val="003B3A64"/>
    <w:rsid w:val="003B488A"/>
    <w:rsid w:val="003D2B0B"/>
    <w:rsid w:val="003E068E"/>
    <w:rsid w:val="003E1F03"/>
    <w:rsid w:val="003E22A5"/>
    <w:rsid w:val="003E50D9"/>
    <w:rsid w:val="003E6CB6"/>
    <w:rsid w:val="003F4A55"/>
    <w:rsid w:val="003F7AB1"/>
    <w:rsid w:val="00411E96"/>
    <w:rsid w:val="004122E4"/>
    <w:rsid w:val="00414B35"/>
    <w:rsid w:val="0041521C"/>
    <w:rsid w:val="00415A8A"/>
    <w:rsid w:val="004177FD"/>
    <w:rsid w:val="00420597"/>
    <w:rsid w:val="00420BE9"/>
    <w:rsid w:val="00426B4E"/>
    <w:rsid w:val="00435757"/>
    <w:rsid w:val="00440D93"/>
    <w:rsid w:val="0044129C"/>
    <w:rsid w:val="00445238"/>
    <w:rsid w:val="00445F3D"/>
    <w:rsid w:val="004503E5"/>
    <w:rsid w:val="0045145B"/>
    <w:rsid w:val="00453883"/>
    <w:rsid w:val="0046136E"/>
    <w:rsid w:val="004642E2"/>
    <w:rsid w:val="00470C7A"/>
    <w:rsid w:val="00472651"/>
    <w:rsid w:val="00473150"/>
    <w:rsid w:val="0047448F"/>
    <w:rsid w:val="00477F59"/>
    <w:rsid w:val="00481310"/>
    <w:rsid w:val="00484D13"/>
    <w:rsid w:val="00490F48"/>
    <w:rsid w:val="00491940"/>
    <w:rsid w:val="00493DA8"/>
    <w:rsid w:val="004A0647"/>
    <w:rsid w:val="004A09BF"/>
    <w:rsid w:val="004A4186"/>
    <w:rsid w:val="004A4CB2"/>
    <w:rsid w:val="004A55E3"/>
    <w:rsid w:val="004A7F32"/>
    <w:rsid w:val="004B6E61"/>
    <w:rsid w:val="004B71E6"/>
    <w:rsid w:val="004C4025"/>
    <w:rsid w:val="004C486D"/>
    <w:rsid w:val="004D34F2"/>
    <w:rsid w:val="004E0F35"/>
    <w:rsid w:val="004E1261"/>
    <w:rsid w:val="004E2AF6"/>
    <w:rsid w:val="004E4291"/>
    <w:rsid w:val="004E591C"/>
    <w:rsid w:val="004E686A"/>
    <w:rsid w:val="004F2AC2"/>
    <w:rsid w:val="004F36DC"/>
    <w:rsid w:val="00501895"/>
    <w:rsid w:val="00502F51"/>
    <w:rsid w:val="005033FD"/>
    <w:rsid w:val="00504A74"/>
    <w:rsid w:val="0050751F"/>
    <w:rsid w:val="00513E2A"/>
    <w:rsid w:val="00520B32"/>
    <w:rsid w:val="00522F6C"/>
    <w:rsid w:val="005241F5"/>
    <w:rsid w:val="0053562E"/>
    <w:rsid w:val="00545BBE"/>
    <w:rsid w:val="00552A84"/>
    <w:rsid w:val="00560680"/>
    <w:rsid w:val="005670A4"/>
    <w:rsid w:val="00571306"/>
    <w:rsid w:val="00572367"/>
    <w:rsid w:val="005838B1"/>
    <w:rsid w:val="00586DE2"/>
    <w:rsid w:val="00594FCD"/>
    <w:rsid w:val="005A2756"/>
    <w:rsid w:val="005B0177"/>
    <w:rsid w:val="005B0815"/>
    <w:rsid w:val="005B50AB"/>
    <w:rsid w:val="005B5D6A"/>
    <w:rsid w:val="005B674A"/>
    <w:rsid w:val="005C1A00"/>
    <w:rsid w:val="005D0ADF"/>
    <w:rsid w:val="005D19DF"/>
    <w:rsid w:val="005D6131"/>
    <w:rsid w:val="005E0E18"/>
    <w:rsid w:val="005E29AA"/>
    <w:rsid w:val="005E3051"/>
    <w:rsid w:val="005E3F10"/>
    <w:rsid w:val="005E59E8"/>
    <w:rsid w:val="005E7B71"/>
    <w:rsid w:val="005F2BC8"/>
    <w:rsid w:val="005F5895"/>
    <w:rsid w:val="00606435"/>
    <w:rsid w:val="00606F2A"/>
    <w:rsid w:val="006102B0"/>
    <w:rsid w:val="0061316E"/>
    <w:rsid w:val="00615F1F"/>
    <w:rsid w:val="0061688E"/>
    <w:rsid w:val="00616BAF"/>
    <w:rsid w:val="0062026C"/>
    <w:rsid w:val="006251FE"/>
    <w:rsid w:val="00626C49"/>
    <w:rsid w:val="00630CA7"/>
    <w:rsid w:val="00630EBE"/>
    <w:rsid w:val="006324DE"/>
    <w:rsid w:val="00632900"/>
    <w:rsid w:val="00634A04"/>
    <w:rsid w:val="00634D98"/>
    <w:rsid w:val="0064309E"/>
    <w:rsid w:val="00644885"/>
    <w:rsid w:val="00645886"/>
    <w:rsid w:val="006507C8"/>
    <w:rsid w:val="006641F0"/>
    <w:rsid w:val="006646F7"/>
    <w:rsid w:val="0066593D"/>
    <w:rsid w:val="0067223A"/>
    <w:rsid w:val="00676645"/>
    <w:rsid w:val="006901C5"/>
    <w:rsid w:val="006935D6"/>
    <w:rsid w:val="00695734"/>
    <w:rsid w:val="006A0030"/>
    <w:rsid w:val="006A1390"/>
    <w:rsid w:val="006A2C3F"/>
    <w:rsid w:val="006B2087"/>
    <w:rsid w:val="006B2290"/>
    <w:rsid w:val="006B634C"/>
    <w:rsid w:val="006C3A25"/>
    <w:rsid w:val="006D46A1"/>
    <w:rsid w:val="006D6954"/>
    <w:rsid w:val="006D765E"/>
    <w:rsid w:val="006E0EC8"/>
    <w:rsid w:val="006E2242"/>
    <w:rsid w:val="006E29C5"/>
    <w:rsid w:val="006E411D"/>
    <w:rsid w:val="00702DB8"/>
    <w:rsid w:val="007033EC"/>
    <w:rsid w:val="007053C4"/>
    <w:rsid w:val="00707DD1"/>
    <w:rsid w:val="007100B6"/>
    <w:rsid w:val="00710FA2"/>
    <w:rsid w:val="007200A2"/>
    <w:rsid w:val="00720144"/>
    <w:rsid w:val="0072209F"/>
    <w:rsid w:val="00725EDD"/>
    <w:rsid w:val="00731C4D"/>
    <w:rsid w:val="007357BA"/>
    <w:rsid w:val="00737C2E"/>
    <w:rsid w:val="0074122E"/>
    <w:rsid w:val="00744CEC"/>
    <w:rsid w:val="00745A42"/>
    <w:rsid w:val="00745F97"/>
    <w:rsid w:val="00747AF8"/>
    <w:rsid w:val="00753B9A"/>
    <w:rsid w:val="00754A23"/>
    <w:rsid w:val="00761973"/>
    <w:rsid w:val="007670DA"/>
    <w:rsid w:val="00783A0A"/>
    <w:rsid w:val="00784B42"/>
    <w:rsid w:val="00785514"/>
    <w:rsid w:val="00785543"/>
    <w:rsid w:val="00790862"/>
    <w:rsid w:val="007A36EF"/>
    <w:rsid w:val="007A7A83"/>
    <w:rsid w:val="007B4A38"/>
    <w:rsid w:val="007C2CA7"/>
    <w:rsid w:val="007C36AD"/>
    <w:rsid w:val="007C3F1C"/>
    <w:rsid w:val="007C4A32"/>
    <w:rsid w:val="007C6F12"/>
    <w:rsid w:val="007D0631"/>
    <w:rsid w:val="007D2A0D"/>
    <w:rsid w:val="007D7A95"/>
    <w:rsid w:val="007D7F35"/>
    <w:rsid w:val="007E0AFB"/>
    <w:rsid w:val="007E7E2D"/>
    <w:rsid w:val="007F0755"/>
    <w:rsid w:val="007F14E6"/>
    <w:rsid w:val="008035B8"/>
    <w:rsid w:val="00803F0D"/>
    <w:rsid w:val="0081060B"/>
    <w:rsid w:val="008143EE"/>
    <w:rsid w:val="00821962"/>
    <w:rsid w:val="0083088E"/>
    <w:rsid w:val="00832358"/>
    <w:rsid w:val="0083246F"/>
    <w:rsid w:val="00837D71"/>
    <w:rsid w:val="00844D93"/>
    <w:rsid w:val="00845EA4"/>
    <w:rsid w:val="00846466"/>
    <w:rsid w:val="008566B3"/>
    <w:rsid w:val="00861F40"/>
    <w:rsid w:val="00862E88"/>
    <w:rsid w:val="00863728"/>
    <w:rsid w:val="00865008"/>
    <w:rsid w:val="008776BB"/>
    <w:rsid w:val="008815D6"/>
    <w:rsid w:val="00881F64"/>
    <w:rsid w:val="008851D5"/>
    <w:rsid w:val="00891154"/>
    <w:rsid w:val="00892FB1"/>
    <w:rsid w:val="008933AB"/>
    <w:rsid w:val="00894AD6"/>
    <w:rsid w:val="00894B71"/>
    <w:rsid w:val="00895940"/>
    <w:rsid w:val="00895C10"/>
    <w:rsid w:val="008A7E16"/>
    <w:rsid w:val="008B193A"/>
    <w:rsid w:val="008B2554"/>
    <w:rsid w:val="008B33A1"/>
    <w:rsid w:val="008B70CB"/>
    <w:rsid w:val="008C456D"/>
    <w:rsid w:val="008C53C4"/>
    <w:rsid w:val="008C5899"/>
    <w:rsid w:val="008C6E33"/>
    <w:rsid w:val="008D0254"/>
    <w:rsid w:val="008D1D7E"/>
    <w:rsid w:val="008D293B"/>
    <w:rsid w:val="008D31AA"/>
    <w:rsid w:val="008D42A1"/>
    <w:rsid w:val="008D649B"/>
    <w:rsid w:val="008E1365"/>
    <w:rsid w:val="008E2785"/>
    <w:rsid w:val="008E49FF"/>
    <w:rsid w:val="008E6C77"/>
    <w:rsid w:val="008F565A"/>
    <w:rsid w:val="008F588C"/>
    <w:rsid w:val="008F6760"/>
    <w:rsid w:val="0090437E"/>
    <w:rsid w:val="009066C8"/>
    <w:rsid w:val="00906976"/>
    <w:rsid w:val="009109BC"/>
    <w:rsid w:val="009144B2"/>
    <w:rsid w:val="00914787"/>
    <w:rsid w:val="00932FC3"/>
    <w:rsid w:val="00933743"/>
    <w:rsid w:val="0093607C"/>
    <w:rsid w:val="009404D5"/>
    <w:rsid w:val="009445FF"/>
    <w:rsid w:val="00944793"/>
    <w:rsid w:val="00960ACF"/>
    <w:rsid w:val="00966902"/>
    <w:rsid w:val="0097393B"/>
    <w:rsid w:val="00976C2F"/>
    <w:rsid w:val="009818A9"/>
    <w:rsid w:val="00982810"/>
    <w:rsid w:val="00986E4A"/>
    <w:rsid w:val="00990799"/>
    <w:rsid w:val="00991D87"/>
    <w:rsid w:val="00992A7A"/>
    <w:rsid w:val="009A10CB"/>
    <w:rsid w:val="009A295E"/>
    <w:rsid w:val="009A6A1C"/>
    <w:rsid w:val="009B0DB5"/>
    <w:rsid w:val="009B5CE3"/>
    <w:rsid w:val="009D1E63"/>
    <w:rsid w:val="009D358B"/>
    <w:rsid w:val="009D4514"/>
    <w:rsid w:val="009D7F10"/>
    <w:rsid w:val="009E3305"/>
    <w:rsid w:val="009F00D7"/>
    <w:rsid w:val="009F3E57"/>
    <w:rsid w:val="00A01DD3"/>
    <w:rsid w:val="00A04689"/>
    <w:rsid w:val="00A05C7D"/>
    <w:rsid w:val="00A05D84"/>
    <w:rsid w:val="00A12887"/>
    <w:rsid w:val="00A1354C"/>
    <w:rsid w:val="00A22B6C"/>
    <w:rsid w:val="00A2328A"/>
    <w:rsid w:val="00A24D46"/>
    <w:rsid w:val="00A27AC7"/>
    <w:rsid w:val="00A27FC7"/>
    <w:rsid w:val="00A35C5D"/>
    <w:rsid w:val="00A4299F"/>
    <w:rsid w:val="00A4575F"/>
    <w:rsid w:val="00A5018A"/>
    <w:rsid w:val="00A5126F"/>
    <w:rsid w:val="00A51F73"/>
    <w:rsid w:val="00A5253D"/>
    <w:rsid w:val="00A565B2"/>
    <w:rsid w:val="00A65B48"/>
    <w:rsid w:val="00A71DBF"/>
    <w:rsid w:val="00A72A1A"/>
    <w:rsid w:val="00A72AE4"/>
    <w:rsid w:val="00A732F2"/>
    <w:rsid w:val="00A84A38"/>
    <w:rsid w:val="00A857B8"/>
    <w:rsid w:val="00A90070"/>
    <w:rsid w:val="00A90917"/>
    <w:rsid w:val="00A960A2"/>
    <w:rsid w:val="00AA17F2"/>
    <w:rsid w:val="00AA7468"/>
    <w:rsid w:val="00AB2364"/>
    <w:rsid w:val="00AB2B18"/>
    <w:rsid w:val="00AB2FB0"/>
    <w:rsid w:val="00AB6B5B"/>
    <w:rsid w:val="00AC0335"/>
    <w:rsid w:val="00AC4DB6"/>
    <w:rsid w:val="00AC6AC5"/>
    <w:rsid w:val="00AC725C"/>
    <w:rsid w:val="00AD2019"/>
    <w:rsid w:val="00AD3373"/>
    <w:rsid w:val="00AD4F2C"/>
    <w:rsid w:val="00AE0873"/>
    <w:rsid w:val="00AE29D9"/>
    <w:rsid w:val="00AE3335"/>
    <w:rsid w:val="00AE5528"/>
    <w:rsid w:val="00AF03FD"/>
    <w:rsid w:val="00AF1E1D"/>
    <w:rsid w:val="00AF7120"/>
    <w:rsid w:val="00B1372E"/>
    <w:rsid w:val="00B207EE"/>
    <w:rsid w:val="00B315E3"/>
    <w:rsid w:val="00B355F7"/>
    <w:rsid w:val="00B36480"/>
    <w:rsid w:val="00B46D78"/>
    <w:rsid w:val="00B515E2"/>
    <w:rsid w:val="00B525D9"/>
    <w:rsid w:val="00B5433B"/>
    <w:rsid w:val="00B56518"/>
    <w:rsid w:val="00B56952"/>
    <w:rsid w:val="00B61F6C"/>
    <w:rsid w:val="00B63F99"/>
    <w:rsid w:val="00B652E8"/>
    <w:rsid w:val="00B6657E"/>
    <w:rsid w:val="00B74922"/>
    <w:rsid w:val="00B7599C"/>
    <w:rsid w:val="00B8051D"/>
    <w:rsid w:val="00B83219"/>
    <w:rsid w:val="00B9645E"/>
    <w:rsid w:val="00BA2477"/>
    <w:rsid w:val="00BA4935"/>
    <w:rsid w:val="00BA4B26"/>
    <w:rsid w:val="00BB0576"/>
    <w:rsid w:val="00BB1AEB"/>
    <w:rsid w:val="00BB5A5C"/>
    <w:rsid w:val="00BD0F4A"/>
    <w:rsid w:val="00BD19DA"/>
    <w:rsid w:val="00BD3629"/>
    <w:rsid w:val="00BD4DBC"/>
    <w:rsid w:val="00BE0857"/>
    <w:rsid w:val="00BE472A"/>
    <w:rsid w:val="00BE4AF0"/>
    <w:rsid w:val="00BE607F"/>
    <w:rsid w:val="00BE6B97"/>
    <w:rsid w:val="00BE6F22"/>
    <w:rsid w:val="00BE7002"/>
    <w:rsid w:val="00BF13E3"/>
    <w:rsid w:val="00BF605F"/>
    <w:rsid w:val="00BF6145"/>
    <w:rsid w:val="00C0013B"/>
    <w:rsid w:val="00C04F78"/>
    <w:rsid w:val="00C05F52"/>
    <w:rsid w:val="00C13E14"/>
    <w:rsid w:val="00C1522B"/>
    <w:rsid w:val="00C15851"/>
    <w:rsid w:val="00C16736"/>
    <w:rsid w:val="00C20C91"/>
    <w:rsid w:val="00C236CC"/>
    <w:rsid w:val="00C262FD"/>
    <w:rsid w:val="00C33A18"/>
    <w:rsid w:val="00C4167D"/>
    <w:rsid w:val="00C4267B"/>
    <w:rsid w:val="00C56B46"/>
    <w:rsid w:val="00C65E67"/>
    <w:rsid w:val="00C66763"/>
    <w:rsid w:val="00C67D02"/>
    <w:rsid w:val="00C70B4A"/>
    <w:rsid w:val="00C737A1"/>
    <w:rsid w:val="00C74149"/>
    <w:rsid w:val="00C7458E"/>
    <w:rsid w:val="00C8277F"/>
    <w:rsid w:val="00C837CF"/>
    <w:rsid w:val="00C905FC"/>
    <w:rsid w:val="00C922AF"/>
    <w:rsid w:val="00C92419"/>
    <w:rsid w:val="00C97420"/>
    <w:rsid w:val="00C97642"/>
    <w:rsid w:val="00CA1697"/>
    <w:rsid w:val="00CC22A2"/>
    <w:rsid w:val="00CC4B83"/>
    <w:rsid w:val="00CD0461"/>
    <w:rsid w:val="00CD0CE9"/>
    <w:rsid w:val="00CD1A72"/>
    <w:rsid w:val="00CE4428"/>
    <w:rsid w:val="00CE6E6C"/>
    <w:rsid w:val="00CE7817"/>
    <w:rsid w:val="00CF1C75"/>
    <w:rsid w:val="00CF2B39"/>
    <w:rsid w:val="00CF4EC7"/>
    <w:rsid w:val="00CF629E"/>
    <w:rsid w:val="00D05BFC"/>
    <w:rsid w:val="00D0632B"/>
    <w:rsid w:val="00D10E55"/>
    <w:rsid w:val="00D13443"/>
    <w:rsid w:val="00D22B7A"/>
    <w:rsid w:val="00D234D7"/>
    <w:rsid w:val="00D23627"/>
    <w:rsid w:val="00D31807"/>
    <w:rsid w:val="00D3344F"/>
    <w:rsid w:val="00D34B7D"/>
    <w:rsid w:val="00D362CB"/>
    <w:rsid w:val="00D37876"/>
    <w:rsid w:val="00D512F6"/>
    <w:rsid w:val="00D52C19"/>
    <w:rsid w:val="00D55E99"/>
    <w:rsid w:val="00D709AE"/>
    <w:rsid w:val="00D71DF2"/>
    <w:rsid w:val="00D735B2"/>
    <w:rsid w:val="00D84E93"/>
    <w:rsid w:val="00D9272E"/>
    <w:rsid w:val="00D96758"/>
    <w:rsid w:val="00D96E5B"/>
    <w:rsid w:val="00D97A8D"/>
    <w:rsid w:val="00DA13A0"/>
    <w:rsid w:val="00DB06A4"/>
    <w:rsid w:val="00DB3A42"/>
    <w:rsid w:val="00DC0C7D"/>
    <w:rsid w:val="00DC353F"/>
    <w:rsid w:val="00DC5185"/>
    <w:rsid w:val="00DD2086"/>
    <w:rsid w:val="00DD4277"/>
    <w:rsid w:val="00DE2051"/>
    <w:rsid w:val="00DE5B2A"/>
    <w:rsid w:val="00DF649C"/>
    <w:rsid w:val="00E02ED2"/>
    <w:rsid w:val="00E1050E"/>
    <w:rsid w:val="00E11072"/>
    <w:rsid w:val="00E12F3B"/>
    <w:rsid w:val="00E24EFF"/>
    <w:rsid w:val="00E24F47"/>
    <w:rsid w:val="00E26F25"/>
    <w:rsid w:val="00E310BC"/>
    <w:rsid w:val="00E37E84"/>
    <w:rsid w:val="00E4133F"/>
    <w:rsid w:val="00E43A0A"/>
    <w:rsid w:val="00E4424A"/>
    <w:rsid w:val="00E46042"/>
    <w:rsid w:val="00E50620"/>
    <w:rsid w:val="00E52103"/>
    <w:rsid w:val="00E56335"/>
    <w:rsid w:val="00E57055"/>
    <w:rsid w:val="00E61992"/>
    <w:rsid w:val="00E61CCB"/>
    <w:rsid w:val="00E6368D"/>
    <w:rsid w:val="00E71AF8"/>
    <w:rsid w:val="00E71E14"/>
    <w:rsid w:val="00E73B2A"/>
    <w:rsid w:val="00E749E6"/>
    <w:rsid w:val="00E756A7"/>
    <w:rsid w:val="00E75D5C"/>
    <w:rsid w:val="00E7761D"/>
    <w:rsid w:val="00E81762"/>
    <w:rsid w:val="00E8223D"/>
    <w:rsid w:val="00E84763"/>
    <w:rsid w:val="00E916C3"/>
    <w:rsid w:val="00E929B8"/>
    <w:rsid w:val="00E93CEB"/>
    <w:rsid w:val="00E9536B"/>
    <w:rsid w:val="00E970D8"/>
    <w:rsid w:val="00EA3FE2"/>
    <w:rsid w:val="00EB0A1B"/>
    <w:rsid w:val="00EB208B"/>
    <w:rsid w:val="00EB66B6"/>
    <w:rsid w:val="00EC1F76"/>
    <w:rsid w:val="00EC44F8"/>
    <w:rsid w:val="00ED3303"/>
    <w:rsid w:val="00ED38B4"/>
    <w:rsid w:val="00EE4D8B"/>
    <w:rsid w:val="00EF1B6D"/>
    <w:rsid w:val="00EF5B20"/>
    <w:rsid w:val="00EF5C4A"/>
    <w:rsid w:val="00EF66B3"/>
    <w:rsid w:val="00EF7621"/>
    <w:rsid w:val="00F00142"/>
    <w:rsid w:val="00F23589"/>
    <w:rsid w:val="00F239EF"/>
    <w:rsid w:val="00F27538"/>
    <w:rsid w:val="00F344D5"/>
    <w:rsid w:val="00F35F89"/>
    <w:rsid w:val="00F36F7A"/>
    <w:rsid w:val="00F435F9"/>
    <w:rsid w:val="00F43D0E"/>
    <w:rsid w:val="00F5466A"/>
    <w:rsid w:val="00F60438"/>
    <w:rsid w:val="00F64698"/>
    <w:rsid w:val="00F71D0A"/>
    <w:rsid w:val="00F73EDB"/>
    <w:rsid w:val="00F75305"/>
    <w:rsid w:val="00F8429E"/>
    <w:rsid w:val="00F8534E"/>
    <w:rsid w:val="00F87C4A"/>
    <w:rsid w:val="00F94CA1"/>
    <w:rsid w:val="00F95841"/>
    <w:rsid w:val="00F96B13"/>
    <w:rsid w:val="00F97135"/>
    <w:rsid w:val="00FA21F5"/>
    <w:rsid w:val="00FA2B3E"/>
    <w:rsid w:val="00FA4FCE"/>
    <w:rsid w:val="00FB167E"/>
    <w:rsid w:val="00FB3B5E"/>
    <w:rsid w:val="00FB5F72"/>
    <w:rsid w:val="00FC13C8"/>
    <w:rsid w:val="00FC45F3"/>
    <w:rsid w:val="00FD3229"/>
    <w:rsid w:val="00FD6257"/>
    <w:rsid w:val="00FE5612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67"/>
    <w:rPr>
      <w:sz w:val="24"/>
      <w:szCs w:val="24"/>
    </w:rPr>
  </w:style>
  <w:style w:type="paragraph" w:styleId="Heading3">
    <w:name w:val="heading 3"/>
    <w:basedOn w:val="Normal"/>
    <w:next w:val="Normal"/>
    <w:qFormat/>
    <w:rsid w:val="00CD0C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D0CE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table" w:styleId="TableGrid">
    <w:name w:val="Table Grid"/>
    <w:aliases w:val="Summary box"/>
    <w:basedOn w:val="TableNormal"/>
    <w:rsid w:val="00CD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A1"/>
    <w:aliases w:val="Heading Amendment,1. Amendment"/>
    <w:basedOn w:val="Normal"/>
    <w:next w:val="Normal"/>
    <w:rsid w:val="00CD0CE9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CD0CE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S">
    <w:name w:val="AS"/>
    <w:aliases w:val="Schedule title Amendment"/>
    <w:basedOn w:val="Normal"/>
    <w:next w:val="Normal"/>
    <w:rsid w:val="00CD0CE9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D0CE9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CD0CE9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Normal"/>
    <w:rsid w:val="00CD0CE9"/>
    <w:pPr>
      <w:keepNext/>
      <w:keepLines/>
      <w:spacing w:before="360"/>
      <w:ind w:left="964" w:hanging="964"/>
    </w:pPr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CD0CE9"/>
    <w:rPr>
      <w:rFonts w:ascii="Arial" w:hAnsi="Arial"/>
      <w:i/>
      <w:sz w:val="18"/>
      <w:szCs w:val="18"/>
      <w:lang w:val="en-AU" w:eastAsia="en-AU" w:bidi="ar-SA"/>
    </w:rPr>
  </w:style>
  <w:style w:type="paragraph" w:styleId="Header">
    <w:name w:val="header"/>
    <w:basedOn w:val="Normal"/>
    <w:rsid w:val="00CD0C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0CE9"/>
  </w:style>
  <w:style w:type="character" w:styleId="Hyperlink">
    <w:name w:val="Hyperlink"/>
    <w:rsid w:val="00CD0CE9"/>
    <w:rPr>
      <w:color w:val="0000FF"/>
      <w:u w:val="single"/>
    </w:rPr>
  </w:style>
  <w:style w:type="paragraph" w:customStyle="1" w:styleId="A2S">
    <w:name w:val="A2S"/>
    <w:aliases w:val="Schedule Inst Amendment"/>
    <w:basedOn w:val="Normal"/>
    <w:next w:val="Normal"/>
    <w:link w:val="A2SChar"/>
    <w:rsid w:val="00CD0CE9"/>
    <w:pPr>
      <w:keepNext/>
      <w:spacing w:before="120" w:line="260" w:lineRule="exact"/>
      <w:ind w:left="964"/>
    </w:pPr>
    <w:rPr>
      <w:i/>
    </w:rPr>
  </w:style>
  <w:style w:type="paragraph" w:customStyle="1" w:styleId="tablebody">
    <w:name w:val="table body"/>
    <w:basedOn w:val="Normal"/>
    <w:rsid w:val="00CD0CE9"/>
    <w:pPr>
      <w:keepLines/>
      <w:spacing w:after="60"/>
      <w:ind w:left="113" w:hanging="113"/>
    </w:pPr>
    <w:rPr>
      <w:sz w:val="16"/>
      <w:szCs w:val="20"/>
    </w:rPr>
  </w:style>
  <w:style w:type="character" w:customStyle="1" w:styleId="A2SChar">
    <w:name w:val="A2S Char"/>
    <w:aliases w:val="Schedule Inst Amendment Char"/>
    <w:link w:val="A2S"/>
    <w:rsid w:val="00CD0CE9"/>
    <w:rPr>
      <w:i/>
      <w:sz w:val="24"/>
      <w:szCs w:val="24"/>
      <w:lang w:val="en-AU" w:eastAsia="en-AU" w:bidi="ar-SA"/>
    </w:rPr>
  </w:style>
  <w:style w:type="paragraph" w:customStyle="1" w:styleId="ASref">
    <w:name w:val="AS ref"/>
    <w:basedOn w:val="Normal"/>
    <w:next w:val="Normal"/>
    <w:rsid w:val="00CD0CE9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1S">
    <w:name w:val="A1S"/>
    <w:aliases w:val="1.Schedule Amendment"/>
    <w:basedOn w:val="Normal"/>
    <w:next w:val="A2S"/>
    <w:rsid w:val="00CD0CE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3S">
    <w:name w:val="A3S"/>
    <w:aliases w:val="Schedule Amendment"/>
    <w:basedOn w:val="Normal"/>
    <w:next w:val="A1S"/>
    <w:rsid w:val="00CD0CE9"/>
    <w:pPr>
      <w:spacing w:before="60" w:line="260" w:lineRule="exact"/>
      <w:ind w:left="1247"/>
      <w:jc w:val="both"/>
    </w:pPr>
  </w:style>
  <w:style w:type="paragraph" w:styleId="BalloonText">
    <w:name w:val="Balloon Text"/>
    <w:basedOn w:val="Normal"/>
    <w:semiHidden/>
    <w:rsid w:val="00B525D9"/>
    <w:rPr>
      <w:rFonts w:ascii="Tahoma" w:hAnsi="Tahoma" w:cs="Tahoma"/>
      <w:sz w:val="16"/>
      <w:szCs w:val="16"/>
    </w:rPr>
  </w:style>
  <w:style w:type="paragraph" w:customStyle="1" w:styleId="HeaderBoldEven">
    <w:name w:val="HeaderBoldEven"/>
    <w:basedOn w:val="Normal"/>
    <w:rsid w:val="00BB1AEB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B1AEB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B1AE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BB1AE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Info">
    <w:name w:val="FooterInfo"/>
    <w:basedOn w:val="Normal"/>
    <w:rsid w:val="00BB1AEB"/>
    <w:rPr>
      <w:rFonts w:ascii="Arial" w:hAnsi="Arial"/>
      <w:sz w:val="12"/>
    </w:rPr>
  </w:style>
  <w:style w:type="paragraph" w:customStyle="1" w:styleId="FooterCitation">
    <w:name w:val="FooterCitation"/>
    <w:basedOn w:val="Footer"/>
    <w:rsid w:val="00BB1AEB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D28F-28D0-4329-A994-374CDA9F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kraket</dc:creator>
  <cp:lastModifiedBy>Pooja Bedi</cp:lastModifiedBy>
  <cp:revision>6</cp:revision>
  <cp:lastPrinted>2018-06-27T23:04:00Z</cp:lastPrinted>
  <dcterms:created xsi:type="dcterms:W3CDTF">2018-09-27T05:16:00Z</dcterms:created>
  <dcterms:modified xsi:type="dcterms:W3CDTF">2018-10-26T05:15:00Z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