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194E" w14:textId="1168BC57" w:rsidR="002436BD" w:rsidRPr="002C6D26" w:rsidRDefault="002436BD" w:rsidP="00D85E77">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Banking (</w:t>
      </w:r>
      <w:r w:rsidR="00BC7102">
        <w:rPr>
          <w:rFonts w:ascii="Times New Roman" w:hAnsi="Times New Roman"/>
          <w:sz w:val="24"/>
          <w:szCs w:val="24"/>
        </w:rPr>
        <w:t>restricted word or expression</w:t>
      </w:r>
      <w:r w:rsidRPr="002C6D26">
        <w:rPr>
          <w:rFonts w:ascii="Times New Roman" w:hAnsi="Times New Roman"/>
          <w:sz w:val="24"/>
          <w:szCs w:val="24"/>
        </w:rPr>
        <w:t xml:space="preserve">) </w:t>
      </w:r>
      <w:r w:rsidR="00BC7102">
        <w:rPr>
          <w:rFonts w:ascii="Times New Roman" w:hAnsi="Times New Roman"/>
          <w:sz w:val="24"/>
          <w:szCs w:val="24"/>
        </w:rPr>
        <w:t xml:space="preserve">consent No. </w:t>
      </w:r>
      <w:r w:rsidR="00C01F4B">
        <w:rPr>
          <w:rFonts w:ascii="Times New Roman" w:hAnsi="Times New Roman"/>
          <w:sz w:val="24"/>
          <w:szCs w:val="24"/>
        </w:rPr>
        <w:t xml:space="preserve">1 </w:t>
      </w:r>
      <w:r w:rsidR="00BC7102">
        <w:rPr>
          <w:rFonts w:ascii="Times New Roman" w:hAnsi="Times New Roman"/>
          <w:sz w:val="24"/>
          <w:szCs w:val="24"/>
        </w:rPr>
        <w:t>of 2018</w:t>
      </w:r>
    </w:p>
    <w:p w14:paraId="753CBC9E" w14:textId="77777777" w:rsidR="002436BD" w:rsidRPr="002C6D26" w:rsidRDefault="002436BD" w:rsidP="00D85E77">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1D0032" w14:textId="77777777"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19D4F51" w14:textId="26F28CFC" w:rsidR="002436BD" w:rsidRPr="002C6D26" w:rsidRDefault="002436BD" w:rsidP="00D85E77">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00BC7102">
        <w:rPr>
          <w:rFonts w:ascii="Times New Roman" w:hAnsi="Times New Roman"/>
          <w:b w:val="0"/>
          <w:color w:val="000000"/>
          <w:sz w:val="24"/>
          <w:szCs w:val="24"/>
        </w:rPr>
        <w:t>paragraphs 66(2)(c) and 66(1)(d)</w:t>
      </w:r>
    </w:p>
    <w:p w14:paraId="4D813D96" w14:textId="37ECE453" w:rsidR="00DE52A6" w:rsidRDefault="00DE52A6" w:rsidP="00D85E77">
      <w:pPr>
        <w:widowControl w:val="0"/>
        <w:spacing w:after="240"/>
        <w:jc w:val="both"/>
        <w:rPr>
          <w:rFonts w:ascii="Times New Roman" w:hAnsi="Times New Roman"/>
          <w:sz w:val="24"/>
          <w:szCs w:val="24"/>
        </w:rPr>
      </w:pPr>
      <w:bookmarkStart w:id="2" w:name="bkAct"/>
      <w:bookmarkStart w:id="3" w:name="bkExplanatory"/>
      <w:bookmarkEnd w:id="2"/>
      <w:bookmarkEnd w:id="3"/>
      <w:r>
        <w:rPr>
          <w:rFonts w:ascii="Times New Roman" w:hAnsi="Times New Roman"/>
          <w:sz w:val="24"/>
          <w:szCs w:val="24"/>
        </w:rPr>
        <w:t xml:space="preserve">Subsection 66(1) of the </w:t>
      </w:r>
      <w:r w:rsidR="002436BD" w:rsidRPr="002C6D26">
        <w:rPr>
          <w:rFonts w:ascii="Times New Roman" w:hAnsi="Times New Roman"/>
          <w:i/>
          <w:sz w:val="24"/>
          <w:szCs w:val="24"/>
        </w:rPr>
        <w:t>Banking Act 1959</w:t>
      </w:r>
      <w:r w:rsidR="002436BD" w:rsidRPr="002C6D26">
        <w:rPr>
          <w:rFonts w:ascii="Times New Roman" w:hAnsi="Times New Roman"/>
          <w:sz w:val="24"/>
          <w:szCs w:val="24"/>
        </w:rPr>
        <w:t xml:space="preserve"> </w:t>
      </w:r>
      <w:r>
        <w:rPr>
          <w:rFonts w:ascii="Times New Roman" w:hAnsi="Times New Roman"/>
          <w:sz w:val="24"/>
          <w:szCs w:val="24"/>
        </w:rPr>
        <w:t>(the Act) prohibits a person who carries on a financial business, whether or not in Australia, from assuming or using in Australia a restricted word or expression in relation to that financial business without APRA’s consent. Paragraph 66(1)(d) of the Act provides that APRA may consent to the use or assumption of a restricted word or expression. Paragraph 66(2)(c) provides that APRA may revoke a consent.</w:t>
      </w:r>
    </w:p>
    <w:p w14:paraId="230E4DD1" w14:textId="37766E5C" w:rsidR="006B714C" w:rsidRPr="00594ECC" w:rsidRDefault="002436BD" w:rsidP="00594ECC">
      <w:pPr>
        <w:widowControl w:val="0"/>
        <w:spacing w:after="240"/>
        <w:jc w:val="both"/>
        <w:rPr>
          <w:rFonts w:ascii="Times New Roman" w:hAnsi="Times New Roman"/>
          <w:sz w:val="24"/>
          <w:szCs w:val="24"/>
        </w:rPr>
      </w:pPr>
      <w:r>
        <w:rPr>
          <w:rFonts w:ascii="Times New Roman" w:hAnsi="Times New Roman"/>
          <w:sz w:val="24"/>
          <w:szCs w:val="24"/>
        </w:rPr>
        <w:t xml:space="preserve">On </w:t>
      </w:r>
      <w:r w:rsidR="001D4997" w:rsidRPr="001D4997">
        <w:rPr>
          <w:rFonts w:ascii="Times New Roman" w:hAnsi="Times New Roman"/>
          <w:sz w:val="24"/>
          <w:szCs w:val="24"/>
        </w:rPr>
        <w:t xml:space="preserve">23 October </w:t>
      </w:r>
      <w:r w:rsidR="00DE52A6" w:rsidRPr="001D4997">
        <w:rPr>
          <w:rFonts w:ascii="Times New Roman" w:hAnsi="Times New Roman"/>
          <w:sz w:val="24"/>
          <w:szCs w:val="24"/>
        </w:rPr>
        <w:t>2018</w:t>
      </w:r>
      <w:r>
        <w:rPr>
          <w:rFonts w:ascii="Times New Roman" w:hAnsi="Times New Roman"/>
          <w:sz w:val="24"/>
          <w:szCs w:val="24"/>
        </w:rPr>
        <w:t xml:space="preserve">, APRA made </w:t>
      </w:r>
      <w:r w:rsidRPr="002C6D26">
        <w:rPr>
          <w:rFonts w:ascii="Times New Roman" w:hAnsi="Times New Roman"/>
          <w:sz w:val="24"/>
          <w:szCs w:val="24"/>
        </w:rPr>
        <w:t>Banking (</w:t>
      </w:r>
      <w:r w:rsidR="00DE52A6">
        <w:rPr>
          <w:rFonts w:ascii="Times New Roman" w:hAnsi="Times New Roman"/>
          <w:sz w:val="24"/>
          <w:szCs w:val="24"/>
        </w:rPr>
        <w:t>restricted word or expression</w:t>
      </w:r>
      <w:r w:rsidRPr="002C6D26">
        <w:rPr>
          <w:rFonts w:ascii="Times New Roman" w:hAnsi="Times New Roman"/>
          <w:sz w:val="24"/>
          <w:szCs w:val="24"/>
        </w:rPr>
        <w:t xml:space="preserve">) </w:t>
      </w:r>
      <w:r w:rsidR="00DE52A6">
        <w:rPr>
          <w:rFonts w:ascii="Times New Roman" w:hAnsi="Times New Roman"/>
          <w:sz w:val="24"/>
          <w:szCs w:val="24"/>
        </w:rPr>
        <w:t xml:space="preserve">consent </w:t>
      </w:r>
      <w:r w:rsidRPr="002C6D26">
        <w:rPr>
          <w:rFonts w:ascii="Times New Roman" w:hAnsi="Times New Roman"/>
          <w:sz w:val="24"/>
          <w:szCs w:val="24"/>
        </w:rPr>
        <w:t xml:space="preserve">No. </w:t>
      </w:r>
      <w:r w:rsidR="00C01F4B">
        <w:rPr>
          <w:rFonts w:ascii="Times New Roman" w:hAnsi="Times New Roman"/>
          <w:sz w:val="24"/>
          <w:szCs w:val="24"/>
        </w:rPr>
        <w:t xml:space="preserve">1 </w:t>
      </w:r>
      <w:r w:rsidR="00DE52A6">
        <w:rPr>
          <w:rFonts w:ascii="Times New Roman" w:hAnsi="Times New Roman"/>
          <w:sz w:val="24"/>
          <w:szCs w:val="24"/>
        </w:rPr>
        <w:t>of 2018</w:t>
      </w:r>
      <w:r w:rsidRPr="002C6D26">
        <w:rPr>
          <w:rFonts w:ascii="Times New Roman" w:hAnsi="Times New Roman"/>
          <w:sz w:val="24"/>
          <w:szCs w:val="24"/>
        </w:rPr>
        <w:t xml:space="preserve"> </w:t>
      </w:r>
      <w:r>
        <w:rPr>
          <w:rFonts w:ascii="Times New Roman" w:hAnsi="Times New Roman"/>
          <w:sz w:val="24"/>
          <w:szCs w:val="24"/>
        </w:rPr>
        <w:t>(the instrument) which</w:t>
      </w:r>
      <w:r w:rsidR="00594ECC">
        <w:rPr>
          <w:rFonts w:ascii="Times New Roman" w:hAnsi="Times New Roman"/>
          <w:sz w:val="24"/>
          <w:szCs w:val="24"/>
        </w:rPr>
        <w:t xml:space="preserve"> </w:t>
      </w:r>
      <w:r w:rsidR="006B714C" w:rsidRPr="00594ECC">
        <w:rPr>
          <w:rFonts w:ascii="Times New Roman" w:hAnsi="Times New Roman"/>
          <w:sz w:val="24"/>
          <w:szCs w:val="24"/>
        </w:rPr>
        <w:t>revokes Banking (restricted word or expression) consent No. 3 of 2015 (th</w:t>
      </w:r>
      <w:r w:rsidR="00594ECC">
        <w:rPr>
          <w:rFonts w:ascii="Times New Roman" w:hAnsi="Times New Roman"/>
          <w:sz w:val="24"/>
          <w:szCs w:val="24"/>
        </w:rPr>
        <w:t xml:space="preserve">e Consent) and </w:t>
      </w:r>
      <w:r w:rsidR="006B714C" w:rsidRPr="00594ECC">
        <w:rPr>
          <w:rFonts w:ascii="Times New Roman" w:hAnsi="Times New Roman"/>
          <w:sz w:val="24"/>
          <w:szCs w:val="24"/>
        </w:rPr>
        <w:t>makes a new class consent</w:t>
      </w:r>
      <w:r w:rsidR="00594ECC">
        <w:rPr>
          <w:rFonts w:ascii="Times New Roman" w:hAnsi="Times New Roman"/>
          <w:sz w:val="24"/>
          <w:szCs w:val="24"/>
        </w:rPr>
        <w:t>.</w:t>
      </w:r>
      <w:r w:rsidR="006B714C" w:rsidRPr="00594ECC">
        <w:rPr>
          <w:rFonts w:ascii="Times New Roman" w:hAnsi="Times New Roman"/>
          <w:sz w:val="24"/>
          <w:szCs w:val="24"/>
        </w:rPr>
        <w:t xml:space="preserve"> </w:t>
      </w:r>
    </w:p>
    <w:p w14:paraId="313F641A" w14:textId="57C4EC25" w:rsidR="002436BD" w:rsidRDefault="00246723" w:rsidP="00D85E77">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5B23B0">
        <w:rPr>
          <w:rFonts w:ascii="Times New Roman" w:hAnsi="Times New Roman"/>
          <w:sz w:val="24"/>
          <w:szCs w:val="24"/>
        </w:rPr>
        <w:t>on the day that it is registered on the Federal Register of Legislation</w:t>
      </w:r>
      <w:r w:rsidR="002436BD" w:rsidRPr="002C6D26">
        <w:rPr>
          <w:rFonts w:ascii="Times New Roman" w:hAnsi="Times New Roman"/>
          <w:sz w:val="24"/>
          <w:szCs w:val="24"/>
        </w:rPr>
        <w:t xml:space="preserve">. </w:t>
      </w:r>
    </w:p>
    <w:p w14:paraId="64AE87C7" w14:textId="77777777"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2B45989" w14:textId="5DAA372E" w:rsidR="000242C4" w:rsidRDefault="000242C4" w:rsidP="00D85E7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Under section 66 of the Act, the use of the following terms is </w:t>
      </w:r>
      <w:r w:rsidR="00C5748E">
        <w:rPr>
          <w:rFonts w:ascii="Times New Roman" w:hAnsi="Times New Roman"/>
          <w:b w:val="0"/>
          <w:sz w:val="24"/>
          <w:szCs w:val="24"/>
        </w:rPr>
        <w:t>restricted:</w:t>
      </w:r>
    </w:p>
    <w:p w14:paraId="3506B714" w14:textId="05734D87" w:rsidR="00C5748E" w:rsidRDefault="00C5748E" w:rsidP="00C5748E">
      <w:pPr>
        <w:pStyle w:val="Heading"/>
        <w:keepNext/>
        <w:numPr>
          <w:ilvl w:val="0"/>
          <w:numId w:val="7"/>
        </w:numPr>
        <w:spacing w:after="240"/>
        <w:outlineLvl w:val="0"/>
        <w:rPr>
          <w:rFonts w:ascii="Times New Roman" w:hAnsi="Times New Roman"/>
          <w:b w:val="0"/>
          <w:sz w:val="24"/>
          <w:szCs w:val="24"/>
        </w:rPr>
      </w:pPr>
      <w:r>
        <w:rPr>
          <w:rFonts w:ascii="Times New Roman" w:hAnsi="Times New Roman"/>
          <w:b w:val="0"/>
          <w:sz w:val="24"/>
          <w:szCs w:val="24"/>
        </w:rPr>
        <w:t>‘bank’, ‘banker’ and ‘banking’;</w:t>
      </w:r>
    </w:p>
    <w:p w14:paraId="0DEAD829" w14:textId="3D80C1EA" w:rsidR="00C5748E" w:rsidRDefault="00C5748E" w:rsidP="00C5748E">
      <w:pPr>
        <w:pStyle w:val="Heading"/>
        <w:keepNext/>
        <w:numPr>
          <w:ilvl w:val="0"/>
          <w:numId w:val="7"/>
        </w:numPr>
        <w:spacing w:after="240"/>
        <w:outlineLvl w:val="0"/>
        <w:rPr>
          <w:rFonts w:ascii="Times New Roman" w:hAnsi="Times New Roman"/>
          <w:b w:val="0"/>
          <w:sz w:val="24"/>
          <w:szCs w:val="24"/>
        </w:rPr>
      </w:pPr>
      <w:r>
        <w:rPr>
          <w:rFonts w:ascii="Times New Roman" w:hAnsi="Times New Roman"/>
          <w:b w:val="0"/>
          <w:sz w:val="24"/>
          <w:szCs w:val="24"/>
        </w:rPr>
        <w:t>‘building society’, ‘credit union’ and ‘credit society’;</w:t>
      </w:r>
    </w:p>
    <w:p w14:paraId="3ED99D9F" w14:textId="0369C3F8" w:rsidR="00C5748E" w:rsidRDefault="00C5748E" w:rsidP="00C5748E">
      <w:pPr>
        <w:pStyle w:val="Heading"/>
        <w:keepNext/>
        <w:numPr>
          <w:ilvl w:val="0"/>
          <w:numId w:val="7"/>
        </w:numPr>
        <w:spacing w:after="240"/>
        <w:outlineLvl w:val="0"/>
        <w:rPr>
          <w:rFonts w:ascii="Times New Roman" w:hAnsi="Times New Roman"/>
          <w:b w:val="0"/>
          <w:sz w:val="24"/>
          <w:szCs w:val="24"/>
        </w:rPr>
      </w:pPr>
      <w:r>
        <w:rPr>
          <w:rFonts w:ascii="Times New Roman" w:hAnsi="Times New Roman"/>
          <w:b w:val="0"/>
          <w:sz w:val="24"/>
          <w:szCs w:val="24"/>
        </w:rPr>
        <w:t>terms that have been specified in a determination in force under subsection 66(5), such as ‘credit co-operative’;</w:t>
      </w:r>
    </w:p>
    <w:p w14:paraId="169BCA04" w14:textId="4A2672BF" w:rsidR="00310CF8" w:rsidRPr="00C5748E" w:rsidRDefault="00C5748E" w:rsidP="00D85E77">
      <w:pPr>
        <w:pStyle w:val="Heading"/>
        <w:keepNext/>
        <w:numPr>
          <w:ilvl w:val="0"/>
          <w:numId w:val="7"/>
        </w:numPr>
        <w:spacing w:after="240"/>
        <w:outlineLvl w:val="0"/>
        <w:rPr>
          <w:rFonts w:ascii="Times New Roman" w:hAnsi="Times New Roman"/>
          <w:b w:val="0"/>
          <w:sz w:val="24"/>
          <w:szCs w:val="24"/>
        </w:rPr>
      </w:pPr>
      <w:r>
        <w:rPr>
          <w:rFonts w:ascii="Times New Roman" w:hAnsi="Times New Roman"/>
          <w:b w:val="0"/>
          <w:sz w:val="24"/>
          <w:szCs w:val="24"/>
        </w:rPr>
        <w:t>any other word or expression that is of like import to any of these terms</w:t>
      </w:r>
      <w:r w:rsidR="00310CF8" w:rsidRPr="00C5748E">
        <w:rPr>
          <w:rFonts w:ascii="Times New Roman" w:hAnsi="Times New Roman"/>
          <w:b w:val="0"/>
          <w:sz w:val="24"/>
          <w:szCs w:val="24"/>
        </w:rPr>
        <w:t>.</w:t>
      </w:r>
    </w:p>
    <w:p w14:paraId="71A1C46E" w14:textId="77777777"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338FF0DB" w14:textId="1B4E1196" w:rsidR="00277E49" w:rsidRDefault="00012509" w:rsidP="008C3CEC">
      <w:pPr>
        <w:pStyle w:val="heading0"/>
        <w:shd w:val="clear" w:color="auto" w:fill="FFFFFF"/>
        <w:jc w:val="both"/>
        <w:rPr>
          <w:rFonts w:ascii="Helvetica Neue" w:hAnsi="Helvetica Neue"/>
          <w:sz w:val="19"/>
          <w:szCs w:val="19"/>
          <w:lang w:val="en-US"/>
        </w:rPr>
      </w:pPr>
      <w:bookmarkStart w:id="5" w:name="bkPurpose"/>
      <w:bookmarkEnd w:id="5"/>
      <w:r>
        <w:t xml:space="preserve">The Consent </w:t>
      </w:r>
      <w:r w:rsidR="008C3CEC">
        <w:t>permitted the use of the restricted words or expressions</w:t>
      </w:r>
      <w:r w:rsidR="00277E49">
        <w:t xml:space="preserve"> </w:t>
      </w:r>
      <w:r w:rsidR="00D160F7">
        <w:t xml:space="preserve">‘bank’, </w:t>
      </w:r>
      <w:r>
        <w:t>‘</w:t>
      </w:r>
      <w:r w:rsidR="00277E49">
        <w:t>banker</w:t>
      </w:r>
      <w:r>
        <w:t>’</w:t>
      </w:r>
      <w:r w:rsidR="00277E49">
        <w:t xml:space="preserve">, </w:t>
      </w:r>
      <w:r>
        <w:t>‘banking’</w:t>
      </w:r>
      <w:r w:rsidR="00277E49">
        <w:t>, ‘building society’, ‘</w:t>
      </w:r>
      <w:r w:rsidR="008C3CEC">
        <w:t xml:space="preserve">credit union’, ‘credit society’, </w:t>
      </w:r>
      <w:r w:rsidR="005B23B0">
        <w:t xml:space="preserve">and </w:t>
      </w:r>
      <w:r w:rsidR="00277E49">
        <w:t xml:space="preserve">‘credit co-operative’ </w:t>
      </w:r>
      <w:r w:rsidR="008E0A18">
        <w:t>subject to a range of conditions</w:t>
      </w:r>
      <w:r w:rsidR="00277E49">
        <w:t xml:space="preserve">. </w:t>
      </w:r>
      <w:r w:rsidR="000F70F5">
        <w:t>The Consent applied to building societies, credit unions, related bodies corporate of a building society or credit union, and trustees of certain superannuation entities.</w:t>
      </w:r>
      <w:r w:rsidR="008B677A">
        <w:t xml:space="preserve">  </w:t>
      </w:r>
    </w:p>
    <w:p w14:paraId="7501BDF0" w14:textId="6758D1D1" w:rsidR="00F66596" w:rsidRDefault="00791669" w:rsidP="00D85E77">
      <w:pPr>
        <w:spacing w:after="240"/>
        <w:jc w:val="both"/>
        <w:rPr>
          <w:rFonts w:ascii="Times New Roman" w:hAnsi="Times New Roman"/>
          <w:sz w:val="24"/>
          <w:szCs w:val="24"/>
        </w:rPr>
      </w:pPr>
      <w:r w:rsidRPr="00791669">
        <w:rPr>
          <w:rFonts w:ascii="Times New Roman" w:hAnsi="Times New Roman"/>
          <w:i/>
          <w:sz w:val="24"/>
          <w:szCs w:val="24"/>
        </w:rPr>
        <w:t>Treasury Laws Amendment (Banking Measures No. 1) of 2018</w:t>
      </w:r>
      <w:r w:rsidRPr="00791669">
        <w:rPr>
          <w:rFonts w:ascii="Times New Roman" w:hAnsi="Times New Roman"/>
          <w:sz w:val="24"/>
          <w:szCs w:val="24"/>
        </w:rPr>
        <w:t xml:space="preserve"> </w:t>
      </w:r>
      <w:r w:rsidR="00930ED2">
        <w:rPr>
          <w:rFonts w:ascii="Times New Roman" w:hAnsi="Times New Roman"/>
          <w:sz w:val="24"/>
          <w:szCs w:val="24"/>
        </w:rPr>
        <w:t xml:space="preserve">(the amending Act) </w:t>
      </w:r>
      <w:r w:rsidRPr="00791669">
        <w:rPr>
          <w:rFonts w:ascii="Times New Roman" w:hAnsi="Times New Roman"/>
          <w:sz w:val="24"/>
          <w:szCs w:val="24"/>
        </w:rPr>
        <w:t xml:space="preserve">was </w:t>
      </w:r>
      <w:r>
        <w:rPr>
          <w:rFonts w:ascii="Times New Roman" w:hAnsi="Times New Roman"/>
          <w:sz w:val="24"/>
          <w:szCs w:val="24"/>
        </w:rPr>
        <w:t xml:space="preserve">enacted on 5 March 2018. Schedule 3 </w:t>
      </w:r>
      <w:r w:rsidR="00930ED2">
        <w:rPr>
          <w:rFonts w:ascii="Times New Roman" w:hAnsi="Times New Roman"/>
          <w:sz w:val="24"/>
          <w:szCs w:val="24"/>
        </w:rPr>
        <w:t xml:space="preserve">of the amending Act, which </w:t>
      </w:r>
      <w:r w:rsidR="003A5555">
        <w:rPr>
          <w:rFonts w:ascii="Times New Roman" w:hAnsi="Times New Roman"/>
          <w:sz w:val="24"/>
          <w:szCs w:val="24"/>
        </w:rPr>
        <w:t xml:space="preserve">commenced </w:t>
      </w:r>
      <w:r w:rsidR="00930ED2">
        <w:rPr>
          <w:rFonts w:ascii="Times New Roman" w:hAnsi="Times New Roman"/>
          <w:sz w:val="24"/>
          <w:szCs w:val="24"/>
        </w:rPr>
        <w:t>on 5 May 2018, insert</w:t>
      </w:r>
      <w:r w:rsidR="00373DEE">
        <w:rPr>
          <w:rFonts w:ascii="Times New Roman" w:hAnsi="Times New Roman"/>
          <w:sz w:val="24"/>
          <w:szCs w:val="24"/>
        </w:rPr>
        <w:t>ed</w:t>
      </w:r>
      <w:r w:rsidR="00930ED2">
        <w:rPr>
          <w:rFonts w:ascii="Times New Roman" w:hAnsi="Times New Roman"/>
          <w:sz w:val="24"/>
          <w:szCs w:val="24"/>
        </w:rPr>
        <w:t xml:space="preserve"> new subsection 66(1AC) and section 66AA into the Act. </w:t>
      </w:r>
      <w:r w:rsidR="00F66596">
        <w:rPr>
          <w:rFonts w:ascii="Times New Roman" w:hAnsi="Times New Roman"/>
          <w:sz w:val="24"/>
          <w:szCs w:val="24"/>
        </w:rPr>
        <w:t xml:space="preserve">The effect of the amendments is that </w:t>
      </w:r>
      <w:r w:rsidR="00930ED2">
        <w:rPr>
          <w:rFonts w:ascii="Times New Roman" w:hAnsi="Times New Roman"/>
          <w:sz w:val="24"/>
          <w:szCs w:val="24"/>
        </w:rPr>
        <w:t xml:space="preserve">it is not an offence for an </w:t>
      </w:r>
      <w:r w:rsidR="008B677A">
        <w:rPr>
          <w:rFonts w:ascii="Times New Roman" w:hAnsi="Times New Roman"/>
          <w:sz w:val="24"/>
          <w:szCs w:val="24"/>
        </w:rPr>
        <w:t>authorised deposit-taking institution (</w:t>
      </w:r>
      <w:r w:rsidR="00930ED2">
        <w:rPr>
          <w:rFonts w:ascii="Times New Roman" w:hAnsi="Times New Roman"/>
          <w:sz w:val="24"/>
          <w:szCs w:val="24"/>
        </w:rPr>
        <w:t>ADI</w:t>
      </w:r>
      <w:r w:rsidR="008B677A">
        <w:rPr>
          <w:rFonts w:ascii="Times New Roman" w:hAnsi="Times New Roman"/>
          <w:sz w:val="24"/>
          <w:szCs w:val="24"/>
        </w:rPr>
        <w:t>)</w:t>
      </w:r>
      <w:r w:rsidR="00930ED2">
        <w:rPr>
          <w:rFonts w:ascii="Times New Roman" w:hAnsi="Times New Roman"/>
          <w:sz w:val="24"/>
          <w:szCs w:val="24"/>
        </w:rPr>
        <w:t xml:space="preserve"> to assume or use the words ‘bank’, ‘banker’ or ‘banking’ in relation to the ADI’s financial business</w:t>
      </w:r>
      <w:r w:rsidR="00F66596">
        <w:rPr>
          <w:rFonts w:ascii="Times New Roman" w:hAnsi="Times New Roman"/>
          <w:sz w:val="24"/>
          <w:szCs w:val="24"/>
        </w:rPr>
        <w:t xml:space="preserve"> except where APRA has made a determination under subsection 66AA(3) that applies to the ADI.</w:t>
      </w:r>
    </w:p>
    <w:p w14:paraId="3F33DF5E" w14:textId="2A9ABCEA" w:rsidR="006974C7" w:rsidRDefault="000F70F5" w:rsidP="008B677A">
      <w:pPr>
        <w:pStyle w:val="Heading"/>
        <w:keepNext/>
        <w:spacing w:after="240"/>
        <w:outlineLvl w:val="0"/>
        <w:rPr>
          <w:rFonts w:ascii="Times New Roman" w:hAnsi="Times New Roman"/>
          <w:b w:val="0"/>
          <w:sz w:val="24"/>
          <w:szCs w:val="24"/>
        </w:rPr>
      </w:pPr>
      <w:r>
        <w:rPr>
          <w:rFonts w:ascii="Times New Roman" w:hAnsi="Times New Roman"/>
          <w:b w:val="0"/>
          <w:sz w:val="24"/>
          <w:szCs w:val="24"/>
        </w:rPr>
        <w:lastRenderedPageBreak/>
        <w:t>The instrument reproduces the same consents and conditions</w:t>
      </w:r>
      <w:r w:rsidR="008B677A">
        <w:rPr>
          <w:rFonts w:ascii="Times New Roman" w:hAnsi="Times New Roman"/>
          <w:b w:val="0"/>
          <w:sz w:val="24"/>
          <w:szCs w:val="24"/>
        </w:rPr>
        <w:t xml:space="preserve"> as were in the Consent</w:t>
      </w:r>
      <w:r w:rsidR="006974C7">
        <w:rPr>
          <w:rFonts w:ascii="Times New Roman" w:hAnsi="Times New Roman"/>
          <w:b w:val="0"/>
          <w:sz w:val="24"/>
          <w:szCs w:val="24"/>
        </w:rPr>
        <w:t xml:space="preserve"> for building societies and credit unions to use the expressions ‘building society’ and ‘credit union’, respectively, and for trustees of certain superannuation entities to use restricted words or expressions as part of the trustee or superannuation entity’s name</w:t>
      </w:r>
      <w:r w:rsidR="005D2C20">
        <w:rPr>
          <w:rFonts w:ascii="Times New Roman" w:hAnsi="Times New Roman"/>
          <w:b w:val="0"/>
          <w:sz w:val="24"/>
          <w:szCs w:val="24"/>
        </w:rPr>
        <w:t xml:space="preserve">. </w:t>
      </w:r>
    </w:p>
    <w:p w14:paraId="1066B479" w14:textId="329EB11F" w:rsidR="000F70F5" w:rsidRDefault="006974C7" w:rsidP="008B677A">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The instrument removes </w:t>
      </w:r>
      <w:r w:rsidR="008B677A">
        <w:rPr>
          <w:rFonts w:ascii="Times New Roman" w:hAnsi="Times New Roman"/>
          <w:b w:val="0"/>
          <w:sz w:val="24"/>
          <w:szCs w:val="24"/>
        </w:rPr>
        <w:t>the consents for a building society or credit union to use</w:t>
      </w:r>
      <w:r w:rsidR="000F70F5">
        <w:rPr>
          <w:rFonts w:ascii="Times New Roman" w:hAnsi="Times New Roman"/>
          <w:b w:val="0"/>
          <w:sz w:val="24"/>
          <w:szCs w:val="24"/>
        </w:rPr>
        <w:t xml:space="preserve"> ‘banker’</w:t>
      </w:r>
      <w:r w:rsidR="008A7555">
        <w:rPr>
          <w:rFonts w:ascii="Times New Roman" w:hAnsi="Times New Roman"/>
          <w:b w:val="0"/>
          <w:sz w:val="24"/>
          <w:szCs w:val="24"/>
        </w:rPr>
        <w:t xml:space="preserve"> and</w:t>
      </w:r>
      <w:r w:rsidR="000F70F5">
        <w:rPr>
          <w:rFonts w:ascii="Times New Roman" w:hAnsi="Times New Roman"/>
          <w:b w:val="0"/>
          <w:sz w:val="24"/>
          <w:szCs w:val="24"/>
        </w:rPr>
        <w:t xml:space="preserve"> ‘banking’</w:t>
      </w:r>
      <w:r w:rsidR="008A7555">
        <w:rPr>
          <w:rFonts w:ascii="Times New Roman" w:hAnsi="Times New Roman"/>
          <w:b w:val="0"/>
          <w:sz w:val="24"/>
          <w:szCs w:val="24"/>
        </w:rPr>
        <w:t>, including the phrase</w:t>
      </w:r>
      <w:r w:rsidR="000F70F5">
        <w:rPr>
          <w:rFonts w:ascii="Times New Roman" w:hAnsi="Times New Roman"/>
          <w:b w:val="0"/>
          <w:sz w:val="24"/>
          <w:szCs w:val="24"/>
        </w:rPr>
        <w:t xml:space="preserve"> ‘mutual banking’.</w:t>
      </w:r>
      <w:r w:rsidR="008B677A">
        <w:rPr>
          <w:rFonts w:ascii="Times New Roman" w:hAnsi="Times New Roman"/>
          <w:b w:val="0"/>
          <w:sz w:val="24"/>
          <w:szCs w:val="24"/>
        </w:rPr>
        <w:t xml:space="preserve">  These consents are </w:t>
      </w:r>
      <w:r w:rsidR="00D160F7">
        <w:rPr>
          <w:rFonts w:ascii="Times New Roman" w:hAnsi="Times New Roman"/>
          <w:b w:val="0"/>
          <w:sz w:val="24"/>
          <w:szCs w:val="24"/>
        </w:rPr>
        <w:t xml:space="preserve">now redundant </w:t>
      </w:r>
      <w:r w:rsidR="008B677A">
        <w:rPr>
          <w:rFonts w:ascii="Times New Roman" w:hAnsi="Times New Roman"/>
          <w:b w:val="0"/>
          <w:sz w:val="24"/>
          <w:szCs w:val="24"/>
        </w:rPr>
        <w:t>as all building societies and credit unions are ADIs</w:t>
      </w:r>
      <w:r w:rsidR="008816E8">
        <w:rPr>
          <w:rFonts w:ascii="Times New Roman" w:hAnsi="Times New Roman"/>
          <w:b w:val="0"/>
          <w:sz w:val="24"/>
          <w:szCs w:val="24"/>
        </w:rPr>
        <w:t xml:space="preserve">, and have the right to use the words ‘bank’, ‘banker’ and ‘banking’ </w:t>
      </w:r>
      <w:r w:rsidR="008A7555">
        <w:rPr>
          <w:rFonts w:ascii="Times New Roman" w:hAnsi="Times New Roman"/>
          <w:b w:val="0"/>
          <w:sz w:val="24"/>
          <w:szCs w:val="24"/>
        </w:rPr>
        <w:t xml:space="preserve">upon commencement of Schedule 3 of the amending </w:t>
      </w:r>
      <w:r w:rsidR="008816E8">
        <w:rPr>
          <w:rFonts w:ascii="Times New Roman" w:hAnsi="Times New Roman"/>
          <w:b w:val="0"/>
          <w:sz w:val="24"/>
          <w:szCs w:val="24"/>
        </w:rPr>
        <w:t xml:space="preserve">Act </w:t>
      </w:r>
      <w:r w:rsidR="008A7555">
        <w:rPr>
          <w:rFonts w:ascii="Times New Roman" w:hAnsi="Times New Roman"/>
          <w:b w:val="0"/>
          <w:sz w:val="24"/>
          <w:szCs w:val="24"/>
        </w:rPr>
        <w:t xml:space="preserve">on </w:t>
      </w:r>
      <w:r w:rsidR="008816E8">
        <w:rPr>
          <w:rFonts w:ascii="Times New Roman" w:hAnsi="Times New Roman"/>
          <w:b w:val="0"/>
          <w:sz w:val="24"/>
          <w:szCs w:val="24"/>
        </w:rPr>
        <w:t>5 May 2018.</w:t>
      </w:r>
    </w:p>
    <w:p w14:paraId="283C1283" w14:textId="0CFDCF40" w:rsidR="001B6387" w:rsidRDefault="008A7555" w:rsidP="00D85E77">
      <w:pPr>
        <w:spacing w:after="240"/>
        <w:jc w:val="both"/>
        <w:rPr>
          <w:rFonts w:ascii="Times New Roman" w:hAnsi="Times New Roman"/>
          <w:sz w:val="24"/>
          <w:szCs w:val="24"/>
        </w:rPr>
      </w:pPr>
      <w:r>
        <w:rPr>
          <w:rFonts w:ascii="Times New Roman" w:hAnsi="Times New Roman"/>
          <w:sz w:val="24"/>
          <w:szCs w:val="24"/>
        </w:rPr>
        <w:t xml:space="preserve">The instrument also removes </w:t>
      </w:r>
      <w:r w:rsidR="001B6387">
        <w:rPr>
          <w:rFonts w:ascii="Times New Roman" w:hAnsi="Times New Roman"/>
          <w:sz w:val="24"/>
          <w:szCs w:val="24"/>
        </w:rPr>
        <w:t xml:space="preserve">consents for related bodies corporate of building societies and credit unions to use restricted words to describe the financial business of the </w:t>
      </w:r>
      <w:r w:rsidR="0095510A">
        <w:rPr>
          <w:rFonts w:ascii="Times New Roman" w:hAnsi="Times New Roman"/>
          <w:sz w:val="24"/>
          <w:szCs w:val="24"/>
        </w:rPr>
        <w:t>related building society or credit union</w:t>
      </w:r>
      <w:r w:rsidR="001B6387">
        <w:rPr>
          <w:rFonts w:ascii="Times New Roman" w:hAnsi="Times New Roman"/>
          <w:sz w:val="24"/>
          <w:szCs w:val="24"/>
        </w:rPr>
        <w:t>. These consents are not necessary, because it is not an offence under section 66 of the Banking Act for a person to use a restricted word to describe another person’s financial business.</w:t>
      </w:r>
    </w:p>
    <w:p w14:paraId="1F0743CA" w14:textId="1F179B02" w:rsidR="00C5748E" w:rsidRPr="00791669" w:rsidRDefault="008816E8" w:rsidP="00D85E77">
      <w:pPr>
        <w:spacing w:after="240"/>
        <w:jc w:val="both"/>
        <w:rPr>
          <w:rFonts w:ascii="Times New Roman" w:hAnsi="Times New Roman"/>
          <w:sz w:val="24"/>
          <w:szCs w:val="24"/>
        </w:rPr>
      </w:pPr>
      <w:r w:rsidRPr="00C01F4B">
        <w:rPr>
          <w:rFonts w:ascii="Times New Roman" w:hAnsi="Times New Roman"/>
          <w:sz w:val="24"/>
          <w:szCs w:val="24"/>
        </w:rPr>
        <w:t xml:space="preserve">Additionally, the instrument amends the lists of entities in Schedules 2 and 3 of the Consent. The reason for this is </w:t>
      </w:r>
      <w:r w:rsidR="005C76E3">
        <w:rPr>
          <w:rFonts w:ascii="Times New Roman" w:hAnsi="Times New Roman"/>
          <w:sz w:val="24"/>
          <w:szCs w:val="24"/>
        </w:rPr>
        <w:t>to update the list to remove entities that have</w:t>
      </w:r>
      <w:r w:rsidR="005C76E3" w:rsidRPr="00C01F4B">
        <w:rPr>
          <w:rFonts w:ascii="Times New Roman" w:hAnsi="Times New Roman"/>
          <w:sz w:val="24"/>
          <w:szCs w:val="24"/>
        </w:rPr>
        <w:t xml:space="preserve"> </w:t>
      </w:r>
      <w:r w:rsidR="005C76E3">
        <w:rPr>
          <w:rFonts w:ascii="Times New Roman" w:hAnsi="Times New Roman"/>
          <w:sz w:val="24"/>
          <w:szCs w:val="24"/>
        </w:rPr>
        <w:t xml:space="preserve">exited </w:t>
      </w:r>
      <w:r w:rsidR="00D160F7">
        <w:rPr>
          <w:rFonts w:ascii="Times New Roman" w:hAnsi="Times New Roman"/>
          <w:sz w:val="24"/>
          <w:szCs w:val="24"/>
        </w:rPr>
        <w:t xml:space="preserve">the Australian banking industry </w:t>
      </w:r>
      <w:r w:rsidR="005C76E3">
        <w:rPr>
          <w:rFonts w:ascii="Times New Roman" w:hAnsi="Times New Roman"/>
          <w:sz w:val="24"/>
          <w:szCs w:val="24"/>
        </w:rPr>
        <w:t xml:space="preserve">since December 2015, or are no longer operating as a building society or credit union. </w:t>
      </w:r>
      <w:r>
        <w:rPr>
          <w:rFonts w:ascii="Times New Roman" w:hAnsi="Times New Roman"/>
          <w:sz w:val="24"/>
          <w:szCs w:val="24"/>
        </w:rPr>
        <w:t xml:space="preserve"> </w:t>
      </w:r>
    </w:p>
    <w:p w14:paraId="63BA98A8" w14:textId="77777777" w:rsidR="002436BD" w:rsidRDefault="002436BD" w:rsidP="00D85E77">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147CFC63" w14:textId="77777777" w:rsidR="008A7555" w:rsidRDefault="00020EB1" w:rsidP="00032768">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Treasury conducted a consultation on the amending Act between 17 July 2017 and 14 August 2017. </w:t>
      </w:r>
    </w:p>
    <w:p w14:paraId="439BE417" w14:textId="4DA986D0" w:rsidR="00032768" w:rsidRDefault="00032768" w:rsidP="00032768">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has </w:t>
      </w:r>
      <w:r w:rsidR="00274336">
        <w:rPr>
          <w:rFonts w:ascii="Times New Roman" w:hAnsi="Times New Roman"/>
          <w:b w:val="0"/>
          <w:sz w:val="24"/>
          <w:szCs w:val="24"/>
        </w:rPr>
        <w:t xml:space="preserve">consulted the Customer Owned Banking Association </w:t>
      </w:r>
      <w:r w:rsidR="005E523F">
        <w:rPr>
          <w:rFonts w:ascii="Times New Roman" w:hAnsi="Times New Roman"/>
          <w:b w:val="0"/>
          <w:sz w:val="24"/>
          <w:szCs w:val="24"/>
        </w:rPr>
        <w:t>L</w:t>
      </w:r>
      <w:r w:rsidR="008A7555">
        <w:rPr>
          <w:rFonts w:ascii="Times New Roman" w:hAnsi="Times New Roman"/>
          <w:b w:val="0"/>
          <w:sz w:val="24"/>
          <w:szCs w:val="24"/>
        </w:rPr>
        <w:t>imi</w:t>
      </w:r>
      <w:r w:rsidR="005E523F">
        <w:rPr>
          <w:rFonts w:ascii="Times New Roman" w:hAnsi="Times New Roman"/>
          <w:b w:val="0"/>
          <w:sz w:val="24"/>
          <w:szCs w:val="24"/>
        </w:rPr>
        <w:t>t</w:t>
      </w:r>
      <w:r w:rsidR="008A7555">
        <w:rPr>
          <w:rFonts w:ascii="Times New Roman" w:hAnsi="Times New Roman"/>
          <w:b w:val="0"/>
          <w:sz w:val="24"/>
          <w:szCs w:val="24"/>
        </w:rPr>
        <w:t>e</w:t>
      </w:r>
      <w:r w:rsidR="005E523F">
        <w:rPr>
          <w:rFonts w:ascii="Times New Roman" w:hAnsi="Times New Roman"/>
          <w:b w:val="0"/>
          <w:sz w:val="24"/>
          <w:szCs w:val="24"/>
        </w:rPr>
        <w:t xml:space="preserve">d </w:t>
      </w:r>
      <w:r w:rsidR="00274336">
        <w:rPr>
          <w:rFonts w:ascii="Times New Roman" w:hAnsi="Times New Roman"/>
          <w:b w:val="0"/>
          <w:sz w:val="24"/>
          <w:szCs w:val="24"/>
        </w:rPr>
        <w:t xml:space="preserve">about the </w:t>
      </w:r>
      <w:r w:rsidR="005E523F" w:rsidRPr="005E523F">
        <w:rPr>
          <w:rFonts w:ascii="Times New Roman" w:hAnsi="Times New Roman"/>
          <w:b w:val="0"/>
          <w:sz w:val="24"/>
          <w:szCs w:val="24"/>
        </w:rPr>
        <w:t>removal of consents for related bodies corporate of building societies and credit unions to use restricted words to describe the financial business of the related building society or credit union</w:t>
      </w:r>
      <w:r w:rsidR="00F76B98">
        <w:rPr>
          <w:rFonts w:ascii="Times New Roman" w:hAnsi="Times New Roman"/>
          <w:b w:val="0"/>
          <w:sz w:val="24"/>
          <w:szCs w:val="24"/>
        </w:rPr>
        <w:t>.</w:t>
      </w:r>
      <w:r w:rsidR="005E523F" w:rsidRPr="005E523F">
        <w:rPr>
          <w:rFonts w:ascii="Times New Roman" w:hAnsi="Times New Roman"/>
          <w:b w:val="0"/>
          <w:sz w:val="24"/>
          <w:szCs w:val="24"/>
        </w:rPr>
        <w:t xml:space="preserve"> </w:t>
      </w:r>
      <w:r w:rsidR="00F76B98">
        <w:rPr>
          <w:rFonts w:ascii="Times New Roman" w:hAnsi="Times New Roman"/>
          <w:b w:val="0"/>
          <w:sz w:val="24"/>
          <w:szCs w:val="24"/>
        </w:rPr>
        <w:t xml:space="preserve">APRA has </w:t>
      </w:r>
      <w:r>
        <w:rPr>
          <w:rFonts w:ascii="Times New Roman" w:hAnsi="Times New Roman"/>
          <w:b w:val="0"/>
          <w:sz w:val="24"/>
          <w:szCs w:val="24"/>
        </w:rPr>
        <w:t xml:space="preserve">not undertaken a consultation </w:t>
      </w:r>
      <w:r w:rsidR="00F76B98">
        <w:rPr>
          <w:rFonts w:ascii="Times New Roman" w:hAnsi="Times New Roman"/>
          <w:b w:val="0"/>
          <w:sz w:val="24"/>
          <w:szCs w:val="24"/>
        </w:rPr>
        <w:t>in relation to the</w:t>
      </w:r>
      <w:r>
        <w:rPr>
          <w:rFonts w:ascii="Times New Roman" w:hAnsi="Times New Roman"/>
          <w:b w:val="0"/>
          <w:sz w:val="24"/>
          <w:szCs w:val="24"/>
        </w:rPr>
        <w:t xml:space="preserve"> </w:t>
      </w:r>
      <w:r w:rsidR="00F76B98">
        <w:rPr>
          <w:rFonts w:ascii="Times New Roman" w:hAnsi="Times New Roman"/>
          <w:b w:val="0"/>
          <w:sz w:val="24"/>
          <w:szCs w:val="24"/>
        </w:rPr>
        <w:t xml:space="preserve">removal of </w:t>
      </w:r>
      <w:r w:rsidR="00BA534F">
        <w:rPr>
          <w:rFonts w:ascii="Times New Roman" w:hAnsi="Times New Roman"/>
          <w:b w:val="0"/>
          <w:sz w:val="24"/>
          <w:szCs w:val="24"/>
        </w:rPr>
        <w:t xml:space="preserve">consents that are </w:t>
      </w:r>
      <w:r w:rsidR="00D160F7">
        <w:rPr>
          <w:rFonts w:ascii="Times New Roman" w:hAnsi="Times New Roman"/>
          <w:b w:val="0"/>
          <w:sz w:val="24"/>
          <w:szCs w:val="24"/>
        </w:rPr>
        <w:t xml:space="preserve">redundant </w:t>
      </w:r>
      <w:r w:rsidR="00BA534F">
        <w:rPr>
          <w:rFonts w:ascii="Times New Roman" w:hAnsi="Times New Roman"/>
          <w:b w:val="0"/>
          <w:sz w:val="24"/>
          <w:szCs w:val="24"/>
        </w:rPr>
        <w:t xml:space="preserve">because of the changes made under </w:t>
      </w:r>
      <w:r w:rsidR="00020EB1">
        <w:rPr>
          <w:rFonts w:ascii="Times New Roman" w:hAnsi="Times New Roman"/>
          <w:b w:val="0"/>
          <w:sz w:val="24"/>
          <w:szCs w:val="24"/>
        </w:rPr>
        <w:t>the amending Act</w:t>
      </w:r>
      <w:r w:rsidR="00BA534F">
        <w:rPr>
          <w:rFonts w:ascii="Times New Roman" w:hAnsi="Times New Roman"/>
          <w:b w:val="0"/>
          <w:sz w:val="24"/>
          <w:szCs w:val="24"/>
        </w:rPr>
        <w:t xml:space="preserve">, or </w:t>
      </w:r>
      <w:r w:rsidR="00F76B98">
        <w:rPr>
          <w:rFonts w:ascii="Times New Roman" w:hAnsi="Times New Roman"/>
          <w:b w:val="0"/>
          <w:sz w:val="24"/>
          <w:szCs w:val="24"/>
        </w:rPr>
        <w:t xml:space="preserve">in relation to the </w:t>
      </w:r>
      <w:r w:rsidR="00D160F7">
        <w:rPr>
          <w:rFonts w:ascii="Times New Roman" w:hAnsi="Times New Roman"/>
          <w:b w:val="0"/>
          <w:sz w:val="24"/>
          <w:szCs w:val="24"/>
        </w:rPr>
        <w:t xml:space="preserve">updates </w:t>
      </w:r>
      <w:r w:rsidR="00F76B98">
        <w:rPr>
          <w:rFonts w:ascii="Times New Roman" w:hAnsi="Times New Roman"/>
          <w:b w:val="0"/>
          <w:sz w:val="24"/>
          <w:szCs w:val="24"/>
        </w:rPr>
        <w:t xml:space="preserve">to </w:t>
      </w:r>
      <w:r w:rsidR="00D160F7">
        <w:rPr>
          <w:rFonts w:ascii="Times New Roman" w:hAnsi="Times New Roman"/>
          <w:b w:val="0"/>
          <w:sz w:val="24"/>
          <w:szCs w:val="24"/>
        </w:rPr>
        <w:t>the lists of building societies</w:t>
      </w:r>
      <w:r w:rsidR="00BA534F">
        <w:rPr>
          <w:rFonts w:ascii="Times New Roman" w:hAnsi="Times New Roman"/>
          <w:b w:val="0"/>
          <w:sz w:val="24"/>
          <w:szCs w:val="24"/>
        </w:rPr>
        <w:t xml:space="preserve"> </w:t>
      </w:r>
      <w:r w:rsidR="00D160F7">
        <w:rPr>
          <w:rFonts w:ascii="Times New Roman" w:hAnsi="Times New Roman"/>
          <w:b w:val="0"/>
          <w:sz w:val="24"/>
          <w:szCs w:val="24"/>
        </w:rPr>
        <w:t xml:space="preserve">and </w:t>
      </w:r>
      <w:r w:rsidR="00BA534F">
        <w:rPr>
          <w:rFonts w:ascii="Times New Roman" w:hAnsi="Times New Roman"/>
          <w:b w:val="0"/>
          <w:sz w:val="24"/>
          <w:szCs w:val="24"/>
        </w:rPr>
        <w:t>credit union</w:t>
      </w:r>
      <w:r w:rsidR="00D160F7">
        <w:rPr>
          <w:rFonts w:ascii="Times New Roman" w:hAnsi="Times New Roman"/>
          <w:b w:val="0"/>
          <w:sz w:val="24"/>
          <w:szCs w:val="24"/>
        </w:rPr>
        <w:t>s</w:t>
      </w:r>
      <w:r w:rsidR="00020EB1">
        <w:rPr>
          <w:rFonts w:ascii="Times New Roman" w:hAnsi="Times New Roman"/>
          <w:b w:val="0"/>
          <w:sz w:val="24"/>
          <w:szCs w:val="24"/>
        </w:rPr>
        <w:t xml:space="preserve">. </w:t>
      </w:r>
    </w:p>
    <w:p w14:paraId="447C7920" w14:textId="77777777" w:rsidR="002436BD" w:rsidRDefault="00DF524E" w:rsidP="00D85E77">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34B6CC7E" w14:textId="5DDCCE52" w:rsidR="00D3484E" w:rsidRDefault="00D3484E" w:rsidP="00D85E77">
      <w:pPr>
        <w:pStyle w:val="Heading"/>
        <w:spacing w:after="240"/>
        <w:rPr>
          <w:rFonts w:ascii="Times New Roman" w:hAnsi="Times New Roman"/>
          <w:b w:val="0"/>
          <w:sz w:val="24"/>
          <w:szCs w:val="24"/>
        </w:rPr>
      </w:pPr>
      <w:r w:rsidRPr="001D4997">
        <w:rPr>
          <w:rFonts w:ascii="Times New Roman" w:hAnsi="Times New Roman"/>
          <w:b w:val="0"/>
          <w:sz w:val="24"/>
          <w:szCs w:val="24"/>
        </w:rPr>
        <w:t>The Office of Best Practice Regulation has advised that a Regulation Impact Statement is not required for this legislative instrument</w:t>
      </w:r>
      <w:r w:rsidR="00C01F4B" w:rsidRPr="001D4997">
        <w:rPr>
          <w:rFonts w:ascii="Times New Roman" w:hAnsi="Times New Roman"/>
          <w:b w:val="0"/>
          <w:sz w:val="24"/>
          <w:szCs w:val="24"/>
        </w:rPr>
        <w:t xml:space="preserve"> because </w:t>
      </w:r>
      <w:r w:rsidR="000661B0" w:rsidRPr="001D4997">
        <w:rPr>
          <w:rFonts w:ascii="Times New Roman" w:hAnsi="Times New Roman"/>
          <w:b w:val="0"/>
          <w:sz w:val="24"/>
          <w:szCs w:val="24"/>
        </w:rPr>
        <w:t>removing</w:t>
      </w:r>
      <w:r w:rsidR="00C01F4B" w:rsidRPr="001D4997">
        <w:rPr>
          <w:rFonts w:ascii="Times New Roman" w:hAnsi="Times New Roman"/>
          <w:b w:val="0"/>
          <w:sz w:val="24"/>
          <w:szCs w:val="24"/>
        </w:rPr>
        <w:t xml:space="preserve"> </w:t>
      </w:r>
      <w:r w:rsidR="000661B0" w:rsidRPr="001D4997">
        <w:rPr>
          <w:rFonts w:ascii="Times New Roman" w:hAnsi="Times New Roman"/>
          <w:b w:val="0"/>
          <w:sz w:val="24"/>
          <w:szCs w:val="24"/>
        </w:rPr>
        <w:t>consents that are redundant is a machinery change, and amending the list of entities is a non-regulatory change</w:t>
      </w:r>
      <w:r w:rsidRPr="001D4997">
        <w:rPr>
          <w:rFonts w:ascii="Times New Roman" w:hAnsi="Times New Roman"/>
          <w:b w:val="0"/>
          <w:sz w:val="24"/>
          <w:szCs w:val="24"/>
        </w:rPr>
        <w:t>.</w:t>
      </w:r>
    </w:p>
    <w:p w14:paraId="63CFBA9D" w14:textId="77777777"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3371425" w14:textId="77777777"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630C93A0" w14:textId="4E8A30C1" w:rsidR="00032768" w:rsidRDefault="00032768">
      <w:r>
        <w:br w:type="page"/>
      </w:r>
    </w:p>
    <w:p w14:paraId="267D3342" w14:textId="2C2427F8" w:rsidR="00B04B20" w:rsidRPr="00032768" w:rsidRDefault="00032768" w:rsidP="00D85E77">
      <w:pPr>
        <w:spacing w:after="240"/>
        <w:jc w:val="both"/>
        <w:rPr>
          <w:rFonts w:ascii="Times New Roman" w:hAnsi="Times New Roman"/>
          <w:b/>
          <w:sz w:val="24"/>
          <w:szCs w:val="24"/>
        </w:rPr>
      </w:pPr>
      <w:r w:rsidRPr="00032768">
        <w:rPr>
          <w:rFonts w:ascii="Times New Roman" w:hAnsi="Times New Roman"/>
          <w:b/>
          <w:sz w:val="24"/>
          <w:szCs w:val="24"/>
        </w:rPr>
        <w:lastRenderedPageBreak/>
        <w:t>Attachment A</w:t>
      </w:r>
    </w:p>
    <w:p w14:paraId="06F77F1A" w14:textId="77777777" w:rsidR="00032768" w:rsidRPr="00032768" w:rsidRDefault="00032768" w:rsidP="00032768">
      <w:pPr>
        <w:shd w:val="clear" w:color="auto" w:fill="FFFFFF"/>
        <w:spacing w:before="100" w:beforeAutospacing="1" w:after="100" w:afterAutospacing="1"/>
        <w:jc w:val="center"/>
        <w:rPr>
          <w:rFonts w:ascii="Times New Roman" w:hAnsi="Times New Roman"/>
          <w:sz w:val="24"/>
          <w:szCs w:val="24"/>
          <w:lang w:val="en-US"/>
        </w:rPr>
      </w:pPr>
      <w:r w:rsidRPr="00032768">
        <w:rPr>
          <w:rFonts w:ascii="Times New Roman" w:hAnsi="Times New Roman"/>
          <w:b/>
          <w:bCs/>
          <w:sz w:val="24"/>
          <w:szCs w:val="24"/>
        </w:rPr>
        <w:t>Statement of Compatibility with Human Rights</w:t>
      </w:r>
    </w:p>
    <w:p w14:paraId="5A69CC8F" w14:textId="77777777" w:rsidR="00032768" w:rsidRPr="00032768" w:rsidRDefault="00032768" w:rsidP="00032768">
      <w:pPr>
        <w:shd w:val="clear" w:color="auto" w:fill="FFFFFF"/>
        <w:spacing w:before="100" w:beforeAutospacing="1" w:after="100" w:afterAutospacing="1"/>
        <w:rPr>
          <w:rFonts w:ascii="Times New Roman" w:hAnsi="Times New Roman"/>
          <w:sz w:val="24"/>
          <w:szCs w:val="24"/>
          <w:lang w:val="en-US"/>
        </w:rPr>
      </w:pPr>
      <w:r w:rsidRPr="00032768">
        <w:rPr>
          <w:rFonts w:ascii="Times New Roman" w:hAnsi="Times New Roman"/>
          <w:i/>
          <w:iCs/>
          <w:sz w:val="24"/>
          <w:szCs w:val="24"/>
        </w:rPr>
        <w:t>Prepared in accordance with Part 3 of the Human Rights (Parliamentary Scrutiny) Act 2011</w:t>
      </w:r>
    </w:p>
    <w:p w14:paraId="5AC78331" w14:textId="286D8BB9" w:rsidR="00032768" w:rsidRPr="00032768" w:rsidRDefault="00032768" w:rsidP="00032768">
      <w:pPr>
        <w:shd w:val="clear" w:color="auto" w:fill="FFFFFF"/>
        <w:spacing w:before="100" w:beforeAutospacing="1"/>
        <w:rPr>
          <w:rFonts w:ascii="Times New Roman" w:hAnsi="Times New Roman"/>
          <w:sz w:val="24"/>
          <w:szCs w:val="24"/>
          <w:lang w:val="en-US"/>
        </w:rPr>
      </w:pPr>
      <w:r w:rsidRPr="00032768">
        <w:rPr>
          <w:rFonts w:ascii="Times New Roman" w:hAnsi="Times New Roman"/>
          <w:b/>
          <w:bCs/>
          <w:sz w:val="24"/>
          <w:szCs w:val="24"/>
        </w:rPr>
        <w:t>Banking (consent to assume or use rest</w:t>
      </w:r>
      <w:r w:rsidR="00E820BD">
        <w:rPr>
          <w:rFonts w:ascii="Times New Roman" w:hAnsi="Times New Roman"/>
          <w:b/>
          <w:bCs/>
          <w:sz w:val="24"/>
          <w:szCs w:val="24"/>
        </w:rPr>
        <w:t xml:space="preserve">ricted word or expression) No. </w:t>
      </w:r>
      <w:r w:rsidR="000661B0">
        <w:rPr>
          <w:rFonts w:ascii="Times New Roman" w:hAnsi="Times New Roman"/>
          <w:b/>
          <w:bCs/>
          <w:sz w:val="24"/>
          <w:szCs w:val="24"/>
        </w:rPr>
        <w:t>1</w:t>
      </w:r>
      <w:r w:rsidR="000661B0" w:rsidRPr="00032768">
        <w:rPr>
          <w:rFonts w:ascii="Times New Roman" w:hAnsi="Times New Roman"/>
          <w:b/>
          <w:bCs/>
          <w:color w:val="FF0000"/>
          <w:sz w:val="24"/>
          <w:szCs w:val="24"/>
        </w:rPr>
        <w:t xml:space="preserve"> </w:t>
      </w:r>
      <w:r w:rsidR="00E820BD">
        <w:rPr>
          <w:rFonts w:ascii="Times New Roman" w:hAnsi="Times New Roman"/>
          <w:b/>
          <w:bCs/>
          <w:sz w:val="24"/>
          <w:szCs w:val="24"/>
        </w:rPr>
        <w:t>of 2018</w:t>
      </w:r>
    </w:p>
    <w:p w14:paraId="1AFBB79C" w14:textId="1B2E6897" w:rsidR="00032768" w:rsidRDefault="00032768" w:rsidP="00032768">
      <w:pPr>
        <w:shd w:val="clear" w:color="auto" w:fill="FFFFFF"/>
        <w:spacing w:before="100" w:beforeAutospacing="1"/>
        <w:rPr>
          <w:rFonts w:ascii="Times New Roman" w:hAnsi="Times New Roman"/>
          <w:i/>
          <w:iCs/>
          <w:sz w:val="24"/>
          <w:szCs w:val="24"/>
        </w:rPr>
      </w:pPr>
      <w:r w:rsidRPr="00032768">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032768">
        <w:rPr>
          <w:rFonts w:ascii="Times New Roman" w:hAnsi="Times New Roman"/>
          <w:i/>
          <w:iCs/>
          <w:sz w:val="24"/>
          <w:szCs w:val="24"/>
        </w:rPr>
        <w:t>Human Rights (Parliamentary Scrutiny) Act 2011.</w:t>
      </w:r>
    </w:p>
    <w:p w14:paraId="35F34924" w14:textId="77777777" w:rsidR="00E820BD" w:rsidRPr="00032768" w:rsidRDefault="00E820BD" w:rsidP="00032768">
      <w:pPr>
        <w:shd w:val="clear" w:color="auto" w:fill="FFFFFF"/>
        <w:spacing w:before="100" w:beforeAutospacing="1"/>
        <w:rPr>
          <w:rFonts w:ascii="Times New Roman" w:hAnsi="Times New Roman"/>
          <w:sz w:val="24"/>
          <w:szCs w:val="24"/>
          <w:lang w:val="en-US"/>
        </w:rPr>
      </w:pPr>
    </w:p>
    <w:p w14:paraId="63E2F3F2" w14:textId="1F885080" w:rsidR="00032768" w:rsidRPr="00032768" w:rsidRDefault="00032768" w:rsidP="00032768">
      <w:pPr>
        <w:shd w:val="clear" w:color="auto" w:fill="FFFFFF"/>
        <w:spacing w:before="100" w:beforeAutospacing="1"/>
        <w:rPr>
          <w:rFonts w:ascii="Times New Roman" w:hAnsi="Times New Roman"/>
          <w:sz w:val="24"/>
          <w:szCs w:val="24"/>
          <w:lang w:val="en-US"/>
        </w:rPr>
      </w:pPr>
      <w:r w:rsidRPr="00032768">
        <w:rPr>
          <w:rFonts w:ascii="Times New Roman" w:hAnsi="Times New Roman"/>
          <w:b/>
          <w:bCs/>
          <w:sz w:val="24"/>
          <w:szCs w:val="24"/>
        </w:rPr>
        <w:t>Overvie</w:t>
      </w:r>
      <w:r w:rsidR="00E820BD">
        <w:rPr>
          <w:rFonts w:ascii="Times New Roman" w:hAnsi="Times New Roman"/>
          <w:b/>
          <w:bCs/>
          <w:sz w:val="24"/>
          <w:szCs w:val="24"/>
        </w:rPr>
        <w:t>w of the Legislative Instrument</w:t>
      </w:r>
    </w:p>
    <w:p w14:paraId="45E6F01E" w14:textId="135E3405" w:rsidR="00CE4B8D" w:rsidRDefault="00032768" w:rsidP="00032768">
      <w:pPr>
        <w:shd w:val="clear" w:color="auto" w:fill="FFFFFF"/>
        <w:spacing w:before="100" w:beforeAutospacing="1" w:after="100" w:afterAutospacing="1"/>
        <w:rPr>
          <w:rFonts w:ascii="Times New Roman" w:hAnsi="Times New Roman"/>
          <w:sz w:val="24"/>
          <w:szCs w:val="24"/>
        </w:rPr>
      </w:pPr>
      <w:r w:rsidRPr="00032768">
        <w:rPr>
          <w:rFonts w:ascii="Times New Roman" w:hAnsi="Times New Roman"/>
          <w:sz w:val="24"/>
          <w:szCs w:val="24"/>
        </w:rPr>
        <w:t xml:space="preserve">The instrument revokes the existing </w:t>
      </w:r>
      <w:r w:rsidRPr="00032768">
        <w:rPr>
          <w:rFonts w:ascii="Times New Roman" w:hAnsi="Times New Roman"/>
          <w:i/>
          <w:iCs/>
          <w:sz w:val="24"/>
          <w:szCs w:val="24"/>
        </w:rPr>
        <w:t>Banking (consent to use rest</w:t>
      </w:r>
      <w:r w:rsidR="00E820BD">
        <w:rPr>
          <w:rFonts w:ascii="Times New Roman" w:hAnsi="Times New Roman"/>
          <w:i/>
          <w:iCs/>
          <w:sz w:val="24"/>
          <w:szCs w:val="24"/>
        </w:rPr>
        <w:t>ricted word or expression) No. 3</w:t>
      </w:r>
      <w:r w:rsidRPr="00032768">
        <w:rPr>
          <w:rFonts w:ascii="Times New Roman" w:hAnsi="Times New Roman"/>
          <w:i/>
          <w:iCs/>
          <w:sz w:val="24"/>
          <w:szCs w:val="24"/>
        </w:rPr>
        <w:t xml:space="preserve"> of 2015 </w:t>
      </w:r>
      <w:r w:rsidRPr="00032768">
        <w:rPr>
          <w:rFonts w:ascii="Times New Roman" w:hAnsi="Times New Roman"/>
          <w:sz w:val="24"/>
          <w:szCs w:val="24"/>
        </w:rPr>
        <w:t>made</w:t>
      </w:r>
      <w:r w:rsidRPr="00032768">
        <w:rPr>
          <w:rFonts w:ascii="Times New Roman" w:hAnsi="Times New Roman"/>
          <w:i/>
          <w:iCs/>
          <w:sz w:val="24"/>
          <w:szCs w:val="24"/>
        </w:rPr>
        <w:t xml:space="preserve"> </w:t>
      </w:r>
      <w:r w:rsidRPr="00032768">
        <w:rPr>
          <w:rFonts w:ascii="Times New Roman" w:hAnsi="Times New Roman"/>
          <w:sz w:val="24"/>
          <w:szCs w:val="24"/>
        </w:rPr>
        <w:t xml:space="preserve">on </w:t>
      </w:r>
      <w:r w:rsidR="00E820BD">
        <w:rPr>
          <w:rFonts w:ascii="Times New Roman" w:hAnsi="Times New Roman"/>
          <w:sz w:val="24"/>
          <w:szCs w:val="24"/>
        </w:rPr>
        <w:t xml:space="preserve">14 December </w:t>
      </w:r>
      <w:r w:rsidRPr="00032768">
        <w:rPr>
          <w:rFonts w:ascii="Times New Roman" w:hAnsi="Times New Roman"/>
          <w:sz w:val="24"/>
          <w:szCs w:val="24"/>
        </w:rPr>
        <w:t xml:space="preserve">2015 and replaces it with a new consent. The new consent continues to allow </w:t>
      </w:r>
      <w:r w:rsidR="00E820BD">
        <w:rPr>
          <w:rFonts w:ascii="Times New Roman" w:hAnsi="Times New Roman"/>
          <w:sz w:val="24"/>
          <w:szCs w:val="24"/>
        </w:rPr>
        <w:t>credit unions</w:t>
      </w:r>
      <w:r w:rsidR="00CE4B8D">
        <w:rPr>
          <w:rFonts w:ascii="Times New Roman" w:hAnsi="Times New Roman"/>
          <w:sz w:val="24"/>
          <w:szCs w:val="24"/>
        </w:rPr>
        <w:t xml:space="preserve">, </w:t>
      </w:r>
      <w:r w:rsidRPr="00032768">
        <w:rPr>
          <w:rFonts w:ascii="Times New Roman" w:hAnsi="Times New Roman"/>
          <w:sz w:val="24"/>
          <w:szCs w:val="24"/>
        </w:rPr>
        <w:t xml:space="preserve">building societies and trustees of certain superannuation entities to use certain words and expressions that are restricted under the </w:t>
      </w:r>
      <w:r w:rsidRPr="00032768">
        <w:rPr>
          <w:rFonts w:ascii="Times New Roman" w:hAnsi="Times New Roman"/>
          <w:i/>
          <w:iCs/>
          <w:sz w:val="24"/>
          <w:szCs w:val="24"/>
        </w:rPr>
        <w:t>Banking Act 1959</w:t>
      </w:r>
      <w:r w:rsidR="00CE4B8D">
        <w:rPr>
          <w:rFonts w:ascii="Times New Roman" w:hAnsi="Times New Roman"/>
          <w:iCs/>
          <w:sz w:val="24"/>
          <w:szCs w:val="24"/>
        </w:rPr>
        <w:t xml:space="preserve"> (the Act)</w:t>
      </w:r>
      <w:r w:rsidRPr="00032768">
        <w:rPr>
          <w:rFonts w:ascii="Times New Roman" w:hAnsi="Times New Roman"/>
          <w:sz w:val="24"/>
          <w:szCs w:val="24"/>
        </w:rPr>
        <w:t>, such as ‘banker’, ‘banking’, ‘building society’ and ‘credit union’. The new consent</w:t>
      </w:r>
      <w:r w:rsidR="00CE4B8D">
        <w:rPr>
          <w:rFonts w:ascii="Times New Roman" w:hAnsi="Times New Roman"/>
          <w:sz w:val="24"/>
          <w:szCs w:val="24"/>
        </w:rPr>
        <w:t>:</w:t>
      </w:r>
      <w:r w:rsidRPr="00032768">
        <w:rPr>
          <w:rFonts w:ascii="Times New Roman" w:hAnsi="Times New Roman"/>
          <w:sz w:val="24"/>
          <w:szCs w:val="24"/>
        </w:rPr>
        <w:t xml:space="preserve"> </w:t>
      </w:r>
    </w:p>
    <w:p w14:paraId="18B48B30" w14:textId="77777777" w:rsidR="009B5DBB" w:rsidRDefault="00CE4B8D" w:rsidP="00032768">
      <w:pPr>
        <w:pStyle w:val="ListParagraph"/>
        <w:numPr>
          <w:ilvl w:val="0"/>
          <w:numId w:val="10"/>
        </w:numPr>
        <w:shd w:val="clear" w:color="auto" w:fill="FFFFFF"/>
        <w:spacing w:before="100" w:beforeAutospacing="1" w:after="100" w:afterAutospacing="1"/>
        <w:rPr>
          <w:rFonts w:ascii="Times New Roman" w:hAnsi="Times New Roman"/>
          <w:sz w:val="24"/>
          <w:szCs w:val="24"/>
        </w:rPr>
      </w:pPr>
      <w:r w:rsidRPr="00CE4B8D">
        <w:rPr>
          <w:rFonts w:ascii="Times New Roman" w:hAnsi="Times New Roman"/>
          <w:sz w:val="24"/>
          <w:szCs w:val="24"/>
        </w:rPr>
        <w:t xml:space="preserve">removes certain consents that are no longer relevant as a result of amendments made to the Act by </w:t>
      </w:r>
      <w:r w:rsidRPr="00CE4B8D">
        <w:rPr>
          <w:rFonts w:ascii="Times New Roman" w:hAnsi="Times New Roman"/>
          <w:i/>
          <w:sz w:val="24"/>
          <w:szCs w:val="24"/>
        </w:rPr>
        <w:t>Treasury Laws Amendment (Banking Measures No. 1) of 2018</w:t>
      </w:r>
      <w:r>
        <w:rPr>
          <w:rFonts w:ascii="Times New Roman" w:hAnsi="Times New Roman"/>
          <w:sz w:val="24"/>
          <w:szCs w:val="24"/>
        </w:rPr>
        <w:t xml:space="preserve">; </w:t>
      </w:r>
    </w:p>
    <w:p w14:paraId="2F6F1F6C" w14:textId="1C0156E5" w:rsidR="00CE4B8D" w:rsidRDefault="009B5DBB" w:rsidP="00032768">
      <w:pPr>
        <w:pStyle w:val="ListParagraph"/>
        <w:numPr>
          <w:ilvl w:val="0"/>
          <w:numId w:val="10"/>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removes consents for related bodies corporate of building societies and credit unions to use restricted words to describe the financial business of the related building society or credit union, as such use is not restricted under the Act and the consents are therefore not necessary; </w:t>
      </w:r>
      <w:r w:rsidR="00CE4B8D">
        <w:rPr>
          <w:rFonts w:ascii="Times New Roman" w:hAnsi="Times New Roman"/>
          <w:sz w:val="24"/>
          <w:szCs w:val="24"/>
        </w:rPr>
        <w:t>and</w:t>
      </w:r>
    </w:p>
    <w:p w14:paraId="14B57085" w14:textId="78444CAB" w:rsidR="00032768" w:rsidRPr="00CE4B8D" w:rsidRDefault="00032768" w:rsidP="00032768">
      <w:pPr>
        <w:pStyle w:val="ListParagraph"/>
        <w:numPr>
          <w:ilvl w:val="0"/>
          <w:numId w:val="10"/>
        </w:numPr>
        <w:shd w:val="clear" w:color="auto" w:fill="FFFFFF"/>
        <w:spacing w:before="100" w:beforeAutospacing="1" w:after="100" w:afterAutospacing="1"/>
        <w:rPr>
          <w:rFonts w:ascii="Times New Roman" w:hAnsi="Times New Roman"/>
          <w:sz w:val="24"/>
          <w:szCs w:val="24"/>
        </w:rPr>
      </w:pPr>
      <w:r w:rsidRPr="00CE4B8D">
        <w:rPr>
          <w:rFonts w:ascii="Times New Roman" w:hAnsi="Times New Roman"/>
          <w:sz w:val="24"/>
          <w:szCs w:val="24"/>
        </w:rPr>
        <w:t>updates the list of entities that are i</w:t>
      </w:r>
      <w:r w:rsidR="00E820BD" w:rsidRPr="00CE4B8D">
        <w:rPr>
          <w:rFonts w:ascii="Times New Roman" w:hAnsi="Times New Roman"/>
          <w:sz w:val="24"/>
          <w:szCs w:val="24"/>
        </w:rPr>
        <w:t>dentified as building societies and credit unions</w:t>
      </w:r>
      <w:r w:rsidRPr="00CE4B8D">
        <w:rPr>
          <w:rFonts w:ascii="Times New Roman" w:hAnsi="Times New Roman"/>
          <w:sz w:val="24"/>
          <w:szCs w:val="24"/>
        </w:rPr>
        <w:t xml:space="preserve"> for the purposes of the consent.</w:t>
      </w:r>
      <w:r w:rsidR="00CE4B8D">
        <w:rPr>
          <w:rFonts w:ascii="Times New Roman" w:hAnsi="Times New Roman"/>
          <w:sz w:val="24"/>
          <w:szCs w:val="24"/>
        </w:rPr>
        <w:t xml:space="preserve"> </w:t>
      </w:r>
    </w:p>
    <w:p w14:paraId="0FAA5D7C" w14:textId="77777777" w:rsidR="00032768" w:rsidRPr="00032768" w:rsidRDefault="00032768" w:rsidP="00032768">
      <w:pPr>
        <w:shd w:val="clear" w:color="auto" w:fill="FFFFFF"/>
        <w:spacing w:before="100" w:beforeAutospacing="1" w:after="100" w:afterAutospacing="1"/>
        <w:rPr>
          <w:rFonts w:ascii="Times New Roman" w:hAnsi="Times New Roman"/>
          <w:sz w:val="24"/>
          <w:szCs w:val="24"/>
          <w:lang w:val="en-US"/>
        </w:rPr>
      </w:pPr>
      <w:r w:rsidRPr="00032768">
        <w:rPr>
          <w:rFonts w:ascii="Times New Roman" w:hAnsi="Times New Roman"/>
          <w:b/>
          <w:bCs/>
          <w:sz w:val="24"/>
          <w:szCs w:val="24"/>
        </w:rPr>
        <w:t>Human rights implications</w:t>
      </w:r>
    </w:p>
    <w:p w14:paraId="15D1163F" w14:textId="77777777" w:rsidR="00032768" w:rsidRPr="00032768" w:rsidRDefault="00032768" w:rsidP="00032768">
      <w:pPr>
        <w:shd w:val="clear" w:color="auto" w:fill="FFFFFF"/>
        <w:spacing w:before="100" w:beforeAutospacing="1" w:after="100" w:afterAutospacing="1"/>
        <w:rPr>
          <w:rFonts w:ascii="Times New Roman" w:hAnsi="Times New Roman"/>
          <w:sz w:val="24"/>
          <w:szCs w:val="24"/>
          <w:lang w:val="en-US"/>
        </w:rPr>
      </w:pPr>
      <w:r w:rsidRPr="00032768">
        <w:rPr>
          <w:rFonts w:ascii="Times New Roman" w:hAnsi="Times New Roman"/>
          <w:sz w:val="24"/>
          <w:szCs w:val="24"/>
        </w:rPr>
        <w:t xml:space="preserve">APRA has assessed the instrument and is of the view that it does not engage any of the applicable rights or freedoms recognised or declared in the international instruments listed in section 3 of the </w:t>
      </w:r>
      <w:r w:rsidRPr="00032768">
        <w:rPr>
          <w:rFonts w:ascii="Times New Roman" w:hAnsi="Times New Roman"/>
          <w:i/>
          <w:iCs/>
          <w:sz w:val="24"/>
          <w:szCs w:val="24"/>
        </w:rPr>
        <w:t>Human Rights (Parliamentary Scrutiny) Act 2011</w:t>
      </w:r>
      <w:r w:rsidRPr="00032768">
        <w:rPr>
          <w:rFonts w:ascii="Times New Roman" w:hAnsi="Times New Roman"/>
          <w:sz w:val="24"/>
          <w:szCs w:val="24"/>
        </w:rPr>
        <w:t xml:space="preserve">.  Accordingly, in APRA’s assessment, the instrument is compatible with human rights. </w:t>
      </w:r>
    </w:p>
    <w:p w14:paraId="114F2B35" w14:textId="77777777" w:rsidR="00032768" w:rsidRPr="00032768" w:rsidRDefault="00032768" w:rsidP="00032768">
      <w:pPr>
        <w:shd w:val="clear" w:color="auto" w:fill="FFFFFF"/>
        <w:spacing w:before="100" w:beforeAutospacing="1" w:after="100" w:afterAutospacing="1"/>
        <w:rPr>
          <w:rFonts w:ascii="Times New Roman" w:hAnsi="Times New Roman"/>
          <w:sz w:val="24"/>
          <w:szCs w:val="24"/>
          <w:lang w:val="en-US"/>
        </w:rPr>
      </w:pPr>
      <w:r w:rsidRPr="00032768">
        <w:rPr>
          <w:rFonts w:ascii="Times New Roman" w:hAnsi="Times New Roman"/>
          <w:b/>
          <w:bCs/>
          <w:sz w:val="24"/>
          <w:szCs w:val="24"/>
        </w:rPr>
        <w:t>Conclusion</w:t>
      </w:r>
    </w:p>
    <w:p w14:paraId="25394C33" w14:textId="77777777" w:rsidR="00032768" w:rsidRPr="00032768" w:rsidRDefault="00032768" w:rsidP="00032768">
      <w:pPr>
        <w:shd w:val="clear" w:color="auto" w:fill="FFFFFF"/>
        <w:spacing w:before="100" w:beforeAutospacing="1"/>
        <w:rPr>
          <w:rFonts w:ascii="Times New Roman" w:hAnsi="Times New Roman"/>
          <w:sz w:val="24"/>
          <w:szCs w:val="24"/>
          <w:lang w:val="en-US"/>
        </w:rPr>
      </w:pPr>
      <w:r w:rsidRPr="00032768">
        <w:rPr>
          <w:rFonts w:ascii="Times New Roman" w:hAnsi="Times New Roman"/>
          <w:sz w:val="24"/>
          <w:szCs w:val="24"/>
        </w:rPr>
        <w:t xml:space="preserve">This Legislative Instrument is compatible with human rights as it does not raise any human rights issues. </w:t>
      </w:r>
    </w:p>
    <w:p w14:paraId="76BC8085" w14:textId="77777777" w:rsidR="00032768" w:rsidRPr="00032768" w:rsidRDefault="00032768" w:rsidP="00D85E77">
      <w:pPr>
        <w:spacing w:after="240"/>
        <w:jc w:val="both"/>
        <w:rPr>
          <w:rFonts w:ascii="Times New Roman" w:hAnsi="Times New Roman"/>
          <w:sz w:val="24"/>
          <w:szCs w:val="24"/>
        </w:rPr>
      </w:pPr>
    </w:p>
    <w:sectPr w:rsidR="00032768" w:rsidRPr="00032768"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B675" w14:textId="77777777" w:rsidR="003802D4" w:rsidRDefault="003802D4" w:rsidP="00D85E77">
      <w:r>
        <w:separator/>
      </w:r>
    </w:p>
  </w:endnote>
  <w:endnote w:type="continuationSeparator" w:id="0">
    <w:p w14:paraId="02F4C82B" w14:textId="77777777" w:rsidR="003802D4" w:rsidRDefault="003802D4"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095C3545" w14:textId="77777777"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A11494">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3174513B" w14:textId="77777777"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B7B5" w14:textId="77777777" w:rsidR="003802D4" w:rsidRDefault="003802D4" w:rsidP="00D85E77">
      <w:r>
        <w:separator/>
      </w:r>
    </w:p>
  </w:footnote>
  <w:footnote w:type="continuationSeparator" w:id="0">
    <w:p w14:paraId="3ABB8600" w14:textId="77777777" w:rsidR="003802D4" w:rsidRDefault="003802D4"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6B34"/>
    <w:multiLevelType w:val="hybridMultilevel"/>
    <w:tmpl w:val="D866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61DF2"/>
    <w:multiLevelType w:val="hybridMultilevel"/>
    <w:tmpl w:val="F330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9A6727D"/>
    <w:multiLevelType w:val="hybridMultilevel"/>
    <w:tmpl w:val="F860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C2A53"/>
    <w:multiLevelType w:val="hybridMultilevel"/>
    <w:tmpl w:val="EABCC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1321A1"/>
    <w:multiLevelType w:val="hybridMultilevel"/>
    <w:tmpl w:val="B2CA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7"/>
  </w:num>
  <w:num w:numId="6">
    <w:abstractNumId w:val="1"/>
  </w:num>
  <w:num w:numId="7">
    <w:abstractNumId w:val="9"/>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revisionView w:inkAnnotation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D4"/>
    <w:rsid w:val="00012509"/>
    <w:rsid w:val="00020EB1"/>
    <w:rsid w:val="000242C4"/>
    <w:rsid w:val="00032768"/>
    <w:rsid w:val="000401FC"/>
    <w:rsid w:val="000661B0"/>
    <w:rsid w:val="0009551A"/>
    <w:rsid w:val="000B60B3"/>
    <w:rsid w:val="000E369C"/>
    <w:rsid w:val="000F70F5"/>
    <w:rsid w:val="00182FA1"/>
    <w:rsid w:val="001B6387"/>
    <w:rsid w:val="001D4997"/>
    <w:rsid w:val="002436BD"/>
    <w:rsid w:val="00246723"/>
    <w:rsid w:val="00274336"/>
    <w:rsid w:val="00277E49"/>
    <w:rsid w:val="002A73BD"/>
    <w:rsid w:val="002E6821"/>
    <w:rsid w:val="0030506B"/>
    <w:rsid w:val="00310CF8"/>
    <w:rsid w:val="00346356"/>
    <w:rsid w:val="00354CB8"/>
    <w:rsid w:val="00373DEE"/>
    <w:rsid w:val="003802D4"/>
    <w:rsid w:val="003866AD"/>
    <w:rsid w:val="003A52A5"/>
    <w:rsid w:val="003A5555"/>
    <w:rsid w:val="003D5032"/>
    <w:rsid w:val="0040175E"/>
    <w:rsid w:val="00422164"/>
    <w:rsid w:val="00435E30"/>
    <w:rsid w:val="00443A02"/>
    <w:rsid w:val="00444768"/>
    <w:rsid w:val="00461AA2"/>
    <w:rsid w:val="004819AE"/>
    <w:rsid w:val="004B4A07"/>
    <w:rsid w:val="004C3D07"/>
    <w:rsid w:val="004E2008"/>
    <w:rsid w:val="00543FD4"/>
    <w:rsid w:val="00554EB2"/>
    <w:rsid w:val="0056141D"/>
    <w:rsid w:val="00594ECC"/>
    <w:rsid w:val="005B0BAF"/>
    <w:rsid w:val="005B23B0"/>
    <w:rsid w:val="005C76E3"/>
    <w:rsid w:val="005D2C20"/>
    <w:rsid w:val="005E523F"/>
    <w:rsid w:val="005E5910"/>
    <w:rsid w:val="00622480"/>
    <w:rsid w:val="00635888"/>
    <w:rsid w:val="00647D58"/>
    <w:rsid w:val="00657678"/>
    <w:rsid w:val="006773C5"/>
    <w:rsid w:val="006776B4"/>
    <w:rsid w:val="00682865"/>
    <w:rsid w:val="00684F73"/>
    <w:rsid w:val="006974C7"/>
    <w:rsid w:val="006B093F"/>
    <w:rsid w:val="006B714C"/>
    <w:rsid w:val="006F3442"/>
    <w:rsid w:val="007031F4"/>
    <w:rsid w:val="007049CF"/>
    <w:rsid w:val="00712E1A"/>
    <w:rsid w:val="007368AD"/>
    <w:rsid w:val="007428D4"/>
    <w:rsid w:val="00747AFF"/>
    <w:rsid w:val="00761B22"/>
    <w:rsid w:val="00785CDC"/>
    <w:rsid w:val="00786CEE"/>
    <w:rsid w:val="00791669"/>
    <w:rsid w:val="007C2298"/>
    <w:rsid w:val="007E472C"/>
    <w:rsid w:val="007E4B2A"/>
    <w:rsid w:val="007E68F7"/>
    <w:rsid w:val="00825B8C"/>
    <w:rsid w:val="00830F66"/>
    <w:rsid w:val="008355B7"/>
    <w:rsid w:val="008816E8"/>
    <w:rsid w:val="008879E4"/>
    <w:rsid w:val="008A7555"/>
    <w:rsid w:val="008B677A"/>
    <w:rsid w:val="008C3CEC"/>
    <w:rsid w:val="008E0A18"/>
    <w:rsid w:val="008E0F54"/>
    <w:rsid w:val="00930ED2"/>
    <w:rsid w:val="00932EFA"/>
    <w:rsid w:val="009460E1"/>
    <w:rsid w:val="0095510A"/>
    <w:rsid w:val="00967D16"/>
    <w:rsid w:val="009B2829"/>
    <w:rsid w:val="009B5DBB"/>
    <w:rsid w:val="009C5368"/>
    <w:rsid w:val="00A061BE"/>
    <w:rsid w:val="00A11494"/>
    <w:rsid w:val="00A279AF"/>
    <w:rsid w:val="00A4133B"/>
    <w:rsid w:val="00A63A2B"/>
    <w:rsid w:val="00A83B6E"/>
    <w:rsid w:val="00A95B7C"/>
    <w:rsid w:val="00AA1493"/>
    <w:rsid w:val="00AA3E4A"/>
    <w:rsid w:val="00AC2517"/>
    <w:rsid w:val="00AC7A56"/>
    <w:rsid w:val="00AE0A12"/>
    <w:rsid w:val="00B04B20"/>
    <w:rsid w:val="00B1637D"/>
    <w:rsid w:val="00B64B2E"/>
    <w:rsid w:val="00B85B6E"/>
    <w:rsid w:val="00BA534F"/>
    <w:rsid w:val="00BB1678"/>
    <w:rsid w:val="00BC7102"/>
    <w:rsid w:val="00BD4F83"/>
    <w:rsid w:val="00BE36B6"/>
    <w:rsid w:val="00BF2953"/>
    <w:rsid w:val="00C01F4B"/>
    <w:rsid w:val="00C302FA"/>
    <w:rsid w:val="00C5748E"/>
    <w:rsid w:val="00C6236B"/>
    <w:rsid w:val="00C841F9"/>
    <w:rsid w:val="00C948AA"/>
    <w:rsid w:val="00CA6CB3"/>
    <w:rsid w:val="00CB384A"/>
    <w:rsid w:val="00CC3797"/>
    <w:rsid w:val="00CD1947"/>
    <w:rsid w:val="00CD4474"/>
    <w:rsid w:val="00CE3EF2"/>
    <w:rsid w:val="00CE4B8D"/>
    <w:rsid w:val="00D119F5"/>
    <w:rsid w:val="00D160F7"/>
    <w:rsid w:val="00D3484E"/>
    <w:rsid w:val="00D53B59"/>
    <w:rsid w:val="00D64906"/>
    <w:rsid w:val="00D83531"/>
    <w:rsid w:val="00D85E77"/>
    <w:rsid w:val="00D87E36"/>
    <w:rsid w:val="00DE52A6"/>
    <w:rsid w:val="00DF524E"/>
    <w:rsid w:val="00E15497"/>
    <w:rsid w:val="00E154A3"/>
    <w:rsid w:val="00E16789"/>
    <w:rsid w:val="00E201A8"/>
    <w:rsid w:val="00E239D0"/>
    <w:rsid w:val="00E41245"/>
    <w:rsid w:val="00E52DFE"/>
    <w:rsid w:val="00E61B19"/>
    <w:rsid w:val="00E820BD"/>
    <w:rsid w:val="00E90C89"/>
    <w:rsid w:val="00EC5653"/>
    <w:rsid w:val="00F436BC"/>
    <w:rsid w:val="00F66596"/>
    <w:rsid w:val="00F74F3F"/>
    <w:rsid w:val="00F757D2"/>
    <w:rsid w:val="00F76B98"/>
    <w:rsid w:val="00F7706D"/>
    <w:rsid w:val="00F86822"/>
    <w:rsid w:val="00FA5345"/>
    <w:rsid w:val="00FA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3F8A8A"/>
  <w15:docId w15:val="{A188F79D-C736-4016-9163-49AA9A8A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styleId="FootnoteText">
    <w:name w:val="footnote text"/>
    <w:basedOn w:val="Normal"/>
    <w:link w:val="FootnoteTextChar"/>
    <w:uiPriority w:val="99"/>
    <w:semiHidden/>
    <w:unhideWhenUsed/>
    <w:rsid w:val="004819AE"/>
    <w:rPr>
      <w:sz w:val="20"/>
    </w:rPr>
  </w:style>
  <w:style w:type="character" w:customStyle="1" w:styleId="FootnoteTextChar">
    <w:name w:val="Footnote Text Char"/>
    <w:basedOn w:val="DefaultParagraphFont"/>
    <w:link w:val="FootnoteText"/>
    <w:uiPriority w:val="99"/>
    <w:semiHidden/>
    <w:rsid w:val="004819AE"/>
    <w:rPr>
      <w:rFonts w:ascii="Trebuchet MS" w:eastAsia="Times New Roman" w:hAnsi="Trebuchet MS"/>
    </w:rPr>
  </w:style>
  <w:style w:type="character" w:styleId="FootnoteReference">
    <w:name w:val="footnote reference"/>
    <w:basedOn w:val="DefaultParagraphFont"/>
    <w:uiPriority w:val="99"/>
    <w:semiHidden/>
    <w:unhideWhenUsed/>
    <w:rsid w:val="004819AE"/>
    <w:rPr>
      <w:vertAlign w:val="superscript"/>
    </w:rPr>
  </w:style>
  <w:style w:type="paragraph" w:customStyle="1" w:styleId="heading0">
    <w:name w:val="heading"/>
    <w:basedOn w:val="Normal"/>
    <w:rsid w:val="00277E49"/>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032768"/>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uiPriority w:val="10"/>
    <w:rsid w:val="00032768"/>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032768"/>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99"/>
    <w:semiHidden/>
    <w:rsid w:val="0003276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5624">
      <w:bodyDiv w:val="1"/>
      <w:marLeft w:val="0"/>
      <w:marRight w:val="0"/>
      <w:marTop w:val="0"/>
      <w:marBottom w:val="0"/>
      <w:divBdr>
        <w:top w:val="none" w:sz="0" w:space="0" w:color="auto"/>
        <w:left w:val="none" w:sz="0" w:space="0" w:color="auto"/>
        <w:bottom w:val="none" w:sz="0" w:space="0" w:color="auto"/>
        <w:right w:val="none" w:sz="0" w:space="0" w:color="auto"/>
      </w:divBdr>
      <w:divsChild>
        <w:div w:id="233509353">
          <w:marLeft w:val="0"/>
          <w:marRight w:val="0"/>
          <w:marTop w:val="0"/>
          <w:marBottom w:val="0"/>
          <w:divBdr>
            <w:top w:val="none" w:sz="0" w:space="0" w:color="auto"/>
            <w:left w:val="none" w:sz="0" w:space="0" w:color="auto"/>
            <w:bottom w:val="none" w:sz="0" w:space="0" w:color="auto"/>
            <w:right w:val="none" w:sz="0" w:space="0" w:color="auto"/>
          </w:divBdr>
          <w:divsChild>
            <w:div w:id="685835451">
              <w:marLeft w:val="0"/>
              <w:marRight w:val="0"/>
              <w:marTop w:val="0"/>
              <w:marBottom w:val="0"/>
              <w:divBdr>
                <w:top w:val="none" w:sz="0" w:space="0" w:color="auto"/>
                <w:left w:val="none" w:sz="0" w:space="0" w:color="auto"/>
                <w:bottom w:val="none" w:sz="0" w:space="0" w:color="auto"/>
                <w:right w:val="none" w:sz="0" w:space="0" w:color="auto"/>
              </w:divBdr>
              <w:divsChild>
                <w:div w:id="654917290">
                  <w:marLeft w:val="0"/>
                  <w:marRight w:val="0"/>
                  <w:marTop w:val="0"/>
                  <w:marBottom w:val="0"/>
                  <w:divBdr>
                    <w:top w:val="none" w:sz="0" w:space="0" w:color="auto"/>
                    <w:left w:val="none" w:sz="0" w:space="0" w:color="auto"/>
                    <w:bottom w:val="none" w:sz="0" w:space="0" w:color="auto"/>
                    <w:right w:val="none" w:sz="0" w:space="0" w:color="auto"/>
                  </w:divBdr>
                  <w:divsChild>
                    <w:div w:id="544677431">
                      <w:marLeft w:val="0"/>
                      <w:marRight w:val="0"/>
                      <w:marTop w:val="0"/>
                      <w:marBottom w:val="0"/>
                      <w:divBdr>
                        <w:top w:val="none" w:sz="0" w:space="0" w:color="auto"/>
                        <w:left w:val="none" w:sz="0" w:space="0" w:color="auto"/>
                        <w:bottom w:val="none" w:sz="0" w:space="0" w:color="auto"/>
                        <w:right w:val="none" w:sz="0" w:space="0" w:color="auto"/>
                      </w:divBdr>
                      <w:divsChild>
                        <w:div w:id="172501232">
                          <w:marLeft w:val="0"/>
                          <w:marRight w:val="0"/>
                          <w:marTop w:val="0"/>
                          <w:marBottom w:val="0"/>
                          <w:divBdr>
                            <w:top w:val="none" w:sz="0" w:space="0" w:color="auto"/>
                            <w:left w:val="none" w:sz="0" w:space="0" w:color="auto"/>
                            <w:bottom w:val="none" w:sz="0" w:space="0" w:color="auto"/>
                            <w:right w:val="none" w:sz="0" w:space="0" w:color="auto"/>
                          </w:divBdr>
                          <w:divsChild>
                            <w:div w:id="1132017047">
                              <w:marLeft w:val="0"/>
                              <w:marRight w:val="0"/>
                              <w:marTop w:val="0"/>
                              <w:marBottom w:val="0"/>
                              <w:divBdr>
                                <w:top w:val="none" w:sz="0" w:space="0" w:color="auto"/>
                                <w:left w:val="none" w:sz="0" w:space="0" w:color="auto"/>
                                <w:bottom w:val="none" w:sz="0" w:space="0" w:color="auto"/>
                                <w:right w:val="none" w:sz="0" w:space="0" w:color="auto"/>
                              </w:divBdr>
                              <w:divsChild>
                                <w:div w:id="1191531084">
                                  <w:marLeft w:val="0"/>
                                  <w:marRight w:val="0"/>
                                  <w:marTop w:val="0"/>
                                  <w:marBottom w:val="0"/>
                                  <w:divBdr>
                                    <w:top w:val="none" w:sz="0" w:space="0" w:color="auto"/>
                                    <w:left w:val="none" w:sz="0" w:space="0" w:color="auto"/>
                                    <w:bottom w:val="none" w:sz="0" w:space="0" w:color="auto"/>
                                    <w:right w:val="none" w:sz="0" w:space="0" w:color="auto"/>
                                  </w:divBdr>
                                  <w:divsChild>
                                    <w:div w:id="768356777">
                                      <w:marLeft w:val="0"/>
                                      <w:marRight w:val="0"/>
                                      <w:marTop w:val="0"/>
                                      <w:marBottom w:val="0"/>
                                      <w:divBdr>
                                        <w:top w:val="none" w:sz="0" w:space="0" w:color="auto"/>
                                        <w:left w:val="none" w:sz="0" w:space="0" w:color="auto"/>
                                        <w:bottom w:val="none" w:sz="0" w:space="0" w:color="auto"/>
                                        <w:right w:val="none" w:sz="0" w:space="0" w:color="auto"/>
                                      </w:divBdr>
                                      <w:divsChild>
                                        <w:div w:id="1384057618">
                                          <w:marLeft w:val="0"/>
                                          <w:marRight w:val="0"/>
                                          <w:marTop w:val="0"/>
                                          <w:marBottom w:val="0"/>
                                          <w:divBdr>
                                            <w:top w:val="none" w:sz="0" w:space="0" w:color="auto"/>
                                            <w:left w:val="none" w:sz="0" w:space="0" w:color="auto"/>
                                            <w:bottom w:val="none" w:sz="0" w:space="0" w:color="auto"/>
                                            <w:right w:val="none" w:sz="0" w:space="0" w:color="auto"/>
                                          </w:divBdr>
                                          <w:divsChild>
                                            <w:div w:id="2000190385">
                                              <w:marLeft w:val="0"/>
                                              <w:marRight w:val="0"/>
                                              <w:marTop w:val="0"/>
                                              <w:marBottom w:val="0"/>
                                              <w:divBdr>
                                                <w:top w:val="none" w:sz="0" w:space="0" w:color="auto"/>
                                                <w:left w:val="none" w:sz="0" w:space="0" w:color="auto"/>
                                                <w:bottom w:val="none" w:sz="0" w:space="0" w:color="auto"/>
                                                <w:right w:val="none" w:sz="0" w:space="0" w:color="auto"/>
                                              </w:divBdr>
                                              <w:divsChild>
                                                <w:div w:id="1232690119">
                                                  <w:marLeft w:val="0"/>
                                                  <w:marRight w:val="0"/>
                                                  <w:marTop w:val="0"/>
                                                  <w:marBottom w:val="0"/>
                                                  <w:divBdr>
                                                    <w:top w:val="none" w:sz="0" w:space="0" w:color="auto"/>
                                                    <w:left w:val="none" w:sz="0" w:space="0" w:color="auto"/>
                                                    <w:bottom w:val="none" w:sz="0" w:space="0" w:color="auto"/>
                                                    <w:right w:val="none" w:sz="0" w:space="0" w:color="auto"/>
                                                  </w:divBdr>
                                                  <w:divsChild>
                                                    <w:div w:id="125661744">
                                                      <w:marLeft w:val="0"/>
                                                      <w:marRight w:val="0"/>
                                                      <w:marTop w:val="0"/>
                                                      <w:marBottom w:val="0"/>
                                                      <w:divBdr>
                                                        <w:top w:val="none" w:sz="0" w:space="0" w:color="auto"/>
                                                        <w:left w:val="none" w:sz="0" w:space="0" w:color="auto"/>
                                                        <w:bottom w:val="none" w:sz="0" w:space="0" w:color="auto"/>
                                                        <w:right w:val="none" w:sz="0" w:space="0" w:color="auto"/>
                                                      </w:divBdr>
                                                      <w:divsChild>
                                                        <w:div w:id="11577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855633">
      <w:bodyDiv w:val="1"/>
      <w:marLeft w:val="0"/>
      <w:marRight w:val="0"/>
      <w:marTop w:val="0"/>
      <w:marBottom w:val="0"/>
      <w:divBdr>
        <w:top w:val="none" w:sz="0" w:space="0" w:color="auto"/>
        <w:left w:val="none" w:sz="0" w:space="0" w:color="auto"/>
        <w:bottom w:val="none" w:sz="0" w:space="0" w:color="auto"/>
        <w:right w:val="none" w:sz="0" w:space="0" w:color="auto"/>
      </w:divBdr>
      <w:divsChild>
        <w:div w:id="1500387882">
          <w:marLeft w:val="0"/>
          <w:marRight w:val="0"/>
          <w:marTop w:val="0"/>
          <w:marBottom w:val="0"/>
          <w:divBdr>
            <w:top w:val="none" w:sz="0" w:space="0" w:color="auto"/>
            <w:left w:val="none" w:sz="0" w:space="0" w:color="auto"/>
            <w:bottom w:val="none" w:sz="0" w:space="0" w:color="auto"/>
            <w:right w:val="none" w:sz="0" w:space="0" w:color="auto"/>
          </w:divBdr>
          <w:divsChild>
            <w:div w:id="443764934">
              <w:marLeft w:val="0"/>
              <w:marRight w:val="0"/>
              <w:marTop w:val="0"/>
              <w:marBottom w:val="0"/>
              <w:divBdr>
                <w:top w:val="none" w:sz="0" w:space="0" w:color="auto"/>
                <w:left w:val="none" w:sz="0" w:space="0" w:color="auto"/>
                <w:bottom w:val="none" w:sz="0" w:space="0" w:color="auto"/>
                <w:right w:val="none" w:sz="0" w:space="0" w:color="auto"/>
              </w:divBdr>
              <w:divsChild>
                <w:div w:id="2024819821">
                  <w:marLeft w:val="0"/>
                  <w:marRight w:val="0"/>
                  <w:marTop w:val="0"/>
                  <w:marBottom w:val="0"/>
                  <w:divBdr>
                    <w:top w:val="none" w:sz="0" w:space="0" w:color="auto"/>
                    <w:left w:val="none" w:sz="0" w:space="0" w:color="auto"/>
                    <w:bottom w:val="none" w:sz="0" w:space="0" w:color="auto"/>
                    <w:right w:val="none" w:sz="0" w:space="0" w:color="auto"/>
                  </w:divBdr>
                  <w:divsChild>
                    <w:div w:id="1647737454">
                      <w:marLeft w:val="0"/>
                      <w:marRight w:val="0"/>
                      <w:marTop w:val="0"/>
                      <w:marBottom w:val="0"/>
                      <w:divBdr>
                        <w:top w:val="none" w:sz="0" w:space="0" w:color="auto"/>
                        <w:left w:val="none" w:sz="0" w:space="0" w:color="auto"/>
                        <w:bottom w:val="none" w:sz="0" w:space="0" w:color="auto"/>
                        <w:right w:val="none" w:sz="0" w:space="0" w:color="auto"/>
                      </w:divBdr>
                      <w:divsChild>
                        <w:div w:id="2017461488">
                          <w:marLeft w:val="0"/>
                          <w:marRight w:val="0"/>
                          <w:marTop w:val="0"/>
                          <w:marBottom w:val="0"/>
                          <w:divBdr>
                            <w:top w:val="none" w:sz="0" w:space="0" w:color="auto"/>
                            <w:left w:val="none" w:sz="0" w:space="0" w:color="auto"/>
                            <w:bottom w:val="none" w:sz="0" w:space="0" w:color="auto"/>
                            <w:right w:val="none" w:sz="0" w:space="0" w:color="auto"/>
                          </w:divBdr>
                          <w:divsChild>
                            <w:div w:id="604770265">
                              <w:marLeft w:val="0"/>
                              <w:marRight w:val="0"/>
                              <w:marTop w:val="0"/>
                              <w:marBottom w:val="0"/>
                              <w:divBdr>
                                <w:top w:val="none" w:sz="0" w:space="0" w:color="auto"/>
                                <w:left w:val="none" w:sz="0" w:space="0" w:color="auto"/>
                                <w:bottom w:val="none" w:sz="0" w:space="0" w:color="auto"/>
                                <w:right w:val="none" w:sz="0" w:space="0" w:color="auto"/>
                              </w:divBdr>
                              <w:divsChild>
                                <w:div w:id="188104893">
                                  <w:marLeft w:val="0"/>
                                  <w:marRight w:val="0"/>
                                  <w:marTop w:val="0"/>
                                  <w:marBottom w:val="0"/>
                                  <w:divBdr>
                                    <w:top w:val="none" w:sz="0" w:space="0" w:color="auto"/>
                                    <w:left w:val="none" w:sz="0" w:space="0" w:color="auto"/>
                                    <w:bottom w:val="none" w:sz="0" w:space="0" w:color="auto"/>
                                    <w:right w:val="none" w:sz="0" w:space="0" w:color="auto"/>
                                  </w:divBdr>
                                  <w:divsChild>
                                    <w:div w:id="18825771">
                                      <w:marLeft w:val="0"/>
                                      <w:marRight w:val="0"/>
                                      <w:marTop w:val="0"/>
                                      <w:marBottom w:val="0"/>
                                      <w:divBdr>
                                        <w:top w:val="none" w:sz="0" w:space="0" w:color="auto"/>
                                        <w:left w:val="none" w:sz="0" w:space="0" w:color="auto"/>
                                        <w:bottom w:val="none" w:sz="0" w:space="0" w:color="auto"/>
                                        <w:right w:val="none" w:sz="0" w:space="0" w:color="auto"/>
                                      </w:divBdr>
                                      <w:divsChild>
                                        <w:div w:id="1464158760">
                                          <w:marLeft w:val="0"/>
                                          <w:marRight w:val="0"/>
                                          <w:marTop w:val="0"/>
                                          <w:marBottom w:val="0"/>
                                          <w:divBdr>
                                            <w:top w:val="none" w:sz="0" w:space="0" w:color="auto"/>
                                            <w:left w:val="none" w:sz="0" w:space="0" w:color="auto"/>
                                            <w:bottom w:val="none" w:sz="0" w:space="0" w:color="auto"/>
                                            <w:right w:val="none" w:sz="0" w:space="0" w:color="auto"/>
                                          </w:divBdr>
                                          <w:divsChild>
                                            <w:div w:id="1488284762">
                                              <w:marLeft w:val="0"/>
                                              <w:marRight w:val="0"/>
                                              <w:marTop w:val="0"/>
                                              <w:marBottom w:val="0"/>
                                              <w:divBdr>
                                                <w:top w:val="none" w:sz="0" w:space="0" w:color="auto"/>
                                                <w:left w:val="none" w:sz="0" w:space="0" w:color="auto"/>
                                                <w:bottom w:val="none" w:sz="0" w:space="0" w:color="auto"/>
                                                <w:right w:val="none" w:sz="0" w:space="0" w:color="auto"/>
                                              </w:divBdr>
                                              <w:divsChild>
                                                <w:div w:id="2072538459">
                                                  <w:marLeft w:val="0"/>
                                                  <w:marRight w:val="0"/>
                                                  <w:marTop w:val="0"/>
                                                  <w:marBottom w:val="0"/>
                                                  <w:divBdr>
                                                    <w:top w:val="none" w:sz="0" w:space="0" w:color="auto"/>
                                                    <w:left w:val="none" w:sz="0" w:space="0" w:color="auto"/>
                                                    <w:bottom w:val="none" w:sz="0" w:space="0" w:color="auto"/>
                                                    <w:right w:val="none" w:sz="0" w:space="0" w:color="auto"/>
                                                  </w:divBdr>
                                                  <w:divsChild>
                                                    <w:div w:id="1656492540">
                                                      <w:marLeft w:val="0"/>
                                                      <w:marRight w:val="0"/>
                                                      <w:marTop w:val="0"/>
                                                      <w:marBottom w:val="0"/>
                                                      <w:divBdr>
                                                        <w:top w:val="none" w:sz="0" w:space="0" w:color="auto"/>
                                                        <w:left w:val="none" w:sz="0" w:space="0" w:color="auto"/>
                                                        <w:bottom w:val="none" w:sz="0" w:space="0" w:color="auto"/>
                                                        <w:right w:val="none" w:sz="0" w:space="0" w:color="auto"/>
                                                      </w:divBdr>
                                                      <w:divsChild>
                                                        <w:div w:id="839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Non-regulated</TermName>
          <TermId xmlns="http://schemas.microsoft.com/office/infopath/2007/PartnerControls">22ebd412-dc7f-4664-b4f3-73ea90249275</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62</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example; new prudential standard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185</Value>
      <Value>83</Value>
      <Value>134</Value>
      <Value>26</Value>
      <Value>93</Value>
      <Value>24</Value>
      <Value>158</Value>
      <Value>4</Value>
      <Value>411</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Example of an Explanatory Statement for a new prudential standard.  Annottated</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5JENXJJSCC7A-445999044-8753</_dlc_DocId>
    <_dlc_DocIdUrl xmlns="814d62cb-2db6-4c25-ab62-b9075facbc11">
      <Url>https://im/teams/LEGAL/_layouts/15/DocIdRedir.aspx?ID=5JENXJJSCC7A-445999044-8753</Url>
      <Description>5JENXJJSCC7A-445999044-8753</Description>
    </_dlc_DocIdUrl>
    <f284b4f8578a44cfae4f67a86df81119 xmlns="814d62cb-2db6-4c25-ab62-b9075facbc11">
      <Terms xmlns="http://schemas.microsoft.com/office/infopath/2007/PartnerControls"/>
    </f284b4f8578a44cfae4f67a86df81119>
    <m2df5fdf6d1643b4a596982762bb3d00 xmlns="814d62cb-2db6-4c25-ab62-b9075facbc11">
      <Terms xmlns="http://schemas.microsoft.com/office/infopath/2007/PartnerControls"/>
    </m2df5fdf6d1643b4a596982762bb3d00>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666C-A23D-4571-AF4E-B2B823F51EF4}">
  <ds:schemaRefs>
    <ds:schemaRef ds:uri="http://schemas.microsoft.com/sharepoint/events"/>
  </ds:schemaRefs>
</ds:datastoreItem>
</file>

<file path=customXml/itemProps2.xml><?xml version="1.0" encoding="utf-8"?>
<ds:datastoreItem xmlns:ds="http://schemas.openxmlformats.org/officeDocument/2006/customXml" ds:itemID="{D1E6CF25-204A-4E9C-A33A-8C41061C135A}">
  <ds:schemaRefs>
    <ds:schemaRef ds:uri="http://schemas.microsoft.com/sharepoint/v3/contenttype/forms"/>
  </ds:schemaRefs>
</ds:datastoreItem>
</file>

<file path=customXml/itemProps3.xml><?xml version="1.0" encoding="utf-8"?>
<ds:datastoreItem xmlns:ds="http://schemas.openxmlformats.org/officeDocument/2006/customXml" ds:itemID="{10872E45-AC27-4C94-95AD-52B82F99D05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F869ADA-DA68-4B83-B556-15233D6E3CD6}">
  <ds:schemaRefs>
    <ds:schemaRef ds:uri="Microsoft.SharePoint.Taxonomy.ContentTypeSync"/>
  </ds:schemaRefs>
</ds:datastoreItem>
</file>

<file path=customXml/itemProps5.xml><?xml version="1.0" encoding="utf-8"?>
<ds:datastoreItem xmlns:ds="http://schemas.openxmlformats.org/officeDocument/2006/customXml" ds:itemID="{07B983CB-BBC9-444E-885D-D0047032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C6683-8EC9-47CB-BF0A-F1BE828C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prudential standard (April 2016).dotx</Template>
  <TotalTime>0</TotalTime>
  <Pages>10</Pages>
  <Words>1089</Words>
  <Characters>5816</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Explanatory Statement new prudential standard</vt:lpstr>
    </vt:vector>
  </TitlesOfParts>
  <Company>APRA</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prudential standard</dc:title>
  <dc:creator>Sullivan, David</dc:creator>
  <cp:keywords>[SEC=UNCLASSIFIED]</cp:keywords>
  <cp:lastModifiedBy>Li, Joanne</cp:lastModifiedBy>
  <cp:revision>2</cp:revision>
  <cp:lastPrinted>2018-10-23T20:49:00Z</cp:lastPrinted>
  <dcterms:created xsi:type="dcterms:W3CDTF">2018-10-24T06:20:00Z</dcterms:created>
  <dcterms:modified xsi:type="dcterms:W3CDTF">2018-10-24T06:20:00Z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1446B5E771A042FE7EBE9039065E6F0A38134D8E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F5A18DAB8C524AA98B567E1C7690008C</vt:lpwstr>
  </property>
  <property fmtid="{D5CDD505-2E9C-101B-9397-08002B2CF9AE}" pid="16" name="PM_OriginationTimeStamp">
    <vt:lpwstr>2017-07-27T01:11:02Z</vt:lpwstr>
  </property>
  <property fmtid="{D5CDD505-2E9C-101B-9397-08002B2CF9AE}" pid="17" name="PM_Hash_Version">
    <vt:lpwstr>2016.1</vt:lpwstr>
  </property>
  <property fmtid="{D5CDD505-2E9C-101B-9397-08002B2CF9AE}" pid="18" name="PM_Hash_Salt_Prev">
    <vt:lpwstr>3680D3E932AE77F284832D3DE4C1CDCD</vt:lpwstr>
  </property>
  <property fmtid="{D5CDD505-2E9C-101B-9397-08002B2CF9AE}" pid="19" name="PM_Hash_Salt">
    <vt:lpwstr>3680D3E932AE77F284832D3DE4C1CDCD</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4" name="APRAYear">
    <vt:lpwstr>171;#2018|337d548e-be9a-4363-bbb3-ec2b7c3daa90</vt:lpwstr>
  </property>
  <property fmtid="{D5CDD505-2E9C-101B-9397-08002B2CF9AE}" pid="25" name="APRAIndustry">
    <vt:lpwstr/>
  </property>
  <property fmtid="{D5CDD505-2E9C-101B-9397-08002B2CF9AE}" pid="26" name="APRAPRSG">
    <vt:lpwstr/>
  </property>
  <property fmtid="{D5CDD505-2E9C-101B-9397-08002B2CF9AE}" pid="27" name="_dlc_DocIdItemGuid">
    <vt:lpwstr>e78270fe-2933-4f0e-9c0c-43403e648bb1</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vt:lpwstr>
  </property>
  <property fmtid="{D5CDD505-2E9C-101B-9397-08002B2CF9AE}" pid="32" name="APRAStatus">
    <vt:lpwstr>19;#Final|84d6b2d0-8498-4d62-bf46-bab38babbe9e</vt:lpwstr>
  </property>
  <property fmtid="{D5CDD505-2E9C-101B-9397-08002B2CF9AE}" pid="33" name="APRAActivity">
    <vt:lpwstr>411;#Non-regulated|22ebd412-dc7f-4664-b4f3-73ea90249275</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{e78270fe-2933-4f0e-9c0c-43403e648bb1}</vt:lpwstr>
  </property>
  <property fmtid="{D5CDD505-2E9C-101B-9397-08002B2CF9AE}" pid="43" name="RecordPoint_RecordNumberSubmitted">
    <vt:lpwstr>R0000504907</vt:lpwstr>
  </property>
  <property fmtid="{D5CDD505-2E9C-101B-9397-08002B2CF9AE}" pid="44" name="RecordPoint_SubmissionCompleted">
    <vt:lpwstr>2018-10-24T17:29:07.6587808+11:00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APRAPeerGroup">
    <vt:lpwstr/>
  </property>
  <property fmtid="{D5CDD505-2E9C-101B-9397-08002B2CF9AE}" pid="49" name="APRAReportingGroup">
    <vt:lpwstr/>
  </property>
</Properties>
</file>