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3A" w:rsidRDefault="005B0E3A" w:rsidP="005B0E3A">
      <w:pPr>
        <w:spacing w:before="63" w:line="479" w:lineRule="auto"/>
        <w:jc w:val="center"/>
        <w:rPr>
          <w:sz w:val="28"/>
          <w:szCs w:val="28"/>
        </w:rPr>
      </w:pPr>
      <w:bookmarkStart w:id="0" w:name="_GoBack"/>
      <w:bookmarkEnd w:id="0"/>
      <w:r>
        <w:rPr>
          <w:b/>
          <w:color w:val="000000"/>
          <w:sz w:val="28"/>
        </w:rPr>
        <w:t>EXPLANATORY</w:t>
      </w:r>
      <w:r>
        <w:rPr>
          <w:b/>
          <w:color w:val="000000"/>
          <w:spacing w:val="-39"/>
          <w:sz w:val="28"/>
        </w:rPr>
        <w:t xml:space="preserve"> </w:t>
      </w:r>
      <w:r w:rsidR="00751709">
        <w:rPr>
          <w:b/>
          <w:color w:val="000000"/>
          <w:spacing w:val="-1"/>
          <w:sz w:val="28"/>
        </w:rPr>
        <w:t xml:space="preserve">STATEMENT for </w:t>
      </w:r>
      <w:r w:rsidR="00751709">
        <w:rPr>
          <w:b/>
          <w:color w:val="000000"/>
          <w:spacing w:val="-1"/>
          <w:sz w:val="28"/>
        </w:rPr>
        <w:br/>
      </w:r>
      <w:bookmarkStart w:id="1" w:name="_Hlk522036154"/>
      <w:r w:rsidR="00F56FEF" w:rsidRPr="00F56FEF">
        <w:rPr>
          <w:b/>
          <w:color w:val="000000"/>
          <w:spacing w:val="-1"/>
          <w:sz w:val="28"/>
        </w:rPr>
        <w:t>ASIC C</w:t>
      </w:r>
      <w:r w:rsidR="005D28FF">
        <w:rPr>
          <w:b/>
          <w:color w:val="000000"/>
          <w:spacing w:val="-1"/>
          <w:sz w:val="28"/>
        </w:rPr>
        <w:t>ORPOR</w:t>
      </w:r>
      <w:r w:rsidR="00346024">
        <w:rPr>
          <w:b/>
          <w:color w:val="000000"/>
          <w:spacing w:val="-1"/>
          <w:sz w:val="28"/>
        </w:rPr>
        <w:t>ATIONS</w:t>
      </w:r>
      <w:r w:rsidR="00F56FEF" w:rsidRPr="00F56FEF">
        <w:rPr>
          <w:b/>
          <w:color w:val="000000"/>
          <w:spacing w:val="-1"/>
          <w:sz w:val="28"/>
        </w:rPr>
        <w:t xml:space="preserve"> (</w:t>
      </w:r>
      <w:r w:rsidR="00172FFC">
        <w:rPr>
          <w:b/>
          <w:color w:val="000000"/>
          <w:spacing w:val="-1"/>
          <w:sz w:val="28"/>
        </w:rPr>
        <w:t>P</w:t>
      </w:r>
      <w:r w:rsidR="00346024">
        <w:rPr>
          <w:b/>
          <w:color w:val="000000"/>
          <w:spacing w:val="-1"/>
          <w:sz w:val="28"/>
        </w:rPr>
        <w:t>ROFESSIONAL STANDARDS</w:t>
      </w:r>
      <w:r w:rsidR="00754E88" w:rsidRPr="00754E88">
        <w:rPr>
          <w:b/>
          <w:color w:val="000000"/>
          <w:spacing w:val="-1"/>
          <w:sz w:val="28"/>
        </w:rPr>
        <w:t>—</w:t>
      </w:r>
      <w:r w:rsidR="00172FFC">
        <w:rPr>
          <w:b/>
          <w:color w:val="000000"/>
          <w:spacing w:val="-1"/>
          <w:sz w:val="28"/>
        </w:rPr>
        <w:t>T</w:t>
      </w:r>
      <w:r w:rsidR="00346024">
        <w:rPr>
          <w:b/>
          <w:color w:val="000000"/>
          <w:spacing w:val="-1"/>
          <w:sz w:val="28"/>
        </w:rPr>
        <w:t>RANSITIONAL</w:t>
      </w:r>
      <w:r w:rsidR="00F56FEF" w:rsidRPr="00F56FEF">
        <w:rPr>
          <w:b/>
          <w:color w:val="000000"/>
          <w:spacing w:val="-1"/>
          <w:sz w:val="28"/>
        </w:rPr>
        <w:t>) I</w:t>
      </w:r>
      <w:r w:rsidR="00346024">
        <w:rPr>
          <w:b/>
          <w:color w:val="000000"/>
          <w:spacing w:val="-1"/>
          <w:sz w:val="28"/>
        </w:rPr>
        <w:t>NSTRUMENT</w:t>
      </w:r>
      <w:r w:rsidR="00F56FEF" w:rsidRPr="00F56FEF">
        <w:rPr>
          <w:b/>
          <w:color w:val="000000"/>
          <w:spacing w:val="-1"/>
          <w:sz w:val="28"/>
        </w:rPr>
        <w:t xml:space="preserve"> 2018</w:t>
      </w:r>
      <w:r w:rsidR="00F56FEF">
        <w:rPr>
          <w:b/>
          <w:color w:val="000000"/>
          <w:spacing w:val="-1"/>
          <w:sz w:val="28"/>
        </w:rPr>
        <w:t>/</w:t>
      </w:r>
      <w:r w:rsidR="001C5E35">
        <w:rPr>
          <w:b/>
          <w:color w:val="000000"/>
          <w:spacing w:val="-1"/>
          <w:sz w:val="28"/>
        </w:rPr>
        <w:t>894</w:t>
      </w:r>
      <w:r>
        <w:rPr>
          <w:b/>
          <w:color w:val="000000"/>
          <w:spacing w:val="-1"/>
          <w:sz w:val="28"/>
        </w:rPr>
        <w:t xml:space="preserve"> </w:t>
      </w:r>
      <w:bookmarkEnd w:id="1"/>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383811" w:rsidRDefault="005B0E3A" w:rsidP="00E55EF4">
      <w:pPr>
        <w:pStyle w:val="BodyText"/>
        <w:spacing w:line="276"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1B7147">
        <w:t>ASIC</w:t>
      </w:r>
      <w:r>
        <w:t xml:space="preserve">) </w:t>
      </w:r>
      <w:r>
        <w:rPr>
          <w:spacing w:val="-1"/>
        </w:rPr>
        <w:t>makes</w:t>
      </w:r>
      <w:r>
        <w:t xml:space="preserve"> </w:t>
      </w:r>
      <w:r w:rsidR="00F56FEF" w:rsidRPr="00754E88">
        <w:rPr>
          <w:i/>
        </w:rPr>
        <w:t>ASIC Corporations (</w:t>
      </w:r>
      <w:r w:rsidR="00754E88" w:rsidRPr="00754E88">
        <w:rPr>
          <w:i/>
        </w:rPr>
        <w:t>Professional Standards</w:t>
      </w:r>
      <w:bookmarkStart w:id="2" w:name="_Hlk526843280"/>
      <w:r w:rsidR="00754E88" w:rsidRPr="00754E88">
        <w:rPr>
          <w:i/>
        </w:rPr>
        <w:t>—</w:t>
      </w:r>
      <w:bookmarkEnd w:id="2"/>
      <w:r w:rsidR="00B01296" w:rsidRPr="00754E88">
        <w:rPr>
          <w:i/>
        </w:rPr>
        <w:t>Transitional</w:t>
      </w:r>
      <w:r w:rsidR="00F56FEF" w:rsidRPr="00754E88">
        <w:rPr>
          <w:i/>
        </w:rPr>
        <w:t>) Instrument 2018/</w:t>
      </w:r>
      <w:r w:rsidR="001C5E35" w:rsidRPr="00754E88">
        <w:rPr>
          <w:i/>
        </w:rPr>
        <w:t>894</w:t>
      </w:r>
      <w:r w:rsidR="00F56FEF">
        <w:t xml:space="preserve"> </w:t>
      </w:r>
      <w:r>
        <w:rPr>
          <w:color w:val="000000"/>
          <w:spacing w:val="-1"/>
        </w:rPr>
        <w:t xml:space="preserve">under </w:t>
      </w:r>
      <w:r w:rsidR="00F56FEF">
        <w:rPr>
          <w:szCs w:val="24"/>
        </w:rPr>
        <w:t xml:space="preserve">subsection 926A(2) of the </w:t>
      </w:r>
      <w:r w:rsidR="00F56FEF" w:rsidRPr="00600FF7">
        <w:rPr>
          <w:i/>
          <w:szCs w:val="24"/>
        </w:rPr>
        <w:t>Corporations Act 2001</w:t>
      </w:r>
      <w:r w:rsidR="00383811">
        <w:rPr>
          <w:i/>
          <w:szCs w:val="24"/>
        </w:rPr>
        <w:t xml:space="preserve"> </w:t>
      </w:r>
      <w:r w:rsidR="00383811" w:rsidRPr="00383811">
        <w:rPr>
          <w:szCs w:val="24"/>
        </w:rPr>
        <w:t>(</w:t>
      </w:r>
      <w:r w:rsidR="00383811" w:rsidRPr="009C4C5F">
        <w:rPr>
          <w:szCs w:val="24"/>
        </w:rPr>
        <w:t>Act</w:t>
      </w:r>
      <w:r w:rsidR="00383811" w:rsidRPr="00383811">
        <w:rPr>
          <w:szCs w:val="24"/>
        </w:rPr>
        <w:t>)</w:t>
      </w:r>
      <w:r>
        <w:rPr>
          <w:color w:val="000000"/>
          <w:spacing w:val="-1"/>
        </w:rPr>
        <w:t xml:space="preserve">. </w:t>
      </w:r>
    </w:p>
    <w:p w:rsidR="00890397" w:rsidRPr="00383811" w:rsidRDefault="00383811" w:rsidP="00E55EF4">
      <w:pPr>
        <w:pStyle w:val="BodyText"/>
        <w:spacing w:before="199" w:line="276" w:lineRule="auto"/>
      </w:pPr>
      <w:r w:rsidRPr="00383811">
        <w:t>Subsection 926A(2) of the Act provides that ASIC may exempt a person or a financial product or class of persons or financial products from all or specified provisions of Part 7.6 of the Act (other than Divisions 4 and 8); or declare that Part 7.6 of the Act (other than Divisions 4 and 8) applies in relation to a person or a financial product or class of persons or financial products as if specified provisions were omitted, modified or varied.</w:t>
      </w:r>
      <w:r w:rsidR="005B0E3A" w:rsidRPr="00383811">
        <w:t xml:space="preserve"> </w:t>
      </w:r>
      <w:r w:rsidR="00E82ADD">
        <w:t>S</w:t>
      </w:r>
      <w:r w:rsidR="00890397">
        <w:t>ubsection 926A(</w:t>
      </w:r>
      <w:r w:rsidR="00E82ADD">
        <w:t>6</w:t>
      </w:r>
      <w:r w:rsidR="00890397" w:rsidRPr="00383811">
        <w:t>)</w:t>
      </w:r>
      <w:r w:rsidR="00E82ADD">
        <w:t xml:space="preserve">(b) further specifies that this </w:t>
      </w:r>
      <w:r w:rsidR="00034D6A">
        <w:t xml:space="preserve">power </w:t>
      </w:r>
      <w:r w:rsidR="00E82ADD">
        <w:t xml:space="preserve">also applies to </w:t>
      </w:r>
      <w:r w:rsidR="00671F99">
        <w:t xml:space="preserve">any </w:t>
      </w:r>
      <w:r w:rsidR="00C50DFE">
        <w:t xml:space="preserve">of the </w:t>
      </w:r>
      <w:r w:rsidR="00E6070E">
        <w:t xml:space="preserve">transitional provisions in </w:t>
      </w:r>
      <w:r w:rsidR="00671F99">
        <w:t>Part 10.23A</w:t>
      </w:r>
      <w:r w:rsidR="00E82ADD">
        <w:t xml:space="preserve"> </w:t>
      </w:r>
      <w:r w:rsidR="00E6070E">
        <w:t xml:space="preserve">that relate to </w:t>
      </w:r>
      <w:r w:rsidR="00E6070E" w:rsidRPr="00383811">
        <w:t xml:space="preserve">Part 7.6 of the Act (other than Divisions 4 </w:t>
      </w:r>
      <w:r w:rsidR="00E6070E">
        <w:t>and 8).</w:t>
      </w:r>
      <w:r w:rsidR="00671F99">
        <w:t xml:space="preserve"> </w:t>
      </w:r>
    </w:p>
    <w:p w:rsidR="00C1001C" w:rsidRPr="00E31A63" w:rsidRDefault="00C1001C" w:rsidP="005B0E3A">
      <w:pPr>
        <w:pStyle w:val="BodyText"/>
        <w:spacing w:line="261" w:lineRule="auto"/>
        <w:rPr>
          <w:color w:val="0000FF"/>
        </w:rPr>
      </w:pPr>
    </w:p>
    <w:p w:rsidR="005B0E3A" w:rsidRPr="00D57504" w:rsidRDefault="005B0E3A" w:rsidP="00C1001C">
      <w:pPr>
        <w:pStyle w:val="ListPara1"/>
        <w:numPr>
          <w:ilvl w:val="0"/>
          <w:numId w:val="13"/>
        </w:numPr>
        <w:rPr>
          <w:rFonts w:ascii="Arial" w:eastAsia="Arial" w:hAnsi="Arial"/>
          <w:b/>
          <w:sz w:val="24"/>
          <w:szCs w:val="24"/>
        </w:rPr>
      </w:pPr>
      <w:bookmarkStart w:id="3" w:name="1._Background"/>
      <w:bookmarkEnd w:id="3"/>
      <w:r w:rsidRPr="00E06AC2">
        <w:rPr>
          <w:rFonts w:ascii="Arial"/>
          <w:b/>
          <w:spacing w:val="-1"/>
          <w:sz w:val="24"/>
        </w:rPr>
        <w:t>Background</w:t>
      </w:r>
    </w:p>
    <w:p w:rsidR="00FF5920" w:rsidRPr="00876CCC" w:rsidRDefault="00B608E2" w:rsidP="00C1001C">
      <w:pPr>
        <w:pStyle w:val="ListPara1"/>
        <w:numPr>
          <w:ilvl w:val="1"/>
          <w:numId w:val="13"/>
        </w:numPr>
        <w:rPr>
          <w:rFonts w:ascii="Times New Roman" w:hAnsi="Times New Roman" w:cs="Times New Roman"/>
          <w:sz w:val="24"/>
          <w:szCs w:val="24"/>
        </w:rPr>
      </w:pPr>
      <w:r w:rsidRPr="00876CCC">
        <w:rPr>
          <w:rFonts w:ascii="Times New Roman" w:hAnsi="Times New Roman" w:cs="Times New Roman"/>
          <w:sz w:val="24"/>
          <w:szCs w:val="24"/>
        </w:rPr>
        <w:t xml:space="preserve">The Act was amended by the </w:t>
      </w:r>
      <w:r w:rsidRPr="00876CCC">
        <w:rPr>
          <w:rFonts w:ascii="Times New Roman" w:hAnsi="Times New Roman" w:cs="Times New Roman"/>
          <w:i/>
          <w:sz w:val="24"/>
          <w:szCs w:val="24"/>
        </w:rPr>
        <w:t>Corporations Amendment (Professional Standards of Financial Advisers) Act 2017</w:t>
      </w:r>
      <w:r w:rsidR="00CC6FCB">
        <w:rPr>
          <w:rFonts w:ascii="Times New Roman" w:hAnsi="Times New Roman" w:cs="Times New Roman"/>
          <w:sz w:val="24"/>
          <w:szCs w:val="24"/>
        </w:rPr>
        <w:t xml:space="preserve"> </w:t>
      </w:r>
      <w:r w:rsidRPr="00876CCC">
        <w:rPr>
          <w:rFonts w:ascii="Times New Roman" w:hAnsi="Times New Roman" w:cs="Times New Roman"/>
          <w:sz w:val="24"/>
          <w:szCs w:val="24"/>
        </w:rPr>
        <w:t xml:space="preserve">to introduce </w:t>
      </w:r>
      <w:r w:rsidR="00FF5920" w:rsidRPr="00876CCC">
        <w:rPr>
          <w:rFonts w:ascii="Times New Roman" w:hAnsi="Times New Roman" w:cs="Times New Roman"/>
          <w:sz w:val="24"/>
          <w:szCs w:val="24"/>
        </w:rPr>
        <w:t>several measures to raise the education, training and ethical standards of financial advisers</w:t>
      </w:r>
      <w:r w:rsidR="00053DC5">
        <w:rPr>
          <w:rFonts w:ascii="Times New Roman" w:hAnsi="Times New Roman" w:cs="Times New Roman"/>
          <w:sz w:val="24"/>
          <w:szCs w:val="24"/>
        </w:rPr>
        <w:t xml:space="preserve"> (the professional standards reforms)</w:t>
      </w:r>
      <w:r w:rsidR="00A620E1">
        <w:rPr>
          <w:rFonts w:ascii="Times New Roman" w:hAnsi="Times New Roman" w:cs="Times New Roman"/>
          <w:sz w:val="24"/>
          <w:szCs w:val="24"/>
        </w:rPr>
        <w:t>.</w:t>
      </w:r>
    </w:p>
    <w:p w:rsidR="00A620E1" w:rsidRDefault="00A620E1"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 xml:space="preserve">The </w:t>
      </w:r>
      <w:r w:rsidR="00053DC5">
        <w:rPr>
          <w:rFonts w:ascii="Times New Roman" w:hAnsi="Times New Roman" w:cs="Times New Roman"/>
          <w:sz w:val="24"/>
          <w:szCs w:val="24"/>
        </w:rPr>
        <w:t xml:space="preserve">professional standards </w:t>
      </w:r>
      <w:r>
        <w:rPr>
          <w:rFonts w:ascii="Times New Roman" w:hAnsi="Times New Roman" w:cs="Times New Roman"/>
          <w:sz w:val="24"/>
          <w:szCs w:val="24"/>
        </w:rPr>
        <w:t xml:space="preserve">reforms </w:t>
      </w:r>
      <w:r w:rsidR="00053DC5">
        <w:rPr>
          <w:rFonts w:ascii="Times New Roman" w:hAnsi="Times New Roman" w:cs="Times New Roman"/>
          <w:sz w:val="24"/>
          <w:szCs w:val="24"/>
        </w:rPr>
        <w:t xml:space="preserve">contained in the Act </w:t>
      </w:r>
      <w:r>
        <w:rPr>
          <w:rFonts w:ascii="Times New Roman" w:hAnsi="Times New Roman" w:cs="Times New Roman"/>
          <w:sz w:val="24"/>
          <w:szCs w:val="24"/>
        </w:rPr>
        <w:t xml:space="preserve">apply to ‘relevant providers’. </w:t>
      </w:r>
      <w:bookmarkStart w:id="4" w:name="_Hlk524958240"/>
      <w:r>
        <w:rPr>
          <w:rFonts w:ascii="Times New Roman" w:hAnsi="Times New Roman" w:cs="Times New Roman"/>
          <w:sz w:val="24"/>
          <w:szCs w:val="24"/>
        </w:rPr>
        <w:t xml:space="preserve">A relevant provider is an </w:t>
      </w:r>
      <w:r w:rsidRPr="00CB575A">
        <w:rPr>
          <w:rFonts w:ascii="Times New Roman" w:hAnsi="Times New Roman" w:cs="Times New Roman"/>
          <w:sz w:val="24"/>
          <w:szCs w:val="24"/>
        </w:rPr>
        <w:t xml:space="preserve">individual who </w:t>
      </w:r>
      <w:r>
        <w:rPr>
          <w:rFonts w:ascii="Times New Roman" w:hAnsi="Times New Roman" w:cs="Times New Roman"/>
          <w:sz w:val="24"/>
          <w:szCs w:val="24"/>
        </w:rPr>
        <w:t xml:space="preserve">is </w:t>
      </w:r>
      <w:r w:rsidRPr="00A620E1">
        <w:rPr>
          <w:rFonts w:ascii="Times New Roman" w:hAnsi="Times New Roman" w:cs="Times New Roman"/>
          <w:sz w:val="24"/>
          <w:szCs w:val="24"/>
        </w:rPr>
        <w:t>authorised to provide pe</w:t>
      </w:r>
      <w:r>
        <w:rPr>
          <w:rFonts w:ascii="Times New Roman" w:hAnsi="Times New Roman" w:cs="Times New Roman"/>
          <w:sz w:val="24"/>
          <w:szCs w:val="24"/>
        </w:rPr>
        <w:t>rsonal advice to retail clients</w:t>
      </w:r>
      <w:r w:rsidRPr="00A620E1">
        <w:rPr>
          <w:rFonts w:ascii="Times New Roman" w:hAnsi="Times New Roman" w:cs="Times New Roman"/>
          <w:sz w:val="24"/>
          <w:szCs w:val="24"/>
        </w:rPr>
        <w:t xml:space="preserve"> </w:t>
      </w:r>
      <w:r w:rsidRPr="00876CCC">
        <w:rPr>
          <w:rFonts w:ascii="Times New Roman" w:hAnsi="Times New Roman" w:cs="Times New Roman"/>
          <w:sz w:val="24"/>
          <w:szCs w:val="24"/>
        </w:rPr>
        <w:t>on more complex financial products</w:t>
      </w:r>
      <w:r>
        <w:rPr>
          <w:rFonts w:ascii="Times New Roman" w:hAnsi="Times New Roman" w:cs="Times New Roman"/>
          <w:sz w:val="24"/>
          <w:szCs w:val="24"/>
        </w:rPr>
        <w:t xml:space="preserve"> (called ‘relevant financial products’)</w:t>
      </w:r>
      <w:r w:rsidRPr="00876CCC">
        <w:rPr>
          <w:rFonts w:ascii="Times New Roman" w:hAnsi="Times New Roman" w:cs="Times New Roman"/>
          <w:sz w:val="24"/>
          <w:szCs w:val="24"/>
        </w:rPr>
        <w:t>.</w:t>
      </w:r>
      <w:bookmarkEnd w:id="4"/>
    </w:p>
    <w:p w:rsidR="00876CCC" w:rsidRPr="009F20DE" w:rsidRDefault="00876CCC" w:rsidP="00C1001C">
      <w:pPr>
        <w:pStyle w:val="ListPara1"/>
        <w:numPr>
          <w:ilvl w:val="1"/>
          <w:numId w:val="13"/>
        </w:numPr>
        <w:rPr>
          <w:rFonts w:ascii="Times New Roman" w:hAnsi="Times New Roman" w:cs="Times New Roman"/>
          <w:sz w:val="24"/>
          <w:szCs w:val="24"/>
        </w:rPr>
      </w:pPr>
      <w:r w:rsidRPr="009F20DE">
        <w:rPr>
          <w:rFonts w:ascii="Times New Roman" w:hAnsi="Times New Roman" w:cs="Times New Roman"/>
          <w:sz w:val="24"/>
          <w:szCs w:val="24"/>
        </w:rPr>
        <w:t>Under the</w:t>
      </w:r>
      <w:r w:rsidR="00053DC5">
        <w:rPr>
          <w:rFonts w:ascii="Times New Roman" w:hAnsi="Times New Roman" w:cs="Times New Roman"/>
          <w:sz w:val="24"/>
          <w:szCs w:val="24"/>
        </w:rPr>
        <w:t xml:space="preserve"> professional standards </w:t>
      </w:r>
      <w:r w:rsidR="00B41BA8">
        <w:rPr>
          <w:rFonts w:ascii="Times New Roman" w:hAnsi="Times New Roman" w:cs="Times New Roman"/>
          <w:sz w:val="24"/>
          <w:szCs w:val="24"/>
        </w:rPr>
        <w:t>reforms</w:t>
      </w:r>
      <w:r w:rsidRPr="009F20DE">
        <w:rPr>
          <w:rFonts w:ascii="Times New Roman" w:hAnsi="Times New Roman" w:cs="Times New Roman"/>
          <w:sz w:val="24"/>
          <w:szCs w:val="24"/>
        </w:rPr>
        <w:t xml:space="preserve">, all relevant providers </w:t>
      </w:r>
      <w:r w:rsidR="00C24446">
        <w:rPr>
          <w:rFonts w:ascii="Times New Roman" w:hAnsi="Times New Roman" w:cs="Times New Roman"/>
          <w:sz w:val="24"/>
          <w:szCs w:val="24"/>
        </w:rPr>
        <w:t>(apart from limited </w:t>
      </w:r>
      <w:r w:rsidR="001015A6">
        <w:rPr>
          <w:rFonts w:ascii="Times New Roman" w:hAnsi="Times New Roman" w:cs="Times New Roman"/>
          <w:sz w:val="24"/>
          <w:szCs w:val="24"/>
        </w:rPr>
        <w:t xml:space="preserve">service time-share advisers) </w:t>
      </w:r>
      <w:r w:rsidRPr="009F20DE">
        <w:rPr>
          <w:rFonts w:ascii="Times New Roman" w:hAnsi="Times New Roman" w:cs="Times New Roman"/>
          <w:sz w:val="24"/>
          <w:szCs w:val="24"/>
        </w:rPr>
        <w:t>must:</w:t>
      </w:r>
    </w:p>
    <w:p w:rsidR="00876CCC" w:rsidRPr="009F20DE" w:rsidRDefault="00876CCC" w:rsidP="00AC7352">
      <w:pPr>
        <w:pStyle w:val="ListPara1"/>
        <w:numPr>
          <w:ilvl w:val="0"/>
          <w:numId w:val="28"/>
        </w:numPr>
        <w:rPr>
          <w:rFonts w:ascii="Times New Roman" w:hAnsi="Times New Roman" w:cs="Times New Roman"/>
          <w:sz w:val="24"/>
          <w:szCs w:val="24"/>
        </w:rPr>
      </w:pPr>
      <w:bookmarkStart w:id="5" w:name="_Hlk524956672"/>
      <w:r w:rsidRPr="009F20DE">
        <w:rPr>
          <w:rFonts w:ascii="Times New Roman" w:hAnsi="Times New Roman" w:cs="Times New Roman"/>
          <w:sz w:val="24"/>
          <w:szCs w:val="24"/>
        </w:rPr>
        <w:t>have a bachelor or higher degree, or equivalent qualification</w:t>
      </w:r>
      <w:r w:rsidR="004D6553">
        <w:rPr>
          <w:rFonts w:ascii="Times New Roman" w:hAnsi="Times New Roman" w:cs="Times New Roman"/>
          <w:sz w:val="24"/>
          <w:szCs w:val="24"/>
        </w:rPr>
        <w:t xml:space="preserve"> approved by </w:t>
      </w:r>
      <w:r w:rsidR="000E0A76">
        <w:rPr>
          <w:rFonts w:ascii="Times New Roman" w:hAnsi="Times New Roman" w:cs="Times New Roman"/>
          <w:sz w:val="24"/>
          <w:szCs w:val="24"/>
        </w:rPr>
        <w:t xml:space="preserve">the Financial Adviser Standards and Ethics Authority (FASEA) </w:t>
      </w:r>
      <w:r w:rsidR="004D6553">
        <w:rPr>
          <w:rFonts w:ascii="Times New Roman" w:hAnsi="Times New Roman" w:cs="Times New Roman"/>
          <w:sz w:val="24"/>
          <w:szCs w:val="24"/>
        </w:rPr>
        <w:t>(degree requirement</w:t>
      </w:r>
      <w:bookmarkEnd w:id="5"/>
      <w:r w:rsidR="004D6553">
        <w:rPr>
          <w:rFonts w:ascii="Times New Roman" w:hAnsi="Times New Roman" w:cs="Times New Roman"/>
          <w:sz w:val="24"/>
          <w:szCs w:val="24"/>
        </w:rPr>
        <w:t>)</w:t>
      </w:r>
      <w:r>
        <w:rPr>
          <w:rFonts w:ascii="Times New Roman" w:hAnsi="Times New Roman" w:cs="Times New Roman"/>
          <w:sz w:val="24"/>
          <w:szCs w:val="24"/>
        </w:rPr>
        <w:t>;</w:t>
      </w:r>
    </w:p>
    <w:p w:rsidR="00876CCC" w:rsidRPr="009F20DE" w:rsidRDefault="00876CCC" w:rsidP="00AC7352">
      <w:pPr>
        <w:pStyle w:val="ListPara1"/>
        <w:numPr>
          <w:ilvl w:val="0"/>
          <w:numId w:val="28"/>
        </w:numPr>
        <w:rPr>
          <w:rFonts w:ascii="Times New Roman" w:hAnsi="Times New Roman" w:cs="Times New Roman"/>
          <w:sz w:val="24"/>
          <w:szCs w:val="24"/>
        </w:rPr>
      </w:pPr>
      <w:r w:rsidRPr="009F20DE">
        <w:rPr>
          <w:rFonts w:ascii="Times New Roman" w:hAnsi="Times New Roman" w:cs="Times New Roman"/>
          <w:sz w:val="24"/>
          <w:szCs w:val="24"/>
        </w:rPr>
        <w:t>pass an exam</w:t>
      </w:r>
      <w:r w:rsidR="004D6553">
        <w:rPr>
          <w:rFonts w:ascii="Times New Roman" w:hAnsi="Times New Roman" w:cs="Times New Roman"/>
          <w:sz w:val="24"/>
          <w:szCs w:val="24"/>
        </w:rPr>
        <w:t xml:space="preserve"> approved by </w:t>
      </w:r>
      <w:r w:rsidR="000E0A76">
        <w:rPr>
          <w:rFonts w:ascii="Times New Roman" w:hAnsi="Times New Roman" w:cs="Times New Roman"/>
          <w:sz w:val="24"/>
          <w:szCs w:val="24"/>
        </w:rPr>
        <w:t>FASEA</w:t>
      </w:r>
      <w:r w:rsidR="004D6553">
        <w:rPr>
          <w:rFonts w:ascii="Times New Roman" w:hAnsi="Times New Roman" w:cs="Times New Roman"/>
          <w:sz w:val="24"/>
          <w:szCs w:val="24"/>
        </w:rPr>
        <w:t xml:space="preserve"> (exam requirement)</w:t>
      </w:r>
      <w:r>
        <w:rPr>
          <w:rFonts w:ascii="Times New Roman" w:hAnsi="Times New Roman" w:cs="Times New Roman"/>
          <w:sz w:val="24"/>
          <w:szCs w:val="24"/>
        </w:rPr>
        <w:t>;</w:t>
      </w:r>
      <w:r w:rsidR="001015A6">
        <w:rPr>
          <w:rFonts w:ascii="Times New Roman" w:hAnsi="Times New Roman" w:cs="Times New Roman"/>
          <w:sz w:val="24"/>
          <w:szCs w:val="24"/>
        </w:rPr>
        <w:t xml:space="preserve"> and</w:t>
      </w:r>
    </w:p>
    <w:p w:rsidR="00876CCC" w:rsidRPr="009F20DE" w:rsidRDefault="006619C3" w:rsidP="00AC7352">
      <w:pPr>
        <w:pStyle w:val="ListPara1"/>
        <w:numPr>
          <w:ilvl w:val="0"/>
          <w:numId w:val="28"/>
        </w:numPr>
        <w:rPr>
          <w:rFonts w:ascii="Times New Roman" w:hAnsi="Times New Roman" w:cs="Times New Roman"/>
          <w:sz w:val="24"/>
          <w:szCs w:val="24"/>
        </w:rPr>
      </w:pPr>
      <w:bookmarkStart w:id="6" w:name="_Hlk524956620"/>
      <w:r>
        <w:rPr>
          <w:rFonts w:ascii="Times New Roman" w:hAnsi="Times New Roman" w:cs="Times New Roman"/>
          <w:sz w:val="24"/>
          <w:szCs w:val="24"/>
        </w:rPr>
        <w:lastRenderedPageBreak/>
        <w:t xml:space="preserve">unless they are existing providers, </w:t>
      </w:r>
      <w:r w:rsidR="00876CCC" w:rsidRPr="009F20DE">
        <w:rPr>
          <w:rFonts w:ascii="Times New Roman" w:hAnsi="Times New Roman" w:cs="Times New Roman"/>
          <w:sz w:val="24"/>
          <w:szCs w:val="24"/>
        </w:rPr>
        <w:t xml:space="preserve">complete a year of work and training </w:t>
      </w:r>
      <w:bookmarkEnd w:id="6"/>
      <w:r w:rsidR="00B36FF0">
        <w:rPr>
          <w:rFonts w:ascii="Times New Roman" w:hAnsi="Times New Roman" w:cs="Times New Roman"/>
          <w:sz w:val="24"/>
          <w:szCs w:val="24"/>
        </w:rPr>
        <w:t>(year of work and training requirement)</w:t>
      </w:r>
      <w:r>
        <w:rPr>
          <w:rFonts w:ascii="Times New Roman" w:hAnsi="Times New Roman" w:cs="Times New Roman"/>
          <w:sz w:val="24"/>
          <w:szCs w:val="24"/>
        </w:rPr>
        <w:t>. (</w:t>
      </w:r>
      <w:r w:rsidRPr="009566F4">
        <w:rPr>
          <w:rFonts w:ascii="Times New Roman" w:hAnsi="Times New Roman" w:cs="Times New Roman"/>
          <w:sz w:val="24"/>
          <w:szCs w:val="24"/>
        </w:rPr>
        <w:t xml:space="preserve">An </w:t>
      </w:r>
      <w:r>
        <w:rPr>
          <w:rFonts w:ascii="Times New Roman" w:hAnsi="Times New Roman" w:cs="Times New Roman"/>
          <w:sz w:val="24"/>
          <w:szCs w:val="24"/>
        </w:rPr>
        <w:t>‘</w:t>
      </w:r>
      <w:r w:rsidRPr="009566F4">
        <w:rPr>
          <w:rFonts w:ascii="Times New Roman" w:hAnsi="Times New Roman" w:cs="Times New Roman"/>
          <w:sz w:val="24"/>
          <w:szCs w:val="24"/>
        </w:rPr>
        <w:t>existing provider</w:t>
      </w:r>
      <w:r>
        <w:rPr>
          <w:rFonts w:ascii="Times New Roman" w:hAnsi="Times New Roman" w:cs="Times New Roman"/>
          <w:sz w:val="24"/>
          <w:szCs w:val="24"/>
        </w:rPr>
        <w:t>’</w:t>
      </w:r>
      <w:r w:rsidRPr="009566F4">
        <w:rPr>
          <w:rFonts w:ascii="Times New Roman" w:hAnsi="Times New Roman" w:cs="Times New Roman"/>
          <w:sz w:val="24"/>
          <w:szCs w:val="24"/>
        </w:rPr>
        <w:t xml:space="preserve"> is a person who is a relevant provider at any time between 1 January 2016 and 1 January 2019, and is not </w:t>
      </w:r>
      <w:r>
        <w:rPr>
          <w:rFonts w:ascii="Times New Roman" w:hAnsi="Times New Roman" w:cs="Times New Roman"/>
          <w:sz w:val="24"/>
          <w:szCs w:val="24"/>
        </w:rPr>
        <w:t xml:space="preserve">prohibited </w:t>
      </w:r>
      <w:r w:rsidRPr="005D65FC">
        <w:rPr>
          <w:rFonts w:ascii="Times New Roman" w:hAnsi="Times New Roman" w:cs="Times New Roman"/>
          <w:sz w:val="24"/>
          <w:szCs w:val="24"/>
        </w:rPr>
        <w:t xml:space="preserve">from providing advice </w:t>
      </w:r>
      <w:r w:rsidRPr="009566F4">
        <w:rPr>
          <w:rFonts w:ascii="Times New Roman" w:hAnsi="Times New Roman" w:cs="Times New Roman"/>
          <w:sz w:val="24"/>
          <w:szCs w:val="24"/>
        </w:rPr>
        <w:t>on 1 January 2019</w:t>
      </w:r>
      <w:r>
        <w:rPr>
          <w:rFonts w:ascii="Times New Roman" w:hAnsi="Times New Roman" w:cs="Times New Roman"/>
          <w:sz w:val="24"/>
          <w:szCs w:val="24"/>
        </w:rPr>
        <w:t>.)</w:t>
      </w:r>
      <w:r w:rsidR="00876CCC">
        <w:rPr>
          <w:rFonts w:ascii="Times New Roman" w:hAnsi="Times New Roman" w:cs="Times New Roman"/>
          <w:sz w:val="24"/>
          <w:szCs w:val="24"/>
        </w:rPr>
        <w:t xml:space="preserve"> </w:t>
      </w:r>
    </w:p>
    <w:p w:rsidR="00BB16A0" w:rsidRDefault="00BB16A0" w:rsidP="00C1001C">
      <w:pPr>
        <w:pStyle w:val="ListPara1"/>
        <w:numPr>
          <w:ilvl w:val="1"/>
          <w:numId w:val="13"/>
        </w:numPr>
        <w:rPr>
          <w:rFonts w:ascii="Times New Roman" w:hAnsi="Times New Roman" w:cs="Times New Roman"/>
          <w:sz w:val="24"/>
          <w:szCs w:val="24"/>
        </w:rPr>
      </w:pPr>
      <w:r w:rsidRPr="00BB16A0">
        <w:rPr>
          <w:rFonts w:ascii="Times New Roman" w:hAnsi="Times New Roman" w:cs="Times New Roman"/>
          <w:sz w:val="24"/>
          <w:szCs w:val="24"/>
        </w:rPr>
        <w:t xml:space="preserve">These </w:t>
      </w:r>
      <w:r w:rsidR="008675E0">
        <w:rPr>
          <w:rFonts w:ascii="Times New Roman" w:hAnsi="Times New Roman" w:cs="Times New Roman"/>
          <w:sz w:val="24"/>
          <w:szCs w:val="24"/>
        </w:rPr>
        <w:t>education and training standards</w:t>
      </w:r>
      <w:r w:rsidRPr="00BB16A0">
        <w:rPr>
          <w:rFonts w:ascii="Times New Roman" w:hAnsi="Times New Roman" w:cs="Times New Roman"/>
          <w:sz w:val="24"/>
          <w:szCs w:val="24"/>
        </w:rPr>
        <w:t xml:space="preserve"> are set out in s</w:t>
      </w:r>
      <w:r>
        <w:rPr>
          <w:rFonts w:ascii="Times New Roman" w:hAnsi="Times New Roman" w:cs="Times New Roman"/>
          <w:sz w:val="24"/>
          <w:szCs w:val="24"/>
        </w:rPr>
        <w:t xml:space="preserve">ection </w:t>
      </w:r>
      <w:r w:rsidRPr="00BB16A0">
        <w:rPr>
          <w:rFonts w:ascii="Times New Roman" w:hAnsi="Times New Roman" w:cs="Times New Roman"/>
          <w:sz w:val="24"/>
          <w:szCs w:val="24"/>
        </w:rPr>
        <w:t>921B</w:t>
      </w:r>
      <w:r>
        <w:rPr>
          <w:rFonts w:ascii="Times New Roman" w:hAnsi="Times New Roman" w:cs="Times New Roman"/>
          <w:sz w:val="24"/>
          <w:szCs w:val="24"/>
        </w:rPr>
        <w:t xml:space="preserve"> of the Act</w:t>
      </w:r>
      <w:r w:rsidR="00463190">
        <w:rPr>
          <w:rFonts w:ascii="Times New Roman" w:hAnsi="Times New Roman" w:cs="Times New Roman"/>
          <w:sz w:val="24"/>
          <w:szCs w:val="24"/>
        </w:rPr>
        <w:t>.</w:t>
      </w:r>
      <w:r w:rsidRPr="00BB16A0">
        <w:rPr>
          <w:rFonts w:ascii="Times New Roman" w:hAnsi="Times New Roman" w:cs="Times New Roman"/>
          <w:sz w:val="24"/>
          <w:szCs w:val="24"/>
        </w:rPr>
        <w:t xml:space="preserve"> </w:t>
      </w:r>
      <w:r w:rsidR="00463190">
        <w:rPr>
          <w:rFonts w:ascii="Times New Roman" w:hAnsi="Times New Roman" w:cs="Times New Roman"/>
          <w:sz w:val="24"/>
          <w:szCs w:val="24"/>
        </w:rPr>
        <w:t>S</w:t>
      </w:r>
      <w:r>
        <w:rPr>
          <w:rFonts w:ascii="Times New Roman" w:hAnsi="Times New Roman" w:cs="Times New Roman"/>
          <w:sz w:val="24"/>
          <w:szCs w:val="24"/>
        </w:rPr>
        <w:t xml:space="preserve">ections 921C and 1546C </w:t>
      </w:r>
      <w:r w:rsidR="00CB2E20">
        <w:rPr>
          <w:rFonts w:ascii="Times New Roman" w:hAnsi="Times New Roman" w:cs="Times New Roman"/>
          <w:sz w:val="24"/>
          <w:szCs w:val="24"/>
        </w:rPr>
        <w:t xml:space="preserve">of the Act </w:t>
      </w:r>
      <w:r>
        <w:rPr>
          <w:rFonts w:ascii="Times New Roman" w:hAnsi="Times New Roman" w:cs="Times New Roman"/>
          <w:sz w:val="24"/>
          <w:szCs w:val="24"/>
        </w:rPr>
        <w:t>specify</w:t>
      </w:r>
      <w:r w:rsidRPr="00BB16A0">
        <w:rPr>
          <w:rFonts w:ascii="Times New Roman" w:hAnsi="Times New Roman" w:cs="Times New Roman"/>
          <w:sz w:val="24"/>
          <w:szCs w:val="24"/>
        </w:rPr>
        <w:t xml:space="preserve"> what requirements apply to </w:t>
      </w:r>
      <w:r w:rsidR="00463190">
        <w:rPr>
          <w:rFonts w:ascii="Times New Roman" w:hAnsi="Times New Roman" w:cs="Times New Roman"/>
          <w:sz w:val="24"/>
          <w:szCs w:val="24"/>
        </w:rPr>
        <w:t>whom</w:t>
      </w:r>
      <w:r w:rsidRPr="00BB16A0">
        <w:rPr>
          <w:rFonts w:ascii="Times New Roman" w:hAnsi="Times New Roman" w:cs="Times New Roman"/>
          <w:sz w:val="24"/>
          <w:szCs w:val="24"/>
        </w:rPr>
        <w:t xml:space="preserve"> and when they apply.</w:t>
      </w:r>
    </w:p>
    <w:p w:rsidR="00BB16A0" w:rsidRDefault="001015A6"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R</w:t>
      </w:r>
      <w:r w:rsidR="00BB16A0" w:rsidRPr="009F20DE">
        <w:rPr>
          <w:rFonts w:ascii="Times New Roman" w:hAnsi="Times New Roman" w:cs="Times New Roman"/>
          <w:sz w:val="24"/>
          <w:szCs w:val="24"/>
        </w:rPr>
        <w:t>elevant providers must</w:t>
      </w:r>
      <w:r w:rsidR="00BB16A0">
        <w:rPr>
          <w:rFonts w:ascii="Times New Roman" w:hAnsi="Times New Roman" w:cs="Times New Roman"/>
          <w:sz w:val="24"/>
          <w:szCs w:val="24"/>
        </w:rPr>
        <w:t xml:space="preserve"> also </w:t>
      </w:r>
      <w:r w:rsidRPr="001015A6">
        <w:rPr>
          <w:rFonts w:ascii="Times New Roman" w:hAnsi="Times New Roman" w:cs="Times New Roman"/>
          <w:sz w:val="24"/>
          <w:szCs w:val="24"/>
        </w:rPr>
        <w:t>meet continuing professional development (CPD) requireme</w:t>
      </w:r>
      <w:r>
        <w:rPr>
          <w:rFonts w:ascii="Times New Roman" w:hAnsi="Times New Roman" w:cs="Times New Roman"/>
          <w:sz w:val="24"/>
          <w:szCs w:val="24"/>
        </w:rPr>
        <w:t xml:space="preserve">nts each year (CPD requirement), </w:t>
      </w:r>
      <w:r w:rsidR="00876CCC">
        <w:rPr>
          <w:rFonts w:ascii="Times New Roman" w:hAnsi="Times New Roman" w:cs="Times New Roman"/>
          <w:sz w:val="24"/>
          <w:szCs w:val="24"/>
        </w:rPr>
        <w:t>comply with a C</w:t>
      </w:r>
      <w:r w:rsidR="00876CCC" w:rsidRPr="009F20DE">
        <w:rPr>
          <w:rFonts w:ascii="Times New Roman" w:hAnsi="Times New Roman" w:cs="Times New Roman"/>
          <w:sz w:val="24"/>
          <w:szCs w:val="24"/>
        </w:rPr>
        <w:t xml:space="preserve">ode of </w:t>
      </w:r>
      <w:r w:rsidR="00876CCC">
        <w:rPr>
          <w:rFonts w:ascii="Times New Roman" w:hAnsi="Times New Roman" w:cs="Times New Roman"/>
          <w:sz w:val="24"/>
          <w:szCs w:val="24"/>
        </w:rPr>
        <w:t>E</w:t>
      </w:r>
      <w:r w:rsidR="00876CCC" w:rsidRPr="009F20DE">
        <w:rPr>
          <w:rFonts w:ascii="Times New Roman" w:hAnsi="Times New Roman" w:cs="Times New Roman"/>
          <w:sz w:val="24"/>
          <w:szCs w:val="24"/>
        </w:rPr>
        <w:t>thics and be covered by a compliance scheme that monitors an</w:t>
      </w:r>
      <w:r w:rsidR="00876CCC">
        <w:rPr>
          <w:rFonts w:ascii="Times New Roman" w:hAnsi="Times New Roman" w:cs="Times New Roman"/>
          <w:sz w:val="24"/>
          <w:szCs w:val="24"/>
        </w:rPr>
        <w:t>d enforces compliance with the Code of E</w:t>
      </w:r>
      <w:r w:rsidR="00876CCC" w:rsidRPr="009F20DE">
        <w:rPr>
          <w:rFonts w:ascii="Times New Roman" w:hAnsi="Times New Roman" w:cs="Times New Roman"/>
          <w:sz w:val="24"/>
          <w:szCs w:val="24"/>
        </w:rPr>
        <w:t>thics.</w:t>
      </w:r>
      <w:r w:rsidR="00BB16A0">
        <w:rPr>
          <w:rFonts w:ascii="Times New Roman" w:hAnsi="Times New Roman" w:cs="Times New Roman"/>
          <w:sz w:val="24"/>
          <w:szCs w:val="24"/>
        </w:rPr>
        <w:t xml:space="preserve"> </w:t>
      </w:r>
    </w:p>
    <w:p w:rsidR="009566F4" w:rsidRDefault="00BB16A0" w:rsidP="005D65F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From 1 January </w:t>
      </w:r>
      <w:r w:rsidR="00876CCC" w:rsidRPr="009F20DE">
        <w:rPr>
          <w:rFonts w:ascii="Times New Roman" w:hAnsi="Times New Roman" w:cs="Times New Roman"/>
          <w:sz w:val="24"/>
          <w:szCs w:val="24"/>
        </w:rPr>
        <w:t>2019, only r</w:t>
      </w:r>
      <w:r>
        <w:rPr>
          <w:rFonts w:ascii="Times New Roman" w:hAnsi="Times New Roman" w:cs="Times New Roman"/>
          <w:sz w:val="24"/>
          <w:szCs w:val="24"/>
        </w:rPr>
        <w:t>elevant providers who meet the new</w:t>
      </w:r>
      <w:r w:rsidR="00876CCC" w:rsidRPr="009F20DE">
        <w:rPr>
          <w:rFonts w:ascii="Times New Roman" w:hAnsi="Times New Roman" w:cs="Times New Roman"/>
          <w:sz w:val="24"/>
          <w:szCs w:val="24"/>
        </w:rPr>
        <w:t xml:space="preserve"> s</w:t>
      </w:r>
      <w:r w:rsidR="00876CCC">
        <w:rPr>
          <w:rFonts w:ascii="Times New Roman" w:hAnsi="Times New Roman" w:cs="Times New Roman"/>
          <w:sz w:val="24"/>
          <w:szCs w:val="24"/>
        </w:rPr>
        <w:t xml:space="preserve">tandards </w:t>
      </w:r>
      <w:r w:rsidR="006619C3">
        <w:rPr>
          <w:rFonts w:ascii="Times New Roman" w:hAnsi="Times New Roman" w:cs="Times New Roman"/>
          <w:sz w:val="24"/>
          <w:szCs w:val="24"/>
        </w:rPr>
        <w:t xml:space="preserve">in the Act </w:t>
      </w:r>
      <w:r w:rsidR="00876CCC">
        <w:rPr>
          <w:rFonts w:ascii="Times New Roman" w:hAnsi="Times New Roman" w:cs="Times New Roman"/>
          <w:sz w:val="24"/>
          <w:szCs w:val="24"/>
        </w:rPr>
        <w:t>can call themselves a ‘</w:t>
      </w:r>
      <w:r w:rsidR="00876CCC" w:rsidRPr="009F20DE">
        <w:rPr>
          <w:rFonts w:ascii="Times New Roman" w:hAnsi="Times New Roman" w:cs="Times New Roman"/>
          <w:sz w:val="24"/>
          <w:szCs w:val="24"/>
        </w:rPr>
        <w:t>financial</w:t>
      </w:r>
      <w:r w:rsidR="00876CCC">
        <w:rPr>
          <w:rFonts w:ascii="Times New Roman" w:hAnsi="Times New Roman" w:cs="Times New Roman"/>
          <w:sz w:val="24"/>
          <w:szCs w:val="24"/>
        </w:rPr>
        <w:t xml:space="preserve"> adviser’ or ‘financial planner’</w:t>
      </w:r>
      <w:r w:rsidR="00876CCC" w:rsidRPr="009F20DE">
        <w:rPr>
          <w:rFonts w:ascii="Times New Roman" w:hAnsi="Times New Roman" w:cs="Times New Roman"/>
          <w:sz w:val="24"/>
          <w:szCs w:val="24"/>
        </w:rPr>
        <w:t xml:space="preserve"> or similar terms.</w:t>
      </w:r>
      <w:r w:rsidR="001931B8">
        <w:rPr>
          <w:rFonts w:ascii="Times New Roman" w:hAnsi="Times New Roman" w:cs="Times New Roman"/>
          <w:sz w:val="24"/>
          <w:szCs w:val="24"/>
        </w:rPr>
        <w:t xml:space="preserve"> </w:t>
      </w:r>
      <w:r w:rsidR="009566F4" w:rsidRPr="009566F4">
        <w:rPr>
          <w:rFonts w:ascii="Times New Roman" w:hAnsi="Times New Roman" w:cs="Times New Roman"/>
          <w:sz w:val="24"/>
          <w:szCs w:val="24"/>
        </w:rPr>
        <w:t>Tran</w:t>
      </w:r>
      <w:r w:rsidR="009566F4">
        <w:rPr>
          <w:rFonts w:ascii="Times New Roman" w:hAnsi="Times New Roman" w:cs="Times New Roman"/>
          <w:sz w:val="24"/>
          <w:szCs w:val="24"/>
        </w:rPr>
        <w:t>sitional arrangements apply to ‘existing providers’</w:t>
      </w:r>
      <w:r w:rsidR="00E44C54">
        <w:rPr>
          <w:rFonts w:ascii="Times New Roman" w:hAnsi="Times New Roman" w:cs="Times New Roman"/>
          <w:sz w:val="24"/>
          <w:szCs w:val="24"/>
        </w:rPr>
        <w:t>, which can include</w:t>
      </w:r>
      <w:r w:rsidR="009566F4" w:rsidRPr="009566F4">
        <w:rPr>
          <w:rFonts w:ascii="Times New Roman" w:hAnsi="Times New Roman" w:cs="Times New Roman"/>
          <w:sz w:val="24"/>
          <w:szCs w:val="24"/>
        </w:rPr>
        <w:t xml:space="preserve"> </w:t>
      </w:r>
      <w:r w:rsidR="009566F4">
        <w:rPr>
          <w:rFonts w:ascii="Times New Roman" w:hAnsi="Times New Roman" w:cs="Times New Roman"/>
          <w:sz w:val="24"/>
          <w:szCs w:val="24"/>
        </w:rPr>
        <w:t xml:space="preserve">certain people </w:t>
      </w:r>
      <w:r w:rsidR="004E3D61">
        <w:rPr>
          <w:rFonts w:ascii="Times New Roman" w:hAnsi="Times New Roman" w:cs="Times New Roman"/>
          <w:sz w:val="24"/>
          <w:szCs w:val="24"/>
        </w:rPr>
        <w:t xml:space="preserve">who </w:t>
      </w:r>
      <w:r w:rsidR="009566F4">
        <w:rPr>
          <w:rFonts w:ascii="Times New Roman" w:hAnsi="Times New Roman" w:cs="Times New Roman"/>
          <w:sz w:val="24"/>
          <w:szCs w:val="24"/>
        </w:rPr>
        <w:t>provid</w:t>
      </w:r>
      <w:r w:rsidR="004E3D61">
        <w:rPr>
          <w:rFonts w:ascii="Times New Roman" w:hAnsi="Times New Roman" w:cs="Times New Roman"/>
          <w:sz w:val="24"/>
          <w:szCs w:val="24"/>
        </w:rPr>
        <w:t>ed</w:t>
      </w:r>
      <w:r w:rsidR="009566F4">
        <w:rPr>
          <w:rFonts w:ascii="Times New Roman" w:hAnsi="Times New Roman" w:cs="Times New Roman"/>
          <w:sz w:val="24"/>
          <w:szCs w:val="24"/>
        </w:rPr>
        <w:t xml:space="preserve"> advice in a foreign country.</w:t>
      </w:r>
    </w:p>
    <w:p w:rsidR="009F2662" w:rsidRDefault="009F2662"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 xml:space="preserve">The transitional </w:t>
      </w:r>
      <w:r w:rsidR="00AC5ED4">
        <w:rPr>
          <w:rFonts w:ascii="Times New Roman" w:hAnsi="Times New Roman" w:cs="Times New Roman"/>
          <w:sz w:val="24"/>
          <w:szCs w:val="24"/>
        </w:rPr>
        <w:t xml:space="preserve">arrangements </w:t>
      </w:r>
      <w:r w:rsidR="00670475">
        <w:rPr>
          <w:rFonts w:ascii="Times New Roman" w:hAnsi="Times New Roman" w:cs="Times New Roman"/>
          <w:sz w:val="24"/>
          <w:szCs w:val="24"/>
        </w:rPr>
        <w:t>for existing providers mean they</w:t>
      </w:r>
      <w:r w:rsidR="00B41BA8">
        <w:rPr>
          <w:rFonts w:ascii="Times New Roman" w:hAnsi="Times New Roman" w:cs="Times New Roman"/>
          <w:sz w:val="24"/>
          <w:szCs w:val="24"/>
        </w:rPr>
        <w:t xml:space="preserve"> have until </w:t>
      </w:r>
      <w:r w:rsidR="00670475">
        <w:rPr>
          <w:rFonts w:ascii="Times New Roman" w:hAnsi="Times New Roman" w:cs="Times New Roman"/>
          <w:sz w:val="24"/>
          <w:szCs w:val="24"/>
        </w:rPr>
        <w:t xml:space="preserve">1 January 2021 </w:t>
      </w:r>
      <w:r w:rsidR="00053DC5">
        <w:rPr>
          <w:rFonts w:ascii="Times New Roman" w:hAnsi="Times New Roman" w:cs="Times New Roman"/>
          <w:sz w:val="24"/>
          <w:szCs w:val="24"/>
        </w:rPr>
        <w:t xml:space="preserve">to meet the exam requirement </w:t>
      </w:r>
      <w:r w:rsidR="00670475">
        <w:rPr>
          <w:rFonts w:ascii="Times New Roman" w:hAnsi="Times New Roman" w:cs="Times New Roman"/>
          <w:sz w:val="24"/>
          <w:szCs w:val="24"/>
        </w:rPr>
        <w:t>and</w:t>
      </w:r>
      <w:r w:rsidR="00670475" w:rsidRPr="00670475">
        <w:rPr>
          <w:rFonts w:ascii="Times New Roman" w:hAnsi="Times New Roman" w:cs="Times New Roman"/>
          <w:sz w:val="24"/>
          <w:szCs w:val="24"/>
        </w:rPr>
        <w:t xml:space="preserve"> </w:t>
      </w:r>
      <w:r w:rsidR="00053DC5">
        <w:rPr>
          <w:rFonts w:ascii="Times New Roman" w:hAnsi="Times New Roman" w:cs="Times New Roman"/>
          <w:sz w:val="24"/>
          <w:szCs w:val="24"/>
        </w:rPr>
        <w:t xml:space="preserve">until 1 January 2024 to </w:t>
      </w:r>
      <w:r w:rsidR="00B96AA7">
        <w:rPr>
          <w:rFonts w:ascii="Times New Roman" w:hAnsi="Times New Roman" w:cs="Times New Roman"/>
          <w:sz w:val="24"/>
          <w:szCs w:val="24"/>
        </w:rPr>
        <w:t xml:space="preserve">meet the </w:t>
      </w:r>
      <w:r w:rsidR="00670475">
        <w:rPr>
          <w:rFonts w:ascii="Times New Roman" w:hAnsi="Times New Roman" w:cs="Times New Roman"/>
          <w:sz w:val="24"/>
          <w:szCs w:val="24"/>
        </w:rPr>
        <w:t xml:space="preserve">degree </w:t>
      </w:r>
      <w:r w:rsidR="00B96AA7">
        <w:rPr>
          <w:rFonts w:ascii="Times New Roman" w:hAnsi="Times New Roman" w:cs="Times New Roman"/>
          <w:sz w:val="24"/>
          <w:szCs w:val="24"/>
        </w:rPr>
        <w:t>requirement</w:t>
      </w:r>
      <w:r w:rsidR="00053DC5">
        <w:rPr>
          <w:rFonts w:ascii="Times New Roman" w:hAnsi="Times New Roman" w:cs="Times New Roman"/>
          <w:sz w:val="24"/>
          <w:szCs w:val="24"/>
        </w:rPr>
        <w:t>.</w:t>
      </w:r>
      <w:r w:rsidR="00670475">
        <w:rPr>
          <w:rFonts w:ascii="Times New Roman" w:hAnsi="Times New Roman" w:cs="Times New Roman"/>
          <w:sz w:val="24"/>
          <w:szCs w:val="24"/>
        </w:rPr>
        <w:t xml:space="preserve"> </w:t>
      </w:r>
      <w:r w:rsidR="0061634D">
        <w:rPr>
          <w:rFonts w:ascii="Times New Roman" w:hAnsi="Times New Roman" w:cs="Times New Roman"/>
          <w:sz w:val="24"/>
          <w:szCs w:val="24"/>
        </w:rPr>
        <w:t>F</w:t>
      </w:r>
      <w:r w:rsidR="0061634D" w:rsidRPr="0004185E">
        <w:rPr>
          <w:rFonts w:ascii="Times New Roman" w:hAnsi="Times New Roman" w:cs="Times New Roman"/>
          <w:sz w:val="24"/>
          <w:szCs w:val="24"/>
        </w:rPr>
        <w:t>rom 1 January 2019</w:t>
      </w:r>
      <w:r w:rsidR="0061634D">
        <w:rPr>
          <w:rFonts w:ascii="Times New Roman" w:hAnsi="Times New Roman" w:cs="Times New Roman"/>
          <w:sz w:val="24"/>
          <w:szCs w:val="24"/>
        </w:rPr>
        <w:t>, n</w:t>
      </w:r>
      <w:r w:rsidR="00670475">
        <w:rPr>
          <w:rFonts w:ascii="Times New Roman" w:hAnsi="Times New Roman" w:cs="Times New Roman"/>
          <w:sz w:val="24"/>
          <w:szCs w:val="24"/>
        </w:rPr>
        <w:t>ew entrants</w:t>
      </w:r>
      <w:r w:rsidR="00B41BA8">
        <w:rPr>
          <w:rFonts w:ascii="Times New Roman" w:hAnsi="Times New Roman" w:cs="Times New Roman"/>
          <w:sz w:val="24"/>
          <w:szCs w:val="24"/>
        </w:rPr>
        <w:t>, called ‘provisional relevant providers’,</w:t>
      </w:r>
      <w:r w:rsidR="00670475">
        <w:rPr>
          <w:rFonts w:ascii="Times New Roman" w:hAnsi="Times New Roman" w:cs="Times New Roman"/>
          <w:sz w:val="24"/>
          <w:szCs w:val="24"/>
        </w:rPr>
        <w:t xml:space="preserve"> must meet these requirements before they can be </w:t>
      </w:r>
      <w:r w:rsidR="00053DC5">
        <w:rPr>
          <w:rFonts w:ascii="Times New Roman" w:hAnsi="Times New Roman" w:cs="Times New Roman"/>
          <w:sz w:val="24"/>
          <w:szCs w:val="24"/>
        </w:rPr>
        <w:t>authori</w:t>
      </w:r>
      <w:r w:rsidR="00B41BA8">
        <w:rPr>
          <w:rFonts w:ascii="Times New Roman" w:hAnsi="Times New Roman" w:cs="Times New Roman"/>
          <w:sz w:val="24"/>
          <w:szCs w:val="24"/>
        </w:rPr>
        <w:t>s</w:t>
      </w:r>
      <w:r w:rsidR="00053DC5">
        <w:rPr>
          <w:rFonts w:ascii="Times New Roman" w:hAnsi="Times New Roman" w:cs="Times New Roman"/>
          <w:sz w:val="24"/>
          <w:szCs w:val="24"/>
        </w:rPr>
        <w:t>ed to provide personal advice to retail clients on relevant financial products</w:t>
      </w:r>
      <w:r w:rsidR="00670475">
        <w:rPr>
          <w:rFonts w:ascii="Times New Roman" w:hAnsi="Times New Roman" w:cs="Times New Roman"/>
          <w:sz w:val="24"/>
          <w:szCs w:val="24"/>
        </w:rPr>
        <w:t>.</w:t>
      </w:r>
      <w:r w:rsidR="00B41BA8">
        <w:rPr>
          <w:rFonts w:ascii="Times New Roman" w:hAnsi="Times New Roman" w:cs="Times New Roman"/>
          <w:sz w:val="24"/>
          <w:szCs w:val="24"/>
        </w:rPr>
        <w:t xml:space="preserve"> Provisional relevant providers must also </w:t>
      </w:r>
      <w:r w:rsidR="00657DED">
        <w:rPr>
          <w:rFonts w:ascii="Times New Roman" w:hAnsi="Times New Roman" w:cs="Times New Roman"/>
          <w:sz w:val="24"/>
          <w:szCs w:val="24"/>
        </w:rPr>
        <w:t xml:space="preserve">comply with the </w:t>
      </w:r>
      <w:r w:rsidR="00B41BA8" w:rsidRPr="00670475">
        <w:rPr>
          <w:rFonts w:ascii="Times New Roman" w:hAnsi="Times New Roman" w:cs="Times New Roman"/>
          <w:sz w:val="24"/>
          <w:szCs w:val="24"/>
        </w:rPr>
        <w:t>year of work and training</w:t>
      </w:r>
      <w:r w:rsidR="00B41BA8">
        <w:rPr>
          <w:rFonts w:ascii="Times New Roman" w:hAnsi="Times New Roman" w:cs="Times New Roman"/>
          <w:sz w:val="24"/>
          <w:szCs w:val="24"/>
        </w:rPr>
        <w:t xml:space="preserve"> and cannot call themselves a financial adviser (or similar term).</w:t>
      </w:r>
      <w:r w:rsidR="00670475">
        <w:rPr>
          <w:rFonts w:ascii="Times New Roman" w:hAnsi="Times New Roman" w:cs="Times New Roman"/>
          <w:sz w:val="24"/>
          <w:szCs w:val="24"/>
        </w:rPr>
        <w:t xml:space="preserve"> Existing providers do not have </w:t>
      </w:r>
      <w:r w:rsidR="00670475" w:rsidRPr="00670475">
        <w:rPr>
          <w:rFonts w:ascii="Times New Roman" w:hAnsi="Times New Roman" w:cs="Times New Roman"/>
          <w:sz w:val="24"/>
          <w:szCs w:val="24"/>
        </w:rPr>
        <w:t xml:space="preserve">to </w:t>
      </w:r>
      <w:r w:rsidR="00B96AA7">
        <w:rPr>
          <w:rFonts w:ascii="Times New Roman" w:hAnsi="Times New Roman" w:cs="Times New Roman"/>
          <w:sz w:val="24"/>
          <w:szCs w:val="24"/>
        </w:rPr>
        <w:t xml:space="preserve">undertake </w:t>
      </w:r>
      <w:r w:rsidR="00670475" w:rsidRPr="00670475">
        <w:rPr>
          <w:rFonts w:ascii="Times New Roman" w:hAnsi="Times New Roman" w:cs="Times New Roman"/>
          <w:sz w:val="24"/>
          <w:szCs w:val="24"/>
        </w:rPr>
        <w:t>a year of work and training</w:t>
      </w:r>
      <w:r w:rsidR="00670475">
        <w:rPr>
          <w:rFonts w:ascii="Times New Roman" w:hAnsi="Times New Roman" w:cs="Times New Roman"/>
          <w:sz w:val="24"/>
          <w:szCs w:val="24"/>
        </w:rPr>
        <w:t xml:space="preserve"> and can continue to call themselves </w:t>
      </w:r>
      <w:bookmarkStart w:id="7" w:name="_Hlk525556275"/>
      <w:r w:rsidR="0004185E">
        <w:rPr>
          <w:rFonts w:ascii="Times New Roman" w:hAnsi="Times New Roman" w:cs="Times New Roman"/>
          <w:sz w:val="24"/>
          <w:szCs w:val="24"/>
        </w:rPr>
        <w:t>a financial adviser (or similar term)</w:t>
      </w:r>
      <w:r w:rsidR="0004185E" w:rsidRPr="0004185E">
        <w:rPr>
          <w:rFonts w:ascii="Times New Roman" w:hAnsi="Times New Roman" w:cs="Times New Roman"/>
          <w:sz w:val="24"/>
          <w:szCs w:val="24"/>
        </w:rPr>
        <w:t xml:space="preserve"> from 1 January 2019</w:t>
      </w:r>
      <w:bookmarkEnd w:id="7"/>
      <w:r w:rsidR="00071A7D">
        <w:rPr>
          <w:rFonts w:ascii="Times New Roman" w:hAnsi="Times New Roman" w:cs="Times New Roman"/>
          <w:sz w:val="24"/>
          <w:szCs w:val="24"/>
        </w:rPr>
        <w:t>,</w:t>
      </w:r>
      <w:r w:rsidR="0004185E" w:rsidRPr="0004185E">
        <w:rPr>
          <w:rFonts w:ascii="Times New Roman" w:hAnsi="Times New Roman" w:cs="Times New Roman"/>
          <w:sz w:val="24"/>
          <w:szCs w:val="24"/>
        </w:rPr>
        <w:t xml:space="preserve"> provided they satisfy the relevant requirements that apply to them at any given time.</w:t>
      </w:r>
      <w:r w:rsidR="00B41BA8">
        <w:rPr>
          <w:rFonts w:ascii="Times New Roman" w:hAnsi="Times New Roman" w:cs="Times New Roman"/>
          <w:sz w:val="24"/>
          <w:szCs w:val="24"/>
        </w:rPr>
        <w:t xml:space="preserve"> </w:t>
      </w:r>
    </w:p>
    <w:p w:rsidR="00876CCC" w:rsidRPr="00D57504" w:rsidRDefault="00876CCC"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The Act imposes obligations on</w:t>
      </w:r>
      <w:r w:rsidR="00A665FB" w:rsidRPr="00D57504">
        <w:rPr>
          <w:rFonts w:ascii="Times New Roman" w:hAnsi="Times New Roman" w:cs="Times New Roman"/>
          <w:sz w:val="24"/>
          <w:szCs w:val="24"/>
        </w:rPr>
        <w:t xml:space="preserve"> Australian financial services</w:t>
      </w:r>
      <w:r w:rsidRPr="00D57504">
        <w:rPr>
          <w:rFonts w:ascii="Times New Roman" w:hAnsi="Times New Roman" w:cs="Times New Roman"/>
          <w:sz w:val="24"/>
          <w:szCs w:val="24"/>
        </w:rPr>
        <w:t xml:space="preserve"> </w:t>
      </w:r>
      <w:bookmarkStart w:id="8" w:name="_Hlk522629200"/>
      <w:r w:rsidRPr="00D57504">
        <w:rPr>
          <w:rFonts w:ascii="Times New Roman" w:hAnsi="Times New Roman" w:cs="Times New Roman"/>
          <w:sz w:val="24"/>
          <w:szCs w:val="24"/>
        </w:rPr>
        <w:t xml:space="preserve">licensees </w:t>
      </w:r>
      <w:bookmarkEnd w:id="8"/>
      <w:r w:rsidR="00A665FB" w:rsidRPr="00D57504">
        <w:rPr>
          <w:rFonts w:ascii="Times New Roman" w:hAnsi="Times New Roman" w:cs="Times New Roman"/>
          <w:sz w:val="24"/>
          <w:szCs w:val="24"/>
        </w:rPr>
        <w:t xml:space="preserve">(licensees) </w:t>
      </w:r>
      <w:r w:rsidRPr="00D57504">
        <w:rPr>
          <w:rFonts w:ascii="Times New Roman" w:hAnsi="Times New Roman" w:cs="Times New Roman"/>
          <w:sz w:val="24"/>
          <w:szCs w:val="24"/>
        </w:rPr>
        <w:t xml:space="preserve">to notify ASIC of certain information and for ASIC to keep a register of these details. To support these new reforms, significant changes are required to </w:t>
      </w:r>
      <w:r w:rsidR="00561FE6" w:rsidRPr="00D57504">
        <w:rPr>
          <w:rFonts w:ascii="Times New Roman" w:hAnsi="Times New Roman" w:cs="Times New Roman"/>
          <w:sz w:val="24"/>
          <w:szCs w:val="24"/>
        </w:rPr>
        <w:t xml:space="preserve">the </w:t>
      </w:r>
      <w:r w:rsidR="006A0029">
        <w:rPr>
          <w:rFonts w:ascii="Times New Roman" w:hAnsi="Times New Roman" w:cs="Times New Roman"/>
          <w:sz w:val="24"/>
          <w:szCs w:val="24"/>
        </w:rPr>
        <w:t>Register of Relevant Providers (</w:t>
      </w:r>
      <w:r w:rsidR="00097ABC">
        <w:rPr>
          <w:rFonts w:ascii="Times New Roman" w:hAnsi="Times New Roman" w:cs="Times New Roman"/>
          <w:sz w:val="24"/>
          <w:szCs w:val="24"/>
        </w:rPr>
        <w:t>known as the</w:t>
      </w:r>
      <w:r w:rsidR="006A0029">
        <w:rPr>
          <w:rFonts w:ascii="Times New Roman" w:hAnsi="Times New Roman" w:cs="Times New Roman"/>
          <w:sz w:val="24"/>
          <w:szCs w:val="24"/>
        </w:rPr>
        <w:t xml:space="preserve"> ‘</w:t>
      </w:r>
      <w:r w:rsidR="00561FE6" w:rsidRPr="00D57504">
        <w:rPr>
          <w:rFonts w:ascii="Times New Roman" w:hAnsi="Times New Roman" w:cs="Times New Roman"/>
          <w:sz w:val="24"/>
          <w:szCs w:val="24"/>
        </w:rPr>
        <w:t>F</w:t>
      </w:r>
      <w:r w:rsidRPr="00D57504">
        <w:rPr>
          <w:rFonts w:ascii="Times New Roman" w:hAnsi="Times New Roman" w:cs="Times New Roman"/>
          <w:sz w:val="24"/>
          <w:szCs w:val="24"/>
        </w:rPr>
        <w:t xml:space="preserve">inancial </w:t>
      </w:r>
      <w:r w:rsidR="00561FE6" w:rsidRPr="00D57504">
        <w:rPr>
          <w:rFonts w:ascii="Times New Roman" w:hAnsi="Times New Roman" w:cs="Times New Roman"/>
          <w:sz w:val="24"/>
          <w:szCs w:val="24"/>
        </w:rPr>
        <w:t>A</w:t>
      </w:r>
      <w:r w:rsidRPr="00D57504">
        <w:rPr>
          <w:rFonts w:ascii="Times New Roman" w:hAnsi="Times New Roman" w:cs="Times New Roman"/>
          <w:sz w:val="24"/>
          <w:szCs w:val="24"/>
        </w:rPr>
        <w:t xml:space="preserve">dvisers </w:t>
      </w:r>
      <w:r w:rsidR="00561FE6" w:rsidRPr="00D57504">
        <w:rPr>
          <w:rFonts w:ascii="Times New Roman" w:hAnsi="Times New Roman" w:cs="Times New Roman"/>
          <w:sz w:val="24"/>
          <w:szCs w:val="24"/>
        </w:rPr>
        <w:t>R</w:t>
      </w:r>
      <w:r w:rsidRPr="00D57504">
        <w:rPr>
          <w:rFonts w:ascii="Times New Roman" w:hAnsi="Times New Roman" w:cs="Times New Roman"/>
          <w:sz w:val="24"/>
          <w:szCs w:val="24"/>
        </w:rPr>
        <w:t>egister</w:t>
      </w:r>
      <w:r w:rsidR="006A0029">
        <w:rPr>
          <w:rFonts w:ascii="Times New Roman" w:hAnsi="Times New Roman" w:cs="Times New Roman"/>
          <w:sz w:val="24"/>
          <w:szCs w:val="24"/>
        </w:rPr>
        <w:t>’)</w:t>
      </w:r>
      <w:r w:rsidRPr="00D57504">
        <w:rPr>
          <w:rFonts w:ascii="Times New Roman" w:hAnsi="Times New Roman" w:cs="Times New Roman"/>
          <w:sz w:val="24"/>
          <w:szCs w:val="24"/>
        </w:rPr>
        <w:t xml:space="preserve"> and ASIC’s associated IT systems to allow licensees to comply with their obligations. </w:t>
      </w:r>
    </w:p>
    <w:p w:rsidR="005B0E3A" w:rsidRDefault="005B0E3A" w:rsidP="005B0E3A">
      <w:pPr>
        <w:spacing w:line="240" w:lineRule="exact"/>
        <w:rPr>
          <w:sz w:val="24"/>
          <w:szCs w:val="24"/>
        </w:rPr>
      </w:pPr>
    </w:p>
    <w:p w:rsidR="005B0E3A" w:rsidRPr="00D57504" w:rsidRDefault="005B0E3A" w:rsidP="00C1001C">
      <w:pPr>
        <w:pStyle w:val="ListPara1"/>
        <w:numPr>
          <w:ilvl w:val="0"/>
          <w:numId w:val="13"/>
        </w:numPr>
        <w:rPr>
          <w:rFonts w:ascii="Arial"/>
          <w:b/>
          <w:spacing w:val="-1"/>
          <w:sz w:val="24"/>
        </w:rPr>
      </w:pPr>
      <w:bookmarkStart w:id="9" w:name="2._Purpose_of_the_class_order_"/>
      <w:bookmarkEnd w:id="9"/>
      <w:r w:rsidRPr="00D57504">
        <w:rPr>
          <w:rFonts w:ascii="Arial"/>
          <w:b/>
          <w:spacing w:val="-1"/>
          <w:sz w:val="24"/>
        </w:rPr>
        <w:t>Purpose of the instrument</w:t>
      </w:r>
    </w:p>
    <w:p w:rsidR="0034215F" w:rsidRDefault="00463190" w:rsidP="00C1001C">
      <w:pPr>
        <w:pStyle w:val="ListPara1"/>
        <w:numPr>
          <w:ilvl w:val="1"/>
          <w:numId w:val="13"/>
        </w:numPr>
        <w:rPr>
          <w:rFonts w:ascii="Times New Roman" w:hAnsi="Times New Roman" w:cs="Times New Roman"/>
          <w:sz w:val="24"/>
          <w:szCs w:val="24"/>
        </w:rPr>
      </w:pPr>
      <w:bookmarkStart w:id="10" w:name="Insert_a_level_3_heading_"/>
      <w:bookmarkEnd w:id="10"/>
      <w:r>
        <w:rPr>
          <w:rFonts w:ascii="Times New Roman" w:hAnsi="Times New Roman" w:cs="Times New Roman"/>
          <w:sz w:val="24"/>
          <w:szCs w:val="24"/>
        </w:rPr>
        <w:t xml:space="preserve">This instrument </w:t>
      </w:r>
      <w:r w:rsidR="00444D39" w:rsidRPr="00380D7D">
        <w:rPr>
          <w:rFonts w:ascii="Times New Roman" w:hAnsi="Times New Roman" w:cs="Times New Roman"/>
          <w:sz w:val="24"/>
          <w:szCs w:val="24"/>
        </w:rPr>
        <w:t xml:space="preserve">changes the reporting dates for a number of </w:t>
      </w:r>
      <w:r w:rsidR="00146EBF">
        <w:rPr>
          <w:rFonts w:ascii="Times New Roman" w:hAnsi="Times New Roman" w:cs="Times New Roman"/>
          <w:sz w:val="24"/>
          <w:szCs w:val="24"/>
        </w:rPr>
        <w:t xml:space="preserve">disclosure obligations </w:t>
      </w:r>
      <w:r w:rsidR="00444D39" w:rsidRPr="00380D7D">
        <w:rPr>
          <w:rFonts w:ascii="Times New Roman" w:hAnsi="Times New Roman" w:cs="Times New Roman"/>
          <w:sz w:val="24"/>
          <w:szCs w:val="24"/>
        </w:rPr>
        <w:t>in the transition to the professional standards reforms.</w:t>
      </w:r>
      <w:r w:rsidR="00380D7D" w:rsidRPr="00380D7D">
        <w:rPr>
          <w:rFonts w:ascii="Times New Roman" w:hAnsi="Times New Roman" w:cs="Times New Roman"/>
          <w:sz w:val="24"/>
          <w:szCs w:val="24"/>
        </w:rPr>
        <w:t xml:space="preserve"> </w:t>
      </w:r>
    </w:p>
    <w:p w:rsidR="00463190" w:rsidRDefault="00463190" w:rsidP="00C1001C">
      <w:pPr>
        <w:pStyle w:val="ListPara1"/>
        <w:numPr>
          <w:ilvl w:val="1"/>
          <w:numId w:val="13"/>
        </w:numPr>
        <w:rPr>
          <w:rFonts w:ascii="Times New Roman" w:hAnsi="Times New Roman" w:cs="Times New Roman"/>
          <w:sz w:val="24"/>
          <w:szCs w:val="24"/>
        </w:rPr>
      </w:pPr>
      <w:r w:rsidRPr="00380D7D">
        <w:rPr>
          <w:rFonts w:ascii="Times New Roman" w:hAnsi="Times New Roman" w:cs="Times New Roman"/>
          <w:sz w:val="24"/>
          <w:szCs w:val="24"/>
        </w:rPr>
        <w:t xml:space="preserve">This instrument </w:t>
      </w:r>
      <w:r>
        <w:rPr>
          <w:rFonts w:ascii="Times New Roman" w:hAnsi="Times New Roman" w:cs="Times New Roman"/>
          <w:sz w:val="24"/>
          <w:szCs w:val="24"/>
        </w:rPr>
        <w:t xml:space="preserve">also makes </w:t>
      </w:r>
      <w:r w:rsidRPr="00380D7D">
        <w:rPr>
          <w:rFonts w:ascii="Times New Roman" w:hAnsi="Times New Roman" w:cs="Times New Roman"/>
          <w:sz w:val="24"/>
          <w:szCs w:val="24"/>
        </w:rPr>
        <w:t xml:space="preserve">minor technical </w:t>
      </w:r>
      <w:r>
        <w:rPr>
          <w:rFonts w:ascii="Times New Roman" w:hAnsi="Times New Roman" w:cs="Times New Roman"/>
          <w:sz w:val="24"/>
          <w:szCs w:val="24"/>
        </w:rPr>
        <w:t xml:space="preserve">amendments to </w:t>
      </w:r>
      <w:r w:rsidRPr="00380D7D">
        <w:rPr>
          <w:rFonts w:ascii="Times New Roman" w:hAnsi="Times New Roman" w:cs="Times New Roman"/>
          <w:sz w:val="24"/>
          <w:szCs w:val="24"/>
        </w:rPr>
        <w:t>the Act</w:t>
      </w:r>
      <w:r w:rsidR="00441D4B">
        <w:rPr>
          <w:rFonts w:ascii="Times New Roman" w:hAnsi="Times New Roman" w:cs="Times New Roman"/>
          <w:sz w:val="24"/>
          <w:szCs w:val="24"/>
        </w:rPr>
        <w:t xml:space="preserve"> </w:t>
      </w:r>
      <w:r w:rsidR="00EA05AE">
        <w:rPr>
          <w:rFonts w:ascii="Times New Roman" w:hAnsi="Times New Roman" w:cs="Times New Roman"/>
          <w:sz w:val="24"/>
          <w:szCs w:val="24"/>
        </w:rPr>
        <w:t xml:space="preserve">to address unintended </w:t>
      </w:r>
      <w:r w:rsidR="005C4960">
        <w:rPr>
          <w:rFonts w:ascii="Times New Roman" w:hAnsi="Times New Roman" w:cs="Times New Roman"/>
          <w:sz w:val="24"/>
          <w:szCs w:val="24"/>
        </w:rPr>
        <w:t xml:space="preserve">consequences </w:t>
      </w:r>
      <w:r w:rsidR="00894C71">
        <w:rPr>
          <w:rFonts w:ascii="Times New Roman" w:hAnsi="Times New Roman" w:cs="Times New Roman"/>
          <w:sz w:val="24"/>
          <w:szCs w:val="24"/>
        </w:rPr>
        <w:t xml:space="preserve">and to ensure </w:t>
      </w:r>
      <w:r w:rsidR="00BB52C6" w:rsidRPr="00BB52C6">
        <w:rPr>
          <w:rFonts w:ascii="Times New Roman" w:hAnsi="Times New Roman" w:cs="Times New Roman"/>
          <w:sz w:val="24"/>
          <w:szCs w:val="24"/>
        </w:rPr>
        <w:t xml:space="preserve">the </w:t>
      </w:r>
      <w:r w:rsidR="00B14744">
        <w:rPr>
          <w:rFonts w:ascii="Times New Roman" w:hAnsi="Times New Roman" w:cs="Times New Roman"/>
          <w:sz w:val="24"/>
          <w:szCs w:val="24"/>
        </w:rPr>
        <w:t xml:space="preserve">professional standards reforms </w:t>
      </w:r>
      <w:r w:rsidR="00BB52C6" w:rsidRPr="00BB52C6">
        <w:rPr>
          <w:rFonts w:ascii="Times New Roman" w:hAnsi="Times New Roman" w:cs="Times New Roman"/>
          <w:sz w:val="24"/>
          <w:szCs w:val="24"/>
        </w:rPr>
        <w:t xml:space="preserve">apply to </w:t>
      </w:r>
      <w:r w:rsidR="00894C71">
        <w:rPr>
          <w:rFonts w:ascii="Times New Roman" w:hAnsi="Times New Roman" w:cs="Times New Roman"/>
          <w:sz w:val="24"/>
          <w:szCs w:val="24"/>
        </w:rPr>
        <w:t>as intended</w:t>
      </w:r>
      <w:r w:rsidR="00657DED">
        <w:rPr>
          <w:rFonts w:ascii="Times New Roman" w:hAnsi="Times New Roman" w:cs="Times New Roman"/>
          <w:sz w:val="24"/>
          <w:szCs w:val="24"/>
        </w:rPr>
        <w:t xml:space="preserve">. </w:t>
      </w:r>
      <w:r w:rsidR="009215C3">
        <w:rPr>
          <w:rFonts w:ascii="Times New Roman" w:hAnsi="Times New Roman" w:cs="Times New Roman"/>
          <w:sz w:val="24"/>
          <w:szCs w:val="24"/>
        </w:rPr>
        <w:t>In particular, they ensure the Act applies consistently to individuals.</w:t>
      </w:r>
      <w:r w:rsidR="005B2DA3" w:rsidRPr="005B2DA3">
        <w:rPr>
          <w:rFonts w:ascii="Times New Roman" w:hAnsi="Times New Roman" w:cs="Times New Roman"/>
          <w:sz w:val="24"/>
          <w:szCs w:val="24"/>
        </w:rPr>
        <w:t xml:space="preserve"> </w:t>
      </w:r>
    </w:p>
    <w:p w:rsidR="0034215F" w:rsidRPr="00C1001C" w:rsidRDefault="005E46C3" w:rsidP="00C50DFE">
      <w:pPr>
        <w:pStyle w:val="ListPara1"/>
        <w:keepNext/>
        <w:numPr>
          <w:ilvl w:val="0"/>
          <w:numId w:val="0"/>
        </w:numPr>
        <w:rPr>
          <w:rFonts w:ascii="Times New Roman" w:hAnsi="Times New Roman" w:cs="Times New Roman"/>
          <w:b/>
          <w:sz w:val="24"/>
          <w:szCs w:val="24"/>
        </w:rPr>
      </w:pPr>
      <w:r>
        <w:rPr>
          <w:rFonts w:ascii="Times New Roman" w:hAnsi="Times New Roman" w:cs="Times New Roman"/>
          <w:b/>
          <w:sz w:val="24"/>
          <w:szCs w:val="24"/>
        </w:rPr>
        <w:lastRenderedPageBreak/>
        <w:t>Changes to reporting dates</w:t>
      </w:r>
    </w:p>
    <w:p w:rsidR="00F811CA" w:rsidRDefault="00380D7D" w:rsidP="00C1001C">
      <w:pPr>
        <w:pStyle w:val="ListPara1"/>
        <w:numPr>
          <w:ilvl w:val="1"/>
          <w:numId w:val="13"/>
        </w:numPr>
        <w:rPr>
          <w:rFonts w:ascii="Times New Roman" w:hAnsi="Times New Roman" w:cs="Times New Roman"/>
          <w:sz w:val="24"/>
          <w:szCs w:val="24"/>
        </w:rPr>
      </w:pPr>
      <w:r w:rsidRPr="00380D7D">
        <w:rPr>
          <w:rFonts w:ascii="Times New Roman" w:hAnsi="Times New Roman" w:cs="Times New Roman"/>
          <w:sz w:val="24"/>
          <w:szCs w:val="24"/>
        </w:rPr>
        <w:t xml:space="preserve">The revised schedule </w:t>
      </w:r>
      <w:r w:rsidR="00981BA4">
        <w:rPr>
          <w:rFonts w:ascii="Times New Roman" w:hAnsi="Times New Roman" w:cs="Times New Roman"/>
          <w:sz w:val="24"/>
          <w:szCs w:val="24"/>
        </w:rPr>
        <w:t xml:space="preserve">for reporting to ASIC </w:t>
      </w:r>
      <w:r w:rsidR="005C4960">
        <w:rPr>
          <w:rFonts w:ascii="Times New Roman" w:hAnsi="Times New Roman" w:cs="Times New Roman"/>
          <w:sz w:val="24"/>
          <w:szCs w:val="24"/>
        </w:rPr>
        <w:t xml:space="preserve">that is </w:t>
      </w:r>
      <w:r w:rsidR="00981BA4">
        <w:rPr>
          <w:rFonts w:ascii="Times New Roman" w:hAnsi="Times New Roman" w:cs="Times New Roman"/>
          <w:sz w:val="24"/>
          <w:szCs w:val="24"/>
        </w:rPr>
        <w:t xml:space="preserve">set out below </w:t>
      </w:r>
      <w:r w:rsidR="00CE4DF2">
        <w:rPr>
          <w:rFonts w:ascii="Times New Roman" w:hAnsi="Times New Roman" w:cs="Times New Roman"/>
          <w:sz w:val="24"/>
          <w:szCs w:val="24"/>
        </w:rPr>
        <w:t xml:space="preserve">is intended to </w:t>
      </w:r>
      <w:r w:rsidR="00F811CA" w:rsidRPr="00F811CA">
        <w:rPr>
          <w:rFonts w:ascii="Times New Roman" w:hAnsi="Times New Roman" w:cs="Times New Roman"/>
          <w:sz w:val="24"/>
          <w:szCs w:val="24"/>
        </w:rPr>
        <w:t xml:space="preserve">simplify licensees’ </w:t>
      </w:r>
      <w:r w:rsidR="00F811CA">
        <w:rPr>
          <w:rFonts w:ascii="Times New Roman" w:hAnsi="Times New Roman" w:cs="Times New Roman"/>
          <w:sz w:val="24"/>
          <w:szCs w:val="24"/>
        </w:rPr>
        <w:t>disclosure</w:t>
      </w:r>
      <w:r w:rsidR="00F811CA" w:rsidRPr="00F811CA">
        <w:rPr>
          <w:rFonts w:ascii="Times New Roman" w:hAnsi="Times New Roman" w:cs="Times New Roman"/>
          <w:sz w:val="24"/>
          <w:szCs w:val="24"/>
        </w:rPr>
        <w:t xml:space="preserve"> obligations and enable ASIC to implement the required </w:t>
      </w:r>
      <w:r w:rsidR="00B14744">
        <w:rPr>
          <w:rFonts w:ascii="Times New Roman" w:hAnsi="Times New Roman" w:cs="Times New Roman"/>
          <w:sz w:val="24"/>
          <w:szCs w:val="24"/>
        </w:rPr>
        <w:t xml:space="preserve">IT </w:t>
      </w:r>
      <w:r w:rsidR="00F811CA" w:rsidRPr="00F811CA">
        <w:rPr>
          <w:rFonts w:ascii="Times New Roman" w:hAnsi="Times New Roman" w:cs="Times New Roman"/>
          <w:sz w:val="24"/>
          <w:szCs w:val="24"/>
        </w:rPr>
        <w:t>systems changes more effectively</w:t>
      </w:r>
      <w:r w:rsidR="00F811CA">
        <w:rPr>
          <w:rFonts w:ascii="Times New Roman" w:hAnsi="Times New Roman" w:cs="Times New Roman"/>
          <w:sz w:val="24"/>
          <w:szCs w:val="24"/>
        </w:rPr>
        <w:t>.</w:t>
      </w:r>
      <w:r w:rsidR="0079632D" w:rsidRPr="00D57504">
        <w:rPr>
          <w:rFonts w:ascii="Times New Roman" w:hAnsi="Times New Roman" w:cs="Times New Roman"/>
          <w:sz w:val="24"/>
          <w:szCs w:val="24"/>
        </w:rPr>
        <w:t xml:space="preserve"> </w:t>
      </w:r>
    </w:p>
    <w:p w:rsidR="00380D7D" w:rsidRPr="00B50C6F" w:rsidRDefault="00981BA4"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Under the Act</w:t>
      </w:r>
      <w:r w:rsidR="00380D7D" w:rsidRPr="00001BFA">
        <w:rPr>
          <w:rFonts w:ascii="Times New Roman" w:hAnsi="Times New Roman" w:cs="Times New Roman"/>
          <w:sz w:val="24"/>
          <w:szCs w:val="24"/>
        </w:rPr>
        <w:t xml:space="preserve">, licensees </w:t>
      </w:r>
      <w:r>
        <w:rPr>
          <w:rFonts w:ascii="Times New Roman" w:hAnsi="Times New Roman" w:cs="Times New Roman"/>
          <w:sz w:val="24"/>
          <w:szCs w:val="24"/>
        </w:rPr>
        <w:t xml:space="preserve">must </w:t>
      </w:r>
      <w:r w:rsidR="00380D7D" w:rsidRPr="00001BFA">
        <w:rPr>
          <w:rFonts w:ascii="Times New Roman" w:hAnsi="Times New Roman" w:cs="Times New Roman"/>
          <w:sz w:val="24"/>
          <w:szCs w:val="24"/>
        </w:rPr>
        <w:t xml:space="preserve">notify ASIC of </w:t>
      </w:r>
      <w:r w:rsidR="00380D7D" w:rsidRPr="00B50C6F">
        <w:rPr>
          <w:rFonts w:ascii="Times New Roman" w:hAnsi="Times New Roman" w:cs="Times New Roman"/>
          <w:sz w:val="24"/>
          <w:szCs w:val="24"/>
        </w:rPr>
        <w:t>certain new information. This includes information about provisional relevant provider</w:t>
      </w:r>
      <w:r w:rsidR="00B14744">
        <w:rPr>
          <w:rFonts w:ascii="Times New Roman" w:hAnsi="Times New Roman" w:cs="Times New Roman"/>
          <w:sz w:val="24"/>
          <w:szCs w:val="24"/>
        </w:rPr>
        <w:t>s</w:t>
      </w:r>
      <w:r w:rsidR="00380D7D">
        <w:rPr>
          <w:rFonts w:ascii="Times New Roman" w:hAnsi="Times New Roman" w:cs="Times New Roman"/>
          <w:sz w:val="24"/>
          <w:szCs w:val="24"/>
        </w:rPr>
        <w:t>,</w:t>
      </w:r>
      <w:r w:rsidR="00380D7D" w:rsidRPr="00B50C6F">
        <w:rPr>
          <w:rFonts w:ascii="Times New Roman" w:hAnsi="Times New Roman" w:cs="Times New Roman"/>
          <w:sz w:val="24"/>
          <w:szCs w:val="24"/>
        </w:rPr>
        <w:t xml:space="preserve"> a licensee’s CPD year</w:t>
      </w:r>
      <w:r w:rsidR="00A22F51">
        <w:rPr>
          <w:rFonts w:ascii="Times New Roman" w:hAnsi="Times New Roman" w:cs="Times New Roman"/>
          <w:sz w:val="24"/>
          <w:szCs w:val="24"/>
        </w:rPr>
        <w:t xml:space="preserve"> and any failures </w:t>
      </w:r>
      <w:r>
        <w:rPr>
          <w:rFonts w:ascii="Times New Roman" w:hAnsi="Times New Roman" w:cs="Times New Roman"/>
          <w:sz w:val="24"/>
          <w:szCs w:val="24"/>
        </w:rPr>
        <w:t xml:space="preserve">by relevant providers </w:t>
      </w:r>
      <w:r w:rsidR="00A22F51">
        <w:rPr>
          <w:rFonts w:ascii="Times New Roman" w:hAnsi="Times New Roman" w:cs="Times New Roman"/>
          <w:sz w:val="24"/>
          <w:szCs w:val="24"/>
        </w:rPr>
        <w:t>to comply</w:t>
      </w:r>
      <w:r w:rsidR="00B14744">
        <w:rPr>
          <w:rFonts w:ascii="Times New Roman" w:hAnsi="Times New Roman" w:cs="Times New Roman"/>
          <w:sz w:val="24"/>
          <w:szCs w:val="24"/>
        </w:rPr>
        <w:t xml:space="preserve"> with their CPD requirements</w:t>
      </w:r>
      <w:r w:rsidR="00380D7D">
        <w:rPr>
          <w:rFonts w:ascii="Times New Roman" w:hAnsi="Times New Roman" w:cs="Times New Roman"/>
          <w:sz w:val="24"/>
          <w:szCs w:val="24"/>
        </w:rPr>
        <w:t xml:space="preserve">, </w:t>
      </w:r>
      <w:r w:rsidR="002B0D6B">
        <w:rPr>
          <w:rFonts w:ascii="Times New Roman" w:hAnsi="Times New Roman" w:cs="Times New Roman"/>
          <w:sz w:val="24"/>
          <w:szCs w:val="24"/>
        </w:rPr>
        <w:t xml:space="preserve">relevant providers who have met the exam requirement, </w:t>
      </w:r>
      <w:r w:rsidR="00380D7D">
        <w:rPr>
          <w:rFonts w:ascii="Times New Roman" w:hAnsi="Times New Roman" w:cs="Times New Roman"/>
          <w:sz w:val="24"/>
          <w:szCs w:val="24"/>
        </w:rPr>
        <w:t xml:space="preserve">and the principal place of business and compliance scheme membership of their </w:t>
      </w:r>
      <w:r w:rsidR="001C54B0">
        <w:rPr>
          <w:rFonts w:ascii="Times New Roman" w:hAnsi="Times New Roman" w:cs="Times New Roman"/>
          <w:sz w:val="24"/>
          <w:szCs w:val="24"/>
        </w:rPr>
        <w:t xml:space="preserve">relevant providers </w:t>
      </w:r>
      <w:r w:rsidR="00380D7D">
        <w:rPr>
          <w:rFonts w:ascii="Times New Roman" w:hAnsi="Times New Roman" w:cs="Times New Roman"/>
          <w:sz w:val="24"/>
          <w:szCs w:val="24"/>
        </w:rPr>
        <w:t>(earliest notifications)</w:t>
      </w:r>
      <w:r w:rsidR="00380D7D" w:rsidRPr="00B50C6F">
        <w:rPr>
          <w:rFonts w:ascii="Times New Roman" w:hAnsi="Times New Roman" w:cs="Times New Roman"/>
          <w:sz w:val="24"/>
          <w:szCs w:val="24"/>
        </w:rPr>
        <w:t>.</w:t>
      </w:r>
    </w:p>
    <w:p w:rsidR="00380D7D" w:rsidRPr="0079632D" w:rsidRDefault="00981BA4"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 xml:space="preserve">This instrument aligns </w:t>
      </w:r>
      <w:r w:rsidR="004E3D61">
        <w:rPr>
          <w:rFonts w:ascii="Times New Roman" w:hAnsi="Times New Roman" w:cs="Times New Roman"/>
          <w:sz w:val="24"/>
          <w:szCs w:val="24"/>
        </w:rPr>
        <w:t xml:space="preserve">licensees’ </w:t>
      </w:r>
      <w:r w:rsidR="0079632D" w:rsidRPr="0079632D">
        <w:rPr>
          <w:rFonts w:ascii="Times New Roman" w:hAnsi="Times New Roman" w:cs="Times New Roman"/>
          <w:sz w:val="24"/>
          <w:szCs w:val="24"/>
        </w:rPr>
        <w:t xml:space="preserve">earliest </w:t>
      </w:r>
      <w:r w:rsidR="00B41BA8">
        <w:rPr>
          <w:rFonts w:ascii="Times New Roman" w:hAnsi="Times New Roman" w:cs="Times New Roman"/>
          <w:sz w:val="24"/>
          <w:szCs w:val="24"/>
        </w:rPr>
        <w:t xml:space="preserve">notifications </w:t>
      </w:r>
      <w:r w:rsidR="0079632D" w:rsidRPr="0079632D">
        <w:rPr>
          <w:rFonts w:ascii="Times New Roman" w:hAnsi="Times New Roman" w:cs="Times New Roman"/>
          <w:sz w:val="24"/>
          <w:szCs w:val="24"/>
        </w:rPr>
        <w:t>to 15 November 2019</w:t>
      </w:r>
      <w:r>
        <w:rPr>
          <w:rFonts w:ascii="Times New Roman" w:hAnsi="Times New Roman" w:cs="Times New Roman"/>
          <w:sz w:val="24"/>
          <w:szCs w:val="24"/>
        </w:rPr>
        <w:t>.</w:t>
      </w:r>
      <w:r w:rsidR="00894C71">
        <w:rPr>
          <w:rFonts w:ascii="Times New Roman" w:hAnsi="Times New Roman" w:cs="Times New Roman"/>
          <w:sz w:val="24"/>
          <w:szCs w:val="24"/>
        </w:rPr>
        <w:t xml:space="preserve"> </w:t>
      </w:r>
      <w:r>
        <w:rPr>
          <w:rFonts w:ascii="Times New Roman" w:hAnsi="Times New Roman" w:cs="Times New Roman"/>
          <w:sz w:val="24"/>
          <w:szCs w:val="24"/>
        </w:rPr>
        <w:t>T</w:t>
      </w:r>
      <w:r w:rsidR="0079632D" w:rsidRPr="0079632D">
        <w:rPr>
          <w:rFonts w:ascii="Times New Roman" w:hAnsi="Times New Roman" w:cs="Times New Roman"/>
          <w:sz w:val="24"/>
          <w:szCs w:val="24"/>
        </w:rPr>
        <w:t xml:space="preserve">his new information </w:t>
      </w:r>
      <w:r>
        <w:rPr>
          <w:rFonts w:ascii="Times New Roman" w:hAnsi="Times New Roman" w:cs="Times New Roman"/>
          <w:sz w:val="24"/>
          <w:szCs w:val="24"/>
        </w:rPr>
        <w:t xml:space="preserve">will be </w:t>
      </w:r>
      <w:r w:rsidR="0079632D" w:rsidRPr="0079632D">
        <w:rPr>
          <w:rFonts w:ascii="Times New Roman" w:hAnsi="Times New Roman" w:cs="Times New Roman"/>
          <w:sz w:val="24"/>
          <w:szCs w:val="24"/>
        </w:rPr>
        <w:t xml:space="preserve">displayed on the </w:t>
      </w:r>
      <w:r w:rsidR="006A0029">
        <w:rPr>
          <w:rFonts w:ascii="Times New Roman" w:hAnsi="Times New Roman" w:cs="Times New Roman"/>
          <w:sz w:val="24"/>
          <w:szCs w:val="24"/>
        </w:rPr>
        <w:t xml:space="preserve">Register of Relevant Providers </w:t>
      </w:r>
      <w:r w:rsidR="0079632D" w:rsidRPr="0079632D">
        <w:rPr>
          <w:rFonts w:ascii="Times New Roman" w:hAnsi="Times New Roman" w:cs="Times New Roman"/>
          <w:sz w:val="24"/>
          <w:szCs w:val="24"/>
        </w:rPr>
        <w:t>from this date onwards.</w:t>
      </w:r>
    </w:p>
    <w:p w:rsidR="00380D7D" w:rsidRDefault="00F811CA"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The</w:t>
      </w:r>
      <w:r w:rsidRPr="00F811CA">
        <w:rPr>
          <w:rFonts w:ascii="Times New Roman" w:hAnsi="Times New Roman" w:cs="Times New Roman"/>
          <w:sz w:val="24"/>
          <w:szCs w:val="24"/>
        </w:rPr>
        <w:t xml:space="preserve"> changes do not</w:t>
      </w:r>
      <w:r>
        <w:rPr>
          <w:rFonts w:ascii="Times New Roman" w:hAnsi="Times New Roman" w:cs="Times New Roman"/>
          <w:sz w:val="24"/>
          <w:szCs w:val="24"/>
        </w:rPr>
        <w:t xml:space="preserve"> affect </w:t>
      </w:r>
      <w:r w:rsidR="00916120">
        <w:rPr>
          <w:rFonts w:ascii="Times New Roman" w:hAnsi="Times New Roman" w:cs="Times New Roman"/>
          <w:sz w:val="24"/>
          <w:szCs w:val="24"/>
        </w:rPr>
        <w:t>relevant providers</w:t>
      </w:r>
      <w:r>
        <w:rPr>
          <w:rFonts w:ascii="Times New Roman" w:hAnsi="Times New Roman" w:cs="Times New Roman"/>
          <w:sz w:val="24"/>
          <w:szCs w:val="24"/>
        </w:rPr>
        <w:t>’ and licensees’</w:t>
      </w:r>
      <w:r w:rsidRPr="00F811CA">
        <w:rPr>
          <w:rFonts w:ascii="Times New Roman" w:hAnsi="Times New Roman" w:cs="Times New Roman"/>
          <w:sz w:val="24"/>
          <w:szCs w:val="24"/>
        </w:rPr>
        <w:t xml:space="preserve"> substantive obligations under the </w:t>
      </w:r>
      <w:r w:rsidR="005C4960">
        <w:rPr>
          <w:rFonts w:ascii="Times New Roman" w:hAnsi="Times New Roman" w:cs="Times New Roman"/>
          <w:sz w:val="24"/>
          <w:szCs w:val="24"/>
        </w:rPr>
        <w:t>A</w:t>
      </w:r>
      <w:r w:rsidR="00916120">
        <w:rPr>
          <w:rFonts w:ascii="Times New Roman" w:hAnsi="Times New Roman" w:cs="Times New Roman"/>
          <w:sz w:val="24"/>
          <w:szCs w:val="24"/>
        </w:rPr>
        <w:t>ct</w:t>
      </w:r>
      <w:r w:rsidRPr="00F811CA">
        <w:rPr>
          <w:rFonts w:ascii="Times New Roman" w:hAnsi="Times New Roman" w:cs="Times New Roman"/>
          <w:sz w:val="24"/>
          <w:szCs w:val="24"/>
        </w:rPr>
        <w:t xml:space="preserve">. </w:t>
      </w:r>
      <w:r w:rsidR="00916120">
        <w:rPr>
          <w:rFonts w:ascii="Times New Roman" w:hAnsi="Times New Roman" w:cs="Times New Roman"/>
          <w:sz w:val="24"/>
          <w:szCs w:val="24"/>
        </w:rPr>
        <w:t>Relevant providers</w:t>
      </w:r>
      <w:r w:rsidRPr="00F811CA">
        <w:rPr>
          <w:rFonts w:ascii="Times New Roman" w:hAnsi="Times New Roman" w:cs="Times New Roman"/>
          <w:sz w:val="24"/>
          <w:szCs w:val="24"/>
        </w:rPr>
        <w:t xml:space="preserve"> and licensees must still comply with the new </w:t>
      </w:r>
      <w:r w:rsidR="00672C4C">
        <w:rPr>
          <w:rFonts w:ascii="Times New Roman" w:hAnsi="Times New Roman" w:cs="Times New Roman"/>
          <w:sz w:val="24"/>
          <w:szCs w:val="24"/>
        </w:rPr>
        <w:t xml:space="preserve">education and training standards </w:t>
      </w:r>
      <w:r w:rsidRPr="00F811CA">
        <w:rPr>
          <w:rFonts w:ascii="Times New Roman" w:hAnsi="Times New Roman" w:cs="Times New Roman"/>
          <w:sz w:val="24"/>
          <w:szCs w:val="24"/>
        </w:rPr>
        <w:t>and licensees must keep appropriate r</w:t>
      </w:r>
      <w:r>
        <w:rPr>
          <w:rFonts w:ascii="Times New Roman" w:hAnsi="Times New Roman" w:cs="Times New Roman"/>
          <w:sz w:val="24"/>
          <w:szCs w:val="24"/>
        </w:rPr>
        <w:t xml:space="preserve">ecords for compliance purposes. </w:t>
      </w:r>
      <w:r w:rsidR="00380D7D">
        <w:rPr>
          <w:rFonts w:ascii="Times New Roman" w:hAnsi="Times New Roman" w:cs="Times New Roman"/>
          <w:sz w:val="24"/>
          <w:szCs w:val="24"/>
        </w:rPr>
        <w:t>Licensees will still be required to:</w:t>
      </w:r>
    </w:p>
    <w:p w:rsidR="00380D7D" w:rsidRDefault="00380D7D"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 xml:space="preserve">comply with the requirements for provisional relevant providers from 1 January 2019, including ensuring </w:t>
      </w:r>
      <w:r w:rsidR="00B14744">
        <w:rPr>
          <w:rFonts w:ascii="Times New Roman" w:hAnsi="Times New Roman" w:cs="Times New Roman"/>
          <w:sz w:val="24"/>
          <w:szCs w:val="24"/>
        </w:rPr>
        <w:t xml:space="preserve">each </w:t>
      </w:r>
      <w:r>
        <w:rPr>
          <w:rFonts w:ascii="Times New Roman" w:hAnsi="Times New Roman" w:cs="Times New Roman"/>
          <w:sz w:val="24"/>
          <w:szCs w:val="24"/>
        </w:rPr>
        <w:t xml:space="preserve">provisional relevant provider has </w:t>
      </w:r>
      <w:r w:rsidR="00B960A7">
        <w:rPr>
          <w:rFonts w:ascii="Times New Roman" w:hAnsi="Times New Roman" w:cs="Times New Roman"/>
          <w:sz w:val="24"/>
          <w:szCs w:val="24"/>
        </w:rPr>
        <w:t>met the degree requirement, met the exam requirement and has met or is undertaking the year of work and training requirement</w:t>
      </w:r>
      <w:r>
        <w:rPr>
          <w:rFonts w:ascii="Times New Roman" w:hAnsi="Times New Roman" w:cs="Times New Roman"/>
          <w:sz w:val="24"/>
          <w:szCs w:val="24"/>
        </w:rPr>
        <w:t>;</w:t>
      </w:r>
    </w:p>
    <w:p w:rsidR="00380D7D" w:rsidRDefault="00380D7D"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maintain appropriate records about the provisional relevant provider (</w:t>
      </w:r>
      <w:r w:rsidR="003D3777">
        <w:rPr>
          <w:rFonts w:ascii="Times New Roman" w:hAnsi="Times New Roman" w:cs="Times New Roman"/>
          <w:sz w:val="24"/>
          <w:szCs w:val="24"/>
        </w:rPr>
        <w:t>for example,</w:t>
      </w:r>
      <w:r>
        <w:rPr>
          <w:rFonts w:ascii="Times New Roman" w:hAnsi="Times New Roman" w:cs="Times New Roman"/>
          <w:sz w:val="24"/>
          <w:szCs w:val="24"/>
        </w:rPr>
        <w:t xml:space="preserve"> name, product authorisations</w:t>
      </w:r>
      <w:r w:rsidR="00C14030">
        <w:rPr>
          <w:rFonts w:ascii="Times New Roman" w:hAnsi="Times New Roman" w:cs="Times New Roman"/>
          <w:sz w:val="24"/>
          <w:szCs w:val="24"/>
        </w:rPr>
        <w:t xml:space="preserve"> if given</w:t>
      </w:r>
      <w:r>
        <w:rPr>
          <w:rFonts w:ascii="Times New Roman" w:hAnsi="Times New Roman" w:cs="Times New Roman"/>
          <w:sz w:val="24"/>
          <w:szCs w:val="24"/>
        </w:rPr>
        <w:t xml:space="preserve"> and when their year of work and training commenced);</w:t>
      </w:r>
    </w:p>
    <w:p w:rsidR="00380D7D" w:rsidRDefault="00380D7D"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comply with CPD requirements and m</w:t>
      </w:r>
      <w:r w:rsidR="003D3777">
        <w:rPr>
          <w:rFonts w:ascii="Times New Roman" w:hAnsi="Times New Roman" w:cs="Times New Roman"/>
          <w:sz w:val="24"/>
          <w:szCs w:val="24"/>
        </w:rPr>
        <w:t>aintain appropriate records (for example,</w:t>
      </w:r>
      <w:r>
        <w:rPr>
          <w:rFonts w:ascii="Times New Roman" w:hAnsi="Times New Roman" w:cs="Times New Roman"/>
          <w:sz w:val="24"/>
          <w:szCs w:val="24"/>
        </w:rPr>
        <w:t xml:space="preserve"> the start date of the CPD year</w:t>
      </w:r>
      <w:r w:rsidR="006707FB">
        <w:rPr>
          <w:rFonts w:ascii="Times New Roman" w:hAnsi="Times New Roman" w:cs="Times New Roman"/>
          <w:sz w:val="24"/>
          <w:szCs w:val="24"/>
        </w:rPr>
        <w:t xml:space="preserve"> and any failures </w:t>
      </w:r>
      <w:r w:rsidR="00672C4C">
        <w:rPr>
          <w:rFonts w:ascii="Times New Roman" w:hAnsi="Times New Roman" w:cs="Times New Roman"/>
          <w:sz w:val="24"/>
          <w:szCs w:val="24"/>
        </w:rPr>
        <w:t xml:space="preserve">by relevant providers </w:t>
      </w:r>
      <w:r w:rsidR="006707FB">
        <w:rPr>
          <w:rFonts w:ascii="Times New Roman" w:hAnsi="Times New Roman" w:cs="Times New Roman"/>
          <w:sz w:val="24"/>
          <w:szCs w:val="24"/>
        </w:rPr>
        <w:t>to comply</w:t>
      </w:r>
      <w:r w:rsidR="00AC5ED4">
        <w:rPr>
          <w:rFonts w:ascii="Times New Roman" w:hAnsi="Times New Roman" w:cs="Times New Roman"/>
          <w:sz w:val="24"/>
          <w:szCs w:val="24"/>
        </w:rPr>
        <w:t xml:space="preserve"> with CPD requirements</w:t>
      </w:r>
      <w:r>
        <w:rPr>
          <w:rFonts w:ascii="Times New Roman" w:hAnsi="Times New Roman" w:cs="Times New Roman"/>
          <w:sz w:val="24"/>
          <w:szCs w:val="24"/>
        </w:rPr>
        <w:t>); and</w:t>
      </w:r>
    </w:p>
    <w:p w:rsidR="00380D7D" w:rsidRDefault="00380D7D"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 xml:space="preserve">ensure existing </w:t>
      </w:r>
      <w:r w:rsidR="00916120">
        <w:rPr>
          <w:rFonts w:ascii="Times New Roman" w:hAnsi="Times New Roman" w:cs="Times New Roman"/>
          <w:sz w:val="24"/>
          <w:szCs w:val="24"/>
        </w:rPr>
        <w:t>providers</w:t>
      </w:r>
      <w:r>
        <w:rPr>
          <w:rFonts w:ascii="Times New Roman" w:hAnsi="Times New Roman" w:cs="Times New Roman"/>
          <w:sz w:val="24"/>
          <w:szCs w:val="24"/>
        </w:rPr>
        <w:t xml:space="preserve"> </w:t>
      </w:r>
      <w:r w:rsidR="0071671D">
        <w:rPr>
          <w:rFonts w:ascii="Times New Roman" w:hAnsi="Times New Roman" w:cs="Times New Roman"/>
          <w:sz w:val="24"/>
          <w:szCs w:val="24"/>
        </w:rPr>
        <w:t xml:space="preserve">who they have authorised </w:t>
      </w:r>
      <w:r>
        <w:rPr>
          <w:rFonts w:ascii="Times New Roman" w:hAnsi="Times New Roman" w:cs="Times New Roman"/>
          <w:sz w:val="24"/>
          <w:szCs w:val="24"/>
        </w:rPr>
        <w:t>pass the exam before 1 January 2021.</w:t>
      </w:r>
    </w:p>
    <w:p w:rsidR="0079632D" w:rsidRPr="0079632D" w:rsidRDefault="0079632D" w:rsidP="00C1001C">
      <w:pPr>
        <w:pStyle w:val="ListPara1"/>
        <w:numPr>
          <w:ilvl w:val="1"/>
          <w:numId w:val="13"/>
        </w:numPr>
        <w:rPr>
          <w:rFonts w:ascii="Times New Roman" w:hAnsi="Times New Roman" w:cs="Times New Roman"/>
          <w:sz w:val="24"/>
          <w:szCs w:val="24"/>
        </w:rPr>
      </w:pPr>
      <w:r w:rsidRPr="0079632D">
        <w:rPr>
          <w:rFonts w:ascii="Times New Roman" w:hAnsi="Times New Roman" w:cs="Times New Roman"/>
          <w:sz w:val="24"/>
          <w:szCs w:val="24"/>
        </w:rPr>
        <w:t>Between 1 January 2019 and 14 November 2019, licensees do not need to tell ASIC about:</w:t>
      </w:r>
    </w:p>
    <w:p w:rsidR="0079632D" w:rsidRPr="0079632D" w:rsidRDefault="0079632D"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a</w:t>
      </w:r>
      <w:r w:rsidRPr="0079632D">
        <w:rPr>
          <w:rFonts w:ascii="Times New Roman" w:hAnsi="Times New Roman" w:cs="Times New Roman"/>
          <w:sz w:val="24"/>
          <w:szCs w:val="24"/>
        </w:rPr>
        <w:t xml:space="preserve">ny provisional relevant providers they have </w:t>
      </w:r>
      <w:r>
        <w:rPr>
          <w:rFonts w:ascii="Times New Roman" w:hAnsi="Times New Roman" w:cs="Times New Roman"/>
          <w:sz w:val="24"/>
          <w:szCs w:val="24"/>
        </w:rPr>
        <w:t>authorised;</w:t>
      </w:r>
    </w:p>
    <w:p w:rsidR="0079632D" w:rsidRPr="0079632D" w:rsidRDefault="0079632D"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the start date of their CPD year;</w:t>
      </w:r>
    </w:p>
    <w:p w:rsidR="0079632D" w:rsidRPr="0079632D" w:rsidRDefault="0079632D" w:rsidP="00AC7352">
      <w:pPr>
        <w:pStyle w:val="ListPara1"/>
        <w:numPr>
          <w:ilvl w:val="0"/>
          <w:numId w:val="28"/>
        </w:numPr>
        <w:rPr>
          <w:rFonts w:ascii="Times New Roman" w:hAnsi="Times New Roman" w:cs="Times New Roman"/>
          <w:sz w:val="24"/>
          <w:szCs w:val="24"/>
        </w:rPr>
      </w:pPr>
      <w:r w:rsidRPr="0079632D">
        <w:rPr>
          <w:rFonts w:ascii="Times New Roman" w:hAnsi="Times New Roman" w:cs="Times New Roman"/>
          <w:sz w:val="24"/>
          <w:szCs w:val="24"/>
        </w:rPr>
        <w:t>failure(s) by their relevant providers to comply with CPD requirements</w:t>
      </w:r>
      <w:r>
        <w:rPr>
          <w:rFonts w:ascii="Times New Roman" w:hAnsi="Times New Roman" w:cs="Times New Roman"/>
          <w:sz w:val="24"/>
          <w:szCs w:val="24"/>
        </w:rPr>
        <w:t>; and</w:t>
      </w:r>
    </w:p>
    <w:p w:rsidR="0079632D" w:rsidRDefault="0079632D" w:rsidP="00AC7352">
      <w:pPr>
        <w:pStyle w:val="ListPara1"/>
        <w:numPr>
          <w:ilvl w:val="0"/>
          <w:numId w:val="28"/>
        </w:numPr>
        <w:rPr>
          <w:rFonts w:ascii="Times New Roman" w:hAnsi="Times New Roman" w:cs="Times New Roman"/>
          <w:sz w:val="24"/>
          <w:szCs w:val="24"/>
        </w:rPr>
      </w:pPr>
      <w:r w:rsidRPr="0079632D">
        <w:rPr>
          <w:rFonts w:ascii="Times New Roman" w:hAnsi="Times New Roman" w:cs="Times New Roman"/>
          <w:sz w:val="24"/>
          <w:szCs w:val="24"/>
        </w:rPr>
        <w:lastRenderedPageBreak/>
        <w:t xml:space="preserve">existing </w:t>
      </w:r>
      <w:r w:rsidR="00AC5ED4">
        <w:rPr>
          <w:rFonts w:ascii="Times New Roman" w:hAnsi="Times New Roman" w:cs="Times New Roman"/>
          <w:sz w:val="24"/>
          <w:szCs w:val="24"/>
        </w:rPr>
        <w:t xml:space="preserve">providers </w:t>
      </w:r>
      <w:r w:rsidRPr="0079632D">
        <w:rPr>
          <w:rFonts w:ascii="Times New Roman" w:hAnsi="Times New Roman" w:cs="Times New Roman"/>
          <w:sz w:val="24"/>
          <w:szCs w:val="24"/>
        </w:rPr>
        <w:t>that have passed the exam.</w:t>
      </w:r>
    </w:p>
    <w:p w:rsidR="0079632D" w:rsidRPr="0079632D" w:rsidRDefault="0079632D"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Licensees will have 30 business days from 15 November 2019 to tell ASIC this information.</w:t>
      </w:r>
    </w:p>
    <w:p w:rsidR="0034215F" w:rsidRPr="00C1001C" w:rsidRDefault="0034215F" w:rsidP="0034215F">
      <w:pPr>
        <w:pStyle w:val="ListPara1"/>
        <w:numPr>
          <w:ilvl w:val="0"/>
          <w:numId w:val="0"/>
        </w:numPr>
        <w:rPr>
          <w:rFonts w:ascii="Times New Roman" w:hAnsi="Times New Roman" w:cs="Times New Roman"/>
          <w:b/>
          <w:sz w:val="24"/>
          <w:szCs w:val="24"/>
        </w:rPr>
      </w:pPr>
      <w:r w:rsidRPr="00C1001C">
        <w:rPr>
          <w:rFonts w:ascii="Times New Roman" w:hAnsi="Times New Roman" w:cs="Times New Roman"/>
          <w:b/>
          <w:sz w:val="24"/>
          <w:szCs w:val="24"/>
        </w:rPr>
        <w:t>Minor technical issues</w:t>
      </w:r>
    </w:p>
    <w:p w:rsidR="0034215F" w:rsidRDefault="0034215F" w:rsidP="00C1001C">
      <w:pPr>
        <w:pStyle w:val="ListPara1"/>
        <w:numPr>
          <w:ilvl w:val="1"/>
          <w:numId w:val="13"/>
        </w:numPr>
        <w:rPr>
          <w:rFonts w:ascii="Times New Roman" w:hAnsi="Times New Roman" w:cs="Times New Roman"/>
          <w:sz w:val="24"/>
          <w:szCs w:val="24"/>
        </w:rPr>
      </w:pPr>
      <w:r>
        <w:rPr>
          <w:rFonts w:ascii="Times New Roman" w:hAnsi="Times New Roman" w:cs="Times New Roman"/>
          <w:sz w:val="24"/>
          <w:szCs w:val="24"/>
        </w:rPr>
        <w:t>The instrument</w:t>
      </w:r>
      <w:r w:rsidR="00436DDA" w:rsidRPr="00436DDA">
        <w:rPr>
          <w:rFonts w:ascii="Times New Roman" w:hAnsi="Times New Roman" w:cs="Times New Roman"/>
          <w:sz w:val="24"/>
          <w:szCs w:val="24"/>
        </w:rPr>
        <w:t xml:space="preserve"> </w:t>
      </w:r>
      <w:r w:rsidR="00436DDA" w:rsidRPr="00FF1E35">
        <w:rPr>
          <w:rFonts w:ascii="Times New Roman" w:hAnsi="Times New Roman" w:cs="Times New Roman"/>
          <w:sz w:val="24"/>
          <w:szCs w:val="24"/>
        </w:rPr>
        <w:t>addresses unintended consequences and ensures the professional standards reforms apply as intended.</w:t>
      </w:r>
      <w:r w:rsidR="00436DDA">
        <w:rPr>
          <w:rFonts w:ascii="Times New Roman" w:hAnsi="Times New Roman" w:cs="Times New Roman"/>
          <w:sz w:val="24"/>
          <w:szCs w:val="24"/>
        </w:rPr>
        <w:t xml:space="preserve"> The </w:t>
      </w:r>
      <w:r>
        <w:rPr>
          <w:rFonts w:ascii="Times New Roman" w:hAnsi="Times New Roman" w:cs="Times New Roman"/>
          <w:sz w:val="24"/>
          <w:szCs w:val="24"/>
        </w:rPr>
        <w:t>following technical issues</w:t>
      </w:r>
      <w:r w:rsidR="00943687">
        <w:rPr>
          <w:rFonts w:ascii="Times New Roman" w:hAnsi="Times New Roman" w:cs="Times New Roman"/>
          <w:sz w:val="24"/>
          <w:szCs w:val="24"/>
        </w:rPr>
        <w:t xml:space="preserve"> </w:t>
      </w:r>
      <w:r w:rsidR="00436DDA">
        <w:rPr>
          <w:rFonts w:ascii="Times New Roman" w:hAnsi="Times New Roman" w:cs="Times New Roman"/>
          <w:sz w:val="24"/>
          <w:szCs w:val="24"/>
        </w:rPr>
        <w:t xml:space="preserve">are addressed </w:t>
      </w:r>
      <w:r w:rsidR="00943687">
        <w:rPr>
          <w:rFonts w:ascii="Times New Roman" w:hAnsi="Times New Roman" w:cs="Times New Roman"/>
          <w:sz w:val="24"/>
          <w:szCs w:val="24"/>
        </w:rPr>
        <w:t>to reflect the policy intent of the Act</w:t>
      </w:r>
      <w:r>
        <w:rPr>
          <w:rFonts w:ascii="Times New Roman" w:hAnsi="Times New Roman" w:cs="Times New Roman"/>
          <w:sz w:val="24"/>
          <w:szCs w:val="24"/>
        </w:rPr>
        <w:t>:</w:t>
      </w:r>
    </w:p>
    <w:p w:rsidR="00972CFA" w:rsidRPr="00D55E48" w:rsidRDefault="00D1412F" w:rsidP="00E96CCA">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 xml:space="preserve">It clarifies </w:t>
      </w:r>
      <w:r w:rsidR="0034215F" w:rsidRPr="00E96CCA">
        <w:rPr>
          <w:rFonts w:ascii="Times New Roman" w:hAnsi="Times New Roman" w:cs="Times New Roman"/>
          <w:sz w:val="24"/>
          <w:szCs w:val="24"/>
        </w:rPr>
        <w:t xml:space="preserve">that </w:t>
      </w:r>
      <w:r w:rsidR="00894C71" w:rsidRPr="00E96CCA">
        <w:rPr>
          <w:rFonts w:ascii="Times New Roman" w:hAnsi="Times New Roman" w:cs="Times New Roman"/>
          <w:sz w:val="24"/>
          <w:szCs w:val="24"/>
        </w:rPr>
        <w:t xml:space="preserve">the group of persons who do </w:t>
      </w:r>
      <w:r w:rsidR="00943687" w:rsidRPr="006E3DD4">
        <w:rPr>
          <w:rFonts w:ascii="Times New Roman" w:hAnsi="Times New Roman" w:cs="Times New Roman"/>
          <w:sz w:val="24"/>
          <w:szCs w:val="24"/>
        </w:rPr>
        <w:t xml:space="preserve">not have access to the transitional provisions </w:t>
      </w:r>
      <w:r w:rsidR="00043407" w:rsidRPr="00D55E48">
        <w:rPr>
          <w:rFonts w:ascii="Times New Roman" w:hAnsi="Times New Roman" w:cs="Times New Roman"/>
          <w:sz w:val="24"/>
          <w:szCs w:val="24"/>
        </w:rPr>
        <w:t>in s</w:t>
      </w:r>
      <w:r w:rsidR="00533637" w:rsidRPr="00D55E48">
        <w:rPr>
          <w:rFonts w:ascii="Times New Roman" w:hAnsi="Times New Roman" w:cs="Times New Roman"/>
          <w:sz w:val="24"/>
          <w:szCs w:val="24"/>
        </w:rPr>
        <w:t>ection 1546B</w:t>
      </w:r>
      <w:r w:rsidR="00043407" w:rsidRPr="00D55E48">
        <w:rPr>
          <w:rFonts w:ascii="Times New Roman" w:hAnsi="Times New Roman" w:cs="Times New Roman"/>
          <w:sz w:val="24"/>
          <w:szCs w:val="24"/>
        </w:rPr>
        <w:t xml:space="preserve"> </w:t>
      </w:r>
      <w:r w:rsidR="00943687" w:rsidRPr="00D55E48">
        <w:rPr>
          <w:rFonts w:ascii="Times New Roman" w:hAnsi="Times New Roman" w:cs="Times New Roman"/>
          <w:sz w:val="24"/>
          <w:szCs w:val="24"/>
        </w:rPr>
        <w:t xml:space="preserve">because they were </w:t>
      </w:r>
      <w:r w:rsidR="005C4960" w:rsidRPr="00D55E48">
        <w:rPr>
          <w:rFonts w:ascii="Times New Roman" w:hAnsi="Times New Roman" w:cs="Times New Roman"/>
          <w:sz w:val="24"/>
          <w:szCs w:val="24"/>
        </w:rPr>
        <w:t>prohibited</w:t>
      </w:r>
      <w:bookmarkStart w:id="11" w:name="_Hlk526152816"/>
      <w:r w:rsidR="005C4960" w:rsidRPr="00D55E48">
        <w:rPr>
          <w:rFonts w:ascii="Times New Roman" w:hAnsi="Times New Roman" w:cs="Times New Roman"/>
          <w:sz w:val="24"/>
          <w:szCs w:val="24"/>
        </w:rPr>
        <w:t xml:space="preserve"> from providing advice </w:t>
      </w:r>
      <w:bookmarkEnd w:id="11"/>
      <w:r w:rsidR="00943687" w:rsidRPr="00D55E48">
        <w:rPr>
          <w:rFonts w:ascii="Times New Roman" w:hAnsi="Times New Roman" w:cs="Times New Roman"/>
          <w:sz w:val="24"/>
          <w:szCs w:val="24"/>
        </w:rPr>
        <w:t xml:space="preserve">on 1 January 2019 </w:t>
      </w:r>
      <w:r w:rsidR="0034215F" w:rsidRPr="00D55E48">
        <w:rPr>
          <w:rFonts w:ascii="Times New Roman" w:hAnsi="Times New Roman" w:cs="Times New Roman"/>
          <w:sz w:val="24"/>
          <w:szCs w:val="24"/>
        </w:rPr>
        <w:t xml:space="preserve">includes a person who was </w:t>
      </w:r>
      <w:bookmarkStart w:id="12" w:name="_Hlk526152505"/>
      <w:r w:rsidR="0034215F" w:rsidRPr="00D55E48">
        <w:rPr>
          <w:rFonts w:ascii="Times New Roman" w:hAnsi="Times New Roman" w:cs="Times New Roman"/>
          <w:sz w:val="24"/>
          <w:szCs w:val="24"/>
        </w:rPr>
        <w:t>subject to an enforceable undertaking where they undertook to not provide financial product advice or financial services in any capacity</w:t>
      </w:r>
      <w:r w:rsidR="00943687" w:rsidRPr="00D55E48">
        <w:rPr>
          <w:rFonts w:ascii="Times New Roman" w:hAnsi="Times New Roman" w:cs="Times New Roman"/>
          <w:sz w:val="24"/>
          <w:szCs w:val="24"/>
        </w:rPr>
        <w:t xml:space="preserve"> at that time</w:t>
      </w:r>
      <w:bookmarkEnd w:id="12"/>
      <w:r w:rsidR="00943687" w:rsidRPr="00D55E48">
        <w:rPr>
          <w:rFonts w:ascii="Times New Roman" w:hAnsi="Times New Roman" w:cs="Times New Roman"/>
          <w:sz w:val="24"/>
          <w:szCs w:val="24"/>
        </w:rPr>
        <w:t>.</w:t>
      </w:r>
      <w:r w:rsidR="00972CFA" w:rsidRPr="00D55E48">
        <w:rPr>
          <w:rFonts w:ascii="Times New Roman" w:hAnsi="Times New Roman" w:cs="Times New Roman"/>
          <w:sz w:val="24"/>
          <w:szCs w:val="24"/>
        </w:rPr>
        <w:t xml:space="preserve"> </w:t>
      </w:r>
    </w:p>
    <w:p w:rsidR="0034215F" w:rsidRDefault="00972CFA"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 xml:space="preserve">It provides </w:t>
      </w:r>
      <w:r w:rsidRPr="00533637">
        <w:rPr>
          <w:rFonts w:ascii="Times New Roman" w:hAnsi="Times New Roman" w:cs="Times New Roman"/>
          <w:sz w:val="24"/>
          <w:szCs w:val="24"/>
        </w:rPr>
        <w:t xml:space="preserve">that from 1 January 2019 </w:t>
      </w:r>
      <w:r>
        <w:rPr>
          <w:rFonts w:ascii="Times New Roman" w:hAnsi="Times New Roman" w:cs="Times New Roman"/>
          <w:sz w:val="24"/>
          <w:szCs w:val="24"/>
        </w:rPr>
        <w:t xml:space="preserve">individuals who are prohibited from providing financial services on 1 January 2019 </w:t>
      </w:r>
      <w:r w:rsidRPr="00533637">
        <w:rPr>
          <w:rFonts w:ascii="Times New Roman" w:hAnsi="Times New Roman" w:cs="Times New Roman"/>
          <w:sz w:val="24"/>
          <w:szCs w:val="24"/>
        </w:rPr>
        <w:t>cannot be granted a licence or be authorised to provide personal advice to retail clients in relation to relevant financial products unless the</w:t>
      </w:r>
      <w:r>
        <w:rPr>
          <w:rFonts w:ascii="Times New Roman" w:hAnsi="Times New Roman" w:cs="Times New Roman"/>
          <w:sz w:val="24"/>
          <w:szCs w:val="24"/>
        </w:rPr>
        <w:t>y me</w:t>
      </w:r>
      <w:r w:rsidR="00436DDA">
        <w:rPr>
          <w:rFonts w:ascii="Times New Roman" w:hAnsi="Times New Roman" w:cs="Times New Roman"/>
          <w:sz w:val="24"/>
          <w:szCs w:val="24"/>
        </w:rPr>
        <w:t>e</w:t>
      </w:r>
      <w:r>
        <w:rPr>
          <w:rFonts w:ascii="Times New Roman" w:hAnsi="Times New Roman" w:cs="Times New Roman"/>
          <w:sz w:val="24"/>
          <w:szCs w:val="24"/>
        </w:rPr>
        <w:t>t the</w:t>
      </w:r>
      <w:r w:rsidRPr="00533637">
        <w:rPr>
          <w:rFonts w:ascii="Times New Roman" w:hAnsi="Times New Roman" w:cs="Times New Roman"/>
          <w:sz w:val="24"/>
          <w:szCs w:val="24"/>
        </w:rPr>
        <w:t xml:space="preserve"> e</w:t>
      </w:r>
      <w:r>
        <w:rPr>
          <w:rFonts w:ascii="Times New Roman" w:hAnsi="Times New Roman" w:cs="Times New Roman"/>
          <w:sz w:val="24"/>
          <w:szCs w:val="24"/>
        </w:rPr>
        <w:t>ducation and training standards.</w:t>
      </w:r>
    </w:p>
    <w:p w:rsidR="00FF1E35" w:rsidRDefault="00D1412F" w:rsidP="00FF1E35">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 xml:space="preserve">It addresses the situation where an existing provider is not a relevant provider. </w:t>
      </w:r>
      <w:r w:rsidR="00FF1E35" w:rsidRPr="00FF1E35">
        <w:rPr>
          <w:rFonts w:ascii="Times New Roman" w:hAnsi="Times New Roman" w:cs="Times New Roman"/>
          <w:sz w:val="24"/>
          <w:szCs w:val="24"/>
        </w:rPr>
        <w:t>The Act imposes obligations on an existing provider to meet certain education and training standards by specified future dates. These subsections appear to presuppose that an existing provider will be a relevant provider by these future dates. This will be the case in many circumstances but will not always be the case</w:t>
      </w:r>
      <w:r w:rsidR="00436DDA">
        <w:rPr>
          <w:rFonts w:ascii="Times New Roman" w:hAnsi="Times New Roman" w:cs="Times New Roman"/>
          <w:sz w:val="24"/>
          <w:szCs w:val="24"/>
        </w:rPr>
        <w:t>, for example</w:t>
      </w:r>
      <w:r w:rsidR="00B70EEF">
        <w:rPr>
          <w:rFonts w:ascii="Times New Roman" w:hAnsi="Times New Roman" w:cs="Times New Roman"/>
          <w:sz w:val="24"/>
          <w:szCs w:val="24"/>
        </w:rPr>
        <w:t>,</w:t>
      </w:r>
      <w:r w:rsidR="00FF1E35" w:rsidRPr="00FF1E35">
        <w:rPr>
          <w:rFonts w:ascii="Times New Roman" w:hAnsi="Times New Roman" w:cs="Times New Roman"/>
          <w:sz w:val="24"/>
          <w:szCs w:val="24"/>
        </w:rPr>
        <w:t xml:space="preserve"> where a</w:t>
      </w:r>
      <w:r w:rsidR="00FF1E35">
        <w:rPr>
          <w:rFonts w:ascii="Times New Roman" w:hAnsi="Times New Roman" w:cs="Times New Roman"/>
          <w:sz w:val="24"/>
          <w:szCs w:val="24"/>
        </w:rPr>
        <w:t>n existing provider has retired</w:t>
      </w:r>
      <w:r w:rsidR="00FF1E35" w:rsidRPr="00FF1E35">
        <w:rPr>
          <w:rFonts w:ascii="Times New Roman" w:hAnsi="Times New Roman" w:cs="Times New Roman"/>
          <w:sz w:val="24"/>
          <w:szCs w:val="24"/>
        </w:rPr>
        <w:t xml:space="preserve">. </w:t>
      </w:r>
    </w:p>
    <w:p w:rsidR="00FF1E35" w:rsidRPr="00FF1E35" w:rsidRDefault="00D1412F" w:rsidP="00E96CCA">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It applies the education and tr</w:t>
      </w:r>
      <w:r w:rsidR="00317543">
        <w:rPr>
          <w:rFonts w:ascii="Times New Roman" w:hAnsi="Times New Roman" w:cs="Times New Roman"/>
          <w:sz w:val="24"/>
          <w:szCs w:val="24"/>
        </w:rPr>
        <w:t xml:space="preserve">aining standards to a person </w:t>
      </w:r>
      <w:r w:rsidR="00FF1E35" w:rsidRPr="00E96CCA">
        <w:rPr>
          <w:rFonts w:ascii="Times New Roman" w:hAnsi="Times New Roman" w:cs="Times New Roman"/>
          <w:sz w:val="24"/>
          <w:szCs w:val="24"/>
        </w:rPr>
        <w:t>who was a relevant provider before 1 January 2016 but who was not a relevant provider between 1 January 2016 and 1 January 2019. A person within this class of persons, and who becomes a relevant provider after 1 January 2019 is not subject to the education and training standards at all. The modifications deal with those circumstances.</w:t>
      </w:r>
    </w:p>
    <w:p w:rsidR="0034215F" w:rsidRDefault="0034215F" w:rsidP="0034215F">
      <w:pPr>
        <w:pStyle w:val="ListPara1"/>
        <w:numPr>
          <w:ilvl w:val="0"/>
          <w:numId w:val="0"/>
        </w:numPr>
        <w:rPr>
          <w:rFonts w:ascii="Times New Roman" w:hAnsi="Times New Roman" w:cs="Times New Roman"/>
          <w:sz w:val="24"/>
          <w:szCs w:val="24"/>
        </w:rPr>
      </w:pPr>
    </w:p>
    <w:p w:rsidR="005B0E3A" w:rsidRPr="00D57504" w:rsidRDefault="005B0E3A" w:rsidP="00C1001C">
      <w:pPr>
        <w:pStyle w:val="ListPara1"/>
        <w:numPr>
          <w:ilvl w:val="0"/>
          <w:numId w:val="13"/>
        </w:numPr>
        <w:rPr>
          <w:rFonts w:ascii="Arial"/>
          <w:b/>
          <w:spacing w:val="-1"/>
          <w:sz w:val="24"/>
        </w:rPr>
      </w:pPr>
      <w:bookmarkStart w:id="13" w:name="3._Operation_of_the_class_order_"/>
      <w:bookmarkEnd w:id="13"/>
      <w:r w:rsidRPr="00D57504">
        <w:rPr>
          <w:rFonts w:ascii="Arial"/>
          <w:b/>
          <w:spacing w:val="-1"/>
          <w:sz w:val="24"/>
        </w:rPr>
        <w:t>Operation of the instrument</w:t>
      </w:r>
    </w:p>
    <w:p w:rsidR="006D08A8" w:rsidRPr="00082718" w:rsidRDefault="0032313D" w:rsidP="00D57504">
      <w:pPr>
        <w:pStyle w:val="BodyText"/>
        <w:spacing w:before="199" w:after="120"/>
        <w:rPr>
          <w:b/>
        </w:rPr>
      </w:pPr>
      <w:r w:rsidRPr="00082718">
        <w:rPr>
          <w:b/>
        </w:rPr>
        <w:t>Part 1 – Preliminary</w:t>
      </w:r>
    </w:p>
    <w:p w:rsidR="0032313D" w:rsidRPr="00D57504" w:rsidRDefault="0032313D"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Section</w:t>
      </w:r>
      <w:r w:rsidR="0030793F" w:rsidRPr="00D57504">
        <w:rPr>
          <w:rFonts w:ascii="Times New Roman" w:hAnsi="Times New Roman" w:cs="Times New Roman"/>
          <w:sz w:val="24"/>
          <w:szCs w:val="24"/>
        </w:rPr>
        <w:t xml:space="preserve"> </w:t>
      </w:r>
      <w:r w:rsidRPr="00D57504">
        <w:rPr>
          <w:rFonts w:ascii="Times New Roman" w:hAnsi="Times New Roman" w:cs="Times New Roman"/>
          <w:sz w:val="24"/>
          <w:szCs w:val="24"/>
        </w:rPr>
        <w:t xml:space="preserve">1 </w:t>
      </w:r>
      <w:r w:rsidR="00082718" w:rsidRPr="00D57504">
        <w:rPr>
          <w:rFonts w:ascii="Times New Roman" w:hAnsi="Times New Roman" w:cs="Times New Roman"/>
          <w:sz w:val="24"/>
          <w:szCs w:val="24"/>
        </w:rPr>
        <w:t>provides</w:t>
      </w:r>
      <w:r w:rsidRPr="00D57504">
        <w:rPr>
          <w:rFonts w:ascii="Times New Roman" w:hAnsi="Times New Roman" w:cs="Times New Roman"/>
          <w:sz w:val="24"/>
          <w:szCs w:val="24"/>
        </w:rPr>
        <w:t xml:space="preserve"> that the name of the legislative instrument i</w:t>
      </w:r>
      <w:r w:rsidR="00160A35" w:rsidRPr="00D57504">
        <w:rPr>
          <w:rFonts w:ascii="Times New Roman" w:hAnsi="Times New Roman" w:cs="Times New Roman"/>
          <w:sz w:val="24"/>
          <w:szCs w:val="24"/>
        </w:rPr>
        <w:t>s</w:t>
      </w:r>
      <w:r w:rsidRPr="00D57504">
        <w:rPr>
          <w:rFonts w:ascii="Times New Roman" w:hAnsi="Times New Roman" w:cs="Times New Roman"/>
          <w:sz w:val="24"/>
          <w:szCs w:val="24"/>
        </w:rPr>
        <w:t xml:space="preserve"> to be </w:t>
      </w:r>
      <w:r w:rsidR="00160A35" w:rsidRPr="00754E88">
        <w:rPr>
          <w:rFonts w:ascii="Times New Roman" w:hAnsi="Times New Roman" w:cs="Times New Roman"/>
          <w:i/>
          <w:sz w:val="24"/>
          <w:szCs w:val="24"/>
        </w:rPr>
        <w:t xml:space="preserve">ASIC Corporations </w:t>
      </w:r>
      <w:r w:rsidR="00754E88">
        <w:rPr>
          <w:rFonts w:ascii="Times New Roman" w:hAnsi="Times New Roman" w:cs="Times New Roman"/>
          <w:i/>
          <w:sz w:val="24"/>
          <w:szCs w:val="24"/>
        </w:rPr>
        <w:t>(Professional Standards</w:t>
      </w:r>
      <w:r w:rsidR="00754E88" w:rsidRPr="00754E88">
        <w:rPr>
          <w:i/>
        </w:rPr>
        <w:t>—</w:t>
      </w:r>
      <w:r w:rsidR="00160A35" w:rsidRPr="00754E88">
        <w:rPr>
          <w:rFonts w:ascii="Times New Roman" w:hAnsi="Times New Roman" w:cs="Times New Roman"/>
          <w:i/>
          <w:sz w:val="24"/>
          <w:szCs w:val="24"/>
        </w:rPr>
        <w:t>Transitional) Instrument 2018/</w:t>
      </w:r>
      <w:r w:rsidR="001C5E35" w:rsidRPr="00754E88">
        <w:rPr>
          <w:rFonts w:ascii="Times New Roman" w:hAnsi="Times New Roman" w:cs="Times New Roman"/>
          <w:i/>
          <w:sz w:val="24"/>
          <w:szCs w:val="24"/>
        </w:rPr>
        <w:t>894</w:t>
      </w:r>
      <w:r w:rsidRPr="00D57504">
        <w:rPr>
          <w:rFonts w:ascii="Times New Roman" w:hAnsi="Times New Roman" w:cs="Times New Roman"/>
          <w:sz w:val="24"/>
          <w:szCs w:val="24"/>
        </w:rPr>
        <w:t>.</w:t>
      </w:r>
    </w:p>
    <w:p w:rsidR="0032313D" w:rsidRPr="00D57504" w:rsidRDefault="0032313D"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Section 2 provides that the instrument commences on the day after it is registered on the Federal Register of Legislation</w:t>
      </w:r>
      <w:r w:rsidR="00082718" w:rsidRPr="00D57504">
        <w:rPr>
          <w:rFonts w:ascii="Times New Roman" w:hAnsi="Times New Roman" w:cs="Times New Roman"/>
          <w:sz w:val="24"/>
          <w:szCs w:val="24"/>
        </w:rPr>
        <w:t>.</w:t>
      </w:r>
    </w:p>
    <w:p w:rsidR="00082718" w:rsidRPr="00D57504" w:rsidRDefault="009923A7"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Section 3</w:t>
      </w:r>
      <w:r w:rsidR="00082718" w:rsidRPr="00D57504">
        <w:rPr>
          <w:rFonts w:ascii="Times New Roman" w:hAnsi="Times New Roman" w:cs="Times New Roman"/>
          <w:sz w:val="24"/>
          <w:szCs w:val="24"/>
        </w:rPr>
        <w:t xml:space="preserve"> provides that the instrument is made under subsection 926A(2) of the Act.</w:t>
      </w:r>
    </w:p>
    <w:p w:rsidR="009923A7" w:rsidRPr="00D57504" w:rsidRDefault="00BA6B34"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lastRenderedPageBreak/>
        <w:t>Section 4</w:t>
      </w:r>
      <w:r w:rsidR="009923A7" w:rsidRPr="00D57504">
        <w:rPr>
          <w:rFonts w:ascii="Times New Roman" w:hAnsi="Times New Roman" w:cs="Times New Roman"/>
          <w:sz w:val="24"/>
          <w:szCs w:val="24"/>
        </w:rPr>
        <w:t xml:space="preserve"> outlines relevant definitions for key terms used in the instrument. </w:t>
      </w:r>
      <w:r w:rsidR="00A620E1" w:rsidRPr="00D57504">
        <w:rPr>
          <w:rFonts w:ascii="Times New Roman" w:hAnsi="Times New Roman" w:cs="Times New Roman"/>
          <w:sz w:val="24"/>
          <w:szCs w:val="24"/>
        </w:rPr>
        <w:t>‘</w:t>
      </w:r>
      <w:r w:rsidR="009923A7" w:rsidRPr="00D57504">
        <w:rPr>
          <w:rFonts w:ascii="Times New Roman" w:hAnsi="Times New Roman" w:cs="Times New Roman"/>
          <w:sz w:val="24"/>
          <w:szCs w:val="24"/>
        </w:rPr>
        <w:t>Act</w:t>
      </w:r>
      <w:r w:rsidR="00A620E1" w:rsidRPr="00D57504">
        <w:rPr>
          <w:rFonts w:ascii="Times New Roman" w:hAnsi="Times New Roman" w:cs="Times New Roman"/>
          <w:sz w:val="24"/>
          <w:szCs w:val="24"/>
        </w:rPr>
        <w:t>’</w:t>
      </w:r>
      <w:r w:rsidR="009923A7" w:rsidRPr="00D57504">
        <w:rPr>
          <w:rFonts w:ascii="Times New Roman" w:hAnsi="Times New Roman" w:cs="Times New Roman"/>
          <w:sz w:val="24"/>
          <w:szCs w:val="24"/>
        </w:rPr>
        <w:t xml:space="preserve"> is defined as meaning the </w:t>
      </w:r>
      <w:r w:rsidR="009923A7" w:rsidRPr="009C4C5F">
        <w:rPr>
          <w:rFonts w:ascii="Times New Roman" w:hAnsi="Times New Roman" w:cs="Times New Roman"/>
          <w:i/>
          <w:sz w:val="24"/>
          <w:szCs w:val="24"/>
        </w:rPr>
        <w:t>Corporations Act 2001</w:t>
      </w:r>
      <w:r w:rsidR="009923A7" w:rsidRPr="00D57504">
        <w:rPr>
          <w:rFonts w:ascii="Times New Roman" w:hAnsi="Times New Roman" w:cs="Times New Roman"/>
          <w:sz w:val="24"/>
          <w:szCs w:val="24"/>
        </w:rPr>
        <w:t>.</w:t>
      </w:r>
    </w:p>
    <w:p w:rsidR="0032313D" w:rsidRDefault="009923A7" w:rsidP="00D57504">
      <w:pPr>
        <w:pStyle w:val="BodyText"/>
        <w:spacing w:before="199" w:after="120"/>
        <w:rPr>
          <w:b/>
        </w:rPr>
      </w:pPr>
      <w:r>
        <w:rPr>
          <w:b/>
        </w:rPr>
        <w:t>Part 2</w:t>
      </w:r>
      <w:r w:rsidR="00082718" w:rsidRPr="00082718">
        <w:rPr>
          <w:b/>
        </w:rPr>
        <w:t xml:space="preserve"> – </w:t>
      </w:r>
      <w:r>
        <w:rPr>
          <w:b/>
        </w:rPr>
        <w:t>Declaration</w:t>
      </w:r>
    </w:p>
    <w:p w:rsidR="00A20CA8" w:rsidRPr="00A20CA8" w:rsidRDefault="00A20CA8" w:rsidP="00D57504">
      <w:pPr>
        <w:pStyle w:val="BodyText"/>
        <w:spacing w:before="199" w:after="120"/>
        <w:rPr>
          <w:b/>
        </w:rPr>
      </w:pPr>
      <w:r w:rsidRPr="00A20CA8">
        <w:rPr>
          <w:b/>
          <w:szCs w:val="24"/>
        </w:rPr>
        <w:t>Section 5</w:t>
      </w:r>
    </w:p>
    <w:p w:rsidR="00F811CA" w:rsidRPr="00D57504" w:rsidRDefault="00333659"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 xml:space="preserve">Section 5 </w:t>
      </w:r>
      <w:r w:rsidR="000B162C">
        <w:rPr>
          <w:rFonts w:ascii="Times New Roman" w:hAnsi="Times New Roman" w:cs="Times New Roman"/>
          <w:sz w:val="24"/>
          <w:szCs w:val="24"/>
        </w:rPr>
        <w:t xml:space="preserve">of the instrument </w:t>
      </w:r>
      <w:r w:rsidRPr="00D57504">
        <w:rPr>
          <w:rFonts w:ascii="Times New Roman" w:hAnsi="Times New Roman" w:cs="Times New Roman"/>
          <w:sz w:val="24"/>
          <w:szCs w:val="24"/>
        </w:rPr>
        <w:t xml:space="preserve">provides that </w:t>
      </w:r>
      <w:r w:rsidR="006F42D9" w:rsidRPr="00D57504">
        <w:rPr>
          <w:rFonts w:ascii="Times New Roman" w:hAnsi="Times New Roman" w:cs="Times New Roman"/>
          <w:sz w:val="24"/>
          <w:szCs w:val="24"/>
        </w:rPr>
        <w:t xml:space="preserve">licensees are not required to lodge any notices with ASIC about </w:t>
      </w:r>
      <w:r w:rsidR="00B41BA8" w:rsidRPr="00D57504">
        <w:rPr>
          <w:rFonts w:ascii="Times New Roman" w:hAnsi="Times New Roman" w:cs="Times New Roman"/>
          <w:sz w:val="24"/>
          <w:szCs w:val="24"/>
        </w:rPr>
        <w:t xml:space="preserve">provisional relevant providers </w:t>
      </w:r>
      <w:r w:rsidR="00F811CA" w:rsidRPr="00D57504">
        <w:rPr>
          <w:rFonts w:ascii="Times New Roman" w:hAnsi="Times New Roman" w:cs="Times New Roman"/>
          <w:sz w:val="24"/>
          <w:szCs w:val="24"/>
        </w:rPr>
        <w:t xml:space="preserve">who </w:t>
      </w:r>
      <w:r w:rsidR="00072AA1" w:rsidRPr="00D57504">
        <w:rPr>
          <w:rFonts w:ascii="Times New Roman" w:hAnsi="Times New Roman" w:cs="Times New Roman"/>
          <w:sz w:val="24"/>
          <w:szCs w:val="24"/>
        </w:rPr>
        <w:t>join</w:t>
      </w:r>
      <w:r w:rsidR="00F811CA" w:rsidRPr="00D57504">
        <w:rPr>
          <w:rFonts w:ascii="Times New Roman" w:hAnsi="Times New Roman" w:cs="Times New Roman"/>
          <w:sz w:val="24"/>
          <w:szCs w:val="24"/>
        </w:rPr>
        <w:t xml:space="preserve"> the industry </w:t>
      </w:r>
      <w:r w:rsidR="00072AA1" w:rsidRPr="00D57504">
        <w:rPr>
          <w:rFonts w:ascii="Times New Roman" w:hAnsi="Times New Roman" w:cs="Times New Roman"/>
          <w:sz w:val="24"/>
          <w:szCs w:val="24"/>
        </w:rPr>
        <w:t xml:space="preserve">from </w:t>
      </w:r>
      <w:r w:rsidR="00F811CA" w:rsidRPr="00D57504">
        <w:rPr>
          <w:rFonts w:ascii="Times New Roman" w:hAnsi="Times New Roman" w:cs="Times New Roman"/>
          <w:sz w:val="24"/>
          <w:szCs w:val="24"/>
        </w:rPr>
        <w:t>1 January 2019</w:t>
      </w:r>
      <w:r w:rsidR="006F42D9" w:rsidRPr="00D57504">
        <w:rPr>
          <w:rFonts w:ascii="Times New Roman" w:hAnsi="Times New Roman" w:cs="Times New Roman"/>
          <w:sz w:val="24"/>
          <w:szCs w:val="24"/>
        </w:rPr>
        <w:t xml:space="preserve"> until on and after 15 November 2019</w:t>
      </w:r>
      <w:r w:rsidRPr="00D57504">
        <w:rPr>
          <w:rFonts w:ascii="Times New Roman" w:hAnsi="Times New Roman" w:cs="Times New Roman"/>
          <w:sz w:val="24"/>
          <w:szCs w:val="24"/>
        </w:rPr>
        <w:t>.</w:t>
      </w:r>
      <w:r w:rsidR="006F42D9" w:rsidRPr="00D57504">
        <w:rPr>
          <w:rFonts w:ascii="Times New Roman" w:hAnsi="Times New Roman" w:cs="Times New Roman"/>
          <w:sz w:val="24"/>
          <w:szCs w:val="24"/>
        </w:rPr>
        <w:t xml:space="preserve"> </w:t>
      </w:r>
      <w:r w:rsidR="00DD4A2F" w:rsidRPr="00D57504">
        <w:rPr>
          <w:rFonts w:ascii="Times New Roman" w:hAnsi="Times New Roman" w:cs="Times New Roman"/>
          <w:sz w:val="24"/>
          <w:szCs w:val="24"/>
        </w:rPr>
        <w:t>L</w:t>
      </w:r>
      <w:r w:rsidR="006F42D9" w:rsidRPr="00D57504">
        <w:rPr>
          <w:rFonts w:ascii="Times New Roman" w:hAnsi="Times New Roman" w:cs="Times New Roman"/>
          <w:sz w:val="24"/>
          <w:szCs w:val="24"/>
        </w:rPr>
        <w:t>icensees who have authorised a provisio</w:t>
      </w:r>
      <w:r w:rsidR="00B41BA8" w:rsidRPr="00D57504">
        <w:rPr>
          <w:rFonts w:ascii="Times New Roman" w:hAnsi="Times New Roman" w:cs="Times New Roman"/>
          <w:sz w:val="24"/>
          <w:szCs w:val="24"/>
        </w:rPr>
        <w:t>nal relevant provider between 1 </w:t>
      </w:r>
      <w:r w:rsidR="006F42D9" w:rsidRPr="00D57504">
        <w:rPr>
          <w:rFonts w:ascii="Times New Roman" w:hAnsi="Times New Roman" w:cs="Times New Roman"/>
          <w:sz w:val="24"/>
          <w:szCs w:val="24"/>
        </w:rPr>
        <w:t xml:space="preserve">January 2019 and 14 November 2019 will have 30 business days </w:t>
      </w:r>
      <w:r w:rsidR="00DD4A2F" w:rsidRPr="00D57504">
        <w:rPr>
          <w:rFonts w:ascii="Times New Roman" w:hAnsi="Times New Roman" w:cs="Times New Roman"/>
          <w:sz w:val="24"/>
          <w:szCs w:val="24"/>
        </w:rPr>
        <w:t>from 15 </w:t>
      </w:r>
      <w:r w:rsidR="006F42D9" w:rsidRPr="00D57504">
        <w:rPr>
          <w:rFonts w:ascii="Times New Roman" w:hAnsi="Times New Roman" w:cs="Times New Roman"/>
          <w:sz w:val="24"/>
          <w:szCs w:val="24"/>
        </w:rPr>
        <w:t xml:space="preserve">November 2019 to notify ASIC of the authorisation and other information as required by </w:t>
      </w:r>
      <w:r w:rsidR="00072AA1" w:rsidRPr="00D57504">
        <w:rPr>
          <w:rFonts w:ascii="Times New Roman" w:hAnsi="Times New Roman" w:cs="Times New Roman"/>
          <w:sz w:val="24"/>
          <w:szCs w:val="24"/>
        </w:rPr>
        <w:t>t</w:t>
      </w:r>
      <w:r w:rsidR="006F42D9" w:rsidRPr="00D57504">
        <w:rPr>
          <w:rFonts w:ascii="Times New Roman" w:hAnsi="Times New Roman" w:cs="Times New Roman"/>
          <w:sz w:val="24"/>
          <w:szCs w:val="24"/>
        </w:rPr>
        <w:t>he Act.</w:t>
      </w:r>
      <w:r w:rsidR="00B02493" w:rsidRPr="00D57504">
        <w:rPr>
          <w:rFonts w:ascii="Times New Roman" w:hAnsi="Times New Roman" w:cs="Times New Roman"/>
          <w:sz w:val="24"/>
          <w:szCs w:val="24"/>
        </w:rPr>
        <w:t xml:space="preserve"> As a result, provisional relevant providers can only be added to </w:t>
      </w:r>
      <w:r w:rsidR="00E43595" w:rsidRPr="00D57504">
        <w:rPr>
          <w:rFonts w:ascii="Times New Roman" w:hAnsi="Times New Roman" w:cs="Times New Roman"/>
          <w:sz w:val="24"/>
          <w:szCs w:val="24"/>
        </w:rPr>
        <w:t xml:space="preserve">the </w:t>
      </w:r>
      <w:r w:rsidR="00097ABC">
        <w:rPr>
          <w:rFonts w:ascii="Times New Roman" w:hAnsi="Times New Roman" w:cs="Times New Roman"/>
          <w:sz w:val="24"/>
          <w:szCs w:val="24"/>
        </w:rPr>
        <w:t xml:space="preserve">Register of Relevant Providers </w:t>
      </w:r>
      <w:r w:rsidR="00B02493" w:rsidRPr="00D57504">
        <w:rPr>
          <w:rFonts w:ascii="Times New Roman" w:hAnsi="Times New Roman" w:cs="Times New Roman"/>
          <w:sz w:val="24"/>
          <w:szCs w:val="24"/>
        </w:rPr>
        <w:t>from 15 November 2019.</w:t>
      </w:r>
    </w:p>
    <w:p w:rsidR="00A20CA8" w:rsidRPr="00A20CA8" w:rsidRDefault="00A20CA8" w:rsidP="00A20CA8">
      <w:pPr>
        <w:pStyle w:val="ListPara1"/>
        <w:numPr>
          <w:ilvl w:val="0"/>
          <w:numId w:val="0"/>
        </w:numPr>
        <w:ind w:left="360" w:hanging="360"/>
        <w:rPr>
          <w:rFonts w:ascii="Times New Roman" w:hAnsi="Times New Roman" w:cs="Times New Roman"/>
          <w:b/>
          <w:sz w:val="24"/>
          <w:szCs w:val="24"/>
        </w:rPr>
      </w:pPr>
      <w:r w:rsidRPr="00A20CA8">
        <w:rPr>
          <w:rFonts w:ascii="Times New Roman" w:hAnsi="Times New Roman" w:cs="Times New Roman"/>
          <w:b/>
          <w:sz w:val="24"/>
          <w:szCs w:val="24"/>
        </w:rPr>
        <w:t>Section 6</w:t>
      </w:r>
    </w:p>
    <w:p w:rsidR="00333659" w:rsidRPr="00D57504" w:rsidRDefault="00333659"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 xml:space="preserve">Section 6 </w:t>
      </w:r>
      <w:r w:rsidR="000B162C">
        <w:rPr>
          <w:rFonts w:ascii="Times New Roman" w:hAnsi="Times New Roman" w:cs="Times New Roman"/>
          <w:sz w:val="24"/>
          <w:szCs w:val="24"/>
        </w:rPr>
        <w:t xml:space="preserve">of the instrument </w:t>
      </w:r>
      <w:r w:rsidRPr="00D57504">
        <w:rPr>
          <w:rFonts w:ascii="Times New Roman" w:hAnsi="Times New Roman" w:cs="Times New Roman"/>
          <w:sz w:val="24"/>
          <w:szCs w:val="24"/>
        </w:rPr>
        <w:t>pr</w:t>
      </w:r>
      <w:r w:rsidR="006F42D9" w:rsidRPr="00D57504">
        <w:rPr>
          <w:rFonts w:ascii="Times New Roman" w:hAnsi="Times New Roman" w:cs="Times New Roman"/>
          <w:sz w:val="24"/>
          <w:szCs w:val="24"/>
        </w:rPr>
        <w:t xml:space="preserve">ovides that licensees </w:t>
      </w:r>
      <w:r w:rsidR="00CA65C0" w:rsidRPr="00D57504">
        <w:rPr>
          <w:rFonts w:ascii="Times New Roman" w:hAnsi="Times New Roman" w:cs="Times New Roman"/>
          <w:sz w:val="24"/>
          <w:szCs w:val="24"/>
        </w:rPr>
        <w:t>do</w:t>
      </w:r>
      <w:r w:rsidR="006F42D9" w:rsidRPr="00D57504">
        <w:rPr>
          <w:rFonts w:ascii="Times New Roman" w:hAnsi="Times New Roman" w:cs="Times New Roman"/>
          <w:sz w:val="24"/>
          <w:szCs w:val="24"/>
        </w:rPr>
        <w:t xml:space="preserve"> not need to lodge a </w:t>
      </w:r>
      <w:r w:rsidR="00422CEC">
        <w:rPr>
          <w:rFonts w:ascii="Times New Roman" w:hAnsi="Times New Roman" w:cs="Times New Roman"/>
          <w:sz w:val="24"/>
          <w:szCs w:val="24"/>
        </w:rPr>
        <w:t xml:space="preserve">notice under </w:t>
      </w:r>
      <w:r w:rsidR="00CA65C0" w:rsidRPr="00D57504">
        <w:rPr>
          <w:rFonts w:ascii="Times New Roman" w:hAnsi="Times New Roman" w:cs="Times New Roman"/>
          <w:sz w:val="24"/>
          <w:szCs w:val="24"/>
        </w:rPr>
        <w:t xml:space="preserve">section 922HB </w:t>
      </w:r>
      <w:r w:rsidR="006F42D9" w:rsidRPr="00D57504">
        <w:rPr>
          <w:rFonts w:ascii="Times New Roman" w:hAnsi="Times New Roman" w:cs="Times New Roman"/>
          <w:sz w:val="24"/>
          <w:szCs w:val="24"/>
        </w:rPr>
        <w:t xml:space="preserve">about </w:t>
      </w:r>
      <w:r w:rsidR="00CA65C0" w:rsidRPr="00D57504">
        <w:rPr>
          <w:rFonts w:ascii="Times New Roman" w:hAnsi="Times New Roman" w:cs="Times New Roman"/>
          <w:sz w:val="24"/>
          <w:szCs w:val="24"/>
        </w:rPr>
        <w:t>a relevant provider who has failed to comply with the CPD requirements</w:t>
      </w:r>
      <w:r w:rsidR="00CA65C0" w:rsidRPr="00D57504" w:rsidDel="00CA65C0">
        <w:rPr>
          <w:rFonts w:ascii="Times New Roman" w:hAnsi="Times New Roman" w:cs="Times New Roman"/>
          <w:sz w:val="24"/>
          <w:szCs w:val="24"/>
        </w:rPr>
        <w:t xml:space="preserve"> </w:t>
      </w:r>
      <w:r w:rsidR="000B5C4D" w:rsidRPr="00D57504">
        <w:rPr>
          <w:rFonts w:ascii="Times New Roman" w:hAnsi="Times New Roman" w:cs="Times New Roman"/>
          <w:sz w:val="24"/>
          <w:szCs w:val="24"/>
        </w:rPr>
        <w:t>between 1 January 2019 and 14 November 2019</w:t>
      </w:r>
      <w:r w:rsidR="006F42D9" w:rsidRPr="00D57504">
        <w:rPr>
          <w:rFonts w:ascii="Times New Roman" w:hAnsi="Times New Roman" w:cs="Times New Roman"/>
          <w:sz w:val="24"/>
          <w:szCs w:val="24"/>
        </w:rPr>
        <w:t>.</w:t>
      </w:r>
      <w:r w:rsidR="00093334" w:rsidRPr="00D57504">
        <w:rPr>
          <w:rFonts w:ascii="Times New Roman" w:hAnsi="Times New Roman" w:cs="Times New Roman"/>
          <w:sz w:val="24"/>
          <w:szCs w:val="24"/>
        </w:rPr>
        <w:t xml:space="preserve"> Licensees will have </w:t>
      </w:r>
      <w:r w:rsidR="000B5C4D" w:rsidRPr="00D57504">
        <w:rPr>
          <w:rFonts w:ascii="Times New Roman" w:hAnsi="Times New Roman" w:cs="Times New Roman"/>
          <w:sz w:val="24"/>
          <w:szCs w:val="24"/>
        </w:rPr>
        <w:t>30 </w:t>
      </w:r>
      <w:r w:rsidR="00093334" w:rsidRPr="00D57504">
        <w:rPr>
          <w:rFonts w:ascii="Times New Roman" w:hAnsi="Times New Roman" w:cs="Times New Roman"/>
          <w:sz w:val="24"/>
          <w:szCs w:val="24"/>
        </w:rPr>
        <w:t xml:space="preserve">business days from 15 November 2019 to notify ASIC of </w:t>
      </w:r>
      <w:r w:rsidR="00F9722A" w:rsidRPr="00D57504">
        <w:rPr>
          <w:rFonts w:ascii="Times New Roman" w:hAnsi="Times New Roman" w:cs="Times New Roman"/>
          <w:sz w:val="24"/>
          <w:szCs w:val="24"/>
        </w:rPr>
        <w:t>non-compliance</w:t>
      </w:r>
      <w:r w:rsidR="00AC5ED4" w:rsidRPr="00D57504">
        <w:rPr>
          <w:rFonts w:ascii="Times New Roman" w:hAnsi="Times New Roman" w:cs="Times New Roman"/>
          <w:sz w:val="24"/>
          <w:szCs w:val="24"/>
        </w:rPr>
        <w:t xml:space="preserve"> with the CPD requirements</w:t>
      </w:r>
      <w:r w:rsidR="00F9722A" w:rsidRPr="00D57504">
        <w:rPr>
          <w:rFonts w:ascii="Times New Roman" w:hAnsi="Times New Roman" w:cs="Times New Roman"/>
          <w:sz w:val="24"/>
          <w:szCs w:val="24"/>
        </w:rPr>
        <w:t xml:space="preserve"> </w:t>
      </w:r>
      <w:r w:rsidR="000B5C4D" w:rsidRPr="00D57504">
        <w:rPr>
          <w:rFonts w:ascii="Times New Roman" w:hAnsi="Times New Roman" w:cs="Times New Roman"/>
          <w:sz w:val="24"/>
          <w:szCs w:val="24"/>
        </w:rPr>
        <w:t>between 1 January 2019 and 14 November 2019</w:t>
      </w:r>
      <w:r w:rsidR="00093334" w:rsidRPr="00D57504">
        <w:rPr>
          <w:rFonts w:ascii="Times New Roman" w:hAnsi="Times New Roman" w:cs="Times New Roman"/>
          <w:sz w:val="24"/>
          <w:szCs w:val="24"/>
        </w:rPr>
        <w:t xml:space="preserve">, which means </w:t>
      </w:r>
      <w:r w:rsidR="00E43595" w:rsidRPr="00D57504">
        <w:rPr>
          <w:rFonts w:ascii="Times New Roman" w:hAnsi="Times New Roman" w:cs="Times New Roman"/>
          <w:sz w:val="24"/>
          <w:szCs w:val="24"/>
        </w:rPr>
        <w:t xml:space="preserve">these notices </w:t>
      </w:r>
      <w:r w:rsidR="00093334" w:rsidRPr="00D57504">
        <w:rPr>
          <w:rFonts w:ascii="Times New Roman" w:hAnsi="Times New Roman" w:cs="Times New Roman"/>
          <w:sz w:val="24"/>
          <w:szCs w:val="24"/>
        </w:rPr>
        <w:t xml:space="preserve">must be </w:t>
      </w:r>
      <w:r w:rsidR="00E43595" w:rsidRPr="00D57504">
        <w:rPr>
          <w:rFonts w:ascii="Times New Roman" w:hAnsi="Times New Roman" w:cs="Times New Roman"/>
          <w:sz w:val="24"/>
          <w:szCs w:val="24"/>
        </w:rPr>
        <w:t xml:space="preserve">lodged </w:t>
      </w:r>
      <w:r w:rsidR="009566F4" w:rsidRPr="00D57504">
        <w:rPr>
          <w:rFonts w:ascii="Times New Roman" w:hAnsi="Times New Roman" w:cs="Times New Roman"/>
          <w:sz w:val="24"/>
          <w:szCs w:val="24"/>
        </w:rPr>
        <w:t xml:space="preserve">with ASIC </w:t>
      </w:r>
      <w:r w:rsidR="00093334" w:rsidRPr="00D57504">
        <w:rPr>
          <w:rFonts w:ascii="Times New Roman" w:hAnsi="Times New Roman" w:cs="Times New Roman"/>
          <w:sz w:val="24"/>
          <w:szCs w:val="24"/>
        </w:rPr>
        <w:t>before 1 January</w:t>
      </w:r>
      <w:r w:rsidR="00422CEC">
        <w:rPr>
          <w:rFonts w:ascii="Times New Roman" w:hAnsi="Times New Roman" w:cs="Times New Roman"/>
          <w:sz w:val="24"/>
          <w:szCs w:val="24"/>
        </w:rPr>
        <w:t xml:space="preserve"> 2020</w:t>
      </w:r>
      <w:r w:rsidR="00093334" w:rsidRPr="00D57504">
        <w:rPr>
          <w:rFonts w:ascii="Times New Roman" w:hAnsi="Times New Roman" w:cs="Times New Roman"/>
          <w:sz w:val="24"/>
          <w:szCs w:val="24"/>
        </w:rPr>
        <w:t>.</w:t>
      </w:r>
    </w:p>
    <w:p w:rsidR="00A20CA8" w:rsidRPr="00A20CA8" w:rsidRDefault="00A20CA8" w:rsidP="00A20CA8">
      <w:pPr>
        <w:pStyle w:val="ListPara1"/>
        <w:numPr>
          <w:ilvl w:val="0"/>
          <w:numId w:val="0"/>
        </w:numPr>
        <w:ind w:left="360" w:hanging="360"/>
        <w:rPr>
          <w:rFonts w:ascii="Times New Roman" w:hAnsi="Times New Roman" w:cs="Times New Roman"/>
          <w:b/>
          <w:sz w:val="24"/>
          <w:szCs w:val="24"/>
        </w:rPr>
      </w:pPr>
      <w:r w:rsidRPr="00A20CA8">
        <w:rPr>
          <w:rFonts w:ascii="Times New Roman" w:hAnsi="Times New Roman" w:cs="Times New Roman"/>
          <w:b/>
          <w:sz w:val="24"/>
          <w:szCs w:val="24"/>
        </w:rPr>
        <w:t xml:space="preserve">Section </w:t>
      </w:r>
      <w:r>
        <w:rPr>
          <w:rFonts w:ascii="Times New Roman" w:hAnsi="Times New Roman" w:cs="Times New Roman"/>
          <w:b/>
          <w:sz w:val="24"/>
          <w:szCs w:val="24"/>
        </w:rPr>
        <w:t>7</w:t>
      </w:r>
    </w:p>
    <w:p w:rsidR="006F42D9" w:rsidRPr="00D57504" w:rsidRDefault="00333659"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 xml:space="preserve">Section 7 </w:t>
      </w:r>
      <w:r w:rsidR="000B162C">
        <w:rPr>
          <w:rFonts w:ascii="Times New Roman" w:hAnsi="Times New Roman" w:cs="Times New Roman"/>
          <w:sz w:val="24"/>
          <w:szCs w:val="24"/>
        </w:rPr>
        <w:t xml:space="preserve">of the instrument </w:t>
      </w:r>
      <w:r w:rsidRPr="00D57504">
        <w:rPr>
          <w:rFonts w:ascii="Times New Roman" w:hAnsi="Times New Roman" w:cs="Times New Roman"/>
          <w:sz w:val="24"/>
          <w:szCs w:val="24"/>
        </w:rPr>
        <w:t xml:space="preserve">provides that </w:t>
      </w:r>
      <w:r w:rsidR="00093334" w:rsidRPr="00D57504">
        <w:rPr>
          <w:rFonts w:ascii="Times New Roman" w:hAnsi="Times New Roman" w:cs="Times New Roman"/>
          <w:sz w:val="24"/>
          <w:szCs w:val="24"/>
        </w:rPr>
        <w:t xml:space="preserve">a licensee does not have to notify ASIC of the start date of a licensee’s CPD year </w:t>
      </w:r>
      <w:r w:rsidR="00072AA1" w:rsidRPr="00D57504">
        <w:rPr>
          <w:rFonts w:ascii="Times New Roman" w:hAnsi="Times New Roman" w:cs="Times New Roman"/>
          <w:sz w:val="24"/>
          <w:szCs w:val="24"/>
        </w:rPr>
        <w:t>until 15 November 2019</w:t>
      </w:r>
      <w:r w:rsidR="00093334" w:rsidRPr="00D57504">
        <w:rPr>
          <w:rFonts w:ascii="Times New Roman" w:hAnsi="Times New Roman" w:cs="Times New Roman"/>
          <w:sz w:val="24"/>
          <w:szCs w:val="24"/>
        </w:rPr>
        <w:t xml:space="preserve">. Licensees will have 30 business days from </w:t>
      </w:r>
      <w:r w:rsidR="00043407">
        <w:rPr>
          <w:rFonts w:ascii="Times New Roman" w:hAnsi="Times New Roman" w:cs="Times New Roman"/>
          <w:sz w:val="24"/>
          <w:szCs w:val="24"/>
        </w:rPr>
        <w:t>15 November 2019</w:t>
      </w:r>
      <w:r w:rsidR="00043407" w:rsidRPr="00D57504">
        <w:rPr>
          <w:rFonts w:ascii="Times New Roman" w:hAnsi="Times New Roman" w:cs="Times New Roman"/>
          <w:sz w:val="24"/>
          <w:szCs w:val="24"/>
        </w:rPr>
        <w:t xml:space="preserve"> </w:t>
      </w:r>
      <w:r w:rsidR="00093334" w:rsidRPr="00D57504">
        <w:rPr>
          <w:rFonts w:ascii="Times New Roman" w:hAnsi="Times New Roman" w:cs="Times New Roman"/>
          <w:sz w:val="24"/>
          <w:szCs w:val="24"/>
        </w:rPr>
        <w:t>to notify ASIC of this</w:t>
      </w:r>
      <w:r w:rsidR="004E2C40" w:rsidRPr="00D57504">
        <w:rPr>
          <w:rFonts w:ascii="Times New Roman" w:hAnsi="Times New Roman" w:cs="Times New Roman"/>
          <w:sz w:val="24"/>
          <w:szCs w:val="24"/>
        </w:rPr>
        <w:t xml:space="preserve"> </w:t>
      </w:r>
      <w:r w:rsidR="00516A47" w:rsidRPr="00D57504">
        <w:rPr>
          <w:rFonts w:ascii="Times New Roman" w:hAnsi="Times New Roman" w:cs="Times New Roman"/>
          <w:sz w:val="24"/>
          <w:szCs w:val="24"/>
        </w:rPr>
        <w:t xml:space="preserve">information in accordance with </w:t>
      </w:r>
      <w:r w:rsidR="004E2C40" w:rsidRPr="00D57504">
        <w:rPr>
          <w:rFonts w:ascii="Times New Roman" w:hAnsi="Times New Roman" w:cs="Times New Roman"/>
          <w:sz w:val="24"/>
          <w:szCs w:val="24"/>
        </w:rPr>
        <w:t>the notice provision in section 922HA of the Act</w:t>
      </w:r>
      <w:r w:rsidR="001B3308" w:rsidRPr="00D57504">
        <w:rPr>
          <w:rFonts w:ascii="Times New Roman" w:hAnsi="Times New Roman" w:cs="Times New Roman"/>
          <w:sz w:val="24"/>
          <w:szCs w:val="24"/>
        </w:rPr>
        <w:t xml:space="preserve">. This </w:t>
      </w:r>
      <w:r w:rsidR="00093334" w:rsidRPr="00D57504">
        <w:rPr>
          <w:rFonts w:ascii="Times New Roman" w:hAnsi="Times New Roman" w:cs="Times New Roman"/>
          <w:sz w:val="24"/>
          <w:szCs w:val="24"/>
        </w:rPr>
        <w:t xml:space="preserve">means </w:t>
      </w:r>
      <w:r w:rsidR="001B3308" w:rsidRPr="00D57504">
        <w:rPr>
          <w:rFonts w:ascii="Times New Roman" w:hAnsi="Times New Roman" w:cs="Times New Roman"/>
          <w:sz w:val="24"/>
          <w:szCs w:val="24"/>
        </w:rPr>
        <w:t xml:space="preserve">licensees must lodge the notice with ASIC </w:t>
      </w:r>
      <w:r w:rsidR="00072AA1" w:rsidRPr="00D57504">
        <w:rPr>
          <w:rFonts w:ascii="Times New Roman" w:hAnsi="Times New Roman" w:cs="Times New Roman"/>
          <w:sz w:val="24"/>
          <w:szCs w:val="24"/>
        </w:rPr>
        <w:t>before 1 January 2020</w:t>
      </w:r>
      <w:r w:rsidR="00093334" w:rsidRPr="00D57504">
        <w:rPr>
          <w:rFonts w:ascii="Times New Roman" w:hAnsi="Times New Roman" w:cs="Times New Roman"/>
          <w:sz w:val="24"/>
          <w:szCs w:val="24"/>
        </w:rPr>
        <w:t>.</w:t>
      </w:r>
    </w:p>
    <w:p w:rsidR="00A20CA8" w:rsidRPr="00A20CA8" w:rsidRDefault="00A20CA8" w:rsidP="00A20CA8">
      <w:pPr>
        <w:pStyle w:val="ListPara1"/>
        <w:numPr>
          <w:ilvl w:val="0"/>
          <w:numId w:val="0"/>
        </w:numPr>
        <w:rPr>
          <w:rFonts w:ascii="Times New Roman" w:hAnsi="Times New Roman" w:cs="Times New Roman"/>
          <w:b/>
          <w:sz w:val="24"/>
          <w:szCs w:val="24"/>
        </w:rPr>
      </w:pPr>
      <w:r w:rsidRPr="00A20CA8">
        <w:rPr>
          <w:rFonts w:ascii="Times New Roman" w:hAnsi="Times New Roman" w:cs="Times New Roman"/>
          <w:b/>
          <w:sz w:val="24"/>
          <w:szCs w:val="24"/>
        </w:rPr>
        <w:t>Section 8</w:t>
      </w:r>
    </w:p>
    <w:p w:rsidR="004E2C40" w:rsidRDefault="00333659"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 xml:space="preserve">Section 8 </w:t>
      </w:r>
      <w:r w:rsidR="000B162C">
        <w:rPr>
          <w:rFonts w:ascii="Times New Roman" w:hAnsi="Times New Roman" w:cs="Times New Roman"/>
          <w:sz w:val="24"/>
          <w:szCs w:val="24"/>
        </w:rPr>
        <w:t xml:space="preserve">of the instrument </w:t>
      </w:r>
      <w:r w:rsidR="006F42D9" w:rsidRPr="00D57504">
        <w:rPr>
          <w:rFonts w:ascii="Times New Roman" w:hAnsi="Times New Roman" w:cs="Times New Roman"/>
          <w:sz w:val="24"/>
          <w:szCs w:val="24"/>
        </w:rPr>
        <w:t xml:space="preserve">provides that </w:t>
      </w:r>
      <w:r w:rsidR="004E2C40" w:rsidRPr="00D57504">
        <w:rPr>
          <w:rFonts w:ascii="Times New Roman" w:hAnsi="Times New Roman" w:cs="Times New Roman"/>
          <w:sz w:val="24"/>
          <w:szCs w:val="24"/>
        </w:rPr>
        <w:t xml:space="preserve">licensees do not have </w:t>
      </w:r>
      <w:r w:rsidR="00536AC5" w:rsidRPr="00D57504">
        <w:rPr>
          <w:rFonts w:ascii="Times New Roman" w:hAnsi="Times New Roman" w:cs="Times New Roman"/>
          <w:sz w:val="24"/>
          <w:szCs w:val="24"/>
        </w:rPr>
        <w:t xml:space="preserve">to </w:t>
      </w:r>
      <w:r w:rsidR="004E2C40" w:rsidRPr="00D57504">
        <w:rPr>
          <w:rFonts w:ascii="Times New Roman" w:hAnsi="Times New Roman" w:cs="Times New Roman"/>
          <w:sz w:val="24"/>
          <w:szCs w:val="24"/>
        </w:rPr>
        <w:t xml:space="preserve">lodge a notice about an existing provider </w:t>
      </w:r>
      <w:r w:rsidR="00516A47" w:rsidRPr="00D57504">
        <w:rPr>
          <w:rFonts w:ascii="Times New Roman" w:hAnsi="Times New Roman" w:cs="Times New Roman"/>
          <w:sz w:val="24"/>
          <w:szCs w:val="24"/>
        </w:rPr>
        <w:t xml:space="preserve">that </w:t>
      </w:r>
      <w:r w:rsidR="004E2C40" w:rsidRPr="00D57504">
        <w:rPr>
          <w:rFonts w:ascii="Times New Roman" w:hAnsi="Times New Roman" w:cs="Times New Roman"/>
          <w:sz w:val="24"/>
          <w:szCs w:val="24"/>
        </w:rPr>
        <w:t>has passed the exam</w:t>
      </w:r>
      <w:r w:rsidR="004D6553" w:rsidRPr="00D57504">
        <w:rPr>
          <w:rFonts w:ascii="Times New Roman" w:hAnsi="Times New Roman" w:cs="Times New Roman"/>
          <w:sz w:val="24"/>
          <w:szCs w:val="24"/>
        </w:rPr>
        <w:t xml:space="preserve"> requirement</w:t>
      </w:r>
      <w:r w:rsidR="004E2C40" w:rsidRPr="00D57504">
        <w:rPr>
          <w:rFonts w:ascii="Times New Roman" w:hAnsi="Times New Roman" w:cs="Times New Roman"/>
          <w:sz w:val="24"/>
          <w:szCs w:val="24"/>
        </w:rPr>
        <w:t xml:space="preserve"> bet</w:t>
      </w:r>
      <w:r w:rsidR="00083011" w:rsidRPr="00D57504">
        <w:rPr>
          <w:rFonts w:ascii="Times New Roman" w:hAnsi="Times New Roman" w:cs="Times New Roman"/>
          <w:sz w:val="24"/>
          <w:szCs w:val="24"/>
        </w:rPr>
        <w:t>ween 1 </w:t>
      </w:r>
      <w:r w:rsidR="004E2C40" w:rsidRPr="00D57504">
        <w:rPr>
          <w:rFonts w:ascii="Times New Roman" w:hAnsi="Times New Roman" w:cs="Times New Roman"/>
          <w:sz w:val="24"/>
          <w:szCs w:val="24"/>
        </w:rPr>
        <w:t>January 2019 and 14</w:t>
      </w:r>
      <w:r w:rsidR="00EE2841" w:rsidRPr="00D57504">
        <w:rPr>
          <w:rFonts w:ascii="Times New Roman" w:hAnsi="Times New Roman" w:cs="Times New Roman"/>
          <w:sz w:val="24"/>
          <w:szCs w:val="24"/>
        </w:rPr>
        <w:t> </w:t>
      </w:r>
      <w:r w:rsidR="004E2C40" w:rsidRPr="00D57504">
        <w:rPr>
          <w:rFonts w:ascii="Times New Roman" w:hAnsi="Times New Roman" w:cs="Times New Roman"/>
          <w:sz w:val="24"/>
          <w:szCs w:val="24"/>
        </w:rPr>
        <w:t>November 2019</w:t>
      </w:r>
      <w:r w:rsidR="000B1EEC" w:rsidRPr="00D57504">
        <w:rPr>
          <w:rFonts w:ascii="Times New Roman" w:hAnsi="Times New Roman" w:cs="Times New Roman"/>
          <w:sz w:val="24"/>
          <w:szCs w:val="24"/>
        </w:rPr>
        <w:t xml:space="preserve"> until on or after 15 November 2019</w:t>
      </w:r>
      <w:r w:rsidR="004E2C40" w:rsidRPr="00D57504">
        <w:rPr>
          <w:rFonts w:ascii="Times New Roman" w:hAnsi="Times New Roman" w:cs="Times New Roman"/>
          <w:sz w:val="24"/>
          <w:szCs w:val="24"/>
        </w:rPr>
        <w:t>. Licensees will have 30 business days from 15</w:t>
      </w:r>
      <w:r w:rsidR="009566F4" w:rsidRPr="00D57504">
        <w:rPr>
          <w:rFonts w:ascii="Times New Roman" w:hAnsi="Times New Roman" w:cs="Times New Roman"/>
          <w:sz w:val="24"/>
          <w:szCs w:val="24"/>
        </w:rPr>
        <w:t> </w:t>
      </w:r>
      <w:r w:rsidR="004E2C40" w:rsidRPr="00D57504">
        <w:rPr>
          <w:rFonts w:ascii="Times New Roman" w:hAnsi="Times New Roman" w:cs="Times New Roman"/>
          <w:sz w:val="24"/>
          <w:szCs w:val="24"/>
        </w:rPr>
        <w:t xml:space="preserve">November 2019 to notify ASIC of any of their existing providers </w:t>
      </w:r>
      <w:r w:rsidR="00AC5ED4" w:rsidRPr="00D57504">
        <w:rPr>
          <w:rFonts w:ascii="Times New Roman" w:hAnsi="Times New Roman" w:cs="Times New Roman"/>
          <w:sz w:val="24"/>
          <w:szCs w:val="24"/>
        </w:rPr>
        <w:t xml:space="preserve">of whom </w:t>
      </w:r>
      <w:r w:rsidR="004E2C40" w:rsidRPr="00D57504">
        <w:rPr>
          <w:rFonts w:ascii="Times New Roman" w:hAnsi="Times New Roman" w:cs="Times New Roman"/>
          <w:sz w:val="24"/>
          <w:szCs w:val="24"/>
        </w:rPr>
        <w:t>they are aware</w:t>
      </w:r>
      <w:r w:rsidR="002D6030" w:rsidRPr="00D57504">
        <w:rPr>
          <w:rFonts w:ascii="Times New Roman" w:hAnsi="Times New Roman" w:cs="Times New Roman"/>
          <w:sz w:val="24"/>
          <w:szCs w:val="24"/>
        </w:rPr>
        <w:t xml:space="preserve"> have passed the exam between 1 January </w:t>
      </w:r>
      <w:r w:rsidR="004E2C40" w:rsidRPr="00D57504">
        <w:rPr>
          <w:rFonts w:ascii="Times New Roman" w:hAnsi="Times New Roman" w:cs="Times New Roman"/>
          <w:sz w:val="24"/>
          <w:szCs w:val="24"/>
        </w:rPr>
        <w:t>2019 and 14</w:t>
      </w:r>
      <w:r w:rsidR="00083011" w:rsidRPr="00D57504">
        <w:rPr>
          <w:rFonts w:ascii="Times New Roman" w:hAnsi="Times New Roman" w:cs="Times New Roman"/>
          <w:sz w:val="24"/>
          <w:szCs w:val="24"/>
        </w:rPr>
        <w:t> </w:t>
      </w:r>
      <w:r w:rsidR="004E2C40" w:rsidRPr="00D57504">
        <w:rPr>
          <w:rFonts w:ascii="Times New Roman" w:hAnsi="Times New Roman" w:cs="Times New Roman"/>
          <w:sz w:val="24"/>
          <w:szCs w:val="24"/>
        </w:rPr>
        <w:t>November 2019</w:t>
      </w:r>
      <w:r w:rsidR="00EE2841" w:rsidRPr="00D57504">
        <w:rPr>
          <w:rFonts w:ascii="Times New Roman" w:hAnsi="Times New Roman" w:cs="Times New Roman"/>
          <w:sz w:val="24"/>
          <w:szCs w:val="24"/>
        </w:rPr>
        <w:t>. This</w:t>
      </w:r>
      <w:r w:rsidR="004E2C40" w:rsidRPr="00D57504">
        <w:rPr>
          <w:rFonts w:ascii="Times New Roman" w:hAnsi="Times New Roman" w:cs="Times New Roman"/>
          <w:sz w:val="24"/>
          <w:szCs w:val="24"/>
        </w:rPr>
        <w:t xml:space="preserve"> means </w:t>
      </w:r>
      <w:r w:rsidR="00516A47" w:rsidRPr="00D57504">
        <w:rPr>
          <w:rFonts w:ascii="Times New Roman" w:hAnsi="Times New Roman" w:cs="Times New Roman"/>
          <w:sz w:val="24"/>
          <w:szCs w:val="24"/>
        </w:rPr>
        <w:t xml:space="preserve">the notice </w:t>
      </w:r>
      <w:r w:rsidR="009566F4" w:rsidRPr="00D57504">
        <w:rPr>
          <w:rFonts w:ascii="Times New Roman" w:hAnsi="Times New Roman" w:cs="Times New Roman"/>
          <w:sz w:val="24"/>
          <w:szCs w:val="24"/>
        </w:rPr>
        <w:t xml:space="preserve">about these existing providers </w:t>
      </w:r>
      <w:r w:rsidR="00516A47" w:rsidRPr="00D57504">
        <w:rPr>
          <w:rFonts w:ascii="Times New Roman" w:hAnsi="Times New Roman" w:cs="Times New Roman"/>
          <w:sz w:val="24"/>
          <w:szCs w:val="24"/>
        </w:rPr>
        <w:t xml:space="preserve">must be lodged </w:t>
      </w:r>
      <w:r w:rsidR="004E2C40" w:rsidRPr="00D57504">
        <w:rPr>
          <w:rFonts w:ascii="Times New Roman" w:hAnsi="Times New Roman" w:cs="Times New Roman"/>
          <w:sz w:val="24"/>
          <w:szCs w:val="24"/>
        </w:rPr>
        <w:t>before 1 January 20</w:t>
      </w:r>
      <w:r w:rsidR="00C14030">
        <w:rPr>
          <w:rFonts w:ascii="Times New Roman" w:hAnsi="Times New Roman" w:cs="Times New Roman"/>
          <w:sz w:val="24"/>
          <w:szCs w:val="24"/>
        </w:rPr>
        <w:t>20</w:t>
      </w:r>
      <w:r w:rsidR="004E2C40" w:rsidRPr="00D57504">
        <w:rPr>
          <w:rFonts w:ascii="Times New Roman" w:hAnsi="Times New Roman" w:cs="Times New Roman"/>
          <w:sz w:val="24"/>
          <w:szCs w:val="24"/>
        </w:rPr>
        <w:t xml:space="preserve">. </w:t>
      </w:r>
    </w:p>
    <w:p w:rsidR="00A20CA8" w:rsidRPr="00A20CA8" w:rsidRDefault="00A20CA8" w:rsidP="00A20CA8">
      <w:pPr>
        <w:pStyle w:val="ListPara1"/>
        <w:numPr>
          <w:ilvl w:val="0"/>
          <w:numId w:val="0"/>
        </w:numPr>
        <w:ind w:left="360" w:hanging="360"/>
        <w:rPr>
          <w:rFonts w:ascii="Times New Roman" w:hAnsi="Times New Roman" w:cs="Times New Roman"/>
          <w:b/>
          <w:sz w:val="24"/>
          <w:szCs w:val="24"/>
        </w:rPr>
      </w:pPr>
      <w:r w:rsidRPr="00A20CA8">
        <w:rPr>
          <w:rFonts w:ascii="Times New Roman" w:hAnsi="Times New Roman" w:cs="Times New Roman"/>
          <w:b/>
          <w:sz w:val="24"/>
          <w:szCs w:val="24"/>
        </w:rPr>
        <w:t>Section 9</w:t>
      </w:r>
    </w:p>
    <w:p w:rsidR="00376479" w:rsidRPr="00D57504" w:rsidRDefault="00376479"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 xml:space="preserve">Section 9 </w:t>
      </w:r>
      <w:r w:rsidR="000B162C">
        <w:rPr>
          <w:rFonts w:ascii="Times New Roman" w:hAnsi="Times New Roman" w:cs="Times New Roman"/>
          <w:sz w:val="24"/>
          <w:szCs w:val="24"/>
        </w:rPr>
        <w:t xml:space="preserve">of the instrument </w:t>
      </w:r>
      <w:r w:rsidRPr="00D57504">
        <w:rPr>
          <w:rFonts w:ascii="Times New Roman" w:hAnsi="Times New Roman" w:cs="Times New Roman"/>
          <w:sz w:val="24"/>
          <w:szCs w:val="24"/>
        </w:rPr>
        <w:t>provides th</w:t>
      </w:r>
      <w:r w:rsidR="00083011" w:rsidRPr="00D57504">
        <w:rPr>
          <w:rFonts w:ascii="Times New Roman" w:hAnsi="Times New Roman" w:cs="Times New Roman"/>
          <w:sz w:val="24"/>
          <w:szCs w:val="24"/>
        </w:rPr>
        <w:t>a</w:t>
      </w:r>
      <w:r w:rsidRPr="00D57504">
        <w:rPr>
          <w:rFonts w:ascii="Times New Roman" w:hAnsi="Times New Roman" w:cs="Times New Roman"/>
          <w:sz w:val="24"/>
          <w:szCs w:val="24"/>
        </w:rPr>
        <w:t xml:space="preserve">t </w:t>
      </w:r>
      <w:r w:rsidR="00083011" w:rsidRPr="00D57504">
        <w:rPr>
          <w:rFonts w:ascii="Times New Roman" w:hAnsi="Times New Roman" w:cs="Times New Roman"/>
          <w:sz w:val="24"/>
          <w:szCs w:val="24"/>
        </w:rPr>
        <w:t xml:space="preserve">a licensee must notify ASIC of the principal place of business and compliance scheme membership of their relevant providers in </w:t>
      </w:r>
      <w:r w:rsidR="00083011" w:rsidRPr="00D57504">
        <w:rPr>
          <w:rFonts w:ascii="Times New Roman" w:hAnsi="Times New Roman" w:cs="Times New Roman"/>
          <w:sz w:val="24"/>
          <w:szCs w:val="24"/>
        </w:rPr>
        <w:lastRenderedPageBreak/>
        <w:t>the same notice</w:t>
      </w:r>
      <w:r w:rsidR="001B3308" w:rsidRPr="00D57504">
        <w:rPr>
          <w:rFonts w:ascii="Times New Roman" w:hAnsi="Times New Roman" w:cs="Times New Roman"/>
          <w:sz w:val="24"/>
          <w:szCs w:val="24"/>
        </w:rPr>
        <w:t>,</w:t>
      </w:r>
      <w:r w:rsidR="00083011" w:rsidRPr="00D57504">
        <w:rPr>
          <w:rFonts w:ascii="Times New Roman" w:hAnsi="Times New Roman" w:cs="Times New Roman"/>
          <w:sz w:val="24"/>
          <w:szCs w:val="24"/>
        </w:rPr>
        <w:t xml:space="preserve"> and in the first notice they lodge with ASIC</w:t>
      </w:r>
      <w:r w:rsidR="001B3308" w:rsidRPr="00D57504">
        <w:rPr>
          <w:rFonts w:ascii="Times New Roman" w:hAnsi="Times New Roman" w:cs="Times New Roman"/>
          <w:sz w:val="24"/>
          <w:szCs w:val="24"/>
        </w:rPr>
        <w:t>,</w:t>
      </w:r>
      <w:r w:rsidR="00083011" w:rsidRPr="00D57504">
        <w:rPr>
          <w:rFonts w:ascii="Times New Roman" w:hAnsi="Times New Roman" w:cs="Times New Roman"/>
          <w:sz w:val="24"/>
          <w:szCs w:val="24"/>
        </w:rPr>
        <w:t xml:space="preserve"> on and after 15 November 2019. </w:t>
      </w:r>
      <w:r w:rsidR="00147289">
        <w:rPr>
          <w:rFonts w:ascii="Times New Roman" w:hAnsi="Times New Roman" w:cs="Times New Roman"/>
          <w:sz w:val="24"/>
          <w:szCs w:val="24"/>
        </w:rPr>
        <w:t>T</w:t>
      </w:r>
      <w:r w:rsidR="001B3308" w:rsidRPr="00D57504">
        <w:rPr>
          <w:rFonts w:ascii="Times New Roman" w:hAnsi="Times New Roman" w:cs="Times New Roman"/>
          <w:sz w:val="24"/>
          <w:szCs w:val="24"/>
        </w:rPr>
        <w:t xml:space="preserve">he notice must be lodged </w:t>
      </w:r>
      <w:r w:rsidR="00083011" w:rsidRPr="00D57504">
        <w:rPr>
          <w:rFonts w:ascii="Times New Roman" w:hAnsi="Times New Roman" w:cs="Times New Roman"/>
          <w:sz w:val="24"/>
          <w:szCs w:val="24"/>
        </w:rPr>
        <w:t>before 1 January 20</w:t>
      </w:r>
      <w:r w:rsidR="000B1EEC" w:rsidRPr="00D57504">
        <w:rPr>
          <w:rFonts w:ascii="Times New Roman" w:hAnsi="Times New Roman" w:cs="Times New Roman"/>
          <w:sz w:val="24"/>
          <w:szCs w:val="24"/>
        </w:rPr>
        <w:t>20</w:t>
      </w:r>
      <w:r w:rsidR="00083011" w:rsidRPr="00D57504">
        <w:rPr>
          <w:rFonts w:ascii="Times New Roman" w:hAnsi="Times New Roman" w:cs="Times New Roman"/>
          <w:sz w:val="24"/>
          <w:szCs w:val="24"/>
        </w:rPr>
        <w:t>.</w:t>
      </w:r>
    </w:p>
    <w:p w:rsidR="00A20CA8" w:rsidRPr="00A20CA8" w:rsidRDefault="00A20CA8" w:rsidP="00A20CA8">
      <w:pPr>
        <w:pStyle w:val="ListPara1"/>
        <w:numPr>
          <w:ilvl w:val="0"/>
          <w:numId w:val="0"/>
        </w:numPr>
        <w:ind w:left="360" w:hanging="360"/>
        <w:rPr>
          <w:rFonts w:ascii="Times New Roman" w:hAnsi="Times New Roman" w:cs="Times New Roman"/>
          <w:b/>
          <w:sz w:val="24"/>
          <w:szCs w:val="24"/>
        </w:rPr>
      </w:pPr>
      <w:bookmarkStart w:id="14" w:name="_Hlk524954976"/>
      <w:r w:rsidRPr="00A20CA8">
        <w:rPr>
          <w:rFonts w:ascii="Times New Roman" w:hAnsi="Times New Roman" w:cs="Times New Roman"/>
          <w:b/>
          <w:sz w:val="24"/>
          <w:szCs w:val="24"/>
        </w:rPr>
        <w:t>Section 10</w:t>
      </w:r>
    </w:p>
    <w:p w:rsidR="00C932D6" w:rsidRDefault="00C932D6"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 xml:space="preserve">Paragraph 10(a) </w:t>
      </w:r>
      <w:r>
        <w:rPr>
          <w:rFonts w:ascii="Times New Roman" w:hAnsi="Times New Roman" w:cs="Times New Roman"/>
          <w:sz w:val="24"/>
          <w:szCs w:val="24"/>
        </w:rPr>
        <w:t xml:space="preserve">of the instrument removes the reference in the existing provider definition to a person who on 1 January 2019 is ‘suspended’. This is because a relevant provider will not be suspended, rather they would be subject to a banning order or disqualification, which may be permanent or for a specified period of time. </w:t>
      </w:r>
    </w:p>
    <w:p w:rsidR="005C52F4" w:rsidRPr="00D57504" w:rsidRDefault="00D65C5C" w:rsidP="00C1001C">
      <w:pPr>
        <w:pStyle w:val="ListPara1"/>
        <w:numPr>
          <w:ilvl w:val="1"/>
          <w:numId w:val="13"/>
        </w:numPr>
        <w:rPr>
          <w:rFonts w:ascii="Times New Roman" w:hAnsi="Times New Roman" w:cs="Times New Roman"/>
          <w:sz w:val="24"/>
          <w:szCs w:val="24"/>
        </w:rPr>
      </w:pPr>
      <w:r w:rsidRPr="00D57504">
        <w:rPr>
          <w:rFonts w:ascii="Times New Roman" w:hAnsi="Times New Roman" w:cs="Times New Roman"/>
          <w:sz w:val="24"/>
          <w:szCs w:val="24"/>
        </w:rPr>
        <w:t>Paragraph 10(a)</w:t>
      </w:r>
      <w:r w:rsidR="005304E4" w:rsidRPr="00D57504">
        <w:rPr>
          <w:rFonts w:ascii="Times New Roman" w:hAnsi="Times New Roman" w:cs="Times New Roman"/>
          <w:sz w:val="24"/>
          <w:szCs w:val="24"/>
        </w:rPr>
        <w:t xml:space="preserve"> </w:t>
      </w:r>
      <w:r w:rsidR="000B162C">
        <w:rPr>
          <w:rFonts w:ascii="Times New Roman" w:hAnsi="Times New Roman" w:cs="Times New Roman"/>
          <w:sz w:val="24"/>
          <w:szCs w:val="24"/>
        </w:rPr>
        <w:t xml:space="preserve">of the instrument </w:t>
      </w:r>
      <w:r w:rsidR="00C932D6">
        <w:rPr>
          <w:rFonts w:ascii="Times New Roman" w:hAnsi="Times New Roman" w:cs="Times New Roman"/>
          <w:sz w:val="24"/>
          <w:szCs w:val="24"/>
        </w:rPr>
        <w:t xml:space="preserve">further </w:t>
      </w:r>
      <w:r w:rsidR="005304E4" w:rsidRPr="00D57504">
        <w:rPr>
          <w:rFonts w:ascii="Times New Roman" w:hAnsi="Times New Roman" w:cs="Times New Roman"/>
          <w:sz w:val="24"/>
          <w:szCs w:val="24"/>
        </w:rPr>
        <w:t xml:space="preserve">clarifies </w:t>
      </w:r>
      <w:r w:rsidR="00687DFF" w:rsidRPr="00D57504">
        <w:rPr>
          <w:rFonts w:ascii="Times New Roman" w:hAnsi="Times New Roman" w:cs="Times New Roman"/>
          <w:sz w:val="24"/>
          <w:szCs w:val="24"/>
        </w:rPr>
        <w:t xml:space="preserve">that </w:t>
      </w:r>
      <w:r w:rsidR="005304E4" w:rsidRPr="00D57504">
        <w:rPr>
          <w:rFonts w:ascii="Times New Roman" w:hAnsi="Times New Roman" w:cs="Times New Roman"/>
          <w:sz w:val="24"/>
          <w:szCs w:val="24"/>
        </w:rPr>
        <w:t xml:space="preserve">a person </w:t>
      </w:r>
      <w:r w:rsidR="004D2CFF" w:rsidRPr="00D57504">
        <w:rPr>
          <w:rFonts w:ascii="Times New Roman" w:hAnsi="Times New Roman" w:cs="Times New Roman"/>
          <w:sz w:val="24"/>
          <w:szCs w:val="24"/>
        </w:rPr>
        <w:t xml:space="preserve">is not an existing provider if they are </w:t>
      </w:r>
      <w:bookmarkStart w:id="15" w:name="_Hlk524956237"/>
      <w:r w:rsidR="005304E4" w:rsidRPr="00D57504">
        <w:rPr>
          <w:rFonts w:ascii="Times New Roman" w:hAnsi="Times New Roman" w:cs="Times New Roman"/>
          <w:sz w:val="24"/>
          <w:szCs w:val="24"/>
        </w:rPr>
        <w:t>subject to an enforceable undertaking</w:t>
      </w:r>
      <w:r w:rsidR="00CF4A65" w:rsidRPr="00D57504">
        <w:rPr>
          <w:rFonts w:ascii="Times New Roman" w:hAnsi="Times New Roman" w:cs="Times New Roman"/>
          <w:sz w:val="24"/>
          <w:szCs w:val="24"/>
        </w:rPr>
        <w:t xml:space="preserve"> on 1 January 2019</w:t>
      </w:r>
      <w:r w:rsidR="005304E4" w:rsidRPr="00D57504">
        <w:rPr>
          <w:rFonts w:ascii="Times New Roman" w:hAnsi="Times New Roman" w:cs="Times New Roman"/>
          <w:sz w:val="24"/>
          <w:szCs w:val="24"/>
        </w:rPr>
        <w:t>, under which they undertook to not provide financial product advice or financial services generally</w:t>
      </w:r>
      <w:r w:rsidR="00146EBF" w:rsidRPr="00D57504">
        <w:rPr>
          <w:rFonts w:ascii="Times New Roman" w:hAnsi="Times New Roman" w:cs="Times New Roman"/>
          <w:sz w:val="24"/>
          <w:szCs w:val="24"/>
        </w:rPr>
        <w:t xml:space="preserve"> (under section 93AA of the </w:t>
      </w:r>
      <w:r w:rsidR="00146EBF" w:rsidRPr="00D57504">
        <w:rPr>
          <w:rFonts w:ascii="Times New Roman" w:hAnsi="Times New Roman" w:cs="Times New Roman"/>
          <w:i/>
          <w:sz w:val="24"/>
          <w:szCs w:val="24"/>
        </w:rPr>
        <w:t>Australian Securities and Investments Commission Act 2001</w:t>
      </w:r>
      <w:r w:rsidR="00146EBF" w:rsidRPr="00D57504">
        <w:rPr>
          <w:rFonts w:ascii="Times New Roman" w:hAnsi="Times New Roman" w:cs="Times New Roman"/>
          <w:sz w:val="24"/>
          <w:szCs w:val="24"/>
        </w:rPr>
        <w:t xml:space="preserve"> (ASIC Act))</w:t>
      </w:r>
      <w:r w:rsidR="004D2CFF" w:rsidRPr="00D57504">
        <w:rPr>
          <w:rFonts w:ascii="Times New Roman" w:hAnsi="Times New Roman" w:cs="Times New Roman"/>
          <w:sz w:val="24"/>
          <w:szCs w:val="24"/>
        </w:rPr>
        <w:t>.</w:t>
      </w:r>
      <w:r w:rsidR="002E7C7D" w:rsidRPr="00D57504">
        <w:rPr>
          <w:rFonts w:ascii="Times New Roman" w:hAnsi="Times New Roman" w:cs="Times New Roman"/>
          <w:sz w:val="24"/>
          <w:szCs w:val="24"/>
        </w:rPr>
        <w:t xml:space="preserve"> Enforceable undertakings are an alternative to ASIC taking action to ban an adviser. As the regulatory outcome for the </w:t>
      </w:r>
      <w:r w:rsidR="00BC52C4" w:rsidRPr="00D57504">
        <w:rPr>
          <w:rFonts w:ascii="Times New Roman" w:hAnsi="Times New Roman" w:cs="Times New Roman"/>
          <w:sz w:val="24"/>
          <w:szCs w:val="24"/>
        </w:rPr>
        <w:t>relevant provider</w:t>
      </w:r>
      <w:r w:rsidR="002E7C7D" w:rsidRPr="00D57504">
        <w:rPr>
          <w:rFonts w:ascii="Times New Roman" w:hAnsi="Times New Roman" w:cs="Times New Roman"/>
          <w:sz w:val="24"/>
          <w:szCs w:val="24"/>
        </w:rPr>
        <w:t xml:space="preserve"> has to date been functionally equivalent, it should remain so and accordingly the treatment on re</w:t>
      </w:r>
      <w:r w:rsidR="002E7C7D" w:rsidRPr="00D57504">
        <w:rPr>
          <w:rFonts w:ascii="Times New Roman" w:hAnsi="Times New Roman" w:cs="Times New Roman"/>
          <w:sz w:val="24"/>
          <w:szCs w:val="24"/>
        </w:rPr>
        <w:noBreakHyphen/>
        <w:t>entry should be the same.</w:t>
      </w:r>
      <w:r w:rsidR="005304E4" w:rsidRPr="00D57504">
        <w:rPr>
          <w:rFonts w:ascii="Times New Roman" w:hAnsi="Times New Roman" w:cs="Times New Roman"/>
          <w:sz w:val="24"/>
          <w:szCs w:val="24"/>
        </w:rPr>
        <w:t xml:space="preserve"> </w:t>
      </w:r>
      <w:bookmarkEnd w:id="15"/>
      <w:r w:rsidR="005304E4" w:rsidRPr="00D57504">
        <w:rPr>
          <w:rFonts w:ascii="Times New Roman" w:hAnsi="Times New Roman" w:cs="Times New Roman"/>
          <w:sz w:val="24"/>
          <w:szCs w:val="24"/>
        </w:rPr>
        <w:t xml:space="preserve">This </w:t>
      </w:r>
      <w:r w:rsidR="002E7C7D" w:rsidRPr="00D57504">
        <w:rPr>
          <w:rFonts w:ascii="Times New Roman" w:hAnsi="Times New Roman" w:cs="Times New Roman"/>
          <w:sz w:val="24"/>
          <w:szCs w:val="24"/>
        </w:rPr>
        <w:t>amendment</w:t>
      </w:r>
      <w:r w:rsidR="005C52F4" w:rsidRPr="00D57504">
        <w:rPr>
          <w:rFonts w:ascii="Times New Roman" w:hAnsi="Times New Roman" w:cs="Times New Roman"/>
          <w:sz w:val="24"/>
          <w:szCs w:val="24"/>
        </w:rPr>
        <w:t>:</w:t>
      </w:r>
    </w:p>
    <w:p w:rsidR="005C52F4" w:rsidRPr="00D57504" w:rsidRDefault="005304E4" w:rsidP="00AC7352">
      <w:pPr>
        <w:pStyle w:val="ListPara1"/>
        <w:numPr>
          <w:ilvl w:val="0"/>
          <w:numId w:val="28"/>
        </w:numPr>
        <w:rPr>
          <w:rFonts w:ascii="Times New Roman" w:hAnsi="Times New Roman" w:cs="Times New Roman"/>
          <w:sz w:val="24"/>
          <w:szCs w:val="24"/>
        </w:rPr>
      </w:pPr>
      <w:r w:rsidRPr="00B41BA8">
        <w:rPr>
          <w:rFonts w:ascii="Times New Roman" w:hAnsi="Times New Roman" w:cs="Times New Roman"/>
          <w:sz w:val="24"/>
          <w:szCs w:val="24"/>
        </w:rPr>
        <w:t>ensure</w:t>
      </w:r>
      <w:r w:rsidR="004D2CFF" w:rsidRPr="00B41BA8">
        <w:rPr>
          <w:rFonts w:ascii="Times New Roman" w:hAnsi="Times New Roman" w:cs="Times New Roman"/>
          <w:sz w:val="24"/>
          <w:szCs w:val="24"/>
        </w:rPr>
        <w:t>s</w:t>
      </w:r>
      <w:r w:rsidRPr="00B41BA8">
        <w:rPr>
          <w:rFonts w:ascii="Times New Roman" w:hAnsi="Times New Roman" w:cs="Times New Roman"/>
          <w:sz w:val="24"/>
          <w:szCs w:val="24"/>
        </w:rPr>
        <w:t xml:space="preserve"> </w:t>
      </w:r>
      <w:r w:rsidR="004D2CFF" w:rsidRPr="00B41BA8">
        <w:rPr>
          <w:rFonts w:ascii="Times New Roman" w:hAnsi="Times New Roman" w:cs="Times New Roman"/>
          <w:sz w:val="24"/>
          <w:szCs w:val="24"/>
        </w:rPr>
        <w:t xml:space="preserve">that </w:t>
      </w:r>
      <w:r w:rsidR="00F814A7" w:rsidRPr="00B41BA8">
        <w:rPr>
          <w:rFonts w:ascii="Times New Roman" w:hAnsi="Times New Roman" w:cs="Times New Roman"/>
          <w:sz w:val="24"/>
          <w:szCs w:val="24"/>
        </w:rPr>
        <w:t xml:space="preserve">a person who agrees to remove themselves from the industry through an enforceable undertaking because of misconduct </w:t>
      </w:r>
      <w:r w:rsidR="005C4960" w:rsidRPr="00B41BA8">
        <w:rPr>
          <w:rFonts w:ascii="Times New Roman" w:hAnsi="Times New Roman" w:cs="Times New Roman"/>
          <w:sz w:val="24"/>
          <w:szCs w:val="24"/>
        </w:rPr>
        <w:t>continues to be</w:t>
      </w:r>
      <w:r w:rsidR="00F814A7" w:rsidRPr="00B41BA8">
        <w:rPr>
          <w:rFonts w:ascii="Times New Roman" w:hAnsi="Times New Roman" w:cs="Times New Roman"/>
          <w:sz w:val="24"/>
          <w:szCs w:val="24"/>
        </w:rPr>
        <w:t xml:space="preserve"> treated in the same way as someone who is banned</w:t>
      </w:r>
      <w:r w:rsidR="00AC7352">
        <w:rPr>
          <w:rFonts w:ascii="Times New Roman" w:hAnsi="Times New Roman" w:cs="Times New Roman"/>
          <w:sz w:val="24"/>
          <w:szCs w:val="24"/>
        </w:rPr>
        <w:t xml:space="preserve"> or </w:t>
      </w:r>
      <w:r w:rsidR="00F814A7" w:rsidRPr="00B41BA8">
        <w:rPr>
          <w:rFonts w:ascii="Times New Roman" w:hAnsi="Times New Roman" w:cs="Times New Roman"/>
          <w:sz w:val="24"/>
          <w:szCs w:val="24"/>
        </w:rPr>
        <w:t>disqualified</w:t>
      </w:r>
      <w:r w:rsidR="005C52F4">
        <w:rPr>
          <w:rFonts w:ascii="Times New Roman" w:hAnsi="Times New Roman" w:cs="Times New Roman"/>
          <w:sz w:val="24"/>
          <w:szCs w:val="24"/>
        </w:rPr>
        <w:t>; and</w:t>
      </w:r>
    </w:p>
    <w:p w:rsidR="005304E4" w:rsidRPr="00D57504" w:rsidRDefault="005304E4" w:rsidP="00AC7352">
      <w:pPr>
        <w:pStyle w:val="ListPara1"/>
        <w:numPr>
          <w:ilvl w:val="0"/>
          <w:numId w:val="28"/>
        </w:numPr>
        <w:rPr>
          <w:rFonts w:ascii="Times New Roman" w:hAnsi="Times New Roman" w:cs="Times New Roman"/>
          <w:sz w:val="24"/>
          <w:szCs w:val="24"/>
        </w:rPr>
      </w:pPr>
      <w:r w:rsidRPr="00855DD5">
        <w:rPr>
          <w:rFonts w:ascii="Times New Roman" w:hAnsi="Times New Roman" w:cs="Times New Roman"/>
          <w:sz w:val="24"/>
          <w:szCs w:val="24"/>
        </w:rPr>
        <w:t xml:space="preserve">reflects the </w:t>
      </w:r>
      <w:r w:rsidR="00405A50" w:rsidRPr="00855DD5">
        <w:rPr>
          <w:rFonts w:ascii="Times New Roman" w:hAnsi="Times New Roman" w:cs="Times New Roman"/>
          <w:sz w:val="24"/>
          <w:szCs w:val="24"/>
        </w:rPr>
        <w:t xml:space="preserve">overarching </w:t>
      </w:r>
      <w:r w:rsidRPr="00855DD5">
        <w:rPr>
          <w:rFonts w:ascii="Times New Roman" w:hAnsi="Times New Roman" w:cs="Times New Roman"/>
          <w:sz w:val="24"/>
          <w:szCs w:val="24"/>
        </w:rPr>
        <w:t xml:space="preserve">policy intent </w:t>
      </w:r>
      <w:r w:rsidR="00592F77" w:rsidRPr="00855DD5">
        <w:rPr>
          <w:rFonts w:ascii="Times New Roman" w:hAnsi="Times New Roman" w:cs="Times New Roman"/>
          <w:sz w:val="24"/>
          <w:szCs w:val="24"/>
        </w:rPr>
        <w:t>of the A</w:t>
      </w:r>
      <w:r w:rsidR="00CC6FCB" w:rsidRPr="00855DD5">
        <w:rPr>
          <w:rFonts w:ascii="Times New Roman" w:hAnsi="Times New Roman" w:cs="Times New Roman"/>
          <w:sz w:val="24"/>
          <w:szCs w:val="24"/>
        </w:rPr>
        <w:t xml:space="preserve">ct </w:t>
      </w:r>
      <w:r w:rsidRPr="00855DD5">
        <w:rPr>
          <w:rFonts w:ascii="Times New Roman" w:hAnsi="Times New Roman" w:cs="Times New Roman"/>
          <w:sz w:val="24"/>
          <w:szCs w:val="24"/>
        </w:rPr>
        <w:t xml:space="preserve">that a person </w:t>
      </w:r>
      <w:r w:rsidR="00405A50" w:rsidRPr="00855DD5">
        <w:rPr>
          <w:rFonts w:ascii="Times New Roman" w:hAnsi="Times New Roman" w:cs="Times New Roman"/>
          <w:sz w:val="24"/>
          <w:szCs w:val="24"/>
        </w:rPr>
        <w:t xml:space="preserve">who is prohibited from providing advice on 1 January 2019 </w:t>
      </w:r>
      <w:r w:rsidRPr="00855DD5">
        <w:rPr>
          <w:rFonts w:ascii="Times New Roman" w:hAnsi="Times New Roman" w:cs="Times New Roman"/>
          <w:sz w:val="24"/>
          <w:szCs w:val="24"/>
        </w:rPr>
        <w:t>will not have access to the transitional</w:t>
      </w:r>
      <w:r w:rsidR="002B1A48">
        <w:rPr>
          <w:rFonts w:ascii="Times New Roman" w:hAnsi="Times New Roman" w:cs="Times New Roman"/>
          <w:sz w:val="24"/>
          <w:szCs w:val="24"/>
        </w:rPr>
        <w:t xml:space="preserve"> arrangements</w:t>
      </w:r>
      <w:r w:rsidRPr="00855DD5">
        <w:rPr>
          <w:rFonts w:ascii="Times New Roman" w:hAnsi="Times New Roman" w:cs="Times New Roman"/>
          <w:sz w:val="24"/>
          <w:szCs w:val="24"/>
        </w:rPr>
        <w:t xml:space="preserve"> for existing providers</w:t>
      </w:r>
      <w:bookmarkStart w:id="16" w:name="_Hlk524960451"/>
      <w:bookmarkStart w:id="17" w:name="_Hlk524966543"/>
      <w:r w:rsidR="00AD0C8F" w:rsidRPr="00855DD5">
        <w:rPr>
          <w:rFonts w:ascii="Times New Roman" w:hAnsi="Times New Roman" w:cs="Times New Roman"/>
          <w:sz w:val="24"/>
          <w:szCs w:val="24"/>
        </w:rPr>
        <w:t>.</w:t>
      </w:r>
    </w:p>
    <w:p w:rsidR="004D2CFF" w:rsidRPr="00D57504" w:rsidRDefault="00D65C5C" w:rsidP="00C1001C">
      <w:pPr>
        <w:pStyle w:val="ListPara1"/>
        <w:numPr>
          <w:ilvl w:val="1"/>
          <w:numId w:val="13"/>
        </w:numPr>
        <w:rPr>
          <w:rFonts w:ascii="Times New Roman" w:hAnsi="Times New Roman" w:cs="Times New Roman"/>
          <w:sz w:val="24"/>
          <w:szCs w:val="24"/>
        </w:rPr>
      </w:pPr>
      <w:bookmarkStart w:id="18" w:name="_Hlk525640550"/>
      <w:bookmarkEnd w:id="14"/>
      <w:bookmarkEnd w:id="16"/>
      <w:bookmarkEnd w:id="17"/>
      <w:r w:rsidRPr="00D57504">
        <w:rPr>
          <w:rFonts w:ascii="Times New Roman" w:hAnsi="Times New Roman" w:cs="Times New Roman"/>
          <w:sz w:val="24"/>
          <w:szCs w:val="24"/>
        </w:rPr>
        <w:t xml:space="preserve">Paragraph </w:t>
      </w:r>
      <w:r w:rsidR="004D2CFF" w:rsidRPr="00D57504">
        <w:rPr>
          <w:rFonts w:ascii="Times New Roman" w:hAnsi="Times New Roman" w:cs="Times New Roman"/>
          <w:sz w:val="24"/>
          <w:szCs w:val="24"/>
        </w:rPr>
        <w:t>10</w:t>
      </w:r>
      <w:r w:rsidRPr="00D57504">
        <w:rPr>
          <w:rFonts w:ascii="Times New Roman" w:hAnsi="Times New Roman" w:cs="Times New Roman"/>
          <w:sz w:val="24"/>
          <w:szCs w:val="24"/>
        </w:rPr>
        <w:t>(b)</w:t>
      </w:r>
      <w:r w:rsidR="004D2CFF" w:rsidRPr="00D57504">
        <w:rPr>
          <w:rFonts w:ascii="Times New Roman" w:hAnsi="Times New Roman" w:cs="Times New Roman"/>
          <w:sz w:val="24"/>
          <w:szCs w:val="24"/>
        </w:rPr>
        <w:t xml:space="preserve"> </w:t>
      </w:r>
      <w:r w:rsidR="000B162C">
        <w:rPr>
          <w:rFonts w:ascii="Times New Roman" w:hAnsi="Times New Roman" w:cs="Times New Roman"/>
          <w:sz w:val="24"/>
          <w:szCs w:val="24"/>
        </w:rPr>
        <w:t xml:space="preserve">of the instrument </w:t>
      </w:r>
      <w:bookmarkEnd w:id="18"/>
      <w:r w:rsidR="004D2CFF" w:rsidRPr="00D57504">
        <w:rPr>
          <w:rFonts w:ascii="Times New Roman" w:hAnsi="Times New Roman" w:cs="Times New Roman"/>
          <w:sz w:val="24"/>
          <w:szCs w:val="24"/>
        </w:rPr>
        <w:t xml:space="preserve">provides that on and from 1 January 2019 the following people </w:t>
      </w:r>
      <w:r w:rsidR="00F814A7" w:rsidRPr="00D57504">
        <w:rPr>
          <w:rFonts w:ascii="Times New Roman" w:hAnsi="Times New Roman" w:cs="Times New Roman"/>
          <w:sz w:val="24"/>
          <w:szCs w:val="24"/>
        </w:rPr>
        <w:t xml:space="preserve">cannot be </w:t>
      </w:r>
      <w:r w:rsidR="004D2CFF" w:rsidRPr="00D57504">
        <w:rPr>
          <w:rFonts w:ascii="Times New Roman" w:hAnsi="Times New Roman" w:cs="Times New Roman"/>
          <w:sz w:val="24"/>
          <w:szCs w:val="24"/>
        </w:rPr>
        <w:t xml:space="preserve">granted a licence </w:t>
      </w:r>
      <w:r w:rsidR="00F814A7" w:rsidRPr="00D57504">
        <w:rPr>
          <w:rFonts w:ascii="Times New Roman" w:hAnsi="Times New Roman" w:cs="Times New Roman"/>
          <w:sz w:val="24"/>
          <w:szCs w:val="24"/>
        </w:rPr>
        <w:t xml:space="preserve">by ASIC </w:t>
      </w:r>
      <w:r w:rsidR="004D2CFF" w:rsidRPr="00D57504">
        <w:rPr>
          <w:rFonts w:ascii="Times New Roman" w:hAnsi="Times New Roman" w:cs="Times New Roman"/>
          <w:sz w:val="24"/>
          <w:szCs w:val="24"/>
        </w:rPr>
        <w:t>or be authorised</w:t>
      </w:r>
      <w:r w:rsidR="00F814A7" w:rsidRPr="00D57504">
        <w:rPr>
          <w:rFonts w:ascii="Times New Roman" w:hAnsi="Times New Roman" w:cs="Times New Roman"/>
          <w:sz w:val="24"/>
          <w:szCs w:val="24"/>
        </w:rPr>
        <w:t xml:space="preserve"> by a licensee </w:t>
      </w:r>
      <w:r w:rsidR="004D2CFF" w:rsidRPr="00D57504">
        <w:rPr>
          <w:rFonts w:ascii="Times New Roman" w:hAnsi="Times New Roman" w:cs="Times New Roman"/>
          <w:sz w:val="24"/>
          <w:szCs w:val="24"/>
        </w:rPr>
        <w:t xml:space="preserve">to provide </w:t>
      </w:r>
      <w:r w:rsidR="00545E5D" w:rsidRPr="00D57504">
        <w:rPr>
          <w:rFonts w:ascii="Times New Roman" w:hAnsi="Times New Roman" w:cs="Times New Roman"/>
          <w:sz w:val="24"/>
          <w:szCs w:val="24"/>
        </w:rPr>
        <w:t xml:space="preserve">personal advice to retail clients in relation to relevant financial products </w:t>
      </w:r>
      <w:r w:rsidR="004D2CFF" w:rsidRPr="00D57504">
        <w:rPr>
          <w:rFonts w:ascii="Times New Roman" w:hAnsi="Times New Roman" w:cs="Times New Roman"/>
          <w:sz w:val="24"/>
          <w:szCs w:val="24"/>
        </w:rPr>
        <w:t xml:space="preserve">unless </w:t>
      </w:r>
      <w:r w:rsidR="00B41BA8" w:rsidRPr="00D57504">
        <w:rPr>
          <w:rFonts w:ascii="Times New Roman" w:hAnsi="Times New Roman" w:cs="Times New Roman"/>
          <w:sz w:val="24"/>
          <w:szCs w:val="24"/>
        </w:rPr>
        <w:t xml:space="preserve">the education and training standards </w:t>
      </w:r>
      <w:r w:rsidR="004D2CFF" w:rsidRPr="00D57504">
        <w:rPr>
          <w:rFonts w:ascii="Times New Roman" w:hAnsi="Times New Roman" w:cs="Times New Roman"/>
          <w:sz w:val="24"/>
          <w:szCs w:val="24"/>
        </w:rPr>
        <w:t>in section 921B have been met:</w:t>
      </w:r>
    </w:p>
    <w:p w:rsidR="00083011" w:rsidRPr="00876CCC" w:rsidRDefault="00D65C5C"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a</w:t>
      </w:r>
      <w:r w:rsidR="00B00E04" w:rsidRPr="00876CCC">
        <w:rPr>
          <w:rFonts w:ascii="Times New Roman" w:hAnsi="Times New Roman" w:cs="Times New Roman"/>
          <w:sz w:val="24"/>
          <w:szCs w:val="24"/>
        </w:rPr>
        <w:t xml:space="preserve">n individual who was </w:t>
      </w:r>
      <w:r w:rsidR="00083011" w:rsidRPr="00876CCC">
        <w:rPr>
          <w:rFonts w:ascii="Times New Roman" w:hAnsi="Times New Roman" w:cs="Times New Roman"/>
          <w:sz w:val="24"/>
          <w:szCs w:val="24"/>
        </w:rPr>
        <w:t>banned</w:t>
      </w:r>
      <w:r w:rsidR="00AC7352">
        <w:rPr>
          <w:rFonts w:ascii="Times New Roman" w:hAnsi="Times New Roman" w:cs="Times New Roman"/>
          <w:sz w:val="24"/>
          <w:szCs w:val="24"/>
        </w:rPr>
        <w:t xml:space="preserve"> or</w:t>
      </w:r>
      <w:r w:rsidR="00083011" w:rsidRPr="00876CCC">
        <w:rPr>
          <w:rFonts w:ascii="Times New Roman" w:hAnsi="Times New Roman" w:cs="Times New Roman"/>
          <w:sz w:val="24"/>
          <w:szCs w:val="24"/>
        </w:rPr>
        <w:t xml:space="preserve"> disqualified </w:t>
      </w:r>
      <w:bookmarkStart w:id="19" w:name="_Hlk524956452"/>
      <w:r w:rsidR="00083011" w:rsidRPr="00876CCC">
        <w:rPr>
          <w:rFonts w:ascii="Times New Roman" w:hAnsi="Times New Roman" w:cs="Times New Roman"/>
          <w:sz w:val="24"/>
          <w:szCs w:val="24"/>
        </w:rPr>
        <w:t>under Division</w:t>
      </w:r>
      <w:r w:rsidR="00B00E04" w:rsidRPr="00876CCC">
        <w:rPr>
          <w:rFonts w:ascii="Times New Roman" w:hAnsi="Times New Roman" w:cs="Times New Roman"/>
          <w:sz w:val="24"/>
          <w:szCs w:val="24"/>
        </w:rPr>
        <w:t xml:space="preserve"> 8 of Part 7.6 of</w:t>
      </w:r>
      <w:r w:rsidR="00083011" w:rsidRPr="00876CCC">
        <w:rPr>
          <w:rFonts w:ascii="Times New Roman" w:hAnsi="Times New Roman" w:cs="Times New Roman"/>
          <w:sz w:val="24"/>
          <w:szCs w:val="24"/>
        </w:rPr>
        <w:t xml:space="preserve"> the Act</w:t>
      </w:r>
      <w:r w:rsidR="00B00E04" w:rsidRPr="00876CCC">
        <w:rPr>
          <w:rFonts w:ascii="Times New Roman" w:hAnsi="Times New Roman" w:cs="Times New Roman"/>
          <w:sz w:val="24"/>
          <w:szCs w:val="24"/>
        </w:rPr>
        <w:t xml:space="preserve"> </w:t>
      </w:r>
      <w:bookmarkEnd w:id="19"/>
      <w:r w:rsidR="00B00E04" w:rsidRPr="00876CCC">
        <w:rPr>
          <w:rFonts w:ascii="Times New Roman" w:hAnsi="Times New Roman" w:cs="Times New Roman"/>
          <w:sz w:val="24"/>
          <w:szCs w:val="24"/>
        </w:rPr>
        <w:t>on 1 January 2019</w:t>
      </w:r>
      <w:r>
        <w:rPr>
          <w:rFonts w:ascii="Times New Roman" w:hAnsi="Times New Roman" w:cs="Times New Roman"/>
          <w:sz w:val="24"/>
          <w:szCs w:val="24"/>
        </w:rPr>
        <w:t>,</w:t>
      </w:r>
      <w:r w:rsidR="00083011" w:rsidRPr="00876CCC">
        <w:rPr>
          <w:rFonts w:ascii="Times New Roman" w:hAnsi="Times New Roman" w:cs="Times New Roman"/>
          <w:sz w:val="24"/>
          <w:szCs w:val="24"/>
        </w:rPr>
        <w:t xml:space="preserve"> or</w:t>
      </w:r>
    </w:p>
    <w:p w:rsidR="00083011" w:rsidRPr="00876CCC" w:rsidRDefault="00D65C5C"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a</w:t>
      </w:r>
      <w:r w:rsidR="00B00E04" w:rsidRPr="00876CCC">
        <w:rPr>
          <w:rFonts w:ascii="Times New Roman" w:hAnsi="Times New Roman" w:cs="Times New Roman"/>
          <w:sz w:val="24"/>
          <w:szCs w:val="24"/>
        </w:rPr>
        <w:t xml:space="preserve">n individual who was </w:t>
      </w:r>
      <w:r w:rsidR="00083011" w:rsidRPr="00876CCC">
        <w:rPr>
          <w:rFonts w:ascii="Times New Roman" w:hAnsi="Times New Roman" w:cs="Times New Roman"/>
          <w:sz w:val="24"/>
          <w:szCs w:val="24"/>
        </w:rPr>
        <w:t xml:space="preserve">subject to an enforceable undertaking </w:t>
      </w:r>
      <w:r>
        <w:rPr>
          <w:rFonts w:ascii="Times New Roman" w:hAnsi="Times New Roman" w:cs="Times New Roman"/>
          <w:sz w:val="24"/>
          <w:szCs w:val="24"/>
        </w:rPr>
        <w:t xml:space="preserve">under section 93AA of the ASIC Act under which </w:t>
      </w:r>
      <w:r w:rsidR="00083011" w:rsidRPr="00876CCC">
        <w:rPr>
          <w:rFonts w:ascii="Times New Roman" w:hAnsi="Times New Roman" w:cs="Times New Roman"/>
          <w:sz w:val="24"/>
          <w:szCs w:val="24"/>
        </w:rPr>
        <w:t xml:space="preserve">they </w:t>
      </w:r>
      <w:r>
        <w:rPr>
          <w:rFonts w:ascii="Times New Roman" w:hAnsi="Times New Roman" w:cs="Times New Roman"/>
          <w:sz w:val="24"/>
          <w:szCs w:val="24"/>
        </w:rPr>
        <w:t xml:space="preserve">agreed </w:t>
      </w:r>
      <w:r w:rsidR="00083011" w:rsidRPr="00876CCC">
        <w:rPr>
          <w:rFonts w:ascii="Times New Roman" w:hAnsi="Times New Roman" w:cs="Times New Roman"/>
          <w:sz w:val="24"/>
          <w:szCs w:val="24"/>
        </w:rPr>
        <w:t xml:space="preserve">to not provide financial product advice or financial services in any capacity </w:t>
      </w:r>
      <w:r w:rsidR="00B00E04" w:rsidRPr="00876CCC">
        <w:rPr>
          <w:rFonts w:ascii="Times New Roman" w:hAnsi="Times New Roman" w:cs="Times New Roman"/>
          <w:sz w:val="24"/>
          <w:szCs w:val="24"/>
        </w:rPr>
        <w:t>on 1 January 2019</w:t>
      </w:r>
      <w:r>
        <w:rPr>
          <w:rFonts w:ascii="Times New Roman" w:hAnsi="Times New Roman" w:cs="Times New Roman"/>
          <w:sz w:val="24"/>
          <w:szCs w:val="24"/>
        </w:rPr>
        <w:t>,</w:t>
      </w:r>
      <w:r w:rsidR="00A269DA" w:rsidRPr="00876CCC">
        <w:rPr>
          <w:rFonts w:ascii="Times New Roman" w:hAnsi="Times New Roman" w:cs="Times New Roman"/>
          <w:sz w:val="24"/>
          <w:szCs w:val="24"/>
        </w:rPr>
        <w:t xml:space="preserve"> or</w:t>
      </w:r>
    </w:p>
    <w:p w:rsidR="00B00E04" w:rsidRPr="00876CCC" w:rsidRDefault="00D65C5C" w:rsidP="00AC7352">
      <w:pPr>
        <w:pStyle w:val="ListPara1"/>
        <w:numPr>
          <w:ilvl w:val="0"/>
          <w:numId w:val="28"/>
        </w:numPr>
        <w:rPr>
          <w:rFonts w:ascii="Times New Roman" w:hAnsi="Times New Roman" w:cs="Times New Roman"/>
          <w:sz w:val="24"/>
          <w:szCs w:val="24"/>
        </w:rPr>
      </w:pPr>
      <w:r>
        <w:rPr>
          <w:rFonts w:ascii="Times New Roman" w:hAnsi="Times New Roman" w:cs="Times New Roman"/>
          <w:sz w:val="24"/>
          <w:szCs w:val="24"/>
        </w:rPr>
        <w:t>a</w:t>
      </w:r>
      <w:r w:rsidR="00054B41" w:rsidRPr="00876CCC">
        <w:rPr>
          <w:rFonts w:ascii="Times New Roman" w:hAnsi="Times New Roman" w:cs="Times New Roman"/>
          <w:sz w:val="24"/>
          <w:szCs w:val="24"/>
        </w:rPr>
        <w:t xml:space="preserve">n individual who was </w:t>
      </w:r>
      <w:r w:rsidR="00B00E04" w:rsidRPr="00876CCC">
        <w:rPr>
          <w:rFonts w:ascii="Times New Roman" w:hAnsi="Times New Roman" w:cs="Times New Roman"/>
          <w:sz w:val="24"/>
          <w:szCs w:val="24"/>
        </w:rPr>
        <w:t>prohibited under the law of a foreign country from providing personal advice in the foreign country to retail clients in relation to relevant financial products on 1 January 2019.</w:t>
      </w:r>
    </w:p>
    <w:p w:rsidR="004D2CFF" w:rsidRPr="00D57504" w:rsidRDefault="004D2CFF" w:rsidP="00C1001C">
      <w:pPr>
        <w:pStyle w:val="ListPara1"/>
        <w:numPr>
          <w:ilvl w:val="1"/>
          <w:numId w:val="13"/>
        </w:numPr>
        <w:rPr>
          <w:rFonts w:ascii="Times New Roman" w:hAnsi="Times New Roman" w:cs="Times New Roman"/>
          <w:sz w:val="24"/>
          <w:szCs w:val="24"/>
        </w:rPr>
      </w:pPr>
      <w:bookmarkStart w:id="20" w:name="_Hlk522633227"/>
      <w:r w:rsidRPr="00D57504">
        <w:rPr>
          <w:rFonts w:ascii="Times New Roman" w:hAnsi="Times New Roman" w:cs="Times New Roman"/>
          <w:sz w:val="24"/>
          <w:szCs w:val="24"/>
        </w:rPr>
        <w:t xml:space="preserve">This gives effect to the policy intent </w:t>
      </w:r>
      <w:r w:rsidR="00592F77" w:rsidRPr="00D57504">
        <w:rPr>
          <w:rFonts w:ascii="Times New Roman" w:hAnsi="Times New Roman" w:cs="Times New Roman"/>
          <w:sz w:val="24"/>
          <w:szCs w:val="24"/>
        </w:rPr>
        <w:t xml:space="preserve">of the Act </w:t>
      </w:r>
      <w:r w:rsidRPr="00D57504">
        <w:rPr>
          <w:rFonts w:ascii="Times New Roman" w:hAnsi="Times New Roman" w:cs="Times New Roman"/>
          <w:sz w:val="24"/>
          <w:szCs w:val="24"/>
        </w:rPr>
        <w:t xml:space="preserve">that the above people would need to meet the new standards on and from 1 January 2019. These people will have to meet the exam </w:t>
      </w:r>
      <w:r w:rsidR="00043407">
        <w:rPr>
          <w:rFonts w:ascii="Times New Roman" w:hAnsi="Times New Roman" w:cs="Times New Roman"/>
          <w:sz w:val="24"/>
          <w:szCs w:val="24"/>
        </w:rPr>
        <w:t xml:space="preserve">requirement </w:t>
      </w:r>
      <w:r w:rsidRPr="00D57504">
        <w:rPr>
          <w:rFonts w:ascii="Times New Roman" w:hAnsi="Times New Roman" w:cs="Times New Roman"/>
          <w:sz w:val="24"/>
          <w:szCs w:val="24"/>
        </w:rPr>
        <w:t xml:space="preserve">and degree requirement and have met or be undertaking the </w:t>
      </w:r>
      <w:r w:rsidRPr="00D57504">
        <w:rPr>
          <w:rFonts w:ascii="Times New Roman" w:hAnsi="Times New Roman" w:cs="Times New Roman"/>
          <w:sz w:val="24"/>
          <w:szCs w:val="24"/>
        </w:rPr>
        <w:lastRenderedPageBreak/>
        <w:t>year of work and training requirement, before they can be authorised to provide personal advice to retail clients in relation to relevant financial products on or after 1 January 2019. That is, they will need to meet the requirements of a provisional relevant provider if they choose to re-enter the financial services industry at the conclusion of the exclusion period.</w:t>
      </w:r>
    </w:p>
    <w:bookmarkEnd w:id="20"/>
    <w:p w:rsidR="00A20CA8" w:rsidRPr="00A20CA8" w:rsidRDefault="00A20CA8" w:rsidP="00A20CA8">
      <w:pPr>
        <w:pStyle w:val="ListPara1"/>
        <w:numPr>
          <w:ilvl w:val="0"/>
          <w:numId w:val="0"/>
        </w:numPr>
        <w:ind w:left="360" w:hanging="360"/>
        <w:rPr>
          <w:rFonts w:ascii="Times New Roman" w:hAnsi="Times New Roman" w:cs="Times New Roman"/>
          <w:b/>
          <w:sz w:val="24"/>
          <w:szCs w:val="24"/>
        </w:rPr>
      </w:pPr>
      <w:r w:rsidRPr="00A20CA8">
        <w:rPr>
          <w:rFonts w:ascii="Times New Roman" w:hAnsi="Times New Roman" w:cs="Times New Roman"/>
          <w:b/>
          <w:sz w:val="24"/>
          <w:szCs w:val="24"/>
        </w:rPr>
        <w:t>Section 11</w:t>
      </w:r>
    </w:p>
    <w:p w:rsidR="00E46605" w:rsidRPr="00E46605" w:rsidRDefault="00E46605" w:rsidP="00E46605">
      <w:pPr>
        <w:pStyle w:val="ListPara1"/>
        <w:numPr>
          <w:ilvl w:val="1"/>
          <w:numId w:val="13"/>
        </w:numPr>
        <w:rPr>
          <w:rFonts w:ascii="Times New Roman" w:hAnsi="Times New Roman" w:cs="Times New Roman"/>
          <w:sz w:val="24"/>
          <w:szCs w:val="24"/>
        </w:rPr>
      </w:pPr>
      <w:r w:rsidRPr="00E46605">
        <w:rPr>
          <w:rFonts w:ascii="Times New Roman" w:hAnsi="Times New Roman" w:cs="Times New Roman"/>
          <w:sz w:val="24"/>
          <w:szCs w:val="24"/>
        </w:rPr>
        <w:t>Part 10.23A of the Act, which contains the transitional provisions in relation to the professional standards reforms, uses the concepts of ‘existing provider’ and ‘relevant provider’. The definition of ‘existing provider’ in section 1546A is based on a person’s authorisation status between 1 January 2016 and 1 January 2019. There are gaps in how these concepts operate which lead to unintended consequences. The purpose of section 11 of the instrument is to ensure that the education and training standards apply as intended, and in a way that is practical and meaningful. Section 11 of the instrument makes some notional modifications to sections 1546B, 1546C and 1546D of the Act.</w:t>
      </w:r>
    </w:p>
    <w:p w:rsidR="00D25493" w:rsidRDefault="00E46605" w:rsidP="00E46605">
      <w:pPr>
        <w:pStyle w:val="ListPara1"/>
        <w:numPr>
          <w:ilvl w:val="1"/>
          <w:numId w:val="13"/>
        </w:numPr>
        <w:rPr>
          <w:rFonts w:ascii="Times New Roman" w:hAnsi="Times New Roman" w:cs="Times New Roman"/>
          <w:sz w:val="24"/>
          <w:szCs w:val="24"/>
        </w:rPr>
      </w:pPr>
      <w:r w:rsidRPr="00E46605">
        <w:rPr>
          <w:rFonts w:ascii="Times New Roman" w:hAnsi="Times New Roman" w:cs="Times New Roman"/>
          <w:sz w:val="24"/>
          <w:szCs w:val="24"/>
        </w:rPr>
        <w:t xml:space="preserve">Subsections 1546B(1) and (3) of the Act impose obligations on an existing provider to meet </w:t>
      </w:r>
      <w:r w:rsidR="00762D95">
        <w:rPr>
          <w:rFonts w:ascii="Times New Roman" w:hAnsi="Times New Roman" w:cs="Times New Roman"/>
          <w:sz w:val="24"/>
          <w:szCs w:val="24"/>
        </w:rPr>
        <w:t xml:space="preserve">the exam requirement and the degree requirement </w:t>
      </w:r>
      <w:r w:rsidRPr="00E46605">
        <w:rPr>
          <w:rFonts w:ascii="Times New Roman" w:hAnsi="Times New Roman" w:cs="Times New Roman"/>
          <w:sz w:val="24"/>
          <w:szCs w:val="24"/>
        </w:rPr>
        <w:t>by specified future dates. These subsections appear to presuppose that an existing provider will be a relevant provider by these future dates. This will be the case in many circumstances but will not always be the case (</w:t>
      </w:r>
      <w:r w:rsidR="00B70EEF">
        <w:rPr>
          <w:rFonts w:ascii="Times New Roman" w:hAnsi="Times New Roman" w:cs="Times New Roman"/>
          <w:sz w:val="24"/>
          <w:szCs w:val="24"/>
        </w:rPr>
        <w:t>for example,</w:t>
      </w:r>
      <w:r w:rsidRPr="00E46605">
        <w:rPr>
          <w:rFonts w:ascii="Times New Roman" w:hAnsi="Times New Roman" w:cs="Times New Roman"/>
          <w:sz w:val="24"/>
          <w:szCs w:val="24"/>
        </w:rPr>
        <w:t xml:space="preserve"> where an existing provider has retired, or is taking a break, from the industry in the interim). The modifications to subsections 1546B(1) and (3) deal with those circumstances. </w:t>
      </w:r>
    </w:p>
    <w:p w:rsidR="00E46605" w:rsidRDefault="00E46605" w:rsidP="00E46605">
      <w:pPr>
        <w:pStyle w:val="ListPara1"/>
        <w:numPr>
          <w:ilvl w:val="1"/>
          <w:numId w:val="13"/>
        </w:numPr>
        <w:rPr>
          <w:rFonts w:ascii="Times New Roman" w:hAnsi="Times New Roman" w:cs="Times New Roman"/>
          <w:sz w:val="24"/>
          <w:szCs w:val="24"/>
        </w:rPr>
      </w:pPr>
      <w:r w:rsidRPr="00E46605">
        <w:rPr>
          <w:rFonts w:ascii="Times New Roman" w:hAnsi="Times New Roman" w:cs="Times New Roman"/>
          <w:sz w:val="24"/>
          <w:szCs w:val="24"/>
        </w:rPr>
        <w:t xml:space="preserve">For example, the notional modifications have the effect that if an existing provider retires from the industry in 2020, the existing provider does not need to pass the exam before 1 January 2021 or meet the degree requirement by 1 January 2024. The notional modifications to subsections 1546B(1) and (3) work together with the notional subsections 1546C(3A) and (3B). Together, they have the effect that if an existing provider is not a relevant provider at the relevant future dates (and so is not required to complete the </w:t>
      </w:r>
      <w:r w:rsidR="00762D95">
        <w:rPr>
          <w:rFonts w:ascii="Times New Roman" w:hAnsi="Times New Roman" w:cs="Times New Roman"/>
          <w:sz w:val="24"/>
          <w:szCs w:val="24"/>
        </w:rPr>
        <w:t>exam requirement and degree requirement</w:t>
      </w:r>
      <w:r w:rsidRPr="00E46605">
        <w:rPr>
          <w:rFonts w:ascii="Times New Roman" w:hAnsi="Times New Roman" w:cs="Times New Roman"/>
          <w:sz w:val="24"/>
          <w:szCs w:val="24"/>
        </w:rPr>
        <w:t xml:space="preserve"> by the relevant dates) but they subsequently wish to return to the industry and become a relevant provider once again, they can do so but only if they have completed the </w:t>
      </w:r>
      <w:bookmarkStart w:id="21" w:name="_Hlk526350141"/>
      <w:r w:rsidR="00762D95">
        <w:rPr>
          <w:rFonts w:ascii="Times New Roman" w:hAnsi="Times New Roman" w:cs="Times New Roman"/>
          <w:sz w:val="24"/>
          <w:szCs w:val="24"/>
        </w:rPr>
        <w:t xml:space="preserve">exam requirement and degree requirement </w:t>
      </w:r>
      <w:bookmarkEnd w:id="21"/>
      <w:r w:rsidRPr="00E46605">
        <w:rPr>
          <w:rFonts w:ascii="Times New Roman" w:hAnsi="Times New Roman" w:cs="Times New Roman"/>
          <w:sz w:val="24"/>
          <w:szCs w:val="24"/>
        </w:rPr>
        <w:t>before they return to the industry.</w:t>
      </w:r>
    </w:p>
    <w:p w:rsidR="00E46605" w:rsidRPr="00176F47" w:rsidRDefault="00E46605" w:rsidP="00E46605">
      <w:pPr>
        <w:pStyle w:val="BodyText"/>
        <w:spacing w:before="199" w:after="120"/>
        <w:rPr>
          <w:b/>
          <w:sz w:val="22"/>
          <w:szCs w:val="22"/>
        </w:rPr>
      </w:pPr>
      <w:r w:rsidRPr="00E46605">
        <w:tab/>
      </w:r>
      <w:r w:rsidR="00176F47">
        <w:tab/>
      </w:r>
      <w:r w:rsidR="00176F47">
        <w:tab/>
      </w:r>
      <w:r w:rsidR="00176F47">
        <w:tab/>
      </w:r>
      <w:r w:rsidR="001A3F6A">
        <w:rPr>
          <w:b/>
          <w:sz w:val="22"/>
          <w:szCs w:val="22"/>
        </w:rPr>
        <w:t>Example 1</w:t>
      </w:r>
    </w:p>
    <w:p w:rsidR="00E46605" w:rsidRPr="00176F47" w:rsidRDefault="00E46605" w:rsidP="00E46605">
      <w:pPr>
        <w:pStyle w:val="ListPara1"/>
        <w:numPr>
          <w:ilvl w:val="0"/>
          <w:numId w:val="0"/>
        </w:numPr>
        <w:ind w:left="1440"/>
        <w:rPr>
          <w:rFonts w:ascii="Times New Roman" w:hAnsi="Times New Roman" w:cs="Times New Roman"/>
        </w:rPr>
      </w:pPr>
      <w:r w:rsidRPr="00176F47">
        <w:rPr>
          <w:rFonts w:ascii="Times New Roman" w:hAnsi="Times New Roman" w:cs="Times New Roman"/>
        </w:rPr>
        <w:t>Jane is authorised between 1 May 2014 and 1 May 2020 to provide personal advice to retail clients in relation to relevant financial products. Therefore, Jane is an existing provider. Jane takes a 12-month break from the industry on 1 May 2020 (</w:t>
      </w:r>
      <w:r w:rsidR="008740B0">
        <w:rPr>
          <w:rFonts w:ascii="Times New Roman" w:hAnsi="Times New Roman" w:cs="Times New Roman"/>
        </w:rPr>
        <w:t>that is,</w:t>
      </w:r>
      <w:r w:rsidRPr="00176F47">
        <w:rPr>
          <w:rFonts w:ascii="Times New Roman" w:hAnsi="Times New Roman" w:cs="Times New Roman"/>
        </w:rPr>
        <w:t xml:space="preserve"> she ceased to be a relevant provider voluntarily from 1 May 2020). The law as written in the Act would have required Jane to have passed the exam by 1 January 2021, even though she was not a relevant provider at that time. This result is disproportionately burdensome and does not achieve the underlying purpose of the professional </w:t>
      </w:r>
      <w:r w:rsidRPr="00176F47">
        <w:rPr>
          <w:rFonts w:ascii="Times New Roman" w:hAnsi="Times New Roman" w:cs="Times New Roman"/>
        </w:rPr>
        <w:lastRenderedPageBreak/>
        <w:t>standards reforms. The modification to subsection 1546B(3) has the effect that Jane does not need to have passed the exam by 1 January 2021. However, the new notional subsection 1546C(3A) has the effect that Jane cannot be authorised as a relevant provider from 1 May 2021 unless she has met the exam requirement.</w:t>
      </w:r>
    </w:p>
    <w:p w:rsidR="00E46605" w:rsidRPr="00176F47" w:rsidRDefault="00176F47" w:rsidP="00E46605">
      <w:pPr>
        <w:pStyle w:val="BodyText"/>
        <w:spacing w:before="199" w:after="120"/>
        <w:ind w:firstLine="567"/>
        <w:rPr>
          <w:b/>
          <w:sz w:val="22"/>
          <w:szCs w:val="22"/>
        </w:rPr>
      </w:pPr>
      <w:r w:rsidRPr="00176F47">
        <w:rPr>
          <w:b/>
        </w:rPr>
        <w:tab/>
      </w:r>
      <w:r w:rsidRPr="00176F47">
        <w:rPr>
          <w:b/>
        </w:rPr>
        <w:tab/>
      </w:r>
      <w:r w:rsidRPr="00176F47">
        <w:rPr>
          <w:b/>
        </w:rPr>
        <w:tab/>
      </w:r>
      <w:r w:rsidR="001A3F6A">
        <w:rPr>
          <w:b/>
          <w:sz w:val="22"/>
          <w:szCs w:val="22"/>
        </w:rPr>
        <w:t>Example 2</w:t>
      </w:r>
    </w:p>
    <w:p w:rsidR="00D25493" w:rsidRPr="00176F47" w:rsidRDefault="00E46605" w:rsidP="00E46605">
      <w:pPr>
        <w:pStyle w:val="ListPara1"/>
        <w:numPr>
          <w:ilvl w:val="0"/>
          <w:numId w:val="0"/>
        </w:numPr>
        <w:ind w:left="1440"/>
        <w:rPr>
          <w:rFonts w:ascii="Times New Roman" w:hAnsi="Times New Roman" w:cs="Times New Roman"/>
        </w:rPr>
      </w:pPr>
      <w:r w:rsidRPr="00176F47">
        <w:rPr>
          <w:rFonts w:ascii="Times New Roman" w:hAnsi="Times New Roman" w:cs="Times New Roman"/>
        </w:rPr>
        <w:t>Mike is authorised from 1 May 2014 to 1 May 2023 to provide personal advice to retail clients in relation to relevant financial products. Therefore, Mike is an existing provider. Mike was required to pass the exam by 1 January 2021 and has done so. Mike takes a 12-month break from the industry on 1 May 2023 (</w:t>
      </w:r>
      <w:r w:rsidR="008740B0">
        <w:rPr>
          <w:rFonts w:ascii="Times New Roman" w:hAnsi="Times New Roman" w:cs="Times New Roman"/>
        </w:rPr>
        <w:t xml:space="preserve">that is, </w:t>
      </w:r>
      <w:r w:rsidRPr="00176F47">
        <w:rPr>
          <w:rFonts w:ascii="Times New Roman" w:hAnsi="Times New Roman" w:cs="Times New Roman"/>
        </w:rPr>
        <w:t xml:space="preserve">he ceased to be a relevant provider voluntarily from 1 May 2023). The law as written in the Act would have required Mike to have completed the degree (or equivalent) requirement by 1 January 2024, even though he was not a relevant provider at that time. This result is disproportionately burdensome and does not achieve the underlying purpose of the professional standards reforms. </w:t>
      </w:r>
    </w:p>
    <w:p w:rsidR="00E46605" w:rsidRPr="00176F47" w:rsidRDefault="00E46605" w:rsidP="00E46605">
      <w:pPr>
        <w:pStyle w:val="ListPara1"/>
        <w:numPr>
          <w:ilvl w:val="0"/>
          <w:numId w:val="0"/>
        </w:numPr>
        <w:ind w:left="1440"/>
        <w:rPr>
          <w:rFonts w:ascii="Times New Roman" w:hAnsi="Times New Roman" w:cs="Times New Roman"/>
        </w:rPr>
      </w:pPr>
      <w:r w:rsidRPr="00176F47">
        <w:rPr>
          <w:rFonts w:ascii="Times New Roman" w:hAnsi="Times New Roman" w:cs="Times New Roman"/>
        </w:rPr>
        <w:t>The modification to subsection 1546B(1) has the effect that Mike does not need to have completed the degree (or equivalent) by 1 January 2024. However, the new notional subsection 1546C(3B) has the effect that Mike cannot be authorised as a relevant provider on 1 May 2024 unless he has completed the degree</w:t>
      </w:r>
      <w:r w:rsidR="008740B0">
        <w:rPr>
          <w:rFonts w:ascii="Times New Roman" w:hAnsi="Times New Roman" w:cs="Times New Roman"/>
        </w:rPr>
        <w:t xml:space="preserve"> requirement</w:t>
      </w:r>
      <w:r w:rsidRPr="00176F47">
        <w:rPr>
          <w:rFonts w:ascii="Times New Roman" w:hAnsi="Times New Roman" w:cs="Times New Roman"/>
        </w:rPr>
        <w:t xml:space="preserve"> (or equivalent). </w:t>
      </w:r>
    </w:p>
    <w:p w:rsidR="00E46605" w:rsidRDefault="00E46605" w:rsidP="00E46605">
      <w:pPr>
        <w:pStyle w:val="ListPara1"/>
        <w:numPr>
          <w:ilvl w:val="1"/>
          <w:numId w:val="13"/>
        </w:numPr>
        <w:rPr>
          <w:rFonts w:ascii="Times New Roman" w:hAnsi="Times New Roman" w:cs="Times New Roman"/>
          <w:sz w:val="24"/>
          <w:szCs w:val="24"/>
        </w:rPr>
      </w:pPr>
      <w:r w:rsidRPr="00E46605">
        <w:rPr>
          <w:rFonts w:ascii="Times New Roman" w:hAnsi="Times New Roman" w:cs="Times New Roman"/>
          <w:sz w:val="24"/>
          <w:szCs w:val="24"/>
        </w:rPr>
        <w:t>A further gap in the legislation is in relation to a person who was a relevant provider before 1 January 2016 but who was not a relevant provider between 1 January 2016 and 1 January 2019. A person within this class of persons, and who becomes a relevant provider after 1 January 2019 is not subject to the education and training standards at all. Section 1546B does not apply to a person within this class because they are not existing providers. Further, section 1546C also does not apply because the person was previously a relevant provider (albeit not a time that would make them an existing provider). This is an unintended result. Notional subsection 1546C(3C) corrects this anomaly by applying section 921C (the limitation on authorisations) on and after 1 January 2019 to persons within this class until the education and training standards are met.</w:t>
      </w:r>
    </w:p>
    <w:p w:rsidR="00E46605" w:rsidRPr="00176F47" w:rsidRDefault="00E46605" w:rsidP="00E46605">
      <w:pPr>
        <w:pStyle w:val="BodyText"/>
        <w:spacing w:before="199" w:after="120"/>
        <w:rPr>
          <w:b/>
          <w:sz w:val="22"/>
          <w:szCs w:val="22"/>
        </w:rPr>
      </w:pPr>
      <w:r w:rsidRPr="00176F47">
        <w:rPr>
          <w:b/>
          <w:szCs w:val="24"/>
        </w:rPr>
        <w:tab/>
      </w:r>
      <w:r w:rsidR="00176F47" w:rsidRPr="00176F47">
        <w:rPr>
          <w:b/>
          <w:szCs w:val="24"/>
        </w:rPr>
        <w:tab/>
      </w:r>
      <w:r w:rsidR="00176F47" w:rsidRPr="00176F47">
        <w:rPr>
          <w:b/>
          <w:szCs w:val="24"/>
        </w:rPr>
        <w:tab/>
      </w:r>
      <w:r w:rsidR="00176F47" w:rsidRPr="00176F47">
        <w:rPr>
          <w:b/>
          <w:szCs w:val="24"/>
        </w:rPr>
        <w:tab/>
      </w:r>
      <w:r w:rsidR="001A3F6A">
        <w:rPr>
          <w:b/>
          <w:sz w:val="22"/>
          <w:szCs w:val="22"/>
        </w:rPr>
        <w:t>Example 3</w:t>
      </w:r>
    </w:p>
    <w:p w:rsidR="00462E18" w:rsidRPr="00176F47" w:rsidRDefault="00E46605" w:rsidP="00E46605">
      <w:pPr>
        <w:pStyle w:val="ListPara1"/>
        <w:numPr>
          <w:ilvl w:val="0"/>
          <w:numId w:val="0"/>
        </w:numPr>
        <w:ind w:left="1440"/>
        <w:rPr>
          <w:rFonts w:ascii="Times New Roman" w:hAnsi="Times New Roman" w:cs="Times New Roman"/>
        </w:rPr>
      </w:pPr>
      <w:r w:rsidRPr="00176F47">
        <w:rPr>
          <w:rFonts w:ascii="Times New Roman" w:hAnsi="Times New Roman" w:cs="Times New Roman"/>
        </w:rPr>
        <w:t>Mary was only authorised from 1 July 2014 to 1 July 2015 to provide personal advice to retail clients in relation to relevant financial products. Therefore</w:t>
      </w:r>
      <w:r w:rsidR="00D25493" w:rsidRPr="00176F47">
        <w:rPr>
          <w:rFonts w:ascii="Times New Roman" w:hAnsi="Times New Roman" w:cs="Times New Roman"/>
        </w:rPr>
        <w:t>,</w:t>
      </w:r>
      <w:r w:rsidRPr="00176F47">
        <w:rPr>
          <w:rFonts w:ascii="Times New Roman" w:hAnsi="Times New Roman" w:cs="Times New Roman"/>
        </w:rPr>
        <w:t xml:space="preserve"> Mary is not an existing provider. </w:t>
      </w:r>
    </w:p>
    <w:p w:rsidR="00E46605" w:rsidRPr="00176F47" w:rsidRDefault="00E46605" w:rsidP="00E46605">
      <w:pPr>
        <w:pStyle w:val="ListPara1"/>
        <w:numPr>
          <w:ilvl w:val="0"/>
          <w:numId w:val="0"/>
        </w:numPr>
        <w:ind w:left="1440"/>
        <w:rPr>
          <w:rFonts w:ascii="Times New Roman" w:hAnsi="Times New Roman" w:cs="Times New Roman"/>
        </w:rPr>
      </w:pPr>
      <w:r w:rsidRPr="00176F47">
        <w:rPr>
          <w:rFonts w:ascii="Times New Roman" w:hAnsi="Times New Roman" w:cs="Times New Roman"/>
        </w:rPr>
        <w:t>If Mary wishes to return to the industry after 1 January 2019, she can do so but only if she has met the</w:t>
      </w:r>
      <w:r w:rsidR="00762D95" w:rsidRPr="00176F47">
        <w:t xml:space="preserve"> </w:t>
      </w:r>
      <w:r w:rsidR="00762D95" w:rsidRPr="00176F47">
        <w:rPr>
          <w:rFonts w:ascii="Times New Roman" w:hAnsi="Times New Roman" w:cs="Times New Roman"/>
        </w:rPr>
        <w:t>exam requirement, the degree requirement</w:t>
      </w:r>
      <w:r w:rsidRPr="00176F47">
        <w:rPr>
          <w:rFonts w:ascii="Times New Roman" w:hAnsi="Times New Roman" w:cs="Times New Roman"/>
        </w:rPr>
        <w:t xml:space="preserve"> </w:t>
      </w:r>
      <w:r w:rsidR="00762D95" w:rsidRPr="00176F47">
        <w:rPr>
          <w:rFonts w:ascii="Times New Roman" w:hAnsi="Times New Roman" w:cs="Times New Roman"/>
        </w:rPr>
        <w:t>and has met or is undertaking the year of work and training requirement</w:t>
      </w:r>
      <w:r w:rsidRPr="00176F47">
        <w:rPr>
          <w:rFonts w:ascii="Times New Roman" w:hAnsi="Times New Roman" w:cs="Times New Roman"/>
        </w:rPr>
        <w:t xml:space="preserve">. So, if Mary wishes to return on 1 May 2019, she can only be authorised to do so if she has passed the exam, completed the degree and is undertaking </w:t>
      </w:r>
      <w:r w:rsidR="00462E18" w:rsidRPr="00176F47">
        <w:rPr>
          <w:rFonts w:ascii="Times New Roman" w:hAnsi="Times New Roman" w:cs="Times New Roman"/>
        </w:rPr>
        <w:t xml:space="preserve">a year of </w:t>
      </w:r>
      <w:r w:rsidRPr="00176F47">
        <w:rPr>
          <w:rFonts w:ascii="Times New Roman" w:hAnsi="Times New Roman" w:cs="Times New Roman"/>
        </w:rPr>
        <w:t>work and training. Notional subsection 1546C(3C) is required so that when Mary is authorised on 1 May 2019, she must meet the exam</w:t>
      </w:r>
      <w:r w:rsidR="00762D95" w:rsidRPr="00176F47">
        <w:rPr>
          <w:rFonts w:ascii="Times New Roman" w:hAnsi="Times New Roman" w:cs="Times New Roman"/>
        </w:rPr>
        <w:t xml:space="preserve"> requirement</w:t>
      </w:r>
      <w:r w:rsidRPr="00176F47">
        <w:rPr>
          <w:rFonts w:ascii="Times New Roman" w:hAnsi="Times New Roman" w:cs="Times New Roman"/>
        </w:rPr>
        <w:t xml:space="preserve"> and degree requirement before she can be authorised and have met or be undertaking the year of work and training requirement. </w:t>
      </w:r>
    </w:p>
    <w:p w:rsidR="00E46605" w:rsidRPr="00E46605" w:rsidRDefault="00E46605" w:rsidP="00E46605">
      <w:pPr>
        <w:pStyle w:val="ListPara1"/>
        <w:numPr>
          <w:ilvl w:val="1"/>
          <w:numId w:val="13"/>
        </w:numPr>
        <w:rPr>
          <w:rFonts w:ascii="Times New Roman" w:hAnsi="Times New Roman" w:cs="Times New Roman"/>
          <w:sz w:val="24"/>
          <w:szCs w:val="24"/>
        </w:rPr>
      </w:pPr>
      <w:r w:rsidRPr="00E46605">
        <w:rPr>
          <w:rFonts w:ascii="Times New Roman" w:hAnsi="Times New Roman" w:cs="Times New Roman"/>
          <w:sz w:val="24"/>
          <w:szCs w:val="24"/>
        </w:rPr>
        <w:lastRenderedPageBreak/>
        <w:t>Section 1546D of the Act has the effect that the requirements relating to provisional relevant providers do not apply to a person who was a relevant provider before 1 January 2019. The intended policy was for the requirements relating to provisional relevant providers to not apply to a person who is an existing provider. The requirements relating to provisional relevant providers are intended to apply to a person who is not an existing provider, even if the person was a relevant provider before 1 January 2016. Notional subsection 1546D(2) gives effect to the intended policy.</w:t>
      </w:r>
    </w:p>
    <w:p w:rsidR="00E46605" w:rsidRPr="00176F47" w:rsidRDefault="00E46605" w:rsidP="00E46605">
      <w:pPr>
        <w:pStyle w:val="BodyText"/>
        <w:spacing w:before="199" w:after="120"/>
        <w:rPr>
          <w:b/>
          <w:sz w:val="22"/>
          <w:szCs w:val="22"/>
        </w:rPr>
      </w:pPr>
      <w:r w:rsidRPr="00176F47">
        <w:rPr>
          <w:b/>
        </w:rPr>
        <w:tab/>
      </w:r>
      <w:r w:rsidR="00176F47">
        <w:rPr>
          <w:b/>
        </w:rPr>
        <w:tab/>
      </w:r>
      <w:r w:rsidR="00176F47">
        <w:rPr>
          <w:b/>
        </w:rPr>
        <w:tab/>
      </w:r>
      <w:r w:rsidR="00176F47">
        <w:rPr>
          <w:b/>
        </w:rPr>
        <w:tab/>
      </w:r>
      <w:r w:rsidR="001A3F6A">
        <w:rPr>
          <w:b/>
          <w:sz w:val="22"/>
          <w:szCs w:val="22"/>
        </w:rPr>
        <w:t>Example 4</w:t>
      </w:r>
    </w:p>
    <w:p w:rsidR="00E46605" w:rsidRPr="00176F47" w:rsidRDefault="00E46605" w:rsidP="00E46605">
      <w:pPr>
        <w:pStyle w:val="ListPara1"/>
        <w:numPr>
          <w:ilvl w:val="0"/>
          <w:numId w:val="0"/>
        </w:numPr>
        <w:ind w:left="1440"/>
        <w:rPr>
          <w:rFonts w:ascii="Times New Roman" w:hAnsi="Times New Roman" w:cs="Times New Roman"/>
        </w:rPr>
      </w:pPr>
      <w:r w:rsidRPr="00176F47">
        <w:rPr>
          <w:rFonts w:ascii="Times New Roman" w:hAnsi="Times New Roman" w:cs="Times New Roman"/>
        </w:rPr>
        <w:t>Following on from Example 3 above, the requirements of a provisional relevant provider apply to Mary when she is authorised on 1 May 2019. Bill is Mary’s supervisor, which means that he:</w:t>
      </w:r>
    </w:p>
    <w:p w:rsidR="00E46605" w:rsidRPr="00176F47" w:rsidRDefault="00E46605" w:rsidP="00E46605">
      <w:pPr>
        <w:pStyle w:val="ListPara1"/>
        <w:numPr>
          <w:ilvl w:val="0"/>
          <w:numId w:val="26"/>
        </w:numPr>
        <w:rPr>
          <w:rFonts w:ascii="Times New Roman" w:hAnsi="Times New Roman" w:cs="Times New Roman"/>
        </w:rPr>
      </w:pPr>
      <w:r w:rsidRPr="00176F47">
        <w:rPr>
          <w:rFonts w:ascii="Times New Roman" w:hAnsi="Times New Roman" w:cs="Times New Roman"/>
        </w:rPr>
        <w:t xml:space="preserve">must ensure that </w:t>
      </w:r>
      <w:r w:rsidR="00AF215B" w:rsidRPr="00176F47">
        <w:rPr>
          <w:rFonts w:ascii="Times New Roman" w:hAnsi="Times New Roman" w:cs="Times New Roman"/>
        </w:rPr>
        <w:t xml:space="preserve">Mary </w:t>
      </w:r>
      <w:r w:rsidRPr="00176F47">
        <w:rPr>
          <w:rFonts w:ascii="Times New Roman" w:hAnsi="Times New Roman" w:cs="Times New Roman"/>
        </w:rPr>
        <w:t>is appropriately supervised;</w:t>
      </w:r>
    </w:p>
    <w:p w:rsidR="00E46605" w:rsidRPr="00176F47" w:rsidRDefault="00E46605" w:rsidP="00E46605">
      <w:pPr>
        <w:pStyle w:val="ListPara1"/>
        <w:numPr>
          <w:ilvl w:val="0"/>
          <w:numId w:val="26"/>
        </w:numPr>
        <w:rPr>
          <w:rFonts w:ascii="Times New Roman" w:hAnsi="Times New Roman" w:cs="Times New Roman"/>
        </w:rPr>
      </w:pPr>
      <w:r w:rsidRPr="00176F47">
        <w:rPr>
          <w:rFonts w:ascii="Times New Roman" w:hAnsi="Times New Roman" w:cs="Times New Roman"/>
        </w:rPr>
        <w:t xml:space="preserve">must approve, in writing, the statement of advice provided to the client; </w:t>
      </w:r>
    </w:p>
    <w:p w:rsidR="00E46605" w:rsidRPr="00176F47" w:rsidRDefault="00E46605" w:rsidP="00E46605">
      <w:pPr>
        <w:pStyle w:val="ListPara1"/>
        <w:numPr>
          <w:ilvl w:val="0"/>
          <w:numId w:val="26"/>
        </w:numPr>
        <w:rPr>
          <w:rFonts w:ascii="Times New Roman" w:hAnsi="Times New Roman" w:cs="Times New Roman"/>
        </w:rPr>
      </w:pPr>
      <w:r w:rsidRPr="00176F47">
        <w:rPr>
          <w:rFonts w:ascii="Times New Roman" w:hAnsi="Times New Roman" w:cs="Times New Roman"/>
        </w:rPr>
        <w:t>is taken to have provided the advice; and</w:t>
      </w:r>
    </w:p>
    <w:p w:rsidR="00E46605" w:rsidRPr="00176F47" w:rsidRDefault="00E46605" w:rsidP="00E46605">
      <w:pPr>
        <w:pStyle w:val="ListPara1"/>
        <w:numPr>
          <w:ilvl w:val="0"/>
          <w:numId w:val="26"/>
        </w:numPr>
        <w:rPr>
          <w:rFonts w:ascii="Times New Roman" w:hAnsi="Times New Roman" w:cs="Times New Roman"/>
        </w:rPr>
      </w:pPr>
      <w:r w:rsidRPr="00176F47">
        <w:rPr>
          <w:rFonts w:ascii="Times New Roman" w:hAnsi="Times New Roman" w:cs="Times New Roman"/>
        </w:rPr>
        <w:t xml:space="preserve">must ensure that the client is provided with certain disclosures about </w:t>
      </w:r>
      <w:r w:rsidR="00AF215B" w:rsidRPr="00176F47">
        <w:rPr>
          <w:rFonts w:ascii="Times New Roman" w:hAnsi="Times New Roman" w:cs="Times New Roman"/>
        </w:rPr>
        <w:t xml:space="preserve">Mary’s </w:t>
      </w:r>
      <w:r w:rsidRPr="00176F47">
        <w:rPr>
          <w:rFonts w:ascii="Times New Roman" w:hAnsi="Times New Roman" w:cs="Times New Roman"/>
        </w:rPr>
        <w:t>role and expertise.</w:t>
      </w:r>
    </w:p>
    <w:p w:rsidR="00E46605" w:rsidRPr="00176F47" w:rsidRDefault="00E46605" w:rsidP="00E46605">
      <w:pPr>
        <w:pStyle w:val="ListPara1"/>
        <w:numPr>
          <w:ilvl w:val="0"/>
          <w:numId w:val="0"/>
        </w:numPr>
        <w:ind w:left="1440"/>
        <w:rPr>
          <w:rFonts w:ascii="Times New Roman" w:hAnsi="Times New Roman" w:cs="Times New Roman"/>
        </w:rPr>
      </w:pPr>
      <w:r w:rsidRPr="00176F47">
        <w:rPr>
          <w:rFonts w:ascii="Times New Roman" w:hAnsi="Times New Roman" w:cs="Times New Roman"/>
        </w:rPr>
        <w:t>Further, Mary must not obstruct or hinder Bill when he is</w:t>
      </w:r>
      <w:r w:rsidR="00AF215B" w:rsidRPr="00176F47">
        <w:rPr>
          <w:rFonts w:ascii="Times New Roman" w:hAnsi="Times New Roman" w:cs="Times New Roman"/>
        </w:rPr>
        <w:t xml:space="preserve"> supervising her.</w:t>
      </w:r>
    </w:p>
    <w:p w:rsidR="00A20CA8" w:rsidRPr="00A20CA8" w:rsidRDefault="00A20CA8" w:rsidP="00A20CA8">
      <w:pPr>
        <w:pStyle w:val="ListPara1"/>
        <w:numPr>
          <w:ilvl w:val="0"/>
          <w:numId w:val="0"/>
        </w:numPr>
        <w:ind w:left="360" w:hanging="360"/>
        <w:rPr>
          <w:rFonts w:ascii="Times New Roman" w:hAnsi="Times New Roman" w:cs="Times New Roman"/>
          <w:b/>
          <w:sz w:val="24"/>
          <w:szCs w:val="24"/>
        </w:rPr>
      </w:pPr>
      <w:r w:rsidRPr="00A20CA8">
        <w:rPr>
          <w:rFonts w:ascii="Times New Roman" w:hAnsi="Times New Roman" w:cs="Times New Roman"/>
          <w:b/>
          <w:sz w:val="24"/>
          <w:szCs w:val="24"/>
        </w:rPr>
        <w:t>Section 12</w:t>
      </w:r>
    </w:p>
    <w:p w:rsidR="005304E4" w:rsidRPr="0054757A" w:rsidRDefault="005304E4" w:rsidP="00C1001C">
      <w:pPr>
        <w:pStyle w:val="ListPara1"/>
        <w:numPr>
          <w:ilvl w:val="1"/>
          <w:numId w:val="13"/>
        </w:numPr>
        <w:rPr>
          <w:rFonts w:ascii="Times New Roman" w:hAnsi="Times New Roman" w:cs="Times New Roman"/>
          <w:sz w:val="24"/>
          <w:szCs w:val="24"/>
        </w:rPr>
      </w:pPr>
      <w:r w:rsidRPr="0054757A">
        <w:rPr>
          <w:rFonts w:ascii="Times New Roman" w:hAnsi="Times New Roman" w:cs="Times New Roman"/>
          <w:sz w:val="24"/>
          <w:szCs w:val="24"/>
        </w:rPr>
        <w:t xml:space="preserve">Section 12 </w:t>
      </w:r>
      <w:r w:rsidR="00A20CA8">
        <w:rPr>
          <w:rFonts w:ascii="Times New Roman" w:hAnsi="Times New Roman" w:cs="Times New Roman"/>
          <w:sz w:val="24"/>
          <w:szCs w:val="24"/>
        </w:rPr>
        <w:t xml:space="preserve">of the instrument </w:t>
      </w:r>
      <w:r w:rsidRPr="0054757A">
        <w:rPr>
          <w:rFonts w:ascii="Times New Roman" w:hAnsi="Times New Roman" w:cs="Times New Roman"/>
          <w:sz w:val="24"/>
          <w:szCs w:val="24"/>
        </w:rPr>
        <w:t xml:space="preserve">provides that if a person is authorised following an exclusion period that covered 1 January 2019, a notice must be lodged under section 1546Z of the Act if they become a provisional relevant provider following this exclusion period. The applicable exclusion periods </w:t>
      </w:r>
      <w:r w:rsidR="002E31EE" w:rsidRPr="0054757A">
        <w:rPr>
          <w:rFonts w:ascii="Times New Roman" w:hAnsi="Times New Roman" w:cs="Times New Roman"/>
          <w:sz w:val="24"/>
          <w:szCs w:val="24"/>
        </w:rPr>
        <w:t>are where</w:t>
      </w:r>
      <w:r w:rsidRPr="0054757A">
        <w:rPr>
          <w:rFonts w:ascii="Times New Roman" w:hAnsi="Times New Roman" w:cs="Times New Roman"/>
          <w:sz w:val="24"/>
          <w:szCs w:val="24"/>
        </w:rPr>
        <w:t xml:space="preserve"> a person was on 1 January 2019:</w:t>
      </w:r>
    </w:p>
    <w:p w:rsidR="005304E4" w:rsidRPr="002E31EE" w:rsidRDefault="00AC7352" w:rsidP="00AC7352">
      <w:pPr>
        <w:pStyle w:val="ListPara1"/>
        <w:numPr>
          <w:ilvl w:val="0"/>
          <w:numId w:val="28"/>
        </w:numPr>
        <w:rPr>
          <w:rFonts w:ascii="Times New Roman" w:hAnsi="Times New Roman" w:cs="Times New Roman"/>
          <w:sz w:val="24"/>
          <w:szCs w:val="24"/>
        </w:rPr>
      </w:pPr>
      <w:r w:rsidRPr="002E31EE">
        <w:rPr>
          <w:rFonts w:ascii="Times New Roman" w:hAnsi="Times New Roman" w:cs="Times New Roman"/>
          <w:sz w:val="24"/>
          <w:szCs w:val="24"/>
        </w:rPr>
        <w:t>B</w:t>
      </w:r>
      <w:r w:rsidR="005304E4" w:rsidRPr="002E31EE">
        <w:rPr>
          <w:rFonts w:ascii="Times New Roman" w:hAnsi="Times New Roman" w:cs="Times New Roman"/>
          <w:sz w:val="24"/>
          <w:szCs w:val="24"/>
        </w:rPr>
        <w:t>anned</w:t>
      </w:r>
      <w:r>
        <w:rPr>
          <w:rFonts w:ascii="Times New Roman" w:hAnsi="Times New Roman" w:cs="Times New Roman"/>
          <w:sz w:val="24"/>
          <w:szCs w:val="24"/>
        </w:rPr>
        <w:t xml:space="preserve"> or</w:t>
      </w:r>
      <w:r w:rsidR="005304E4" w:rsidRPr="002E31EE">
        <w:rPr>
          <w:rFonts w:ascii="Times New Roman" w:hAnsi="Times New Roman" w:cs="Times New Roman"/>
          <w:sz w:val="24"/>
          <w:szCs w:val="24"/>
        </w:rPr>
        <w:t xml:space="preserve"> disqualified under Division 8 of Part 7.6; or </w:t>
      </w:r>
    </w:p>
    <w:p w:rsidR="005304E4" w:rsidRPr="002E31EE" w:rsidRDefault="005304E4" w:rsidP="00AC7352">
      <w:pPr>
        <w:pStyle w:val="ListPara1"/>
        <w:numPr>
          <w:ilvl w:val="0"/>
          <w:numId w:val="28"/>
        </w:numPr>
        <w:rPr>
          <w:rFonts w:ascii="Times New Roman" w:hAnsi="Times New Roman" w:cs="Times New Roman"/>
          <w:sz w:val="24"/>
          <w:szCs w:val="24"/>
        </w:rPr>
      </w:pPr>
      <w:r w:rsidRPr="002E31EE">
        <w:rPr>
          <w:rFonts w:ascii="Times New Roman" w:hAnsi="Times New Roman" w:cs="Times New Roman"/>
          <w:sz w:val="24"/>
          <w:szCs w:val="24"/>
        </w:rPr>
        <w:t>subject to an enforceable undertaking under section 93AA of the ASIC Act, under which the person undertook to not provide financial product advice or financial services generally; or</w:t>
      </w:r>
    </w:p>
    <w:p w:rsidR="005304E4" w:rsidRDefault="005304E4" w:rsidP="00AC7352">
      <w:pPr>
        <w:pStyle w:val="ListPara1"/>
        <w:numPr>
          <w:ilvl w:val="0"/>
          <w:numId w:val="28"/>
        </w:numPr>
        <w:rPr>
          <w:rFonts w:ascii="Times New Roman" w:hAnsi="Times New Roman" w:cs="Times New Roman"/>
          <w:sz w:val="24"/>
          <w:szCs w:val="24"/>
        </w:rPr>
      </w:pPr>
      <w:r w:rsidRPr="002E31EE">
        <w:rPr>
          <w:rFonts w:ascii="Times New Roman" w:hAnsi="Times New Roman" w:cs="Times New Roman"/>
          <w:sz w:val="24"/>
          <w:szCs w:val="24"/>
        </w:rPr>
        <w:t>prohibited under the law of a foreign country from providing personal advice in the foreign country to retail clients in relation to relevant financial products.</w:t>
      </w:r>
    </w:p>
    <w:p w:rsidR="00C126C8" w:rsidRPr="002E31EE" w:rsidRDefault="00C126C8" w:rsidP="00C126C8">
      <w:pPr>
        <w:pStyle w:val="ListPara1"/>
        <w:numPr>
          <w:ilvl w:val="0"/>
          <w:numId w:val="0"/>
        </w:numPr>
        <w:rPr>
          <w:rFonts w:ascii="Times New Roman" w:hAnsi="Times New Roman" w:cs="Times New Roman"/>
          <w:sz w:val="24"/>
          <w:szCs w:val="24"/>
        </w:rPr>
      </w:pPr>
    </w:p>
    <w:p w:rsidR="005B0E3A" w:rsidRPr="00D57504" w:rsidRDefault="005B0E3A" w:rsidP="00C1001C">
      <w:pPr>
        <w:pStyle w:val="ListPara1"/>
        <w:numPr>
          <w:ilvl w:val="0"/>
          <w:numId w:val="13"/>
        </w:numPr>
        <w:rPr>
          <w:rFonts w:ascii="Arial"/>
          <w:b/>
          <w:spacing w:val="-1"/>
          <w:sz w:val="24"/>
        </w:rPr>
      </w:pPr>
      <w:bookmarkStart w:id="22" w:name="4._Documents_incorporated_by_reference"/>
      <w:bookmarkStart w:id="23" w:name="5._Consultation"/>
      <w:bookmarkEnd w:id="22"/>
      <w:bookmarkEnd w:id="23"/>
      <w:r w:rsidRPr="00D57504">
        <w:rPr>
          <w:rFonts w:ascii="Arial"/>
          <w:b/>
          <w:spacing w:val="-1"/>
          <w:sz w:val="24"/>
        </w:rPr>
        <w:t>Consultation</w:t>
      </w:r>
    </w:p>
    <w:p w:rsidR="003B308C" w:rsidRPr="0054757A" w:rsidRDefault="003B308C" w:rsidP="00C1001C">
      <w:pPr>
        <w:pStyle w:val="ListPara1"/>
        <w:numPr>
          <w:ilvl w:val="1"/>
          <w:numId w:val="13"/>
        </w:numPr>
        <w:rPr>
          <w:rFonts w:ascii="Times New Roman" w:hAnsi="Times New Roman" w:cs="Times New Roman"/>
          <w:sz w:val="24"/>
          <w:szCs w:val="24"/>
        </w:rPr>
      </w:pPr>
      <w:r w:rsidRPr="0054757A">
        <w:rPr>
          <w:rFonts w:ascii="Times New Roman" w:hAnsi="Times New Roman" w:cs="Times New Roman"/>
          <w:sz w:val="24"/>
          <w:szCs w:val="24"/>
        </w:rPr>
        <w:t xml:space="preserve">A full </w:t>
      </w:r>
      <w:r w:rsidR="006D7714" w:rsidRPr="0054757A">
        <w:rPr>
          <w:rFonts w:ascii="Times New Roman" w:hAnsi="Times New Roman" w:cs="Times New Roman"/>
          <w:sz w:val="24"/>
          <w:szCs w:val="24"/>
        </w:rPr>
        <w:t>regulatory impact statement (</w:t>
      </w:r>
      <w:r w:rsidRPr="0054757A">
        <w:rPr>
          <w:rFonts w:ascii="Times New Roman" w:hAnsi="Times New Roman" w:cs="Times New Roman"/>
          <w:sz w:val="24"/>
          <w:szCs w:val="24"/>
        </w:rPr>
        <w:t>RIS</w:t>
      </w:r>
      <w:r w:rsidR="006D7714" w:rsidRPr="0054757A">
        <w:rPr>
          <w:rFonts w:ascii="Times New Roman" w:hAnsi="Times New Roman" w:cs="Times New Roman"/>
          <w:sz w:val="24"/>
          <w:szCs w:val="24"/>
        </w:rPr>
        <w:t>)</w:t>
      </w:r>
      <w:r w:rsidRPr="0054757A">
        <w:rPr>
          <w:rFonts w:ascii="Times New Roman" w:hAnsi="Times New Roman" w:cs="Times New Roman"/>
          <w:sz w:val="24"/>
          <w:szCs w:val="24"/>
        </w:rPr>
        <w:t xml:space="preserve"> was completed when the measures in the </w:t>
      </w:r>
      <w:r w:rsidR="0017519D" w:rsidRPr="0054757A">
        <w:rPr>
          <w:rFonts w:ascii="Times New Roman" w:hAnsi="Times New Roman" w:cs="Times New Roman"/>
          <w:sz w:val="24"/>
          <w:szCs w:val="24"/>
        </w:rPr>
        <w:t xml:space="preserve">Act </w:t>
      </w:r>
      <w:r w:rsidR="00D73F41" w:rsidRPr="0054757A">
        <w:rPr>
          <w:rFonts w:ascii="Times New Roman" w:hAnsi="Times New Roman" w:cs="Times New Roman"/>
          <w:sz w:val="24"/>
          <w:szCs w:val="24"/>
        </w:rPr>
        <w:t>were</w:t>
      </w:r>
      <w:r w:rsidRPr="0054757A">
        <w:rPr>
          <w:rFonts w:ascii="Times New Roman" w:hAnsi="Times New Roman" w:cs="Times New Roman"/>
          <w:sz w:val="24"/>
          <w:szCs w:val="24"/>
        </w:rPr>
        <w:t xml:space="preserve"> developed. The RIS is in the</w:t>
      </w:r>
      <w:r w:rsidR="009806A1">
        <w:rPr>
          <w:rFonts w:ascii="Times New Roman" w:hAnsi="Times New Roman" w:cs="Times New Roman"/>
          <w:sz w:val="24"/>
          <w:szCs w:val="24"/>
        </w:rPr>
        <w:t xml:space="preserve"> Explanatory Memorandum to the </w:t>
      </w:r>
      <w:r w:rsidRPr="0054757A">
        <w:rPr>
          <w:rFonts w:ascii="Times New Roman" w:hAnsi="Times New Roman" w:cs="Times New Roman"/>
          <w:sz w:val="24"/>
          <w:szCs w:val="24"/>
        </w:rPr>
        <w:t xml:space="preserve">Corporations </w:t>
      </w:r>
      <w:r w:rsidRPr="0054757A">
        <w:rPr>
          <w:rFonts w:ascii="Times New Roman" w:hAnsi="Times New Roman" w:cs="Times New Roman"/>
          <w:sz w:val="24"/>
          <w:szCs w:val="24"/>
        </w:rPr>
        <w:lastRenderedPageBreak/>
        <w:t>Amendment (Professional Standards of</w:t>
      </w:r>
      <w:r w:rsidR="0055708B">
        <w:rPr>
          <w:rFonts w:ascii="Times New Roman" w:hAnsi="Times New Roman" w:cs="Times New Roman"/>
          <w:sz w:val="24"/>
          <w:szCs w:val="24"/>
        </w:rPr>
        <w:t xml:space="preserve"> Financial Advisers) Bill 2016</w:t>
      </w:r>
      <w:r w:rsidRPr="0054757A">
        <w:rPr>
          <w:rFonts w:ascii="Times New Roman" w:hAnsi="Times New Roman" w:cs="Times New Roman"/>
          <w:sz w:val="24"/>
          <w:szCs w:val="24"/>
        </w:rPr>
        <w:t xml:space="preserve"> </w:t>
      </w:r>
      <w:r w:rsidR="009C32DD">
        <w:rPr>
          <w:rFonts w:ascii="Times New Roman" w:hAnsi="Times New Roman" w:cs="Times New Roman"/>
          <w:sz w:val="24"/>
          <w:szCs w:val="24"/>
        </w:rPr>
        <w:t>and reflects</w:t>
      </w:r>
      <w:r w:rsidRPr="0054757A">
        <w:rPr>
          <w:rFonts w:ascii="Times New Roman" w:hAnsi="Times New Roman" w:cs="Times New Roman"/>
          <w:sz w:val="24"/>
          <w:szCs w:val="24"/>
        </w:rPr>
        <w:t xml:space="preserve"> extensive consultation and </w:t>
      </w:r>
      <w:r w:rsidR="00D73F41" w:rsidRPr="0054757A">
        <w:rPr>
          <w:rFonts w:ascii="Times New Roman" w:hAnsi="Times New Roman" w:cs="Times New Roman"/>
          <w:sz w:val="24"/>
          <w:szCs w:val="24"/>
        </w:rPr>
        <w:t>G</w:t>
      </w:r>
      <w:r w:rsidRPr="0054757A">
        <w:rPr>
          <w:rFonts w:ascii="Times New Roman" w:hAnsi="Times New Roman" w:cs="Times New Roman"/>
          <w:sz w:val="24"/>
          <w:szCs w:val="24"/>
        </w:rPr>
        <w:t>overnment reviews.</w:t>
      </w:r>
    </w:p>
    <w:p w:rsidR="002107C6" w:rsidRPr="0054757A" w:rsidRDefault="00BC199A" w:rsidP="00C1001C">
      <w:pPr>
        <w:pStyle w:val="ListPara1"/>
        <w:numPr>
          <w:ilvl w:val="1"/>
          <w:numId w:val="13"/>
        </w:numPr>
        <w:rPr>
          <w:rFonts w:ascii="Times New Roman" w:hAnsi="Times New Roman" w:cs="Times New Roman"/>
          <w:sz w:val="24"/>
          <w:szCs w:val="24"/>
        </w:rPr>
      </w:pPr>
      <w:r w:rsidRPr="0054757A">
        <w:rPr>
          <w:rFonts w:ascii="Times New Roman" w:hAnsi="Times New Roman" w:cs="Times New Roman"/>
          <w:sz w:val="24"/>
          <w:szCs w:val="24"/>
        </w:rPr>
        <w:t>A p</w:t>
      </w:r>
      <w:r w:rsidR="006D7714" w:rsidRPr="0054757A">
        <w:rPr>
          <w:rFonts w:ascii="Times New Roman" w:hAnsi="Times New Roman" w:cs="Times New Roman"/>
          <w:sz w:val="24"/>
          <w:szCs w:val="24"/>
        </w:rPr>
        <w:t xml:space="preserve">ublic consultation process </w:t>
      </w:r>
      <w:r w:rsidRPr="0054757A">
        <w:rPr>
          <w:rFonts w:ascii="Times New Roman" w:hAnsi="Times New Roman" w:cs="Times New Roman"/>
          <w:sz w:val="24"/>
          <w:szCs w:val="24"/>
        </w:rPr>
        <w:t xml:space="preserve">was not undertaken </w:t>
      </w:r>
      <w:r w:rsidR="0017519D" w:rsidRPr="0054757A">
        <w:rPr>
          <w:rFonts w:ascii="Times New Roman" w:hAnsi="Times New Roman" w:cs="Times New Roman"/>
          <w:sz w:val="24"/>
          <w:szCs w:val="24"/>
        </w:rPr>
        <w:t>for</w:t>
      </w:r>
      <w:r w:rsidR="00D73F41" w:rsidRPr="0054757A">
        <w:rPr>
          <w:rFonts w:ascii="Times New Roman" w:hAnsi="Times New Roman" w:cs="Times New Roman"/>
          <w:sz w:val="24"/>
          <w:szCs w:val="24"/>
        </w:rPr>
        <w:t xml:space="preserve"> this instrument </w:t>
      </w:r>
      <w:r w:rsidR="00C474E8" w:rsidRPr="0054757A">
        <w:rPr>
          <w:rFonts w:ascii="Times New Roman" w:hAnsi="Times New Roman" w:cs="Times New Roman"/>
          <w:sz w:val="24"/>
          <w:szCs w:val="24"/>
        </w:rPr>
        <w:t>due to the minor and machinery nature of the instrument</w:t>
      </w:r>
      <w:r w:rsidR="00093334" w:rsidRPr="0054757A">
        <w:rPr>
          <w:rFonts w:ascii="Times New Roman" w:hAnsi="Times New Roman" w:cs="Times New Roman"/>
          <w:sz w:val="24"/>
          <w:szCs w:val="24"/>
        </w:rPr>
        <w:t xml:space="preserve">. </w:t>
      </w:r>
      <w:r w:rsidR="00D73F41" w:rsidRPr="0054757A">
        <w:rPr>
          <w:rFonts w:ascii="Times New Roman" w:hAnsi="Times New Roman" w:cs="Times New Roman"/>
          <w:sz w:val="24"/>
          <w:szCs w:val="24"/>
        </w:rPr>
        <w:t xml:space="preserve">Apart from the </w:t>
      </w:r>
      <w:r w:rsidR="001F089F" w:rsidRPr="0054757A">
        <w:rPr>
          <w:rFonts w:ascii="Times New Roman" w:hAnsi="Times New Roman" w:cs="Times New Roman"/>
          <w:sz w:val="24"/>
          <w:szCs w:val="24"/>
        </w:rPr>
        <w:t>revised schedule</w:t>
      </w:r>
      <w:r w:rsidR="00D73F41" w:rsidRPr="0054757A">
        <w:rPr>
          <w:rFonts w:ascii="Times New Roman" w:hAnsi="Times New Roman" w:cs="Times New Roman"/>
          <w:sz w:val="24"/>
          <w:szCs w:val="24"/>
        </w:rPr>
        <w:t>, th</w:t>
      </w:r>
      <w:r w:rsidR="00093334" w:rsidRPr="0054757A">
        <w:rPr>
          <w:rFonts w:ascii="Times New Roman" w:hAnsi="Times New Roman" w:cs="Times New Roman"/>
          <w:sz w:val="24"/>
          <w:szCs w:val="24"/>
        </w:rPr>
        <w:t xml:space="preserve">e amendments in this instrument </w:t>
      </w:r>
      <w:r w:rsidR="006D215B" w:rsidRPr="0054757A">
        <w:rPr>
          <w:rFonts w:ascii="Times New Roman" w:hAnsi="Times New Roman" w:cs="Times New Roman"/>
          <w:sz w:val="24"/>
          <w:szCs w:val="24"/>
        </w:rPr>
        <w:t xml:space="preserve">give effect to the policy intent of the </w:t>
      </w:r>
      <w:r w:rsidR="00592F77" w:rsidRPr="0054757A">
        <w:rPr>
          <w:rFonts w:ascii="Times New Roman" w:hAnsi="Times New Roman" w:cs="Times New Roman"/>
          <w:sz w:val="24"/>
          <w:szCs w:val="24"/>
        </w:rPr>
        <w:t>A</w:t>
      </w:r>
      <w:r w:rsidR="006D215B" w:rsidRPr="0054757A">
        <w:rPr>
          <w:rFonts w:ascii="Times New Roman" w:hAnsi="Times New Roman" w:cs="Times New Roman"/>
          <w:sz w:val="24"/>
          <w:szCs w:val="24"/>
        </w:rPr>
        <w:t>ct</w:t>
      </w:r>
      <w:r w:rsidR="00C474E8" w:rsidRPr="0054757A">
        <w:rPr>
          <w:rFonts w:ascii="Times New Roman" w:hAnsi="Times New Roman" w:cs="Times New Roman"/>
          <w:sz w:val="24"/>
          <w:szCs w:val="24"/>
        </w:rPr>
        <w:t>.</w:t>
      </w:r>
      <w:r w:rsidR="00055F31" w:rsidRPr="0054757A">
        <w:rPr>
          <w:rFonts w:ascii="Times New Roman" w:hAnsi="Times New Roman" w:cs="Times New Roman"/>
          <w:sz w:val="24"/>
          <w:szCs w:val="24"/>
        </w:rPr>
        <w:t xml:space="preserve"> The </w:t>
      </w:r>
      <w:r w:rsidR="001F089F" w:rsidRPr="0054757A">
        <w:rPr>
          <w:rFonts w:ascii="Times New Roman" w:hAnsi="Times New Roman" w:cs="Times New Roman"/>
          <w:sz w:val="24"/>
          <w:szCs w:val="24"/>
        </w:rPr>
        <w:t>revised schedule is</w:t>
      </w:r>
      <w:r w:rsidR="006D7714" w:rsidRPr="0054757A">
        <w:rPr>
          <w:rFonts w:ascii="Times New Roman" w:hAnsi="Times New Roman" w:cs="Times New Roman"/>
          <w:sz w:val="24"/>
          <w:szCs w:val="24"/>
        </w:rPr>
        <w:t xml:space="preserve"> intended to simplify licensees’</w:t>
      </w:r>
      <w:r w:rsidR="001F089F" w:rsidRPr="0054757A">
        <w:rPr>
          <w:rFonts w:ascii="Times New Roman" w:hAnsi="Times New Roman" w:cs="Times New Roman"/>
          <w:sz w:val="24"/>
          <w:szCs w:val="24"/>
        </w:rPr>
        <w:t xml:space="preserve"> disclosure obligations</w:t>
      </w:r>
      <w:r w:rsidR="006D7714" w:rsidRPr="0054757A">
        <w:rPr>
          <w:rFonts w:ascii="Times New Roman" w:hAnsi="Times New Roman" w:cs="Times New Roman"/>
          <w:sz w:val="24"/>
          <w:szCs w:val="24"/>
        </w:rPr>
        <w:t xml:space="preserve"> </w:t>
      </w:r>
      <w:r w:rsidR="001F089F" w:rsidRPr="0054757A">
        <w:rPr>
          <w:rFonts w:ascii="Times New Roman" w:hAnsi="Times New Roman" w:cs="Times New Roman"/>
          <w:sz w:val="24"/>
          <w:szCs w:val="24"/>
        </w:rPr>
        <w:t xml:space="preserve">to </w:t>
      </w:r>
      <w:r w:rsidR="00055F31" w:rsidRPr="0054757A">
        <w:rPr>
          <w:rFonts w:ascii="Times New Roman" w:hAnsi="Times New Roman" w:cs="Times New Roman"/>
          <w:sz w:val="24"/>
          <w:szCs w:val="24"/>
        </w:rPr>
        <w:t>facilitate a smooth transition for the new reforms.</w:t>
      </w:r>
    </w:p>
    <w:p w:rsidR="005B0E3A" w:rsidRDefault="005B0E3A" w:rsidP="009C32DD">
      <w:pPr>
        <w:pStyle w:val="Bodytextplain"/>
        <w:ind w:left="0"/>
        <w:sectPr w:rsidR="005B0E3A"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p>
    <w:p w:rsidR="000076D6" w:rsidRDefault="006466E1" w:rsidP="009C32DD">
      <w:pPr>
        <w:pStyle w:val="Heading1"/>
        <w:pageBreakBefore/>
        <w:tabs>
          <w:tab w:val="clear" w:pos="879"/>
        </w:tabs>
        <w:overflowPunct/>
        <w:autoSpaceDE/>
        <w:autoSpaceDN/>
        <w:adjustRightInd/>
        <w:spacing w:before="0" w:after="400" w:line="280" w:lineRule="atLeast"/>
        <w:textAlignment w:val="auto"/>
      </w:pPr>
      <w:bookmarkStart w:id="24" w:name="_Toc402519910"/>
      <w:r>
        <w:rPr>
          <w:noProof/>
        </w:rPr>
        <w:lastRenderedPageBreak/>
        <mc:AlternateContent>
          <mc:Choice Requires="wps">
            <w:drawing>
              <wp:anchor distT="0" distB="0" distL="114300" distR="114300" simplePos="0" relativeHeight="251663360" behindDoc="0" locked="0" layoutInCell="1" allowOverlap="1" wp14:anchorId="17C6675A" wp14:editId="2C07FA66">
                <wp:simplePos x="0" y="0"/>
                <wp:positionH relativeFrom="column">
                  <wp:posOffset>16510</wp:posOffset>
                </wp:positionH>
                <wp:positionV relativeFrom="paragraph">
                  <wp:posOffset>948</wp:posOffset>
                </wp:positionV>
                <wp:extent cx="5311140" cy="8816453"/>
                <wp:effectExtent l="38100" t="38100" r="41910" b="419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816453"/>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751709" w:rsidP="000076D6">
                            <w:pPr>
                              <w:spacing w:before="120" w:after="120"/>
                              <w:jc w:val="center"/>
                              <w:rPr>
                                <w:b/>
                              </w:rPr>
                            </w:pPr>
                            <w:r w:rsidRPr="00751709">
                              <w:rPr>
                                <w:b/>
                              </w:rPr>
                              <w:t>ASIC Corpor</w:t>
                            </w:r>
                            <w:r w:rsidR="00CA06AF">
                              <w:rPr>
                                <w:b/>
                              </w:rPr>
                              <w:t>ations (Professional Standards</w:t>
                            </w:r>
                            <w:r w:rsidR="00CA06AF" w:rsidRPr="00CA06AF">
                              <w:rPr>
                                <w:b/>
                              </w:rPr>
                              <w:t>—</w:t>
                            </w:r>
                            <w:r w:rsidRPr="00751709">
                              <w:rPr>
                                <w:b/>
                              </w:rPr>
                              <w:t>Transitional) Instrument 2018/</w:t>
                            </w:r>
                            <w:r w:rsidR="001C5E35">
                              <w:rPr>
                                <w:b/>
                              </w:rPr>
                              <w:t>894</w:t>
                            </w:r>
                            <w:r w:rsidR="000076D6" w:rsidRPr="00247F54">
                              <w:rPr>
                                <w:b/>
                              </w:rPr>
                              <w:t xml:space="preserve"> </w:t>
                            </w:r>
                          </w:p>
                          <w:p w:rsidR="000076D6" w:rsidRPr="00247F54" w:rsidRDefault="000076D6" w:rsidP="000076D6">
                            <w:pPr>
                              <w:spacing w:before="120" w:after="120"/>
                              <w:jc w:val="center"/>
                            </w:pPr>
                          </w:p>
                          <w:p w:rsidR="000076D6" w:rsidRPr="00247F54" w:rsidRDefault="00751709" w:rsidP="000076D6">
                            <w:pPr>
                              <w:spacing w:before="120" w:after="120"/>
                              <w:jc w:val="center"/>
                            </w:pPr>
                            <w:r w:rsidRPr="00754E88">
                              <w:rPr>
                                <w:i/>
                              </w:rPr>
                              <w:t>ASIC Corpor</w:t>
                            </w:r>
                            <w:r w:rsidR="00754E88" w:rsidRPr="00754E88">
                              <w:rPr>
                                <w:i/>
                              </w:rPr>
                              <w:t>ations (Professional Standards—</w:t>
                            </w:r>
                            <w:r w:rsidRPr="00754E88">
                              <w:rPr>
                                <w:i/>
                              </w:rPr>
                              <w:t>Transitional) Instrument 2018/</w:t>
                            </w:r>
                            <w:r w:rsidR="001C5E35" w:rsidRPr="00754E88">
                              <w:rPr>
                                <w:i/>
                              </w:rPr>
                              <w:t>894</w:t>
                            </w:r>
                            <w:r w:rsidRPr="00751709">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235588" w:rsidRPr="00751709" w:rsidRDefault="00751709" w:rsidP="00751709">
                            <w:pPr>
                              <w:spacing w:before="120" w:after="120"/>
                            </w:pPr>
                            <w:r>
                              <w:t xml:space="preserve">The </w:t>
                            </w:r>
                            <w:r w:rsidRPr="00754E88">
                              <w:rPr>
                                <w:i/>
                              </w:rPr>
                              <w:t>ASIC Corpora</w:t>
                            </w:r>
                            <w:r w:rsidR="00754E88" w:rsidRPr="00754E88">
                              <w:rPr>
                                <w:i/>
                              </w:rPr>
                              <w:t>tions (Professional Standards—</w:t>
                            </w:r>
                            <w:r w:rsidRPr="00754E88">
                              <w:rPr>
                                <w:i/>
                              </w:rPr>
                              <w:t>Transitional) Instrument 2018/</w:t>
                            </w:r>
                            <w:r w:rsidR="001C5E35" w:rsidRPr="00754E88">
                              <w:rPr>
                                <w:i/>
                              </w:rPr>
                              <w:t>894</w:t>
                            </w:r>
                            <w:r>
                              <w:t xml:space="preserve"> </w:t>
                            </w:r>
                            <w:bookmarkStart w:id="25" w:name="_Hlk524954927"/>
                            <w:r w:rsidR="002768F3" w:rsidRPr="002768F3">
                              <w:t>make</w:t>
                            </w:r>
                            <w:r w:rsidR="00A16F0B">
                              <w:t>s</w:t>
                            </w:r>
                            <w:r w:rsidR="002768F3" w:rsidRPr="002768F3">
                              <w:t xml:space="preserve"> changes to the reporting dates </w:t>
                            </w:r>
                            <w:r w:rsidR="003B0B89">
                              <w:t xml:space="preserve">in the </w:t>
                            </w:r>
                            <w:r w:rsidR="003B0B89" w:rsidRPr="003B0B89">
                              <w:rPr>
                                <w:i/>
                              </w:rPr>
                              <w:t>Corporations Act 2001</w:t>
                            </w:r>
                            <w:r w:rsidR="003B0B89">
                              <w:t xml:space="preserve"> (Act) </w:t>
                            </w:r>
                            <w:r w:rsidR="00395E76">
                              <w:t>to simplify</w:t>
                            </w:r>
                            <w:r w:rsidR="00561FE6">
                              <w:t xml:space="preserve"> Australian financial services</w:t>
                            </w:r>
                            <w:r w:rsidR="00395E76">
                              <w:t xml:space="preserve"> licensees’</w:t>
                            </w:r>
                            <w:r w:rsidR="00395E76" w:rsidRPr="002768F3">
                              <w:t xml:space="preserve"> disclosure obligations </w:t>
                            </w:r>
                            <w:r w:rsidR="002768F3" w:rsidRPr="002768F3">
                              <w:t>in the transition to the new financial adviser professional standards reforms</w:t>
                            </w:r>
                            <w:r w:rsidR="001F089F" w:rsidRPr="002768F3">
                              <w:t>.</w:t>
                            </w:r>
                            <w:bookmarkStart w:id="26" w:name="_Hlk526151978"/>
                            <w:r w:rsidR="00934E10">
                              <w:t xml:space="preserve"> It also makes minor technical amendments to address </w:t>
                            </w:r>
                            <w:bookmarkEnd w:id="25"/>
                            <w:r w:rsidR="00934E10">
                              <w:t>u</w:t>
                            </w:r>
                            <w:r w:rsidR="00235588" w:rsidRPr="00235588">
                              <w:t xml:space="preserve">nintended consequences </w:t>
                            </w:r>
                            <w:r w:rsidR="00934E10">
                              <w:t xml:space="preserve">to ensure </w:t>
                            </w:r>
                            <w:r w:rsidR="00235588">
                              <w:t xml:space="preserve">that </w:t>
                            </w:r>
                            <w:r w:rsidR="00235588" w:rsidRPr="00235588">
                              <w:t>the new education and tr</w:t>
                            </w:r>
                            <w:r w:rsidR="006470A0">
                              <w:t>aining standards in the</w:t>
                            </w:r>
                            <w:r w:rsidR="00235588" w:rsidRPr="00235588">
                              <w:t xml:space="preserve"> Act apply in a consistent way to </w:t>
                            </w:r>
                            <w:r w:rsidR="00934E10">
                              <w:t xml:space="preserve">individuals </w:t>
                            </w:r>
                            <w:r w:rsidR="00235588" w:rsidRPr="00235588">
                              <w:t>when they were intended to.</w:t>
                            </w:r>
                            <w:bookmarkEnd w:id="26"/>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6466E1" w:rsidRDefault="00C14030" w:rsidP="00C14030">
                            <w:pPr>
                              <w:spacing w:before="120" w:after="120"/>
                            </w:pPr>
                            <w:r>
                              <w:t xml:space="preserve">The Regulatory Impact Statement and Human Rights Statement to the </w:t>
                            </w:r>
                            <w:r w:rsidR="006E223E" w:rsidRPr="006E223E">
                              <w:rPr>
                                <w:i/>
                              </w:rPr>
                              <w:t>Corporations Amendment (Professional Standards of Financial Advisers) Act 2017</w:t>
                            </w:r>
                            <w:r w:rsidR="006E223E">
                              <w:rPr>
                                <w:sz w:val="24"/>
                                <w:szCs w:val="24"/>
                              </w:rPr>
                              <w:t xml:space="preserve"> </w:t>
                            </w:r>
                            <w:r w:rsidR="00C24446">
                              <w:t>assessed</w:t>
                            </w:r>
                            <w:r>
                              <w:t xml:space="preserve"> the impacts</w:t>
                            </w:r>
                            <w:r w:rsidRPr="00C14030">
                              <w:t xml:space="preserve"> </w:t>
                            </w:r>
                            <w:r>
                              <w:t xml:space="preserve">of the measures </w:t>
                            </w:r>
                            <w:r w:rsidRPr="00C14030">
                              <w:t>on an individual</w:t>
                            </w:r>
                            <w:r>
                              <w:t>’</w:t>
                            </w:r>
                            <w:r w:rsidRPr="00C14030">
                              <w:t>s right to freely choose and accept work</w:t>
                            </w:r>
                            <w:r w:rsidR="006466E1">
                              <w:t xml:space="preserve"> under Article 6(1) of the International Convention on Economic, Social and Cultural Rights</w:t>
                            </w:r>
                            <w:r>
                              <w:t xml:space="preserve">. </w:t>
                            </w:r>
                          </w:p>
                          <w:p w:rsidR="000076D6" w:rsidRDefault="00C14030" w:rsidP="00C14030">
                            <w:pPr>
                              <w:spacing w:before="120" w:after="120"/>
                            </w:pPr>
                            <w:r>
                              <w:t>Th</w:t>
                            </w:r>
                            <w:r w:rsidR="006466E1">
                              <w:t xml:space="preserve">e restrictions </w:t>
                            </w:r>
                            <w:r w:rsidR="00C24446">
                              <w:t xml:space="preserve">for an individual to work as a financial adviser unless they meet the new standards </w:t>
                            </w:r>
                            <w:r w:rsidR="0068092A">
                              <w:t>are</w:t>
                            </w:r>
                            <w:r w:rsidR="006466E1">
                              <w:t xml:space="preserve"> justified as </w:t>
                            </w:r>
                            <w:r>
                              <w:t>the reforms creat</w:t>
                            </w:r>
                            <w:r w:rsidR="006466E1">
                              <w:t>e</w:t>
                            </w:r>
                            <w:r>
                              <w:t xml:space="preserve"> a minimum standard for financial advice </w:t>
                            </w:r>
                            <w:r w:rsidR="006466E1">
                              <w:t xml:space="preserve">which will give </w:t>
                            </w:r>
                            <w:r>
                              <w:t>consumers a better service standard and instil confidence in the industry.</w:t>
                            </w:r>
                            <w:r w:rsidR="006466E1">
                              <w:t xml:space="preserve"> Further, the </w:t>
                            </w:r>
                            <w:r>
                              <w:t xml:space="preserve">transitional </w:t>
                            </w:r>
                            <w:r w:rsidR="006466E1">
                              <w:t xml:space="preserve">arrangements provide </w:t>
                            </w:r>
                            <w:r>
                              <w:t>existing providers</w:t>
                            </w:r>
                            <w:r w:rsidR="006466E1">
                              <w:t xml:space="preserve"> with additional time to meet the requirements to minimise the impact while also ensuring that consumers benefit from a standar</w:t>
                            </w:r>
                            <w:r w:rsidR="0068092A">
                              <w:t>d</w:t>
                            </w:r>
                            <w:r w:rsidR="006466E1">
                              <w:t xml:space="preserve"> minimum level of service from the industry.</w:t>
                            </w:r>
                          </w:p>
                          <w:p w:rsidR="006466E1" w:rsidRPr="00247F54" w:rsidRDefault="006466E1" w:rsidP="00C14030">
                            <w:pPr>
                              <w:spacing w:before="120" w:after="120"/>
                            </w:pPr>
                            <w:r>
                              <w:t xml:space="preserve">As such, the requirements for financial advisers are consistent with the International Convention on Economic, Social and Cultural Rights. </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96281E" w:rsidP="000076D6">
                            <w:pPr>
                              <w:spacing w:before="120" w:after="120"/>
                            </w:pPr>
                            <w:r>
                              <w:t xml:space="preserve">Consistent </w:t>
                            </w:r>
                            <w:r w:rsidR="00303129">
                              <w:t xml:space="preserve">with </w:t>
                            </w:r>
                            <w:r w:rsidR="006466E1">
                              <w:t>the Act, t</w:t>
                            </w:r>
                            <w:r w:rsidR="000076D6" w:rsidRPr="00247F54">
                              <w:t xml:space="preserve">his </w:t>
                            </w:r>
                            <w:r w:rsidR="00C90F43">
                              <w:t>L</w:t>
                            </w:r>
                            <w:r w:rsidR="000076D6" w:rsidRPr="00247F54">
                              <w:t xml:space="preserve">egislative </w:t>
                            </w:r>
                            <w:r w:rsidR="00C90F43">
                              <w:t>I</w:t>
                            </w:r>
                            <w:r w:rsidR="000076D6" w:rsidRPr="00247F54">
                              <w:t xml:space="preserve">nstrument </w:t>
                            </w:r>
                            <w:r w:rsidR="006466E1" w:rsidRPr="006466E1">
                              <w:t xml:space="preserve">is compatible with human rights as the requirements to work as a financial planner ensure that consumers </w:t>
                            </w:r>
                            <w:r w:rsidR="009F366D">
                              <w:t>receive</w:t>
                            </w:r>
                            <w:r w:rsidR="006466E1" w:rsidRPr="006466E1">
                              <w:t xml:space="preserve"> better service standards and instil confidence in the industry. The transitional arrangements ensure that the impact on existing financial advisers is minimised without compromising the new industry standard.</w:t>
                            </w:r>
                          </w:p>
                          <w:p w:rsidR="000076D6" w:rsidRPr="00E4135E" w:rsidRDefault="000076D6" w:rsidP="000076D6">
                            <w:pPr>
                              <w:spacing w:before="120" w:after="120"/>
                              <w:jc w:val="center"/>
                            </w:pPr>
                          </w:p>
                          <w:p w:rsidR="000076D6" w:rsidRPr="00E4135E" w:rsidRDefault="00A835FB" w:rsidP="000076D6">
                            <w:pPr>
                              <w:spacing w:before="120" w:after="120"/>
                              <w:jc w:val="center"/>
                            </w:pPr>
                            <w:r>
                              <w:rPr>
                                <w:b/>
                              </w:rPr>
                              <w:t>Australian Securities and Investment</w:t>
                            </w:r>
                            <w:r w:rsidR="00E26578">
                              <w:rPr>
                                <w:b/>
                              </w:rPr>
                              <w:t>s</w:t>
                            </w:r>
                            <w:r>
                              <w:rPr>
                                <w:b/>
                              </w:rPr>
                              <w:t xml:space="preserve">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6675A" id="Rectangle 2" o:spid="_x0000_s1026" style="position:absolute;margin-left:1.3pt;margin-top:.05pt;width:418.2pt;height:69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751709" w:rsidP="000076D6">
                      <w:pPr>
                        <w:spacing w:before="120" w:after="120"/>
                        <w:jc w:val="center"/>
                        <w:rPr>
                          <w:b/>
                        </w:rPr>
                      </w:pPr>
                      <w:r w:rsidRPr="00751709">
                        <w:rPr>
                          <w:b/>
                        </w:rPr>
                        <w:t>ASIC Corpor</w:t>
                      </w:r>
                      <w:r w:rsidR="00CA06AF">
                        <w:rPr>
                          <w:b/>
                        </w:rPr>
                        <w:t>ations (Professional Standards</w:t>
                      </w:r>
                      <w:r w:rsidR="00CA06AF" w:rsidRPr="00CA06AF">
                        <w:rPr>
                          <w:b/>
                        </w:rPr>
                        <w:t>—</w:t>
                      </w:r>
                      <w:r w:rsidRPr="00751709">
                        <w:rPr>
                          <w:b/>
                        </w:rPr>
                        <w:t>Transitional) Instrument 2018/</w:t>
                      </w:r>
                      <w:r w:rsidR="001C5E35">
                        <w:rPr>
                          <w:b/>
                        </w:rPr>
                        <w:t>894</w:t>
                      </w:r>
                      <w:r w:rsidR="000076D6" w:rsidRPr="00247F54">
                        <w:rPr>
                          <w:b/>
                        </w:rPr>
                        <w:t xml:space="preserve"> </w:t>
                      </w:r>
                    </w:p>
                    <w:p w:rsidR="000076D6" w:rsidRPr="00247F54" w:rsidRDefault="000076D6" w:rsidP="000076D6">
                      <w:pPr>
                        <w:spacing w:before="120" w:after="120"/>
                        <w:jc w:val="center"/>
                      </w:pPr>
                    </w:p>
                    <w:p w:rsidR="000076D6" w:rsidRPr="00247F54" w:rsidRDefault="00751709" w:rsidP="000076D6">
                      <w:pPr>
                        <w:spacing w:before="120" w:after="120"/>
                        <w:jc w:val="center"/>
                      </w:pPr>
                      <w:r w:rsidRPr="00754E88">
                        <w:rPr>
                          <w:i/>
                        </w:rPr>
                        <w:t>ASIC Corpor</w:t>
                      </w:r>
                      <w:r w:rsidR="00754E88" w:rsidRPr="00754E88">
                        <w:rPr>
                          <w:i/>
                        </w:rPr>
                        <w:t>ations (Professional Standards—</w:t>
                      </w:r>
                      <w:r w:rsidRPr="00754E88">
                        <w:rPr>
                          <w:i/>
                        </w:rPr>
                        <w:t>Transitional) Instrument 2018/</w:t>
                      </w:r>
                      <w:r w:rsidR="001C5E35" w:rsidRPr="00754E88">
                        <w:rPr>
                          <w:i/>
                        </w:rPr>
                        <w:t>894</w:t>
                      </w:r>
                      <w:r w:rsidRPr="00751709">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235588" w:rsidRPr="00751709" w:rsidRDefault="00751709" w:rsidP="00751709">
                      <w:pPr>
                        <w:spacing w:before="120" w:after="120"/>
                      </w:pPr>
                      <w:r>
                        <w:t xml:space="preserve">The </w:t>
                      </w:r>
                      <w:r w:rsidRPr="00754E88">
                        <w:rPr>
                          <w:i/>
                        </w:rPr>
                        <w:t>ASIC Corpora</w:t>
                      </w:r>
                      <w:r w:rsidR="00754E88" w:rsidRPr="00754E88">
                        <w:rPr>
                          <w:i/>
                        </w:rPr>
                        <w:t>tions (Professional Standards—</w:t>
                      </w:r>
                      <w:r w:rsidRPr="00754E88">
                        <w:rPr>
                          <w:i/>
                        </w:rPr>
                        <w:t>Transitional) Instrument 2018/</w:t>
                      </w:r>
                      <w:r w:rsidR="001C5E35" w:rsidRPr="00754E88">
                        <w:rPr>
                          <w:i/>
                        </w:rPr>
                        <w:t>894</w:t>
                      </w:r>
                      <w:r>
                        <w:t xml:space="preserve"> </w:t>
                      </w:r>
                      <w:bookmarkStart w:id="27" w:name="_Hlk524954927"/>
                      <w:r w:rsidR="002768F3" w:rsidRPr="002768F3">
                        <w:t>make</w:t>
                      </w:r>
                      <w:r w:rsidR="00A16F0B">
                        <w:t>s</w:t>
                      </w:r>
                      <w:r w:rsidR="002768F3" w:rsidRPr="002768F3">
                        <w:t xml:space="preserve"> changes to the reporting dates </w:t>
                      </w:r>
                      <w:r w:rsidR="003B0B89">
                        <w:t xml:space="preserve">in the </w:t>
                      </w:r>
                      <w:r w:rsidR="003B0B89" w:rsidRPr="003B0B89">
                        <w:rPr>
                          <w:i/>
                        </w:rPr>
                        <w:t>Corporations Act 2001</w:t>
                      </w:r>
                      <w:r w:rsidR="003B0B89">
                        <w:t xml:space="preserve"> (Act) </w:t>
                      </w:r>
                      <w:r w:rsidR="00395E76">
                        <w:t>to simplify</w:t>
                      </w:r>
                      <w:r w:rsidR="00561FE6">
                        <w:t xml:space="preserve"> Australian financial services</w:t>
                      </w:r>
                      <w:r w:rsidR="00395E76">
                        <w:t xml:space="preserve"> licensees’</w:t>
                      </w:r>
                      <w:r w:rsidR="00395E76" w:rsidRPr="002768F3">
                        <w:t xml:space="preserve"> disclosure obligations </w:t>
                      </w:r>
                      <w:r w:rsidR="002768F3" w:rsidRPr="002768F3">
                        <w:t>in the transition to the new financial adviser professional standards reforms</w:t>
                      </w:r>
                      <w:r w:rsidR="001F089F" w:rsidRPr="002768F3">
                        <w:t>.</w:t>
                      </w:r>
                      <w:bookmarkStart w:id="28" w:name="_Hlk526151978"/>
                      <w:r w:rsidR="00934E10">
                        <w:t xml:space="preserve"> It also makes minor technical amendments to address </w:t>
                      </w:r>
                      <w:bookmarkEnd w:id="27"/>
                      <w:r w:rsidR="00934E10">
                        <w:t>u</w:t>
                      </w:r>
                      <w:r w:rsidR="00235588" w:rsidRPr="00235588">
                        <w:t xml:space="preserve">nintended consequences </w:t>
                      </w:r>
                      <w:r w:rsidR="00934E10">
                        <w:t xml:space="preserve">to ensure </w:t>
                      </w:r>
                      <w:r w:rsidR="00235588">
                        <w:t xml:space="preserve">that </w:t>
                      </w:r>
                      <w:r w:rsidR="00235588" w:rsidRPr="00235588">
                        <w:t>the new education and tr</w:t>
                      </w:r>
                      <w:r w:rsidR="006470A0">
                        <w:t>aining standards in the</w:t>
                      </w:r>
                      <w:r w:rsidR="00235588" w:rsidRPr="00235588">
                        <w:t xml:space="preserve"> Act apply in a consistent way to </w:t>
                      </w:r>
                      <w:r w:rsidR="00934E10">
                        <w:t xml:space="preserve">individuals </w:t>
                      </w:r>
                      <w:r w:rsidR="00235588" w:rsidRPr="00235588">
                        <w:t>when they were intended to.</w:t>
                      </w:r>
                      <w:bookmarkEnd w:id="28"/>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6466E1" w:rsidRDefault="00C14030" w:rsidP="00C14030">
                      <w:pPr>
                        <w:spacing w:before="120" w:after="120"/>
                      </w:pPr>
                      <w:r>
                        <w:t xml:space="preserve">The Regulatory Impact Statement and Human Rights Statement to the </w:t>
                      </w:r>
                      <w:r w:rsidR="006E223E" w:rsidRPr="006E223E">
                        <w:rPr>
                          <w:i/>
                        </w:rPr>
                        <w:t>Corporations Amendment (Professional Standards of Financial Advisers) Act 2017</w:t>
                      </w:r>
                      <w:r w:rsidR="006E223E">
                        <w:rPr>
                          <w:sz w:val="24"/>
                          <w:szCs w:val="24"/>
                        </w:rPr>
                        <w:t xml:space="preserve"> </w:t>
                      </w:r>
                      <w:r w:rsidR="00C24446">
                        <w:t>assessed</w:t>
                      </w:r>
                      <w:r>
                        <w:t xml:space="preserve"> the impacts</w:t>
                      </w:r>
                      <w:r w:rsidRPr="00C14030">
                        <w:t xml:space="preserve"> </w:t>
                      </w:r>
                      <w:r>
                        <w:t xml:space="preserve">of the measures </w:t>
                      </w:r>
                      <w:r w:rsidRPr="00C14030">
                        <w:t>on an individual</w:t>
                      </w:r>
                      <w:r>
                        <w:t>’</w:t>
                      </w:r>
                      <w:r w:rsidRPr="00C14030">
                        <w:t>s right to freely choose and accept work</w:t>
                      </w:r>
                      <w:r w:rsidR="006466E1">
                        <w:t xml:space="preserve"> under Article 6(1) of the International Convention on Economic, Social and Cultural Rights</w:t>
                      </w:r>
                      <w:r>
                        <w:t xml:space="preserve">. </w:t>
                      </w:r>
                    </w:p>
                    <w:p w:rsidR="000076D6" w:rsidRDefault="00C14030" w:rsidP="00C14030">
                      <w:pPr>
                        <w:spacing w:before="120" w:after="120"/>
                      </w:pPr>
                      <w:r>
                        <w:t>Th</w:t>
                      </w:r>
                      <w:r w:rsidR="006466E1">
                        <w:t xml:space="preserve">e restrictions </w:t>
                      </w:r>
                      <w:r w:rsidR="00C24446">
                        <w:t xml:space="preserve">for an individual to work as a financial adviser unless they meet the new standards </w:t>
                      </w:r>
                      <w:r w:rsidR="0068092A">
                        <w:t>are</w:t>
                      </w:r>
                      <w:r w:rsidR="006466E1">
                        <w:t xml:space="preserve"> justified as </w:t>
                      </w:r>
                      <w:r>
                        <w:t>the reforms creat</w:t>
                      </w:r>
                      <w:r w:rsidR="006466E1">
                        <w:t>e</w:t>
                      </w:r>
                      <w:r>
                        <w:t xml:space="preserve"> a minimum standard for financial advice </w:t>
                      </w:r>
                      <w:r w:rsidR="006466E1">
                        <w:t xml:space="preserve">which will give </w:t>
                      </w:r>
                      <w:r>
                        <w:t>consumers a better service standard and instil confidence in the industry.</w:t>
                      </w:r>
                      <w:r w:rsidR="006466E1">
                        <w:t xml:space="preserve"> Further, the </w:t>
                      </w:r>
                      <w:r>
                        <w:t xml:space="preserve">transitional </w:t>
                      </w:r>
                      <w:r w:rsidR="006466E1">
                        <w:t xml:space="preserve">arrangements provide </w:t>
                      </w:r>
                      <w:r>
                        <w:t>existing providers</w:t>
                      </w:r>
                      <w:r w:rsidR="006466E1">
                        <w:t xml:space="preserve"> with additional time to meet the requirements to minimise the impact while also ensuring that consumers benefit from a standar</w:t>
                      </w:r>
                      <w:r w:rsidR="0068092A">
                        <w:t>d</w:t>
                      </w:r>
                      <w:r w:rsidR="006466E1">
                        <w:t xml:space="preserve"> minimum level of service from the industry.</w:t>
                      </w:r>
                    </w:p>
                    <w:p w:rsidR="006466E1" w:rsidRPr="00247F54" w:rsidRDefault="006466E1" w:rsidP="00C14030">
                      <w:pPr>
                        <w:spacing w:before="120" w:after="120"/>
                      </w:pPr>
                      <w:r>
                        <w:t xml:space="preserve">As such, the requirements for financial advisers are consistent with the International Convention on Economic, Social and Cultural Rights. </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96281E" w:rsidP="000076D6">
                      <w:pPr>
                        <w:spacing w:before="120" w:after="120"/>
                      </w:pPr>
                      <w:r>
                        <w:t xml:space="preserve">Consistent </w:t>
                      </w:r>
                      <w:r w:rsidR="00303129">
                        <w:t xml:space="preserve">with </w:t>
                      </w:r>
                      <w:r w:rsidR="006466E1">
                        <w:t>the Act, t</w:t>
                      </w:r>
                      <w:r w:rsidR="000076D6" w:rsidRPr="00247F54">
                        <w:t xml:space="preserve">his </w:t>
                      </w:r>
                      <w:r w:rsidR="00C90F43">
                        <w:t>L</w:t>
                      </w:r>
                      <w:r w:rsidR="000076D6" w:rsidRPr="00247F54">
                        <w:t xml:space="preserve">egislative </w:t>
                      </w:r>
                      <w:r w:rsidR="00C90F43">
                        <w:t>I</w:t>
                      </w:r>
                      <w:r w:rsidR="000076D6" w:rsidRPr="00247F54">
                        <w:t xml:space="preserve">nstrument </w:t>
                      </w:r>
                      <w:r w:rsidR="006466E1" w:rsidRPr="006466E1">
                        <w:t xml:space="preserve">is compatible with human rights as the requirements to work as a financial planner ensure that consumers </w:t>
                      </w:r>
                      <w:r w:rsidR="009F366D">
                        <w:t>receive</w:t>
                      </w:r>
                      <w:r w:rsidR="006466E1" w:rsidRPr="006466E1">
                        <w:t xml:space="preserve"> better service standards and instil confidence in the industry. The transitional arrangements ensure that the impact on existing financial advisers is minimised without compromising the new industry standard.</w:t>
                      </w:r>
                    </w:p>
                    <w:p w:rsidR="000076D6" w:rsidRPr="00E4135E" w:rsidRDefault="000076D6" w:rsidP="000076D6">
                      <w:pPr>
                        <w:spacing w:before="120" w:after="120"/>
                        <w:jc w:val="center"/>
                      </w:pPr>
                    </w:p>
                    <w:p w:rsidR="000076D6" w:rsidRPr="00E4135E" w:rsidRDefault="00A835FB" w:rsidP="000076D6">
                      <w:pPr>
                        <w:spacing w:before="120" w:after="120"/>
                        <w:jc w:val="center"/>
                      </w:pPr>
                      <w:r>
                        <w:rPr>
                          <w:b/>
                        </w:rPr>
                        <w:t>Australian Securities and Investment</w:t>
                      </w:r>
                      <w:r w:rsidR="00E26578">
                        <w:rPr>
                          <w:b/>
                        </w:rPr>
                        <w:t>s</w:t>
                      </w:r>
                      <w:r>
                        <w:rPr>
                          <w:b/>
                        </w:rPr>
                        <w:t xml:space="preserve"> Commission</w:t>
                      </w:r>
                    </w:p>
                  </w:txbxContent>
                </v:textbox>
              </v:rect>
            </w:pict>
          </mc:Fallback>
        </mc:AlternateContent>
      </w:r>
      <w:bookmarkEnd w:id="24"/>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439" w:rsidRDefault="00EA5439">
      <w:pPr>
        <w:spacing w:after="0"/>
      </w:pPr>
      <w:r>
        <w:separator/>
      </w:r>
    </w:p>
  </w:endnote>
  <w:endnote w:type="continuationSeparator" w:id="0">
    <w:p w:rsidR="00EA5439" w:rsidRDefault="00EA54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EA5439">
    <w:pPr>
      <w:pStyle w:val="Footer"/>
      <w:ind w:right="360"/>
    </w:pPr>
  </w:p>
  <w:p w:rsidR="00C27A4B" w:rsidRDefault="00EA5439"/>
  <w:p w:rsidR="00C27A4B" w:rsidRDefault="00EA5439"/>
  <w:p w:rsidR="00C27A4B" w:rsidRDefault="00EA5439"/>
  <w:p w:rsidR="00C27A4B" w:rsidRDefault="00EA5439"/>
  <w:p w:rsidR="00C27A4B" w:rsidRDefault="00EA54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2F5EC68A" wp14:editId="05FFA604">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240B8">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5EC68A"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240B8">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439" w:rsidRDefault="00EA5439">
      <w:pPr>
        <w:spacing w:after="0"/>
      </w:pPr>
      <w:r>
        <w:separator/>
      </w:r>
    </w:p>
  </w:footnote>
  <w:footnote w:type="continuationSeparator" w:id="0">
    <w:p w:rsidR="00EA5439" w:rsidRDefault="00EA54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EA5439"/>
  <w:p w:rsidR="00C27A4B" w:rsidRDefault="00EA54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5B0E3A" w:rsidP="00346024">
    <w:pPr>
      <w:pStyle w:val="Footer"/>
      <w:jc w:val="right"/>
      <w:rPr>
        <w:color w:val="117DC7"/>
      </w:rPr>
    </w:pPr>
    <w:r>
      <w:tab/>
    </w:r>
  </w:p>
  <w:p w:rsidR="00C27A4B" w:rsidRDefault="00EA5439" w:rsidP="003460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A2B80"/>
    <w:multiLevelType w:val="hybridMultilevel"/>
    <w:tmpl w:val="12DAACF4"/>
    <w:lvl w:ilvl="0" w:tplc="7206ADC6">
      <w:start w:val="1"/>
      <w:numFmt w:val="bullet"/>
      <w:lvlText w:val=""/>
      <w:lvlJc w:val="left"/>
      <w:pPr>
        <w:ind w:left="851" w:hanging="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E5E59"/>
    <w:multiLevelType w:val="multilevel"/>
    <w:tmpl w:val="A2B2300A"/>
    <w:lvl w:ilvl="0">
      <w:start w:val="1"/>
      <w:numFmt w:val="decimal"/>
      <w:lvlText w:val="%1."/>
      <w:lvlJc w:val="left"/>
      <w:pPr>
        <w:ind w:left="360" w:hanging="360"/>
      </w:pPr>
      <w:rPr>
        <w:rFonts w:hint="default"/>
      </w:rPr>
    </w:lvl>
    <w:lvl w:ilvl="1">
      <w:start w:val="1"/>
      <w:numFmt w:val="decimal"/>
      <w:lvlText w:val="%1.%2."/>
      <w:lvlJc w:val="left"/>
      <w:pPr>
        <w:ind w:left="792" w:hanging="565"/>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D5868"/>
    <w:multiLevelType w:val="hybridMultilevel"/>
    <w:tmpl w:val="B8287A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702"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F81404"/>
    <w:multiLevelType w:val="hybridMultilevel"/>
    <w:tmpl w:val="FF668CC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1" w15:restartNumberingAfterBreak="0">
    <w:nsid w:val="3F950960"/>
    <w:multiLevelType w:val="multilevel"/>
    <w:tmpl w:val="AD1C7528"/>
    <w:name w:val="DotPointList"/>
    <w:lvl w:ilvl="0">
      <w:start w:val="1"/>
      <w:numFmt w:val="bullet"/>
      <w:pStyle w:val="dotpoint"/>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12" w15:restartNumberingAfterBreak="0">
    <w:nsid w:val="44C1585F"/>
    <w:multiLevelType w:val="hybridMultilevel"/>
    <w:tmpl w:val="F9F282E6"/>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3"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3D3501"/>
    <w:multiLevelType w:val="hybridMultilevel"/>
    <w:tmpl w:val="19C854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EB4719"/>
    <w:multiLevelType w:val="multilevel"/>
    <w:tmpl w:val="8FD691D4"/>
    <w:lvl w:ilvl="0">
      <w:start w:val="1"/>
      <w:numFmt w:val="decimal"/>
      <w:pStyle w:val="ListPar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15:restartNumberingAfterBreak="0">
    <w:nsid w:val="759537E2"/>
    <w:multiLevelType w:val="hybridMultilevel"/>
    <w:tmpl w:val="2F96EE7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572FA1"/>
    <w:multiLevelType w:val="hybridMultilevel"/>
    <w:tmpl w:val="E2C4116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9"/>
  </w:num>
  <w:num w:numId="2">
    <w:abstractNumId w:val="13"/>
  </w:num>
  <w:num w:numId="3">
    <w:abstractNumId w:val="4"/>
  </w:num>
  <w:num w:numId="4">
    <w:abstractNumId w:val="2"/>
  </w:num>
  <w:num w:numId="5">
    <w:abstractNumId w:val="0"/>
  </w:num>
  <w:num w:numId="6">
    <w:abstractNumId w:val="8"/>
  </w:num>
  <w:num w:numId="7">
    <w:abstractNumId w:val="14"/>
  </w:num>
  <w:num w:numId="8">
    <w:abstractNumId w:val="7"/>
  </w:num>
  <w:num w:numId="9">
    <w:abstractNumId w:val="16"/>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8"/>
  </w:num>
  <w:num w:numId="13">
    <w:abstractNumId w:val="3"/>
  </w:num>
  <w:num w:numId="14">
    <w:abstractNumId w:val="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
  </w:num>
  <w:num w:numId="22">
    <w:abstractNumId w:val="16"/>
  </w:num>
  <w:num w:numId="23">
    <w:abstractNumId w:val="16"/>
  </w:num>
  <w:num w:numId="24">
    <w:abstractNumId w:val="16"/>
  </w:num>
  <w:num w:numId="25">
    <w:abstractNumId w:val="20"/>
  </w:num>
  <w:num w:numId="26">
    <w:abstractNumId w:val="5"/>
  </w:num>
  <w:num w:numId="27">
    <w:abstractNumId w:val="10"/>
  </w:num>
  <w:num w:numId="28">
    <w:abstractNumId w:val="12"/>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5"/>
  </w:num>
  <w:num w:numId="36">
    <w:abstractNumId w:val="16"/>
  </w:num>
  <w:num w:numId="3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39"/>
    <w:rsid w:val="000076D6"/>
    <w:rsid w:val="00026D98"/>
    <w:rsid w:val="00033988"/>
    <w:rsid w:val="00034D6A"/>
    <w:rsid w:val="0004185E"/>
    <w:rsid w:val="00043407"/>
    <w:rsid w:val="00053DC5"/>
    <w:rsid w:val="00054B41"/>
    <w:rsid w:val="00055F31"/>
    <w:rsid w:val="000577E1"/>
    <w:rsid w:val="000709F9"/>
    <w:rsid w:val="000713C9"/>
    <w:rsid w:val="00071A7D"/>
    <w:rsid w:val="00072AA1"/>
    <w:rsid w:val="00082718"/>
    <w:rsid w:val="00083011"/>
    <w:rsid w:val="00091BF8"/>
    <w:rsid w:val="00093334"/>
    <w:rsid w:val="00094D9B"/>
    <w:rsid w:val="00095548"/>
    <w:rsid w:val="000964FA"/>
    <w:rsid w:val="00097ABC"/>
    <w:rsid w:val="000A7723"/>
    <w:rsid w:val="000B162C"/>
    <w:rsid w:val="000B1EEC"/>
    <w:rsid w:val="000B5C4D"/>
    <w:rsid w:val="000C11A0"/>
    <w:rsid w:val="000C6C5A"/>
    <w:rsid w:val="000D2240"/>
    <w:rsid w:val="000E0A76"/>
    <w:rsid w:val="000E6028"/>
    <w:rsid w:val="000E7932"/>
    <w:rsid w:val="001015A6"/>
    <w:rsid w:val="00106808"/>
    <w:rsid w:val="00112139"/>
    <w:rsid w:val="00114220"/>
    <w:rsid w:val="00135FDA"/>
    <w:rsid w:val="0014252A"/>
    <w:rsid w:val="00146EBF"/>
    <w:rsid w:val="00147289"/>
    <w:rsid w:val="00160A35"/>
    <w:rsid w:val="00172FFC"/>
    <w:rsid w:val="0017519D"/>
    <w:rsid w:val="00176F47"/>
    <w:rsid w:val="00180844"/>
    <w:rsid w:val="0019089E"/>
    <w:rsid w:val="0019137C"/>
    <w:rsid w:val="001931B8"/>
    <w:rsid w:val="00194A16"/>
    <w:rsid w:val="001A3F6A"/>
    <w:rsid w:val="001B3308"/>
    <w:rsid w:val="001B3AF7"/>
    <w:rsid w:val="001B4F89"/>
    <w:rsid w:val="001B7147"/>
    <w:rsid w:val="001C54B0"/>
    <w:rsid w:val="001C5E35"/>
    <w:rsid w:val="001D69FD"/>
    <w:rsid w:val="001E0414"/>
    <w:rsid w:val="001F00BB"/>
    <w:rsid w:val="001F089F"/>
    <w:rsid w:val="001F62A7"/>
    <w:rsid w:val="001F7908"/>
    <w:rsid w:val="0020317C"/>
    <w:rsid w:val="0020476F"/>
    <w:rsid w:val="002107C6"/>
    <w:rsid w:val="00225613"/>
    <w:rsid w:val="00230553"/>
    <w:rsid w:val="00234A25"/>
    <w:rsid w:val="00235588"/>
    <w:rsid w:val="002509E7"/>
    <w:rsid w:val="00250B00"/>
    <w:rsid w:val="00266054"/>
    <w:rsid w:val="002768F3"/>
    <w:rsid w:val="002812E2"/>
    <w:rsid w:val="00282742"/>
    <w:rsid w:val="00292A29"/>
    <w:rsid w:val="00297011"/>
    <w:rsid w:val="002B0D6B"/>
    <w:rsid w:val="002B1A48"/>
    <w:rsid w:val="002D3E28"/>
    <w:rsid w:val="002D6030"/>
    <w:rsid w:val="002E31EE"/>
    <w:rsid w:val="002E7C7D"/>
    <w:rsid w:val="002F366A"/>
    <w:rsid w:val="00303129"/>
    <w:rsid w:val="003035FE"/>
    <w:rsid w:val="0030793F"/>
    <w:rsid w:val="00317543"/>
    <w:rsid w:val="003214A7"/>
    <w:rsid w:val="0032313D"/>
    <w:rsid w:val="0033127F"/>
    <w:rsid w:val="00333659"/>
    <w:rsid w:val="0034215F"/>
    <w:rsid w:val="00346024"/>
    <w:rsid w:val="003562B1"/>
    <w:rsid w:val="00376479"/>
    <w:rsid w:val="00380D7D"/>
    <w:rsid w:val="00383811"/>
    <w:rsid w:val="00395125"/>
    <w:rsid w:val="00395E76"/>
    <w:rsid w:val="003A1034"/>
    <w:rsid w:val="003A17D6"/>
    <w:rsid w:val="003A19D9"/>
    <w:rsid w:val="003A63D3"/>
    <w:rsid w:val="003A6D2E"/>
    <w:rsid w:val="003B0B89"/>
    <w:rsid w:val="003B308C"/>
    <w:rsid w:val="003B5068"/>
    <w:rsid w:val="003B67B4"/>
    <w:rsid w:val="003C438C"/>
    <w:rsid w:val="003C5C08"/>
    <w:rsid w:val="003D0A3D"/>
    <w:rsid w:val="003D16A7"/>
    <w:rsid w:val="003D3777"/>
    <w:rsid w:val="003D7442"/>
    <w:rsid w:val="003E3A5D"/>
    <w:rsid w:val="00402EA1"/>
    <w:rsid w:val="00405A50"/>
    <w:rsid w:val="00412D86"/>
    <w:rsid w:val="00422CEC"/>
    <w:rsid w:val="00425D39"/>
    <w:rsid w:val="00433383"/>
    <w:rsid w:val="00436DDA"/>
    <w:rsid w:val="00437D61"/>
    <w:rsid w:val="00441338"/>
    <w:rsid w:val="00441ADD"/>
    <w:rsid w:val="00441D4B"/>
    <w:rsid w:val="00444D39"/>
    <w:rsid w:val="004502AA"/>
    <w:rsid w:val="004528EB"/>
    <w:rsid w:val="00462E18"/>
    <w:rsid w:val="00463190"/>
    <w:rsid w:val="00465B3F"/>
    <w:rsid w:val="004731B5"/>
    <w:rsid w:val="00482E40"/>
    <w:rsid w:val="00496713"/>
    <w:rsid w:val="004D2CFF"/>
    <w:rsid w:val="004D6553"/>
    <w:rsid w:val="004E15CF"/>
    <w:rsid w:val="004E2C40"/>
    <w:rsid w:val="004E3D61"/>
    <w:rsid w:val="004E5088"/>
    <w:rsid w:val="004F56D8"/>
    <w:rsid w:val="00513D23"/>
    <w:rsid w:val="00515E8C"/>
    <w:rsid w:val="00516A47"/>
    <w:rsid w:val="00517333"/>
    <w:rsid w:val="005304E4"/>
    <w:rsid w:val="00533637"/>
    <w:rsid w:val="00536AC5"/>
    <w:rsid w:val="00545E5D"/>
    <w:rsid w:val="0054757A"/>
    <w:rsid w:val="00547DC8"/>
    <w:rsid w:val="00551D5F"/>
    <w:rsid w:val="0055708B"/>
    <w:rsid w:val="00561FE6"/>
    <w:rsid w:val="005669D3"/>
    <w:rsid w:val="00570CDE"/>
    <w:rsid w:val="00592F77"/>
    <w:rsid w:val="005B0E3A"/>
    <w:rsid w:val="005B2DA3"/>
    <w:rsid w:val="005C4960"/>
    <w:rsid w:val="005C52F4"/>
    <w:rsid w:val="005D28FF"/>
    <w:rsid w:val="005D3814"/>
    <w:rsid w:val="005D65FC"/>
    <w:rsid w:val="005E13E1"/>
    <w:rsid w:val="005E1FB9"/>
    <w:rsid w:val="005E46C3"/>
    <w:rsid w:val="005F5C85"/>
    <w:rsid w:val="006107BF"/>
    <w:rsid w:val="006137CB"/>
    <w:rsid w:val="0061634D"/>
    <w:rsid w:val="00624F32"/>
    <w:rsid w:val="006272A6"/>
    <w:rsid w:val="00640124"/>
    <w:rsid w:val="006466E1"/>
    <w:rsid w:val="006470A0"/>
    <w:rsid w:val="006512B0"/>
    <w:rsid w:val="00657DED"/>
    <w:rsid w:val="00660396"/>
    <w:rsid w:val="006619C3"/>
    <w:rsid w:val="00663A5D"/>
    <w:rsid w:val="00670475"/>
    <w:rsid w:val="006707FB"/>
    <w:rsid w:val="00671F99"/>
    <w:rsid w:val="00672C4C"/>
    <w:rsid w:val="00674DA7"/>
    <w:rsid w:val="00676E9F"/>
    <w:rsid w:val="0068092A"/>
    <w:rsid w:val="00687DFF"/>
    <w:rsid w:val="006903A4"/>
    <w:rsid w:val="00696FD1"/>
    <w:rsid w:val="006A0029"/>
    <w:rsid w:val="006B32C7"/>
    <w:rsid w:val="006B506A"/>
    <w:rsid w:val="006C1EFD"/>
    <w:rsid w:val="006D08A8"/>
    <w:rsid w:val="006D215B"/>
    <w:rsid w:val="006D7714"/>
    <w:rsid w:val="006E223E"/>
    <w:rsid w:val="006E2499"/>
    <w:rsid w:val="006E3DD4"/>
    <w:rsid w:val="006F3E05"/>
    <w:rsid w:val="006F42D9"/>
    <w:rsid w:val="006F484D"/>
    <w:rsid w:val="0070490E"/>
    <w:rsid w:val="00706B2C"/>
    <w:rsid w:val="00713AA0"/>
    <w:rsid w:val="0071671D"/>
    <w:rsid w:val="00721F48"/>
    <w:rsid w:val="00726DE8"/>
    <w:rsid w:val="00742064"/>
    <w:rsid w:val="00751709"/>
    <w:rsid w:val="00752744"/>
    <w:rsid w:val="00754755"/>
    <w:rsid w:val="00754E88"/>
    <w:rsid w:val="00762D95"/>
    <w:rsid w:val="00771F9E"/>
    <w:rsid w:val="0079632D"/>
    <w:rsid w:val="00797260"/>
    <w:rsid w:val="007A222D"/>
    <w:rsid w:val="007A3DC3"/>
    <w:rsid w:val="007B3776"/>
    <w:rsid w:val="007B3BA6"/>
    <w:rsid w:val="007B4D3E"/>
    <w:rsid w:val="007E0B7C"/>
    <w:rsid w:val="0080393C"/>
    <w:rsid w:val="008240B8"/>
    <w:rsid w:val="008556F4"/>
    <w:rsid w:val="00855D0D"/>
    <w:rsid w:val="00855DD5"/>
    <w:rsid w:val="0086530C"/>
    <w:rsid w:val="008675E0"/>
    <w:rsid w:val="008740B0"/>
    <w:rsid w:val="00876CCC"/>
    <w:rsid w:val="00890397"/>
    <w:rsid w:val="00894C71"/>
    <w:rsid w:val="008A64F5"/>
    <w:rsid w:val="008B71E9"/>
    <w:rsid w:val="008C20D8"/>
    <w:rsid w:val="008C22CA"/>
    <w:rsid w:val="008C6379"/>
    <w:rsid w:val="008D68B0"/>
    <w:rsid w:val="008F1186"/>
    <w:rsid w:val="00904CBB"/>
    <w:rsid w:val="0090655A"/>
    <w:rsid w:val="00906DCB"/>
    <w:rsid w:val="00916120"/>
    <w:rsid w:val="00916F6C"/>
    <w:rsid w:val="009215C3"/>
    <w:rsid w:val="00934E10"/>
    <w:rsid w:val="00936AE4"/>
    <w:rsid w:val="00940BF9"/>
    <w:rsid w:val="00943687"/>
    <w:rsid w:val="00946BFE"/>
    <w:rsid w:val="00952BC9"/>
    <w:rsid w:val="009566F4"/>
    <w:rsid w:val="00956F76"/>
    <w:rsid w:val="009621F3"/>
    <w:rsid w:val="0096281E"/>
    <w:rsid w:val="009670A4"/>
    <w:rsid w:val="0097184B"/>
    <w:rsid w:val="00972CFA"/>
    <w:rsid w:val="009806A1"/>
    <w:rsid w:val="00981BA4"/>
    <w:rsid w:val="00990933"/>
    <w:rsid w:val="009923A7"/>
    <w:rsid w:val="009C32DD"/>
    <w:rsid w:val="009C4C5F"/>
    <w:rsid w:val="009D1644"/>
    <w:rsid w:val="009D74D9"/>
    <w:rsid w:val="009E4D30"/>
    <w:rsid w:val="009F017D"/>
    <w:rsid w:val="009F20DE"/>
    <w:rsid w:val="009F2662"/>
    <w:rsid w:val="009F366D"/>
    <w:rsid w:val="00A020CA"/>
    <w:rsid w:val="00A16F0B"/>
    <w:rsid w:val="00A20CA8"/>
    <w:rsid w:val="00A22F51"/>
    <w:rsid w:val="00A269DA"/>
    <w:rsid w:val="00A324D1"/>
    <w:rsid w:val="00A51682"/>
    <w:rsid w:val="00A55975"/>
    <w:rsid w:val="00A620E1"/>
    <w:rsid w:val="00A62761"/>
    <w:rsid w:val="00A665FB"/>
    <w:rsid w:val="00A7012B"/>
    <w:rsid w:val="00A7268A"/>
    <w:rsid w:val="00A73C39"/>
    <w:rsid w:val="00A74D79"/>
    <w:rsid w:val="00A835FB"/>
    <w:rsid w:val="00A97786"/>
    <w:rsid w:val="00AA3851"/>
    <w:rsid w:val="00AB02EA"/>
    <w:rsid w:val="00AC02C2"/>
    <w:rsid w:val="00AC14AF"/>
    <w:rsid w:val="00AC39C6"/>
    <w:rsid w:val="00AC3DDC"/>
    <w:rsid w:val="00AC5ED4"/>
    <w:rsid w:val="00AC7352"/>
    <w:rsid w:val="00AD0C8F"/>
    <w:rsid w:val="00AF215B"/>
    <w:rsid w:val="00AF7C69"/>
    <w:rsid w:val="00B002C4"/>
    <w:rsid w:val="00B00E04"/>
    <w:rsid w:val="00B00F44"/>
    <w:rsid w:val="00B01296"/>
    <w:rsid w:val="00B02493"/>
    <w:rsid w:val="00B0487A"/>
    <w:rsid w:val="00B14744"/>
    <w:rsid w:val="00B17E7B"/>
    <w:rsid w:val="00B2277A"/>
    <w:rsid w:val="00B342E3"/>
    <w:rsid w:val="00B36FF0"/>
    <w:rsid w:val="00B41BA8"/>
    <w:rsid w:val="00B47670"/>
    <w:rsid w:val="00B608E2"/>
    <w:rsid w:val="00B70EEF"/>
    <w:rsid w:val="00B7389C"/>
    <w:rsid w:val="00B851EB"/>
    <w:rsid w:val="00B85969"/>
    <w:rsid w:val="00B91BC7"/>
    <w:rsid w:val="00B960A7"/>
    <w:rsid w:val="00B96AA7"/>
    <w:rsid w:val="00BA6B34"/>
    <w:rsid w:val="00BA7AA5"/>
    <w:rsid w:val="00BB16A0"/>
    <w:rsid w:val="00BB33C4"/>
    <w:rsid w:val="00BB52C6"/>
    <w:rsid w:val="00BC199A"/>
    <w:rsid w:val="00BC52C4"/>
    <w:rsid w:val="00BF74D1"/>
    <w:rsid w:val="00C1001C"/>
    <w:rsid w:val="00C126C8"/>
    <w:rsid w:val="00C14030"/>
    <w:rsid w:val="00C2122D"/>
    <w:rsid w:val="00C2261F"/>
    <w:rsid w:val="00C24446"/>
    <w:rsid w:val="00C335AB"/>
    <w:rsid w:val="00C3522F"/>
    <w:rsid w:val="00C35492"/>
    <w:rsid w:val="00C3757F"/>
    <w:rsid w:val="00C42112"/>
    <w:rsid w:val="00C45AE2"/>
    <w:rsid w:val="00C474E8"/>
    <w:rsid w:val="00C50DFE"/>
    <w:rsid w:val="00C647DD"/>
    <w:rsid w:val="00C70609"/>
    <w:rsid w:val="00C76B10"/>
    <w:rsid w:val="00C85979"/>
    <w:rsid w:val="00C90F43"/>
    <w:rsid w:val="00C932D6"/>
    <w:rsid w:val="00C93B6A"/>
    <w:rsid w:val="00CA06AF"/>
    <w:rsid w:val="00CA192E"/>
    <w:rsid w:val="00CA5AB3"/>
    <w:rsid w:val="00CA65C0"/>
    <w:rsid w:val="00CB2E20"/>
    <w:rsid w:val="00CB575A"/>
    <w:rsid w:val="00CC1C27"/>
    <w:rsid w:val="00CC5E09"/>
    <w:rsid w:val="00CC6FCB"/>
    <w:rsid w:val="00CD4086"/>
    <w:rsid w:val="00CE0A1B"/>
    <w:rsid w:val="00CE1EDD"/>
    <w:rsid w:val="00CE4DF2"/>
    <w:rsid w:val="00CF4A65"/>
    <w:rsid w:val="00D00955"/>
    <w:rsid w:val="00D1412F"/>
    <w:rsid w:val="00D25493"/>
    <w:rsid w:val="00D55E48"/>
    <w:rsid w:val="00D57504"/>
    <w:rsid w:val="00D65C5C"/>
    <w:rsid w:val="00D72957"/>
    <w:rsid w:val="00D73724"/>
    <w:rsid w:val="00D73F41"/>
    <w:rsid w:val="00D7411F"/>
    <w:rsid w:val="00D76DAE"/>
    <w:rsid w:val="00D81A81"/>
    <w:rsid w:val="00DB44B4"/>
    <w:rsid w:val="00DD4A2F"/>
    <w:rsid w:val="00DF31F9"/>
    <w:rsid w:val="00DF4E06"/>
    <w:rsid w:val="00E06AC2"/>
    <w:rsid w:val="00E160E9"/>
    <w:rsid w:val="00E16595"/>
    <w:rsid w:val="00E26578"/>
    <w:rsid w:val="00E2703E"/>
    <w:rsid w:val="00E31A63"/>
    <w:rsid w:val="00E40E70"/>
    <w:rsid w:val="00E43595"/>
    <w:rsid w:val="00E44C54"/>
    <w:rsid w:val="00E46605"/>
    <w:rsid w:val="00E55166"/>
    <w:rsid w:val="00E55EF4"/>
    <w:rsid w:val="00E6070E"/>
    <w:rsid w:val="00E74147"/>
    <w:rsid w:val="00E810AB"/>
    <w:rsid w:val="00E81426"/>
    <w:rsid w:val="00E81D86"/>
    <w:rsid w:val="00E81F95"/>
    <w:rsid w:val="00E82ADD"/>
    <w:rsid w:val="00E85E69"/>
    <w:rsid w:val="00E96CCA"/>
    <w:rsid w:val="00EA05AE"/>
    <w:rsid w:val="00EA4337"/>
    <w:rsid w:val="00EA5439"/>
    <w:rsid w:val="00EC4D95"/>
    <w:rsid w:val="00EC645C"/>
    <w:rsid w:val="00ED2A9D"/>
    <w:rsid w:val="00EE1103"/>
    <w:rsid w:val="00EE2841"/>
    <w:rsid w:val="00F039AE"/>
    <w:rsid w:val="00F22DEC"/>
    <w:rsid w:val="00F2701B"/>
    <w:rsid w:val="00F44D3C"/>
    <w:rsid w:val="00F500F1"/>
    <w:rsid w:val="00F53B9E"/>
    <w:rsid w:val="00F55757"/>
    <w:rsid w:val="00F55940"/>
    <w:rsid w:val="00F56FEF"/>
    <w:rsid w:val="00F61E33"/>
    <w:rsid w:val="00F64765"/>
    <w:rsid w:val="00F811CA"/>
    <w:rsid w:val="00F814A7"/>
    <w:rsid w:val="00F91917"/>
    <w:rsid w:val="00F95540"/>
    <w:rsid w:val="00F9686A"/>
    <w:rsid w:val="00F9722A"/>
    <w:rsid w:val="00FA7409"/>
    <w:rsid w:val="00FB0392"/>
    <w:rsid w:val="00FB6FEE"/>
    <w:rsid w:val="00FC4B85"/>
    <w:rsid w:val="00FE28D3"/>
    <w:rsid w:val="00FE7218"/>
    <w:rsid w:val="00FE76F5"/>
    <w:rsid w:val="00FF1E35"/>
    <w:rsid w:val="00FF3C7C"/>
    <w:rsid w:val="00FF52C8"/>
    <w:rsid w:val="00FF5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F5E1F"/>
  <w15:docId w15:val="{49B6114D-FEF7-45B2-BF3F-699F4C87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paragraph" w:styleId="Heading4">
    <w:name w:val="heading 4"/>
    <w:basedOn w:val="Normal"/>
    <w:next w:val="Normal"/>
    <w:link w:val="Heading4Char"/>
    <w:uiPriority w:val="9"/>
    <w:semiHidden/>
    <w:unhideWhenUsed/>
    <w:qFormat/>
    <w:rsid w:val="00F44D3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383811"/>
    <w:pPr>
      <w:autoSpaceDE w:val="0"/>
      <w:autoSpaceDN w:val="0"/>
      <w:adjustRightInd w:val="0"/>
    </w:pPr>
    <w:rPr>
      <w:color w:val="000000"/>
      <w:sz w:val="24"/>
      <w:szCs w:val="24"/>
    </w:rPr>
  </w:style>
  <w:style w:type="paragraph" w:customStyle="1" w:styleId="ListPara1">
    <w:name w:val="List Para 1"/>
    <w:link w:val="ListPara1Char"/>
    <w:uiPriority w:val="4"/>
    <w:qFormat/>
    <w:rsid w:val="00B608E2"/>
    <w:pPr>
      <w:numPr>
        <w:numId w:val="9"/>
      </w:numPr>
      <w:spacing w:after="200" w:line="276" w:lineRule="auto"/>
    </w:pPr>
    <w:rPr>
      <w:rFonts w:ascii="Calibri" w:hAnsi="Calibri" w:cs="Arial"/>
      <w:sz w:val="22"/>
      <w:szCs w:val="22"/>
      <w:lang w:val="en-US" w:eastAsia="en-US"/>
    </w:rPr>
  </w:style>
  <w:style w:type="character" w:customStyle="1" w:styleId="ListPara1Char">
    <w:name w:val="List Para 1 Char"/>
    <w:link w:val="ListPara1"/>
    <w:uiPriority w:val="4"/>
    <w:rsid w:val="00B608E2"/>
    <w:rPr>
      <w:rFonts w:ascii="Calibri" w:hAnsi="Calibri" w:cs="Arial"/>
      <w:sz w:val="22"/>
      <w:szCs w:val="22"/>
      <w:lang w:val="en-US" w:eastAsia="en-US"/>
    </w:rPr>
  </w:style>
  <w:style w:type="character" w:styleId="CommentReference">
    <w:name w:val="annotation reference"/>
    <w:uiPriority w:val="99"/>
    <w:semiHidden/>
    <w:unhideWhenUsed/>
    <w:rsid w:val="00083011"/>
    <w:rPr>
      <w:sz w:val="16"/>
      <w:szCs w:val="16"/>
    </w:rPr>
  </w:style>
  <w:style w:type="character" w:customStyle="1" w:styleId="CommentTextChar">
    <w:name w:val="Comment Text Char"/>
    <w:basedOn w:val="DefaultParagraphFont"/>
    <w:link w:val="CommentText"/>
    <w:uiPriority w:val="99"/>
    <w:semiHidden/>
    <w:rsid w:val="00083011"/>
  </w:style>
  <w:style w:type="paragraph" w:styleId="BalloonText">
    <w:name w:val="Balloon Text"/>
    <w:basedOn w:val="Normal"/>
    <w:link w:val="BalloonTextChar"/>
    <w:uiPriority w:val="99"/>
    <w:semiHidden/>
    <w:unhideWhenUsed/>
    <w:rsid w:val="000830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10AB"/>
    <w:rPr>
      <w:b/>
      <w:bCs/>
    </w:rPr>
  </w:style>
  <w:style w:type="character" w:customStyle="1" w:styleId="CommentSubjectChar">
    <w:name w:val="Comment Subject Char"/>
    <w:basedOn w:val="CommentTextChar"/>
    <w:link w:val="CommentSubject"/>
    <w:uiPriority w:val="99"/>
    <w:semiHidden/>
    <w:rsid w:val="00E810AB"/>
    <w:rPr>
      <w:b/>
      <w:bCs/>
    </w:rPr>
  </w:style>
  <w:style w:type="paragraph" w:styleId="NormalWeb">
    <w:name w:val="Normal (Web)"/>
    <w:basedOn w:val="Normal"/>
    <w:uiPriority w:val="99"/>
    <w:semiHidden/>
    <w:unhideWhenUsed/>
    <w:rsid w:val="00742064"/>
    <w:pPr>
      <w:spacing w:before="100" w:beforeAutospacing="1" w:after="100" w:afterAutospacing="1"/>
    </w:pPr>
    <w:rPr>
      <w:sz w:val="24"/>
      <w:szCs w:val="24"/>
    </w:rPr>
  </w:style>
  <w:style w:type="paragraph" w:styleId="Revision">
    <w:name w:val="Revision"/>
    <w:hidden/>
    <w:uiPriority w:val="99"/>
    <w:semiHidden/>
    <w:rsid w:val="004D6553"/>
    <w:rPr>
      <w:sz w:val="22"/>
    </w:rPr>
  </w:style>
  <w:style w:type="paragraph" w:customStyle="1" w:styleId="ChapterHeading">
    <w:name w:val="Chapter Heading"/>
    <w:next w:val="Heading2"/>
    <w:rsid w:val="00F44D3C"/>
    <w:pPr>
      <w:numPr>
        <w:numId w:val="11"/>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F44D3C"/>
    <w:pPr>
      <w:keepLines w:val="0"/>
      <w:numPr>
        <w:ilvl w:val="4"/>
        <w:numId w:val="11"/>
      </w:numPr>
      <w:tabs>
        <w:tab w:val="num" w:pos="360"/>
        <w:tab w:val="num" w:pos="3600"/>
      </w:tabs>
      <w:spacing w:before="120" w:after="120"/>
      <w:ind w:left="0" w:hanging="360"/>
    </w:pPr>
    <w:rPr>
      <w:rFonts w:ascii="Times New Roman" w:eastAsia="Times New Roman" w:hAnsi="Times New Roman" w:cs="Times New Roman"/>
      <w:b/>
      <w:i w:val="0"/>
      <w:iCs w:val="0"/>
      <w:color w:val="auto"/>
    </w:rPr>
  </w:style>
  <w:style w:type="character" w:customStyle="1" w:styleId="base-text-paragraphChar">
    <w:name w:val="base-text-paragraph Char"/>
    <w:basedOn w:val="DefaultParagraphFont"/>
    <w:link w:val="base-text-paragraph"/>
    <w:locked/>
    <w:rsid w:val="00F44D3C"/>
    <w:rPr>
      <w:sz w:val="22"/>
    </w:rPr>
  </w:style>
  <w:style w:type="paragraph" w:customStyle="1" w:styleId="base-text-paragraph">
    <w:name w:val="base-text-paragraph"/>
    <w:basedOn w:val="Normal"/>
    <w:link w:val="base-text-paragraphChar"/>
    <w:rsid w:val="00F44D3C"/>
    <w:pPr>
      <w:numPr>
        <w:ilvl w:val="1"/>
        <w:numId w:val="11"/>
      </w:numPr>
      <w:spacing w:before="120" w:after="120"/>
    </w:pPr>
  </w:style>
  <w:style w:type="paragraph" w:customStyle="1" w:styleId="ExampleHeading">
    <w:name w:val="Example Heading"/>
    <w:basedOn w:val="Normal"/>
    <w:next w:val="Normal"/>
    <w:rsid w:val="00F44D3C"/>
    <w:pPr>
      <w:keepNext/>
      <w:numPr>
        <w:ilvl w:val="3"/>
        <w:numId w:val="11"/>
      </w:numPr>
      <w:tabs>
        <w:tab w:val="num" w:pos="360"/>
      </w:tabs>
      <w:spacing w:before="120" w:after="120"/>
      <w:ind w:left="0"/>
    </w:pPr>
    <w:rPr>
      <w:b/>
    </w:rPr>
  </w:style>
  <w:style w:type="paragraph" w:customStyle="1" w:styleId="Diagram">
    <w:name w:val="Diagram"/>
    <w:basedOn w:val="Normal"/>
    <w:next w:val="Normal"/>
    <w:rsid w:val="00F44D3C"/>
    <w:pPr>
      <w:keepNext/>
      <w:numPr>
        <w:ilvl w:val="2"/>
        <w:numId w:val="11"/>
      </w:numPr>
      <w:tabs>
        <w:tab w:val="num" w:pos="360"/>
      </w:tabs>
      <w:spacing w:after="0"/>
      <w:ind w:left="0"/>
    </w:pPr>
    <w:rPr>
      <w:b/>
    </w:rPr>
  </w:style>
  <w:style w:type="paragraph" w:customStyle="1" w:styleId="dotpoint">
    <w:name w:val="dot point"/>
    <w:basedOn w:val="Normal"/>
    <w:rsid w:val="00F44D3C"/>
    <w:pPr>
      <w:numPr>
        <w:numId w:val="10"/>
      </w:numPr>
      <w:spacing w:before="120" w:after="120"/>
    </w:pPr>
  </w:style>
  <w:style w:type="numbering" w:customStyle="1" w:styleId="ChapterList">
    <w:name w:val="ChapterList"/>
    <w:uiPriority w:val="99"/>
    <w:rsid w:val="00F44D3C"/>
    <w:pPr>
      <w:numPr>
        <w:numId w:val="11"/>
      </w:numPr>
    </w:pPr>
  </w:style>
  <w:style w:type="character" w:customStyle="1" w:styleId="Heading4Char">
    <w:name w:val="Heading 4 Char"/>
    <w:basedOn w:val="DefaultParagraphFont"/>
    <w:link w:val="Heading4"/>
    <w:uiPriority w:val="9"/>
    <w:semiHidden/>
    <w:rsid w:val="00F44D3C"/>
    <w:rPr>
      <w:rFonts w:asciiTheme="majorHAnsi" w:eastAsiaTheme="majorEastAsia" w:hAnsiTheme="majorHAnsi" w:cstheme="majorBidi"/>
      <w:i/>
      <w:iCs/>
      <w:color w:val="365F91" w:themeColor="accent1" w:themeShade="BF"/>
      <w:sz w:val="22"/>
    </w:rPr>
  </w:style>
  <w:style w:type="character" w:styleId="Hyperlink">
    <w:name w:val="Hyperlink"/>
    <w:basedOn w:val="DefaultParagraphFont"/>
    <w:uiPriority w:val="99"/>
    <w:unhideWhenUsed/>
    <w:rsid w:val="00E46605"/>
    <w:rPr>
      <w:color w:val="0000FF" w:themeColor="hyperlink"/>
      <w:u w:val="single"/>
    </w:rPr>
  </w:style>
  <w:style w:type="character" w:styleId="UnresolvedMention">
    <w:name w:val="Unresolved Mention"/>
    <w:basedOn w:val="DefaultParagraphFont"/>
    <w:uiPriority w:val="99"/>
    <w:semiHidden/>
    <w:unhideWhenUsed/>
    <w:rsid w:val="00E466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4837">
      <w:bodyDiv w:val="1"/>
      <w:marLeft w:val="0"/>
      <w:marRight w:val="0"/>
      <w:marTop w:val="0"/>
      <w:marBottom w:val="0"/>
      <w:divBdr>
        <w:top w:val="none" w:sz="0" w:space="0" w:color="auto"/>
        <w:left w:val="none" w:sz="0" w:space="0" w:color="auto"/>
        <w:bottom w:val="none" w:sz="0" w:space="0" w:color="auto"/>
        <w:right w:val="none" w:sz="0" w:space="0" w:color="auto"/>
      </w:divBdr>
    </w:div>
    <w:div w:id="298002339">
      <w:bodyDiv w:val="1"/>
      <w:marLeft w:val="0"/>
      <w:marRight w:val="0"/>
      <w:marTop w:val="0"/>
      <w:marBottom w:val="0"/>
      <w:divBdr>
        <w:top w:val="none" w:sz="0" w:space="0" w:color="auto"/>
        <w:left w:val="none" w:sz="0" w:space="0" w:color="auto"/>
        <w:bottom w:val="none" w:sz="0" w:space="0" w:color="auto"/>
        <w:right w:val="none" w:sz="0" w:space="0" w:color="auto"/>
      </w:divBdr>
    </w:div>
    <w:div w:id="306055966">
      <w:bodyDiv w:val="1"/>
      <w:marLeft w:val="0"/>
      <w:marRight w:val="0"/>
      <w:marTop w:val="0"/>
      <w:marBottom w:val="0"/>
      <w:divBdr>
        <w:top w:val="none" w:sz="0" w:space="0" w:color="auto"/>
        <w:left w:val="none" w:sz="0" w:space="0" w:color="auto"/>
        <w:bottom w:val="none" w:sz="0" w:space="0" w:color="auto"/>
        <w:right w:val="none" w:sz="0" w:space="0" w:color="auto"/>
      </w:divBdr>
    </w:div>
    <w:div w:id="337778492">
      <w:bodyDiv w:val="1"/>
      <w:marLeft w:val="0"/>
      <w:marRight w:val="0"/>
      <w:marTop w:val="0"/>
      <w:marBottom w:val="0"/>
      <w:divBdr>
        <w:top w:val="none" w:sz="0" w:space="0" w:color="auto"/>
        <w:left w:val="none" w:sz="0" w:space="0" w:color="auto"/>
        <w:bottom w:val="none" w:sz="0" w:space="0" w:color="auto"/>
        <w:right w:val="none" w:sz="0" w:space="0" w:color="auto"/>
      </w:divBdr>
    </w:div>
    <w:div w:id="506991588">
      <w:bodyDiv w:val="1"/>
      <w:marLeft w:val="0"/>
      <w:marRight w:val="0"/>
      <w:marTop w:val="0"/>
      <w:marBottom w:val="0"/>
      <w:divBdr>
        <w:top w:val="none" w:sz="0" w:space="0" w:color="auto"/>
        <w:left w:val="none" w:sz="0" w:space="0" w:color="auto"/>
        <w:bottom w:val="none" w:sz="0" w:space="0" w:color="auto"/>
        <w:right w:val="none" w:sz="0" w:space="0" w:color="auto"/>
      </w:divBdr>
      <w:divsChild>
        <w:div w:id="1781223587">
          <w:marLeft w:val="0"/>
          <w:marRight w:val="0"/>
          <w:marTop w:val="0"/>
          <w:marBottom w:val="0"/>
          <w:divBdr>
            <w:top w:val="none" w:sz="0" w:space="0" w:color="auto"/>
            <w:left w:val="none" w:sz="0" w:space="0" w:color="auto"/>
            <w:bottom w:val="none" w:sz="0" w:space="0" w:color="auto"/>
            <w:right w:val="none" w:sz="0" w:space="0" w:color="auto"/>
          </w:divBdr>
          <w:divsChild>
            <w:div w:id="1399785542">
              <w:marLeft w:val="0"/>
              <w:marRight w:val="0"/>
              <w:marTop w:val="0"/>
              <w:marBottom w:val="0"/>
              <w:divBdr>
                <w:top w:val="none" w:sz="0" w:space="0" w:color="auto"/>
                <w:left w:val="none" w:sz="0" w:space="0" w:color="auto"/>
                <w:bottom w:val="none" w:sz="0" w:space="0" w:color="auto"/>
                <w:right w:val="none" w:sz="0" w:space="0" w:color="auto"/>
              </w:divBdr>
              <w:divsChild>
                <w:div w:id="552615969">
                  <w:marLeft w:val="0"/>
                  <w:marRight w:val="0"/>
                  <w:marTop w:val="100"/>
                  <w:marBottom w:val="100"/>
                  <w:divBdr>
                    <w:top w:val="none" w:sz="0" w:space="0" w:color="auto"/>
                    <w:left w:val="none" w:sz="0" w:space="0" w:color="auto"/>
                    <w:bottom w:val="none" w:sz="0" w:space="0" w:color="auto"/>
                    <w:right w:val="none" w:sz="0" w:space="0" w:color="auto"/>
                  </w:divBdr>
                  <w:divsChild>
                    <w:div w:id="888998890">
                      <w:marLeft w:val="1"/>
                      <w:marRight w:val="1"/>
                      <w:marTop w:val="0"/>
                      <w:marBottom w:val="0"/>
                      <w:divBdr>
                        <w:top w:val="none" w:sz="0" w:space="0" w:color="auto"/>
                        <w:left w:val="none" w:sz="0" w:space="0" w:color="auto"/>
                        <w:bottom w:val="none" w:sz="0" w:space="0" w:color="auto"/>
                        <w:right w:val="none" w:sz="0" w:space="0" w:color="auto"/>
                      </w:divBdr>
                      <w:divsChild>
                        <w:div w:id="1071345376">
                          <w:marLeft w:val="-1"/>
                          <w:marRight w:val="-1"/>
                          <w:marTop w:val="0"/>
                          <w:marBottom w:val="0"/>
                          <w:divBdr>
                            <w:top w:val="none" w:sz="0" w:space="0" w:color="auto"/>
                            <w:left w:val="none" w:sz="0" w:space="0" w:color="auto"/>
                            <w:bottom w:val="none" w:sz="0" w:space="0" w:color="auto"/>
                            <w:right w:val="none" w:sz="0" w:space="0" w:color="auto"/>
                          </w:divBdr>
                          <w:divsChild>
                            <w:div w:id="57895211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35408">
      <w:bodyDiv w:val="1"/>
      <w:marLeft w:val="0"/>
      <w:marRight w:val="0"/>
      <w:marTop w:val="0"/>
      <w:marBottom w:val="0"/>
      <w:divBdr>
        <w:top w:val="none" w:sz="0" w:space="0" w:color="auto"/>
        <w:left w:val="none" w:sz="0" w:space="0" w:color="auto"/>
        <w:bottom w:val="none" w:sz="0" w:space="0" w:color="auto"/>
        <w:right w:val="none" w:sz="0" w:space="0" w:color="auto"/>
      </w:divBdr>
      <w:divsChild>
        <w:div w:id="741872866">
          <w:marLeft w:val="0"/>
          <w:marRight w:val="0"/>
          <w:marTop w:val="0"/>
          <w:marBottom w:val="0"/>
          <w:divBdr>
            <w:top w:val="none" w:sz="0" w:space="0" w:color="auto"/>
            <w:left w:val="none" w:sz="0" w:space="0" w:color="auto"/>
            <w:bottom w:val="none" w:sz="0" w:space="0" w:color="auto"/>
            <w:right w:val="none" w:sz="0" w:space="0" w:color="auto"/>
          </w:divBdr>
          <w:divsChild>
            <w:div w:id="1572888077">
              <w:marLeft w:val="0"/>
              <w:marRight w:val="0"/>
              <w:marTop w:val="0"/>
              <w:marBottom w:val="0"/>
              <w:divBdr>
                <w:top w:val="none" w:sz="0" w:space="0" w:color="auto"/>
                <w:left w:val="none" w:sz="0" w:space="0" w:color="auto"/>
                <w:bottom w:val="none" w:sz="0" w:space="0" w:color="auto"/>
                <w:right w:val="none" w:sz="0" w:space="0" w:color="auto"/>
              </w:divBdr>
              <w:divsChild>
                <w:div w:id="2108307619">
                  <w:marLeft w:val="0"/>
                  <w:marRight w:val="0"/>
                  <w:marTop w:val="100"/>
                  <w:marBottom w:val="100"/>
                  <w:divBdr>
                    <w:top w:val="none" w:sz="0" w:space="0" w:color="auto"/>
                    <w:left w:val="none" w:sz="0" w:space="0" w:color="auto"/>
                    <w:bottom w:val="none" w:sz="0" w:space="0" w:color="auto"/>
                    <w:right w:val="none" w:sz="0" w:space="0" w:color="auto"/>
                  </w:divBdr>
                  <w:divsChild>
                    <w:div w:id="1877305097">
                      <w:marLeft w:val="1"/>
                      <w:marRight w:val="1"/>
                      <w:marTop w:val="0"/>
                      <w:marBottom w:val="0"/>
                      <w:divBdr>
                        <w:top w:val="none" w:sz="0" w:space="0" w:color="auto"/>
                        <w:left w:val="none" w:sz="0" w:space="0" w:color="auto"/>
                        <w:bottom w:val="none" w:sz="0" w:space="0" w:color="auto"/>
                        <w:right w:val="none" w:sz="0" w:space="0" w:color="auto"/>
                      </w:divBdr>
                      <w:divsChild>
                        <w:div w:id="1756394143">
                          <w:marLeft w:val="-1"/>
                          <w:marRight w:val="-1"/>
                          <w:marTop w:val="0"/>
                          <w:marBottom w:val="0"/>
                          <w:divBdr>
                            <w:top w:val="none" w:sz="0" w:space="0" w:color="auto"/>
                            <w:left w:val="none" w:sz="0" w:space="0" w:color="auto"/>
                            <w:bottom w:val="none" w:sz="0" w:space="0" w:color="auto"/>
                            <w:right w:val="none" w:sz="0" w:space="0" w:color="auto"/>
                          </w:divBdr>
                          <w:divsChild>
                            <w:div w:id="1692956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17714">
      <w:bodyDiv w:val="1"/>
      <w:marLeft w:val="0"/>
      <w:marRight w:val="0"/>
      <w:marTop w:val="0"/>
      <w:marBottom w:val="0"/>
      <w:divBdr>
        <w:top w:val="none" w:sz="0" w:space="0" w:color="auto"/>
        <w:left w:val="none" w:sz="0" w:space="0" w:color="auto"/>
        <w:bottom w:val="none" w:sz="0" w:space="0" w:color="auto"/>
        <w:right w:val="none" w:sz="0" w:space="0" w:color="auto"/>
      </w:divBdr>
    </w:div>
    <w:div w:id="945962078">
      <w:bodyDiv w:val="1"/>
      <w:marLeft w:val="0"/>
      <w:marRight w:val="0"/>
      <w:marTop w:val="0"/>
      <w:marBottom w:val="0"/>
      <w:divBdr>
        <w:top w:val="none" w:sz="0" w:space="0" w:color="auto"/>
        <w:left w:val="none" w:sz="0" w:space="0" w:color="auto"/>
        <w:bottom w:val="none" w:sz="0" w:space="0" w:color="auto"/>
        <w:right w:val="none" w:sz="0" w:space="0" w:color="auto"/>
      </w:divBdr>
    </w:div>
    <w:div w:id="1331176408">
      <w:bodyDiv w:val="1"/>
      <w:marLeft w:val="0"/>
      <w:marRight w:val="0"/>
      <w:marTop w:val="0"/>
      <w:marBottom w:val="0"/>
      <w:divBdr>
        <w:top w:val="none" w:sz="0" w:space="0" w:color="auto"/>
        <w:left w:val="none" w:sz="0" w:space="0" w:color="auto"/>
        <w:bottom w:val="none" w:sz="0" w:space="0" w:color="auto"/>
        <w:right w:val="none" w:sz="0" w:space="0" w:color="auto"/>
      </w:divBdr>
      <w:divsChild>
        <w:div w:id="1313362968">
          <w:marLeft w:val="0"/>
          <w:marRight w:val="0"/>
          <w:marTop w:val="0"/>
          <w:marBottom w:val="0"/>
          <w:divBdr>
            <w:top w:val="none" w:sz="0" w:space="0" w:color="auto"/>
            <w:left w:val="none" w:sz="0" w:space="0" w:color="auto"/>
            <w:bottom w:val="none" w:sz="0" w:space="0" w:color="auto"/>
            <w:right w:val="none" w:sz="0" w:space="0" w:color="auto"/>
          </w:divBdr>
          <w:divsChild>
            <w:div w:id="189802891">
              <w:marLeft w:val="0"/>
              <w:marRight w:val="0"/>
              <w:marTop w:val="0"/>
              <w:marBottom w:val="0"/>
              <w:divBdr>
                <w:top w:val="none" w:sz="0" w:space="0" w:color="auto"/>
                <w:left w:val="none" w:sz="0" w:space="0" w:color="auto"/>
                <w:bottom w:val="none" w:sz="0" w:space="0" w:color="auto"/>
                <w:right w:val="none" w:sz="0" w:space="0" w:color="auto"/>
              </w:divBdr>
              <w:divsChild>
                <w:div w:id="180584150">
                  <w:marLeft w:val="0"/>
                  <w:marRight w:val="0"/>
                  <w:marTop w:val="100"/>
                  <w:marBottom w:val="100"/>
                  <w:divBdr>
                    <w:top w:val="none" w:sz="0" w:space="0" w:color="auto"/>
                    <w:left w:val="none" w:sz="0" w:space="0" w:color="auto"/>
                    <w:bottom w:val="none" w:sz="0" w:space="0" w:color="auto"/>
                    <w:right w:val="none" w:sz="0" w:space="0" w:color="auto"/>
                  </w:divBdr>
                  <w:divsChild>
                    <w:div w:id="1507790876">
                      <w:marLeft w:val="1"/>
                      <w:marRight w:val="1"/>
                      <w:marTop w:val="0"/>
                      <w:marBottom w:val="0"/>
                      <w:divBdr>
                        <w:top w:val="none" w:sz="0" w:space="0" w:color="auto"/>
                        <w:left w:val="none" w:sz="0" w:space="0" w:color="auto"/>
                        <w:bottom w:val="none" w:sz="0" w:space="0" w:color="auto"/>
                        <w:right w:val="none" w:sz="0" w:space="0" w:color="auto"/>
                      </w:divBdr>
                      <w:divsChild>
                        <w:div w:id="856817730">
                          <w:marLeft w:val="-1"/>
                          <w:marRight w:val="-1"/>
                          <w:marTop w:val="0"/>
                          <w:marBottom w:val="0"/>
                          <w:divBdr>
                            <w:top w:val="none" w:sz="0" w:space="0" w:color="auto"/>
                            <w:left w:val="none" w:sz="0" w:space="0" w:color="auto"/>
                            <w:bottom w:val="none" w:sz="0" w:space="0" w:color="auto"/>
                            <w:right w:val="none" w:sz="0" w:space="0" w:color="auto"/>
                          </w:divBdr>
                          <w:divsChild>
                            <w:div w:id="10128786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userHome\anna.dawson\Desktop\Explanatory%20statement%20-%20ASIC%20Corporations%20(Professional%20Standards-Transitional)%20Instrument%202018-8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A Project Document" ma:contentTypeID="0x010100B5F685A1365F544391EF8C813B164F3A94006D40EEE2A1560B499527813B7F60A43E" ma:contentTypeVersion="21" ma:contentTypeDescription="" ma:contentTypeScope="" ma:versionID="14a4259b2c8670ed402034674fc020a9">
  <xsd:schema xmlns:xsd="http://www.w3.org/2001/XMLSchema" xmlns:xs="http://www.w3.org/2001/XMLSchema" xmlns:p="http://schemas.microsoft.com/office/2006/metadata/properties" xmlns:ns2="da7a9ac0-bc47-4684-84e6-3a8e9ac80c12" xmlns:ns3="3f50a565-8b17-44b3-acf7-03a9fa2a94e0" xmlns:ns4="17f478ab-373e-4295-9ff0-9b833ad01319" xmlns:ns5="4a2e1468-176f-4362-bb8a-dbbf936cc20d" targetNamespace="http://schemas.microsoft.com/office/2006/metadata/properties" ma:root="true" ma:fieldsID="b275ecec03127337a3fe7544f6f39093" ns2:_="" ns3:_="" ns4:_="" ns5:_="">
    <xsd:import namespace="da7a9ac0-bc47-4684-84e6-3a8e9ac80c12"/>
    <xsd:import namespace="3f50a565-8b17-44b3-acf7-03a9fa2a94e0"/>
    <xsd:import namespace="17f478ab-373e-4295-9ff0-9b833ad01319"/>
    <xsd:import namespace="4a2e1468-176f-4362-bb8a-dbbf936cc20d"/>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e95c743179a142ac81c756e8133d6269" minOccurs="0"/>
                <xsd:element ref="ns2:FAProjectDocumentType" minOccurs="0"/>
                <xsd:element ref="ns4:Reviewers" minOccurs="0"/>
                <xsd:element ref="ns4:Approvers" minOccurs="0"/>
                <xsd:element ref="ns5:FA_x0020_Project_x0020_Se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element name="FAProjectDocumentType" ma:index="19" nillable="true" ma:displayName="FA Project Document Type" ma:format="Dropdown" ma:internalName="FAProjectDocumentType" ma:readOnly="false">
      <xsd:simpleType>
        <xsd:restriction base="dms:Choice">
          <xsd:enumeration value="ASIC Guidance Documentation"/>
          <xsd:enumeration value="Bannings"/>
          <xsd:enumeration value="Briefings"/>
          <xsd:enumeration value="Communications Internal"/>
          <xsd:enumeration value="Communications External"/>
          <xsd:enumeration value="Data analysis"/>
          <xsd:enumeration value="Enforceable Undertaking"/>
          <xsd:enumeration value="File Notes"/>
          <xsd:enumeration value="File reviews"/>
          <xsd:enumeration value="Media Release"/>
          <xsd:enumeration value="Meetings"/>
          <xsd:enumeration value="Notices"/>
          <xsd:enumeration value="Notice responses"/>
          <xsd:enumeration value="Project planning"/>
          <xsd:enumeration value="Referrals"/>
          <xsd:enumeration value="Reporting"/>
          <xsd:enumeration value="Research"/>
          <xsd:enumeration value="s19s"/>
          <xsd:enumeration value="Speeches"/>
        </xsd:restriction>
      </xsd:simpleType>
    </xsd:element>
  </xsd:schema>
  <xsd:schema xmlns:xsd="http://www.w3.org/2001/XMLSchema" xmlns:xs="http://www.w3.org/2001/XMLSchema" xmlns:dms="http://schemas.microsoft.com/office/2006/documentManagement/types" xmlns:pc="http://schemas.microsoft.com/office/infopath/2007/PartnerControls" targetNamespace="3f50a565-8b17-44b3-acf7-03a9fa2a94e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5e4c6dc-84d4-4edb-b88c-4dfb9735e0e4}" ma:internalName="TaxCatchAll" ma:showField="CatchAllData" ma:web="3f50a565-8b17-44b3-acf7-03a9fa2a94e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5e4c6dc-84d4-4edb-b88c-4dfb9735e0e4}" ma:internalName="TaxCatchAllLabel" ma:readOnly="true" ma:showField="CatchAllDataLabel" ma:web="3f50a565-8b17-44b3-acf7-03a9fa2a94e0">
      <xsd:complexType>
        <xsd:complexContent>
          <xsd:extension base="dms:MultiChoiceLookup">
            <xsd:sequence>
              <xsd:element name="Value" type="dms:Lookup" maxOccurs="unbounded" minOccurs="0" nillable="true"/>
            </xsd:sequence>
          </xsd:extension>
        </xsd:complexContent>
      </xsd:complexType>
    </xsd:element>
    <xsd:element name="e95c743179a142ac81c756e8133d6269" ma:index="18" ma:taxonomy="true" ma:internalName="e95c743179a142ac81c756e8133d6269" ma:taxonomyFieldName="SecurityClassification" ma:displayName="Security Classification" ma:readOnly="false" ma:default="6;#Sensitive|19fd2cb8-3e97-4464-ae71-8c2c2095d028" ma:fieldId="{e95c7431-79a1-42ac-81c7-56e8133d6269}"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e1468-176f-4362-bb8a-dbbf936cc20d" elementFormDefault="qualified">
    <xsd:import namespace="http://schemas.microsoft.com/office/2006/documentManagement/types"/>
    <xsd:import namespace="http://schemas.microsoft.com/office/infopath/2007/PartnerControls"/>
    <xsd:element name="FA_x0020_Project_x0020_Set_x0020_Type" ma:index="22" ma:displayName="FA Project Set Type" ma:default="General" ma:format="Dropdown" ma:internalName="FA_x0020_Project_x0020_Set_x0020_Type">
      <xsd:simpleType>
        <xsd:restriction base="dms:Choice">
          <xsd:enumeration value="General"/>
          <xsd:enumeration value="Compliance Schemes"/>
          <xsd:enumeration value="Updates to RG 146"/>
          <xsd:enumeration value="Financial Advisers Register"/>
          <xsd:enumeration value="Professional Stand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R20180000345193</RecordNumber>
    <ObjectiveID xmlns="da7a9ac0-bc47-4684-84e6-3a8e9ac80c12" xsi:nil="true"/>
    <TaxCatchAll xmlns="3f50a565-8b17-44b3-acf7-03a9fa2a94e0">
      <Value>6</Value>
    </TaxCatchAll>
    <FA_x0020_Project_x0020_Set_x0020_Type xmlns="4a2e1468-176f-4362-bb8a-dbbf936cc20d">General</FA_x0020_Project_x0020_Set_x0020_Type>
    <SignificantFlag xmlns="da7a9ac0-bc47-4684-84e6-3a8e9ac80c12">false</SignificantFlag>
    <FAProjectDocumentType xmlns="da7a9ac0-bc47-4684-84e6-3a8e9ac80c12" xsi:nil="true"/>
    <SenateOrder12 xmlns="da7a9ac0-bc47-4684-84e6-3a8e9ac80c12">false</SenateOrder12>
    <ded95d7ab059406991d558011d18c177 xmlns="da7a9ac0-bc47-4684-84e6-3a8e9ac80c12" xsi:nil="true"/>
    <e95c743179a142ac81c756e8133d6269 xmlns="3f50a565-8b17-44b3-acf7-03a9fa2a94e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e95c743179a142ac81c756e8133d6269>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E5B5-93C9-494C-931C-C98ADFEA3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3f50a565-8b17-44b3-acf7-03a9fa2a94e0"/>
    <ds:schemaRef ds:uri="17f478ab-373e-4295-9ff0-9b833ad01319"/>
    <ds:schemaRef ds:uri="4a2e1468-176f-4362-bb8a-dbbf936c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9C1D8-4391-44CC-B167-0F50517EB09B}">
  <ds:schemaRefs>
    <ds:schemaRef ds:uri="http://schemas.microsoft.com/sharepoint/events"/>
  </ds:schemaRefs>
</ds:datastoreItem>
</file>

<file path=customXml/itemProps3.xml><?xml version="1.0" encoding="utf-8"?>
<ds:datastoreItem xmlns:ds="http://schemas.openxmlformats.org/officeDocument/2006/customXml" ds:itemID="{1163C45A-6371-4078-8ACB-0336C82B8D3A}">
  <ds:schemaRefs>
    <ds:schemaRef ds:uri="http://schemas.microsoft.com/sharepoint/v3/contenttype/forms"/>
  </ds:schemaRefs>
</ds:datastoreItem>
</file>

<file path=customXml/itemProps4.xml><?xml version="1.0" encoding="utf-8"?>
<ds:datastoreItem xmlns:ds="http://schemas.openxmlformats.org/officeDocument/2006/customXml" ds:itemID="{998B675F-570A-4859-9544-D750724E12B1}">
  <ds:schemaRefs>
    <ds:schemaRef ds:uri="http://purl.org/dc/terms/"/>
    <ds:schemaRef ds:uri="17f478ab-373e-4295-9ff0-9b833ad01319"/>
    <ds:schemaRef ds:uri="3f50a565-8b17-44b3-acf7-03a9fa2a94e0"/>
    <ds:schemaRef ds:uri="http://schemas.microsoft.com/office/2006/metadata/properties"/>
    <ds:schemaRef ds:uri="http://purl.org/dc/dcmitype/"/>
    <ds:schemaRef ds:uri="http://purl.org/dc/elements/1.1/"/>
    <ds:schemaRef ds:uri="da7a9ac0-bc47-4684-84e6-3a8e9ac80c12"/>
    <ds:schemaRef ds:uri="http://schemas.microsoft.com/office/2006/documentManagement/types"/>
    <ds:schemaRef ds:uri="http://schemas.openxmlformats.org/package/2006/metadata/core-properties"/>
    <ds:schemaRef ds:uri="http://schemas.microsoft.com/office/infopath/2007/PartnerControls"/>
    <ds:schemaRef ds:uri="4a2e1468-176f-4362-bb8a-dbbf936cc20d"/>
    <ds:schemaRef ds:uri="http://www.w3.org/XML/1998/namespace"/>
  </ds:schemaRefs>
</ds:datastoreItem>
</file>

<file path=customXml/itemProps5.xml><?xml version="1.0" encoding="utf-8"?>
<ds:datastoreItem xmlns:ds="http://schemas.openxmlformats.org/officeDocument/2006/customXml" ds:itemID="{7346F184-57E3-4F4C-B236-D87B49B7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 ASIC Corporations (Professional Standards-Transitional) Instrument 2018-894.dotx</Template>
  <TotalTime>1</TotalTime>
  <Pages>11</Pages>
  <Words>3662</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anna.dawson</dc:creator>
  <cp:lastModifiedBy>Anna Dawson</cp:lastModifiedBy>
  <cp:revision>1</cp:revision>
  <cp:lastPrinted>2018-10-08T22:32:00Z</cp:lastPrinted>
  <dcterms:created xsi:type="dcterms:W3CDTF">2018-10-09T01:41:00Z</dcterms:created>
  <dcterms:modified xsi:type="dcterms:W3CDTF">2018-10-09T01:42:00Z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0x010100B5F685A1365F544391EF8C813B164F3A94006D40EEE2A1560B499527813B7F60A43E</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2018-10-09T03:11:33.8013103+11:00</vt:lpwstr>
  </property>
  <property fmtid="{D5CDD505-2E9C-101B-9397-08002B2CF9AE}" pid="26" name="RecordPoint_ActiveItemUniqueId">
    <vt:lpwstr>{ad4973dd-72ec-43a9-b5c0-5b0c36245ace}</vt:lpwstr>
  </property>
  <property fmtid="{D5CDD505-2E9C-101B-9397-08002B2CF9AE}" pid="27" name="RecordPoint_ActiveItemWebId">
    <vt:lpwstr>{3f50a565-8b17-44b3-acf7-03a9fa2a94e0}</vt:lpwstr>
  </property>
  <property fmtid="{D5CDD505-2E9C-101B-9397-08002B2CF9AE}" pid="28" name="RecordPoint_ActiveItemSiteId">
    <vt:lpwstr>{85b1e917-5ca8-4ed5-9a87-d81c74bdb10e}</vt:lpwstr>
  </property>
  <property fmtid="{D5CDD505-2E9C-101B-9397-08002B2CF9AE}" pid="29" name="RecordPoint_ActiveItemListId">
    <vt:lpwstr>{4a2e1468-176f-4362-bb8a-dbbf936cc20d}</vt:lpwstr>
  </property>
  <property fmtid="{D5CDD505-2E9C-101B-9397-08002B2CF9AE}" pid="30" name="RecordPoint_RecordNumberSubmitted">
    <vt:lpwstr>R20180000345193</vt:lpwstr>
  </property>
</Properties>
</file>