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0A634" w14:textId="77777777" w:rsidR="001075BE" w:rsidRPr="008D6BA9" w:rsidRDefault="001075BE" w:rsidP="008D6BA9">
      <w:pPr>
        <w:pStyle w:val="Heading4"/>
        <w:spacing w:line="276" w:lineRule="auto"/>
        <w:ind w:left="0"/>
        <w:jc w:val="center"/>
        <w:rPr>
          <w:rFonts w:ascii="Palatino Linotype" w:hAnsi="Palatino Linotype"/>
          <w:color w:val="1A1A1A"/>
          <w:sz w:val="22"/>
          <w:szCs w:val="22"/>
        </w:rPr>
      </w:pPr>
      <w:r w:rsidRPr="008D6BA9">
        <w:rPr>
          <w:rFonts w:ascii="Palatino Linotype" w:hAnsi="Palatino Linotype"/>
          <w:color w:val="1A1A1A"/>
          <w:sz w:val="22"/>
          <w:szCs w:val="22"/>
        </w:rPr>
        <w:t>EXPLANATORY STATEMENT</w:t>
      </w:r>
    </w:p>
    <w:p w14:paraId="7BE4D2A8" w14:textId="77777777" w:rsidR="001075BE" w:rsidRPr="008D6BA9" w:rsidRDefault="001075BE" w:rsidP="008D6BA9">
      <w:pPr>
        <w:pStyle w:val="Heading4"/>
        <w:spacing w:line="276" w:lineRule="auto"/>
        <w:ind w:left="0"/>
        <w:jc w:val="center"/>
        <w:rPr>
          <w:rFonts w:ascii="Palatino Linotype" w:hAnsi="Palatino Linotype"/>
          <w:color w:val="1A1A1A"/>
          <w:sz w:val="22"/>
          <w:szCs w:val="22"/>
        </w:rPr>
      </w:pPr>
    </w:p>
    <w:p w14:paraId="6FD8BA35" w14:textId="6BAB9E25" w:rsidR="000D4214" w:rsidRPr="00580EF0" w:rsidRDefault="00580EF0" w:rsidP="008D6BA9">
      <w:pPr>
        <w:pStyle w:val="Heading4"/>
        <w:spacing w:line="276" w:lineRule="auto"/>
        <w:ind w:left="0"/>
        <w:jc w:val="center"/>
        <w:rPr>
          <w:sz w:val="22"/>
          <w:szCs w:val="22"/>
        </w:rPr>
      </w:pPr>
      <w:r w:rsidRPr="00580EF0">
        <w:rPr>
          <w:sz w:val="22"/>
          <w:szCs w:val="22"/>
        </w:rPr>
        <w:t>Research Involving Human Embryos (Corresponding State Law—TAS) Declaration 2018</w:t>
      </w:r>
    </w:p>
    <w:p w14:paraId="686C7837" w14:textId="77777777" w:rsidR="000D4214" w:rsidRPr="008D6BA9" w:rsidRDefault="000D4214" w:rsidP="008D6BA9">
      <w:pPr>
        <w:pStyle w:val="BodyText"/>
        <w:spacing w:line="276" w:lineRule="auto"/>
        <w:rPr>
          <w:rFonts w:ascii="Palatino Linotype" w:hAnsi="Palatino Linotype"/>
          <w:b/>
          <w:sz w:val="22"/>
          <w:szCs w:val="22"/>
        </w:rPr>
      </w:pPr>
    </w:p>
    <w:p w14:paraId="244CC4A7" w14:textId="77777777" w:rsidR="000D4214" w:rsidRPr="008D6BA9" w:rsidRDefault="000D4214" w:rsidP="008D6BA9">
      <w:pPr>
        <w:spacing w:line="276" w:lineRule="auto"/>
        <w:jc w:val="center"/>
        <w:rPr>
          <w:rFonts w:ascii="Palatino Linotype" w:hAnsi="Palatino Linotype"/>
          <w:b/>
          <w:i/>
        </w:rPr>
      </w:pPr>
      <w:r w:rsidRPr="008D6BA9">
        <w:rPr>
          <w:rFonts w:ascii="Palatino Linotype" w:hAnsi="Palatino Linotype"/>
          <w:b/>
          <w:i/>
          <w:color w:val="1A1A1A"/>
        </w:rPr>
        <w:t>Research Involving Human Embryos Act 2</w:t>
      </w:r>
      <w:bookmarkStart w:id="0" w:name="_GoBack"/>
      <w:bookmarkEnd w:id="0"/>
      <w:r w:rsidRPr="008D6BA9">
        <w:rPr>
          <w:rFonts w:ascii="Palatino Linotype" w:hAnsi="Palatino Linotype"/>
          <w:b/>
          <w:i/>
          <w:color w:val="1A1A1A"/>
        </w:rPr>
        <w:t>002</w:t>
      </w:r>
    </w:p>
    <w:p w14:paraId="3020F902" w14:textId="77777777" w:rsidR="000D4214" w:rsidRPr="008D6BA9" w:rsidRDefault="000D4214" w:rsidP="008D6BA9">
      <w:pPr>
        <w:pStyle w:val="BodyText"/>
        <w:spacing w:line="276" w:lineRule="auto"/>
        <w:rPr>
          <w:rFonts w:ascii="Palatino Linotype" w:hAnsi="Palatino Linotype"/>
          <w:b/>
          <w:i/>
          <w:sz w:val="22"/>
          <w:szCs w:val="22"/>
        </w:rPr>
      </w:pPr>
    </w:p>
    <w:p w14:paraId="7BFDA05C" w14:textId="77777777" w:rsidR="000D4214" w:rsidRPr="008D6BA9" w:rsidRDefault="000D4214" w:rsidP="008D6BA9">
      <w:pPr>
        <w:spacing w:line="276" w:lineRule="auto"/>
        <w:rPr>
          <w:rFonts w:ascii="Palatino Linotype" w:hAnsi="Palatino Linotype"/>
          <w:b/>
        </w:rPr>
      </w:pPr>
      <w:r w:rsidRPr="008D6BA9">
        <w:rPr>
          <w:rFonts w:ascii="Palatino Linotype" w:hAnsi="Palatino Linotype"/>
          <w:b/>
          <w:color w:val="1A1A1A"/>
        </w:rPr>
        <w:t>Summary</w:t>
      </w:r>
    </w:p>
    <w:p w14:paraId="4BFDD312" w14:textId="77E8D125" w:rsidR="000D4214" w:rsidRPr="008D6BA9" w:rsidRDefault="000D4214" w:rsidP="008D6BA9">
      <w:pPr>
        <w:spacing w:line="276" w:lineRule="auto"/>
        <w:rPr>
          <w:rFonts w:ascii="Palatino Linotype" w:hAnsi="Palatino Linotype"/>
        </w:rPr>
      </w:pPr>
      <w:r w:rsidRPr="008D6BA9">
        <w:rPr>
          <w:rFonts w:ascii="Palatino Linotype" w:hAnsi="Palatino Linotype"/>
          <w:color w:val="1A1A1A"/>
        </w:rPr>
        <w:t>S</w:t>
      </w:r>
      <w:r w:rsidR="005E1B92" w:rsidRPr="008D6BA9">
        <w:rPr>
          <w:rFonts w:ascii="Palatino Linotype" w:hAnsi="Palatino Linotype"/>
          <w:color w:val="1A1A1A"/>
        </w:rPr>
        <w:t>ubs</w:t>
      </w:r>
      <w:r w:rsidRPr="008D6BA9">
        <w:rPr>
          <w:rFonts w:ascii="Palatino Linotype" w:hAnsi="Palatino Linotype"/>
          <w:color w:val="1A1A1A"/>
        </w:rPr>
        <w:t>ection 7</w:t>
      </w:r>
      <w:r w:rsidR="00474055" w:rsidRPr="008D6BA9">
        <w:rPr>
          <w:rFonts w:ascii="Palatino Linotype" w:hAnsi="Palatino Linotype"/>
          <w:color w:val="1A1A1A"/>
        </w:rPr>
        <w:t>(1)</w:t>
      </w:r>
      <w:r w:rsidRPr="008D6BA9">
        <w:rPr>
          <w:rFonts w:ascii="Palatino Linotype" w:hAnsi="Palatino Linotype"/>
          <w:color w:val="1A1A1A"/>
        </w:rPr>
        <w:t xml:space="preserve"> of the Com</w:t>
      </w:r>
      <w:r w:rsidR="00C24631" w:rsidRPr="008D6BA9">
        <w:rPr>
          <w:rFonts w:ascii="Palatino Linotype" w:hAnsi="Palatino Linotype"/>
          <w:color w:val="1A1A1A"/>
        </w:rPr>
        <w:t>mo</w:t>
      </w:r>
      <w:r w:rsidRPr="008D6BA9">
        <w:rPr>
          <w:rFonts w:ascii="Palatino Linotype" w:hAnsi="Palatino Linotype"/>
          <w:color w:val="1A1A1A"/>
        </w:rPr>
        <w:t xml:space="preserve">nwealth </w:t>
      </w:r>
      <w:r w:rsidRPr="008D6BA9">
        <w:rPr>
          <w:rFonts w:ascii="Palatino Linotype" w:hAnsi="Palatino Linotype"/>
          <w:i/>
          <w:color w:val="1A1A1A"/>
        </w:rPr>
        <w:t xml:space="preserve">Research Involving Human Embryos Act 2002 </w:t>
      </w:r>
      <w:r w:rsidRPr="008D6BA9">
        <w:rPr>
          <w:rFonts w:ascii="Palatino Linotype" w:hAnsi="Palatino Linotype"/>
          <w:color w:val="1A1A1A"/>
        </w:rPr>
        <w:t xml:space="preserve">(RIHE Act) confers power on the Minister to declare a law </w:t>
      </w:r>
      <w:r w:rsidR="00C24631" w:rsidRPr="008D6BA9">
        <w:rPr>
          <w:rFonts w:ascii="Palatino Linotype" w:hAnsi="Palatino Linotype"/>
          <w:color w:val="1A1A1A"/>
        </w:rPr>
        <w:t xml:space="preserve">of a State or Territory </w:t>
      </w:r>
      <w:r w:rsidRPr="008D6BA9">
        <w:rPr>
          <w:rFonts w:ascii="Palatino Linotype" w:hAnsi="Palatino Linotype"/>
          <w:color w:val="1A1A1A"/>
        </w:rPr>
        <w:t>to be a co</w:t>
      </w:r>
      <w:r w:rsidR="00C24631" w:rsidRPr="008D6BA9">
        <w:rPr>
          <w:rFonts w:ascii="Palatino Linotype" w:hAnsi="Palatino Linotype"/>
          <w:color w:val="1A1A1A"/>
        </w:rPr>
        <w:t>rr</w:t>
      </w:r>
      <w:r w:rsidR="005E1B92" w:rsidRPr="008D6BA9">
        <w:rPr>
          <w:rFonts w:ascii="Palatino Linotype" w:hAnsi="Palatino Linotype"/>
          <w:color w:val="1A1A1A"/>
        </w:rPr>
        <w:t xml:space="preserve">esponding State law for the </w:t>
      </w:r>
      <w:r w:rsidRPr="008D6BA9">
        <w:rPr>
          <w:rFonts w:ascii="Palatino Linotype" w:hAnsi="Palatino Linotype"/>
          <w:color w:val="1A1A1A"/>
        </w:rPr>
        <w:t xml:space="preserve">purposes of the RIHE Act. This Ministerial declaration </w:t>
      </w:r>
      <w:r w:rsidR="00B44DBE">
        <w:rPr>
          <w:rFonts w:ascii="Palatino Linotype" w:hAnsi="Palatino Linotype"/>
          <w:color w:val="1A1A1A"/>
        </w:rPr>
        <w:t xml:space="preserve">replaces </w:t>
      </w:r>
      <w:r w:rsidR="00C24631" w:rsidRPr="008D6BA9">
        <w:rPr>
          <w:rFonts w:ascii="Palatino Linotype" w:hAnsi="Palatino Linotype"/>
          <w:color w:val="1A1A1A"/>
        </w:rPr>
        <w:t xml:space="preserve">an earlier </w:t>
      </w:r>
      <w:r w:rsidR="00B364BB" w:rsidRPr="008D6BA9">
        <w:rPr>
          <w:rFonts w:ascii="Palatino Linotype" w:hAnsi="Palatino Linotype"/>
          <w:color w:val="1A1A1A"/>
        </w:rPr>
        <w:t>M</w:t>
      </w:r>
      <w:r w:rsidR="00C24631" w:rsidRPr="008D6BA9">
        <w:rPr>
          <w:rFonts w:ascii="Palatino Linotype" w:hAnsi="Palatino Linotype"/>
          <w:color w:val="1A1A1A"/>
        </w:rPr>
        <w:t>inisterial declaration</w:t>
      </w:r>
      <w:r w:rsidR="00B44DBE">
        <w:rPr>
          <w:rFonts w:ascii="Palatino Linotype" w:hAnsi="Palatino Linotype"/>
          <w:color w:val="1A1A1A"/>
        </w:rPr>
        <w:t xml:space="preserve"> that </w:t>
      </w:r>
      <w:proofErr w:type="spellStart"/>
      <w:r w:rsidR="00B44DBE">
        <w:rPr>
          <w:rFonts w:ascii="Palatino Linotype" w:hAnsi="Palatino Linotype"/>
          <w:color w:val="1A1A1A"/>
        </w:rPr>
        <w:t>sunsetted</w:t>
      </w:r>
      <w:proofErr w:type="spellEnd"/>
      <w:r w:rsidR="00B44DBE">
        <w:rPr>
          <w:rFonts w:ascii="Palatino Linotype" w:hAnsi="Palatino Linotype"/>
          <w:color w:val="1A1A1A"/>
        </w:rPr>
        <w:t xml:space="preserve"> on 1 October 2018</w:t>
      </w:r>
      <w:r w:rsidR="00C24631" w:rsidRPr="008D6BA9">
        <w:rPr>
          <w:rFonts w:ascii="Palatino Linotype" w:hAnsi="Palatino Linotype"/>
          <w:color w:val="1A1A1A"/>
        </w:rPr>
        <w:t xml:space="preserve">, and provides that </w:t>
      </w:r>
      <w:r w:rsidR="005E1B92" w:rsidRPr="008D6BA9">
        <w:rPr>
          <w:rFonts w:ascii="Palatino Linotype" w:hAnsi="Palatino Linotype"/>
          <w:color w:val="1A1A1A"/>
        </w:rPr>
        <w:t>t</w:t>
      </w:r>
      <w:r w:rsidR="00C24631" w:rsidRPr="008D6BA9">
        <w:rPr>
          <w:rFonts w:ascii="Palatino Linotype" w:hAnsi="Palatino Linotype"/>
          <w:color w:val="1A1A1A"/>
        </w:rPr>
        <w:t>he Tasmanian</w:t>
      </w:r>
      <w:r w:rsidRPr="008D6BA9">
        <w:rPr>
          <w:rFonts w:ascii="Palatino Linotype" w:hAnsi="Palatino Linotype"/>
          <w:color w:val="1A1A1A"/>
        </w:rPr>
        <w:t xml:space="preserve"> </w:t>
      </w:r>
      <w:r w:rsidRPr="008D6BA9">
        <w:rPr>
          <w:rFonts w:ascii="Palatino Linotype" w:hAnsi="Palatino Linotype"/>
          <w:i/>
          <w:color w:val="1A1A1A"/>
        </w:rPr>
        <w:t>Human Emb</w:t>
      </w:r>
      <w:r w:rsidR="00C24631" w:rsidRPr="008D6BA9">
        <w:rPr>
          <w:rFonts w:ascii="Palatino Linotype" w:hAnsi="Palatino Linotype"/>
          <w:i/>
          <w:color w:val="1A1A1A"/>
        </w:rPr>
        <w:t>r</w:t>
      </w:r>
      <w:r w:rsidRPr="008D6BA9">
        <w:rPr>
          <w:rFonts w:ascii="Palatino Linotype" w:hAnsi="Palatino Linotype"/>
          <w:i/>
          <w:color w:val="363636"/>
        </w:rPr>
        <w:t>y</w:t>
      </w:r>
      <w:r w:rsidRPr="008D6BA9">
        <w:rPr>
          <w:rFonts w:ascii="Palatino Linotype" w:hAnsi="Palatino Linotype"/>
          <w:i/>
          <w:color w:val="1A1A1A"/>
        </w:rPr>
        <w:t xml:space="preserve">onic Research Regulation Act 2003 </w:t>
      </w:r>
      <w:r w:rsidR="00474055" w:rsidRPr="008D6BA9">
        <w:rPr>
          <w:rFonts w:ascii="Palatino Linotype" w:hAnsi="Palatino Linotype"/>
          <w:color w:val="1A1A1A"/>
        </w:rPr>
        <w:t>(Tasmanian Act) is</w:t>
      </w:r>
      <w:r w:rsidRPr="008D6BA9">
        <w:rPr>
          <w:rFonts w:ascii="Palatino Linotype" w:hAnsi="Palatino Linotype"/>
          <w:color w:val="1A1A1A"/>
        </w:rPr>
        <w:t xml:space="preserve"> a c</w:t>
      </w:r>
      <w:r w:rsidR="00C24631" w:rsidRPr="008D6BA9">
        <w:rPr>
          <w:rFonts w:ascii="Palatino Linotype" w:hAnsi="Palatino Linotype"/>
          <w:color w:val="1A1A1A"/>
        </w:rPr>
        <w:t>orre</w:t>
      </w:r>
      <w:r w:rsidR="005E1B92" w:rsidRPr="008D6BA9">
        <w:rPr>
          <w:rFonts w:ascii="Palatino Linotype" w:hAnsi="Palatino Linotype"/>
          <w:color w:val="1A1A1A"/>
        </w:rPr>
        <w:t>sponding</w:t>
      </w:r>
      <w:r w:rsidRPr="008D6BA9">
        <w:rPr>
          <w:rFonts w:ascii="Palatino Linotype" w:hAnsi="Palatino Linotype"/>
          <w:color w:val="1A1A1A"/>
        </w:rPr>
        <w:t xml:space="preserve"> State law.</w:t>
      </w:r>
    </w:p>
    <w:p w14:paraId="639737DF" w14:textId="77777777" w:rsidR="000D4214" w:rsidRPr="008D6BA9" w:rsidRDefault="000D4214" w:rsidP="008D6BA9">
      <w:pPr>
        <w:pStyle w:val="BodyText"/>
        <w:spacing w:line="276" w:lineRule="auto"/>
        <w:rPr>
          <w:rFonts w:ascii="Palatino Linotype" w:hAnsi="Palatino Linotype"/>
          <w:sz w:val="22"/>
          <w:szCs w:val="22"/>
        </w:rPr>
      </w:pPr>
    </w:p>
    <w:p w14:paraId="3B475A27" w14:textId="77777777" w:rsidR="000D4214" w:rsidRPr="008D6BA9" w:rsidRDefault="000D4214" w:rsidP="008D6BA9">
      <w:pPr>
        <w:pStyle w:val="Heading4"/>
        <w:spacing w:line="276" w:lineRule="auto"/>
        <w:ind w:left="0"/>
        <w:rPr>
          <w:rFonts w:ascii="Palatino Linotype" w:hAnsi="Palatino Linotype"/>
          <w:sz w:val="22"/>
          <w:szCs w:val="22"/>
        </w:rPr>
      </w:pPr>
      <w:r w:rsidRPr="008D6BA9">
        <w:rPr>
          <w:rFonts w:ascii="Palatino Linotype" w:hAnsi="Palatino Linotype"/>
          <w:color w:val="1A1A1A"/>
          <w:sz w:val="22"/>
          <w:szCs w:val="22"/>
        </w:rPr>
        <w:t>Background</w:t>
      </w:r>
    </w:p>
    <w:p w14:paraId="3B5A5279" w14:textId="77777777" w:rsidR="000D4214" w:rsidRPr="008D6BA9" w:rsidRDefault="000D4214" w:rsidP="008D6BA9">
      <w:pPr>
        <w:pStyle w:val="BodyText"/>
        <w:spacing w:line="276" w:lineRule="auto"/>
        <w:rPr>
          <w:rFonts w:ascii="Palatino Linotype" w:hAnsi="Palatino Linotype"/>
          <w:sz w:val="22"/>
          <w:szCs w:val="22"/>
        </w:rPr>
      </w:pPr>
      <w:r w:rsidRPr="008D6BA9">
        <w:rPr>
          <w:rFonts w:ascii="Palatino Linotype" w:hAnsi="Palatino Linotype"/>
          <w:color w:val="1A1A1A"/>
          <w:sz w:val="22"/>
          <w:szCs w:val="22"/>
        </w:rPr>
        <w:t>The RIHE Act, which received Royal Assent on 19 December 2002, regulates the use of human embryos for research where those embryos have been created for assisted reproductive technology and are excess to couples' needs. S</w:t>
      </w:r>
      <w:r w:rsidR="005E1B92" w:rsidRPr="008D6BA9">
        <w:rPr>
          <w:rFonts w:ascii="Palatino Linotype" w:hAnsi="Palatino Linotype"/>
          <w:color w:val="1A1A1A"/>
          <w:sz w:val="22"/>
          <w:szCs w:val="22"/>
        </w:rPr>
        <w:t>ubs</w:t>
      </w:r>
      <w:r w:rsidRPr="008D6BA9">
        <w:rPr>
          <w:rFonts w:ascii="Palatino Linotype" w:hAnsi="Palatino Linotype"/>
          <w:color w:val="1A1A1A"/>
          <w:sz w:val="22"/>
          <w:szCs w:val="22"/>
        </w:rPr>
        <w:t>ection 7</w:t>
      </w:r>
      <w:r w:rsidR="001C3064" w:rsidRPr="008D6BA9">
        <w:rPr>
          <w:rFonts w:ascii="Palatino Linotype" w:hAnsi="Palatino Linotype"/>
          <w:color w:val="1A1A1A"/>
          <w:sz w:val="22"/>
          <w:szCs w:val="22"/>
        </w:rPr>
        <w:t>(1)</w:t>
      </w:r>
      <w:r w:rsidRPr="008D6BA9">
        <w:rPr>
          <w:rFonts w:ascii="Palatino Linotype" w:hAnsi="Palatino Linotype"/>
          <w:color w:val="1A1A1A"/>
          <w:sz w:val="22"/>
          <w:szCs w:val="22"/>
        </w:rPr>
        <w:t xml:space="preserve"> of the RIHE Act provides that a 'co</w:t>
      </w:r>
      <w:r w:rsidR="00C43047" w:rsidRPr="008D6BA9">
        <w:rPr>
          <w:rFonts w:ascii="Palatino Linotype" w:hAnsi="Palatino Linotype"/>
          <w:color w:val="1A1A1A"/>
          <w:sz w:val="22"/>
          <w:szCs w:val="22"/>
        </w:rPr>
        <w:t>rr</w:t>
      </w:r>
      <w:r w:rsidRPr="008D6BA9">
        <w:rPr>
          <w:rFonts w:ascii="Palatino Linotype" w:hAnsi="Palatino Linotype"/>
          <w:color w:val="1A1A1A"/>
          <w:sz w:val="22"/>
          <w:szCs w:val="22"/>
        </w:rPr>
        <w:t>esponding State law</w:t>
      </w:r>
      <w:r w:rsidRPr="008D6BA9">
        <w:rPr>
          <w:rFonts w:ascii="Palatino Linotype" w:hAnsi="Palatino Linotype"/>
          <w:color w:val="363636"/>
          <w:sz w:val="22"/>
          <w:szCs w:val="22"/>
        </w:rPr>
        <w:t xml:space="preserve">' </w:t>
      </w:r>
      <w:r w:rsidRPr="008D6BA9">
        <w:rPr>
          <w:rFonts w:ascii="Palatino Linotype" w:hAnsi="Palatino Linotype"/>
          <w:color w:val="1A1A1A"/>
          <w:sz w:val="22"/>
          <w:szCs w:val="22"/>
        </w:rPr>
        <w:t>is</w:t>
      </w:r>
      <w:r w:rsidRPr="008D6BA9">
        <w:rPr>
          <w:rFonts w:ascii="Palatino Linotype" w:hAnsi="Palatino Linotype"/>
          <w:color w:val="363636"/>
          <w:sz w:val="22"/>
          <w:szCs w:val="22"/>
        </w:rPr>
        <w:t xml:space="preserve">, </w:t>
      </w:r>
      <w:r w:rsidRPr="008D6BA9">
        <w:rPr>
          <w:rFonts w:ascii="Palatino Linotype" w:hAnsi="Palatino Linotype"/>
          <w:color w:val="1A1A1A"/>
          <w:sz w:val="22"/>
          <w:szCs w:val="22"/>
        </w:rPr>
        <w:t>in effect, a law of a State (or Territo</w:t>
      </w:r>
      <w:r w:rsidR="00C43047" w:rsidRPr="008D6BA9">
        <w:rPr>
          <w:rFonts w:ascii="Palatino Linotype" w:hAnsi="Palatino Linotype"/>
          <w:color w:val="1A1A1A"/>
          <w:sz w:val="22"/>
          <w:szCs w:val="22"/>
        </w:rPr>
        <w:t>r</w:t>
      </w:r>
      <w:r w:rsidRPr="008D6BA9">
        <w:rPr>
          <w:rFonts w:ascii="Palatino Linotype" w:hAnsi="Palatino Linotype"/>
          <w:color w:val="1A1A1A"/>
          <w:sz w:val="22"/>
          <w:szCs w:val="22"/>
        </w:rPr>
        <w:t>y) which the Minister has declared to be co</w:t>
      </w:r>
      <w:r w:rsidR="00C43047" w:rsidRPr="008D6BA9">
        <w:rPr>
          <w:rFonts w:ascii="Palatino Linotype" w:hAnsi="Palatino Linotype"/>
          <w:color w:val="1A1A1A"/>
          <w:sz w:val="22"/>
          <w:szCs w:val="22"/>
        </w:rPr>
        <w:t>rre</w:t>
      </w:r>
      <w:r w:rsidRPr="008D6BA9">
        <w:rPr>
          <w:rFonts w:ascii="Palatino Linotype" w:hAnsi="Palatino Linotype"/>
          <w:color w:val="1A1A1A"/>
          <w:sz w:val="22"/>
          <w:szCs w:val="22"/>
        </w:rPr>
        <w:t>sponding.</w:t>
      </w:r>
    </w:p>
    <w:p w14:paraId="131AD0AA" w14:textId="77777777" w:rsidR="000D4214" w:rsidRPr="008D6BA9" w:rsidRDefault="000D4214" w:rsidP="008D6BA9">
      <w:pPr>
        <w:pStyle w:val="BodyText"/>
        <w:spacing w:line="276" w:lineRule="auto"/>
        <w:rPr>
          <w:rFonts w:ascii="Palatino Linotype" w:hAnsi="Palatino Linotype"/>
          <w:sz w:val="22"/>
          <w:szCs w:val="22"/>
        </w:rPr>
      </w:pPr>
    </w:p>
    <w:p w14:paraId="06C3C208" w14:textId="77777777" w:rsidR="00C43047" w:rsidRPr="008D6BA9" w:rsidRDefault="005E1B92" w:rsidP="008D6BA9">
      <w:pPr>
        <w:pStyle w:val="BodyText"/>
        <w:spacing w:line="276" w:lineRule="auto"/>
        <w:rPr>
          <w:rFonts w:ascii="Palatino Linotype" w:hAnsi="Palatino Linotype"/>
          <w:color w:val="1A1A1A"/>
          <w:sz w:val="22"/>
          <w:szCs w:val="22"/>
        </w:rPr>
      </w:pPr>
      <w:r w:rsidRPr="008D6BA9">
        <w:rPr>
          <w:rFonts w:ascii="Palatino Linotype" w:hAnsi="Palatino Linotype"/>
          <w:color w:val="1A1A1A"/>
          <w:sz w:val="22"/>
          <w:szCs w:val="22"/>
        </w:rPr>
        <w:t xml:space="preserve">Under </w:t>
      </w:r>
      <w:r w:rsidR="000D4214" w:rsidRPr="008D6BA9">
        <w:rPr>
          <w:rFonts w:ascii="Palatino Linotype" w:hAnsi="Palatino Linotype"/>
          <w:color w:val="1A1A1A"/>
          <w:sz w:val="22"/>
          <w:szCs w:val="22"/>
        </w:rPr>
        <w:t>an agreement reached by all jurisdictions at a Council of Australian Governments (C</w:t>
      </w:r>
      <w:r w:rsidR="00474055" w:rsidRPr="008D6BA9">
        <w:rPr>
          <w:rFonts w:ascii="Palatino Linotype" w:hAnsi="Palatino Linotype"/>
          <w:color w:val="1A1A1A"/>
          <w:sz w:val="22"/>
          <w:szCs w:val="22"/>
        </w:rPr>
        <w:t>O</w:t>
      </w:r>
      <w:r w:rsidR="000D4214" w:rsidRPr="008D6BA9">
        <w:rPr>
          <w:rFonts w:ascii="Palatino Linotype" w:hAnsi="Palatino Linotype"/>
          <w:color w:val="1A1A1A"/>
          <w:sz w:val="22"/>
          <w:szCs w:val="22"/>
        </w:rPr>
        <w:t>AG) meeting in April 2002, each State and the Australian Capital Te</w:t>
      </w:r>
      <w:r w:rsidR="00C43047" w:rsidRPr="008D6BA9">
        <w:rPr>
          <w:rFonts w:ascii="Palatino Linotype" w:hAnsi="Palatino Linotype"/>
          <w:color w:val="1A1A1A"/>
          <w:sz w:val="22"/>
          <w:szCs w:val="22"/>
        </w:rPr>
        <w:t>rr</w:t>
      </w:r>
      <w:r w:rsidR="000D4214" w:rsidRPr="008D6BA9">
        <w:rPr>
          <w:rFonts w:ascii="Palatino Linotype" w:hAnsi="Palatino Linotype"/>
          <w:color w:val="1A1A1A"/>
          <w:sz w:val="22"/>
          <w:szCs w:val="22"/>
        </w:rPr>
        <w:t xml:space="preserve">itory </w:t>
      </w:r>
      <w:r w:rsidRPr="008D6BA9">
        <w:rPr>
          <w:rFonts w:ascii="Palatino Linotype" w:hAnsi="Palatino Linotype"/>
          <w:color w:val="1A1A1A"/>
          <w:sz w:val="22"/>
          <w:szCs w:val="22"/>
        </w:rPr>
        <w:t xml:space="preserve">undertook to enact </w:t>
      </w:r>
      <w:r w:rsidR="000D4214" w:rsidRPr="008D6BA9">
        <w:rPr>
          <w:rFonts w:ascii="Palatino Linotype" w:hAnsi="Palatino Linotype"/>
          <w:color w:val="1A1A1A"/>
          <w:sz w:val="22"/>
          <w:szCs w:val="22"/>
        </w:rPr>
        <w:t>its own legislation to achieve national consistency with the RIHE Act.</w:t>
      </w:r>
      <w:r w:rsidRPr="008D6BA9">
        <w:rPr>
          <w:rFonts w:ascii="Palatino Linotype" w:hAnsi="Palatino Linotype"/>
          <w:color w:val="1A1A1A"/>
          <w:sz w:val="22"/>
          <w:szCs w:val="22"/>
        </w:rPr>
        <w:t xml:space="preserve"> In this context, t</w:t>
      </w:r>
      <w:r w:rsidR="00C43047" w:rsidRPr="008D6BA9">
        <w:rPr>
          <w:rFonts w:ascii="Palatino Linotype" w:hAnsi="Palatino Linotype"/>
          <w:color w:val="1A1A1A"/>
          <w:sz w:val="22"/>
          <w:szCs w:val="22"/>
        </w:rPr>
        <w:t xml:space="preserve">he Tasmanian </w:t>
      </w:r>
      <w:r w:rsidR="00474055" w:rsidRPr="008D6BA9">
        <w:rPr>
          <w:rFonts w:ascii="Palatino Linotype" w:hAnsi="Palatino Linotype"/>
          <w:color w:val="1A1A1A"/>
          <w:sz w:val="22"/>
          <w:szCs w:val="22"/>
        </w:rPr>
        <w:t xml:space="preserve">Parliament </w:t>
      </w:r>
      <w:r w:rsidR="00C43047" w:rsidRPr="008D6BA9">
        <w:rPr>
          <w:rFonts w:ascii="Palatino Linotype" w:hAnsi="Palatino Linotype"/>
          <w:color w:val="1A1A1A"/>
          <w:sz w:val="22"/>
          <w:szCs w:val="22"/>
        </w:rPr>
        <w:t xml:space="preserve">enacted the </w:t>
      </w:r>
      <w:r w:rsidR="00C43047" w:rsidRPr="008D6BA9">
        <w:rPr>
          <w:rFonts w:ascii="Palatino Linotype" w:hAnsi="Palatino Linotype"/>
          <w:i/>
          <w:color w:val="1A1A1A"/>
          <w:sz w:val="22"/>
          <w:szCs w:val="22"/>
        </w:rPr>
        <w:t>Human Embryonic Research Regulation Act 2003</w:t>
      </w:r>
      <w:r w:rsidR="00C43047" w:rsidRPr="008D6BA9">
        <w:rPr>
          <w:rFonts w:ascii="Palatino Linotype" w:hAnsi="Palatino Linotype"/>
          <w:color w:val="1A1A1A"/>
          <w:sz w:val="22"/>
          <w:szCs w:val="22"/>
        </w:rPr>
        <w:t xml:space="preserve"> (Tasmanian Act).</w:t>
      </w:r>
      <w:r w:rsidR="000D4214" w:rsidRPr="008D6BA9">
        <w:rPr>
          <w:rFonts w:ascii="Palatino Linotype" w:hAnsi="Palatino Linotype"/>
          <w:color w:val="1A1A1A"/>
          <w:sz w:val="22"/>
          <w:szCs w:val="22"/>
        </w:rPr>
        <w:t xml:space="preserve"> </w:t>
      </w:r>
    </w:p>
    <w:p w14:paraId="1EF77032" w14:textId="77777777" w:rsidR="00C43047" w:rsidRPr="008D6BA9" w:rsidRDefault="00C43047" w:rsidP="008D6BA9">
      <w:pPr>
        <w:pStyle w:val="BodyText"/>
        <w:spacing w:line="276" w:lineRule="auto"/>
        <w:rPr>
          <w:rFonts w:ascii="Palatino Linotype" w:hAnsi="Palatino Linotype"/>
          <w:color w:val="1A1A1A"/>
          <w:sz w:val="22"/>
          <w:szCs w:val="22"/>
        </w:rPr>
      </w:pPr>
    </w:p>
    <w:p w14:paraId="1597E5FD" w14:textId="77777777" w:rsidR="00984C69" w:rsidRPr="008D6BA9" w:rsidRDefault="005E1B92" w:rsidP="008D6BA9">
      <w:pPr>
        <w:pStyle w:val="BodyText"/>
        <w:spacing w:line="276" w:lineRule="auto"/>
        <w:rPr>
          <w:rFonts w:ascii="Palatino Linotype" w:hAnsi="Palatino Linotype"/>
          <w:color w:val="1A1A1A"/>
          <w:sz w:val="22"/>
          <w:szCs w:val="22"/>
        </w:rPr>
      </w:pPr>
      <w:r w:rsidRPr="008D6BA9">
        <w:rPr>
          <w:rFonts w:ascii="Palatino Linotype" w:hAnsi="Palatino Linotype"/>
          <w:color w:val="1A1A1A"/>
          <w:sz w:val="22"/>
          <w:szCs w:val="22"/>
        </w:rPr>
        <w:t>I</w:t>
      </w:r>
      <w:r w:rsidR="00C43047" w:rsidRPr="008D6BA9">
        <w:rPr>
          <w:rFonts w:ascii="Palatino Linotype" w:hAnsi="Palatino Linotype"/>
          <w:color w:val="1A1A1A"/>
          <w:sz w:val="22"/>
          <w:szCs w:val="22"/>
        </w:rPr>
        <w:t xml:space="preserve">n </w:t>
      </w:r>
      <w:r w:rsidR="000D4214" w:rsidRPr="008D6BA9">
        <w:rPr>
          <w:rFonts w:ascii="Palatino Linotype" w:hAnsi="Palatino Linotype"/>
          <w:color w:val="1A1A1A"/>
          <w:sz w:val="22"/>
          <w:szCs w:val="22"/>
        </w:rPr>
        <w:t xml:space="preserve">2006, the RIHE Act was amended by the </w:t>
      </w:r>
      <w:r w:rsidR="000D4214" w:rsidRPr="008D6BA9">
        <w:rPr>
          <w:rFonts w:ascii="Palatino Linotype" w:hAnsi="Palatino Linotype"/>
          <w:i/>
          <w:color w:val="1A1A1A"/>
          <w:sz w:val="22"/>
          <w:szCs w:val="22"/>
        </w:rPr>
        <w:t>Prohibition of Human Cloning for R</w:t>
      </w:r>
      <w:r w:rsidR="000D4214" w:rsidRPr="008D6BA9">
        <w:rPr>
          <w:rFonts w:ascii="Palatino Linotype" w:hAnsi="Palatino Linotype"/>
          <w:i/>
          <w:color w:val="363636"/>
          <w:sz w:val="22"/>
          <w:szCs w:val="22"/>
        </w:rPr>
        <w:t>e</w:t>
      </w:r>
      <w:r w:rsidR="000D4214" w:rsidRPr="008D6BA9">
        <w:rPr>
          <w:rFonts w:ascii="Palatino Linotype" w:hAnsi="Palatino Linotype"/>
          <w:i/>
          <w:color w:val="1A1A1A"/>
          <w:sz w:val="22"/>
          <w:szCs w:val="22"/>
        </w:rPr>
        <w:t xml:space="preserve">production and the Regulation of Human Embryo Research Amendment Act 2006. </w:t>
      </w:r>
      <w:r w:rsidR="000D4214" w:rsidRPr="008D6BA9">
        <w:rPr>
          <w:rFonts w:ascii="Palatino Linotype" w:hAnsi="Palatino Linotype"/>
          <w:color w:val="1A1A1A"/>
          <w:sz w:val="22"/>
          <w:szCs w:val="22"/>
        </w:rPr>
        <w:t xml:space="preserve">As a response to the </w:t>
      </w:r>
      <w:r w:rsidR="000D4214" w:rsidRPr="008D6BA9">
        <w:rPr>
          <w:rFonts w:ascii="Palatino Linotype" w:hAnsi="Palatino Linotype"/>
          <w:color w:val="B8B8B8"/>
          <w:sz w:val="22"/>
          <w:szCs w:val="22"/>
        </w:rPr>
        <w:t>.</w:t>
      </w:r>
      <w:r w:rsidR="000D4214" w:rsidRPr="008D6BA9">
        <w:rPr>
          <w:rFonts w:ascii="Palatino Linotype" w:hAnsi="Palatino Linotype"/>
          <w:color w:val="1A1A1A"/>
          <w:sz w:val="22"/>
          <w:szCs w:val="22"/>
        </w:rPr>
        <w:t>Co</w:t>
      </w:r>
      <w:r w:rsidR="00C43047" w:rsidRPr="008D6BA9">
        <w:rPr>
          <w:rFonts w:ascii="Palatino Linotype" w:hAnsi="Palatino Linotype"/>
          <w:color w:val="1A1A1A"/>
          <w:sz w:val="22"/>
          <w:szCs w:val="22"/>
        </w:rPr>
        <w:t>mm</w:t>
      </w:r>
      <w:r w:rsidR="000D4214" w:rsidRPr="008D6BA9">
        <w:rPr>
          <w:rFonts w:ascii="Palatino Linotype" w:hAnsi="Palatino Linotype"/>
          <w:color w:val="1A1A1A"/>
          <w:sz w:val="22"/>
          <w:szCs w:val="22"/>
        </w:rPr>
        <w:t>onwealth</w:t>
      </w:r>
      <w:r w:rsidR="000D4214" w:rsidRPr="008D6BA9">
        <w:rPr>
          <w:rFonts w:ascii="Palatino Linotype" w:hAnsi="Palatino Linotype"/>
          <w:color w:val="363636"/>
          <w:sz w:val="22"/>
          <w:szCs w:val="22"/>
        </w:rPr>
        <w:t>'</w:t>
      </w:r>
      <w:r w:rsidR="000D4214" w:rsidRPr="008D6BA9">
        <w:rPr>
          <w:rFonts w:ascii="Palatino Linotype" w:hAnsi="Palatino Linotype"/>
          <w:color w:val="1A1A1A"/>
          <w:sz w:val="22"/>
          <w:szCs w:val="22"/>
        </w:rPr>
        <w:t xml:space="preserve">s changes to the RIHE Act, </w:t>
      </w:r>
      <w:r w:rsidR="00C43047" w:rsidRPr="008D6BA9">
        <w:rPr>
          <w:rFonts w:ascii="Palatino Linotype" w:hAnsi="Palatino Linotype"/>
          <w:color w:val="1A1A1A"/>
          <w:sz w:val="22"/>
          <w:szCs w:val="22"/>
        </w:rPr>
        <w:t>t</w:t>
      </w:r>
      <w:r w:rsidR="000D4214" w:rsidRPr="008D6BA9">
        <w:rPr>
          <w:rFonts w:ascii="Palatino Linotype" w:hAnsi="Palatino Linotype"/>
          <w:color w:val="1A1A1A"/>
          <w:sz w:val="22"/>
          <w:szCs w:val="22"/>
        </w:rPr>
        <w:t xml:space="preserve">he Tasmanian </w:t>
      </w:r>
      <w:r w:rsidR="00474055" w:rsidRPr="008D6BA9">
        <w:rPr>
          <w:rFonts w:ascii="Palatino Linotype" w:hAnsi="Palatino Linotype"/>
          <w:color w:val="1A1A1A"/>
          <w:sz w:val="22"/>
          <w:szCs w:val="22"/>
        </w:rPr>
        <w:t>Parliament</w:t>
      </w:r>
      <w:r w:rsidR="000D4214" w:rsidRPr="008D6BA9">
        <w:rPr>
          <w:rFonts w:ascii="Palatino Linotype" w:hAnsi="Palatino Linotype"/>
          <w:color w:val="1A1A1A"/>
          <w:sz w:val="22"/>
          <w:szCs w:val="22"/>
        </w:rPr>
        <w:t xml:space="preserve"> amended the Tasmanian Act with effect from 13 December 2007</w:t>
      </w:r>
      <w:r w:rsidR="000D4214" w:rsidRPr="008D6BA9">
        <w:rPr>
          <w:rFonts w:ascii="Palatino Linotype" w:hAnsi="Palatino Linotype"/>
          <w:color w:val="363636"/>
          <w:sz w:val="22"/>
          <w:szCs w:val="22"/>
        </w:rPr>
        <w:t xml:space="preserve">, </w:t>
      </w:r>
      <w:r w:rsidR="000D4214" w:rsidRPr="008D6BA9">
        <w:rPr>
          <w:rFonts w:ascii="Palatino Linotype" w:hAnsi="Palatino Linotype"/>
          <w:color w:val="1A1A1A"/>
          <w:sz w:val="22"/>
          <w:szCs w:val="22"/>
        </w:rPr>
        <w:t xml:space="preserve">so that it </w:t>
      </w:r>
      <w:r w:rsidR="00C43047" w:rsidRPr="008D6BA9">
        <w:rPr>
          <w:rFonts w:ascii="Palatino Linotype" w:hAnsi="Palatino Linotype"/>
          <w:color w:val="1A1A1A"/>
          <w:sz w:val="22"/>
          <w:szCs w:val="22"/>
        </w:rPr>
        <w:t>continue</w:t>
      </w:r>
      <w:r w:rsidR="00984C69" w:rsidRPr="008D6BA9">
        <w:rPr>
          <w:rFonts w:ascii="Palatino Linotype" w:hAnsi="Palatino Linotype"/>
          <w:color w:val="1A1A1A"/>
          <w:sz w:val="22"/>
          <w:szCs w:val="22"/>
        </w:rPr>
        <w:t>d</w:t>
      </w:r>
      <w:r w:rsidR="00C43047" w:rsidRPr="008D6BA9">
        <w:rPr>
          <w:rFonts w:ascii="Palatino Linotype" w:hAnsi="Palatino Linotype"/>
          <w:color w:val="1A1A1A"/>
          <w:sz w:val="22"/>
          <w:szCs w:val="22"/>
        </w:rPr>
        <w:t xml:space="preserve"> to be in </w:t>
      </w:r>
      <w:r w:rsidR="000D4214" w:rsidRPr="008D6BA9">
        <w:rPr>
          <w:rFonts w:ascii="Palatino Linotype" w:hAnsi="Palatino Linotype"/>
          <w:color w:val="1A1A1A"/>
          <w:sz w:val="22"/>
          <w:szCs w:val="22"/>
        </w:rPr>
        <w:t>a form appropriate to be a 'co</w:t>
      </w:r>
      <w:r w:rsidR="00C43047" w:rsidRPr="008D6BA9">
        <w:rPr>
          <w:rFonts w:ascii="Palatino Linotype" w:hAnsi="Palatino Linotype"/>
          <w:color w:val="1A1A1A"/>
          <w:sz w:val="22"/>
          <w:szCs w:val="22"/>
        </w:rPr>
        <w:t>rre</w:t>
      </w:r>
      <w:r w:rsidR="000D4214" w:rsidRPr="008D6BA9">
        <w:rPr>
          <w:rFonts w:ascii="Palatino Linotype" w:hAnsi="Palatino Linotype"/>
          <w:color w:val="1A1A1A"/>
          <w:sz w:val="22"/>
          <w:szCs w:val="22"/>
        </w:rPr>
        <w:t>sponding State law' for the purposes of the RIHE Act.</w:t>
      </w:r>
      <w:r w:rsidR="00474055" w:rsidRPr="008D6BA9">
        <w:rPr>
          <w:rFonts w:ascii="Palatino Linotype" w:hAnsi="Palatino Linotype"/>
          <w:color w:val="1A1A1A"/>
          <w:sz w:val="22"/>
          <w:szCs w:val="22"/>
        </w:rPr>
        <w:t xml:space="preserve"> </w:t>
      </w:r>
      <w:r w:rsidR="000D4214" w:rsidRPr="008D6BA9">
        <w:rPr>
          <w:rFonts w:ascii="Palatino Linotype" w:hAnsi="Palatino Linotype"/>
          <w:color w:val="1A1A1A"/>
          <w:sz w:val="22"/>
          <w:szCs w:val="22"/>
        </w:rPr>
        <w:t xml:space="preserve">The Tasmanian amending legislation </w:t>
      </w:r>
      <w:r w:rsidR="00BB0D65" w:rsidRPr="008D6BA9">
        <w:rPr>
          <w:rFonts w:ascii="Palatino Linotype" w:hAnsi="Palatino Linotype"/>
          <w:color w:val="1A1A1A"/>
          <w:sz w:val="22"/>
          <w:szCs w:val="22"/>
        </w:rPr>
        <w:t>was</w:t>
      </w:r>
      <w:r w:rsidR="000D4214" w:rsidRPr="008D6BA9">
        <w:rPr>
          <w:rFonts w:ascii="Palatino Linotype" w:hAnsi="Palatino Linotype"/>
          <w:color w:val="1A1A1A"/>
          <w:sz w:val="22"/>
          <w:szCs w:val="22"/>
        </w:rPr>
        <w:t xml:space="preserve"> the </w:t>
      </w:r>
      <w:r w:rsidR="000D4214" w:rsidRPr="008D6BA9">
        <w:rPr>
          <w:rFonts w:ascii="Palatino Linotype" w:hAnsi="Palatino Linotype"/>
          <w:i/>
          <w:color w:val="1A1A1A"/>
          <w:sz w:val="22"/>
          <w:szCs w:val="22"/>
        </w:rPr>
        <w:t>Human Cloning and Other Prohibited Practices Amendment Act 2007.</w:t>
      </w:r>
      <w:r w:rsidR="00BB0D65" w:rsidRPr="008D6BA9">
        <w:rPr>
          <w:rFonts w:ascii="Palatino Linotype" w:hAnsi="Palatino Linotype"/>
          <w:i/>
          <w:color w:val="1A1A1A"/>
          <w:sz w:val="22"/>
          <w:szCs w:val="22"/>
        </w:rPr>
        <w:t xml:space="preserve"> </w:t>
      </w:r>
      <w:r w:rsidR="00984C69" w:rsidRPr="008D6BA9">
        <w:rPr>
          <w:rFonts w:ascii="Palatino Linotype" w:hAnsi="Palatino Linotype"/>
          <w:color w:val="1A1A1A"/>
          <w:sz w:val="22"/>
          <w:szCs w:val="22"/>
        </w:rPr>
        <w:t xml:space="preserve">Most </w:t>
      </w:r>
      <w:r w:rsidR="00B364BB" w:rsidRPr="008D6BA9">
        <w:rPr>
          <w:rFonts w:ascii="Palatino Linotype" w:hAnsi="Palatino Linotype"/>
          <w:color w:val="1A1A1A"/>
          <w:sz w:val="22"/>
          <w:szCs w:val="22"/>
        </w:rPr>
        <w:t>recently, in 2008, the Tasmanian Act</w:t>
      </w:r>
      <w:r w:rsidR="00BB0D65" w:rsidRPr="008D6BA9">
        <w:rPr>
          <w:rFonts w:ascii="Palatino Linotype" w:hAnsi="Palatino Linotype"/>
          <w:color w:val="1A1A1A"/>
          <w:sz w:val="22"/>
          <w:szCs w:val="22"/>
        </w:rPr>
        <w:t>,</w:t>
      </w:r>
      <w:r w:rsidR="00B364BB" w:rsidRPr="008D6BA9">
        <w:rPr>
          <w:rFonts w:ascii="Palatino Linotype" w:hAnsi="Palatino Linotype"/>
          <w:color w:val="1A1A1A"/>
          <w:sz w:val="22"/>
          <w:szCs w:val="22"/>
        </w:rPr>
        <w:t xml:space="preserve"> </w:t>
      </w:r>
      <w:r w:rsidR="00474055" w:rsidRPr="008D6BA9">
        <w:rPr>
          <w:rFonts w:ascii="Palatino Linotype" w:hAnsi="Palatino Linotype"/>
          <w:color w:val="1A1A1A"/>
          <w:sz w:val="22"/>
          <w:szCs w:val="22"/>
        </w:rPr>
        <w:t>as amended</w:t>
      </w:r>
      <w:r w:rsidR="00BB0D65" w:rsidRPr="008D6BA9">
        <w:rPr>
          <w:rFonts w:ascii="Palatino Linotype" w:hAnsi="Palatino Linotype"/>
          <w:color w:val="1A1A1A"/>
          <w:sz w:val="22"/>
          <w:szCs w:val="22"/>
        </w:rPr>
        <w:t>,</w:t>
      </w:r>
      <w:r w:rsidR="00474055" w:rsidRPr="008D6BA9">
        <w:rPr>
          <w:rFonts w:ascii="Palatino Linotype" w:hAnsi="Palatino Linotype"/>
          <w:color w:val="1A1A1A"/>
          <w:sz w:val="22"/>
          <w:szCs w:val="22"/>
        </w:rPr>
        <w:t xml:space="preserve"> </w:t>
      </w:r>
      <w:r w:rsidR="00B364BB" w:rsidRPr="008D6BA9">
        <w:rPr>
          <w:rFonts w:ascii="Palatino Linotype" w:hAnsi="Palatino Linotype"/>
          <w:color w:val="1A1A1A"/>
          <w:sz w:val="22"/>
          <w:szCs w:val="22"/>
        </w:rPr>
        <w:t>was declared to be a corresponding State Law for the purposes of the RIHE Act.</w:t>
      </w:r>
    </w:p>
    <w:p w14:paraId="7F5EDABF" w14:textId="77777777" w:rsidR="00B364BB" w:rsidRPr="008D6BA9" w:rsidRDefault="00B364BB" w:rsidP="008D6BA9">
      <w:pPr>
        <w:spacing w:line="276" w:lineRule="auto"/>
        <w:rPr>
          <w:rFonts w:ascii="Palatino Linotype" w:hAnsi="Palatino Linotype"/>
          <w:color w:val="1A1A1A"/>
        </w:rPr>
      </w:pPr>
    </w:p>
    <w:p w14:paraId="74FAC84C" w14:textId="77777777" w:rsidR="00B364BB" w:rsidRPr="008D6BA9" w:rsidRDefault="00B364BB" w:rsidP="00580EF0">
      <w:pPr>
        <w:keepLines/>
        <w:spacing w:line="276" w:lineRule="auto"/>
        <w:rPr>
          <w:rFonts w:ascii="Palatino Linotype" w:hAnsi="Palatino Linotype"/>
          <w:i/>
        </w:rPr>
      </w:pPr>
      <w:r w:rsidRPr="008D6BA9">
        <w:rPr>
          <w:rFonts w:ascii="Palatino Linotype" w:hAnsi="Palatino Linotype"/>
          <w:color w:val="1A1A1A"/>
        </w:rPr>
        <w:t xml:space="preserve">The 2008 Ministerial </w:t>
      </w:r>
      <w:r w:rsidR="001C3064" w:rsidRPr="008D6BA9">
        <w:rPr>
          <w:rFonts w:ascii="Palatino Linotype" w:hAnsi="Palatino Linotype"/>
          <w:color w:val="1A1A1A"/>
        </w:rPr>
        <w:t>declaration</w:t>
      </w:r>
      <w:r w:rsidRPr="008D6BA9">
        <w:rPr>
          <w:rFonts w:ascii="Palatino Linotype" w:hAnsi="Palatino Linotype"/>
          <w:color w:val="1A1A1A"/>
        </w:rPr>
        <w:t xml:space="preserve"> is a legislative instrument for the purposes of the </w:t>
      </w:r>
      <w:r w:rsidRPr="008D6BA9">
        <w:rPr>
          <w:rFonts w:ascii="Palatino Linotype" w:hAnsi="Palatino Linotype"/>
          <w:i/>
          <w:color w:val="1A1A1A"/>
        </w:rPr>
        <w:t>Legislation Act 2003</w:t>
      </w:r>
      <w:r w:rsidRPr="008D6BA9">
        <w:rPr>
          <w:rFonts w:ascii="Palatino Linotype" w:hAnsi="Palatino Linotype"/>
          <w:color w:val="1A1A1A"/>
        </w:rPr>
        <w:t>.</w:t>
      </w:r>
      <w:r w:rsidR="00474055" w:rsidRPr="008D6BA9">
        <w:rPr>
          <w:rFonts w:ascii="Palatino Linotype" w:hAnsi="Palatino Linotype"/>
          <w:color w:val="1A1A1A"/>
        </w:rPr>
        <w:t xml:space="preserve"> </w:t>
      </w:r>
      <w:r w:rsidRPr="008D6BA9">
        <w:rPr>
          <w:rFonts w:ascii="Palatino Linotype" w:hAnsi="Palatino Linotype"/>
          <w:color w:val="1A1A1A"/>
        </w:rPr>
        <w:t xml:space="preserve">Part 4 of Chapter 3 of the </w:t>
      </w:r>
      <w:r w:rsidRPr="008D6BA9">
        <w:rPr>
          <w:rFonts w:ascii="Palatino Linotype" w:hAnsi="Palatino Linotype"/>
          <w:i/>
          <w:color w:val="1A1A1A"/>
        </w:rPr>
        <w:t>Legislation Act 2003</w:t>
      </w:r>
      <w:r w:rsidRPr="008D6BA9">
        <w:rPr>
          <w:rFonts w:ascii="Palatino Linotype" w:hAnsi="Palatino Linotype"/>
          <w:color w:val="1A1A1A"/>
        </w:rPr>
        <w:t xml:space="preserve"> provides that the Ministerial </w:t>
      </w:r>
      <w:r w:rsidR="001C3064" w:rsidRPr="008D6BA9">
        <w:rPr>
          <w:rFonts w:ascii="Palatino Linotype" w:hAnsi="Palatino Linotype"/>
          <w:color w:val="1A1A1A"/>
        </w:rPr>
        <w:t>declaration</w:t>
      </w:r>
      <w:r w:rsidRPr="008D6BA9">
        <w:rPr>
          <w:rFonts w:ascii="Palatino Linotype" w:hAnsi="Palatino Linotype"/>
          <w:color w:val="1A1A1A"/>
        </w:rPr>
        <w:t xml:space="preserve"> will be automatically repealed ten years after it came into effect.</w:t>
      </w:r>
      <w:r w:rsidR="00395F5C" w:rsidRPr="008D6BA9">
        <w:rPr>
          <w:rFonts w:ascii="Palatino Linotype" w:hAnsi="Palatino Linotype"/>
          <w:color w:val="1A1A1A"/>
        </w:rPr>
        <w:t xml:space="preserve"> </w:t>
      </w:r>
      <w:r w:rsidR="00395F5C" w:rsidRPr="008D6BA9">
        <w:rPr>
          <w:rFonts w:ascii="Palatino Linotype" w:hAnsi="Palatino Linotype"/>
        </w:rPr>
        <w:t xml:space="preserve">The 2008 </w:t>
      </w:r>
      <w:r w:rsidR="00395F5C" w:rsidRPr="008D6BA9">
        <w:rPr>
          <w:rFonts w:ascii="Palatino Linotype" w:hAnsi="Palatino Linotype"/>
        </w:rPr>
        <w:lastRenderedPageBreak/>
        <w:t xml:space="preserve">declaration </w:t>
      </w:r>
      <w:proofErr w:type="spellStart"/>
      <w:r w:rsidR="00395F5C" w:rsidRPr="008D6BA9">
        <w:rPr>
          <w:rFonts w:ascii="Palatino Linotype" w:hAnsi="Palatino Linotype"/>
        </w:rPr>
        <w:t>sunset</w:t>
      </w:r>
      <w:r w:rsidR="00B44DBE">
        <w:rPr>
          <w:rFonts w:ascii="Palatino Linotype" w:hAnsi="Palatino Linotype"/>
        </w:rPr>
        <w:t>ted</w:t>
      </w:r>
      <w:proofErr w:type="spellEnd"/>
      <w:r w:rsidR="00395F5C" w:rsidRPr="008D6BA9">
        <w:rPr>
          <w:rFonts w:ascii="Palatino Linotype" w:hAnsi="Palatino Linotype"/>
        </w:rPr>
        <w:t xml:space="preserve"> on 1 October 2018. </w:t>
      </w:r>
      <w:r w:rsidRPr="008D6BA9">
        <w:rPr>
          <w:rFonts w:ascii="Palatino Linotype" w:hAnsi="Palatino Linotype"/>
          <w:color w:val="1A1A1A"/>
        </w:rPr>
        <w:t xml:space="preserve"> In order for the Tasmanian Act to continue to be </w:t>
      </w:r>
      <w:r w:rsidR="00BB0D65" w:rsidRPr="008D6BA9">
        <w:rPr>
          <w:rFonts w:ascii="Palatino Linotype" w:hAnsi="Palatino Linotype"/>
          <w:color w:val="1A1A1A"/>
        </w:rPr>
        <w:t>regarded as a corresponding State l</w:t>
      </w:r>
      <w:r w:rsidRPr="008D6BA9">
        <w:rPr>
          <w:rFonts w:ascii="Palatino Linotype" w:hAnsi="Palatino Linotype"/>
          <w:color w:val="1A1A1A"/>
        </w:rPr>
        <w:t>aw for the purposes of s</w:t>
      </w:r>
      <w:r w:rsidR="00BB0D65" w:rsidRPr="008D6BA9">
        <w:rPr>
          <w:rFonts w:ascii="Palatino Linotype" w:hAnsi="Palatino Linotype"/>
          <w:color w:val="1A1A1A"/>
        </w:rPr>
        <w:t>ubs</w:t>
      </w:r>
      <w:r w:rsidRPr="008D6BA9">
        <w:rPr>
          <w:rFonts w:ascii="Palatino Linotype" w:hAnsi="Palatino Linotype"/>
          <w:color w:val="1A1A1A"/>
        </w:rPr>
        <w:t>ection 7</w:t>
      </w:r>
      <w:r w:rsidR="00474055" w:rsidRPr="008D6BA9">
        <w:rPr>
          <w:rFonts w:ascii="Palatino Linotype" w:hAnsi="Palatino Linotype"/>
          <w:color w:val="1A1A1A"/>
        </w:rPr>
        <w:t>(1)</w:t>
      </w:r>
      <w:r w:rsidRPr="008D6BA9">
        <w:rPr>
          <w:rFonts w:ascii="Palatino Linotype" w:hAnsi="Palatino Linotype"/>
          <w:color w:val="1A1A1A"/>
        </w:rPr>
        <w:t xml:space="preserve"> of the RIHE Act, it is necessary that the 2008 Ministerial </w:t>
      </w:r>
      <w:r w:rsidR="001C3064" w:rsidRPr="008D6BA9">
        <w:rPr>
          <w:rFonts w:ascii="Palatino Linotype" w:hAnsi="Palatino Linotype"/>
          <w:color w:val="1A1A1A"/>
        </w:rPr>
        <w:t>declaration</w:t>
      </w:r>
      <w:r w:rsidRPr="008D6BA9">
        <w:rPr>
          <w:rFonts w:ascii="Palatino Linotype" w:hAnsi="Palatino Linotype"/>
          <w:color w:val="1A1A1A"/>
        </w:rPr>
        <w:t xml:space="preserve"> </w:t>
      </w:r>
      <w:r w:rsidR="00BB0D65" w:rsidRPr="008D6BA9">
        <w:rPr>
          <w:rFonts w:ascii="Palatino Linotype" w:hAnsi="Palatino Linotype"/>
          <w:color w:val="1A1A1A"/>
        </w:rPr>
        <w:t>be</w:t>
      </w:r>
      <w:r w:rsidRPr="008D6BA9">
        <w:rPr>
          <w:rFonts w:ascii="Palatino Linotype" w:hAnsi="Palatino Linotype"/>
          <w:color w:val="1A1A1A"/>
        </w:rPr>
        <w:t xml:space="preserve"> remade and registered.</w:t>
      </w:r>
    </w:p>
    <w:p w14:paraId="53E2EFA3" w14:textId="77777777" w:rsidR="000D4214" w:rsidRPr="008D6BA9" w:rsidRDefault="000D4214" w:rsidP="008D6BA9">
      <w:pPr>
        <w:pStyle w:val="BodyText"/>
        <w:spacing w:line="276" w:lineRule="auto"/>
        <w:rPr>
          <w:rFonts w:ascii="Palatino Linotype" w:hAnsi="Palatino Linotype"/>
          <w:i/>
          <w:sz w:val="22"/>
          <w:szCs w:val="22"/>
        </w:rPr>
      </w:pPr>
    </w:p>
    <w:p w14:paraId="44102CF0" w14:textId="77777777" w:rsidR="000D4214" w:rsidRPr="008D6BA9" w:rsidRDefault="000D4214" w:rsidP="008D6BA9">
      <w:pPr>
        <w:pStyle w:val="Heading4"/>
        <w:spacing w:line="276" w:lineRule="auto"/>
        <w:ind w:left="0"/>
        <w:rPr>
          <w:rFonts w:ascii="Palatino Linotype" w:hAnsi="Palatino Linotype"/>
          <w:sz w:val="22"/>
          <w:szCs w:val="22"/>
        </w:rPr>
      </w:pPr>
      <w:r w:rsidRPr="008D6BA9">
        <w:rPr>
          <w:rFonts w:ascii="Palatino Linotype" w:hAnsi="Palatino Linotype"/>
          <w:color w:val="1A1A1A"/>
          <w:sz w:val="22"/>
          <w:szCs w:val="22"/>
        </w:rPr>
        <w:t>Instrument</w:t>
      </w:r>
    </w:p>
    <w:p w14:paraId="3B98BC2B" w14:textId="321DA39B" w:rsidR="000D4214" w:rsidRPr="008D6BA9" w:rsidRDefault="000D4214" w:rsidP="008D6BA9">
      <w:pPr>
        <w:pStyle w:val="BodyText"/>
        <w:spacing w:line="276" w:lineRule="auto"/>
        <w:rPr>
          <w:rFonts w:ascii="Palatino Linotype" w:hAnsi="Palatino Linotype"/>
          <w:sz w:val="22"/>
          <w:szCs w:val="22"/>
        </w:rPr>
      </w:pPr>
      <w:r w:rsidRPr="008D6BA9">
        <w:rPr>
          <w:rFonts w:ascii="Palatino Linotype" w:hAnsi="Palatino Linotype"/>
          <w:color w:val="1A1A1A"/>
          <w:sz w:val="22"/>
          <w:szCs w:val="22"/>
        </w:rPr>
        <w:t xml:space="preserve">The effect of the instrument is to </w:t>
      </w:r>
      <w:r w:rsidR="00B364BB" w:rsidRPr="008D6BA9">
        <w:rPr>
          <w:rFonts w:ascii="Palatino Linotype" w:hAnsi="Palatino Linotype"/>
          <w:color w:val="1A1A1A"/>
          <w:sz w:val="22"/>
          <w:szCs w:val="22"/>
        </w:rPr>
        <w:t xml:space="preserve">declare </w:t>
      </w:r>
      <w:r w:rsidRPr="008D6BA9">
        <w:rPr>
          <w:rFonts w:ascii="Palatino Linotype" w:hAnsi="Palatino Linotype"/>
          <w:color w:val="1A1A1A"/>
          <w:sz w:val="22"/>
          <w:szCs w:val="22"/>
        </w:rPr>
        <w:t>the Tasmanian Act to be a c</w:t>
      </w:r>
      <w:r w:rsidR="00B364BB" w:rsidRPr="008D6BA9">
        <w:rPr>
          <w:rFonts w:ascii="Palatino Linotype" w:hAnsi="Palatino Linotype"/>
          <w:color w:val="1A1A1A"/>
          <w:sz w:val="22"/>
          <w:szCs w:val="22"/>
        </w:rPr>
        <w:t>orr</w:t>
      </w:r>
      <w:r w:rsidRPr="008D6BA9">
        <w:rPr>
          <w:rFonts w:ascii="Palatino Linotype" w:hAnsi="Palatino Linotype"/>
          <w:color w:val="1A1A1A"/>
          <w:sz w:val="22"/>
          <w:szCs w:val="22"/>
        </w:rPr>
        <w:t xml:space="preserve">esponding State law for the purposes of </w:t>
      </w:r>
      <w:r w:rsidR="00BB0D65" w:rsidRPr="008D6BA9">
        <w:rPr>
          <w:rFonts w:ascii="Palatino Linotype" w:hAnsi="Palatino Linotype"/>
          <w:color w:val="1A1A1A"/>
          <w:sz w:val="22"/>
          <w:szCs w:val="22"/>
        </w:rPr>
        <w:t xml:space="preserve">subsection 7(1) of </w:t>
      </w:r>
      <w:r w:rsidRPr="008D6BA9">
        <w:rPr>
          <w:rFonts w:ascii="Palatino Linotype" w:hAnsi="Palatino Linotype"/>
          <w:color w:val="1A1A1A"/>
          <w:sz w:val="22"/>
          <w:szCs w:val="22"/>
        </w:rPr>
        <w:t>the RIHE Act.</w:t>
      </w:r>
    </w:p>
    <w:p w14:paraId="6D779450" w14:textId="77777777" w:rsidR="007C4797" w:rsidRPr="008D6BA9" w:rsidRDefault="007C4797" w:rsidP="008D6BA9">
      <w:pPr>
        <w:pStyle w:val="Heading4"/>
        <w:spacing w:line="276" w:lineRule="auto"/>
        <w:ind w:left="0"/>
        <w:rPr>
          <w:rFonts w:ascii="Palatino Linotype" w:hAnsi="Palatino Linotype"/>
          <w:color w:val="1A1A1A"/>
          <w:sz w:val="22"/>
          <w:szCs w:val="22"/>
        </w:rPr>
      </w:pPr>
    </w:p>
    <w:p w14:paraId="1F81A0F9" w14:textId="77777777" w:rsidR="000D4214" w:rsidRPr="008D6BA9" w:rsidRDefault="000D4214" w:rsidP="008D6BA9">
      <w:pPr>
        <w:pStyle w:val="Heading4"/>
        <w:spacing w:line="276" w:lineRule="auto"/>
        <w:ind w:left="0"/>
        <w:rPr>
          <w:rFonts w:ascii="Palatino Linotype" w:hAnsi="Palatino Linotype"/>
          <w:sz w:val="22"/>
          <w:szCs w:val="22"/>
        </w:rPr>
      </w:pPr>
      <w:r w:rsidRPr="008D6BA9">
        <w:rPr>
          <w:rFonts w:ascii="Palatino Linotype" w:hAnsi="Palatino Linotype"/>
          <w:color w:val="1A1A1A"/>
          <w:sz w:val="22"/>
          <w:szCs w:val="22"/>
        </w:rPr>
        <w:t>Consultation</w:t>
      </w:r>
    </w:p>
    <w:p w14:paraId="4B09371D" w14:textId="77777777" w:rsidR="000D4214" w:rsidRPr="008D6BA9" w:rsidRDefault="000D4214" w:rsidP="008D6BA9">
      <w:pPr>
        <w:pStyle w:val="BodyText"/>
        <w:spacing w:line="276" w:lineRule="auto"/>
        <w:rPr>
          <w:rFonts w:ascii="Palatino Linotype" w:hAnsi="Palatino Linotype"/>
          <w:color w:val="1A1A1A"/>
          <w:sz w:val="22"/>
          <w:szCs w:val="22"/>
        </w:rPr>
      </w:pPr>
      <w:r w:rsidRPr="008D6BA9">
        <w:rPr>
          <w:rFonts w:ascii="Palatino Linotype" w:hAnsi="Palatino Linotype"/>
          <w:color w:val="1A1A1A"/>
          <w:sz w:val="22"/>
          <w:szCs w:val="22"/>
        </w:rPr>
        <w:t xml:space="preserve">No consultation was undertaken </w:t>
      </w:r>
      <w:r w:rsidR="00B364BB" w:rsidRPr="008D6BA9">
        <w:rPr>
          <w:rFonts w:ascii="Palatino Linotype" w:hAnsi="Palatino Linotype"/>
          <w:color w:val="1A1A1A"/>
          <w:sz w:val="22"/>
          <w:szCs w:val="22"/>
        </w:rPr>
        <w:t xml:space="preserve">in </w:t>
      </w:r>
      <w:r w:rsidRPr="008D6BA9">
        <w:rPr>
          <w:rFonts w:ascii="Palatino Linotype" w:hAnsi="Palatino Linotype"/>
          <w:color w:val="1A1A1A"/>
          <w:sz w:val="22"/>
          <w:szCs w:val="22"/>
        </w:rPr>
        <w:t>re</w:t>
      </w:r>
      <w:r w:rsidR="00B364BB" w:rsidRPr="008D6BA9">
        <w:rPr>
          <w:rFonts w:ascii="Palatino Linotype" w:hAnsi="Palatino Linotype"/>
          <w:color w:val="1A1A1A"/>
          <w:sz w:val="22"/>
          <w:szCs w:val="22"/>
        </w:rPr>
        <w:t>spect of thi</w:t>
      </w:r>
      <w:r w:rsidR="00BB0D65" w:rsidRPr="008D6BA9">
        <w:rPr>
          <w:rFonts w:ascii="Palatino Linotype" w:hAnsi="Palatino Linotype"/>
          <w:color w:val="1A1A1A"/>
          <w:sz w:val="22"/>
          <w:szCs w:val="22"/>
        </w:rPr>
        <w:t>s declaration as the Tasmanian A</w:t>
      </w:r>
      <w:r w:rsidR="00B364BB" w:rsidRPr="008D6BA9">
        <w:rPr>
          <w:rFonts w:ascii="Palatino Linotype" w:hAnsi="Palatino Linotype"/>
          <w:color w:val="1A1A1A"/>
          <w:sz w:val="22"/>
          <w:szCs w:val="22"/>
        </w:rPr>
        <w:t xml:space="preserve">ct continues to be consistent with the RIHE </w:t>
      </w:r>
      <w:r w:rsidR="00474055" w:rsidRPr="008D6BA9">
        <w:rPr>
          <w:rFonts w:ascii="Palatino Linotype" w:hAnsi="Palatino Linotype"/>
          <w:color w:val="1A1A1A"/>
          <w:sz w:val="22"/>
          <w:szCs w:val="22"/>
        </w:rPr>
        <w:t>A</w:t>
      </w:r>
      <w:r w:rsidR="00B364BB" w:rsidRPr="008D6BA9">
        <w:rPr>
          <w:rFonts w:ascii="Palatino Linotype" w:hAnsi="Palatino Linotype"/>
          <w:color w:val="1A1A1A"/>
          <w:sz w:val="22"/>
          <w:szCs w:val="22"/>
        </w:rPr>
        <w:t xml:space="preserve">ct, and </w:t>
      </w:r>
      <w:r w:rsidR="00BB0D65" w:rsidRPr="008D6BA9">
        <w:rPr>
          <w:rFonts w:ascii="Palatino Linotype" w:hAnsi="Palatino Linotype"/>
          <w:color w:val="1A1A1A"/>
          <w:sz w:val="22"/>
          <w:szCs w:val="22"/>
        </w:rPr>
        <w:t xml:space="preserve">therefore </w:t>
      </w:r>
      <w:r w:rsidR="00B364BB" w:rsidRPr="008D6BA9">
        <w:rPr>
          <w:rFonts w:ascii="Palatino Linotype" w:hAnsi="Palatino Linotype"/>
          <w:color w:val="1A1A1A"/>
          <w:sz w:val="22"/>
          <w:szCs w:val="22"/>
        </w:rPr>
        <w:t xml:space="preserve">the declaration is </w:t>
      </w:r>
      <w:r w:rsidR="00BB0D65" w:rsidRPr="008D6BA9">
        <w:rPr>
          <w:rFonts w:ascii="Palatino Linotype" w:hAnsi="Palatino Linotype"/>
          <w:color w:val="1A1A1A"/>
          <w:sz w:val="22"/>
          <w:szCs w:val="22"/>
        </w:rPr>
        <w:t xml:space="preserve">of a minor, </w:t>
      </w:r>
      <w:r w:rsidR="00B364BB" w:rsidRPr="008D6BA9">
        <w:rPr>
          <w:rFonts w:ascii="Palatino Linotype" w:hAnsi="Palatino Linotype"/>
          <w:color w:val="1A1A1A"/>
          <w:sz w:val="22"/>
          <w:szCs w:val="22"/>
        </w:rPr>
        <w:t xml:space="preserve">machinery </w:t>
      </w:r>
      <w:r w:rsidR="00BB0D65" w:rsidRPr="008D6BA9">
        <w:rPr>
          <w:rFonts w:ascii="Palatino Linotype" w:hAnsi="Palatino Linotype"/>
          <w:color w:val="1A1A1A"/>
          <w:sz w:val="22"/>
          <w:szCs w:val="22"/>
        </w:rPr>
        <w:t>nature</w:t>
      </w:r>
      <w:r w:rsidR="00B364BB" w:rsidRPr="008D6BA9">
        <w:rPr>
          <w:rFonts w:ascii="Palatino Linotype" w:hAnsi="Palatino Linotype"/>
          <w:color w:val="1A1A1A"/>
          <w:sz w:val="22"/>
          <w:szCs w:val="22"/>
        </w:rPr>
        <w:t>.</w:t>
      </w:r>
    </w:p>
    <w:p w14:paraId="3B943864" w14:textId="77777777" w:rsidR="00B364BB" w:rsidRPr="008D6BA9" w:rsidRDefault="00B364BB" w:rsidP="008D6BA9">
      <w:pPr>
        <w:pStyle w:val="BodyText"/>
        <w:spacing w:line="276" w:lineRule="auto"/>
        <w:jc w:val="both"/>
        <w:rPr>
          <w:rFonts w:ascii="Palatino Linotype" w:hAnsi="Palatino Linotype"/>
          <w:color w:val="1A1A1A"/>
          <w:sz w:val="22"/>
          <w:szCs w:val="22"/>
        </w:rPr>
      </w:pPr>
    </w:p>
    <w:p w14:paraId="40441A89" w14:textId="77777777" w:rsidR="000D4214" w:rsidRPr="008D6BA9" w:rsidRDefault="00B364BB" w:rsidP="008D6BA9">
      <w:pPr>
        <w:pStyle w:val="BodyText"/>
        <w:spacing w:line="276" w:lineRule="auto"/>
        <w:jc w:val="both"/>
        <w:rPr>
          <w:rFonts w:ascii="Palatino Linotype" w:hAnsi="Palatino Linotype"/>
          <w:sz w:val="22"/>
          <w:szCs w:val="22"/>
        </w:rPr>
      </w:pPr>
      <w:r w:rsidRPr="008D6BA9">
        <w:rPr>
          <w:rFonts w:ascii="Palatino Linotype" w:hAnsi="Palatino Linotype"/>
          <w:b/>
          <w:color w:val="1A1A1A"/>
          <w:sz w:val="22"/>
          <w:szCs w:val="22"/>
        </w:rPr>
        <w:t>Commencement</w:t>
      </w:r>
    </w:p>
    <w:p w14:paraId="0FBADB2E" w14:textId="77777777" w:rsidR="000D4214" w:rsidRPr="008D6BA9" w:rsidRDefault="007C4797" w:rsidP="008D6BA9">
      <w:pPr>
        <w:widowControl/>
        <w:autoSpaceDE/>
        <w:autoSpaceDN/>
        <w:spacing w:line="276" w:lineRule="auto"/>
        <w:jc w:val="both"/>
        <w:rPr>
          <w:rFonts w:asciiTheme="minorHAnsi" w:hAnsiTheme="minorHAnsi"/>
          <w:sz w:val="20"/>
        </w:rPr>
      </w:pPr>
      <w:r w:rsidRPr="008D6BA9">
        <w:rPr>
          <w:rFonts w:ascii="Palatino Linotype" w:hAnsi="Palatino Linotype"/>
        </w:rPr>
        <w:t xml:space="preserve">This declaration is to take effect from the day after it is registered on the Federal Register of Legislative </w:t>
      </w:r>
      <w:r w:rsidR="00CE041A" w:rsidRPr="008D6BA9">
        <w:rPr>
          <w:rFonts w:ascii="Palatino Linotype" w:hAnsi="Palatino Linotype"/>
        </w:rPr>
        <w:t>Instruments.</w:t>
      </w:r>
    </w:p>
    <w:p w14:paraId="0CEAA552" w14:textId="13E7D80D" w:rsidR="00DF6089" w:rsidRDefault="00DF6089">
      <w:pPr>
        <w:widowControl/>
        <w:autoSpaceDE/>
        <w:autoSpaceDN/>
        <w:spacing w:after="200" w:line="276" w:lineRule="auto"/>
        <w:rPr>
          <w:rFonts w:asciiTheme="minorHAnsi" w:hAnsiTheme="minorHAnsi"/>
          <w:sz w:val="20"/>
          <w:szCs w:val="23"/>
        </w:rPr>
      </w:pPr>
      <w:r>
        <w:rPr>
          <w:rFonts w:asciiTheme="minorHAnsi" w:hAnsiTheme="minorHAnsi"/>
          <w:sz w:val="20"/>
          <w:szCs w:val="23"/>
        </w:rPr>
        <w:br w:type="page"/>
      </w:r>
    </w:p>
    <w:p w14:paraId="11124A9D" w14:textId="77777777" w:rsidR="00DF6089" w:rsidRPr="00867DBD" w:rsidRDefault="00DF6089" w:rsidP="00DF6089">
      <w:pPr>
        <w:pStyle w:val="Heading2"/>
        <w:spacing w:line="276" w:lineRule="auto"/>
        <w:jc w:val="center"/>
        <w:rPr>
          <w:rFonts w:ascii="Palatino Linotype" w:eastAsiaTheme="minorHAnsi" w:hAnsi="Palatino Linotype"/>
          <w:color w:val="auto"/>
          <w:sz w:val="22"/>
          <w:szCs w:val="22"/>
        </w:rPr>
      </w:pPr>
      <w:r w:rsidRPr="00867DBD">
        <w:rPr>
          <w:rFonts w:ascii="Palatino Linotype" w:eastAsiaTheme="minorHAnsi" w:hAnsi="Palatino Linotype"/>
          <w:color w:val="auto"/>
          <w:sz w:val="22"/>
          <w:szCs w:val="22"/>
        </w:rPr>
        <w:lastRenderedPageBreak/>
        <w:t>Statement of Compatibility with Human Rights</w:t>
      </w:r>
    </w:p>
    <w:p w14:paraId="05C52B0D" w14:textId="77777777" w:rsidR="00DF6089" w:rsidRPr="00867DBD" w:rsidRDefault="00DF6089" w:rsidP="00DF6089">
      <w:pPr>
        <w:spacing w:before="120" w:after="120" w:line="276" w:lineRule="auto"/>
        <w:jc w:val="center"/>
        <w:rPr>
          <w:rFonts w:ascii="Palatino Linotype" w:eastAsiaTheme="minorHAnsi" w:hAnsi="Palatino Linotype"/>
        </w:rPr>
      </w:pPr>
      <w:r w:rsidRPr="00867DBD">
        <w:rPr>
          <w:rFonts w:ascii="Palatino Linotype" w:hAnsi="Palatino Linotype"/>
          <w:i/>
        </w:rPr>
        <w:t>Prepared in accordance with Part 3 of the Human Rights (Parliamentary Scrutiny) Act 2011</w:t>
      </w:r>
    </w:p>
    <w:p w14:paraId="7811462B" w14:textId="77777777" w:rsidR="00DF6089" w:rsidRPr="00867DBD" w:rsidRDefault="00DF6089" w:rsidP="00DF6089">
      <w:pPr>
        <w:spacing w:before="120" w:after="120" w:line="276" w:lineRule="auto"/>
        <w:jc w:val="center"/>
        <w:rPr>
          <w:rFonts w:ascii="Palatino Linotype" w:hAnsi="Palatino Linotype"/>
        </w:rPr>
      </w:pPr>
    </w:p>
    <w:p w14:paraId="06331972" w14:textId="77777777" w:rsidR="00580EF0" w:rsidRPr="00580EF0" w:rsidRDefault="00580EF0" w:rsidP="00580EF0">
      <w:pPr>
        <w:pStyle w:val="Heading4"/>
        <w:spacing w:line="276" w:lineRule="auto"/>
        <w:ind w:left="0"/>
        <w:jc w:val="center"/>
        <w:rPr>
          <w:sz w:val="22"/>
          <w:szCs w:val="22"/>
        </w:rPr>
      </w:pPr>
      <w:r w:rsidRPr="00580EF0">
        <w:rPr>
          <w:sz w:val="22"/>
          <w:szCs w:val="22"/>
        </w:rPr>
        <w:t>Research Involving Human Embryos (Corresponding State Law—TAS) Declaration 2018</w:t>
      </w:r>
    </w:p>
    <w:p w14:paraId="447F601A" w14:textId="77777777" w:rsidR="00DF6089" w:rsidRPr="00867DBD" w:rsidRDefault="00DF6089" w:rsidP="00DF6089">
      <w:pPr>
        <w:spacing w:before="120" w:after="120" w:line="276" w:lineRule="auto"/>
        <w:jc w:val="center"/>
        <w:rPr>
          <w:rFonts w:ascii="Palatino Linotype" w:hAnsi="Palatino Linotype"/>
        </w:rPr>
      </w:pPr>
    </w:p>
    <w:p w14:paraId="6596AC05" w14:textId="77777777" w:rsidR="00DF6089" w:rsidRPr="00867DBD" w:rsidRDefault="00DF6089" w:rsidP="00DF6089">
      <w:pPr>
        <w:spacing w:before="120" w:after="120" w:line="276" w:lineRule="auto"/>
        <w:jc w:val="center"/>
        <w:rPr>
          <w:rFonts w:ascii="Palatino Linotype" w:hAnsi="Palatino Linotype"/>
        </w:rPr>
      </w:pPr>
      <w:r w:rsidRPr="00867DBD">
        <w:rPr>
          <w:rFonts w:ascii="Palatino Linotype" w:hAnsi="Palatino Linotype"/>
        </w:rPr>
        <w:t xml:space="preserve">This Declaration is compatible with the human rights and freedoms </w:t>
      </w:r>
      <w:proofErr w:type="spellStart"/>
      <w:r w:rsidRPr="00867DBD">
        <w:rPr>
          <w:rFonts w:ascii="Palatino Linotype" w:hAnsi="Palatino Linotype"/>
        </w:rPr>
        <w:t>recognised</w:t>
      </w:r>
      <w:proofErr w:type="spellEnd"/>
      <w:r w:rsidRPr="00867DBD">
        <w:rPr>
          <w:rFonts w:ascii="Palatino Linotype" w:hAnsi="Palatino Linotype"/>
        </w:rPr>
        <w:t xml:space="preserve"> or declared in the international instruments listed in section 3 of the </w:t>
      </w:r>
      <w:r w:rsidRPr="00867DBD">
        <w:rPr>
          <w:rFonts w:ascii="Palatino Linotype" w:hAnsi="Palatino Linotype"/>
          <w:i/>
        </w:rPr>
        <w:t>Human Rights (Parliamentary Scrutiny) Act 2011</w:t>
      </w:r>
      <w:r w:rsidRPr="00867DBD">
        <w:rPr>
          <w:rFonts w:ascii="Palatino Linotype" w:hAnsi="Palatino Linotype"/>
        </w:rPr>
        <w:t>.</w:t>
      </w:r>
    </w:p>
    <w:p w14:paraId="60522F34" w14:textId="77777777" w:rsidR="00DF6089" w:rsidRPr="00867DBD" w:rsidRDefault="00DF6089" w:rsidP="00DF6089">
      <w:pPr>
        <w:spacing w:before="120" w:after="120" w:line="276" w:lineRule="auto"/>
        <w:rPr>
          <w:rFonts w:ascii="Palatino Linotype" w:hAnsi="Palatino Linotype"/>
        </w:rPr>
      </w:pPr>
    </w:p>
    <w:p w14:paraId="4BE9D39A" w14:textId="77777777" w:rsidR="00DF6089" w:rsidRPr="00867DBD" w:rsidRDefault="00DF6089" w:rsidP="00DF6089">
      <w:pPr>
        <w:pStyle w:val="Heading3"/>
        <w:spacing w:line="276" w:lineRule="auto"/>
        <w:rPr>
          <w:rFonts w:ascii="Palatino Linotype" w:eastAsiaTheme="minorHAnsi" w:hAnsi="Palatino Linotype"/>
          <w:b/>
          <w:color w:val="auto"/>
          <w:sz w:val="22"/>
          <w:szCs w:val="22"/>
        </w:rPr>
      </w:pPr>
      <w:r w:rsidRPr="00867DBD">
        <w:rPr>
          <w:rFonts w:ascii="Palatino Linotype" w:eastAsiaTheme="minorHAnsi" w:hAnsi="Palatino Linotype"/>
          <w:b/>
          <w:color w:val="auto"/>
          <w:sz w:val="22"/>
          <w:szCs w:val="22"/>
        </w:rPr>
        <w:t>Overview of the Declaration</w:t>
      </w:r>
    </w:p>
    <w:p w14:paraId="6467A27F" w14:textId="77777777" w:rsidR="00DF6089" w:rsidRPr="00867DBD" w:rsidRDefault="00DF6089" w:rsidP="00DF6089">
      <w:pPr>
        <w:tabs>
          <w:tab w:val="right" w:pos="9072"/>
        </w:tabs>
        <w:spacing w:line="276" w:lineRule="auto"/>
        <w:ind w:right="91"/>
        <w:rPr>
          <w:rFonts w:ascii="Palatino Linotype" w:hAnsi="Palatino Linotype"/>
        </w:rPr>
      </w:pPr>
      <w:r w:rsidRPr="00867DBD">
        <w:rPr>
          <w:rFonts w:ascii="Palatino Linotype" w:hAnsi="Palatino Linotype"/>
        </w:rPr>
        <w:t xml:space="preserve">The Declaration of Corresponding State Law provides that the </w:t>
      </w:r>
      <w:r w:rsidRPr="00867DBD">
        <w:rPr>
          <w:rFonts w:ascii="Palatino Linotype" w:hAnsi="Palatino Linotype"/>
          <w:i/>
        </w:rPr>
        <w:t>Human Embryonic Research Regulation Act 2003</w:t>
      </w:r>
      <w:r w:rsidRPr="00867DBD">
        <w:rPr>
          <w:rFonts w:ascii="Palatino Linotype" w:hAnsi="Palatino Linotype"/>
        </w:rPr>
        <w:t xml:space="preserve"> of Tasmania is a corresponding State law for the purposes of the Commonwealth </w:t>
      </w:r>
      <w:r w:rsidRPr="00867DBD">
        <w:rPr>
          <w:rFonts w:ascii="Palatino Linotype" w:hAnsi="Palatino Linotype"/>
          <w:i/>
        </w:rPr>
        <w:t>Research Involving Human Embryos Act 2002</w:t>
      </w:r>
      <w:r w:rsidRPr="00867DBD">
        <w:rPr>
          <w:rFonts w:ascii="Palatino Linotype" w:hAnsi="Palatino Linotype"/>
        </w:rPr>
        <w:t xml:space="preserve"> (RIHE Act).</w:t>
      </w:r>
    </w:p>
    <w:p w14:paraId="76D1BD06" w14:textId="77777777" w:rsidR="00DF6089" w:rsidRPr="00867DBD" w:rsidRDefault="00DF6089" w:rsidP="00DF6089">
      <w:pPr>
        <w:tabs>
          <w:tab w:val="right" w:pos="9072"/>
        </w:tabs>
        <w:spacing w:line="276" w:lineRule="auto"/>
        <w:ind w:right="91"/>
        <w:rPr>
          <w:rFonts w:ascii="Palatino Linotype" w:hAnsi="Palatino Linotype"/>
          <w:i/>
        </w:rPr>
      </w:pPr>
    </w:p>
    <w:p w14:paraId="674D75AE" w14:textId="77777777" w:rsidR="00DF6089" w:rsidRPr="00867DBD" w:rsidRDefault="00DF6089" w:rsidP="00DF6089">
      <w:pPr>
        <w:pStyle w:val="BodyText"/>
        <w:spacing w:line="276" w:lineRule="auto"/>
        <w:rPr>
          <w:rFonts w:ascii="Palatino Linotype" w:hAnsi="Palatino Linotype"/>
          <w:sz w:val="22"/>
          <w:szCs w:val="22"/>
        </w:rPr>
      </w:pPr>
      <w:r w:rsidRPr="00867DBD">
        <w:rPr>
          <w:rFonts w:ascii="Palatino Linotype" w:hAnsi="Palatino Linotype"/>
          <w:sz w:val="22"/>
          <w:szCs w:val="22"/>
        </w:rPr>
        <w:t>The RIHE Act, which received Royal Assent on 19 December 2002, regulates the use of human embryos for research where those embryos have been created for assisted reproductive technology and are excess to couples' needs. Subsection 7(1) of the RIHE Act provides that a 'corresponding State law' is, in effect, a law of a State (or Territory) which the Minister has declared to be corresponding.</w:t>
      </w:r>
    </w:p>
    <w:p w14:paraId="21A880A2" w14:textId="77777777" w:rsidR="00DF6089" w:rsidRPr="00867DBD" w:rsidRDefault="00DF6089" w:rsidP="00DF6089">
      <w:pPr>
        <w:tabs>
          <w:tab w:val="right" w:pos="9072"/>
        </w:tabs>
        <w:spacing w:line="276" w:lineRule="auto"/>
        <w:ind w:right="91"/>
        <w:rPr>
          <w:rFonts w:ascii="Palatino Linotype" w:hAnsi="Palatino Linotype"/>
          <w:i/>
        </w:rPr>
      </w:pPr>
      <w:r w:rsidRPr="00867DBD" w:rsidDel="00907742">
        <w:rPr>
          <w:rFonts w:ascii="Palatino Linotype" w:hAnsi="Palatino Linotype"/>
          <w:i/>
        </w:rPr>
        <w:t xml:space="preserve"> </w:t>
      </w:r>
    </w:p>
    <w:p w14:paraId="585B9A52" w14:textId="77777777" w:rsidR="00DF6089" w:rsidRPr="00867DBD" w:rsidRDefault="00DF6089" w:rsidP="00DF6089">
      <w:pPr>
        <w:tabs>
          <w:tab w:val="right" w:pos="9072"/>
        </w:tabs>
        <w:spacing w:line="276" w:lineRule="auto"/>
        <w:ind w:right="91"/>
        <w:rPr>
          <w:rFonts w:ascii="Palatino Linotype" w:hAnsi="Palatino Linotype"/>
        </w:rPr>
      </w:pPr>
      <w:r w:rsidRPr="00867DBD">
        <w:rPr>
          <w:rFonts w:ascii="Palatino Linotype" w:hAnsi="Palatino Linotype"/>
        </w:rPr>
        <w:t xml:space="preserve">This Ministerial declaration replaces an earlier Ministerial declaration that </w:t>
      </w:r>
      <w:proofErr w:type="spellStart"/>
      <w:r w:rsidRPr="00867DBD">
        <w:rPr>
          <w:rFonts w:ascii="Palatino Linotype" w:hAnsi="Palatino Linotype"/>
        </w:rPr>
        <w:t>sunsetted</w:t>
      </w:r>
      <w:proofErr w:type="spellEnd"/>
      <w:r w:rsidRPr="00867DBD">
        <w:rPr>
          <w:rFonts w:ascii="Palatino Linotype" w:hAnsi="Palatino Linotype"/>
        </w:rPr>
        <w:t xml:space="preserve"> on 1 October 2018.</w:t>
      </w:r>
    </w:p>
    <w:p w14:paraId="4D3C22F7" w14:textId="77777777" w:rsidR="00DF6089" w:rsidRPr="00867DBD" w:rsidRDefault="00DF6089" w:rsidP="00DF6089">
      <w:pPr>
        <w:pStyle w:val="Heading3"/>
        <w:spacing w:line="276" w:lineRule="auto"/>
        <w:rPr>
          <w:rFonts w:ascii="Palatino Linotype" w:eastAsiaTheme="minorHAnsi" w:hAnsi="Palatino Linotype"/>
          <w:color w:val="auto"/>
          <w:sz w:val="22"/>
          <w:szCs w:val="22"/>
        </w:rPr>
      </w:pPr>
    </w:p>
    <w:p w14:paraId="17163C25" w14:textId="77777777" w:rsidR="00DF6089" w:rsidRPr="00867DBD" w:rsidRDefault="00DF6089" w:rsidP="00DF6089">
      <w:pPr>
        <w:pStyle w:val="Heading3"/>
        <w:spacing w:line="276" w:lineRule="auto"/>
        <w:rPr>
          <w:rFonts w:ascii="Palatino Linotype" w:eastAsiaTheme="minorHAnsi" w:hAnsi="Palatino Linotype"/>
          <w:b/>
          <w:color w:val="auto"/>
          <w:sz w:val="22"/>
          <w:szCs w:val="22"/>
        </w:rPr>
      </w:pPr>
      <w:r w:rsidRPr="00867DBD">
        <w:rPr>
          <w:rFonts w:ascii="Palatino Linotype" w:eastAsiaTheme="minorHAnsi" w:hAnsi="Palatino Linotype"/>
          <w:b/>
          <w:color w:val="auto"/>
          <w:sz w:val="22"/>
          <w:szCs w:val="22"/>
        </w:rPr>
        <w:t>Human rights implications</w:t>
      </w:r>
    </w:p>
    <w:p w14:paraId="4B0E05D2" w14:textId="77777777" w:rsidR="00DF6089" w:rsidRPr="00867DBD" w:rsidRDefault="00DF6089" w:rsidP="00DF6089">
      <w:pPr>
        <w:spacing w:before="120" w:after="120" w:line="276" w:lineRule="auto"/>
        <w:rPr>
          <w:rFonts w:ascii="Palatino Linotype" w:eastAsiaTheme="minorHAnsi" w:hAnsi="Palatino Linotype"/>
        </w:rPr>
      </w:pPr>
      <w:r w:rsidRPr="00867DBD">
        <w:rPr>
          <w:rFonts w:ascii="Palatino Linotype" w:hAnsi="Palatino Linotype"/>
        </w:rPr>
        <w:t>This Declaration does not engage any of the applicable rights or freedoms.</w:t>
      </w:r>
    </w:p>
    <w:p w14:paraId="740233D6" w14:textId="77777777" w:rsidR="00DF6089" w:rsidRPr="00867DBD" w:rsidRDefault="00DF6089" w:rsidP="00DF6089">
      <w:pPr>
        <w:pStyle w:val="Heading3"/>
        <w:spacing w:line="276" w:lineRule="auto"/>
        <w:rPr>
          <w:rFonts w:ascii="Palatino Linotype" w:eastAsiaTheme="minorHAnsi" w:hAnsi="Palatino Linotype"/>
          <w:color w:val="auto"/>
          <w:sz w:val="22"/>
          <w:szCs w:val="22"/>
        </w:rPr>
      </w:pPr>
    </w:p>
    <w:p w14:paraId="138B7DD3" w14:textId="77777777" w:rsidR="00DF6089" w:rsidRPr="00867DBD" w:rsidRDefault="00DF6089" w:rsidP="00DF6089">
      <w:pPr>
        <w:pStyle w:val="Heading3"/>
        <w:spacing w:line="276" w:lineRule="auto"/>
        <w:rPr>
          <w:rFonts w:ascii="Palatino Linotype" w:eastAsiaTheme="minorHAnsi" w:hAnsi="Palatino Linotype"/>
          <w:b/>
          <w:color w:val="auto"/>
          <w:sz w:val="22"/>
          <w:szCs w:val="22"/>
        </w:rPr>
      </w:pPr>
      <w:r w:rsidRPr="00867DBD">
        <w:rPr>
          <w:rFonts w:ascii="Palatino Linotype" w:eastAsiaTheme="minorHAnsi" w:hAnsi="Palatino Linotype"/>
          <w:b/>
          <w:color w:val="auto"/>
          <w:sz w:val="22"/>
          <w:szCs w:val="22"/>
        </w:rPr>
        <w:t>Conclusion</w:t>
      </w:r>
    </w:p>
    <w:p w14:paraId="6966BC79" w14:textId="77777777" w:rsidR="00DF6089" w:rsidRPr="00867DBD" w:rsidRDefault="00DF6089" w:rsidP="00DF6089">
      <w:pPr>
        <w:spacing w:before="120" w:after="120" w:line="276" w:lineRule="auto"/>
        <w:rPr>
          <w:rFonts w:ascii="Palatino Linotype" w:eastAsiaTheme="minorHAnsi" w:hAnsi="Palatino Linotype"/>
        </w:rPr>
      </w:pPr>
      <w:r w:rsidRPr="00867DBD">
        <w:rPr>
          <w:rFonts w:ascii="Palatino Linotype" w:hAnsi="Palatino Linotype"/>
        </w:rPr>
        <w:t>This Declaration is compatible with human rights as it does not raise any human rights issues.</w:t>
      </w:r>
    </w:p>
    <w:p w14:paraId="25597056" w14:textId="77777777" w:rsidR="00DF6089" w:rsidRPr="00867DBD" w:rsidRDefault="00DF6089" w:rsidP="00DF6089"/>
    <w:p w14:paraId="40582864" w14:textId="3251DCA7" w:rsidR="0019462B" w:rsidRPr="00580EF0" w:rsidRDefault="00580EF0" w:rsidP="00580EF0">
      <w:pPr>
        <w:spacing w:before="1680"/>
        <w:ind w:left="510" w:hanging="510"/>
        <w:rPr>
          <w:sz w:val="18"/>
          <w:szCs w:val="18"/>
        </w:rPr>
      </w:pPr>
      <w:r w:rsidRPr="00A4198D">
        <w:rPr>
          <w:sz w:val="18"/>
          <w:szCs w:val="18"/>
        </w:rPr>
        <w:t>Note:</w:t>
      </w:r>
      <w:r w:rsidRPr="00A4198D">
        <w:rPr>
          <w:sz w:val="18"/>
          <w:szCs w:val="18"/>
        </w:rPr>
        <w:tab/>
        <w:t xml:space="preserve">The name of this instrument was amended on registration as the instrument as lodged did not have a unique name (see subsection 10(2), </w:t>
      </w:r>
      <w:r w:rsidRPr="00A4198D">
        <w:rPr>
          <w:i/>
          <w:sz w:val="18"/>
          <w:szCs w:val="18"/>
        </w:rPr>
        <w:t>Legislation Rule 2016</w:t>
      </w:r>
      <w:r w:rsidRPr="00A4198D">
        <w:rPr>
          <w:sz w:val="18"/>
          <w:szCs w:val="18"/>
        </w:rPr>
        <w:t>).</w:t>
      </w:r>
    </w:p>
    <w:sectPr w:rsidR="0019462B" w:rsidRPr="00580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14"/>
    <w:rsid w:val="000870B3"/>
    <w:rsid w:val="000B5D31"/>
    <w:rsid w:val="000D4214"/>
    <w:rsid w:val="001075BE"/>
    <w:rsid w:val="0019462B"/>
    <w:rsid w:val="001C3064"/>
    <w:rsid w:val="00310883"/>
    <w:rsid w:val="0037765C"/>
    <w:rsid w:val="00395F5C"/>
    <w:rsid w:val="00432FFF"/>
    <w:rsid w:val="00474055"/>
    <w:rsid w:val="00580EF0"/>
    <w:rsid w:val="005E1B92"/>
    <w:rsid w:val="00657A29"/>
    <w:rsid w:val="006C1DA7"/>
    <w:rsid w:val="007C4797"/>
    <w:rsid w:val="008D6BA9"/>
    <w:rsid w:val="00984C69"/>
    <w:rsid w:val="00AC00EA"/>
    <w:rsid w:val="00B364BB"/>
    <w:rsid w:val="00B44DBE"/>
    <w:rsid w:val="00BB0D65"/>
    <w:rsid w:val="00C24631"/>
    <w:rsid w:val="00C43047"/>
    <w:rsid w:val="00CE041A"/>
    <w:rsid w:val="00CE5498"/>
    <w:rsid w:val="00DF6089"/>
    <w:rsid w:val="00F03D49"/>
    <w:rsid w:val="00F101CC"/>
    <w:rsid w:val="00F30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421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1946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946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semiHidden/>
    <w:unhideWhenUsed/>
    <w:qFormat/>
    <w:rsid w:val="000D4214"/>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semiHidden/>
    <w:rsid w:val="000D4214"/>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0D4214"/>
    <w:rPr>
      <w:sz w:val="23"/>
      <w:szCs w:val="23"/>
    </w:rPr>
  </w:style>
  <w:style w:type="character" w:customStyle="1" w:styleId="BodyTextChar">
    <w:name w:val="Body Text Char"/>
    <w:basedOn w:val="DefaultParagraphFont"/>
    <w:link w:val="BodyText"/>
    <w:uiPriority w:val="1"/>
    <w:rsid w:val="000D4214"/>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395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F5C"/>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44DBE"/>
    <w:rPr>
      <w:sz w:val="16"/>
      <w:szCs w:val="16"/>
    </w:rPr>
  </w:style>
  <w:style w:type="paragraph" w:styleId="CommentText">
    <w:name w:val="annotation text"/>
    <w:basedOn w:val="Normal"/>
    <w:link w:val="CommentTextChar"/>
    <w:uiPriority w:val="99"/>
    <w:semiHidden/>
    <w:unhideWhenUsed/>
    <w:rsid w:val="00B44DBE"/>
    <w:rPr>
      <w:sz w:val="20"/>
      <w:szCs w:val="20"/>
    </w:rPr>
  </w:style>
  <w:style w:type="character" w:customStyle="1" w:styleId="CommentTextChar">
    <w:name w:val="Comment Text Char"/>
    <w:basedOn w:val="DefaultParagraphFont"/>
    <w:link w:val="CommentText"/>
    <w:uiPriority w:val="99"/>
    <w:semiHidden/>
    <w:rsid w:val="00B44DB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44DBE"/>
    <w:rPr>
      <w:b/>
      <w:bCs/>
    </w:rPr>
  </w:style>
  <w:style w:type="character" w:customStyle="1" w:styleId="CommentSubjectChar">
    <w:name w:val="Comment Subject Char"/>
    <w:basedOn w:val="CommentTextChar"/>
    <w:link w:val="CommentSubject"/>
    <w:uiPriority w:val="99"/>
    <w:semiHidden/>
    <w:rsid w:val="00B44DBE"/>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19462B"/>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19462B"/>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421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1946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946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semiHidden/>
    <w:unhideWhenUsed/>
    <w:qFormat/>
    <w:rsid w:val="000D4214"/>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semiHidden/>
    <w:rsid w:val="000D4214"/>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0D4214"/>
    <w:rPr>
      <w:sz w:val="23"/>
      <w:szCs w:val="23"/>
    </w:rPr>
  </w:style>
  <w:style w:type="character" w:customStyle="1" w:styleId="BodyTextChar">
    <w:name w:val="Body Text Char"/>
    <w:basedOn w:val="DefaultParagraphFont"/>
    <w:link w:val="BodyText"/>
    <w:uiPriority w:val="1"/>
    <w:rsid w:val="000D4214"/>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395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F5C"/>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44DBE"/>
    <w:rPr>
      <w:sz w:val="16"/>
      <w:szCs w:val="16"/>
    </w:rPr>
  </w:style>
  <w:style w:type="paragraph" w:styleId="CommentText">
    <w:name w:val="annotation text"/>
    <w:basedOn w:val="Normal"/>
    <w:link w:val="CommentTextChar"/>
    <w:uiPriority w:val="99"/>
    <w:semiHidden/>
    <w:unhideWhenUsed/>
    <w:rsid w:val="00B44DBE"/>
    <w:rPr>
      <w:sz w:val="20"/>
      <w:szCs w:val="20"/>
    </w:rPr>
  </w:style>
  <w:style w:type="character" w:customStyle="1" w:styleId="CommentTextChar">
    <w:name w:val="Comment Text Char"/>
    <w:basedOn w:val="DefaultParagraphFont"/>
    <w:link w:val="CommentText"/>
    <w:uiPriority w:val="99"/>
    <w:semiHidden/>
    <w:rsid w:val="00B44DB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44DBE"/>
    <w:rPr>
      <w:b/>
      <w:bCs/>
    </w:rPr>
  </w:style>
  <w:style w:type="character" w:customStyle="1" w:styleId="CommentSubjectChar">
    <w:name w:val="Comment Subject Char"/>
    <w:basedOn w:val="CommentTextChar"/>
    <w:link w:val="CommentSubject"/>
    <w:uiPriority w:val="99"/>
    <w:semiHidden/>
    <w:rsid w:val="00B44DBE"/>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19462B"/>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19462B"/>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4020</Characters>
  <Application>Microsoft Office Word</Application>
  <DocSecurity>4</DocSecurity>
  <Lines>154</Lines>
  <Paragraphs>129</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Bruce</dc:creator>
  <cp:lastModifiedBy>Conduit, Nikki</cp:lastModifiedBy>
  <cp:revision>2</cp:revision>
  <cp:lastPrinted>2018-10-04T06:51:00Z</cp:lastPrinted>
  <dcterms:created xsi:type="dcterms:W3CDTF">2018-10-04T06:51:00Z</dcterms:created>
  <dcterms:modified xsi:type="dcterms:W3CDTF">2018-10-04T06:51:00Z</dcterms:modified>
</cp:coreProperties>
</file>