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3EC5E9E4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060667B9" w14:textId="086C812C" w:rsidR="00B74438" w:rsidRPr="00247BCE" w:rsidRDefault="00B74438" w:rsidP="00EA2747">
            <w:pPr>
              <w:pStyle w:val="Heading1"/>
              <w:spacing w:after="60"/>
            </w:pPr>
            <w:r w:rsidRPr="00B74438">
              <w:t>Federal Financial Relations (</w:t>
            </w:r>
            <w:r w:rsidR="00EA67BF">
              <w:t xml:space="preserve">National </w:t>
            </w:r>
            <w:r w:rsidR="00DF70D9">
              <w:t>Health Reform</w:t>
            </w:r>
            <w:r w:rsidR="009E0CB6">
              <w:t xml:space="preserve"> </w:t>
            </w:r>
            <w:r w:rsidR="00956E9A">
              <w:t>PAYMENTS</w:t>
            </w:r>
            <w:r w:rsidR="00A3055C">
              <w:t>) Determination</w:t>
            </w:r>
            <w:r w:rsidR="00A42696">
              <w:t xml:space="preserve"> </w:t>
            </w:r>
            <w:r w:rsidR="004C2092">
              <w:t>201</w:t>
            </w:r>
            <w:r w:rsidR="00EA2747">
              <w:t>6</w:t>
            </w:r>
            <w:r w:rsidR="00DF70D9">
              <w:t>-1</w:t>
            </w:r>
            <w:r w:rsidR="00EA2747">
              <w:t>7</w:t>
            </w:r>
          </w:p>
        </w:tc>
      </w:tr>
      <w:tr w:rsidR="00C1403E" w:rsidRPr="00247BCE" w14:paraId="32CE9BB5" w14:textId="77777777" w:rsidTr="00353981">
        <w:tc>
          <w:tcPr>
            <w:tcW w:w="8618" w:type="dxa"/>
            <w:gridSpan w:val="2"/>
          </w:tcPr>
          <w:p w14:paraId="49AAA6D2" w14:textId="3EBCAE1D" w:rsidR="00C1403E" w:rsidRPr="00353981" w:rsidRDefault="00B74438" w:rsidP="00763729">
            <w:pPr>
              <w:pStyle w:val="SingleParagraph"/>
              <w:spacing w:before="240"/>
              <w:rPr>
                <w:sz w:val="22"/>
              </w:rPr>
            </w:pPr>
            <w:r w:rsidRPr="00353981">
              <w:rPr>
                <w:sz w:val="22"/>
              </w:rPr>
              <w:t xml:space="preserve">I, </w:t>
            </w:r>
            <w:r w:rsidR="00EA2747">
              <w:rPr>
                <w:sz w:val="22"/>
              </w:rPr>
              <w:t>JOSH FRYDENB</w:t>
            </w:r>
            <w:r w:rsidR="00763729">
              <w:rPr>
                <w:sz w:val="22"/>
              </w:rPr>
              <w:t>E</w:t>
            </w:r>
            <w:r w:rsidR="00EA2747">
              <w:rPr>
                <w:sz w:val="22"/>
              </w:rPr>
              <w:t>RG</w:t>
            </w:r>
            <w:r w:rsidRPr="00353981">
              <w:rPr>
                <w:sz w:val="22"/>
              </w:rPr>
              <w:t xml:space="preserve">, </w:t>
            </w:r>
            <w:r w:rsidR="00A42696">
              <w:rPr>
                <w:sz w:val="22"/>
              </w:rPr>
              <w:t>Treasurer</w:t>
            </w:r>
            <w:r w:rsidRPr="00353981">
              <w:rPr>
                <w:sz w:val="22"/>
              </w:rPr>
              <w:t xml:space="preserve">, make this Determination under </w:t>
            </w:r>
            <w:r w:rsidR="00800018">
              <w:rPr>
                <w:sz w:val="22"/>
              </w:rPr>
              <w:t>subsection</w:t>
            </w:r>
            <w:r w:rsidR="0018344E">
              <w:rPr>
                <w:sz w:val="22"/>
              </w:rPr>
              <w:t> 15A(1)</w:t>
            </w:r>
            <w:r w:rsidR="0000193C">
              <w:rPr>
                <w:sz w:val="22"/>
              </w:rPr>
              <w:t xml:space="preserve"> </w:t>
            </w:r>
            <w:r w:rsidRPr="00353981">
              <w:rPr>
                <w:sz w:val="22"/>
              </w:rPr>
              <w:t xml:space="preserve">of the </w:t>
            </w:r>
            <w:r w:rsidRPr="00353981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79AD3C3B" w14:textId="77777777" w:rsidTr="00353981">
        <w:trPr>
          <w:trHeight w:val="1046"/>
        </w:trPr>
        <w:tc>
          <w:tcPr>
            <w:tcW w:w="8618" w:type="dxa"/>
            <w:gridSpan w:val="2"/>
          </w:tcPr>
          <w:p w14:paraId="3B384B4A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11BE9C40" w14:textId="77777777" w:rsidTr="00353981">
        <w:tc>
          <w:tcPr>
            <w:tcW w:w="4309" w:type="dxa"/>
          </w:tcPr>
          <w:p w14:paraId="05ECA849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6300ADF1" w14:textId="5FDC6B79" w:rsidR="00D91105" w:rsidRPr="00353981" w:rsidRDefault="00763729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JOSH FRYDENBERG</w:t>
            </w:r>
          </w:p>
        </w:tc>
        <w:tc>
          <w:tcPr>
            <w:tcW w:w="4309" w:type="dxa"/>
          </w:tcPr>
          <w:p w14:paraId="2C1DE3F3" w14:textId="1C71AECF" w:rsidR="00D91105" w:rsidRPr="00353981" w:rsidRDefault="00D91105" w:rsidP="00763729">
            <w:pPr>
              <w:spacing w:before="60"/>
              <w:rPr>
                <w:sz w:val="22"/>
              </w:rPr>
            </w:pPr>
            <w:r w:rsidRPr="00353981">
              <w:rPr>
                <w:sz w:val="22"/>
              </w:rPr>
              <w:br/>
              <w:t xml:space="preserve">Dated: </w:t>
            </w:r>
            <w:r w:rsidR="00B71AAB">
              <w:rPr>
                <w:sz w:val="22"/>
              </w:rPr>
              <w:t xml:space="preserve">28 September </w:t>
            </w:r>
            <w:r w:rsidR="00060443">
              <w:rPr>
                <w:sz w:val="22"/>
              </w:rPr>
              <w:t>201</w:t>
            </w:r>
            <w:r w:rsidR="007B28CE">
              <w:rPr>
                <w:sz w:val="22"/>
              </w:rPr>
              <w:t>8</w:t>
            </w:r>
          </w:p>
        </w:tc>
      </w:tr>
      <w:tr w:rsidR="00B74438" w:rsidRPr="00353981" w14:paraId="4CCA327A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CF4DA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03FF3FA6" w14:textId="77777777" w:rsidR="00A52150" w:rsidRDefault="00A52150" w:rsidP="00427A33">
      <w:pPr>
        <w:pStyle w:val="Heading2"/>
      </w:pPr>
      <w:r>
        <w:t>Part 1 — preliminar</w:t>
      </w:r>
      <w:r w:rsidR="008D2010">
        <w:t>y</w:t>
      </w:r>
    </w:p>
    <w:p w14:paraId="72398829" w14:textId="77777777" w:rsidR="00A52150" w:rsidRDefault="00BE0CFC" w:rsidP="00427A33">
      <w:pPr>
        <w:pStyle w:val="Heading3"/>
      </w:pPr>
      <w:r>
        <w:t xml:space="preserve">Name of </w:t>
      </w:r>
      <w:r w:rsidR="001D3365">
        <w:t>Determination</w:t>
      </w:r>
    </w:p>
    <w:p w14:paraId="24298A54" w14:textId="60DB1FA3" w:rsidR="00A52150" w:rsidRPr="00A52150" w:rsidRDefault="00BE0CFC" w:rsidP="00E6714D">
      <w:pPr>
        <w:pStyle w:val="NumberedParagraph"/>
      </w:pPr>
      <w:r>
        <w:t xml:space="preserve">This </w:t>
      </w:r>
      <w:r w:rsidR="001D3365">
        <w:t xml:space="preserve">determination </w:t>
      </w:r>
      <w:r>
        <w:t xml:space="preserve">is the </w:t>
      </w:r>
      <w:r w:rsidRPr="00E6714D">
        <w:rPr>
          <w:i/>
        </w:rPr>
        <w:t>Federal Financial Relations (</w:t>
      </w:r>
      <w:r w:rsidR="00EA67BF">
        <w:rPr>
          <w:i/>
        </w:rPr>
        <w:t xml:space="preserve">National </w:t>
      </w:r>
      <w:r w:rsidR="00DF70D9">
        <w:rPr>
          <w:i/>
        </w:rPr>
        <w:t xml:space="preserve">Health Reform </w:t>
      </w:r>
      <w:r w:rsidR="00956E9A">
        <w:rPr>
          <w:i/>
        </w:rPr>
        <w:t>Payments</w:t>
      </w:r>
      <w:r w:rsidR="00A3055C">
        <w:rPr>
          <w:i/>
        </w:rPr>
        <w:t xml:space="preserve">) Determination </w:t>
      </w:r>
      <w:r w:rsidR="00DF70D9">
        <w:rPr>
          <w:i/>
        </w:rPr>
        <w:t>201</w:t>
      </w:r>
      <w:r w:rsidR="00681AAC">
        <w:rPr>
          <w:i/>
        </w:rPr>
        <w:t>6</w:t>
      </w:r>
      <w:r w:rsidR="00DF70D9">
        <w:rPr>
          <w:i/>
        </w:rPr>
        <w:t>-1</w:t>
      </w:r>
      <w:r w:rsidR="00681AAC">
        <w:rPr>
          <w:i/>
        </w:rPr>
        <w:t>7</w:t>
      </w:r>
      <w:r w:rsidRPr="00E6714D">
        <w:rPr>
          <w:i/>
        </w:rPr>
        <w:t>.</w:t>
      </w:r>
    </w:p>
    <w:p w14:paraId="68AC6E89" w14:textId="77777777" w:rsidR="00BE0CFC" w:rsidRDefault="00BE0CFC" w:rsidP="00427A33">
      <w:pPr>
        <w:pStyle w:val="Heading3"/>
      </w:pPr>
      <w:r>
        <w:t>Commencement</w:t>
      </w:r>
      <w:bookmarkStart w:id="0" w:name="_GoBack"/>
      <w:bookmarkEnd w:id="0"/>
    </w:p>
    <w:p w14:paraId="3A197C8D" w14:textId="3227C2CB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916417">
        <w:t>it</w:t>
      </w:r>
      <w:r w:rsidR="006D078D">
        <w:t xml:space="preserve"> is made</w:t>
      </w:r>
      <w:r w:rsidR="00BE0CFC">
        <w:rPr>
          <w:i/>
        </w:rPr>
        <w:t>.</w:t>
      </w:r>
    </w:p>
    <w:p w14:paraId="7ECBED95" w14:textId="77777777" w:rsidR="006B2BB6" w:rsidRDefault="006B2BB6" w:rsidP="00427A33">
      <w:pPr>
        <w:pStyle w:val="Heading3"/>
      </w:pPr>
      <w:r>
        <w:t>Definitions</w:t>
      </w:r>
    </w:p>
    <w:p w14:paraId="70666E74" w14:textId="77777777" w:rsidR="00CC4FF6" w:rsidRDefault="00CC4FF6" w:rsidP="00CC4FF6">
      <w:pPr>
        <w:pStyle w:val="NumberedParagraph"/>
      </w:pPr>
      <w:r>
        <w:t>The following definitions are used throughout this determination:</w:t>
      </w:r>
    </w:p>
    <w:p w14:paraId="24A8459D" w14:textId="77777777" w:rsidR="00EB07E3" w:rsidRDefault="00EB07E3" w:rsidP="006B2BB6">
      <w:pPr>
        <w:ind w:left="567"/>
      </w:pPr>
      <w:r>
        <w:rPr>
          <w:b/>
          <w:i/>
        </w:rPr>
        <w:t>Administrator</w:t>
      </w:r>
      <w:r>
        <w:t xml:space="preserve"> means the Administrator of the National Health Funding Pool.</w:t>
      </w:r>
    </w:p>
    <w:p w14:paraId="66835A0C" w14:textId="77777777" w:rsidR="00CC4FF6" w:rsidRDefault="00EB07E3" w:rsidP="006B2BB6">
      <w:pPr>
        <w:ind w:left="567"/>
      </w:pPr>
      <w:r>
        <w:rPr>
          <w:b/>
          <w:i/>
        </w:rPr>
        <w:t xml:space="preserve">FFR </w:t>
      </w:r>
      <w:r w:rsidR="00CC4FF6">
        <w:rPr>
          <w:b/>
          <w:i/>
        </w:rPr>
        <w:t>Act</w:t>
      </w:r>
      <w:r w:rsidR="00CC4FF6">
        <w:t xml:space="preserve"> means the </w:t>
      </w:r>
      <w:r w:rsidR="00CC4FF6" w:rsidRPr="00CC4FF6">
        <w:rPr>
          <w:i/>
        </w:rPr>
        <w:t>Federal Financial Relations Act 2009</w:t>
      </w:r>
      <w:r w:rsidR="00CC4FF6">
        <w:t>.</w:t>
      </w:r>
    </w:p>
    <w:p w14:paraId="646D96CC" w14:textId="603A156A" w:rsidR="00121D81" w:rsidRDefault="00121D81" w:rsidP="006B2BB6">
      <w:pPr>
        <w:ind w:left="567"/>
      </w:pPr>
      <w:r w:rsidRPr="004B68AC">
        <w:rPr>
          <w:b/>
          <w:i/>
        </w:rPr>
        <w:t>IHPA</w:t>
      </w:r>
      <w:r>
        <w:t xml:space="preserve"> means the </w:t>
      </w:r>
      <w:r w:rsidRPr="00121D81">
        <w:t>Independent Hospital Pricing Authority</w:t>
      </w:r>
      <w:r>
        <w:t>.</w:t>
      </w:r>
    </w:p>
    <w:p w14:paraId="4DBC992F" w14:textId="77777777" w:rsidR="00060D6B" w:rsidRDefault="006B2BB6">
      <w:pPr>
        <w:ind w:left="567"/>
      </w:pPr>
      <w:r>
        <w:rPr>
          <w:b/>
          <w:i/>
        </w:rPr>
        <w:t>State</w:t>
      </w:r>
      <w:r>
        <w:t xml:space="preserve"> includes the Australian Capital Territory and the Northern Territory.</w:t>
      </w:r>
    </w:p>
    <w:p w14:paraId="24A9DF3C" w14:textId="4045CEFB" w:rsidR="00083093" w:rsidRDefault="008D2010" w:rsidP="008D2010">
      <w:pPr>
        <w:pStyle w:val="Heading2"/>
      </w:pPr>
      <w:r>
        <w:t xml:space="preserve">PArt 2 — </w:t>
      </w:r>
      <w:r w:rsidR="009E0CB6">
        <w:t xml:space="preserve">National Health Reform </w:t>
      </w:r>
      <w:r w:rsidR="00956E9A">
        <w:t>PAYMENTS</w:t>
      </w:r>
    </w:p>
    <w:p w14:paraId="5DEC7A60" w14:textId="07B1F400" w:rsidR="00EF5A03" w:rsidRDefault="008A1D7C" w:rsidP="00341442">
      <w:pPr>
        <w:pStyle w:val="NumberedParagraph"/>
      </w:pPr>
      <w:r w:rsidRPr="009B655C">
        <w:t xml:space="preserve">Under the National Health Reform Agreement, national health reform funding arrangements commenced from 1 July 2012. </w:t>
      </w:r>
      <w:r w:rsidR="00565820">
        <w:t xml:space="preserve"> </w:t>
      </w:r>
      <w:r w:rsidR="00341442">
        <w:t xml:space="preserve">From 2014-15, Commonwealth funding for most public hospital services </w:t>
      </w:r>
      <w:r w:rsidR="00414423">
        <w:t>is</w:t>
      </w:r>
      <w:r w:rsidR="008527BB">
        <w:t xml:space="preserve"> calculated</w:t>
      </w:r>
      <w:r w:rsidR="00341442">
        <w:t xml:space="preserve"> on an activity basis where funding var</w:t>
      </w:r>
      <w:r w:rsidR="00414423">
        <w:t>ies</w:t>
      </w:r>
      <w:r w:rsidR="00341442">
        <w:t xml:space="preserve"> in response to efficient </w:t>
      </w:r>
      <w:r w:rsidR="00414423">
        <w:t>growth in</w:t>
      </w:r>
      <w:r w:rsidR="00341442">
        <w:t xml:space="preserve"> public hospital services.</w:t>
      </w:r>
    </w:p>
    <w:p w14:paraId="018EFB72" w14:textId="4A738721" w:rsidR="00341442" w:rsidRDefault="00EF5A03" w:rsidP="00341442">
      <w:pPr>
        <w:pStyle w:val="NumberedParagraph"/>
      </w:pPr>
      <w:r>
        <w:t>For 201</w:t>
      </w:r>
      <w:r w:rsidR="00763729">
        <w:t>6</w:t>
      </w:r>
      <w:r>
        <w:t>-1</w:t>
      </w:r>
      <w:r w:rsidR="00763729">
        <w:t>7</w:t>
      </w:r>
      <w:r>
        <w:t xml:space="preserve">, </w:t>
      </w:r>
      <w:r w:rsidR="00341442">
        <w:t xml:space="preserve">Clause A3 of the National Health Reform Agreement provides that </w:t>
      </w:r>
      <w:r>
        <w:t>the</w:t>
      </w:r>
      <w:r w:rsidR="00124FE7">
        <w:t xml:space="preserve"> Commonwealth will fund 45 per cent of the efficient </w:t>
      </w:r>
      <w:r>
        <w:t>growth</w:t>
      </w:r>
      <w:r w:rsidR="008527BB">
        <w:t xml:space="preserve"> in</w:t>
      </w:r>
      <w:r w:rsidR="005220A4">
        <w:t xml:space="preserve"> activity based services</w:t>
      </w:r>
      <w:r>
        <w:t xml:space="preserve">. </w:t>
      </w:r>
      <w:r w:rsidR="00EA6B25">
        <w:t xml:space="preserve">Efficient growth consists of the national efficient price </w:t>
      </w:r>
      <w:r w:rsidR="00414423">
        <w:t>for</w:t>
      </w:r>
      <w:r w:rsidR="00EA6B25">
        <w:t xml:space="preserve"> any change</w:t>
      </w:r>
      <w:r w:rsidR="00414423">
        <w:t>s</w:t>
      </w:r>
      <w:r w:rsidR="00EA6B25">
        <w:t xml:space="preserve"> in the </w:t>
      </w:r>
      <w:r w:rsidR="00EA6B25">
        <w:lastRenderedPageBreak/>
        <w:t>volume of services</w:t>
      </w:r>
      <w:r w:rsidR="00EA6B25" w:rsidRPr="00124FE7">
        <w:t xml:space="preserve"> </w:t>
      </w:r>
      <w:r w:rsidR="00414423">
        <w:t xml:space="preserve">provided </w:t>
      </w:r>
      <w:r w:rsidR="00EA6B25">
        <w:t>and the growth in the national efficient price of providing the existing volume of services.</w:t>
      </w:r>
    </w:p>
    <w:p w14:paraId="681620CE" w14:textId="3F0FAA5A" w:rsidR="00124FE7" w:rsidRPr="00F84081" w:rsidRDefault="00EF5A03" w:rsidP="00341442">
      <w:pPr>
        <w:pStyle w:val="NumberedParagraph"/>
      </w:pPr>
      <w:r w:rsidRPr="00EF5A03">
        <w:rPr>
          <w:szCs w:val="24"/>
        </w:rPr>
        <w:t xml:space="preserve">Where services or functions are more appropriately funded through block grants and for teaching, training and research, </w:t>
      </w:r>
      <w:r w:rsidR="005220A4">
        <w:rPr>
          <w:szCs w:val="24"/>
        </w:rPr>
        <w:t>Clause A4 of the National Health Reform Agreement provides that</w:t>
      </w:r>
      <w:r w:rsidR="005220A4" w:rsidRPr="00341442">
        <w:rPr>
          <w:szCs w:val="24"/>
        </w:rPr>
        <w:t xml:space="preserve"> </w:t>
      </w:r>
      <w:r w:rsidR="00341442" w:rsidRPr="00341442">
        <w:rPr>
          <w:szCs w:val="24"/>
        </w:rPr>
        <w:t xml:space="preserve">the Commonwealth will fund 45 per cent of growth in the efficient cost of providing the services or performing the </w:t>
      </w:r>
      <w:r w:rsidR="00341442">
        <w:rPr>
          <w:szCs w:val="24"/>
        </w:rPr>
        <w:t xml:space="preserve">functions. </w:t>
      </w:r>
    </w:p>
    <w:p w14:paraId="0E43B562" w14:textId="034B7921" w:rsidR="007B28CE" w:rsidRPr="00F84081" w:rsidRDefault="004B6F39" w:rsidP="009477D2">
      <w:pPr>
        <w:pStyle w:val="NumberedParagraph"/>
      </w:pPr>
      <w:r w:rsidRPr="004B68AC">
        <w:t>In accordance with the functions of the Administrator under p</w:t>
      </w:r>
      <w:r w:rsidR="00EB07E3" w:rsidRPr="004B68AC">
        <w:t>aragraph</w:t>
      </w:r>
      <w:r w:rsidRPr="004B68AC">
        <w:t> </w:t>
      </w:r>
      <w:r w:rsidR="00EB07E3" w:rsidRPr="004B68AC">
        <w:t xml:space="preserve">238(1)(a) of the </w:t>
      </w:r>
      <w:r w:rsidR="008B38A5" w:rsidRPr="004B68AC">
        <w:rPr>
          <w:i/>
        </w:rPr>
        <w:t>National Health Reform Act 2011</w:t>
      </w:r>
      <w:r w:rsidRPr="004B68AC">
        <w:t>,</w:t>
      </w:r>
      <w:r w:rsidR="00EB07E3" w:rsidRPr="004B68AC">
        <w:t xml:space="preserve"> </w:t>
      </w:r>
      <w:r w:rsidRPr="004B68AC">
        <w:t xml:space="preserve">the Administrator calculated </w:t>
      </w:r>
      <w:r w:rsidR="008B38A5" w:rsidRPr="004B68AC">
        <w:t xml:space="preserve">and advised </w:t>
      </w:r>
      <w:r w:rsidRPr="004B68AC">
        <w:t>the amounts required to be paid by the Commonwealth into each State Pool Account of the National Health Funding Pool under the National Health Reform Agreement</w:t>
      </w:r>
      <w:r w:rsidR="00956E9A">
        <w:t>.</w:t>
      </w:r>
    </w:p>
    <w:p w14:paraId="0FAC8BE2" w14:textId="1F382717" w:rsidR="0028780E" w:rsidRPr="004B68AC" w:rsidRDefault="00916417" w:rsidP="00A35BE8">
      <w:pPr>
        <w:pStyle w:val="NumberedParagraph"/>
      </w:pPr>
      <w:r>
        <w:t>Having regard to</w:t>
      </w:r>
      <w:r w:rsidR="00050D05" w:rsidRPr="004B68AC">
        <w:t xml:space="preserve"> the Administrator’s advice </w:t>
      </w:r>
      <w:r w:rsidR="00937905">
        <w:t xml:space="preserve">on </w:t>
      </w:r>
      <w:r w:rsidR="00F3017C">
        <w:t>the amounts required to be paid to the States under the</w:t>
      </w:r>
      <w:r w:rsidR="00A35BE8" w:rsidRPr="00A35BE8">
        <w:t xml:space="preserve"> National Health Reform Agreement</w:t>
      </w:r>
      <w:r w:rsidR="00282312">
        <w:t>,</w:t>
      </w:r>
      <w:r w:rsidR="00B8639C">
        <w:t xml:space="preserve"> </w:t>
      </w:r>
      <w:r w:rsidR="00050D05" w:rsidRPr="004B68AC">
        <w:t>i</w:t>
      </w:r>
      <w:r w:rsidR="0061618E" w:rsidRPr="004B68AC">
        <w:t>n accordance with subsection 15A</w:t>
      </w:r>
      <w:r w:rsidR="0028780E" w:rsidRPr="004B68AC">
        <w:t>(</w:t>
      </w:r>
      <w:r w:rsidR="00050D05" w:rsidRPr="004B68AC">
        <w:t>1</w:t>
      </w:r>
      <w:r w:rsidR="0028780E" w:rsidRPr="004B68AC">
        <w:t xml:space="preserve">) of the </w:t>
      </w:r>
      <w:r w:rsidR="00EB07E3" w:rsidRPr="004B68AC">
        <w:t xml:space="preserve">FFR </w:t>
      </w:r>
      <w:r w:rsidR="0028780E" w:rsidRPr="004B68AC">
        <w:t xml:space="preserve">Act, the amounts specified in Table </w:t>
      </w:r>
      <w:r w:rsidR="009477D2">
        <w:t>1</w:t>
      </w:r>
      <w:r w:rsidR="0028780E" w:rsidRPr="004B68AC">
        <w:t xml:space="preserve"> are to be paid for the 201</w:t>
      </w:r>
      <w:r w:rsidR="00763729">
        <w:t>6</w:t>
      </w:r>
      <w:r w:rsidR="0028780E" w:rsidRPr="004B68AC">
        <w:t>-1</w:t>
      </w:r>
      <w:r w:rsidR="00763729">
        <w:t>7</w:t>
      </w:r>
      <w:r w:rsidR="0028780E" w:rsidRPr="004B68AC">
        <w:t xml:space="preserve"> financial year to the States specified in that table.</w:t>
      </w:r>
    </w:p>
    <w:p w14:paraId="4244EE97" w14:textId="78F1F71A" w:rsidR="0028780E" w:rsidRDefault="0028780E" w:rsidP="0028780E">
      <w:pPr>
        <w:pStyle w:val="Heading3"/>
        <w:spacing w:after="0"/>
      </w:pPr>
      <w:r w:rsidRPr="005E1B08">
        <w:t xml:space="preserve">Table </w:t>
      </w:r>
      <w:r w:rsidR="009477D2">
        <w:t>1</w:t>
      </w:r>
      <w:r w:rsidRPr="005E1B08">
        <w:t xml:space="preserve">: National </w:t>
      </w:r>
      <w:r w:rsidR="007B34CC" w:rsidRPr="005E1B08">
        <w:t>health reform</w:t>
      </w:r>
      <w:r w:rsidRPr="005E1B08">
        <w:t xml:space="preserve"> </w:t>
      </w:r>
      <w:r w:rsidR="00904AB3">
        <w:t>payments</w:t>
      </w:r>
      <w:r w:rsidR="005E1B08" w:rsidRPr="005E1B08">
        <w:t>,</w:t>
      </w:r>
      <w:r w:rsidRPr="005E1B08">
        <w:t xml:space="preserve"> 201</w:t>
      </w:r>
      <w:r w:rsidR="00763729">
        <w:t>6</w:t>
      </w:r>
      <w:r w:rsidRPr="005E1B08">
        <w:t>-1</w:t>
      </w:r>
      <w:r w:rsidR="00763729">
        <w:t>7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462"/>
        <w:gridCol w:w="277"/>
        <w:gridCol w:w="2090"/>
        <w:gridCol w:w="1133"/>
        <w:gridCol w:w="330"/>
        <w:gridCol w:w="271"/>
        <w:gridCol w:w="3368"/>
      </w:tblGrid>
      <w:tr w:rsidR="00492E9B" w:rsidRPr="00044D17" w14:paraId="7B400AED" w14:textId="77777777" w:rsidTr="00901FCE">
        <w:trPr>
          <w:trHeight w:val="309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BED" w14:textId="4E9937EA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A1D9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D7FF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D7F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E5B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6BE4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492E9B" w:rsidRPr="00044D17" w14:paraId="472B68DC" w14:textId="77777777" w:rsidTr="00901FCE">
        <w:trPr>
          <w:trHeight w:val="252"/>
        </w:trPr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2519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2BCA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B9F5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89C0" w14:textId="59CA307B" w:rsidR="00492E9B" w:rsidRPr="00044D17" w:rsidRDefault="00492E9B" w:rsidP="0050086E">
            <w:pPr>
              <w:keepNext/>
              <w:tabs>
                <w:tab w:val="left" w:pos="8505"/>
              </w:tabs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AEE">
              <w:rPr>
                <w:b/>
                <w:bCs/>
                <w:color w:val="000000"/>
                <w:sz w:val="22"/>
                <w:szCs w:val="22"/>
              </w:rPr>
              <w:t>National health reform payments</w:t>
            </w:r>
            <w:r w:rsidR="00901F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01FCE" w:rsidRPr="00044D17" w14:paraId="29061208" w14:textId="77777777" w:rsidTr="00901FCE">
        <w:trPr>
          <w:trHeight w:val="413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AA9E" w14:textId="563525B6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New South Wales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626A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4F61" w14:textId="3E152D1D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 w:rsidRPr="00301406">
              <w:rPr>
                <w:color w:val="000000"/>
              </w:rPr>
              <w:t xml:space="preserve">              </w:t>
            </w:r>
            <w:r w:rsidR="009F5305" w:rsidRPr="00301406">
              <w:rPr>
                <w:color w:val="000000"/>
              </w:rPr>
              <w:t>$</w:t>
            </w:r>
            <w:r w:rsidRPr="00301406">
              <w:rPr>
                <w:color w:val="000000"/>
              </w:rPr>
              <w:t>5,</w:t>
            </w:r>
            <w:r w:rsidR="00301406" w:rsidRPr="00301406">
              <w:rPr>
                <w:color w:val="000000"/>
              </w:rPr>
              <w:t>922,808,500.84</w:t>
            </w:r>
          </w:p>
        </w:tc>
      </w:tr>
      <w:tr w:rsidR="00901FCE" w:rsidRPr="00044D17" w14:paraId="57C0F319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95EB" w14:textId="0E72690F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Victoria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507C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5F0A" w14:textId="432CB4EE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 w:rsidRPr="00301406">
              <w:rPr>
                <w:color w:val="000000"/>
              </w:rPr>
              <w:t>              </w:t>
            </w:r>
            <w:r w:rsidR="009F5305" w:rsidRPr="00301406">
              <w:rPr>
                <w:color w:val="000000"/>
              </w:rPr>
              <w:t>$</w:t>
            </w:r>
            <w:r w:rsidRPr="00301406">
              <w:rPr>
                <w:color w:val="000000"/>
              </w:rPr>
              <w:t>4</w:t>
            </w:r>
            <w:r w:rsidR="00D84D17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626,936,969.42</w:t>
            </w:r>
            <w:r w:rsidRPr="00301406">
              <w:rPr>
                <w:color w:val="000000"/>
              </w:rPr>
              <w:t xml:space="preserve"> </w:t>
            </w:r>
          </w:p>
        </w:tc>
      </w:tr>
      <w:tr w:rsidR="00901FCE" w:rsidRPr="00044D17" w14:paraId="52DB0DEB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F893" w14:textId="6D025B38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Queensland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E7DC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AF34" w14:textId="160F49E0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color w:val="000000"/>
              </w:rPr>
              <w:t>              </w:t>
            </w:r>
            <w:r w:rsidR="009F5305" w:rsidRPr="00301406">
              <w:rPr>
                <w:color w:val="000000"/>
              </w:rPr>
              <w:t>$</w:t>
            </w:r>
            <w:r w:rsidR="00301406" w:rsidRPr="00301406">
              <w:rPr>
                <w:color w:val="000000"/>
              </w:rPr>
              <w:t>4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094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198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906</w:t>
            </w:r>
            <w:r w:rsidRPr="00301406">
              <w:rPr>
                <w:color w:val="000000"/>
              </w:rPr>
              <w:t>.</w:t>
            </w:r>
            <w:r w:rsidR="00301406" w:rsidRPr="00301406">
              <w:rPr>
                <w:color w:val="000000"/>
              </w:rPr>
              <w:t>92</w:t>
            </w:r>
            <w:r w:rsidRPr="00301406">
              <w:rPr>
                <w:color w:val="000000"/>
                <w:highlight w:val="yellow"/>
              </w:rPr>
              <w:t xml:space="preserve"> </w:t>
            </w:r>
          </w:p>
        </w:tc>
      </w:tr>
      <w:tr w:rsidR="00901FCE" w:rsidRPr="00044D17" w14:paraId="4B18E4BD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DAC5" w14:textId="788A4EEA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Western Australia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9A2D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6553" w14:textId="64FF335C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color w:val="000000"/>
              </w:rPr>
              <w:t xml:space="preserve">              </w:t>
            </w:r>
            <w:r w:rsidR="009F5305" w:rsidRPr="00301406">
              <w:rPr>
                <w:color w:val="000000"/>
              </w:rPr>
              <w:t>$</w:t>
            </w:r>
            <w:r w:rsidR="00301406" w:rsidRPr="00301406">
              <w:rPr>
                <w:color w:val="000000"/>
              </w:rPr>
              <w:t>2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055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031,284</w:t>
            </w:r>
            <w:r w:rsidRPr="00301406">
              <w:rPr>
                <w:color w:val="000000"/>
              </w:rPr>
              <w:t>.</w:t>
            </w:r>
            <w:r w:rsidR="00301406" w:rsidRPr="00301406">
              <w:rPr>
                <w:color w:val="000000"/>
              </w:rPr>
              <w:t>75</w:t>
            </w:r>
            <w:r w:rsidRPr="00301406">
              <w:rPr>
                <w:color w:val="000000"/>
              </w:rPr>
              <w:t xml:space="preserve"> </w:t>
            </w:r>
          </w:p>
        </w:tc>
      </w:tr>
      <w:tr w:rsidR="00901FCE" w:rsidRPr="00044D17" w14:paraId="7ADB8D78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A5C" w14:textId="285C5089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South Australia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AC8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8657" w14:textId="679A1DBB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color w:val="000000"/>
              </w:rPr>
              <w:t xml:space="preserve">              </w:t>
            </w:r>
            <w:r w:rsidR="009F5305" w:rsidRPr="00301406">
              <w:rPr>
                <w:color w:val="000000"/>
              </w:rPr>
              <w:t>$</w:t>
            </w:r>
            <w:r w:rsidRPr="00301406">
              <w:rPr>
                <w:color w:val="000000"/>
              </w:rPr>
              <w:t>1,2</w:t>
            </w:r>
            <w:r w:rsidR="00301406" w:rsidRPr="00301406">
              <w:rPr>
                <w:color w:val="000000"/>
              </w:rPr>
              <w:t>57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661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327</w:t>
            </w:r>
            <w:r w:rsidRPr="00301406">
              <w:rPr>
                <w:color w:val="000000"/>
              </w:rPr>
              <w:t>.</w:t>
            </w:r>
            <w:r w:rsidR="00301406" w:rsidRPr="00301406">
              <w:rPr>
                <w:color w:val="000000"/>
              </w:rPr>
              <w:t>20</w:t>
            </w:r>
            <w:r w:rsidRPr="00301406">
              <w:rPr>
                <w:color w:val="000000"/>
                <w:highlight w:val="yellow"/>
              </w:rPr>
              <w:t xml:space="preserve"> </w:t>
            </w:r>
          </w:p>
        </w:tc>
      </w:tr>
      <w:tr w:rsidR="00901FCE" w:rsidRPr="00044D17" w14:paraId="6B54BE1A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3AF0" w14:textId="3EF717E4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Tasmania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D40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67F3" w14:textId="14ED88ED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color w:val="000000"/>
              </w:rPr>
              <w:t>                 </w:t>
            </w:r>
            <w:r w:rsidR="009F5305" w:rsidRPr="00301406">
              <w:rPr>
                <w:color w:val="000000"/>
              </w:rPr>
              <w:t>$</w:t>
            </w:r>
            <w:r w:rsidRPr="00301406">
              <w:rPr>
                <w:color w:val="000000"/>
              </w:rPr>
              <w:t>3</w:t>
            </w:r>
            <w:r w:rsidR="00301406" w:rsidRPr="00301406">
              <w:rPr>
                <w:color w:val="000000"/>
              </w:rPr>
              <w:t>89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472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806</w:t>
            </w:r>
            <w:r w:rsidRPr="00301406">
              <w:rPr>
                <w:color w:val="000000"/>
              </w:rPr>
              <w:t>.</w:t>
            </w:r>
            <w:r w:rsidR="00301406" w:rsidRPr="00301406">
              <w:rPr>
                <w:color w:val="000000"/>
              </w:rPr>
              <w:t>82</w:t>
            </w:r>
            <w:r w:rsidRPr="00301406">
              <w:rPr>
                <w:color w:val="000000"/>
                <w:highlight w:val="yellow"/>
              </w:rPr>
              <w:t xml:space="preserve"> </w:t>
            </w:r>
          </w:p>
        </w:tc>
      </w:tr>
      <w:tr w:rsidR="00901FCE" w:rsidRPr="00044D17" w14:paraId="435499FD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C9B5" w14:textId="6DC523B0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Australian Capital Territory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EB91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BFBD" w14:textId="3C484794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color w:val="000000"/>
              </w:rPr>
              <w:t>                 </w:t>
            </w:r>
            <w:r w:rsidR="009F5305" w:rsidRPr="00301406">
              <w:rPr>
                <w:color w:val="000000"/>
              </w:rPr>
              <w:t>$</w:t>
            </w:r>
            <w:r w:rsidRPr="00301406">
              <w:rPr>
                <w:color w:val="000000"/>
              </w:rPr>
              <w:t>3</w:t>
            </w:r>
            <w:r w:rsidR="00301406" w:rsidRPr="00301406">
              <w:rPr>
                <w:color w:val="000000"/>
              </w:rPr>
              <w:t>64</w:t>
            </w:r>
            <w:r w:rsidRPr="00301406">
              <w:rPr>
                <w:color w:val="000000"/>
              </w:rPr>
              <w:t>,6</w:t>
            </w:r>
            <w:r w:rsidR="00301406" w:rsidRPr="00301406">
              <w:rPr>
                <w:color w:val="000000"/>
              </w:rPr>
              <w:t>5</w:t>
            </w:r>
            <w:r w:rsidRPr="00301406">
              <w:rPr>
                <w:color w:val="000000"/>
              </w:rPr>
              <w:t>5,</w:t>
            </w:r>
            <w:r w:rsidR="00301406" w:rsidRPr="00301406">
              <w:rPr>
                <w:color w:val="000000"/>
              </w:rPr>
              <w:t>073</w:t>
            </w:r>
            <w:r w:rsidRPr="00301406">
              <w:rPr>
                <w:color w:val="000000"/>
              </w:rPr>
              <w:t>.</w:t>
            </w:r>
            <w:r w:rsidR="00301406" w:rsidRPr="00301406">
              <w:rPr>
                <w:color w:val="000000"/>
              </w:rPr>
              <w:t>71</w:t>
            </w:r>
            <w:r w:rsidRPr="00301406">
              <w:rPr>
                <w:color w:val="000000"/>
                <w:highlight w:val="yellow"/>
              </w:rPr>
              <w:t xml:space="preserve"> </w:t>
            </w:r>
          </w:p>
        </w:tc>
      </w:tr>
      <w:tr w:rsidR="00901FCE" w:rsidRPr="00044D17" w14:paraId="6E0FBDDB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6112" w14:textId="3138DEB9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Northern Territory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A112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E57D" w14:textId="673BD4CC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color w:val="000000"/>
              </w:rPr>
              <w:t>                 </w:t>
            </w:r>
            <w:r w:rsidR="009F5305" w:rsidRPr="00301406">
              <w:rPr>
                <w:color w:val="000000"/>
              </w:rPr>
              <w:t>$</w:t>
            </w:r>
            <w:r w:rsidRPr="00301406">
              <w:rPr>
                <w:color w:val="000000"/>
              </w:rPr>
              <w:t>2</w:t>
            </w:r>
            <w:r w:rsidR="00301406" w:rsidRPr="00301406">
              <w:rPr>
                <w:color w:val="000000"/>
              </w:rPr>
              <w:t>42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519</w:t>
            </w:r>
            <w:r w:rsidRPr="00301406">
              <w:rPr>
                <w:color w:val="000000"/>
              </w:rPr>
              <w:t>,</w:t>
            </w:r>
            <w:r w:rsidR="00301406" w:rsidRPr="00301406">
              <w:rPr>
                <w:color w:val="000000"/>
              </w:rPr>
              <w:t>665</w:t>
            </w:r>
            <w:r w:rsidRPr="00301406">
              <w:rPr>
                <w:color w:val="000000"/>
              </w:rPr>
              <w:t>.</w:t>
            </w:r>
            <w:r w:rsidR="00301406" w:rsidRPr="00301406">
              <w:rPr>
                <w:color w:val="000000"/>
              </w:rPr>
              <w:t>17</w:t>
            </w:r>
            <w:r w:rsidRPr="00301406">
              <w:rPr>
                <w:color w:val="000000"/>
                <w:highlight w:val="yellow"/>
              </w:rPr>
              <w:t xml:space="preserve"> </w:t>
            </w:r>
          </w:p>
        </w:tc>
      </w:tr>
      <w:tr w:rsidR="00901FCE" w:rsidRPr="00044D17" w14:paraId="4ED9B66C" w14:textId="77777777" w:rsidTr="00901FCE">
        <w:trPr>
          <w:trHeight w:val="205"/>
        </w:trPr>
        <w:tc>
          <w:tcPr>
            <w:tcW w:w="5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73CA" w14:textId="1C2421FE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Total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088A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6F38" w14:textId="2B9B3301" w:rsidR="00901FCE" w:rsidRPr="00301406" w:rsidRDefault="00901FCE" w:rsidP="00301406">
            <w:pPr>
              <w:keepNext/>
              <w:tabs>
                <w:tab w:val="left" w:pos="8505"/>
              </w:tabs>
              <w:spacing w:after="0"/>
              <w:ind w:firstLineChars="200" w:firstLine="482"/>
              <w:jc w:val="righ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301406">
              <w:rPr>
                <w:b/>
                <w:color w:val="000000"/>
              </w:rPr>
              <w:t>           </w:t>
            </w:r>
            <w:r w:rsidR="009F5305" w:rsidRPr="00301406">
              <w:rPr>
                <w:b/>
                <w:color w:val="000000"/>
              </w:rPr>
              <w:t>$</w:t>
            </w:r>
            <w:r w:rsidRPr="00301406">
              <w:rPr>
                <w:b/>
                <w:color w:val="000000"/>
              </w:rPr>
              <w:t>1</w:t>
            </w:r>
            <w:r w:rsidR="00301406" w:rsidRPr="00301406">
              <w:rPr>
                <w:b/>
                <w:color w:val="000000"/>
              </w:rPr>
              <w:t>8</w:t>
            </w:r>
            <w:r w:rsidRPr="00301406">
              <w:rPr>
                <w:b/>
                <w:color w:val="000000"/>
              </w:rPr>
              <w:t>,</w:t>
            </w:r>
            <w:r w:rsidR="00301406" w:rsidRPr="00301406">
              <w:rPr>
                <w:b/>
                <w:color w:val="000000"/>
              </w:rPr>
              <w:t>953</w:t>
            </w:r>
            <w:r w:rsidRPr="00301406">
              <w:rPr>
                <w:b/>
                <w:color w:val="000000"/>
              </w:rPr>
              <w:t>,</w:t>
            </w:r>
            <w:r w:rsidR="00301406" w:rsidRPr="00301406">
              <w:rPr>
                <w:b/>
                <w:color w:val="000000"/>
              </w:rPr>
              <w:t>284</w:t>
            </w:r>
            <w:r w:rsidRPr="00301406">
              <w:rPr>
                <w:b/>
                <w:color w:val="000000"/>
              </w:rPr>
              <w:t>,</w:t>
            </w:r>
            <w:r w:rsidR="00301406" w:rsidRPr="00301406">
              <w:rPr>
                <w:b/>
                <w:color w:val="000000"/>
              </w:rPr>
              <w:t>534</w:t>
            </w:r>
            <w:r w:rsidRPr="00301406">
              <w:rPr>
                <w:b/>
                <w:color w:val="000000"/>
              </w:rPr>
              <w:t>.</w:t>
            </w:r>
            <w:r w:rsidR="00301406" w:rsidRPr="00301406">
              <w:rPr>
                <w:b/>
                <w:color w:val="000000"/>
              </w:rPr>
              <w:t>83</w:t>
            </w:r>
            <w:r w:rsidRPr="00301406">
              <w:rPr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17953414" w14:textId="77777777" w:rsidR="0033532E" w:rsidRDefault="0033532E" w:rsidP="0033532E">
      <w:pPr>
        <w:pStyle w:val="NumberedParagraph"/>
        <w:numPr>
          <w:ilvl w:val="0"/>
          <w:numId w:val="0"/>
        </w:numPr>
      </w:pPr>
    </w:p>
    <w:p w14:paraId="00308CDA" w14:textId="6943D5F2" w:rsidR="0028780E" w:rsidRDefault="00050D05" w:rsidP="00A90F43">
      <w:pPr>
        <w:pStyle w:val="NumberedParagraph"/>
      </w:pPr>
      <w:r w:rsidRPr="0058662B">
        <w:t xml:space="preserve">In accordance with subsection 15A(3) of the </w:t>
      </w:r>
      <w:r>
        <w:t xml:space="preserve">FFR </w:t>
      </w:r>
      <w:r w:rsidRPr="0058662B">
        <w:t xml:space="preserve">Act, the amounts specified in Table </w:t>
      </w:r>
      <w:r w:rsidR="008527BB">
        <w:t>1</w:t>
      </w:r>
      <w:r w:rsidRPr="0058662B">
        <w:t xml:space="preserve"> are to be paid to the States on condition that the financial assistance is spent in accordance with the N</w:t>
      </w:r>
      <w:r w:rsidR="00A90F43">
        <w:t>ational Health Reform Agreement.</w:t>
      </w:r>
    </w:p>
    <w:sectPr w:rsidR="0028780E" w:rsidSect="0028780E">
      <w:headerReference w:type="default" r:id="rId14"/>
      <w:footerReference w:type="default" r:id="rId15"/>
      <w:type w:val="continuous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FFA5C" w14:textId="77777777" w:rsidR="001F2134" w:rsidRDefault="001F2134">
      <w:r>
        <w:separator/>
      </w:r>
    </w:p>
  </w:endnote>
  <w:endnote w:type="continuationSeparator" w:id="0">
    <w:p w14:paraId="4D1B803F" w14:textId="77777777" w:rsidR="001F2134" w:rsidRDefault="001F2134">
      <w:r>
        <w:continuationSeparator/>
      </w:r>
    </w:p>
  </w:endnote>
  <w:endnote w:type="continuationNotice" w:id="1">
    <w:p w14:paraId="177508D8" w14:textId="77777777" w:rsidR="001F2134" w:rsidRDefault="001F21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417B" w14:textId="77777777" w:rsidR="006C2527" w:rsidRDefault="006C2527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1AA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BA4D" w14:textId="77777777" w:rsidR="001F2134" w:rsidRDefault="001F2134">
      <w:r>
        <w:separator/>
      </w:r>
    </w:p>
  </w:footnote>
  <w:footnote w:type="continuationSeparator" w:id="0">
    <w:p w14:paraId="1C585DB9" w14:textId="77777777" w:rsidR="001F2134" w:rsidRDefault="001F2134">
      <w:r>
        <w:continuationSeparator/>
      </w:r>
    </w:p>
  </w:footnote>
  <w:footnote w:type="continuationNotice" w:id="1">
    <w:p w14:paraId="5A7AE5A6" w14:textId="77777777" w:rsidR="001F2134" w:rsidRDefault="001F213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FB174" w14:textId="23ED8F8C" w:rsidR="006C2527" w:rsidRPr="00CC4FF6" w:rsidRDefault="006C2527" w:rsidP="00922EB3">
    <w:pPr>
      <w:pStyle w:val="Header"/>
      <w:spacing w:before="360" w:after="0"/>
      <w:rPr>
        <w:i/>
        <w:sz w:val="20"/>
      </w:rPr>
    </w:pPr>
    <w:r w:rsidRPr="007B34CC">
      <w:rPr>
        <w:i/>
        <w:sz w:val="20"/>
      </w:rPr>
      <w:t xml:space="preserve">Federal Financial Relations (National Health Reform </w:t>
    </w:r>
    <w:r>
      <w:rPr>
        <w:i/>
        <w:sz w:val="20"/>
      </w:rPr>
      <w:t>Payments</w:t>
    </w:r>
    <w:r w:rsidRPr="007B34CC">
      <w:rPr>
        <w:i/>
        <w:sz w:val="20"/>
      </w:rPr>
      <w:t>) Determination 201</w:t>
    </w:r>
    <w:r w:rsidR="00B42318">
      <w:rPr>
        <w:i/>
        <w:sz w:val="20"/>
      </w:rPr>
      <w:t>6</w:t>
    </w:r>
    <w:r w:rsidRPr="007B34CC">
      <w:rPr>
        <w:i/>
        <w:sz w:val="20"/>
      </w:rPr>
      <w:t>-1</w:t>
    </w:r>
    <w:r w:rsidR="00B42318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5FDA9D1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3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4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6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FEE66D6"/>
    <w:multiLevelType w:val="multilevel"/>
    <w:tmpl w:val="0C09001F"/>
    <w:numStyleLink w:val="111111"/>
  </w:abstractNum>
  <w:abstractNum w:abstractNumId="9">
    <w:nsid w:val="684623B5"/>
    <w:multiLevelType w:val="multilevel"/>
    <w:tmpl w:val="B1E8927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F4A3B08"/>
    <w:multiLevelType w:val="multilevel"/>
    <w:tmpl w:val="0C09001F"/>
    <w:numStyleLink w:val="111111"/>
  </w:abstractNum>
  <w:num w:numId="1">
    <w:abstractNumId w:val="4"/>
  </w:num>
  <w:num w:numId="2">
    <w:abstractNumId w:val="9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4"/>
    <w:lvlOverride w:ilvl="0">
      <w:startOverride w:val="2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43"/>
    <w:rsid w:val="0000193C"/>
    <w:rsid w:val="0000236D"/>
    <w:rsid w:val="00011B98"/>
    <w:rsid w:val="00024F49"/>
    <w:rsid w:val="0002765D"/>
    <w:rsid w:val="00034BF8"/>
    <w:rsid w:val="00045414"/>
    <w:rsid w:val="00050D05"/>
    <w:rsid w:val="00055181"/>
    <w:rsid w:val="0005600E"/>
    <w:rsid w:val="00056B33"/>
    <w:rsid w:val="00060443"/>
    <w:rsid w:val="00060D6B"/>
    <w:rsid w:val="00063FFE"/>
    <w:rsid w:val="000646BB"/>
    <w:rsid w:val="00064EC7"/>
    <w:rsid w:val="00065619"/>
    <w:rsid w:val="00067E1D"/>
    <w:rsid w:val="00067EDB"/>
    <w:rsid w:val="000725C0"/>
    <w:rsid w:val="00073853"/>
    <w:rsid w:val="00074F48"/>
    <w:rsid w:val="00083093"/>
    <w:rsid w:val="00085E7F"/>
    <w:rsid w:val="000912F3"/>
    <w:rsid w:val="000A2FAF"/>
    <w:rsid w:val="000A6910"/>
    <w:rsid w:val="000A6DBE"/>
    <w:rsid w:val="000A77BB"/>
    <w:rsid w:val="000C08F5"/>
    <w:rsid w:val="000C0EBF"/>
    <w:rsid w:val="000C7EEE"/>
    <w:rsid w:val="000D0750"/>
    <w:rsid w:val="000D250D"/>
    <w:rsid w:val="000F0DE6"/>
    <w:rsid w:val="000F0DF3"/>
    <w:rsid w:val="000F5522"/>
    <w:rsid w:val="000F647D"/>
    <w:rsid w:val="0011054D"/>
    <w:rsid w:val="00114E9C"/>
    <w:rsid w:val="00121D81"/>
    <w:rsid w:val="00121EB0"/>
    <w:rsid w:val="00124FE7"/>
    <w:rsid w:val="0013046E"/>
    <w:rsid w:val="00134C35"/>
    <w:rsid w:val="00134E4D"/>
    <w:rsid w:val="00142AA5"/>
    <w:rsid w:val="00143EC4"/>
    <w:rsid w:val="00146208"/>
    <w:rsid w:val="00154A5A"/>
    <w:rsid w:val="00162917"/>
    <w:rsid w:val="001703C2"/>
    <w:rsid w:val="00171D5A"/>
    <w:rsid w:val="00172955"/>
    <w:rsid w:val="0017456F"/>
    <w:rsid w:val="00180744"/>
    <w:rsid w:val="001820D9"/>
    <w:rsid w:val="001833F0"/>
    <w:rsid w:val="0018344E"/>
    <w:rsid w:val="0018413F"/>
    <w:rsid w:val="00186B8E"/>
    <w:rsid w:val="00187767"/>
    <w:rsid w:val="001931FF"/>
    <w:rsid w:val="00196774"/>
    <w:rsid w:val="001A5489"/>
    <w:rsid w:val="001A6350"/>
    <w:rsid w:val="001A6530"/>
    <w:rsid w:val="001A6611"/>
    <w:rsid w:val="001A7B27"/>
    <w:rsid w:val="001B1492"/>
    <w:rsid w:val="001B5043"/>
    <w:rsid w:val="001C22F7"/>
    <w:rsid w:val="001C5073"/>
    <w:rsid w:val="001D3365"/>
    <w:rsid w:val="001D4235"/>
    <w:rsid w:val="001D751D"/>
    <w:rsid w:val="001E1978"/>
    <w:rsid w:val="001F2134"/>
    <w:rsid w:val="001F71BE"/>
    <w:rsid w:val="00201665"/>
    <w:rsid w:val="00202CE1"/>
    <w:rsid w:val="00204CD7"/>
    <w:rsid w:val="00206F3F"/>
    <w:rsid w:val="00215393"/>
    <w:rsid w:val="00215B49"/>
    <w:rsid w:val="00220AC9"/>
    <w:rsid w:val="00220C57"/>
    <w:rsid w:val="00224728"/>
    <w:rsid w:val="002329E4"/>
    <w:rsid w:val="00233788"/>
    <w:rsid w:val="002342E9"/>
    <w:rsid w:val="00235984"/>
    <w:rsid w:val="00235C89"/>
    <w:rsid w:val="00243DF4"/>
    <w:rsid w:val="002457CC"/>
    <w:rsid w:val="00247BCE"/>
    <w:rsid w:val="00254044"/>
    <w:rsid w:val="002558DE"/>
    <w:rsid w:val="002656F1"/>
    <w:rsid w:val="00273B4A"/>
    <w:rsid w:val="00277B45"/>
    <w:rsid w:val="00277CDE"/>
    <w:rsid w:val="00281904"/>
    <w:rsid w:val="00282312"/>
    <w:rsid w:val="00284E6B"/>
    <w:rsid w:val="00285A29"/>
    <w:rsid w:val="0028780E"/>
    <w:rsid w:val="0029586A"/>
    <w:rsid w:val="002A1F69"/>
    <w:rsid w:val="002A6402"/>
    <w:rsid w:val="002B31FD"/>
    <w:rsid w:val="002B4962"/>
    <w:rsid w:val="002B6F0D"/>
    <w:rsid w:val="002C15AB"/>
    <w:rsid w:val="002C498C"/>
    <w:rsid w:val="002D2AA4"/>
    <w:rsid w:val="002D36C5"/>
    <w:rsid w:val="002E3304"/>
    <w:rsid w:val="002E3310"/>
    <w:rsid w:val="002F1104"/>
    <w:rsid w:val="002F1768"/>
    <w:rsid w:val="002F193C"/>
    <w:rsid w:val="002F6457"/>
    <w:rsid w:val="00301406"/>
    <w:rsid w:val="00301484"/>
    <w:rsid w:val="0030571B"/>
    <w:rsid w:val="00311B61"/>
    <w:rsid w:val="003164A6"/>
    <w:rsid w:val="00320AE2"/>
    <w:rsid w:val="00323F0A"/>
    <w:rsid w:val="00332C51"/>
    <w:rsid w:val="00333023"/>
    <w:rsid w:val="0033532E"/>
    <w:rsid w:val="00335844"/>
    <w:rsid w:val="00335EE3"/>
    <w:rsid w:val="00337490"/>
    <w:rsid w:val="00341442"/>
    <w:rsid w:val="00351B36"/>
    <w:rsid w:val="00353981"/>
    <w:rsid w:val="00360CAB"/>
    <w:rsid w:val="0036272F"/>
    <w:rsid w:val="0037510A"/>
    <w:rsid w:val="003751D0"/>
    <w:rsid w:val="00381209"/>
    <w:rsid w:val="00391EC5"/>
    <w:rsid w:val="0039217D"/>
    <w:rsid w:val="00396256"/>
    <w:rsid w:val="003979EF"/>
    <w:rsid w:val="003A4BA7"/>
    <w:rsid w:val="003B3E63"/>
    <w:rsid w:val="003B50D6"/>
    <w:rsid w:val="003B6E39"/>
    <w:rsid w:val="003C082D"/>
    <w:rsid w:val="003C7623"/>
    <w:rsid w:val="003D384D"/>
    <w:rsid w:val="003E4336"/>
    <w:rsid w:val="003E5D45"/>
    <w:rsid w:val="003F23BE"/>
    <w:rsid w:val="003F61DC"/>
    <w:rsid w:val="003F6354"/>
    <w:rsid w:val="00400E71"/>
    <w:rsid w:val="00405D04"/>
    <w:rsid w:val="00412C68"/>
    <w:rsid w:val="00414423"/>
    <w:rsid w:val="00422306"/>
    <w:rsid w:val="004226C3"/>
    <w:rsid w:val="004249F2"/>
    <w:rsid w:val="00427A33"/>
    <w:rsid w:val="0043092E"/>
    <w:rsid w:val="00436253"/>
    <w:rsid w:val="00450620"/>
    <w:rsid w:val="0045502C"/>
    <w:rsid w:val="00457BC3"/>
    <w:rsid w:val="00460F1D"/>
    <w:rsid w:val="00467CB4"/>
    <w:rsid w:val="00477CA5"/>
    <w:rsid w:val="004809E5"/>
    <w:rsid w:val="00492E9B"/>
    <w:rsid w:val="00495E8F"/>
    <w:rsid w:val="004B035D"/>
    <w:rsid w:val="004B1718"/>
    <w:rsid w:val="004B68AC"/>
    <w:rsid w:val="004B6F39"/>
    <w:rsid w:val="004C0BEC"/>
    <w:rsid w:val="004C2092"/>
    <w:rsid w:val="004C437D"/>
    <w:rsid w:val="004D52A1"/>
    <w:rsid w:val="004D6352"/>
    <w:rsid w:val="004E4151"/>
    <w:rsid w:val="004E6B03"/>
    <w:rsid w:val="0050086E"/>
    <w:rsid w:val="00500D90"/>
    <w:rsid w:val="00503C1B"/>
    <w:rsid w:val="005078D4"/>
    <w:rsid w:val="005202BD"/>
    <w:rsid w:val="00521FDC"/>
    <w:rsid w:val="005220A4"/>
    <w:rsid w:val="00524561"/>
    <w:rsid w:val="0052469A"/>
    <w:rsid w:val="00527671"/>
    <w:rsid w:val="00527DA0"/>
    <w:rsid w:val="00535510"/>
    <w:rsid w:val="00546EFA"/>
    <w:rsid w:val="00552026"/>
    <w:rsid w:val="00552726"/>
    <w:rsid w:val="00555305"/>
    <w:rsid w:val="00555ED3"/>
    <w:rsid w:val="00560B41"/>
    <w:rsid w:val="00560B48"/>
    <w:rsid w:val="005634E1"/>
    <w:rsid w:val="0056434C"/>
    <w:rsid w:val="00565820"/>
    <w:rsid w:val="00571E06"/>
    <w:rsid w:val="00572A4B"/>
    <w:rsid w:val="0057531E"/>
    <w:rsid w:val="0058662B"/>
    <w:rsid w:val="00592EBE"/>
    <w:rsid w:val="0059511F"/>
    <w:rsid w:val="005B394D"/>
    <w:rsid w:val="005C0475"/>
    <w:rsid w:val="005C0E95"/>
    <w:rsid w:val="005C3B20"/>
    <w:rsid w:val="005C506F"/>
    <w:rsid w:val="005D2CCA"/>
    <w:rsid w:val="005E1B08"/>
    <w:rsid w:val="005E37BB"/>
    <w:rsid w:val="005E57FE"/>
    <w:rsid w:val="005F26C3"/>
    <w:rsid w:val="005F6AE3"/>
    <w:rsid w:val="006107D4"/>
    <w:rsid w:val="006158E5"/>
    <w:rsid w:val="0061618E"/>
    <w:rsid w:val="00621EDD"/>
    <w:rsid w:val="00625923"/>
    <w:rsid w:val="00633EEE"/>
    <w:rsid w:val="006443A6"/>
    <w:rsid w:val="00646729"/>
    <w:rsid w:val="00647DBD"/>
    <w:rsid w:val="00650EB4"/>
    <w:rsid w:val="00661007"/>
    <w:rsid w:val="006654A1"/>
    <w:rsid w:val="00666762"/>
    <w:rsid w:val="00666AC3"/>
    <w:rsid w:val="006765CB"/>
    <w:rsid w:val="00680BA1"/>
    <w:rsid w:val="00681AAC"/>
    <w:rsid w:val="006850FA"/>
    <w:rsid w:val="00695878"/>
    <w:rsid w:val="006A2278"/>
    <w:rsid w:val="006A5A5C"/>
    <w:rsid w:val="006B281E"/>
    <w:rsid w:val="006B2BB6"/>
    <w:rsid w:val="006C2527"/>
    <w:rsid w:val="006C3186"/>
    <w:rsid w:val="006C4E02"/>
    <w:rsid w:val="006D017A"/>
    <w:rsid w:val="006D078D"/>
    <w:rsid w:val="006D124B"/>
    <w:rsid w:val="006D7368"/>
    <w:rsid w:val="006F5920"/>
    <w:rsid w:val="006F6ED0"/>
    <w:rsid w:val="007001D0"/>
    <w:rsid w:val="0070075B"/>
    <w:rsid w:val="00701C92"/>
    <w:rsid w:val="00703640"/>
    <w:rsid w:val="007134EE"/>
    <w:rsid w:val="0071784D"/>
    <w:rsid w:val="00726E71"/>
    <w:rsid w:val="00734841"/>
    <w:rsid w:val="0073492F"/>
    <w:rsid w:val="00735E21"/>
    <w:rsid w:val="00737298"/>
    <w:rsid w:val="007379F2"/>
    <w:rsid w:val="007415C8"/>
    <w:rsid w:val="00742028"/>
    <w:rsid w:val="00743745"/>
    <w:rsid w:val="00745BBA"/>
    <w:rsid w:val="007541F8"/>
    <w:rsid w:val="0076123E"/>
    <w:rsid w:val="00763729"/>
    <w:rsid w:val="007662C8"/>
    <w:rsid w:val="00766383"/>
    <w:rsid w:val="007744CE"/>
    <w:rsid w:val="00780679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28CE"/>
    <w:rsid w:val="007B34CC"/>
    <w:rsid w:val="007B6E68"/>
    <w:rsid w:val="007B7A9A"/>
    <w:rsid w:val="007C0E3A"/>
    <w:rsid w:val="007C586E"/>
    <w:rsid w:val="007D4666"/>
    <w:rsid w:val="007E706C"/>
    <w:rsid w:val="007F795D"/>
    <w:rsid w:val="00800018"/>
    <w:rsid w:val="00805DB7"/>
    <w:rsid w:val="008138D6"/>
    <w:rsid w:val="00814BF5"/>
    <w:rsid w:val="0081524C"/>
    <w:rsid w:val="00817C09"/>
    <w:rsid w:val="00822F21"/>
    <w:rsid w:val="008239D2"/>
    <w:rsid w:val="00823A9E"/>
    <w:rsid w:val="008314CD"/>
    <w:rsid w:val="00835825"/>
    <w:rsid w:val="00836709"/>
    <w:rsid w:val="00836A45"/>
    <w:rsid w:val="008527BB"/>
    <w:rsid w:val="00852B78"/>
    <w:rsid w:val="00853835"/>
    <w:rsid w:val="00854885"/>
    <w:rsid w:val="00860779"/>
    <w:rsid w:val="008630F9"/>
    <w:rsid w:val="00865696"/>
    <w:rsid w:val="00867A9F"/>
    <w:rsid w:val="00870257"/>
    <w:rsid w:val="0087047A"/>
    <w:rsid w:val="00877A96"/>
    <w:rsid w:val="00886C25"/>
    <w:rsid w:val="00887153"/>
    <w:rsid w:val="00891F0A"/>
    <w:rsid w:val="00892B98"/>
    <w:rsid w:val="00896326"/>
    <w:rsid w:val="008A1D7C"/>
    <w:rsid w:val="008B318E"/>
    <w:rsid w:val="008B38A5"/>
    <w:rsid w:val="008B41FD"/>
    <w:rsid w:val="008B764F"/>
    <w:rsid w:val="008B7A84"/>
    <w:rsid w:val="008C35DA"/>
    <w:rsid w:val="008C596B"/>
    <w:rsid w:val="008C67C8"/>
    <w:rsid w:val="008C6AD9"/>
    <w:rsid w:val="008C7386"/>
    <w:rsid w:val="008D0AE4"/>
    <w:rsid w:val="008D2010"/>
    <w:rsid w:val="008D35C6"/>
    <w:rsid w:val="008E3BB8"/>
    <w:rsid w:val="008F09C3"/>
    <w:rsid w:val="008F1946"/>
    <w:rsid w:val="008F1D59"/>
    <w:rsid w:val="00901FCE"/>
    <w:rsid w:val="00904AB3"/>
    <w:rsid w:val="009054D1"/>
    <w:rsid w:val="009064EF"/>
    <w:rsid w:val="009110ED"/>
    <w:rsid w:val="00912281"/>
    <w:rsid w:val="0091268B"/>
    <w:rsid w:val="00916417"/>
    <w:rsid w:val="00916CC4"/>
    <w:rsid w:val="00922EB3"/>
    <w:rsid w:val="009371D8"/>
    <w:rsid w:val="00937905"/>
    <w:rsid w:val="009457FF"/>
    <w:rsid w:val="009458B2"/>
    <w:rsid w:val="009477D2"/>
    <w:rsid w:val="00952EAC"/>
    <w:rsid w:val="00956E9A"/>
    <w:rsid w:val="00965560"/>
    <w:rsid w:val="0096582C"/>
    <w:rsid w:val="009669CE"/>
    <w:rsid w:val="00974204"/>
    <w:rsid w:val="00985E7E"/>
    <w:rsid w:val="009940BA"/>
    <w:rsid w:val="009A3B1F"/>
    <w:rsid w:val="009A7A58"/>
    <w:rsid w:val="009B1C94"/>
    <w:rsid w:val="009B4058"/>
    <w:rsid w:val="009C7530"/>
    <w:rsid w:val="009D0E72"/>
    <w:rsid w:val="009D2315"/>
    <w:rsid w:val="009D7BDD"/>
    <w:rsid w:val="009E0CB6"/>
    <w:rsid w:val="009F0361"/>
    <w:rsid w:val="009F5305"/>
    <w:rsid w:val="009F5D9B"/>
    <w:rsid w:val="00A01909"/>
    <w:rsid w:val="00A052BF"/>
    <w:rsid w:val="00A0760B"/>
    <w:rsid w:val="00A07691"/>
    <w:rsid w:val="00A10C10"/>
    <w:rsid w:val="00A14C41"/>
    <w:rsid w:val="00A17AF7"/>
    <w:rsid w:val="00A26077"/>
    <w:rsid w:val="00A3055C"/>
    <w:rsid w:val="00A32015"/>
    <w:rsid w:val="00A352C5"/>
    <w:rsid w:val="00A35BE8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4F29"/>
    <w:rsid w:val="00A656DC"/>
    <w:rsid w:val="00A67078"/>
    <w:rsid w:val="00A767BA"/>
    <w:rsid w:val="00A77F61"/>
    <w:rsid w:val="00A81DA9"/>
    <w:rsid w:val="00A82F55"/>
    <w:rsid w:val="00A875C8"/>
    <w:rsid w:val="00A90F43"/>
    <w:rsid w:val="00A95081"/>
    <w:rsid w:val="00A9647F"/>
    <w:rsid w:val="00AA553F"/>
    <w:rsid w:val="00AB1952"/>
    <w:rsid w:val="00AB1DCC"/>
    <w:rsid w:val="00AC09FF"/>
    <w:rsid w:val="00AC364D"/>
    <w:rsid w:val="00AD1933"/>
    <w:rsid w:val="00AD281B"/>
    <w:rsid w:val="00AE0128"/>
    <w:rsid w:val="00AE0223"/>
    <w:rsid w:val="00AE0AD8"/>
    <w:rsid w:val="00AE3492"/>
    <w:rsid w:val="00AF09FD"/>
    <w:rsid w:val="00AF0EB2"/>
    <w:rsid w:val="00AF1F66"/>
    <w:rsid w:val="00AF3E94"/>
    <w:rsid w:val="00B031E5"/>
    <w:rsid w:val="00B06EB2"/>
    <w:rsid w:val="00B07202"/>
    <w:rsid w:val="00B12F71"/>
    <w:rsid w:val="00B15371"/>
    <w:rsid w:val="00B154AD"/>
    <w:rsid w:val="00B1637E"/>
    <w:rsid w:val="00B24393"/>
    <w:rsid w:val="00B24AFA"/>
    <w:rsid w:val="00B24DB3"/>
    <w:rsid w:val="00B2539B"/>
    <w:rsid w:val="00B34881"/>
    <w:rsid w:val="00B37212"/>
    <w:rsid w:val="00B42318"/>
    <w:rsid w:val="00B42AA8"/>
    <w:rsid w:val="00B43C65"/>
    <w:rsid w:val="00B471D0"/>
    <w:rsid w:val="00B5765D"/>
    <w:rsid w:val="00B638E5"/>
    <w:rsid w:val="00B654BD"/>
    <w:rsid w:val="00B708EF"/>
    <w:rsid w:val="00B71AAB"/>
    <w:rsid w:val="00B7388C"/>
    <w:rsid w:val="00B74438"/>
    <w:rsid w:val="00B74D6A"/>
    <w:rsid w:val="00B81379"/>
    <w:rsid w:val="00B8639C"/>
    <w:rsid w:val="00B94FB4"/>
    <w:rsid w:val="00B97580"/>
    <w:rsid w:val="00BA0F3C"/>
    <w:rsid w:val="00BB1B1E"/>
    <w:rsid w:val="00BC0E53"/>
    <w:rsid w:val="00BD1A1C"/>
    <w:rsid w:val="00BD27B2"/>
    <w:rsid w:val="00BE0CFC"/>
    <w:rsid w:val="00BE476C"/>
    <w:rsid w:val="00C00126"/>
    <w:rsid w:val="00C1403E"/>
    <w:rsid w:val="00C2594E"/>
    <w:rsid w:val="00C33AEA"/>
    <w:rsid w:val="00C3429A"/>
    <w:rsid w:val="00C428AC"/>
    <w:rsid w:val="00C655A6"/>
    <w:rsid w:val="00C666AB"/>
    <w:rsid w:val="00C71D1D"/>
    <w:rsid w:val="00C73722"/>
    <w:rsid w:val="00C73A7F"/>
    <w:rsid w:val="00C7427D"/>
    <w:rsid w:val="00C747E0"/>
    <w:rsid w:val="00C74E99"/>
    <w:rsid w:val="00C81BCD"/>
    <w:rsid w:val="00C8319E"/>
    <w:rsid w:val="00C93E97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4353"/>
    <w:rsid w:val="00CC4D15"/>
    <w:rsid w:val="00CC4FF6"/>
    <w:rsid w:val="00CD6E51"/>
    <w:rsid w:val="00CE01EA"/>
    <w:rsid w:val="00CE5D9E"/>
    <w:rsid w:val="00CF251B"/>
    <w:rsid w:val="00CF30D3"/>
    <w:rsid w:val="00CF3856"/>
    <w:rsid w:val="00CF44E0"/>
    <w:rsid w:val="00D007AB"/>
    <w:rsid w:val="00D008CF"/>
    <w:rsid w:val="00D03E32"/>
    <w:rsid w:val="00D04129"/>
    <w:rsid w:val="00D04B82"/>
    <w:rsid w:val="00D07854"/>
    <w:rsid w:val="00D0792E"/>
    <w:rsid w:val="00D10FAD"/>
    <w:rsid w:val="00D13EBC"/>
    <w:rsid w:val="00D22699"/>
    <w:rsid w:val="00D25AE8"/>
    <w:rsid w:val="00D4023C"/>
    <w:rsid w:val="00D41E9E"/>
    <w:rsid w:val="00D4395B"/>
    <w:rsid w:val="00D470B5"/>
    <w:rsid w:val="00D47CB1"/>
    <w:rsid w:val="00D511A0"/>
    <w:rsid w:val="00D56CB8"/>
    <w:rsid w:val="00D62201"/>
    <w:rsid w:val="00D66B94"/>
    <w:rsid w:val="00D70516"/>
    <w:rsid w:val="00D709CA"/>
    <w:rsid w:val="00D749FD"/>
    <w:rsid w:val="00D74DE2"/>
    <w:rsid w:val="00D83B9C"/>
    <w:rsid w:val="00D84281"/>
    <w:rsid w:val="00D84D17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BC"/>
    <w:rsid w:val="00DB6E62"/>
    <w:rsid w:val="00DC2419"/>
    <w:rsid w:val="00DC2D6E"/>
    <w:rsid w:val="00DC3D42"/>
    <w:rsid w:val="00DC5316"/>
    <w:rsid w:val="00DE2601"/>
    <w:rsid w:val="00DE4B24"/>
    <w:rsid w:val="00DF70D9"/>
    <w:rsid w:val="00E00D72"/>
    <w:rsid w:val="00E0520E"/>
    <w:rsid w:val="00E31192"/>
    <w:rsid w:val="00E317E4"/>
    <w:rsid w:val="00E359D6"/>
    <w:rsid w:val="00E35B21"/>
    <w:rsid w:val="00E503A7"/>
    <w:rsid w:val="00E54185"/>
    <w:rsid w:val="00E5442A"/>
    <w:rsid w:val="00E636A9"/>
    <w:rsid w:val="00E6714D"/>
    <w:rsid w:val="00E836DB"/>
    <w:rsid w:val="00E8636D"/>
    <w:rsid w:val="00E86E07"/>
    <w:rsid w:val="00E91547"/>
    <w:rsid w:val="00E91636"/>
    <w:rsid w:val="00E92C45"/>
    <w:rsid w:val="00EA2747"/>
    <w:rsid w:val="00EA67BF"/>
    <w:rsid w:val="00EA6B25"/>
    <w:rsid w:val="00EA77F6"/>
    <w:rsid w:val="00EA7BD5"/>
    <w:rsid w:val="00EB07E3"/>
    <w:rsid w:val="00EB12C8"/>
    <w:rsid w:val="00EB2370"/>
    <w:rsid w:val="00EB40A0"/>
    <w:rsid w:val="00EB5304"/>
    <w:rsid w:val="00EC06C2"/>
    <w:rsid w:val="00EC2CD4"/>
    <w:rsid w:val="00EC4420"/>
    <w:rsid w:val="00EC7D99"/>
    <w:rsid w:val="00ED219A"/>
    <w:rsid w:val="00EE2118"/>
    <w:rsid w:val="00EE7D75"/>
    <w:rsid w:val="00EF24CC"/>
    <w:rsid w:val="00EF5A03"/>
    <w:rsid w:val="00F006F4"/>
    <w:rsid w:val="00F3017C"/>
    <w:rsid w:val="00F32589"/>
    <w:rsid w:val="00F3424D"/>
    <w:rsid w:val="00F351E4"/>
    <w:rsid w:val="00F354F1"/>
    <w:rsid w:val="00F36EF0"/>
    <w:rsid w:val="00F424BE"/>
    <w:rsid w:val="00F4367E"/>
    <w:rsid w:val="00F45C5F"/>
    <w:rsid w:val="00F5102F"/>
    <w:rsid w:val="00F64D2C"/>
    <w:rsid w:val="00F70E0B"/>
    <w:rsid w:val="00F72298"/>
    <w:rsid w:val="00F72B8B"/>
    <w:rsid w:val="00F7399C"/>
    <w:rsid w:val="00F7486A"/>
    <w:rsid w:val="00F765F1"/>
    <w:rsid w:val="00F84081"/>
    <w:rsid w:val="00F87408"/>
    <w:rsid w:val="00F87DFE"/>
    <w:rsid w:val="00FA0ECC"/>
    <w:rsid w:val="00FB4D73"/>
    <w:rsid w:val="00FB5216"/>
    <w:rsid w:val="00FC3D10"/>
    <w:rsid w:val="00FC716F"/>
    <w:rsid w:val="00FD6406"/>
    <w:rsid w:val="00FE1D13"/>
    <w:rsid w:val="00FE4B30"/>
    <w:rsid w:val="00FE6D4D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DB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link w:val="NumberedParagraphChar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character" w:customStyle="1" w:styleId="NumberedParagraphChar">
    <w:name w:val="Numbered Paragraph Char"/>
    <w:basedOn w:val="DefaultParagraphFont"/>
    <w:link w:val="NumberedParagraph"/>
    <w:rsid w:val="0028780E"/>
    <w:rPr>
      <w:sz w:val="24"/>
    </w:rPr>
  </w:style>
  <w:style w:type="paragraph" w:styleId="FootnoteText">
    <w:name w:val="footnote text"/>
    <w:basedOn w:val="Normal"/>
    <w:link w:val="FootnoteTextChar"/>
    <w:rsid w:val="002878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780E"/>
  </w:style>
  <w:style w:type="character" w:styleId="FootnoteReference">
    <w:name w:val="footnote reference"/>
    <w:basedOn w:val="DefaultParagraphFont"/>
    <w:rsid w:val="0028780E"/>
    <w:rPr>
      <w:vertAlign w:val="superscript"/>
    </w:rPr>
  </w:style>
  <w:style w:type="paragraph" w:styleId="Revision">
    <w:name w:val="Revision"/>
    <w:hidden/>
    <w:uiPriority w:val="99"/>
    <w:semiHidden/>
    <w:rsid w:val="00F840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link w:val="NumberedParagraphChar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character" w:customStyle="1" w:styleId="NumberedParagraphChar">
    <w:name w:val="Numbered Paragraph Char"/>
    <w:basedOn w:val="DefaultParagraphFont"/>
    <w:link w:val="NumberedParagraph"/>
    <w:rsid w:val="0028780E"/>
    <w:rPr>
      <w:sz w:val="24"/>
    </w:rPr>
  </w:style>
  <w:style w:type="paragraph" w:styleId="FootnoteText">
    <w:name w:val="footnote text"/>
    <w:basedOn w:val="Normal"/>
    <w:link w:val="FootnoteTextChar"/>
    <w:rsid w:val="002878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780E"/>
  </w:style>
  <w:style w:type="character" w:styleId="FootnoteReference">
    <w:name w:val="footnote reference"/>
    <w:basedOn w:val="DefaultParagraphFont"/>
    <w:rsid w:val="0028780E"/>
    <w:rPr>
      <w:vertAlign w:val="superscript"/>
    </w:rPr>
  </w:style>
  <w:style w:type="paragraph" w:styleId="Revision">
    <w:name w:val="Revision"/>
    <w:hidden/>
    <w:uiPriority w:val="99"/>
    <w:semiHidden/>
    <w:rsid w:val="00F840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4418" ma:contentTypeDescription=" " ma:contentTypeScope="" ma:versionID="446ffd9a3e18f9672d76be1f0dacc92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2018RG-111-10033</_dlc_DocId>
    <_dlc_DocIdUrl xmlns="0f563589-9cf9-4143-b1eb-fb0534803d38">
      <Url>http://tweb/sites/rg/ldp/lmu/_layouts/15/DocIdRedir.aspx?ID=2018RG-111-10033</Url>
      <Description>2018RG-111-10033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EE4D-EFF9-4780-B300-D8B9ADECB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2A3CB-FF7C-4FD5-A147-A921BC16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200B2-1BEC-4E72-AD0C-16124B9A2F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F033F7-BCA1-4F8C-82E8-F47846239C2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9F19828-BC7C-4049-8BD4-5B6EA9931BF1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9f7bc583-7cbe-45b9-a2bd-8bbb6543b37e"/>
    <ds:schemaRef ds:uri="0f563589-9cf9-4143-b1eb-fb0534803d38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DBB4F12-F9E6-4767-8C37-416E4942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19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Aynsley, Charmaine</dc:creator>
  <cp:lastModifiedBy>Osborne, Lea</cp:lastModifiedBy>
  <cp:revision>14</cp:revision>
  <cp:lastPrinted>2018-04-04T10:11:00Z</cp:lastPrinted>
  <dcterms:created xsi:type="dcterms:W3CDTF">2018-09-23T23:46:00Z</dcterms:created>
  <dcterms:modified xsi:type="dcterms:W3CDTF">2018-09-28T04:32:00Z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22;#TSY RA-8748 - Retain as national archives|243f2231-dbfc-4282-b24a-c9b768286bd0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{a3a280d1-e8f1-4ce7-94f0-aaa2322da0dd}</vt:lpwstr>
  </property>
  <property fmtid="{D5CDD505-2E9C-101B-9397-08002B2CF9AE}" pid="6" name="RecordPoint_ActiveItemListId">
    <vt:lpwstr>{4435c73b-6585-4bc2-a76a-5d21b1a02e06}</vt:lpwstr>
  </property>
  <property fmtid="{D5CDD505-2E9C-101B-9397-08002B2CF9AE}" pid="7" name="RecordPoint_ActiveItemWebId">
    <vt:lpwstr>{a4589788-615f-4b8b-8296-7f9f6dfbab44}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_NewReviewCycle">
    <vt:lpwstr/>
  </property>
  <property fmtid="{D5CDD505-2E9C-101B-9397-08002B2CF9AE}" pid="12" name="_dlc_DocIdItemGuid">
    <vt:lpwstr>e451f144-eb87-4814-9539-0d946f8d5ffc</vt:lpwstr>
  </property>
  <property fmtid="{D5CDD505-2E9C-101B-9397-08002B2CF9AE}" pid="13" name="RecordPoint_RecordNumberSubmitted">
    <vt:lpwstr>R0001888174</vt:lpwstr>
  </property>
  <property fmtid="{D5CDD505-2E9C-101B-9397-08002B2CF9AE}" pid="14" name="RecordPoint_ActiveItemUniqueId">
    <vt:lpwstr>{6334225a-8da2-409c-9a5d-b0d8aedaf052}</vt:lpwstr>
  </property>
  <property fmtid="{D5CDD505-2E9C-101B-9397-08002B2CF9AE}" pid="15" name="RecordPoint_SubmissionCompleted">
    <vt:lpwstr>2018-09-25T16:07:36.9632980+10:00</vt:lpwstr>
  </property>
  <property fmtid="{D5CDD505-2E9C-101B-9397-08002B2CF9AE}" pid="16" name="_AdHocReviewCycleID">
    <vt:i4>-16926331</vt:i4>
  </property>
  <property fmtid="{D5CDD505-2E9C-101B-9397-08002B2CF9AE}" pid="17" name="_EmailSubject">
    <vt:lpwstr>NHR determination 2016-17 -- FRL</vt:lpwstr>
  </property>
  <property fmtid="{D5CDD505-2E9C-101B-9397-08002B2CF9AE}" pid="18" name="_AuthorEmail">
    <vt:lpwstr>Brant.Pridmore@TREASURY.GOV.AU</vt:lpwstr>
  </property>
  <property fmtid="{D5CDD505-2E9C-101B-9397-08002B2CF9AE}" pid="19" name="_AuthorEmailDisplayName">
    <vt:lpwstr>Pridmore, Brant</vt:lpwstr>
  </property>
  <property fmtid="{D5CDD505-2E9C-101B-9397-08002B2CF9AE}" pid="20" name="_PreviousAdHocReviewCycleID">
    <vt:i4>1844883841</vt:i4>
  </property>
  <property fmtid="{D5CDD505-2E9C-101B-9397-08002B2CF9AE}" pid="21" name="_ReviewingToolsShownOnce">
    <vt:lpwstr/>
  </property>
</Properties>
</file>