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D11F" w14:textId="77777777" w:rsidR="00FA6784" w:rsidRPr="00C85162" w:rsidRDefault="00FA6784" w:rsidP="00FA6784">
      <w:pPr>
        <w:pStyle w:val="H3"/>
        <w:jc w:val="center"/>
        <w:rPr>
          <w:sz w:val="24"/>
          <w:szCs w:val="24"/>
        </w:rPr>
      </w:pPr>
      <w:r w:rsidRPr="00C85162">
        <w:rPr>
          <w:sz w:val="24"/>
          <w:szCs w:val="24"/>
        </w:rPr>
        <w:t>EXPLANATORY STATEMENT</w:t>
      </w:r>
    </w:p>
    <w:p w14:paraId="2412D120" w14:textId="77777777" w:rsidR="00FA6784" w:rsidRPr="00C85162" w:rsidRDefault="00FA6784" w:rsidP="00FA6784">
      <w:pPr>
        <w:jc w:val="center"/>
        <w:rPr>
          <w:sz w:val="22"/>
          <w:szCs w:val="22"/>
        </w:rPr>
      </w:pPr>
    </w:p>
    <w:p w14:paraId="2412D121" w14:textId="77777777" w:rsidR="00FA6784" w:rsidRPr="00C85162" w:rsidRDefault="00FA6784" w:rsidP="00FA6784">
      <w:pPr>
        <w:jc w:val="center"/>
      </w:pPr>
      <w:r w:rsidRPr="00C85162">
        <w:t>Issued by the Authority of the Minister for Health</w:t>
      </w:r>
    </w:p>
    <w:p w14:paraId="2412D122" w14:textId="77777777" w:rsidR="00FA6784" w:rsidRPr="00C85162" w:rsidRDefault="00FA6784" w:rsidP="00FA6784">
      <w:pPr>
        <w:jc w:val="center"/>
        <w:rPr>
          <w:i/>
          <w:iCs/>
          <w:sz w:val="20"/>
        </w:rPr>
      </w:pPr>
    </w:p>
    <w:p w14:paraId="2412D123" w14:textId="77777777" w:rsidR="00FA6784" w:rsidRPr="00C85162" w:rsidRDefault="00FA6784" w:rsidP="00FA6784">
      <w:pPr>
        <w:jc w:val="center"/>
        <w:rPr>
          <w:i/>
          <w:iCs/>
        </w:rPr>
      </w:pPr>
      <w:r w:rsidRPr="00C85162">
        <w:rPr>
          <w:i/>
          <w:iCs/>
        </w:rPr>
        <w:t>Health Insurance Act 1973</w:t>
      </w:r>
    </w:p>
    <w:p w14:paraId="2412D124" w14:textId="77777777" w:rsidR="00A1739A" w:rsidRPr="00C85162" w:rsidRDefault="00A1739A" w:rsidP="00A1739A">
      <w:pPr>
        <w:rPr>
          <w:szCs w:val="24"/>
          <w:highlight w:val="yellow"/>
          <w:u w:val="single"/>
        </w:rPr>
      </w:pPr>
    </w:p>
    <w:p w14:paraId="29AC7A5E" w14:textId="057B74E6" w:rsidR="00D87426" w:rsidRDefault="00FD602D" w:rsidP="00FD602D">
      <w:pPr>
        <w:ind w:right="-483"/>
        <w:jc w:val="center"/>
        <w:rPr>
          <w:i/>
          <w:szCs w:val="24"/>
        </w:rPr>
      </w:pPr>
      <w:r w:rsidRPr="00FD602D">
        <w:rPr>
          <w:i/>
          <w:szCs w:val="24"/>
        </w:rPr>
        <w:t xml:space="preserve">Health Insurance (Section 3C </w:t>
      </w:r>
      <w:r w:rsidR="00B81EB1">
        <w:rPr>
          <w:i/>
          <w:szCs w:val="24"/>
        </w:rPr>
        <w:t>Diagnostic</w:t>
      </w:r>
      <w:r w:rsidR="00B81EB1" w:rsidRPr="00FD602D">
        <w:rPr>
          <w:i/>
          <w:szCs w:val="24"/>
        </w:rPr>
        <w:t xml:space="preserve"> </w:t>
      </w:r>
      <w:r w:rsidR="00B81EB1">
        <w:rPr>
          <w:i/>
          <w:szCs w:val="24"/>
        </w:rPr>
        <w:t>Imaging</w:t>
      </w:r>
      <w:r w:rsidR="00B81EB1" w:rsidRPr="00FD602D">
        <w:rPr>
          <w:i/>
          <w:szCs w:val="24"/>
        </w:rPr>
        <w:t xml:space="preserve"> </w:t>
      </w:r>
      <w:r w:rsidRPr="00FD602D">
        <w:rPr>
          <w:i/>
          <w:szCs w:val="24"/>
        </w:rPr>
        <w:t>Services</w:t>
      </w:r>
      <w:r w:rsidR="00FA240B">
        <w:rPr>
          <w:i/>
          <w:szCs w:val="24"/>
        </w:rPr>
        <w:t xml:space="preserve"> – </w:t>
      </w:r>
      <w:r w:rsidR="00FA2524">
        <w:rPr>
          <w:i/>
          <w:szCs w:val="24"/>
        </w:rPr>
        <w:t>3D</w:t>
      </w:r>
      <w:r w:rsidR="0008151A" w:rsidRPr="0008151A">
        <w:rPr>
          <w:i/>
          <w:szCs w:val="24"/>
        </w:rPr>
        <w:t xml:space="preserve"> </w:t>
      </w:r>
      <w:r w:rsidR="00D75422">
        <w:rPr>
          <w:i/>
          <w:szCs w:val="24"/>
        </w:rPr>
        <w:t>B</w:t>
      </w:r>
      <w:r w:rsidR="0008151A" w:rsidRPr="0008151A">
        <w:rPr>
          <w:i/>
          <w:szCs w:val="24"/>
        </w:rPr>
        <w:t xml:space="preserve">reast </w:t>
      </w:r>
      <w:r w:rsidR="00D75422">
        <w:rPr>
          <w:i/>
          <w:szCs w:val="24"/>
        </w:rPr>
        <w:t>T</w:t>
      </w:r>
      <w:r w:rsidR="0008151A" w:rsidRPr="0008151A">
        <w:rPr>
          <w:i/>
          <w:szCs w:val="24"/>
        </w:rPr>
        <w:t>omosynthesis</w:t>
      </w:r>
      <w:r w:rsidRPr="00FD602D">
        <w:rPr>
          <w:i/>
          <w:szCs w:val="24"/>
        </w:rPr>
        <w:t>) Determination 2018</w:t>
      </w:r>
    </w:p>
    <w:p w14:paraId="2838A7B4" w14:textId="77777777" w:rsidR="00FD602D" w:rsidRPr="00EB601D" w:rsidRDefault="00FD602D" w:rsidP="00AC57A5">
      <w:pPr>
        <w:ind w:right="-483"/>
        <w:rPr>
          <w:szCs w:val="24"/>
          <w:highlight w:val="yellow"/>
        </w:rPr>
      </w:pPr>
    </w:p>
    <w:p w14:paraId="2F15A2D8" w14:textId="0C6531C9" w:rsidR="00841EDA" w:rsidRPr="00EB601D" w:rsidRDefault="004C6AE7"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highlight w:val="yellow"/>
          <w:shd w:val="clear" w:color="auto" w:fill="FFFFFF"/>
        </w:rPr>
      </w:pPr>
      <w:r w:rsidRPr="00D87426">
        <w:rPr>
          <w:color w:val="000000"/>
          <w:shd w:val="clear" w:color="auto" w:fill="FFFFFF"/>
        </w:rPr>
        <w:t xml:space="preserve">Subsection 3C(1) of the </w:t>
      </w:r>
      <w:r w:rsidRPr="00D87426">
        <w:rPr>
          <w:i/>
          <w:color w:val="000000"/>
          <w:shd w:val="clear" w:color="auto" w:fill="FFFFFF"/>
        </w:rPr>
        <w:t>Health Insurance Act 1973</w:t>
      </w:r>
      <w:r w:rsidRPr="00D87426">
        <w:rPr>
          <w:color w:val="000000"/>
          <w:shd w:val="clear" w:color="auto" w:fill="FFFFFF"/>
        </w:rPr>
        <w:t xml:space="preserve"> (the Act) provides that the Minister may, by </w:t>
      </w:r>
      <w:r w:rsidR="00673872" w:rsidRPr="00D87426">
        <w:rPr>
          <w:color w:val="000000"/>
          <w:shd w:val="clear" w:color="auto" w:fill="FFFFFF"/>
        </w:rPr>
        <w:t>legislative instrument</w:t>
      </w:r>
      <w:r w:rsidRPr="00D87426">
        <w:rPr>
          <w:color w:val="000000"/>
          <w:shd w:val="clear" w:color="auto" w:fill="FFFFFF"/>
        </w:rPr>
        <w:t xml:space="preserve">, determine that a health service not specified in an item in the </w:t>
      </w:r>
      <w:r w:rsidR="00D87426" w:rsidRPr="00D87426">
        <w:rPr>
          <w:color w:val="000000"/>
          <w:shd w:val="clear" w:color="auto" w:fill="FFFFFF"/>
        </w:rPr>
        <w:t>diagnostic imaging</w:t>
      </w:r>
      <w:r w:rsidR="00D42638" w:rsidRPr="00D87426">
        <w:rPr>
          <w:color w:val="000000"/>
          <w:shd w:val="clear" w:color="auto" w:fill="FFFFFF"/>
        </w:rPr>
        <w:t xml:space="preserve"> </w:t>
      </w:r>
      <w:r w:rsidR="005E62D6" w:rsidRPr="00D87426">
        <w:rPr>
          <w:color w:val="000000"/>
          <w:shd w:val="clear" w:color="auto" w:fill="FFFFFF"/>
        </w:rPr>
        <w:t xml:space="preserve">services table </w:t>
      </w:r>
      <w:r w:rsidRPr="00D87426">
        <w:rPr>
          <w:color w:val="000000"/>
          <w:shd w:val="clear" w:color="auto" w:fill="FFFFFF"/>
        </w:rPr>
        <w:t>shall, in specified circumstances and for specified statutory provisions, be treated as i</w:t>
      </w:r>
      <w:r w:rsidR="005E62D6" w:rsidRPr="00D87426">
        <w:rPr>
          <w:color w:val="000000"/>
          <w:shd w:val="clear" w:color="auto" w:fill="FFFFFF"/>
        </w:rPr>
        <w:t xml:space="preserve">f it were specified in the </w:t>
      </w:r>
      <w:r w:rsidR="00D87426" w:rsidRPr="00D87426">
        <w:rPr>
          <w:color w:val="000000"/>
          <w:shd w:val="clear" w:color="auto" w:fill="FFFFFF"/>
        </w:rPr>
        <w:t>diagnostic imaging</w:t>
      </w:r>
      <w:r w:rsidR="005E62D6" w:rsidRPr="00D87426">
        <w:rPr>
          <w:color w:val="000000"/>
          <w:shd w:val="clear" w:color="auto" w:fill="FFFFFF"/>
        </w:rPr>
        <w:t xml:space="preserve"> services table</w:t>
      </w:r>
      <w:r w:rsidRPr="00D87426">
        <w:rPr>
          <w:color w:val="000000"/>
          <w:shd w:val="clear" w:color="auto" w:fill="FFFFFF"/>
        </w:rPr>
        <w:t xml:space="preserve">.  </w:t>
      </w:r>
    </w:p>
    <w:p w14:paraId="7DB18649" w14:textId="77777777" w:rsidR="00841EDA" w:rsidRPr="00D87426" w:rsidRDefault="00841EDA"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6A0697A1" w14:textId="56F19B56" w:rsidR="004C6AE7" w:rsidRPr="00D87426" w:rsidRDefault="004C6AE7"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D87426">
        <w:t xml:space="preserve">The </w:t>
      </w:r>
      <w:r w:rsidR="00D87426" w:rsidRPr="00D87426">
        <w:t>diagnostic imaging</w:t>
      </w:r>
      <w:r w:rsidR="00312ED1" w:rsidRPr="00D87426">
        <w:t xml:space="preserve"> services table</w:t>
      </w:r>
      <w:r w:rsidR="005E62D6" w:rsidRPr="00D87426">
        <w:t xml:space="preserve"> is</w:t>
      </w:r>
      <w:r w:rsidRPr="00D87426">
        <w:t xml:space="preserve"> set out in the regula</w:t>
      </w:r>
      <w:r w:rsidR="00312ED1" w:rsidRPr="00D87426">
        <w:t>tions made under subsection 4</w:t>
      </w:r>
      <w:r w:rsidR="00D87426" w:rsidRPr="00D87426">
        <w:t>AA</w:t>
      </w:r>
      <w:r w:rsidR="005E62D6" w:rsidRPr="00D87426">
        <w:t xml:space="preserve">(1) of the Act, </w:t>
      </w:r>
      <w:r w:rsidR="00E7377F">
        <w:t>and is repealed and replaced</w:t>
      </w:r>
      <w:r w:rsidRPr="00D87426">
        <w:t xml:space="preserve"> each year</w:t>
      </w:r>
      <w:r w:rsidR="00CC4CED" w:rsidRPr="00D87426">
        <w:t xml:space="preserve">. </w:t>
      </w:r>
      <w:r w:rsidR="0010617D" w:rsidRPr="0010617D">
        <w:t xml:space="preserve">The table made under this subsection is referred to as the Diagnostic Imaging Services Table (DIST). </w:t>
      </w:r>
    </w:p>
    <w:p w14:paraId="2412D129" w14:textId="77777777" w:rsidR="008C5F1C" w:rsidRPr="00EB601D" w:rsidRDefault="008C5F1C" w:rsidP="00D33180">
      <w:pPr>
        <w:autoSpaceDE w:val="0"/>
        <w:autoSpaceDN w:val="0"/>
        <w:adjustRightInd w:val="0"/>
        <w:ind w:right="-483"/>
        <w:rPr>
          <w:szCs w:val="24"/>
          <w:highlight w:val="yellow"/>
        </w:rPr>
      </w:pPr>
    </w:p>
    <w:p w14:paraId="2412D12A" w14:textId="77777777" w:rsidR="00BB00BA" w:rsidRPr="00CD4A21" w:rsidRDefault="00A1739A" w:rsidP="00BB00BA">
      <w:pPr>
        <w:rPr>
          <w:b/>
          <w:szCs w:val="24"/>
          <w:lang w:val="en-US" w:eastAsia="en-US"/>
        </w:rPr>
      </w:pPr>
      <w:r w:rsidRPr="00CD4A21">
        <w:rPr>
          <w:b/>
          <w:szCs w:val="24"/>
          <w:lang w:val="en-US" w:eastAsia="en-US"/>
        </w:rPr>
        <w:t>Purpose</w:t>
      </w:r>
    </w:p>
    <w:p w14:paraId="3FBDCD30" w14:textId="620D2AF3" w:rsidR="003E4124" w:rsidRPr="003E4124" w:rsidRDefault="003E4124" w:rsidP="00CD4A21">
      <w:pPr>
        <w:rPr>
          <w:szCs w:val="24"/>
        </w:rPr>
      </w:pPr>
      <w:r>
        <w:rPr>
          <w:szCs w:val="24"/>
        </w:rPr>
        <w:t xml:space="preserve">In the 2018-19 Budget under the </w:t>
      </w:r>
      <w:r w:rsidRPr="0014702C">
        <w:rPr>
          <w:i/>
        </w:rPr>
        <w:t>Guaranteeing Medicare — Medicare Benefits Schedule Review — response to Taskforce recommendations</w:t>
      </w:r>
      <w:r>
        <w:rPr>
          <w:i/>
        </w:rPr>
        <w:t xml:space="preserve"> </w:t>
      </w:r>
      <w:r>
        <w:t xml:space="preserve">measure, the Government agreed to introduce two new interim items </w:t>
      </w:r>
      <w:r w:rsidRPr="00E33C6E">
        <w:rPr>
          <w:szCs w:val="24"/>
        </w:rPr>
        <w:t>for three dimensio</w:t>
      </w:r>
      <w:r>
        <w:rPr>
          <w:szCs w:val="24"/>
        </w:rPr>
        <w:t>nal breast tomosynthesis (3DBT) services.</w:t>
      </w:r>
    </w:p>
    <w:p w14:paraId="6F758BEB" w14:textId="77777777" w:rsidR="003E4124" w:rsidRDefault="003E4124" w:rsidP="00CD4A21">
      <w:pPr>
        <w:rPr>
          <w:szCs w:val="24"/>
        </w:rPr>
      </w:pPr>
    </w:p>
    <w:p w14:paraId="3EA0B10E" w14:textId="77777777" w:rsidR="00261010" w:rsidRPr="00261010" w:rsidRDefault="00261010" w:rsidP="00261010">
      <w:pPr>
        <w:rPr>
          <w:szCs w:val="24"/>
        </w:rPr>
      </w:pPr>
      <w:r w:rsidRPr="00261010">
        <w:rPr>
          <w:szCs w:val="24"/>
        </w:rPr>
        <w:t xml:space="preserve">3DBT is a relatively new digital mammography technology that produces a 3D image of the breast by using several x-rays obtained at different angles. </w:t>
      </w:r>
    </w:p>
    <w:p w14:paraId="35B5440C" w14:textId="77777777" w:rsidR="00261010" w:rsidRPr="00261010" w:rsidRDefault="00261010" w:rsidP="00261010">
      <w:pPr>
        <w:rPr>
          <w:szCs w:val="24"/>
        </w:rPr>
      </w:pPr>
    </w:p>
    <w:p w14:paraId="060051A9" w14:textId="31DD34EB" w:rsidR="00261010" w:rsidRPr="00261010" w:rsidRDefault="00261010" w:rsidP="00261010">
      <w:pPr>
        <w:rPr>
          <w:szCs w:val="24"/>
        </w:rPr>
      </w:pPr>
      <w:r w:rsidRPr="00261010">
        <w:rPr>
          <w:szCs w:val="24"/>
        </w:rPr>
        <w:t xml:space="preserve">Providers have been using a combination of existing items, including items for plain film tomography (items 60100 and 60101), in order to enable patients to claim a </w:t>
      </w:r>
      <w:r w:rsidR="003E4124">
        <w:rPr>
          <w:szCs w:val="24"/>
        </w:rPr>
        <w:t xml:space="preserve">benefit </w:t>
      </w:r>
      <w:r w:rsidRPr="00261010">
        <w:rPr>
          <w:szCs w:val="24"/>
        </w:rPr>
        <w:t xml:space="preserve">for providing a 3DBT service.  </w:t>
      </w:r>
    </w:p>
    <w:p w14:paraId="554976F1" w14:textId="77777777" w:rsidR="00261010" w:rsidRPr="00261010" w:rsidRDefault="00261010" w:rsidP="00261010">
      <w:pPr>
        <w:rPr>
          <w:szCs w:val="24"/>
        </w:rPr>
      </w:pPr>
    </w:p>
    <w:p w14:paraId="6AF6A63C" w14:textId="50ED18BC" w:rsidR="008F0D28" w:rsidRPr="00261010" w:rsidRDefault="008F0D28" w:rsidP="008F0D28">
      <w:pPr>
        <w:rPr>
          <w:szCs w:val="24"/>
        </w:rPr>
      </w:pPr>
      <w:r w:rsidRPr="00261010">
        <w:rPr>
          <w:szCs w:val="24"/>
        </w:rPr>
        <w:t xml:space="preserve">Despite being an established practice, it is an evolution in technology that is </w:t>
      </w:r>
      <w:r w:rsidR="003E4124">
        <w:rPr>
          <w:szCs w:val="24"/>
        </w:rPr>
        <w:t xml:space="preserve">still </w:t>
      </w:r>
      <w:r w:rsidRPr="00261010">
        <w:rPr>
          <w:szCs w:val="24"/>
        </w:rPr>
        <w:t>to be assessed by the Medical Services Advisory Committee (MSAC). The Diagnostic Imaging Clinical Committee, a subcommittee of the Medica</w:t>
      </w:r>
      <w:r w:rsidR="00926587">
        <w:rPr>
          <w:szCs w:val="24"/>
        </w:rPr>
        <w:t>re</w:t>
      </w:r>
      <w:r w:rsidRPr="00261010">
        <w:rPr>
          <w:szCs w:val="24"/>
        </w:rPr>
        <w:t xml:space="preserve"> Benefits Schedule Review Taskforce</w:t>
      </w:r>
      <w:r w:rsidR="00D2085B">
        <w:rPr>
          <w:szCs w:val="24"/>
        </w:rPr>
        <w:t xml:space="preserve"> (the Taskforce)</w:t>
      </w:r>
      <w:r w:rsidRPr="00261010">
        <w:rPr>
          <w:szCs w:val="24"/>
        </w:rPr>
        <w:t xml:space="preserve">, </w:t>
      </w:r>
      <w:r>
        <w:rPr>
          <w:szCs w:val="24"/>
        </w:rPr>
        <w:t xml:space="preserve">found that </w:t>
      </w:r>
      <w:r w:rsidRPr="00261010">
        <w:rPr>
          <w:szCs w:val="24"/>
        </w:rPr>
        <w:t xml:space="preserve">plain tomography </w:t>
      </w:r>
      <w:r>
        <w:rPr>
          <w:szCs w:val="24"/>
        </w:rPr>
        <w:t xml:space="preserve">items would have been obsolete if not for their use on 3DBT. </w:t>
      </w:r>
      <w:r w:rsidR="00061046">
        <w:rPr>
          <w:szCs w:val="24"/>
        </w:rPr>
        <w:t xml:space="preserve"> The Taskforce recommend</w:t>
      </w:r>
      <w:r w:rsidR="0062074E">
        <w:rPr>
          <w:szCs w:val="24"/>
        </w:rPr>
        <w:t>ed</w:t>
      </w:r>
      <w:r w:rsidR="00061046">
        <w:rPr>
          <w:szCs w:val="24"/>
        </w:rPr>
        <w:t xml:space="preserve"> the listing of</w:t>
      </w:r>
      <w:r>
        <w:rPr>
          <w:szCs w:val="24"/>
        </w:rPr>
        <w:t xml:space="preserve"> two new interim items</w:t>
      </w:r>
      <w:r w:rsidRPr="00261010">
        <w:rPr>
          <w:szCs w:val="24"/>
        </w:rPr>
        <w:t xml:space="preserve"> for 3DBT </w:t>
      </w:r>
      <w:r w:rsidR="00D2085B">
        <w:rPr>
          <w:szCs w:val="24"/>
        </w:rPr>
        <w:t xml:space="preserve">to </w:t>
      </w:r>
      <w:r w:rsidRPr="00261010">
        <w:rPr>
          <w:szCs w:val="24"/>
        </w:rPr>
        <w:t xml:space="preserve">enable providers to appropriately </w:t>
      </w:r>
      <w:r w:rsidR="00D2085B">
        <w:rPr>
          <w:szCs w:val="24"/>
        </w:rPr>
        <w:t>provide</w:t>
      </w:r>
      <w:r w:rsidRPr="00261010">
        <w:rPr>
          <w:szCs w:val="24"/>
        </w:rPr>
        <w:t xml:space="preserve"> the service while MSAC considers long term funding.</w:t>
      </w:r>
    </w:p>
    <w:p w14:paraId="13544DBA" w14:textId="77777777" w:rsidR="008F0D28" w:rsidRPr="00261010" w:rsidRDefault="008F0D28" w:rsidP="008F0D28">
      <w:pPr>
        <w:rPr>
          <w:szCs w:val="24"/>
        </w:rPr>
      </w:pPr>
    </w:p>
    <w:p w14:paraId="27F0AB7F" w14:textId="77777777" w:rsidR="00061046" w:rsidRDefault="00D2085B" w:rsidP="00D2085B">
      <w:pPr>
        <w:rPr>
          <w:szCs w:val="24"/>
        </w:rPr>
      </w:pPr>
      <w:r>
        <w:rPr>
          <w:szCs w:val="24"/>
        </w:rPr>
        <w:t xml:space="preserve">The </w:t>
      </w:r>
      <w:r w:rsidRPr="00D2085B">
        <w:rPr>
          <w:i/>
          <w:szCs w:val="24"/>
        </w:rPr>
        <w:t>Health Insurance (Section 3C Diagnostic Imaging Services – 3D Breast Tomosynthesis) Determination 2018</w:t>
      </w:r>
      <w:r>
        <w:rPr>
          <w:szCs w:val="24"/>
        </w:rPr>
        <w:t xml:space="preserve"> (the Determination) introduces two items (53902 and 53905) for 3DBT services from 1 November 2018.</w:t>
      </w:r>
      <w:r w:rsidR="00061046">
        <w:rPr>
          <w:szCs w:val="24"/>
        </w:rPr>
        <w:t xml:space="preserve"> The services can be performed on patients who have:</w:t>
      </w:r>
    </w:p>
    <w:p w14:paraId="36015AC0" w14:textId="6CE46196" w:rsidR="00061046" w:rsidRDefault="00061046" w:rsidP="00061046">
      <w:pPr>
        <w:pStyle w:val="ListParagraph"/>
        <w:numPr>
          <w:ilvl w:val="0"/>
          <w:numId w:val="26"/>
        </w:numPr>
        <w:rPr>
          <w:szCs w:val="24"/>
        </w:rPr>
      </w:pPr>
      <w:r w:rsidRPr="00061046">
        <w:rPr>
          <w:szCs w:val="24"/>
        </w:rPr>
        <w:t>symptoms or indications of breast malignancy</w:t>
      </w:r>
      <w:r>
        <w:rPr>
          <w:szCs w:val="24"/>
        </w:rPr>
        <w:t>; and</w:t>
      </w:r>
    </w:p>
    <w:p w14:paraId="7C8A2950" w14:textId="2EE5FE5F" w:rsidR="00D2085B" w:rsidRPr="00061046" w:rsidRDefault="00061046" w:rsidP="00061046">
      <w:pPr>
        <w:pStyle w:val="ListParagraph"/>
        <w:numPr>
          <w:ilvl w:val="0"/>
          <w:numId w:val="26"/>
        </w:numPr>
        <w:rPr>
          <w:szCs w:val="24"/>
        </w:rPr>
      </w:pPr>
      <w:r>
        <w:rPr>
          <w:szCs w:val="24"/>
        </w:rPr>
        <w:t xml:space="preserve">are at a higher risk due to past occurrence of </w:t>
      </w:r>
      <w:r w:rsidRPr="00061046">
        <w:rPr>
          <w:szCs w:val="24"/>
        </w:rPr>
        <w:t>breast malignancy</w:t>
      </w:r>
      <w:r>
        <w:rPr>
          <w:szCs w:val="24"/>
        </w:rPr>
        <w:t xml:space="preserve"> in the patient or the patient’s family.</w:t>
      </w:r>
    </w:p>
    <w:p w14:paraId="459CE02B" w14:textId="68D433C5" w:rsidR="00D2085B" w:rsidRDefault="00D2085B" w:rsidP="008F0D28">
      <w:pPr>
        <w:rPr>
          <w:szCs w:val="24"/>
        </w:rPr>
      </w:pPr>
    </w:p>
    <w:p w14:paraId="2E50B248" w14:textId="77777777" w:rsidR="00D2085B" w:rsidRDefault="00D2085B" w:rsidP="008F0D28">
      <w:pPr>
        <w:rPr>
          <w:szCs w:val="24"/>
        </w:rPr>
      </w:pPr>
    </w:p>
    <w:p w14:paraId="2412D131" w14:textId="77777777" w:rsidR="001865F8" w:rsidRPr="00A853D1" w:rsidRDefault="00A1739A" w:rsidP="00E04B6F">
      <w:pPr>
        <w:rPr>
          <w:b/>
        </w:rPr>
      </w:pPr>
      <w:r w:rsidRPr="00A853D1">
        <w:rPr>
          <w:b/>
        </w:rPr>
        <w:lastRenderedPageBreak/>
        <w:t>Consultation</w:t>
      </w:r>
    </w:p>
    <w:p w14:paraId="5135812E" w14:textId="5FA69573" w:rsidR="00061046" w:rsidRPr="00A853D1" w:rsidRDefault="00061046" w:rsidP="001A5BC0">
      <w:pPr>
        <w:shd w:val="clear" w:color="auto" w:fill="FFFFFF"/>
        <w:rPr>
          <w:color w:val="000000"/>
          <w:szCs w:val="24"/>
        </w:rPr>
      </w:pPr>
      <w:r>
        <w:rPr>
          <w:color w:val="000000"/>
          <w:szCs w:val="24"/>
        </w:rPr>
        <w:t xml:space="preserve">The </w:t>
      </w:r>
      <w:proofErr w:type="spellStart"/>
      <w:r>
        <w:rPr>
          <w:color w:val="000000"/>
          <w:szCs w:val="24"/>
        </w:rPr>
        <w:t>3DBT</w:t>
      </w:r>
      <w:proofErr w:type="spellEnd"/>
      <w:r>
        <w:rPr>
          <w:color w:val="000000"/>
          <w:szCs w:val="24"/>
        </w:rPr>
        <w:t xml:space="preserve"> interim items in the Determination were released for public consultation prior to finalisation of the recommendations to Government. This was undertaken through public consultation by the Taskforce.</w:t>
      </w:r>
    </w:p>
    <w:p w14:paraId="0C4702A8" w14:textId="77777777" w:rsidR="0002728B" w:rsidRDefault="0002728B" w:rsidP="000337CB">
      <w:pPr>
        <w:rPr>
          <w:szCs w:val="24"/>
        </w:rPr>
      </w:pPr>
    </w:p>
    <w:p w14:paraId="2412D134" w14:textId="77777777" w:rsidR="00967E51" w:rsidRPr="00A853D1" w:rsidRDefault="00A1739A" w:rsidP="000337CB">
      <w:pPr>
        <w:rPr>
          <w:szCs w:val="24"/>
        </w:rPr>
      </w:pPr>
      <w:r w:rsidRPr="00A853D1">
        <w:rPr>
          <w:szCs w:val="24"/>
        </w:rPr>
        <w:t xml:space="preserve">Details of the </w:t>
      </w:r>
      <w:r w:rsidR="00574E71" w:rsidRPr="00A853D1">
        <w:rPr>
          <w:szCs w:val="24"/>
        </w:rPr>
        <w:t>Determination</w:t>
      </w:r>
      <w:r w:rsidRPr="00A853D1">
        <w:rPr>
          <w:szCs w:val="24"/>
        </w:rPr>
        <w:t xml:space="preserve"> are set out in the </w:t>
      </w:r>
      <w:r w:rsidRPr="00A853D1">
        <w:rPr>
          <w:szCs w:val="24"/>
          <w:u w:val="single"/>
        </w:rPr>
        <w:t>Attachment</w:t>
      </w:r>
      <w:r w:rsidRPr="00A853D1">
        <w:rPr>
          <w:szCs w:val="24"/>
        </w:rPr>
        <w:t>.</w:t>
      </w:r>
    </w:p>
    <w:p w14:paraId="2412D135" w14:textId="63895CCF" w:rsidR="006C138D" w:rsidRPr="00A853D1" w:rsidRDefault="00297AD0" w:rsidP="006C138D">
      <w:pPr>
        <w:tabs>
          <w:tab w:val="left" w:pos="567"/>
        </w:tabs>
        <w:spacing w:before="240"/>
        <w:rPr>
          <w:szCs w:val="24"/>
        </w:rPr>
      </w:pPr>
      <w:r w:rsidRPr="00A853D1">
        <w:rPr>
          <w:szCs w:val="24"/>
        </w:rPr>
        <w:t xml:space="preserve">The </w:t>
      </w:r>
      <w:r w:rsidR="00967E51" w:rsidRPr="00A853D1">
        <w:rPr>
          <w:szCs w:val="24"/>
        </w:rPr>
        <w:t>Determination</w:t>
      </w:r>
      <w:r w:rsidRPr="00A853D1">
        <w:rPr>
          <w:szCs w:val="24"/>
        </w:rPr>
        <w:t xml:space="preserve"> </w:t>
      </w:r>
      <w:r w:rsidR="007524B0" w:rsidRPr="00A853D1">
        <w:rPr>
          <w:szCs w:val="24"/>
        </w:rPr>
        <w:t xml:space="preserve">commences </w:t>
      </w:r>
      <w:r w:rsidR="00363306" w:rsidRPr="00A853D1">
        <w:rPr>
          <w:szCs w:val="24"/>
        </w:rPr>
        <w:t xml:space="preserve">on </w:t>
      </w:r>
      <w:r w:rsidR="007524B0" w:rsidRPr="00A853D1">
        <w:t xml:space="preserve">1 </w:t>
      </w:r>
      <w:r w:rsidR="00614AAD">
        <w:t>November</w:t>
      </w:r>
      <w:r w:rsidR="007524B0" w:rsidRPr="00A853D1">
        <w:t xml:space="preserve"> 2018.</w:t>
      </w:r>
    </w:p>
    <w:p w14:paraId="2412D136" w14:textId="77777777" w:rsidR="00236DF2" w:rsidRPr="00A853D1" w:rsidRDefault="00236DF2" w:rsidP="00574E71">
      <w:pPr>
        <w:rPr>
          <w:szCs w:val="24"/>
        </w:rPr>
      </w:pPr>
    </w:p>
    <w:p w14:paraId="2412D138" w14:textId="243DCBD5" w:rsidR="00574E71" w:rsidRPr="00A853D1" w:rsidRDefault="0002728B" w:rsidP="00DE07E4">
      <w:pPr>
        <w:spacing w:after="200" w:line="276" w:lineRule="auto"/>
        <w:rPr>
          <w:szCs w:val="24"/>
        </w:rPr>
      </w:pPr>
      <w:r>
        <w:rPr>
          <w:szCs w:val="24"/>
        </w:rPr>
        <w:t>T</w:t>
      </w:r>
      <w:r w:rsidR="00574E71" w:rsidRPr="00A853D1">
        <w:rPr>
          <w:szCs w:val="24"/>
        </w:rPr>
        <w:t xml:space="preserve">he Determination is </w:t>
      </w:r>
      <w:r w:rsidR="004417A2" w:rsidRPr="00A853D1">
        <w:rPr>
          <w:szCs w:val="24"/>
        </w:rPr>
        <w:t xml:space="preserve">a </w:t>
      </w:r>
      <w:r w:rsidR="00574E71" w:rsidRPr="00A853D1">
        <w:rPr>
          <w:szCs w:val="24"/>
        </w:rPr>
        <w:t xml:space="preserve">legislative instrument for the purposes of the </w:t>
      </w:r>
      <w:r w:rsidR="00574E71" w:rsidRPr="00A853D1">
        <w:rPr>
          <w:szCs w:val="24"/>
        </w:rPr>
        <w:br/>
      </w:r>
      <w:r w:rsidR="00574E71" w:rsidRPr="00A853D1">
        <w:rPr>
          <w:i/>
        </w:rPr>
        <w:t>Legislation Act 2003</w:t>
      </w:r>
      <w:r w:rsidR="00574E71" w:rsidRPr="00A853D1">
        <w:rPr>
          <w:szCs w:val="24"/>
        </w:rPr>
        <w:t>.</w:t>
      </w:r>
    </w:p>
    <w:p w14:paraId="2412D139" w14:textId="77777777" w:rsidR="00A1739A" w:rsidRPr="00A853D1" w:rsidRDefault="00A1739A" w:rsidP="000337CB">
      <w:pPr>
        <w:ind w:left="6663" w:hanging="3119"/>
        <w:rPr>
          <w:szCs w:val="24"/>
        </w:rPr>
      </w:pPr>
      <w:r w:rsidRPr="00A853D1">
        <w:rPr>
          <w:szCs w:val="24"/>
        </w:rPr>
        <w:t xml:space="preserve">           </w:t>
      </w:r>
    </w:p>
    <w:p w14:paraId="2412D13A" w14:textId="77777777" w:rsidR="00A1739A" w:rsidRPr="00A853D1" w:rsidRDefault="00A1739A" w:rsidP="000337CB">
      <w:pPr>
        <w:ind w:left="6663" w:hanging="3119"/>
        <w:rPr>
          <w:szCs w:val="24"/>
        </w:rPr>
      </w:pPr>
      <w:r w:rsidRPr="00A853D1">
        <w:rPr>
          <w:szCs w:val="24"/>
          <w:u w:val="single"/>
        </w:rPr>
        <w:t>Authority</w:t>
      </w:r>
      <w:r w:rsidR="00967E51" w:rsidRPr="00A853D1">
        <w:rPr>
          <w:szCs w:val="24"/>
        </w:rPr>
        <w:t xml:space="preserve">:     Subsection </w:t>
      </w:r>
      <w:r w:rsidRPr="00A853D1">
        <w:rPr>
          <w:szCs w:val="24"/>
        </w:rPr>
        <w:t>3</w:t>
      </w:r>
      <w:r w:rsidR="00967E51" w:rsidRPr="00A853D1">
        <w:rPr>
          <w:szCs w:val="24"/>
        </w:rPr>
        <w:t>C</w:t>
      </w:r>
      <w:r w:rsidRPr="00A853D1">
        <w:rPr>
          <w:szCs w:val="24"/>
        </w:rPr>
        <w:t xml:space="preserve">(1) of the </w:t>
      </w:r>
    </w:p>
    <w:p w14:paraId="2412D13B" w14:textId="0596CD30" w:rsidR="00A1739A" w:rsidRPr="00A853D1" w:rsidRDefault="00A1739A" w:rsidP="000337CB">
      <w:pPr>
        <w:tabs>
          <w:tab w:val="left" w:pos="4820"/>
        </w:tabs>
        <w:rPr>
          <w:szCs w:val="24"/>
        </w:rPr>
        <w:sectPr w:rsidR="00A1739A" w:rsidRPr="00A853D1" w:rsidSect="00CC62CC">
          <w:headerReference w:type="default" r:id="rId12"/>
          <w:pgSz w:w="11906" w:h="16838"/>
          <w:pgMar w:top="1440" w:right="1800" w:bottom="1440" w:left="1800" w:header="708" w:footer="708" w:gutter="0"/>
          <w:pgNumType w:start="1"/>
          <w:cols w:space="708"/>
          <w:docGrid w:linePitch="360"/>
        </w:sectPr>
      </w:pPr>
      <w:r w:rsidRPr="00A853D1">
        <w:rPr>
          <w:i/>
          <w:szCs w:val="24"/>
        </w:rPr>
        <w:tab/>
        <w:t>Health Insurance Act 1973</w:t>
      </w:r>
    </w:p>
    <w:p w14:paraId="2412D13C" w14:textId="77777777" w:rsidR="00242974" w:rsidRPr="00EB601D" w:rsidRDefault="00242974" w:rsidP="000337CB">
      <w:pPr>
        <w:tabs>
          <w:tab w:val="left" w:pos="4536"/>
        </w:tabs>
        <w:rPr>
          <w:b/>
          <w:szCs w:val="24"/>
          <w:highlight w:val="yellow"/>
        </w:rPr>
      </w:pPr>
    </w:p>
    <w:p w14:paraId="2412D13D" w14:textId="77777777" w:rsidR="006D5816" w:rsidRPr="00215191" w:rsidRDefault="006D5816" w:rsidP="000337CB">
      <w:pPr>
        <w:pStyle w:val="BodyText"/>
        <w:jc w:val="right"/>
        <w:rPr>
          <w:szCs w:val="24"/>
        </w:rPr>
      </w:pPr>
      <w:r w:rsidRPr="00215191">
        <w:rPr>
          <w:szCs w:val="24"/>
        </w:rPr>
        <w:t>ATTACHMENT</w:t>
      </w:r>
    </w:p>
    <w:p w14:paraId="2412D13E" w14:textId="77777777" w:rsidR="006D5816" w:rsidRPr="00215191" w:rsidRDefault="006D5816" w:rsidP="000337CB">
      <w:pPr>
        <w:pStyle w:val="BodyText"/>
        <w:rPr>
          <w:szCs w:val="24"/>
          <w:u w:val="single"/>
        </w:rPr>
      </w:pPr>
    </w:p>
    <w:p w14:paraId="5B0C808A" w14:textId="4202EA0D" w:rsidR="00215191" w:rsidRPr="00215191" w:rsidRDefault="00A41364" w:rsidP="00215191">
      <w:pPr>
        <w:pStyle w:val="BodyText"/>
        <w:rPr>
          <w:i/>
          <w:szCs w:val="24"/>
        </w:rPr>
      </w:pPr>
      <w:r w:rsidRPr="00215191">
        <w:rPr>
          <w:szCs w:val="24"/>
        </w:rPr>
        <w:t xml:space="preserve">Details of the </w:t>
      </w:r>
      <w:r w:rsidR="00FD602D" w:rsidRPr="00A13D83">
        <w:rPr>
          <w:i/>
          <w:iCs/>
        </w:rPr>
        <w:t xml:space="preserve">Health Insurance (Section 3C </w:t>
      </w:r>
      <w:r w:rsidR="00B81EB1">
        <w:rPr>
          <w:i/>
          <w:iCs/>
        </w:rPr>
        <w:t>Diagnostic</w:t>
      </w:r>
      <w:r w:rsidR="00B81EB1" w:rsidRPr="00A13D83">
        <w:rPr>
          <w:i/>
          <w:iCs/>
        </w:rPr>
        <w:t xml:space="preserve"> </w:t>
      </w:r>
      <w:r w:rsidR="00B81EB1">
        <w:rPr>
          <w:i/>
          <w:iCs/>
        </w:rPr>
        <w:t>Imaging</w:t>
      </w:r>
      <w:r w:rsidR="00B81EB1" w:rsidRPr="00A13D83">
        <w:rPr>
          <w:i/>
          <w:iCs/>
        </w:rPr>
        <w:t xml:space="preserve"> </w:t>
      </w:r>
      <w:r w:rsidR="00FD602D" w:rsidRPr="00A13D83">
        <w:rPr>
          <w:i/>
          <w:iCs/>
        </w:rPr>
        <w:t>Services</w:t>
      </w:r>
      <w:r w:rsidR="00A155F1">
        <w:rPr>
          <w:i/>
          <w:iCs/>
        </w:rPr>
        <w:t xml:space="preserve"> – </w:t>
      </w:r>
      <w:r w:rsidR="00CC0405" w:rsidRPr="00CC0405">
        <w:rPr>
          <w:i/>
          <w:iCs/>
        </w:rPr>
        <w:t xml:space="preserve">3D </w:t>
      </w:r>
      <w:r w:rsidR="00061046">
        <w:rPr>
          <w:i/>
          <w:iCs/>
        </w:rPr>
        <w:t>B</w:t>
      </w:r>
      <w:r w:rsidR="00CC0405" w:rsidRPr="00CC0405">
        <w:rPr>
          <w:i/>
          <w:iCs/>
        </w:rPr>
        <w:t xml:space="preserve">reast </w:t>
      </w:r>
      <w:r w:rsidR="00061046">
        <w:rPr>
          <w:i/>
          <w:iCs/>
        </w:rPr>
        <w:t>T</w:t>
      </w:r>
      <w:r w:rsidR="00CC0405" w:rsidRPr="00CC0405">
        <w:rPr>
          <w:i/>
          <w:iCs/>
        </w:rPr>
        <w:t>omosynthesis</w:t>
      </w:r>
      <w:r w:rsidR="00FD602D" w:rsidRPr="00A13D83">
        <w:rPr>
          <w:i/>
          <w:iCs/>
        </w:rPr>
        <w:t>) Determination 2018</w:t>
      </w:r>
    </w:p>
    <w:p w14:paraId="7BBEB147" w14:textId="720F9678" w:rsidR="00E70355" w:rsidRPr="00215191" w:rsidRDefault="00E70355" w:rsidP="000337CB">
      <w:pPr>
        <w:pStyle w:val="BodyText"/>
        <w:rPr>
          <w:b w:val="0"/>
          <w:i/>
          <w:szCs w:val="24"/>
        </w:rPr>
      </w:pPr>
    </w:p>
    <w:p w14:paraId="2412D141" w14:textId="3D9122CE" w:rsidR="00FE02C2" w:rsidRPr="00215191" w:rsidRDefault="001B0111" w:rsidP="000337CB">
      <w:pPr>
        <w:pStyle w:val="BodyText"/>
        <w:rPr>
          <w:b w:val="0"/>
          <w:szCs w:val="24"/>
          <w:u w:val="single"/>
        </w:rPr>
      </w:pPr>
      <w:r w:rsidRPr="00215191">
        <w:rPr>
          <w:b w:val="0"/>
          <w:szCs w:val="24"/>
          <w:u w:val="single"/>
        </w:rPr>
        <w:t>Section 1 – Name</w:t>
      </w:r>
      <w:r w:rsidR="00967E51" w:rsidRPr="00215191">
        <w:rPr>
          <w:b w:val="0"/>
          <w:szCs w:val="24"/>
          <w:u w:val="single"/>
        </w:rPr>
        <w:t xml:space="preserve"> </w:t>
      </w:r>
    </w:p>
    <w:p w14:paraId="2412D142" w14:textId="77777777" w:rsidR="00FE02C2" w:rsidRPr="00215191" w:rsidRDefault="00FE02C2" w:rsidP="000337CB">
      <w:pPr>
        <w:pStyle w:val="BodyText"/>
        <w:rPr>
          <w:b w:val="0"/>
          <w:szCs w:val="24"/>
          <w:u w:val="single"/>
        </w:rPr>
      </w:pPr>
    </w:p>
    <w:p w14:paraId="2412D144" w14:textId="6ED9DE5C" w:rsidR="00F83B6F" w:rsidRPr="00FD602D" w:rsidRDefault="00BC7397" w:rsidP="00FD602D">
      <w:pPr>
        <w:pStyle w:val="Heading1"/>
        <w:jc w:val="left"/>
        <w:rPr>
          <w:b w:val="0"/>
          <w:i/>
          <w:iCs/>
          <w:u w:val="none"/>
        </w:rPr>
      </w:pPr>
      <w:r w:rsidRPr="00215191">
        <w:rPr>
          <w:b w:val="0"/>
          <w:szCs w:val="24"/>
          <w:u w:val="none"/>
        </w:rPr>
        <w:t>S</w:t>
      </w:r>
      <w:r w:rsidR="00FE02C2" w:rsidRPr="00215191">
        <w:rPr>
          <w:b w:val="0"/>
          <w:szCs w:val="24"/>
          <w:u w:val="none"/>
        </w:rPr>
        <w:t xml:space="preserve">ection </w:t>
      </w:r>
      <w:r w:rsidRPr="00215191">
        <w:rPr>
          <w:b w:val="0"/>
          <w:szCs w:val="24"/>
          <w:u w:val="none"/>
        </w:rPr>
        <w:t xml:space="preserve">1 </w:t>
      </w:r>
      <w:r w:rsidR="00FE02C2" w:rsidRPr="00215191">
        <w:rPr>
          <w:b w:val="0"/>
          <w:szCs w:val="24"/>
          <w:u w:val="none"/>
        </w:rPr>
        <w:t>provides</w:t>
      </w:r>
      <w:r w:rsidR="008B683E" w:rsidRPr="00215191">
        <w:rPr>
          <w:b w:val="0"/>
          <w:szCs w:val="24"/>
          <w:u w:val="none"/>
        </w:rPr>
        <w:t xml:space="preserve"> for the </w:t>
      </w:r>
      <w:r w:rsidR="00967E51" w:rsidRPr="00215191">
        <w:rPr>
          <w:b w:val="0"/>
          <w:szCs w:val="24"/>
          <w:u w:val="none"/>
        </w:rPr>
        <w:t>Determination</w:t>
      </w:r>
      <w:r w:rsidR="00FE02C2" w:rsidRPr="00215191">
        <w:rPr>
          <w:b w:val="0"/>
          <w:szCs w:val="24"/>
          <w:u w:val="none"/>
        </w:rPr>
        <w:t xml:space="preserve"> to be referred to as the </w:t>
      </w:r>
      <w:r w:rsidR="00FD602D" w:rsidRPr="00FD602D">
        <w:rPr>
          <w:b w:val="0"/>
          <w:i/>
          <w:iCs/>
          <w:u w:val="none"/>
        </w:rPr>
        <w:t xml:space="preserve">Health Insurance (Section 3C </w:t>
      </w:r>
      <w:r w:rsidR="00B81EB1">
        <w:rPr>
          <w:b w:val="0"/>
          <w:i/>
          <w:iCs/>
          <w:u w:val="none"/>
        </w:rPr>
        <w:t>Diagnostic</w:t>
      </w:r>
      <w:r w:rsidR="00B81EB1" w:rsidRPr="00FD602D">
        <w:rPr>
          <w:b w:val="0"/>
          <w:i/>
          <w:iCs/>
          <w:u w:val="none"/>
        </w:rPr>
        <w:t xml:space="preserve"> </w:t>
      </w:r>
      <w:r w:rsidR="00B81EB1">
        <w:rPr>
          <w:b w:val="0"/>
          <w:i/>
          <w:iCs/>
          <w:u w:val="none"/>
        </w:rPr>
        <w:t>Imaging</w:t>
      </w:r>
      <w:r w:rsidR="00B81EB1" w:rsidRPr="00FD602D">
        <w:rPr>
          <w:b w:val="0"/>
          <w:i/>
          <w:iCs/>
          <w:u w:val="none"/>
        </w:rPr>
        <w:t xml:space="preserve"> </w:t>
      </w:r>
      <w:r w:rsidR="00FD602D" w:rsidRPr="00FD602D">
        <w:rPr>
          <w:b w:val="0"/>
          <w:i/>
          <w:iCs/>
          <w:u w:val="none"/>
        </w:rPr>
        <w:t>Services</w:t>
      </w:r>
      <w:r w:rsidR="00447E92">
        <w:rPr>
          <w:b w:val="0"/>
          <w:i/>
          <w:iCs/>
          <w:u w:val="none"/>
        </w:rPr>
        <w:t xml:space="preserve"> – </w:t>
      </w:r>
      <w:r w:rsidR="00CC0405" w:rsidRPr="00CC0405">
        <w:rPr>
          <w:b w:val="0"/>
          <w:i/>
          <w:iCs/>
          <w:u w:val="none"/>
        </w:rPr>
        <w:t xml:space="preserve">3D </w:t>
      </w:r>
      <w:r w:rsidR="00061046">
        <w:rPr>
          <w:b w:val="0"/>
          <w:i/>
          <w:iCs/>
          <w:u w:val="none"/>
        </w:rPr>
        <w:t>B</w:t>
      </w:r>
      <w:r w:rsidR="00CC0405" w:rsidRPr="00CC0405">
        <w:rPr>
          <w:b w:val="0"/>
          <w:i/>
          <w:iCs/>
          <w:u w:val="none"/>
        </w:rPr>
        <w:t xml:space="preserve">reast </w:t>
      </w:r>
      <w:r w:rsidR="00061046">
        <w:rPr>
          <w:b w:val="0"/>
          <w:i/>
          <w:iCs/>
          <w:u w:val="none"/>
        </w:rPr>
        <w:t>T</w:t>
      </w:r>
      <w:r w:rsidR="00CC0405" w:rsidRPr="00CC0405">
        <w:rPr>
          <w:b w:val="0"/>
          <w:i/>
          <w:iCs/>
          <w:u w:val="none"/>
        </w:rPr>
        <w:t>omosynthesis</w:t>
      </w:r>
      <w:r w:rsidR="00FD602D" w:rsidRPr="00FD602D">
        <w:rPr>
          <w:b w:val="0"/>
          <w:i/>
          <w:iCs/>
          <w:u w:val="none"/>
        </w:rPr>
        <w:t>) Determination 2018</w:t>
      </w:r>
      <w:r w:rsidR="0010617D">
        <w:rPr>
          <w:b w:val="0"/>
          <w:i/>
          <w:iCs/>
          <w:u w:val="none"/>
        </w:rPr>
        <w:t>.</w:t>
      </w:r>
    </w:p>
    <w:p w14:paraId="68DAA207" w14:textId="77777777" w:rsidR="00FD602D" w:rsidRPr="00FD602D" w:rsidRDefault="00FD602D" w:rsidP="00FD602D"/>
    <w:p w14:paraId="49D1E050" w14:textId="77777777" w:rsidR="007A4089" w:rsidRPr="00215191" w:rsidRDefault="00FE02C2" w:rsidP="000337CB">
      <w:pPr>
        <w:pStyle w:val="BodyText"/>
        <w:rPr>
          <w:b w:val="0"/>
          <w:szCs w:val="24"/>
          <w:u w:val="single"/>
        </w:rPr>
      </w:pPr>
      <w:r w:rsidRPr="00215191">
        <w:rPr>
          <w:b w:val="0"/>
          <w:szCs w:val="24"/>
          <w:u w:val="single"/>
        </w:rPr>
        <w:t xml:space="preserve">Section 2 – Commencement </w:t>
      </w:r>
    </w:p>
    <w:p w14:paraId="2DCE2ED0" w14:textId="77777777" w:rsidR="007A4089" w:rsidRPr="00215191" w:rsidRDefault="007A4089" w:rsidP="000337CB">
      <w:pPr>
        <w:pStyle w:val="BodyText"/>
        <w:rPr>
          <w:b w:val="0"/>
          <w:szCs w:val="24"/>
          <w:u w:val="single"/>
        </w:rPr>
      </w:pPr>
    </w:p>
    <w:p w14:paraId="2412D148" w14:textId="1FE3114E" w:rsidR="00510A4F" w:rsidRPr="00215191" w:rsidRDefault="00510A4F" w:rsidP="000337CB">
      <w:pPr>
        <w:pStyle w:val="BodyText"/>
        <w:rPr>
          <w:b w:val="0"/>
          <w:szCs w:val="24"/>
        </w:rPr>
      </w:pPr>
      <w:r w:rsidRPr="00215191">
        <w:rPr>
          <w:b w:val="0"/>
          <w:szCs w:val="24"/>
        </w:rPr>
        <w:t xml:space="preserve">Section 2 </w:t>
      </w:r>
      <w:r w:rsidR="00404F11" w:rsidRPr="00215191">
        <w:rPr>
          <w:b w:val="0"/>
          <w:szCs w:val="24"/>
        </w:rPr>
        <w:t xml:space="preserve">provides that the Determination commences </w:t>
      </w:r>
      <w:r w:rsidR="00363306" w:rsidRPr="00215191">
        <w:rPr>
          <w:b w:val="0"/>
          <w:szCs w:val="24"/>
        </w:rPr>
        <w:t xml:space="preserve">on </w:t>
      </w:r>
      <w:r w:rsidR="007524B0" w:rsidRPr="00215191">
        <w:rPr>
          <w:b w:val="0"/>
          <w:szCs w:val="24"/>
        </w:rPr>
        <w:t xml:space="preserve">1 </w:t>
      </w:r>
      <w:r w:rsidR="00CC0405">
        <w:rPr>
          <w:b w:val="0"/>
          <w:szCs w:val="24"/>
        </w:rPr>
        <w:t xml:space="preserve">November </w:t>
      </w:r>
      <w:r w:rsidR="007524B0" w:rsidRPr="00215191">
        <w:rPr>
          <w:b w:val="0"/>
          <w:szCs w:val="24"/>
        </w:rPr>
        <w:t>2018.</w:t>
      </w:r>
    </w:p>
    <w:p w14:paraId="16C03200" w14:textId="77777777" w:rsidR="007E0017" w:rsidRPr="00215191" w:rsidRDefault="007E0017" w:rsidP="000337CB">
      <w:pPr>
        <w:pStyle w:val="BodyText"/>
        <w:rPr>
          <w:b w:val="0"/>
          <w:szCs w:val="24"/>
        </w:rPr>
      </w:pPr>
    </w:p>
    <w:p w14:paraId="005D5660" w14:textId="77777777" w:rsidR="007A4089" w:rsidRPr="00215191" w:rsidRDefault="00FE02C2" w:rsidP="000337CB">
      <w:pPr>
        <w:pStyle w:val="BodyText"/>
        <w:rPr>
          <w:b w:val="0"/>
          <w:szCs w:val="24"/>
          <w:u w:val="single"/>
        </w:rPr>
      </w:pPr>
      <w:r w:rsidRPr="00215191">
        <w:rPr>
          <w:b w:val="0"/>
          <w:szCs w:val="24"/>
          <w:u w:val="single"/>
        </w:rPr>
        <w:t xml:space="preserve">Section 3 – </w:t>
      </w:r>
      <w:r w:rsidR="00E5798A" w:rsidRPr="00215191">
        <w:rPr>
          <w:b w:val="0"/>
          <w:szCs w:val="24"/>
          <w:u w:val="single"/>
        </w:rPr>
        <w:t>Authority</w:t>
      </w:r>
    </w:p>
    <w:p w14:paraId="53BFA098" w14:textId="77777777" w:rsidR="007A4089" w:rsidRPr="00215191" w:rsidRDefault="007A4089" w:rsidP="000337CB">
      <w:pPr>
        <w:pStyle w:val="BodyText"/>
        <w:rPr>
          <w:b w:val="0"/>
          <w:szCs w:val="24"/>
          <w:u w:val="single"/>
        </w:rPr>
      </w:pPr>
    </w:p>
    <w:p w14:paraId="2412D14B" w14:textId="2DEAAE12" w:rsidR="00FE02C2" w:rsidRPr="00215191" w:rsidRDefault="00F83B6F" w:rsidP="000337CB">
      <w:pPr>
        <w:pStyle w:val="BodyText"/>
        <w:rPr>
          <w:b w:val="0"/>
        </w:rPr>
      </w:pPr>
      <w:r w:rsidRPr="00215191">
        <w:rPr>
          <w:b w:val="0"/>
        </w:rPr>
        <w:t xml:space="preserve">Section 3 provides that the Determination </w:t>
      </w:r>
      <w:r w:rsidR="00E5798A" w:rsidRPr="00215191">
        <w:rPr>
          <w:b w:val="0"/>
        </w:rPr>
        <w:t xml:space="preserve">is made under </w:t>
      </w:r>
      <w:r w:rsidR="00367440" w:rsidRPr="00215191">
        <w:rPr>
          <w:b w:val="0"/>
        </w:rPr>
        <w:t xml:space="preserve">subsection </w:t>
      </w:r>
      <w:r w:rsidR="00E5798A" w:rsidRPr="00215191">
        <w:rPr>
          <w:b w:val="0"/>
        </w:rPr>
        <w:t xml:space="preserve">3C(1) of the </w:t>
      </w:r>
      <w:r w:rsidR="00E5798A" w:rsidRPr="00215191">
        <w:rPr>
          <w:b w:val="0"/>
          <w:i/>
        </w:rPr>
        <w:t>Health Insurance Act 1973</w:t>
      </w:r>
      <w:r w:rsidR="00E5798A" w:rsidRPr="00215191">
        <w:rPr>
          <w:b w:val="0"/>
        </w:rPr>
        <w:t>.</w:t>
      </w:r>
    </w:p>
    <w:p w14:paraId="0DBF1241" w14:textId="77777777" w:rsidR="00E70355" w:rsidRPr="00215191" w:rsidRDefault="00E70355" w:rsidP="000337CB">
      <w:pPr>
        <w:pStyle w:val="BodyText"/>
        <w:rPr>
          <w:b w:val="0"/>
        </w:rPr>
      </w:pPr>
    </w:p>
    <w:p w14:paraId="26AE9415" w14:textId="37344023" w:rsidR="00E70355" w:rsidRPr="00215191" w:rsidRDefault="00E70355" w:rsidP="00E70355">
      <w:pPr>
        <w:pStyle w:val="BodyText"/>
        <w:rPr>
          <w:b w:val="0"/>
          <w:szCs w:val="24"/>
          <w:u w:val="single"/>
        </w:rPr>
      </w:pPr>
      <w:r w:rsidRPr="00215191">
        <w:rPr>
          <w:b w:val="0"/>
          <w:szCs w:val="24"/>
          <w:u w:val="single"/>
        </w:rPr>
        <w:t xml:space="preserve">Section 4 – </w:t>
      </w:r>
      <w:r w:rsidR="007E0017" w:rsidRPr="00215191">
        <w:rPr>
          <w:b w:val="0"/>
          <w:szCs w:val="24"/>
          <w:u w:val="single"/>
        </w:rPr>
        <w:t>Definitions</w:t>
      </w:r>
    </w:p>
    <w:p w14:paraId="2911957A" w14:textId="77777777" w:rsidR="00E70355" w:rsidRPr="00215191" w:rsidRDefault="00E70355" w:rsidP="00E70355">
      <w:pPr>
        <w:pStyle w:val="BodyText"/>
        <w:rPr>
          <w:b w:val="0"/>
          <w:szCs w:val="24"/>
          <w:u w:val="single"/>
        </w:rPr>
      </w:pPr>
    </w:p>
    <w:p w14:paraId="0733D3AE" w14:textId="1332D2A0" w:rsidR="00404F11" w:rsidRPr="00215191" w:rsidRDefault="00CC0405" w:rsidP="00404F11">
      <w:pPr>
        <w:pStyle w:val="BodyText"/>
        <w:rPr>
          <w:b w:val="0"/>
          <w:szCs w:val="24"/>
        </w:rPr>
      </w:pPr>
      <w:r>
        <w:rPr>
          <w:b w:val="0"/>
          <w:szCs w:val="24"/>
        </w:rPr>
        <w:t>Section 4</w:t>
      </w:r>
      <w:r w:rsidR="007E0017" w:rsidRPr="00215191">
        <w:rPr>
          <w:b w:val="0"/>
          <w:szCs w:val="24"/>
        </w:rPr>
        <w:t xml:space="preserve"> defines terms used in the Determination. </w:t>
      </w:r>
    </w:p>
    <w:p w14:paraId="17D2CF69" w14:textId="77777777" w:rsidR="007E0017" w:rsidRPr="00EB601D" w:rsidRDefault="007E0017" w:rsidP="00404F11">
      <w:pPr>
        <w:pStyle w:val="BodyText"/>
        <w:rPr>
          <w:b w:val="0"/>
          <w:szCs w:val="24"/>
          <w:highlight w:val="yellow"/>
        </w:rPr>
      </w:pPr>
    </w:p>
    <w:p w14:paraId="2E2357BD" w14:textId="77777777" w:rsidR="007E0017" w:rsidRPr="00215191" w:rsidRDefault="007E0017" w:rsidP="007E0017">
      <w:pPr>
        <w:pStyle w:val="BodyText"/>
        <w:rPr>
          <w:b w:val="0"/>
          <w:szCs w:val="24"/>
          <w:u w:val="single"/>
        </w:rPr>
      </w:pPr>
      <w:r w:rsidRPr="00215191">
        <w:rPr>
          <w:b w:val="0"/>
          <w:szCs w:val="24"/>
          <w:u w:val="single"/>
        </w:rPr>
        <w:t>Section 5 – Treatment of relevant services</w:t>
      </w:r>
    </w:p>
    <w:p w14:paraId="1CE9B080" w14:textId="77777777" w:rsidR="007E0017" w:rsidRPr="00215191" w:rsidRDefault="007E0017" w:rsidP="007E0017">
      <w:pPr>
        <w:pStyle w:val="BodyText"/>
        <w:shd w:val="clear" w:color="auto" w:fill="FFFFFF"/>
        <w:rPr>
          <w:b w:val="0"/>
          <w:szCs w:val="24"/>
        </w:rPr>
      </w:pPr>
      <w:r w:rsidRPr="00215191">
        <w:rPr>
          <w:b w:val="0"/>
          <w:szCs w:val="24"/>
        </w:rPr>
        <w:t> </w:t>
      </w:r>
    </w:p>
    <w:p w14:paraId="4C24D2E0" w14:textId="46B48C11" w:rsidR="007E0017" w:rsidRDefault="007E0017" w:rsidP="007E0017">
      <w:pPr>
        <w:pStyle w:val="BodyText"/>
        <w:shd w:val="clear" w:color="auto" w:fill="FFFFFF"/>
        <w:rPr>
          <w:b w:val="0"/>
          <w:szCs w:val="24"/>
        </w:rPr>
      </w:pPr>
      <w:r w:rsidRPr="00215191">
        <w:rPr>
          <w:b w:val="0"/>
          <w:szCs w:val="24"/>
        </w:rPr>
        <w:t xml:space="preserve">Section 5 provides that a clinically relevant service provided in accordance with the Determination shall be treated, for relevant provisions of the </w:t>
      </w:r>
      <w:r w:rsidRPr="00215191">
        <w:rPr>
          <w:b w:val="0"/>
          <w:i/>
          <w:szCs w:val="24"/>
        </w:rPr>
        <w:t>Health Insurance Act 1973</w:t>
      </w:r>
      <w:r w:rsidRPr="00215191">
        <w:rPr>
          <w:b w:val="0"/>
          <w:szCs w:val="24"/>
        </w:rPr>
        <w:t xml:space="preserve"> and </w:t>
      </w:r>
      <w:r w:rsidRPr="00215191">
        <w:rPr>
          <w:b w:val="0"/>
          <w:i/>
          <w:szCs w:val="24"/>
        </w:rPr>
        <w:t>National Health Act 1953</w:t>
      </w:r>
      <w:r w:rsidRPr="00215191">
        <w:rPr>
          <w:b w:val="0"/>
          <w:szCs w:val="24"/>
        </w:rPr>
        <w:t xml:space="preserve">, and regulations made under those Acts, as if it were both a professional service and a medical service and as if there were an item specified in the </w:t>
      </w:r>
      <w:r w:rsidR="00215191" w:rsidRPr="00215191">
        <w:rPr>
          <w:b w:val="0"/>
          <w:szCs w:val="24"/>
        </w:rPr>
        <w:t>diagnostic imaging</w:t>
      </w:r>
      <w:r w:rsidR="00363306" w:rsidRPr="00215191">
        <w:rPr>
          <w:b w:val="0"/>
          <w:szCs w:val="24"/>
        </w:rPr>
        <w:t xml:space="preserve"> </w:t>
      </w:r>
      <w:r w:rsidRPr="00215191">
        <w:rPr>
          <w:b w:val="0"/>
          <w:szCs w:val="24"/>
        </w:rPr>
        <w:t xml:space="preserve">services table for the service. </w:t>
      </w:r>
    </w:p>
    <w:p w14:paraId="0AD3FDD4" w14:textId="77777777" w:rsidR="00447E92" w:rsidRPr="00215191" w:rsidRDefault="00447E92" w:rsidP="007E0017">
      <w:pPr>
        <w:pStyle w:val="BodyText"/>
        <w:shd w:val="clear" w:color="auto" w:fill="FFFFFF"/>
        <w:rPr>
          <w:b w:val="0"/>
          <w:szCs w:val="24"/>
        </w:rPr>
      </w:pPr>
    </w:p>
    <w:p w14:paraId="7265D359" w14:textId="085FB069" w:rsidR="003B20B7" w:rsidRDefault="003B20B7" w:rsidP="00404F11">
      <w:pPr>
        <w:pStyle w:val="Header"/>
        <w:tabs>
          <w:tab w:val="num" w:pos="1080"/>
        </w:tabs>
        <w:rPr>
          <w:szCs w:val="24"/>
          <w:u w:val="single"/>
        </w:rPr>
      </w:pPr>
      <w:r>
        <w:rPr>
          <w:szCs w:val="24"/>
          <w:u w:val="single"/>
        </w:rPr>
        <w:t>Section 6 – Application of a provision of the diagnostic imaging services table</w:t>
      </w:r>
    </w:p>
    <w:p w14:paraId="1D0949C4" w14:textId="77777777" w:rsidR="003B20B7" w:rsidRDefault="003B20B7" w:rsidP="00404F11">
      <w:pPr>
        <w:pStyle w:val="Header"/>
        <w:tabs>
          <w:tab w:val="num" w:pos="1080"/>
        </w:tabs>
        <w:rPr>
          <w:szCs w:val="24"/>
          <w:u w:val="single"/>
        </w:rPr>
      </w:pPr>
    </w:p>
    <w:p w14:paraId="4EB7CF81" w14:textId="32DAB752" w:rsidR="00EA6E1E" w:rsidRDefault="003B20B7" w:rsidP="00061046">
      <w:pPr>
        <w:pStyle w:val="Header"/>
        <w:tabs>
          <w:tab w:val="num" w:pos="1080"/>
        </w:tabs>
        <w:rPr>
          <w:szCs w:val="24"/>
        </w:rPr>
      </w:pPr>
      <w:r>
        <w:rPr>
          <w:szCs w:val="24"/>
        </w:rPr>
        <w:t xml:space="preserve">Section 6 </w:t>
      </w:r>
      <w:r w:rsidR="00EC435A">
        <w:rPr>
          <w:szCs w:val="24"/>
        </w:rPr>
        <w:t xml:space="preserve">provides that clause 2.3.3 of the diagnostic imaging services table applies </w:t>
      </w:r>
      <w:r w:rsidR="00CC20D2">
        <w:rPr>
          <w:szCs w:val="24"/>
        </w:rPr>
        <w:t xml:space="preserve">to </w:t>
      </w:r>
      <w:r w:rsidR="00061046">
        <w:rPr>
          <w:szCs w:val="24"/>
        </w:rPr>
        <w:t>the items in</w:t>
      </w:r>
      <w:r w:rsidR="0003079C">
        <w:rPr>
          <w:szCs w:val="24"/>
        </w:rPr>
        <w:t xml:space="preserve"> the</w:t>
      </w:r>
      <w:r w:rsidR="00061046">
        <w:rPr>
          <w:szCs w:val="24"/>
        </w:rPr>
        <w:t xml:space="preserve"> Schedule </w:t>
      </w:r>
      <w:r w:rsidR="00CC20D2">
        <w:rPr>
          <w:szCs w:val="24"/>
        </w:rPr>
        <w:t xml:space="preserve">so that the </w:t>
      </w:r>
      <w:r w:rsidR="00526699">
        <w:rPr>
          <w:szCs w:val="24"/>
        </w:rPr>
        <w:t xml:space="preserve">items only </w:t>
      </w:r>
      <w:r w:rsidR="00061046">
        <w:rPr>
          <w:szCs w:val="24"/>
        </w:rPr>
        <w:t xml:space="preserve">apply to a </w:t>
      </w:r>
      <w:r w:rsidR="00444A0A">
        <w:rPr>
          <w:szCs w:val="24"/>
        </w:rPr>
        <w:t xml:space="preserve">mammography </w:t>
      </w:r>
      <w:r w:rsidR="00061046">
        <w:rPr>
          <w:szCs w:val="24"/>
        </w:rPr>
        <w:t>service performed</w:t>
      </w:r>
      <w:r w:rsidR="00EA6E1E">
        <w:rPr>
          <w:szCs w:val="24"/>
        </w:rPr>
        <w:t>:</w:t>
      </w:r>
    </w:p>
    <w:p w14:paraId="5D6FD9CB" w14:textId="63E4585F" w:rsidR="00EA6E1E" w:rsidRDefault="00061046" w:rsidP="00EA6E1E">
      <w:pPr>
        <w:pStyle w:val="Header"/>
        <w:numPr>
          <w:ilvl w:val="0"/>
          <w:numId w:val="27"/>
        </w:numPr>
        <w:rPr>
          <w:szCs w:val="24"/>
        </w:rPr>
      </w:pPr>
      <w:r>
        <w:rPr>
          <w:szCs w:val="24"/>
        </w:rPr>
        <w:t>u</w:t>
      </w:r>
      <w:r w:rsidRPr="00061046">
        <w:rPr>
          <w:szCs w:val="24"/>
        </w:rPr>
        <w:t>nder the supervision of a specialist in the specialty of diagnostic radiology who is available</w:t>
      </w:r>
      <w:r>
        <w:rPr>
          <w:szCs w:val="24"/>
        </w:rPr>
        <w:t xml:space="preserve"> </w:t>
      </w:r>
      <w:r w:rsidRPr="00061046">
        <w:rPr>
          <w:szCs w:val="24"/>
        </w:rPr>
        <w:t>to monitor and influence the conduct and diagnostic quality of the examination</w:t>
      </w:r>
      <w:r>
        <w:rPr>
          <w:szCs w:val="24"/>
        </w:rPr>
        <w:t xml:space="preserve"> and </w:t>
      </w:r>
      <w:r w:rsidRPr="00061046">
        <w:rPr>
          <w:szCs w:val="24"/>
        </w:rPr>
        <w:t>if necessary, to attend on the patient personally; or</w:t>
      </w:r>
      <w:r>
        <w:rPr>
          <w:szCs w:val="24"/>
        </w:rPr>
        <w:t xml:space="preserve"> </w:t>
      </w:r>
    </w:p>
    <w:p w14:paraId="4769EDF3" w14:textId="58867091" w:rsidR="003B20B7" w:rsidRPr="00EA6E1E" w:rsidRDefault="00EA6E1E" w:rsidP="00EA6E1E">
      <w:pPr>
        <w:pStyle w:val="ListParagraph"/>
        <w:numPr>
          <w:ilvl w:val="0"/>
          <w:numId w:val="27"/>
        </w:numPr>
        <w:tabs>
          <w:tab w:val="num" w:pos="1080"/>
        </w:tabs>
        <w:rPr>
          <w:szCs w:val="24"/>
          <w:u w:val="single"/>
        </w:rPr>
      </w:pPr>
      <w:r w:rsidRPr="00EA6E1E">
        <w:rPr>
          <w:szCs w:val="24"/>
        </w:rPr>
        <w:t>if the service is not able to</w:t>
      </w:r>
      <w:r w:rsidR="00C25BE8">
        <w:rPr>
          <w:szCs w:val="24"/>
        </w:rPr>
        <w:t xml:space="preserve"> be</w:t>
      </w:r>
      <w:r w:rsidRPr="00EA6E1E">
        <w:rPr>
          <w:szCs w:val="24"/>
        </w:rPr>
        <w:t xml:space="preserve"> supervised by a diagnostic radiology specialist </w:t>
      </w:r>
      <w:r w:rsidR="00C71B5C">
        <w:rPr>
          <w:szCs w:val="24"/>
        </w:rPr>
        <w:t xml:space="preserve">and the service is provided </w:t>
      </w:r>
      <w:r w:rsidR="00061046" w:rsidRPr="00EA6E1E">
        <w:rPr>
          <w:szCs w:val="24"/>
        </w:rPr>
        <w:t>in an emergency situation</w:t>
      </w:r>
      <w:r>
        <w:rPr>
          <w:szCs w:val="24"/>
        </w:rPr>
        <w:t>,</w:t>
      </w:r>
      <w:r w:rsidR="00061046" w:rsidRPr="00EA6E1E">
        <w:rPr>
          <w:szCs w:val="24"/>
        </w:rPr>
        <w:t xml:space="preserve"> or </w:t>
      </w:r>
      <w:r w:rsidR="00C71B5C">
        <w:rPr>
          <w:szCs w:val="24"/>
        </w:rPr>
        <w:t xml:space="preserve">the service is provided </w:t>
      </w:r>
      <w:r w:rsidR="00061046" w:rsidRPr="00EA6E1E">
        <w:rPr>
          <w:szCs w:val="24"/>
        </w:rPr>
        <w:t>in a remote location</w:t>
      </w:r>
      <w:r w:rsidR="00C71B5C">
        <w:rPr>
          <w:szCs w:val="24"/>
        </w:rPr>
        <w:t xml:space="preserve"> due to medical necessity</w:t>
      </w:r>
      <w:r w:rsidR="00061046" w:rsidRPr="00EA6E1E">
        <w:rPr>
          <w:szCs w:val="24"/>
        </w:rPr>
        <w:t>.</w:t>
      </w:r>
      <w:r w:rsidRPr="00EA6E1E">
        <w:rPr>
          <w:szCs w:val="24"/>
        </w:rPr>
        <w:t xml:space="preserve"> </w:t>
      </w:r>
    </w:p>
    <w:p w14:paraId="6E5762F1" w14:textId="77777777" w:rsidR="00EA6E1E" w:rsidRDefault="00EA6E1E" w:rsidP="00EA6E1E">
      <w:pPr>
        <w:pStyle w:val="ListParagraph"/>
        <w:rPr>
          <w:szCs w:val="24"/>
          <w:u w:val="single"/>
        </w:rPr>
      </w:pPr>
    </w:p>
    <w:p w14:paraId="10FC0BE8" w14:textId="3DED2205" w:rsidR="00404F11" w:rsidRPr="00215191" w:rsidRDefault="00C62733" w:rsidP="00404F11">
      <w:pPr>
        <w:pStyle w:val="Header"/>
        <w:tabs>
          <w:tab w:val="num" w:pos="1080"/>
        </w:tabs>
        <w:rPr>
          <w:szCs w:val="24"/>
          <w:u w:val="single"/>
        </w:rPr>
      </w:pPr>
      <w:r w:rsidRPr="00215191">
        <w:rPr>
          <w:szCs w:val="24"/>
          <w:u w:val="single"/>
        </w:rPr>
        <w:t>Schedule –</w:t>
      </w:r>
      <w:r w:rsidR="007E0017" w:rsidRPr="00215191">
        <w:rPr>
          <w:szCs w:val="24"/>
          <w:u w:val="single"/>
        </w:rPr>
        <w:t xml:space="preserve"> Relevant services</w:t>
      </w:r>
    </w:p>
    <w:p w14:paraId="30617928" w14:textId="77777777" w:rsidR="00404F11" w:rsidRPr="00215191" w:rsidRDefault="00404F11" w:rsidP="00404F11">
      <w:pPr>
        <w:pStyle w:val="Header"/>
        <w:tabs>
          <w:tab w:val="num" w:pos="1080"/>
        </w:tabs>
        <w:rPr>
          <w:szCs w:val="24"/>
        </w:rPr>
      </w:pPr>
    </w:p>
    <w:p w14:paraId="2412D14D" w14:textId="5EC481CB" w:rsidR="00F83B6F" w:rsidRPr="00215191" w:rsidRDefault="006E527B" w:rsidP="00A34D89">
      <w:pPr>
        <w:pStyle w:val="Header"/>
        <w:tabs>
          <w:tab w:val="num" w:pos="1080"/>
        </w:tabs>
      </w:pPr>
      <w:r>
        <w:rPr>
          <w:szCs w:val="24"/>
        </w:rPr>
        <w:t xml:space="preserve">The </w:t>
      </w:r>
      <w:r w:rsidR="007E0017" w:rsidRPr="00215191">
        <w:rPr>
          <w:szCs w:val="24"/>
        </w:rPr>
        <w:t xml:space="preserve">Schedule </w:t>
      </w:r>
      <w:r w:rsidR="000E1EB3">
        <w:rPr>
          <w:szCs w:val="24"/>
        </w:rPr>
        <w:t>lists</w:t>
      </w:r>
      <w:r w:rsidR="007E0017" w:rsidRPr="00215191">
        <w:rPr>
          <w:szCs w:val="24"/>
        </w:rPr>
        <w:t xml:space="preserve"> items </w:t>
      </w:r>
      <w:r w:rsidR="009B2D35">
        <w:rPr>
          <w:szCs w:val="24"/>
        </w:rPr>
        <w:t>59302 and 59305</w:t>
      </w:r>
      <w:r w:rsidR="00A155F1">
        <w:rPr>
          <w:szCs w:val="24"/>
        </w:rPr>
        <w:t xml:space="preserve"> for 3DBT services</w:t>
      </w:r>
      <w:r w:rsidR="009B2D35">
        <w:rPr>
          <w:szCs w:val="24"/>
        </w:rPr>
        <w:t>.</w:t>
      </w:r>
      <w:r w:rsidR="00F83B6F" w:rsidRPr="00215191">
        <w:rPr>
          <w:b/>
          <w:sz w:val="28"/>
          <w:szCs w:val="28"/>
        </w:rPr>
        <w:br w:type="page"/>
      </w:r>
    </w:p>
    <w:p w14:paraId="2412D14E" w14:textId="77777777" w:rsidR="00A17F2C" w:rsidRPr="00B86A9F" w:rsidRDefault="00A17F2C" w:rsidP="000337CB">
      <w:pPr>
        <w:spacing w:before="360" w:after="120"/>
        <w:jc w:val="center"/>
        <w:rPr>
          <w:b/>
          <w:sz w:val="28"/>
          <w:szCs w:val="28"/>
        </w:rPr>
      </w:pPr>
      <w:r w:rsidRPr="00B86A9F">
        <w:rPr>
          <w:b/>
          <w:sz w:val="28"/>
          <w:szCs w:val="28"/>
        </w:rPr>
        <w:lastRenderedPageBreak/>
        <w:t>Statement of Compatibility with Human Rights</w:t>
      </w:r>
    </w:p>
    <w:p w14:paraId="2412D14F" w14:textId="77777777" w:rsidR="00A17F2C" w:rsidRPr="00B86A9F" w:rsidRDefault="00A17F2C" w:rsidP="000337CB">
      <w:pPr>
        <w:spacing w:before="120" w:after="120"/>
        <w:jc w:val="center"/>
        <w:rPr>
          <w:szCs w:val="24"/>
        </w:rPr>
      </w:pPr>
      <w:r w:rsidRPr="00B86A9F">
        <w:rPr>
          <w:i/>
          <w:szCs w:val="24"/>
        </w:rPr>
        <w:t>Prepared in accordance with Part 3 of the Human Rights (Parliamentary Scrutiny) Act 2011</w:t>
      </w:r>
    </w:p>
    <w:p w14:paraId="2412D150" w14:textId="77777777" w:rsidR="00A17F2C" w:rsidRPr="00B86A9F" w:rsidRDefault="00A17F2C" w:rsidP="000337CB">
      <w:pPr>
        <w:spacing w:before="120" w:after="120"/>
        <w:jc w:val="center"/>
        <w:rPr>
          <w:szCs w:val="24"/>
        </w:rPr>
      </w:pPr>
    </w:p>
    <w:p w14:paraId="3A52A4B2" w14:textId="54EBB746" w:rsidR="00C6094D" w:rsidRPr="00FD602D" w:rsidRDefault="00FD602D" w:rsidP="00447E92">
      <w:pPr>
        <w:jc w:val="center"/>
        <w:rPr>
          <w:b/>
          <w:i/>
          <w:szCs w:val="24"/>
        </w:rPr>
      </w:pPr>
      <w:r w:rsidRPr="00FD602D">
        <w:rPr>
          <w:b/>
          <w:i/>
          <w:iCs/>
        </w:rPr>
        <w:t xml:space="preserve">Health Insurance (Section 3C </w:t>
      </w:r>
      <w:r w:rsidR="00EF629C">
        <w:rPr>
          <w:b/>
          <w:i/>
          <w:iCs/>
        </w:rPr>
        <w:t>Diagnostic</w:t>
      </w:r>
      <w:r w:rsidR="00EF629C" w:rsidRPr="00FD602D">
        <w:rPr>
          <w:b/>
          <w:i/>
          <w:iCs/>
        </w:rPr>
        <w:t xml:space="preserve"> </w:t>
      </w:r>
      <w:r w:rsidR="00EF629C">
        <w:rPr>
          <w:b/>
          <w:i/>
          <w:iCs/>
        </w:rPr>
        <w:t>Imaging</w:t>
      </w:r>
      <w:r w:rsidR="00EF629C" w:rsidRPr="00FD602D">
        <w:rPr>
          <w:b/>
          <w:i/>
          <w:iCs/>
        </w:rPr>
        <w:t xml:space="preserve"> </w:t>
      </w:r>
      <w:r w:rsidRPr="00FD602D">
        <w:rPr>
          <w:b/>
          <w:i/>
          <w:iCs/>
        </w:rPr>
        <w:t>Services</w:t>
      </w:r>
      <w:r w:rsidR="002748F8">
        <w:rPr>
          <w:b/>
          <w:i/>
          <w:iCs/>
        </w:rPr>
        <w:t xml:space="preserve"> – </w:t>
      </w:r>
      <w:r w:rsidR="009B2D35" w:rsidRPr="009B2D35">
        <w:rPr>
          <w:b/>
          <w:i/>
          <w:iCs/>
        </w:rPr>
        <w:t xml:space="preserve">3D </w:t>
      </w:r>
      <w:r w:rsidR="00C71B5C">
        <w:rPr>
          <w:b/>
          <w:i/>
          <w:iCs/>
        </w:rPr>
        <w:t>B</w:t>
      </w:r>
      <w:r w:rsidR="009B2D35" w:rsidRPr="009B2D35">
        <w:rPr>
          <w:b/>
          <w:i/>
          <w:iCs/>
        </w:rPr>
        <w:t xml:space="preserve">reast </w:t>
      </w:r>
      <w:r w:rsidR="00C71B5C">
        <w:rPr>
          <w:b/>
          <w:i/>
          <w:iCs/>
        </w:rPr>
        <w:t>T</w:t>
      </w:r>
      <w:r w:rsidR="009B2D35" w:rsidRPr="009B2D35">
        <w:rPr>
          <w:b/>
          <w:i/>
          <w:iCs/>
        </w:rPr>
        <w:t>omosynthesis</w:t>
      </w:r>
      <w:r w:rsidRPr="00FD602D">
        <w:rPr>
          <w:b/>
          <w:i/>
          <w:iCs/>
        </w:rPr>
        <w:t>) Determination 2018</w:t>
      </w:r>
      <w:r w:rsidR="00A34D89" w:rsidRPr="00FD602D">
        <w:rPr>
          <w:b/>
          <w:i/>
          <w:szCs w:val="24"/>
        </w:rPr>
        <w:br/>
      </w:r>
    </w:p>
    <w:p w14:paraId="2412D153" w14:textId="1B242C70" w:rsidR="00A17F2C" w:rsidRPr="00B86A9F" w:rsidRDefault="00A17F2C" w:rsidP="000337CB">
      <w:pPr>
        <w:jc w:val="center"/>
        <w:rPr>
          <w:szCs w:val="24"/>
        </w:rPr>
      </w:pPr>
      <w:r w:rsidRPr="00B86A9F">
        <w:rPr>
          <w:szCs w:val="24"/>
        </w:rPr>
        <w:t xml:space="preserve">This </w:t>
      </w:r>
      <w:r w:rsidR="00A90EE0" w:rsidRPr="00B86A9F">
        <w:rPr>
          <w:szCs w:val="24"/>
        </w:rPr>
        <w:t>Determination</w:t>
      </w:r>
      <w:r w:rsidRPr="00B86A9F">
        <w:rPr>
          <w:szCs w:val="24"/>
        </w:rPr>
        <w:t xml:space="preserve"> is compatible with the human rights and freedoms recognised or declared in the international instruments listed in section 3 of the </w:t>
      </w:r>
      <w:r w:rsidRPr="00B86A9F">
        <w:rPr>
          <w:i/>
          <w:szCs w:val="24"/>
        </w:rPr>
        <w:t>Human Rights (Parliamentary Scrutiny) Act 2011</w:t>
      </w:r>
      <w:r w:rsidRPr="00B86A9F">
        <w:rPr>
          <w:szCs w:val="24"/>
        </w:rPr>
        <w:t>.</w:t>
      </w:r>
    </w:p>
    <w:p w14:paraId="2412D154" w14:textId="77777777" w:rsidR="00A17F2C" w:rsidRPr="00EB601D" w:rsidRDefault="00A17F2C" w:rsidP="000337CB">
      <w:pPr>
        <w:jc w:val="center"/>
        <w:rPr>
          <w:szCs w:val="24"/>
          <w:highlight w:val="yellow"/>
        </w:rPr>
      </w:pPr>
    </w:p>
    <w:p w14:paraId="7EDA9098" w14:textId="306A78E1" w:rsidR="006E6BBF" w:rsidRPr="00B86A9F" w:rsidRDefault="006E6BBF" w:rsidP="008734F5">
      <w:pPr>
        <w:spacing w:before="120" w:after="120"/>
        <w:rPr>
          <w:b/>
          <w:szCs w:val="24"/>
        </w:rPr>
      </w:pPr>
      <w:r w:rsidRPr="00B86A9F">
        <w:rPr>
          <w:b/>
          <w:szCs w:val="24"/>
        </w:rPr>
        <w:t xml:space="preserve">Overview of the </w:t>
      </w:r>
      <w:r w:rsidR="00B86A9F" w:rsidRPr="00B86A9F">
        <w:rPr>
          <w:b/>
          <w:szCs w:val="24"/>
        </w:rPr>
        <w:t>Determination</w:t>
      </w:r>
    </w:p>
    <w:p w14:paraId="52BBEB12" w14:textId="181D358A" w:rsidR="008A7E13" w:rsidRDefault="002852B2" w:rsidP="008A7E13">
      <w:pPr>
        <w:rPr>
          <w:szCs w:val="24"/>
        </w:rPr>
      </w:pPr>
      <w:r w:rsidRPr="00CD4A21">
        <w:rPr>
          <w:szCs w:val="24"/>
        </w:rPr>
        <w:t xml:space="preserve">The </w:t>
      </w:r>
      <w:r>
        <w:rPr>
          <w:szCs w:val="24"/>
        </w:rPr>
        <w:t xml:space="preserve">purpose of the </w:t>
      </w:r>
      <w:r w:rsidRPr="00A13D83">
        <w:rPr>
          <w:i/>
          <w:iCs/>
        </w:rPr>
        <w:t xml:space="preserve">Health Insurance (Section 3C </w:t>
      </w:r>
      <w:r>
        <w:rPr>
          <w:i/>
          <w:iCs/>
        </w:rPr>
        <w:t>Diagnostic Imaging</w:t>
      </w:r>
      <w:r w:rsidRPr="00A13D83">
        <w:rPr>
          <w:i/>
          <w:iCs/>
        </w:rPr>
        <w:t xml:space="preserve"> Services</w:t>
      </w:r>
      <w:r w:rsidR="002748F8">
        <w:rPr>
          <w:i/>
          <w:iCs/>
        </w:rPr>
        <w:t xml:space="preserve"> – </w:t>
      </w:r>
      <w:r w:rsidRPr="00E33C6E">
        <w:rPr>
          <w:i/>
          <w:iCs/>
        </w:rPr>
        <w:t>3D Breast Tomosynthesis</w:t>
      </w:r>
      <w:r w:rsidRPr="00A13D83">
        <w:rPr>
          <w:i/>
          <w:iCs/>
        </w:rPr>
        <w:t>) Determination 2018</w:t>
      </w:r>
      <w:r>
        <w:rPr>
          <w:szCs w:val="24"/>
        </w:rPr>
        <w:t xml:space="preserve"> (the Determination) is to enable two </w:t>
      </w:r>
      <w:r w:rsidR="00EA6E1E">
        <w:rPr>
          <w:szCs w:val="24"/>
        </w:rPr>
        <w:t>interim</w:t>
      </w:r>
      <w:r>
        <w:rPr>
          <w:szCs w:val="24"/>
        </w:rPr>
        <w:t xml:space="preserve"> items </w:t>
      </w:r>
      <w:r w:rsidRPr="00E33C6E">
        <w:rPr>
          <w:szCs w:val="24"/>
        </w:rPr>
        <w:t>for three dimensio</w:t>
      </w:r>
      <w:r>
        <w:rPr>
          <w:szCs w:val="24"/>
        </w:rPr>
        <w:t xml:space="preserve">nal breast tomosynthesis (3DBT) </w:t>
      </w:r>
      <w:r w:rsidR="00EA6E1E">
        <w:rPr>
          <w:szCs w:val="24"/>
        </w:rPr>
        <w:t xml:space="preserve">mammography </w:t>
      </w:r>
      <w:r>
        <w:rPr>
          <w:szCs w:val="24"/>
        </w:rPr>
        <w:t>services</w:t>
      </w:r>
      <w:r w:rsidRPr="00E33C6E">
        <w:rPr>
          <w:szCs w:val="24"/>
        </w:rPr>
        <w:t>.</w:t>
      </w:r>
      <w:r w:rsidR="008A7E13" w:rsidRPr="008A7E13">
        <w:rPr>
          <w:szCs w:val="24"/>
        </w:rPr>
        <w:t xml:space="preserve"> </w:t>
      </w:r>
      <w:r w:rsidR="008A7E13">
        <w:rPr>
          <w:szCs w:val="24"/>
        </w:rPr>
        <w:t>The services can be performed on patients who have:</w:t>
      </w:r>
    </w:p>
    <w:p w14:paraId="0E35EDC7" w14:textId="77777777" w:rsidR="008A7E13" w:rsidRDefault="008A7E13" w:rsidP="008A7E13">
      <w:pPr>
        <w:pStyle w:val="ListParagraph"/>
        <w:numPr>
          <w:ilvl w:val="0"/>
          <w:numId w:val="26"/>
        </w:numPr>
        <w:rPr>
          <w:szCs w:val="24"/>
        </w:rPr>
      </w:pPr>
      <w:r w:rsidRPr="00061046">
        <w:rPr>
          <w:szCs w:val="24"/>
        </w:rPr>
        <w:t>symptoms or indications of breast malignancy</w:t>
      </w:r>
      <w:r>
        <w:rPr>
          <w:szCs w:val="24"/>
        </w:rPr>
        <w:t>; and</w:t>
      </w:r>
    </w:p>
    <w:p w14:paraId="0763FEF3" w14:textId="7BE35DF5" w:rsidR="002852B2" w:rsidRPr="008A7E13" w:rsidRDefault="008A7E13" w:rsidP="008A7E13">
      <w:pPr>
        <w:pStyle w:val="ListParagraph"/>
        <w:numPr>
          <w:ilvl w:val="0"/>
          <w:numId w:val="26"/>
        </w:numPr>
        <w:rPr>
          <w:szCs w:val="24"/>
        </w:rPr>
      </w:pPr>
      <w:r>
        <w:rPr>
          <w:szCs w:val="24"/>
        </w:rPr>
        <w:t xml:space="preserve">are at a higher risk due to past occurrence of </w:t>
      </w:r>
      <w:r w:rsidRPr="00061046">
        <w:rPr>
          <w:szCs w:val="24"/>
        </w:rPr>
        <w:t>breast malignancy</w:t>
      </w:r>
      <w:r>
        <w:rPr>
          <w:szCs w:val="24"/>
        </w:rPr>
        <w:t xml:space="preserve"> in the patient or the patient’s family.</w:t>
      </w:r>
    </w:p>
    <w:p w14:paraId="364E235A" w14:textId="77777777" w:rsidR="008A7E13" w:rsidRDefault="008A7E13" w:rsidP="008A7E13">
      <w:pPr>
        <w:rPr>
          <w:szCs w:val="24"/>
        </w:rPr>
      </w:pPr>
    </w:p>
    <w:p w14:paraId="031977FA" w14:textId="77777777" w:rsidR="008A7E13" w:rsidRPr="00261010" w:rsidRDefault="008A7E13" w:rsidP="008A7E13">
      <w:pPr>
        <w:rPr>
          <w:szCs w:val="24"/>
        </w:rPr>
      </w:pPr>
      <w:r w:rsidRPr="00261010">
        <w:rPr>
          <w:szCs w:val="24"/>
        </w:rPr>
        <w:t xml:space="preserve">3DBT is a relatively new digital mammography technology that produces a 3D image of the breast by using several x-rays obtained at different angles. </w:t>
      </w:r>
    </w:p>
    <w:p w14:paraId="031C586A" w14:textId="77777777" w:rsidR="008A7E13" w:rsidRPr="00261010" w:rsidRDefault="008A7E13" w:rsidP="008A7E13">
      <w:pPr>
        <w:rPr>
          <w:szCs w:val="24"/>
        </w:rPr>
      </w:pPr>
    </w:p>
    <w:p w14:paraId="71787C86" w14:textId="77777777" w:rsidR="008A7E13" w:rsidRPr="00261010" w:rsidRDefault="008A7E13" w:rsidP="008A7E13">
      <w:pPr>
        <w:rPr>
          <w:szCs w:val="24"/>
        </w:rPr>
      </w:pPr>
      <w:r w:rsidRPr="00261010">
        <w:rPr>
          <w:szCs w:val="24"/>
        </w:rPr>
        <w:t xml:space="preserve">Providers have been using a combination of existing items, including items for plain film tomography (items 60100 and 60101), in order to enable patients to claim a </w:t>
      </w:r>
      <w:r>
        <w:rPr>
          <w:szCs w:val="24"/>
        </w:rPr>
        <w:t xml:space="preserve">benefit </w:t>
      </w:r>
      <w:r w:rsidRPr="00261010">
        <w:rPr>
          <w:szCs w:val="24"/>
        </w:rPr>
        <w:t xml:space="preserve">for providing a 3DBT service.  </w:t>
      </w:r>
    </w:p>
    <w:p w14:paraId="34A52787" w14:textId="77777777" w:rsidR="00EA6E1E" w:rsidRDefault="00EA6E1E" w:rsidP="002852B2">
      <w:pPr>
        <w:rPr>
          <w:szCs w:val="24"/>
        </w:rPr>
      </w:pPr>
    </w:p>
    <w:p w14:paraId="20AC6BFA" w14:textId="1A09094E" w:rsidR="00C81956" w:rsidRDefault="008A7E13" w:rsidP="00EA6E1E">
      <w:pPr>
        <w:rPr>
          <w:szCs w:val="24"/>
        </w:rPr>
      </w:pPr>
      <w:r w:rsidRPr="00261010">
        <w:rPr>
          <w:szCs w:val="24"/>
        </w:rPr>
        <w:t xml:space="preserve">Despite being an established practice, it is an evolution in technology that is </w:t>
      </w:r>
      <w:r>
        <w:rPr>
          <w:szCs w:val="24"/>
        </w:rPr>
        <w:t xml:space="preserve">still </w:t>
      </w:r>
      <w:r w:rsidRPr="00261010">
        <w:rPr>
          <w:szCs w:val="24"/>
        </w:rPr>
        <w:t>to be assessed by the Medical Services Advisory Committee (MSAC). The Diagnostic Imaging Clinical Committee, a subcommittee of the Medica</w:t>
      </w:r>
      <w:r w:rsidR="00926587">
        <w:rPr>
          <w:szCs w:val="24"/>
        </w:rPr>
        <w:t>re</w:t>
      </w:r>
      <w:bookmarkStart w:id="0" w:name="_GoBack"/>
      <w:bookmarkEnd w:id="0"/>
      <w:r w:rsidRPr="00261010">
        <w:rPr>
          <w:szCs w:val="24"/>
        </w:rPr>
        <w:t xml:space="preserve"> Benefits Schedule Review Taskforce</w:t>
      </w:r>
      <w:r>
        <w:rPr>
          <w:szCs w:val="24"/>
        </w:rPr>
        <w:t xml:space="preserve"> (the Taskforce)</w:t>
      </w:r>
      <w:r w:rsidRPr="00261010">
        <w:rPr>
          <w:szCs w:val="24"/>
        </w:rPr>
        <w:t xml:space="preserve">, </w:t>
      </w:r>
      <w:r>
        <w:rPr>
          <w:szCs w:val="24"/>
        </w:rPr>
        <w:t xml:space="preserve">found that </w:t>
      </w:r>
      <w:r w:rsidRPr="00261010">
        <w:rPr>
          <w:szCs w:val="24"/>
        </w:rPr>
        <w:t xml:space="preserve">plain tomography </w:t>
      </w:r>
      <w:r>
        <w:rPr>
          <w:szCs w:val="24"/>
        </w:rPr>
        <w:t xml:space="preserve">items would have been obsolete if not for their use on 3DBT. </w:t>
      </w:r>
    </w:p>
    <w:p w14:paraId="36020950" w14:textId="77777777" w:rsidR="00C81956" w:rsidRDefault="00C81956" w:rsidP="00EA6E1E">
      <w:pPr>
        <w:rPr>
          <w:szCs w:val="24"/>
        </w:rPr>
      </w:pPr>
    </w:p>
    <w:p w14:paraId="2F134144" w14:textId="307A14DA" w:rsidR="00EA6E1E" w:rsidRDefault="00EA6E1E" w:rsidP="00EA6E1E">
      <w:pPr>
        <w:rPr>
          <w:szCs w:val="24"/>
        </w:rPr>
      </w:pPr>
      <w:r>
        <w:rPr>
          <w:szCs w:val="24"/>
        </w:rPr>
        <w:t>The Taskforce recommend</w:t>
      </w:r>
      <w:r w:rsidR="0062074E">
        <w:rPr>
          <w:szCs w:val="24"/>
        </w:rPr>
        <w:t>ed</w:t>
      </w:r>
      <w:r>
        <w:rPr>
          <w:szCs w:val="24"/>
        </w:rPr>
        <w:t xml:space="preserve"> the listing of two new interim items</w:t>
      </w:r>
      <w:r w:rsidRPr="00261010">
        <w:rPr>
          <w:szCs w:val="24"/>
        </w:rPr>
        <w:t xml:space="preserve"> for 3DBT </w:t>
      </w:r>
      <w:r>
        <w:rPr>
          <w:szCs w:val="24"/>
        </w:rPr>
        <w:t xml:space="preserve">to </w:t>
      </w:r>
      <w:r w:rsidRPr="00261010">
        <w:rPr>
          <w:szCs w:val="24"/>
        </w:rPr>
        <w:t xml:space="preserve">enable providers to appropriately </w:t>
      </w:r>
      <w:r>
        <w:rPr>
          <w:szCs w:val="24"/>
        </w:rPr>
        <w:t>provide</w:t>
      </w:r>
      <w:r w:rsidRPr="00261010">
        <w:rPr>
          <w:szCs w:val="24"/>
        </w:rPr>
        <w:t xml:space="preserve"> the service while</w:t>
      </w:r>
      <w:r>
        <w:rPr>
          <w:szCs w:val="24"/>
        </w:rPr>
        <w:t xml:space="preserve"> the </w:t>
      </w:r>
      <w:r w:rsidR="00C81956">
        <w:rPr>
          <w:szCs w:val="24"/>
        </w:rPr>
        <w:t xml:space="preserve">MSAC </w:t>
      </w:r>
      <w:r w:rsidRPr="00261010">
        <w:rPr>
          <w:szCs w:val="24"/>
        </w:rPr>
        <w:t>considers long term funding.</w:t>
      </w:r>
    </w:p>
    <w:p w14:paraId="06BF0993" w14:textId="6C875AD5" w:rsidR="008A7E13" w:rsidRPr="00261010" w:rsidRDefault="008A7E13" w:rsidP="00EA6E1E">
      <w:pPr>
        <w:rPr>
          <w:szCs w:val="24"/>
        </w:rPr>
      </w:pPr>
    </w:p>
    <w:p w14:paraId="2412D15C" w14:textId="258F961E" w:rsidR="00A17F2C" w:rsidRPr="00B86A9F" w:rsidRDefault="00A17F2C" w:rsidP="008734F5">
      <w:pPr>
        <w:spacing w:before="120" w:after="120"/>
        <w:rPr>
          <w:b/>
          <w:szCs w:val="24"/>
        </w:rPr>
      </w:pPr>
      <w:r w:rsidRPr="00B86A9F">
        <w:rPr>
          <w:b/>
          <w:szCs w:val="24"/>
        </w:rPr>
        <w:t>Human rights implications</w:t>
      </w:r>
    </w:p>
    <w:p w14:paraId="2412D15D" w14:textId="71E7135C" w:rsidR="00A17F2C" w:rsidRPr="00B86A9F" w:rsidRDefault="008B683E" w:rsidP="000337CB">
      <w:pPr>
        <w:spacing w:before="120" w:after="120"/>
        <w:rPr>
          <w:szCs w:val="24"/>
        </w:rPr>
      </w:pPr>
      <w:r w:rsidRPr="00B86A9F">
        <w:rPr>
          <w:szCs w:val="24"/>
        </w:rPr>
        <w:t>Th</w:t>
      </w:r>
      <w:r w:rsidR="00C743D2">
        <w:rPr>
          <w:szCs w:val="24"/>
        </w:rPr>
        <w:t>is</w:t>
      </w:r>
      <w:r w:rsidRPr="00B86A9F">
        <w:rPr>
          <w:szCs w:val="24"/>
        </w:rPr>
        <w:t xml:space="preserve"> </w:t>
      </w:r>
      <w:r w:rsidR="006E6BBF" w:rsidRPr="00B86A9F">
        <w:rPr>
          <w:szCs w:val="24"/>
        </w:rPr>
        <w:t>Determination</w:t>
      </w:r>
      <w:r w:rsidR="00A17F2C" w:rsidRPr="00B86A9F">
        <w:rPr>
          <w:szCs w:val="24"/>
        </w:rPr>
        <w:t xml:space="preserve"> engage</w:t>
      </w:r>
      <w:r w:rsidR="006E6BBF" w:rsidRPr="00B86A9F">
        <w:rPr>
          <w:szCs w:val="24"/>
        </w:rPr>
        <w:t>s</w:t>
      </w:r>
      <w:r w:rsidR="00A17F2C" w:rsidRPr="00B86A9F">
        <w:rPr>
          <w:szCs w:val="24"/>
        </w:rPr>
        <w:t xml:space="preserve"> Articles </w:t>
      </w:r>
      <w:r w:rsidR="002B7177" w:rsidRPr="00B86A9F">
        <w:rPr>
          <w:szCs w:val="24"/>
        </w:rPr>
        <w:t xml:space="preserve">9 </w:t>
      </w:r>
      <w:r w:rsidR="00A17F2C" w:rsidRPr="00B86A9F">
        <w:rPr>
          <w:szCs w:val="24"/>
        </w:rPr>
        <w:t xml:space="preserve">and 12 of the International Covenant on Economic Social and Cultural Rights (ICESCR), specifically the rights to health and social security. </w:t>
      </w:r>
    </w:p>
    <w:p w14:paraId="2412D15E" w14:textId="05832345" w:rsidR="00A17F2C" w:rsidRPr="00B86A9F" w:rsidRDefault="00A17F2C" w:rsidP="000337CB">
      <w:pPr>
        <w:spacing w:before="120" w:after="120"/>
        <w:rPr>
          <w:i/>
          <w:szCs w:val="24"/>
        </w:rPr>
      </w:pPr>
      <w:r w:rsidRPr="00B86A9F">
        <w:rPr>
          <w:i/>
          <w:szCs w:val="24"/>
        </w:rPr>
        <w:t>The Right to Health</w:t>
      </w:r>
    </w:p>
    <w:p w14:paraId="2412D15F" w14:textId="77777777" w:rsidR="00A17F2C" w:rsidRPr="00B86A9F" w:rsidRDefault="00A17F2C" w:rsidP="000337CB">
      <w:pPr>
        <w:spacing w:before="120" w:after="120"/>
        <w:rPr>
          <w:szCs w:val="24"/>
        </w:rPr>
      </w:pPr>
      <w:r w:rsidRPr="00B86A9F">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2412D160" w14:textId="77777777" w:rsidR="00A17F2C" w:rsidRPr="00B86A9F" w:rsidRDefault="00A17F2C" w:rsidP="000337CB">
      <w:pPr>
        <w:spacing w:before="120" w:after="120"/>
        <w:rPr>
          <w:szCs w:val="24"/>
        </w:rPr>
      </w:pPr>
      <w:r w:rsidRPr="00B86A9F">
        <w:rPr>
          <w:szCs w:val="24"/>
        </w:rPr>
        <w:lastRenderedPageBreak/>
        <w:t xml:space="preserve">The Committee reports that the </w:t>
      </w:r>
      <w:r w:rsidRPr="00B86A9F">
        <w:rPr>
          <w:i/>
          <w:szCs w:val="24"/>
        </w:rPr>
        <w:t>‘highest attainable standard of health’</w:t>
      </w:r>
      <w:r w:rsidRPr="00B86A9F">
        <w:rPr>
          <w:szCs w:val="24"/>
        </w:rPr>
        <w:t xml:space="preserve"> takes into account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77777777" w:rsidR="00A17F2C" w:rsidRPr="00B86A9F" w:rsidRDefault="00A17F2C" w:rsidP="000337CB">
      <w:pPr>
        <w:spacing w:before="120" w:after="120"/>
        <w:rPr>
          <w:i/>
          <w:szCs w:val="24"/>
        </w:rPr>
      </w:pPr>
      <w:r w:rsidRPr="00B86A9F">
        <w:rPr>
          <w:i/>
          <w:szCs w:val="24"/>
        </w:rPr>
        <w:t xml:space="preserve">The Right to Social Security </w:t>
      </w:r>
    </w:p>
    <w:p w14:paraId="2412D162" w14:textId="77777777" w:rsidR="00A17F2C" w:rsidRPr="00B86A9F" w:rsidRDefault="00A17F2C" w:rsidP="000337CB">
      <w:pPr>
        <w:spacing w:before="120" w:after="120"/>
        <w:rPr>
          <w:szCs w:val="24"/>
        </w:rPr>
      </w:pPr>
      <w:r w:rsidRPr="00B86A9F">
        <w:rPr>
          <w:szCs w:val="24"/>
        </w:rPr>
        <w:t>The right to social security is contained in Article 9 of the ICESCR. It requires that a country must, within its maximum available resources, ensure access to a social security scheme that</w:t>
      </w:r>
      <w:r w:rsidR="00BA69CB" w:rsidRPr="00B86A9F">
        <w:rPr>
          <w:szCs w:val="24"/>
        </w:rPr>
        <w:t xml:space="preserve"> </w:t>
      </w:r>
      <w:r w:rsidRPr="00B86A9F">
        <w:rPr>
          <w:szCs w:val="24"/>
        </w:rPr>
        <w:t>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w:t>
      </w:r>
    </w:p>
    <w:p w14:paraId="2412D163" w14:textId="288E17B8" w:rsidR="00735CCC" w:rsidRPr="00B86A9F" w:rsidRDefault="00A17F2C" w:rsidP="000337CB">
      <w:pPr>
        <w:spacing w:before="120" w:after="120"/>
        <w:rPr>
          <w:szCs w:val="24"/>
        </w:rPr>
      </w:pPr>
      <w:r w:rsidRPr="00B86A9F">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2412D164" w14:textId="4B566F87" w:rsidR="00A17F2C" w:rsidRPr="00B86A9F" w:rsidRDefault="00A17F2C" w:rsidP="000337CB">
      <w:pPr>
        <w:spacing w:before="120" w:after="120"/>
        <w:rPr>
          <w:szCs w:val="24"/>
          <w:u w:val="single"/>
        </w:rPr>
      </w:pPr>
      <w:r w:rsidRPr="00B86A9F">
        <w:rPr>
          <w:szCs w:val="24"/>
          <w:u w:val="single"/>
        </w:rPr>
        <w:t xml:space="preserve">Analysis </w:t>
      </w:r>
    </w:p>
    <w:p w14:paraId="72B0BBE7" w14:textId="375BBDAE" w:rsidR="00E21297" w:rsidRDefault="009F0715" w:rsidP="00302F5C">
      <w:pPr>
        <w:rPr>
          <w:szCs w:val="24"/>
        </w:rPr>
      </w:pPr>
      <w:r w:rsidRPr="00B86A9F">
        <w:rPr>
          <w:szCs w:val="24"/>
        </w:rPr>
        <w:t xml:space="preserve">This Determination </w:t>
      </w:r>
      <w:r w:rsidR="000D1A87" w:rsidRPr="00B86A9F">
        <w:rPr>
          <w:szCs w:val="24"/>
        </w:rPr>
        <w:t>advance</w:t>
      </w:r>
      <w:r w:rsidR="006D33F6">
        <w:rPr>
          <w:szCs w:val="24"/>
        </w:rPr>
        <w:t>s the</w:t>
      </w:r>
      <w:r w:rsidR="000D1A87" w:rsidRPr="00B86A9F">
        <w:rPr>
          <w:szCs w:val="24"/>
        </w:rPr>
        <w:t xml:space="preserve"> </w:t>
      </w:r>
      <w:r w:rsidRPr="00B86A9F">
        <w:rPr>
          <w:szCs w:val="24"/>
        </w:rPr>
        <w:t>right</w:t>
      </w:r>
      <w:r w:rsidR="006D33F6">
        <w:rPr>
          <w:szCs w:val="24"/>
        </w:rPr>
        <w:t xml:space="preserve"> </w:t>
      </w:r>
      <w:r w:rsidRPr="00B86A9F">
        <w:rPr>
          <w:szCs w:val="24"/>
        </w:rPr>
        <w:t xml:space="preserve">to health and </w:t>
      </w:r>
      <w:r w:rsidR="006D33F6">
        <w:rPr>
          <w:szCs w:val="24"/>
        </w:rPr>
        <w:t xml:space="preserve">the right to </w:t>
      </w:r>
      <w:r w:rsidRPr="00B86A9F">
        <w:rPr>
          <w:szCs w:val="24"/>
        </w:rPr>
        <w:t>social security by ensuring access to publicly subsidised health services which are clinically effective</w:t>
      </w:r>
      <w:r w:rsidR="00E17001" w:rsidRPr="00B86A9F">
        <w:rPr>
          <w:szCs w:val="24"/>
        </w:rPr>
        <w:t>, safe</w:t>
      </w:r>
      <w:r w:rsidRPr="00B86A9F">
        <w:rPr>
          <w:szCs w:val="24"/>
        </w:rPr>
        <w:t xml:space="preserve"> and cost-effective.</w:t>
      </w:r>
      <w:r w:rsidR="00910EF6">
        <w:rPr>
          <w:szCs w:val="24"/>
        </w:rPr>
        <w:t xml:space="preserve"> </w:t>
      </w:r>
    </w:p>
    <w:p w14:paraId="2412D166" w14:textId="1973400E" w:rsidR="00A17F2C" w:rsidRPr="00B86A9F" w:rsidRDefault="00A17F2C" w:rsidP="004B7CB9">
      <w:pPr>
        <w:spacing w:before="120" w:after="120" w:line="276" w:lineRule="auto"/>
        <w:rPr>
          <w:rFonts w:eastAsia="Calibri"/>
          <w:b/>
          <w:szCs w:val="24"/>
          <w:lang w:eastAsia="en-US"/>
        </w:rPr>
      </w:pPr>
      <w:r w:rsidRPr="00B86A9F">
        <w:rPr>
          <w:rFonts w:eastAsia="Calibri"/>
          <w:b/>
          <w:szCs w:val="24"/>
          <w:lang w:eastAsia="en-US"/>
        </w:rPr>
        <w:t xml:space="preserve">Conclusion </w:t>
      </w:r>
    </w:p>
    <w:p w14:paraId="2412D167" w14:textId="0A313D60" w:rsidR="00A17F2C" w:rsidRPr="00B86A9F" w:rsidRDefault="006E6BBF" w:rsidP="000337CB">
      <w:pPr>
        <w:rPr>
          <w:szCs w:val="24"/>
        </w:rPr>
      </w:pPr>
      <w:r w:rsidRPr="00B86A9F">
        <w:rPr>
          <w:szCs w:val="24"/>
        </w:rPr>
        <w:t xml:space="preserve">This </w:t>
      </w:r>
      <w:r w:rsidR="00B86A9F">
        <w:rPr>
          <w:szCs w:val="24"/>
        </w:rPr>
        <w:t>Determination</w:t>
      </w:r>
      <w:r w:rsidRPr="00B86A9F">
        <w:rPr>
          <w:szCs w:val="24"/>
        </w:rPr>
        <w:t xml:space="preserve"> </w:t>
      </w:r>
      <w:r w:rsidR="00F15284" w:rsidRPr="00B86A9F">
        <w:rPr>
          <w:szCs w:val="24"/>
        </w:rPr>
        <w:t xml:space="preserve">is compatible with human rights as it has a positive effect on </w:t>
      </w:r>
      <w:r w:rsidR="00910EF6">
        <w:rPr>
          <w:szCs w:val="24"/>
        </w:rPr>
        <w:t xml:space="preserve">the right to health and the right to social security. </w:t>
      </w:r>
    </w:p>
    <w:p w14:paraId="2412D168" w14:textId="77777777" w:rsidR="00F15284" w:rsidRPr="00B86A9F" w:rsidRDefault="00F15284" w:rsidP="000337CB">
      <w:pPr>
        <w:rPr>
          <w:rFonts w:eastAsia="Calibri"/>
          <w:szCs w:val="24"/>
          <w:lang w:eastAsia="en-US"/>
        </w:rPr>
      </w:pPr>
    </w:p>
    <w:p w14:paraId="4DAA4EF0" w14:textId="77777777" w:rsidR="00B86A9F" w:rsidRDefault="00B86A9F" w:rsidP="00B86A9F">
      <w:pPr>
        <w:jc w:val="center"/>
        <w:rPr>
          <w:b/>
        </w:rPr>
      </w:pPr>
      <w:r>
        <w:rPr>
          <w:b/>
        </w:rPr>
        <w:t>Celia Street</w:t>
      </w:r>
    </w:p>
    <w:p w14:paraId="19A3356A" w14:textId="77777777" w:rsidR="00B86A9F" w:rsidRPr="00D67E0A" w:rsidRDefault="00B86A9F" w:rsidP="00B86A9F">
      <w:pPr>
        <w:jc w:val="center"/>
        <w:rPr>
          <w:b/>
        </w:rPr>
      </w:pPr>
      <w:r w:rsidRPr="00D67E0A">
        <w:rPr>
          <w:b/>
        </w:rPr>
        <w:t>Assistant Secretary</w:t>
      </w:r>
    </w:p>
    <w:p w14:paraId="2544F063" w14:textId="77777777" w:rsidR="00B86A9F" w:rsidRDefault="00B86A9F" w:rsidP="00B86A9F">
      <w:pPr>
        <w:jc w:val="center"/>
        <w:rPr>
          <w:b/>
        </w:rPr>
      </w:pPr>
      <w:r w:rsidRPr="00990EDD">
        <w:rPr>
          <w:b/>
        </w:rPr>
        <w:t xml:space="preserve">Diagnostic Imaging and Pathology Branch  </w:t>
      </w:r>
    </w:p>
    <w:p w14:paraId="60C6C760" w14:textId="77777777" w:rsidR="00B86A9F" w:rsidRPr="00D67E0A" w:rsidRDefault="00B86A9F" w:rsidP="00B86A9F">
      <w:pPr>
        <w:jc w:val="center"/>
        <w:rPr>
          <w:b/>
        </w:rPr>
      </w:pPr>
      <w:r w:rsidRPr="00D67E0A">
        <w:rPr>
          <w:b/>
        </w:rPr>
        <w:t>Medical Benefits Division</w:t>
      </w:r>
    </w:p>
    <w:p w14:paraId="44DB9DAB" w14:textId="77777777" w:rsidR="00B86A9F" w:rsidRPr="00C5724B" w:rsidRDefault="00B86A9F" w:rsidP="00B86A9F">
      <w:pPr>
        <w:jc w:val="center"/>
        <w:rPr>
          <w:b/>
        </w:rPr>
      </w:pPr>
      <w:r w:rsidRPr="00D67E0A">
        <w:rPr>
          <w:b/>
        </w:rPr>
        <w:t>Department of Health</w:t>
      </w:r>
    </w:p>
    <w:p w14:paraId="2412D16E" w14:textId="77777777" w:rsidR="00636C51" w:rsidRPr="0020245D" w:rsidRDefault="00636C51" w:rsidP="009A26CA">
      <w:pPr>
        <w:spacing w:before="120" w:after="120" w:line="276" w:lineRule="auto"/>
        <w:rPr>
          <w:rFonts w:eastAsia="Calibri"/>
          <w:szCs w:val="24"/>
          <w:lang w:eastAsia="en-US"/>
        </w:rPr>
      </w:pPr>
    </w:p>
    <w:sectPr w:rsidR="00636C51" w:rsidRPr="0020245D" w:rsidSect="00D664A9">
      <w:headerReference w:type="even" r:id="rId13"/>
      <w:headerReference w:type="default" r:id="rId14"/>
      <w:headerReference w:type="first" r:id="rId15"/>
      <w:pgSz w:w="11906" w:h="16838"/>
      <w:pgMar w:top="1440" w:right="1133"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68256" w14:textId="77777777" w:rsidR="00183C10" w:rsidRDefault="00183C10">
      <w:r>
        <w:separator/>
      </w:r>
    </w:p>
  </w:endnote>
  <w:endnote w:type="continuationSeparator" w:id="0">
    <w:p w14:paraId="20718AEE" w14:textId="77777777" w:rsidR="00183C10" w:rsidRDefault="0018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0692" w14:textId="77777777" w:rsidR="00183C10" w:rsidRDefault="00183C10">
      <w:r>
        <w:separator/>
      </w:r>
    </w:p>
  </w:footnote>
  <w:footnote w:type="continuationSeparator" w:id="0">
    <w:p w14:paraId="5F92F2AF" w14:textId="77777777" w:rsidR="00183C10" w:rsidRDefault="0018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D176" w14:textId="77777777" w:rsidR="00A1739A" w:rsidRDefault="00A1739A" w:rsidP="00BD6F5F">
    <w:pPr>
      <w:pStyle w:val="Header"/>
      <w:jc w:val="center"/>
    </w:pPr>
    <w:r>
      <w:fldChar w:fldCharType="begin"/>
    </w:r>
    <w:r>
      <w:instrText xml:space="preserve"> PAGE  \* Arabic  \* MERGEFORMAT </w:instrText>
    </w:r>
    <w:r>
      <w:fldChar w:fldCharType="separate"/>
    </w:r>
    <w:r w:rsidR="00926587">
      <w:rPr>
        <w:noProof/>
      </w:rPr>
      <w:t>2</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27589"/>
      <w:docPartObj>
        <w:docPartGallery w:val="Page Numbers (Top of Page)"/>
        <w:docPartUnique/>
      </w:docPartObj>
    </w:sdtPr>
    <w:sdtEndPr>
      <w:rPr>
        <w:noProof/>
      </w:rPr>
    </w:sdtEndPr>
    <w:sdtContent>
      <w:p w14:paraId="2412D17A" w14:textId="77777777" w:rsidR="00E23B6B" w:rsidRDefault="00E23B6B">
        <w:pPr>
          <w:pStyle w:val="Header"/>
          <w:jc w:val="center"/>
        </w:pPr>
        <w:r>
          <w:fldChar w:fldCharType="begin"/>
        </w:r>
        <w:r>
          <w:instrText xml:space="preserve"> PAGE   \* MERGEFORMAT </w:instrText>
        </w:r>
        <w:r>
          <w:fldChar w:fldCharType="separate"/>
        </w:r>
        <w:r w:rsidR="00926587">
          <w:rPr>
            <w:noProof/>
          </w:rPr>
          <w:t>2</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89212"/>
      <w:docPartObj>
        <w:docPartGallery w:val="Page Numbers (Top of Page)"/>
        <w:docPartUnique/>
      </w:docPartObj>
    </w:sdtPr>
    <w:sdtEndPr>
      <w:rPr>
        <w:noProof/>
      </w:rPr>
    </w:sdtEndPr>
    <w:sdtContent>
      <w:p w14:paraId="2412D17C" w14:textId="77777777" w:rsidR="00E23B6B" w:rsidRDefault="00E23B6B">
        <w:pPr>
          <w:pStyle w:val="Header"/>
          <w:jc w:val="center"/>
        </w:pPr>
        <w:r>
          <w:fldChar w:fldCharType="begin"/>
        </w:r>
        <w:r>
          <w:instrText xml:space="preserve"> PAGE   \* MERGEFORMAT </w:instrText>
        </w:r>
        <w:r>
          <w:fldChar w:fldCharType="separate"/>
        </w:r>
        <w:r w:rsidR="00926587">
          <w:rPr>
            <w:noProof/>
          </w:rPr>
          <w:t>1</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A004631"/>
    <w:multiLevelType w:val="hybridMultilevel"/>
    <w:tmpl w:val="15B0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2C1336"/>
    <w:multiLevelType w:val="hybridMultilevel"/>
    <w:tmpl w:val="87D8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17">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3">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10"/>
  </w:num>
  <w:num w:numId="5">
    <w:abstractNumId w:val="15"/>
  </w:num>
  <w:num w:numId="6">
    <w:abstractNumId w:val="8"/>
  </w:num>
  <w:num w:numId="7">
    <w:abstractNumId w:val="24"/>
  </w:num>
  <w:num w:numId="8">
    <w:abstractNumId w:val="5"/>
  </w:num>
  <w:num w:numId="9">
    <w:abstractNumId w:val="4"/>
  </w:num>
  <w:num w:numId="10">
    <w:abstractNumId w:val="25"/>
  </w:num>
  <w:num w:numId="11">
    <w:abstractNumId w:val="23"/>
  </w:num>
  <w:num w:numId="12">
    <w:abstractNumId w:val="12"/>
  </w:num>
  <w:num w:numId="13">
    <w:abstractNumId w:val="14"/>
  </w:num>
  <w:num w:numId="14">
    <w:abstractNumId w:val="22"/>
  </w:num>
  <w:num w:numId="15">
    <w:abstractNumId w:val="6"/>
  </w:num>
  <w:num w:numId="16">
    <w:abstractNumId w:val="17"/>
  </w:num>
  <w:num w:numId="17">
    <w:abstractNumId w:val="20"/>
  </w:num>
  <w:num w:numId="18">
    <w:abstractNumId w:val="18"/>
  </w:num>
  <w:num w:numId="19">
    <w:abstractNumId w:val="3"/>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7"/>
  </w:num>
  <w:num w:numId="26">
    <w:abstractNumId w:val="13"/>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1"/>
    <w:rsid w:val="00000DEE"/>
    <w:rsid w:val="00001CCE"/>
    <w:rsid w:val="00003D66"/>
    <w:rsid w:val="0000441D"/>
    <w:rsid w:val="00004E17"/>
    <w:rsid w:val="00005906"/>
    <w:rsid w:val="00007B65"/>
    <w:rsid w:val="00014639"/>
    <w:rsid w:val="00014B38"/>
    <w:rsid w:val="00014E40"/>
    <w:rsid w:val="00016774"/>
    <w:rsid w:val="000203B4"/>
    <w:rsid w:val="00021EFA"/>
    <w:rsid w:val="00024158"/>
    <w:rsid w:val="00025F64"/>
    <w:rsid w:val="0002704E"/>
    <w:rsid w:val="0002728B"/>
    <w:rsid w:val="00027830"/>
    <w:rsid w:val="0003079C"/>
    <w:rsid w:val="000319EF"/>
    <w:rsid w:val="00033034"/>
    <w:rsid w:val="000337CB"/>
    <w:rsid w:val="0003591F"/>
    <w:rsid w:val="00041849"/>
    <w:rsid w:val="0004426E"/>
    <w:rsid w:val="00044A2A"/>
    <w:rsid w:val="000509BA"/>
    <w:rsid w:val="0005224B"/>
    <w:rsid w:val="0005533C"/>
    <w:rsid w:val="00061046"/>
    <w:rsid w:val="00063242"/>
    <w:rsid w:val="000640CF"/>
    <w:rsid w:val="00064BA4"/>
    <w:rsid w:val="00067F59"/>
    <w:rsid w:val="000710DD"/>
    <w:rsid w:val="0007187A"/>
    <w:rsid w:val="000727E0"/>
    <w:rsid w:val="00073983"/>
    <w:rsid w:val="00073BC9"/>
    <w:rsid w:val="00076C34"/>
    <w:rsid w:val="00076FE3"/>
    <w:rsid w:val="00080116"/>
    <w:rsid w:val="00081188"/>
    <w:rsid w:val="0008151A"/>
    <w:rsid w:val="00081C37"/>
    <w:rsid w:val="0009514A"/>
    <w:rsid w:val="000969EF"/>
    <w:rsid w:val="000A199B"/>
    <w:rsid w:val="000A31F2"/>
    <w:rsid w:val="000A45BE"/>
    <w:rsid w:val="000A467F"/>
    <w:rsid w:val="000A6FB3"/>
    <w:rsid w:val="000A7B9B"/>
    <w:rsid w:val="000B3452"/>
    <w:rsid w:val="000C1226"/>
    <w:rsid w:val="000C12EE"/>
    <w:rsid w:val="000C3D8A"/>
    <w:rsid w:val="000C46E6"/>
    <w:rsid w:val="000C4B3D"/>
    <w:rsid w:val="000C5BA2"/>
    <w:rsid w:val="000C6797"/>
    <w:rsid w:val="000C6FF8"/>
    <w:rsid w:val="000C7FE1"/>
    <w:rsid w:val="000D1325"/>
    <w:rsid w:val="000D1A87"/>
    <w:rsid w:val="000D2300"/>
    <w:rsid w:val="000D3B79"/>
    <w:rsid w:val="000D7803"/>
    <w:rsid w:val="000E0C87"/>
    <w:rsid w:val="000E1ACD"/>
    <w:rsid w:val="000E1EB3"/>
    <w:rsid w:val="000E3444"/>
    <w:rsid w:val="000E4AFA"/>
    <w:rsid w:val="000E534F"/>
    <w:rsid w:val="000E66FA"/>
    <w:rsid w:val="000E7163"/>
    <w:rsid w:val="000F14A0"/>
    <w:rsid w:val="000F1575"/>
    <w:rsid w:val="000F1714"/>
    <w:rsid w:val="000F249E"/>
    <w:rsid w:val="000F2AFC"/>
    <w:rsid w:val="000F37A0"/>
    <w:rsid w:val="000F5E76"/>
    <w:rsid w:val="000F6853"/>
    <w:rsid w:val="001000CE"/>
    <w:rsid w:val="00104751"/>
    <w:rsid w:val="0010617D"/>
    <w:rsid w:val="00106763"/>
    <w:rsid w:val="00107F36"/>
    <w:rsid w:val="0011066E"/>
    <w:rsid w:val="00113B2E"/>
    <w:rsid w:val="00120766"/>
    <w:rsid w:val="00121189"/>
    <w:rsid w:val="00121A66"/>
    <w:rsid w:val="00132087"/>
    <w:rsid w:val="00134B27"/>
    <w:rsid w:val="00135D0D"/>
    <w:rsid w:val="001400C4"/>
    <w:rsid w:val="00141323"/>
    <w:rsid w:val="00141E8C"/>
    <w:rsid w:val="00143943"/>
    <w:rsid w:val="00145918"/>
    <w:rsid w:val="00145D25"/>
    <w:rsid w:val="00145DED"/>
    <w:rsid w:val="001519E4"/>
    <w:rsid w:val="00154FC4"/>
    <w:rsid w:val="0015521F"/>
    <w:rsid w:val="001641C0"/>
    <w:rsid w:val="0016646C"/>
    <w:rsid w:val="00167DA1"/>
    <w:rsid w:val="0017187F"/>
    <w:rsid w:val="00174E96"/>
    <w:rsid w:val="001770D9"/>
    <w:rsid w:val="0017759F"/>
    <w:rsid w:val="0018012F"/>
    <w:rsid w:val="00180742"/>
    <w:rsid w:val="00181B3E"/>
    <w:rsid w:val="00181F74"/>
    <w:rsid w:val="00183C10"/>
    <w:rsid w:val="0018451D"/>
    <w:rsid w:val="001865F8"/>
    <w:rsid w:val="001867EA"/>
    <w:rsid w:val="00187EE5"/>
    <w:rsid w:val="00190FC9"/>
    <w:rsid w:val="001926AD"/>
    <w:rsid w:val="0019289B"/>
    <w:rsid w:val="001929C3"/>
    <w:rsid w:val="0019464A"/>
    <w:rsid w:val="00195A6A"/>
    <w:rsid w:val="001965DA"/>
    <w:rsid w:val="0019711F"/>
    <w:rsid w:val="001978CE"/>
    <w:rsid w:val="001A4BE2"/>
    <w:rsid w:val="001A5BC0"/>
    <w:rsid w:val="001A7249"/>
    <w:rsid w:val="001A7EF8"/>
    <w:rsid w:val="001B0111"/>
    <w:rsid w:val="001B3714"/>
    <w:rsid w:val="001B5ED9"/>
    <w:rsid w:val="001B66AF"/>
    <w:rsid w:val="001B7092"/>
    <w:rsid w:val="001C1B86"/>
    <w:rsid w:val="001C35BC"/>
    <w:rsid w:val="001C5FC1"/>
    <w:rsid w:val="001C6713"/>
    <w:rsid w:val="001D6B46"/>
    <w:rsid w:val="001D778A"/>
    <w:rsid w:val="001D7D62"/>
    <w:rsid w:val="001E014D"/>
    <w:rsid w:val="001E2D6D"/>
    <w:rsid w:val="001E3B02"/>
    <w:rsid w:val="001E5391"/>
    <w:rsid w:val="001E5787"/>
    <w:rsid w:val="001E57BC"/>
    <w:rsid w:val="001E5DE7"/>
    <w:rsid w:val="001E63F3"/>
    <w:rsid w:val="001E7C25"/>
    <w:rsid w:val="001F0923"/>
    <w:rsid w:val="001F1F27"/>
    <w:rsid w:val="00200145"/>
    <w:rsid w:val="002003CA"/>
    <w:rsid w:val="002003F7"/>
    <w:rsid w:val="00200971"/>
    <w:rsid w:val="0020245D"/>
    <w:rsid w:val="00203952"/>
    <w:rsid w:val="00203F23"/>
    <w:rsid w:val="00204413"/>
    <w:rsid w:val="00210EE7"/>
    <w:rsid w:val="00213177"/>
    <w:rsid w:val="00215191"/>
    <w:rsid w:val="00216C44"/>
    <w:rsid w:val="00217EBF"/>
    <w:rsid w:val="00220EE3"/>
    <w:rsid w:val="00221C4B"/>
    <w:rsid w:val="002227DF"/>
    <w:rsid w:val="00222F76"/>
    <w:rsid w:val="0022342C"/>
    <w:rsid w:val="0022384B"/>
    <w:rsid w:val="00225B50"/>
    <w:rsid w:val="00225D8E"/>
    <w:rsid w:val="002264F4"/>
    <w:rsid w:val="002322A8"/>
    <w:rsid w:val="0023311C"/>
    <w:rsid w:val="00233BEB"/>
    <w:rsid w:val="00236DF2"/>
    <w:rsid w:val="0024152E"/>
    <w:rsid w:val="00242974"/>
    <w:rsid w:val="00244D84"/>
    <w:rsid w:val="00250061"/>
    <w:rsid w:val="00250642"/>
    <w:rsid w:val="00251E4A"/>
    <w:rsid w:val="00251F50"/>
    <w:rsid w:val="00253E30"/>
    <w:rsid w:val="0025493F"/>
    <w:rsid w:val="00257E4D"/>
    <w:rsid w:val="00261010"/>
    <w:rsid w:val="00262865"/>
    <w:rsid w:val="00263279"/>
    <w:rsid w:val="002643FC"/>
    <w:rsid w:val="00274073"/>
    <w:rsid w:val="002748F8"/>
    <w:rsid w:val="0027545F"/>
    <w:rsid w:val="0027610D"/>
    <w:rsid w:val="00281918"/>
    <w:rsid w:val="00284483"/>
    <w:rsid w:val="00285256"/>
    <w:rsid w:val="002852B2"/>
    <w:rsid w:val="00287AEF"/>
    <w:rsid w:val="00287B08"/>
    <w:rsid w:val="00290B98"/>
    <w:rsid w:val="002944D4"/>
    <w:rsid w:val="00296763"/>
    <w:rsid w:val="0029737E"/>
    <w:rsid w:val="00297AD0"/>
    <w:rsid w:val="002A0CC8"/>
    <w:rsid w:val="002A3243"/>
    <w:rsid w:val="002A5CDF"/>
    <w:rsid w:val="002A68B3"/>
    <w:rsid w:val="002B2AC5"/>
    <w:rsid w:val="002B2E78"/>
    <w:rsid w:val="002B49DE"/>
    <w:rsid w:val="002B4E4D"/>
    <w:rsid w:val="002B53D3"/>
    <w:rsid w:val="002B7177"/>
    <w:rsid w:val="002C4F5B"/>
    <w:rsid w:val="002C54A1"/>
    <w:rsid w:val="002C5DCD"/>
    <w:rsid w:val="002D03AB"/>
    <w:rsid w:val="002D2A4E"/>
    <w:rsid w:val="002D5294"/>
    <w:rsid w:val="002D5DFC"/>
    <w:rsid w:val="002D5E92"/>
    <w:rsid w:val="002D6269"/>
    <w:rsid w:val="002D629A"/>
    <w:rsid w:val="002E12C3"/>
    <w:rsid w:val="002E3493"/>
    <w:rsid w:val="002E35BF"/>
    <w:rsid w:val="002E5F5C"/>
    <w:rsid w:val="002E6FD5"/>
    <w:rsid w:val="002E7D88"/>
    <w:rsid w:val="002F0434"/>
    <w:rsid w:val="002F1707"/>
    <w:rsid w:val="002F2F33"/>
    <w:rsid w:val="002F3A26"/>
    <w:rsid w:val="002F449C"/>
    <w:rsid w:val="002F4CD2"/>
    <w:rsid w:val="002F6069"/>
    <w:rsid w:val="002F7549"/>
    <w:rsid w:val="00301D49"/>
    <w:rsid w:val="003025C7"/>
    <w:rsid w:val="00302F5C"/>
    <w:rsid w:val="00304080"/>
    <w:rsid w:val="0031124D"/>
    <w:rsid w:val="00312ED1"/>
    <w:rsid w:val="00313554"/>
    <w:rsid w:val="00317B55"/>
    <w:rsid w:val="0032155B"/>
    <w:rsid w:val="003239D0"/>
    <w:rsid w:val="00324908"/>
    <w:rsid w:val="0033493D"/>
    <w:rsid w:val="00337856"/>
    <w:rsid w:val="00337DE1"/>
    <w:rsid w:val="00340BDB"/>
    <w:rsid w:val="00340E39"/>
    <w:rsid w:val="00341145"/>
    <w:rsid w:val="003412CB"/>
    <w:rsid w:val="0035214B"/>
    <w:rsid w:val="003527D6"/>
    <w:rsid w:val="00353351"/>
    <w:rsid w:val="00353622"/>
    <w:rsid w:val="00357CD8"/>
    <w:rsid w:val="0036105C"/>
    <w:rsid w:val="00361ADE"/>
    <w:rsid w:val="00363306"/>
    <w:rsid w:val="0036495A"/>
    <w:rsid w:val="00366C2C"/>
    <w:rsid w:val="00367440"/>
    <w:rsid w:val="00370BE6"/>
    <w:rsid w:val="00371F67"/>
    <w:rsid w:val="00375E39"/>
    <w:rsid w:val="003760ED"/>
    <w:rsid w:val="003775D7"/>
    <w:rsid w:val="00380CBA"/>
    <w:rsid w:val="00381278"/>
    <w:rsid w:val="0038127E"/>
    <w:rsid w:val="00384080"/>
    <w:rsid w:val="00386C22"/>
    <w:rsid w:val="003876E6"/>
    <w:rsid w:val="00391AFA"/>
    <w:rsid w:val="003937EF"/>
    <w:rsid w:val="00393E9B"/>
    <w:rsid w:val="00396AE5"/>
    <w:rsid w:val="00397A97"/>
    <w:rsid w:val="003A280D"/>
    <w:rsid w:val="003A5A70"/>
    <w:rsid w:val="003A6230"/>
    <w:rsid w:val="003A6299"/>
    <w:rsid w:val="003B1976"/>
    <w:rsid w:val="003B20B7"/>
    <w:rsid w:val="003B27BA"/>
    <w:rsid w:val="003B366C"/>
    <w:rsid w:val="003B38C1"/>
    <w:rsid w:val="003B59A9"/>
    <w:rsid w:val="003B6B63"/>
    <w:rsid w:val="003B7C31"/>
    <w:rsid w:val="003C02D4"/>
    <w:rsid w:val="003C37E3"/>
    <w:rsid w:val="003C4CBD"/>
    <w:rsid w:val="003C546B"/>
    <w:rsid w:val="003C7719"/>
    <w:rsid w:val="003D0FBD"/>
    <w:rsid w:val="003D2A6D"/>
    <w:rsid w:val="003E005B"/>
    <w:rsid w:val="003E04DA"/>
    <w:rsid w:val="003E1249"/>
    <w:rsid w:val="003E3544"/>
    <w:rsid w:val="003E35A8"/>
    <w:rsid w:val="003E4124"/>
    <w:rsid w:val="003E77CB"/>
    <w:rsid w:val="003F47FD"/>
    <w:rsid w:val="003F4B52"/>
    <w:rsid w:val="003F73BA"/>
    <w:rsid w:val="003F73F0"/>
    <w:rsid w:val="00401423"/>
    <w:rsid w:val="00403105"/>
    <w:rsid w:val="00404F11"/>
    <w:rsid w:val="00405890"/>
    <w:rsid w:val="00405EF4"/>
    <w:rsid w:val="00411365"/>
    <w:rsid w:val="0041237F"/>
    <w:rsid w:val="00412B6C"/>
    <w:rsid w:val="00414613"/>
    <w:rsid w:val="00415B19"/>
    <w:rsid w:val="0041767B"/>
    <w:rsid w:val="00420205"/>
    <w:rsid w:val="00421D5F"/>
    <w:rsid w:val="00422831"/>
    <w:rsid w:val="00424197"/>
    <w:rsid w:val="00425F40"/>
    <w:rsid w:val="004265AA"/>
    <w:rsid w:val="00426A8D"/>
    <w:rsid w:val="00430861"/>
    <w:rsid w:val="00432D4D"/>
    <w:rsid w:val="00433DCE"/>
    <w:rsid w:val="00437B1B"/>
    <w:rsid w:val="004405B8"/>
    <w:rsid w:val="004417A2"/>
    <w:rsid w:val="00442F9D"/>
    <w:rsid w:val="00444A0A"/>
    <w:rsid w:val="00444EDF"/>
    <w:rsid w:val="004456A4"/>
    <w:rsid w:val="00445A6D"/>
    <w:rsid w:val="00446A6B"/>
    <w:rsid w:val="00447E92"/>
    <w:rsid w:val="0045189C"/>
    <w:rsid w:val="004636B4"/>
    <w:rsid w:val="004641DC"/>
    <w:rsid w:val="00464AC7"/>
    <w:rsid w:val="004669A4"/>
    <w:rsid w:val="00466A5B"/>
    <w:rsid w:val="0046799A"/>
    <w:rsid w:val="0047494B"/>
    <w:rsid w:val="00475A85"/>
    <w:rsid w:val="00476F13"/>
    <w:rsid w:val="00480561"/>
    <w:rsid w:val="004806B3"/>
    <w:rsid w:val="00481E5E"/>
    <w:rsid w:val="004828A9"/>
    <w:rsid w:val="004849DE"/>
    <w:rsid w:val="00484A65"/>
    <w:rsid w:val="00484E4F"/>
    <w:rsid w:val="004876DF"/>
    <w:rsid w:val="00492341"/>
    <w:rsid w:val="00492DBE"/>
    <w:rsid w:val="004962CC"/>
    <w:rsid w:val="00497EC1"/>
    <w:rsid w:val="004A0313"/>
    <w:rsid w:val="004A0A89"/>
    <w:rsid w:val="004A0BE6"/>
    <w:rsid w:val="004A2249"/>
    <w:rsid w:val="004A26E0"/>
    <w:rsid w:val="004A524A"/>
    <w:rsid w:val="004A56D3"/>
    <w:rsid w:val="004A6B0F"/>
    <w:rsid w:val="004B1ECE"/>
    <w:rsid w:val="004B38C8"/>
    <w:rsid w:val="004B5C2E"/>
    <w:rsid w:val="004B7CB9"/>
    <w:rsid w:val="004C10BA"/>
    <w:rsid w:val="004C27EB"/>
    <w:rsid w:val="004C357A"/>
    <w:rsid w:val="004C405B"/>
    <w:rsid w:val="004C5B35"/>
    <w:rsid w:val="004C68D1"/>
    <w:rsid w:val="004C6AE7"/>
    <w:rsid w:val="004C72E8"/>
    <w:rsid w:val="004D04DF"/>
    <w:rsid w:val="004D1BF4"/>
    <w:rsid w:val="004D460E"/>
    <w:rsid w:val="004D480B"/>
    <w:rsid w:val="004D7821"/>
    <w:rsid w:val="004E10C5"/>
    <w:rsid w:val="004E22A7"/>
    <w:rsid w:val="004E39E6"/>
    <w:rsid w:val="004E71DC"/>
    <w:rsid w:val="004E7F97"/>
    <w:rsid w:val="004F1563"/>
    <w:rsid w:val="004F20B0"/>
    <w:rsid w:val="004F7682"/>
    <w:rsid w:val="005012BC"/>
    <w:rsid w:val="00502156"/>
    <w:rsid w:val="00502277"/>
    <w:rsid w:val="005042B5"/>
    <w:rsid w:val="00505C67"/>
    <w:rsid w:val="00510A4F"/>
    <w:rsid w:val="005119E9"/>
    <w:rsid w:val="00512A65"/>
    <w:rsid w:val="005130BE"/>
    <w:rsid w:val="005140F2"/>
    <w:rsid w:val="0051709B"/>
    <w:rsid w:val="00517B83"/>
    <w:rsid w:val="0052165A"/>
    <w:rsid w:val="00521802"/>
    <w:rsid w:val="0052430B"/>
    <w:rsid w:val="00525D51"/>
    <w:rsid w:val="00526699"/>
    <w:rsid w:val="00532CD3"/>
    <w:rsid w:val="005345A9"/>
    <w:rsid w:val="00534D8A"/>
    <w:rsid w:val="0054004F"/>
    <w:rsid w:val="00542913"/>
    <w:rsid w:val="005440E4"/>
    <w:rsid w:val="005452CD"/>
    <w:rsid w:val="00546DB4"/>
    <w:rsid w:val="005474A5"/>
    <w:rsid w:val="00547D82"/>
    <w:rsid w:val="005504B4"/>
    <w:rsid w:val="00550DAB"/>
    <w:rsid w:val="00552105"/>
    <w:rsid w:val="0055354D"/>
    <w:rsid w:val="00554543"/>
    <w:rsid w:val="005555B8"/>
    <w:rsid w:val="005642D9"/>
    <w:rsid w:val="00564C2B"/>
    <w:rsid w:val="00564C37"/>
    <w:rsid w:val="00564D84"/>
    <w:rsid w:val="00570F2B"/>
    <w:rsid w:val="0057258C"/>
    <w:rsid w:val="00573651"/>
    <w:rsid w:val="00574E71"/>
    <w:rsid w:val="005757C1"/>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B0EA3"/>
    <w:rsid w:val="005B1B0A"/>
    <w:rsid w:val="005B1DE5"/>
    <w:rsid w:val="005B5062"/>
    <w:rsid w:val="005B6234"/>
    <w:rsid w:val="005B7596"/>
    <w:rsid w:val="005C4A91"/>
    <w:rsid w:val="005C5824"/>
    <w:rsid w:val="005C6118"/>
    <w:rsid w:val="005D3575"/>
    <w:rsid w:val="005D3CED"/>
    <w:rsid w:val="005D538F"/>
    <w:rsid w:val="005D63D9"/>
    <w:rsid w:val="005D68D1"/>
    <w:rsid w:val="005E293A"/>
    <w:rsid w:val="005E49E7"/>
    <w:rsid w:val="005E56FE"/>
    <w:rsid w:val="005E62D6"/>
    <w:rsid w:val="005E6A82"/>
    <w:rsid w:val="005E7398"/>
    <w:rsid w:val="005F04DC"/>
    <w:rsid w:val="005F0F6C"/>
    <w:rsid w:val="005F1A7F"/>
    <w:rsid w:val="00601165"/>
    <w:rsid w:val="00607971"/>
    <w:rsid w:val="00611A4E"/>
    <w:rsid w:val="006122C0"/>
    <w:rsid w:val="0061281D"/>
    <w:rsid w:val="00613C46"/>
    <w:rsid w:val="00614AAD"/>
    <w:rsid w:val="00616889"/>
    <w:rsid w:val="00617F77"/>
    <w:rsid w:val="0062074E"/>
    <w:rsid w:val="00623004"/>
    <w:rsid w:val="00627C91"/>
    <w:rsid w:val="00635031"/>
    <w:rsid w:val="006369D4"/>
    <w:rsid w:val="00636C51"/>
    <w:rsid w:val="006407FA"/>
    <w:rsid w:val="006427B2"/>
    <w:rsid w:val="00642BEB"/>
    <w:rsid w:val="00647426"/>
    <w:rsid w:val="00647590"/>
    <w:rsid w:val="006526F5"/>
    <w:rsid w:val="00657702"/>
    <w:rsid w:val="006619F5"/>
    <w:rsid w:val="006629F9"/>
    <w:rsid w:val="006639F0"/>
    <w:rsid w:val="0066562D"/>
    <w:rsid w:val="00670998"/>
    <w:rsid w:val="00672050"/>
    <w:rsid w:val="00673872"/>
    <w:rsid w:val="00674A34"/>
    <w:rsid w:val="00685515"/>
    <w:rsid w:val="0068642A"/>
    <w:rsid w:val="00692404"/>
    <w:rsid w:val="00694C76"/>
    <w:rsid w:val="00694F4A"/>
    <w:rsid w:val="006A029B"/>
    <w:rsid w:val="006A17A1"/>
    <w:rsid w:val="006A61C5"/>
    <w:rsid w:val="006B0F31"/>
    <w:rsid w:val="006B13BC"/>
    <w:rsid w:val="006B32FE"/>
    <w:rsid w:val="006B3959"/>
    <w:rsid w:val="006B4B58"/>
    <w:rsid w:val="006B6925"/>
    <w:rsid w:val="006C026A"/>
    <w:rsid w:val="006C138D"/>
    <w:rsid w:val="006C3807"/>
    <w:rsid w:val="006C7491"/>
    <w:rsid w:val="006C761B"/>
    <w:rsid w:val="006C76B5"/>
    <w:rsid w:val="006D03ED"/>
    <w:rsid w:val="006D2B37"/>
    <w:rsid w:val="006D33F6"/>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7B77"/>
    <w:rsid w:val="00707CE9"/>
    <w:rsid w:val="00710055"/>
    <w:rsid w:val="007103BC"/>
    <w:rsid w:val="0071184F"/>
    <w:rsid w:val="00712189"/>
    <w:rsid w:val="007134A2"/>
    <w:rsid w:val="00713FB2"/>
    <w:rsid w:val="00717B45"/>
    <w:rsid w:val="007202C4"/>
    <w:rsid w:val="0072331C"/>
    <w:rsid w:val="00726CFA"/>
    <w:rsid w:val="0072758A"/>
    <w:rsid w:val="007304D5"/>
    <w:rsid w:val="00730965"/>
    <w:rsid w:val="00733599"/>
    <w:rsid w:val="00735753"/>
    <w:rsid w:val="00735CCC"/>
    <w:rsid w:val="007368DC"/>
    <w:rsid w:val="00736AC9"/>
    <w:rsid w:val="00741A4E"/>
    <w:rsid w:val="00742E97"/>
    <w:rsid w:val="007452E0"/>
    <w:rsid w:val="00745BD4"/>
    <w:rsid w:val="00750378"/>
    <w:rsid w:val="007505FB"/>
    <w:rsid w:val="007524B0"/>
    <w:rsid w:val="00752997"/>
    <w:rsid w:val="007533EC"/>
    <w:rsid w:val="00757618"/>
    <w:rsid w:val="00762606"/>
    <w:rsid w:val="00762B45"/>
    <w:rsid w:val="0076544A"/>
    <w:rsid w:val="00767402"/>
    <w:rsid w:val="0077044D"/>
    <w:rsid w:val="00774454"/>
    <w:rsid w:val="00774ABF"/>
    <w:rsid w:val="00776E17"/>
    <w:rsid w:val="00782D07"/>
    <w:rsid w:val="007859F8"/>
    <w:rsid w:val="00791384"/>
    <w:rsid w:val="0079191B"/>
    <w:rsid w:val="00791C27"/>
    <w:rsid w:val="0079239C"/>
    <w:rsid w:val="007934F3"/>
    <w:rsid w:val="00795A80"/>
    <w:rsid w:val="00796464"/>
    <w:rsid w:val="00796F15"/>
    <w:rsid w:val="007A0403"/>
    <w:rsid w:val="007A12F5"/>
    <w:rsid w:val="007A4089"/>
    <w:rsid w:val="007A5936"/>
    <w:rsid w:val="007A5B55"/>
    <w:rsid w:val="007A5F41"/>
    <w:rsid w:val="007A5FEC"/>
    <w:rsid w:val="007B08D1"/>
    <w:rsid w:val="007B161A"/>
    <w:rsid w:val="007B29C6"/>
    <w:rsid w:val="007B37E0"/>
    <w:rsid w:val="007B4EAA"/>
    <w:rsid w:val="007B790F"/>
    <w:rsid w:val="007B7975"/>
    <w:rsid w:val="007C20FA"/>
    <w:rsid w:val="007C27D3"/>
    <w:rsid w:val="007C2C95"/>
    <w:rsid w:val="007C767F"/>
    <w:rsid w:val="007C79FB"/>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4A98"/>
    <w:rsid w:val="00805C3A"/>
    <w:rsid w:val="008061B8"/>
    <w:rsid w:val="008129B1"/>
    <w:rsid w:val="00817A12"/>
    <w:rsid w:val="008237F5"/>
    <w:rsid w:val="0082437E"/>
    <w:rsid w:val="008259FD"/>
    <w:rsid w:val="00825B2C"/>
    <w:rsid w:val="00825D67"/>
    <w:rsid w:val="00826C1C"/>
    <w:rsid w:val="00832E86"/>
    <w:rsid w:val="00833BAB"/>
    <w:rsid w:val="00833FCC"/>
    <w:rsid w:val="008356E6"/>
    <w:rsid w:val="008360AA"/>
    <w:rsid w:val="00837412"/>
    <w:rsid w:val="0084087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45C4"/>
    <w:rsid w:val="00867884"/>
    <w:rsid w:val="008734F5"/>
    <w:rsid w:val="00875104"/>
    <w:rsid w:val="008774D2"/>
    <w:rsid w:val="00880E40"/>
    <w:rsid w:val="00883771"/>
    <w:rsid w:val="00883C9D"/>
    <w:rsid w:val="00883EFE"/>
    <w:rsid w:val="0088635B"/>
    <w:rsid w:val="008869CA"/>
    <w:rsid w:val="008905BA"/>
    <w:rsid w:val="0089513F"/>
    <w:rsid w:val="00895699"/>
    <w:rsid w:val="008A153F"/>
    <w:rsid w:val="008A54A9"/>
    <w:rsid w:val="008A6188"/>
    <w:rsid w:val="008A79C6"/>
    <w:rsid w:val="008A7E13"/>
    <w:rsid w:val="008B28F2"/>
    <w:rsid w:val="008B444F"/>
    <w:rsid w:val="008B683E"/>
    <w:rsid w:val="008C0EF7"/>
    <w:rsid w:val="008C11A2"/>
    <w:rsid w:val="008C20F7"/>
    <w:rsid w:val="008C5F1C"/>
    <w:rsid w:val="008D06D8"/>
    <w:rsid w:val="008D1B01"/>
    <w:rsid w:val="008D25D7"/>
    <w:rsid w:val="008D2A83"/>
    <w:rsid w:val="008D2D7B"/>
    <w:rsid w:val="008D2D98"/>
    <w:rsid w:val="008D44EB"/>
    <w:rsid w:val="008E3E1A"/>
    <w:rsid w:val="008E4039"/>
    <w:rsid w:val="008F0D28"/>
    <w:rsid w:val="008F1AA9"/>
    <w:rsid w:val="008F7C5B"/>
    <w:rsid w:val="009049C0"/>
    <w:rsid w:val="00906257"/>
    <w:rsid w:val="009069D6"/>
    <w:rsid w:val="00910EF6"/>
    <w:rsid w:val="00912380"/>
    <w:rsid w:val="009124F6"/>
    <w:rsid w:val="00912BC1"/>
    <w:rsid w:val="00913B67"/>
    <w:rsid w:val="00915B08"/>
    <w:rsid w:val="00921DD1"/>
    <w:rsid w:val="009225FE"/>
    <w:rsid w:val="00923D31"/>
    <w:rsid w:val="00923F94"/>
    <w:rsid w:val="00926587"/>
    <w:rsid w:val="00926DD3"/>
    <w:rsid w:val="00935308"/>
    <w:rsid w:val="009361FD"/>
    <w:rsid w:val="009406D2"/>
    <w:rsid w:val="00940F17"/>
    <w:rsid w:val="009414C5"/>
    <w:rsid w:val="009427F2"/>
    <w:rsid w:val="00944F64"/>
    <w:rsid w:val="00945CE1"/>
    <w:rsid w:val="009467A8"/>
    <w:rsid w:val="00951A0B"/>
    <w:rsid w:val="00953383"/>
    <w:rsid w:val="009574A8"/>
    <w:rsid w:val="009648F3"/>
    <w:rsid w:val="00964D68"/>
    <w:rsid w:val="00965025"/>
    <w:rsid w:val="009654C8"/>
    <w:rsid w:val="00967E51"/>
    <w:rsid w:val="00971039"/>
    <w:rsid w:val="00971B7B"/>
    <w:rsid w:val="00971D3B"/>
    <w:rsid w:val="00972D48"/>
    <w:rsid w:val="00975E68"/>
    <w:rsid w:val="00977A95"/>
    <w:rsid w:val="00982585"/>
    <w:rsid w:val="00985DC9"/>
    <w:rsid w:val="00985FA9"/>
    <w:rsid w:val="00987A99"/>
    <w:rsid w:val="009902F7"/>
    <w:rsid w:val="0099448D"/>
    <w:rsid w:val="00995A06"/>
    <w:rsid w:val="009A222A"/>
    <w:rsid w:val="009A26CA"/>
    <w:rsid w:val="009A6FE7"/>
    <w:rsid w:val="009B1FD2"/>
    <w:rsid w:val="009B2D35"/>
    <w:rsid w:val="009B3AEB"/>
    <w:rsid w:val="009B7AE2"/>
    <w:rsid w:val="009C3EB5"/>
    <w:rsid w:val="009C42BD"/>
    <w:rsid w:val="009C444B"/>
    <w:rsid w:val="009D3773"/>
    <w:rsid w:val="009D499D"/>
    <w:rsid w:val="009D72AA"/>
    <w:rsid w:val="009D7484"/>
    <w:rsid w:val="009E2AEA"/>
    <w:rsid w:val="009E3183"/>
    <w:rsid w:val="009E36E1"/>
    <w:rsid w:val="009E3783"/>
    <w:rsid w:val="009E3EA3"/>
    <w:rsid w:val="009E3ED4"/>
    <w:rsid w:val="009F0715"/>
    <w:rsid w:val="009F1615"/>
    <w:rsid w:val="009F45FE"/>
    <w:rsid w:val="009F6717"/>
    <w:rsid w:val="00A01F6A"/>
    <w:rsid w:val="00A0321B"/>
    <w:rsid w:val="00A045CA"/>
    <w:rsid w:val="00A04DC3"/>
    <w:rsid w:val="00A0597B"/>
    <w:rsid w:val="00A05DAD"/>
    <w:rsid w:val="00A06FB4"/>
    <w:rsid w:val="00A14878"/>
    <w:rsid w:val="00A155F1"/>
    <w:rsid w:val="00A1707B"/>
    <w:rsid w:val="00A1739A"/>
    <w:rsid w:val="00A17694"/>
    <w:rsid w:val="00A17F2C"/>
    <w:rsid w:val="00A232B9"/>
    <w:rsid w:val="00A33893"/>
    <w:rsid w:val="00A34C9A"/>
    <w:rsid w:val="00A34D89"/>
    <w:rsid w:val="00A41364"/>
    <w:rsid w:val="00A41F72"/>
    <w:rsid w:val="00A44A25"/>
    <w:rsid w:val="00A54891"/>
    <w:rsid w:val="00A54CA1"/>
    <w:rsid w:val="00A56516"/>
    <w:rsid w:val="00A62031"/>
    <w:rsid w:val="00A65D80"/>
    <w:rsid w:val="00A672A7"/>
    <w:rsid w:val="00A714DD"/>
    <w:rsid w:val="00A73044"/>
    <w:rsid w:val="00A7379C"/>
    <w:rsid w:val="00A73CF1"/>
    <w:rsid w:val="00A75C9A"/>
    <w:rsid w:val="00A835D4"/>
    <w:rsid w:val="00A853D1"/>
    <w:rsid w:val="00A85AA3"/>
    <w:rsid w:val="00A86302"/>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B05D5"/>
    <w:rsid w:val="00AB2611"/>
    <w:rsid w:val="00AB35DC"/>
    <w:rsid w:val="00AB419D"/>
    <w:rsid w:val="00AB52D0"/>
    <w:rsid w:val="00AC046B"/>
    <w:rsid w:val="00AC1E16"/>
    <w:rsid w:val="00AC1EDB"/>
    <w:rsid w:val="00AC3582"/>
    <w:rsid w:val="00AC3A0C"/>
    <w:rsid w:val="00AC3EEC"/>
    <w:rsid w:val="00AC50EE"/>
    <w:rsid w:val="00AC54F8"/>
    <w:rsid w:val="00AC57A5"/>
    <w:rsid w:val="00AC681D"/>
    <w:rsid w:val="00AC6FF1"/>
    <w:rsid w:val="00AD0F67"/>
    <w:rsid w:val="00AD1A30"/>
    <w:rsid w:val="00AD7E8E"/>
    <w:rsid w:val="00AE0F81"/>
    <w:rsid w:val="00AE330D"/>
    <w:rsid w:val="00AF134A"/>
    <w:rsid w:val="00AF3563"/>
    <w:rsid w:val="00AF3BCE"/>
    <w:rsid w:val="00AF421C"/>
    <w:rsid w:val="00AF5C05"/>
    <w:rsid w:val="00AF7622"/>
    <w:rsid w:val="00B00238"/>
    <w:rsid w:val="00B019A9"/>
    <w:rsid w:val="00B03218"/>
    <w:rsid w:val="00B03273"/>
    <w:rsid w:val="00B039EC"/>
    <w:rsid w:val="00B07EFF"/>
    <w:rsid w:val="00B10984"/>
    <w:rsid w:val="00B110B5"/>
    <w:rsid w:val="00B14C3A"/>
    <w:rsid w:val="00B167A2"/>
    <w:rsid w:val="00B174E3"/>
    <w:rsid w:val="00B2772E"/>
    <w:rsid w:val="00B27A5B"/>
    <w:rsid w:val="00B316E7"/>
    <w:rsid w:val="00B3398C"/>
    <w:rsid w:val="00B34BDE"/>
    <w:rsid w:val="00B34EF9"/>
    <w:rsid w:val="00B3578F"/>
    <w:rsid w:val="00B35DAD"/>
    <w:rsid w:val="00B36EB3"/>
    <w:rsid w:val="00B41AE8"/>
    <w:rsid w:val="00B445D0"/>
    <w:rsid w:val="00B45C4D"/>
    <w:rsid w:val="00B53FF2"/>
    <w:rsid w:val="00B54620"/>
    <w:rsid w:val="00B55CDD"/>
    <w:rsid w:val="00B56E4F"/>
    <w:rsid w:val="00B6141A"/>
    <w:rsid w:val="00B63345"/>
    <w:rsid w:val="00B63A7A"/>
    <w:rsid w:val="00B652B0"/>
    <w:rsid w:val="00B70D13"/>
    <w:rsid w:val="00B7119B"/>
    <w:rsid w:val="00B71CF1"/>
    <w:rsid w:val="00B72847"/>
    <w:rsid w:val="00B73A3D"/>
    <w:rsid w:val="00B74168"/>
    <w:rsid w:val="00B746F1"/>
    <w:rsid w:val="00B748AE"/>
    <w:rsid w:val="00B75DB2"/>
    <w:rsid w:val="00B7681E"/>
    <w:rsid w:val="00B81EB1"/>
    <w:rsid w:val="00B832A3"/>
    <w:rsid w:val="00B83AFF"/>
    <w:rsid w:val="00B84886"/>
    <w:rsid w:val="00B84958"/>
    <w:rsid w:val="00B86A9F"/>
    <w:rsid w:val="00B910E8"/>
    <w:rsid w:val="00B93137"/>
    <w:rsid w:val="00B9328C"/>
    <w:rsid w:val="00B94CD8"/>
    <w:rsid w:val="00B96F16"/>
    <w:rsid w:val="00B97A54"/>
    <w:rsid w:val="00BA0974"/>
    <w:rsid w:val="00BA3D73"/>
    <w:rsid w:val="00BA58AC"/>
    <w:rsid w:val="00BA67DC"/>
    <w:rsid w:val="00BA69CB"/>
    <w:rsid w:val="00BA7C49"/>
    <w:rsid w:val="00BB00BA"/>
    <w:rsid w:val="00BB112B"/>
    <w:rsid w:val="00BB1B81"/>
    <w:rsid w:val="00BB1CDA"/>
    <w:rsid w:val="00BB25B1"/>
    <w:rsid w:val="00BB2CD8"/>
    <w:rsid w:val="00BB4114"/>
    <w:rsid w:val="00BB49CB"/>
    <w:rsid w:val="00BB6375"/>
    <w:rsid w:val="00BC459E"/>
    <w:rsid w:val="00BC4AAE"/>
    <w:rsid w:val="00BC5DCD"/>
    <w:rsid w:val="00BC626B"/>
    <w:rsid w:val="00BC7397"/>
    <w:rsid w:val="00BD0628"/>
    <w:rsid w:val="00BD304A"/>
    <w:rsid w:val="00BD7FD9"/>
    <w:rsid w:val="00BE1022"/>
    <w:rsid w:val="00BE283F"/>
    <w:rsid w:val="00BE2ECA"/>
    <w:rsid w:val="00BE2EFA"/>
    <w:rsid w:val="00BE597C"/>
    <w:rsid w:val="00BE6870"/>
    <w:rsid w:val="00BE71FD"/>
    <w:rsid w:val="00BE7B19"/>
    <w:rsid w:val="00BF23A6"/>
    <w:rsid w:val="00BF3B3D"/>
    <w:rsid w:val="00BF564D"/>
    <w:rsid w:val="00BF591D"/>
    <w:rsid w:val="00BF5A87"/>
    <w:rsid w:val="00BF6341"/>
    <w:rsid w:val="00C0045E"/>
    <w:rsid w:val="00C00FC7"/>
    <w:rsid w:val="00C00FD8"/>
    <w:rsid w:val="00C05E84"/>
    <w:rsid w:val="00C073E4"/>
    <w:rsid w:val="00C07C34"/>
    <w:rsid w:val="00C107B9"/>
    <w:rsid w:val="00C13962"/>
    <w:rsid w:val="00C154E6"/>
    <w:rsid w:val="00C158B5"/>
    <w:rsid w:val="00C16E23"/>
    <w:rsid w:val="00C2082B"/>
    <w:rsid w:val="00C20DBA"/>
    <w:rsid w:val="00C25BE8"/>
    <w:rsid w:val="00C33771"/>
    <w:rsid w:val="00C3411B"/>
    <w:rsid w:val="00C34230"/>
    <w:rsid w:val="00C3661B"/>
    <w:rsid w:val="00C42112"/>
    <w:rsid w:val="00C435EB"/>
    <w:rsid w:val="00C45768"/>
    <w:rsid w:val="00C4692B"/>
    <w:rsid w:val="00C46A0C"/>
    <w:rsid w:val="00C46DFD"/>
    <w:rsid w:val="00C473F7"/>
    <w:rsid w:val="00C501E5"/>
    <w:rsid w:val="00C5100A"/>
    <w:rsid w:val="00C51884"/>
    <w:rsid w:val="00C549BC"/>
    <w:rsid w:val="00C56251"/>
    <w:rsid w:val="00C5667B"/>
    <w:rsid w:val="00C56A65"/>
    <w:rsid w:val="00C56FE0"/>
    <w:rsid w:val="00C6072B"/>
    <w:rsid w:val="00C6094D"/>
    <w:rsid w:val="00C62733"/>
    <w:rsid w:val="00C62FDC"/>
    <w:rsid w:val="00C71B5C"/>
    <w:rsid w:val="00C724F5"/>
    <w:rsid w:val="00C73066"/>
    <w:rsid w:val="00C743D2"/>
    <w:rsid w:val="00C77A1F"/>
    <w:rsid w:val="00C80647"/>
    <w:rsid w:val="00C80836"/>
    <w:rsid w:val="00C81956"/>
    <w:rsid w:val="00C84DDE"/>
    <w:rsid w:val="00C85162"/>
    <w:rsid w:val="00C87864"/>
    <w:rsid w:val="00C90EAC"/>
    <w:rsid w:val="00C917FD"/>
    <w:rsid w:val="00C93D01"/>
    <w:rsid w:val="00C958FA"/>
    <w:rsid w:val="00C96958"/>
    <w:rsid w:val="00C96A6B"/>
    <w:rsid w:val="00CA6026"/>
    <w:rsid w:val="00CA62C0"/>
    <w:rsid w:val="00CA73CB"/>
    <w:rsid w:val="00CA79BB"/>
    <w:rsid w:val="00CB4161"/>
    <w:rsid w:val="00CB43A2"/>
    <w:rsid w:val="00CB6DE1"/>
    <w:rsid w:val="00CB7730"/>
    <w:rsid w:val="00CC0405"/>
    <w:rsid w:val="00CC12A0"/>
    <w:rsid w:val="00CC20D2"/>
    <w:rsid w:val="00CC26A8"/>
    <w:rsid w:val="00CC4CED"/>
    <w:rsid w:val="00CC6EBB"/>
    <w:rsid w:val="00CD4A21"/>
    <w:rsid w:val="00CE3A6F"/>
    <w:rsid w:val="00CE63F9"/>
    <w:rsid w:val="00CF0A31"/>
    <w:rsid w:val="00CF1E87"/>
    <w:rsid w:val="00CF240F"/>
    <w:rsid w:val="00CF34FA"/>
    <w:rsid w:val="00CF4B5F"/>
    <w:rsid w:val="00CF4FAD"/>
    <w:rsid w:val="00CF5C15"/>
    <w:rsid w:val="00CF6201"/>
    <w:rsid w:val="00CF6B2F"/>
    <w:rsid w:val="00D05CAA"/>
    <w:rsid w:val="00D06129"/>
    <w:rsid w:val="00D114E6"/>
    <w:rsid w:val="00D1198D"/>
    <w:rsid w:val="00D15F17"/>
    <w:rsid w:val="00D161BE"/>
    <w:rsid w:val="00D162D9"/>
    <w:rsid w:val="00D2085B"/>
    <w:rsid w:val="00D30F03"/>
    <w:rsid w:val="00D33180"/>
    <w:rsid w:val="00D34E5E"/>
    <w:rsid w:val="00D4044B"/>
    <w:rsid w:val="00D4046C"/>
    <w:rsid w:val="00D41D2D"/>
    <w:rsid w:val="00D42638"/>
    <w:rsid w:val="00D44316"/>
    <w:rsid w:val="00D448E6"/>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71E2"/>
    <w:rsid w:val="00D67E0A"/>
    <w:rsid w:val="00D75422"/>
    <w:rsid w:val="00D7566A"/>
    <w:rsid w:val="00D85008"/>
    <w:rsid w:val="00D87426"/>
    <w:rsid w:val="00D8754D"/>
    <w:rsid w:val="00D92717"/>
    <w:rsid w:val="00D93E05"/>
    <w:rsid w:val="00D9515D"/>
    <w:rsid w:val="00DA3A08"/>
    <w:rsid w:val="00DA4715"/>
    <w:rsid w:val="00DA62DF"/>
    <w:rsid w:val="00DA7439"/>
    <w:rsid w:val="00DB0DA9"/>
    <w:rsid w:val="00DB108A"/>
    <w:rsid w:val="00DC1776"/>
    <w:rsid w:val="00DC33A5"/>
    <w:rsid w:val="00DC4340"/>
    <w:rsid w:val="00DC7898"/>
    <w:rsid w:val="00DD19F8"/>
    <w:rsid w:val="00DD1C70"/>
    <w:rsid w:val="00DD3239"/>
    <w:rsid w:val="00DE07E4"/>
    <w:rsid w:val="00DE0877"/>
    <w:rsid w:val="00DE0FF8"/>
    <w:rsid w:val="00DE3EBF"/>
    <w:rsid w:val="00DE6D39"/>
    <w:rsid w:val="00DE7345"/>
    <w:rsid w:val="00DF51CA"/>
    <w:rsid w:val="00DF5581"/>
    <w:rsid w:val="00DF7501"/>
    <w:rsid w:val="00DF7936"/>
    <w:rsid w:val="00E04B6F"/>
    <w:rsid w:val="00E13833"/>
    <w:rsid w:val="00E17001"/>
    <w:rsid w:val="00E17406"/>
    <w:rsid w:val="00E20AE5"/>
    <w:rsid w:val="00E20F00"/>
    <w:rsid w:val="00E21297"/>
    <w:rsid w:val="00E23A38"/>
    <w:rsid w:val="00E23B6B"/>
    <w:rsid w:val="00E265A0"/>
    <w:rsid w:val="00E266DE"/>
    <w:rsid w:val="00E311F5"/>
    <w:rsid w:val="00E33C6E"/>
    <w:rsid w:val="00E34BF8"/>
    <w:rsid w:val="00E35B1E"/>
    <w:rsid w:val="00E4250F"/>
    <w:rsid w:val="00E44A7E"/>
    <w:rsid w:val="00E46A7E"/>
    <w:rsid w:val="00E46CE8"/>
    <w:rsid w:val="00E51559"/>
    <w:rsid w:val="00E548DB"/>
    <w:rsid w:val="00E552BD"/>
    <w:rsid w:val="00E55649"/>
    <w:rsid w:val="00E56A50"/>
    <w:rsid w:val="00E5798A"/>
    <w:rsid w:val="00E57A3E"/>
    <w:rsid w:val="00E628D9"/>
    <w:rsid w:val="00E63ADA"/>
    <w:rsid w:val="00E640E0"/>
    <w:rsid w:val="00E645F6"/>
    <w:rsid w:val="00E64C5F"/>
    <w:rsid w:val="00E664F4"/>
    <w:rsid w:val="00E70355"/>
    <w:rsid w:val="00E72855"/>
    <w:rsid w:val="00E7377F"/>
    <w:rsid w:val="00E74710"/>
    <w:rsid w:val="00E74C1D"/>
    <w:rsid w:val="00E81B2F"/>
    <w:rsid w:val="00E844ED"/>
    <w:rsid w:val="00E85810"/>
    <w:rsid w:val="00E85B0A"/>
    <w:rsid w:val="00E90558"/>
    <w:rsid w:val="00E909CD"/>
    <w:rsid w:val="00E92248"/>
    <w:rsid w:val="00E92BD1"/>
    <w:rsid w:val="00E935A1"/>
    <w:rsid w:val="00E93FB6"/>
    <w:rsid w:val="00EA1715"/>
    <w:rsid w:val="00EA2FFB"/>
    <w:rsid w:val="00EA31FD"/>
    <w:rsid w:val="00EA4349"/>
    <w:rsid w:val="00EA4EE4"/>
    <w:rsid w:val="00EA5A32"/>
    <w:rsid w:val="00EA6E1E"/>
    <w:rsid w:val="00EB2F51"/>
    <w:rsid w:val="00EB3BF0"/>
    <w:rsid w:val="00EB601D"/>
    <w:rsid w:val="00EB6CCD"/>
    <w:rsid w:val="00EC0258"/>
    <w:rsid w:val="00EC0273"/>
    <w:rsid w:val="00EC25BA"/>
    <w:rsid w:val="00EC435A"/>
    <w:rsid w:val="00ED0AD5"/>
    <w:rsid w:val="00ED1DE2"/>
    <w:rsid w:val="00ED1F31"/>
    <w:rsid w:val="00ED3630"/>
    <w:rsid w:val="00ED7140"/>
    <w:rsid w:val="00ED77E5"/>
    <w:rsid w:val="00EE026E"/>
    <w:rsid w:val="00EE3C59"/>
    <w:rsid w:val="00EE5B70"/>
    <w:rsid w:val="00EE66B6"/>
    <w:rsid w:val="00EE7B48"/>
    <w:rsid w:val="00EF0AFA"/>
    <w:rsid w:val="00EF38E5"/>
    <w:rsid w:val="00EF5C33"/>
    <w:rsid w:val="00EF629C"/>
    <w:rsid w:val="00EF6AB8"/>
    <w:rsid w:val="00EF7C6E"/>
    <w:rsid w:val="00F012F4"/>
    <w:rsid w:val="00F01632"/>
    <w:rsid w:val="00F0546E"/>
    <w:rsid w:val="00F05E2D"/>
    <w:rsid w:val="00F0625D"/>
    <w:rsid w:val="00F0672D"/>
    <w:rsid w:val="00F072E1"/>
    <w:rsid w:val="00F11185"/>
    <w:rsid w:val="00F11DDA"/>
    <w:rsid w:val="00F12E98"/>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413D8"/>
    <w:rsid w:val="00F42100"/>
    <w:rsid w:val="00F42A9B"/>
    <w:rsid w:val="00F45470"/>
    <w:rsid w:val="00F464FE"/>
    <w:rsid w:val="00F465F9"/>
    <w:rsid w:val="00F47621"/>
    <w:rsid w:val="00F570AB"/>
    <w:rsid w:val="00F57A71"/>
    <w:rsid w:val="00F61C28"/>
    <w:rsid w:val="00F61E69"/>
    <w:rsid w:val="00F633B7"/>
    <w:rsid w:val="00F645F1"/>
    <w:rsid w:val="00F6591A"/>
    <w:rsid w:val="00F70D35"/>
    <w:rsid w:val="00F7546C"/>
    <w:rsid w:val="00F77B00"/>
    <w:rsid w:val="00F83B6F"/>
    <w:rsid w:val="00F84470"/>
    <w:rsid w:val="00F857BC"/>
    <w:rsid w:val="00F90273"/>
    <w:rsid w:val="00F90BD0"/>
    <w:rsid w:val="00F93ACB"/>
    <w:rsid w:val="00F93C4F"/>
    <w:rsid w:val="00F95994"/>
    <w:rsid w:val="00FA240B"/>
    <w:rsid w:val="00FA2524"/>
    <w:rsid w:val="00FA49C5"/>
    <w:rsid w:val="00FA5BD2"/>
    <w:rsid w:val="00FA6175"/>
    <w:rsid w:val="00FA6784"/>
    <w:rsid w:val="00FA7E00"/>
    <w:rsid w:val="00FB1780"/>
    <w:rsid w:val="00FB35C6"/>
    <w:rsid w:val="00FB4C5A"/>
    <w:rsid w:val="00FB5BFA"/>
    <w:rsid w:val="00FB6F79"/>
    <w:rsid w:val="00FC10F6"/>
    <w:rsid w:val="00FC7C25"/>
    <w:rsid w:val="00FD1C2E"/>
    <w:rsid w:val="00FD3574"/>
    <w:rsid w:val="00FD602D"/>
    <w:rsid w:val="00FD60D2"/>
    <w:rsid w:val="00FD6A7D"/>
    <w:rsid w:val="00FD6FC9"/>
    <w:rsid w:val="00FE02C2"/>
    <w:rsid w:val="00FE2D34"/>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412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293101161">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02654-7AE2-4618-95A8-D8C9C03930B2}">
  <ds:schemaRefs>
    <ds:schemaRef ds:uri="http://schemas.microsoft.com/sharepoint/v3/contenttype/forms"/>
  </ds:schemaRefs>
</ds:datastoreItem>
</file>

<file path=customXml/itemProps3.xml><?xml version="1.0" encoding="utf-8"?>
<ds:datastoreItem xmlns:ds="http://schemas.openxmlformats.org/officeDocument/2006/customXml" ds:itemID="{2B13C29E-D991-4DB9-A13E-7C1AA632889D}">
  <ds:schemaRefs>
    <ds:schemaRef ds:uri="http://schemas.microsoft.com/office/infopath/2007/PartnerControls"/>
    <ds:schemaRef ds:uri="8bd9498f-fa43-4ae2-8bb2-4c55a71680ad"/>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5DE2A7-2EB2-401F-A6AD-D8949672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Carol</dc:creator>
  <cp:lastModifiedBy>Golkowski Izabela</cp:lastModifiedBy>
  <cp:revision>5</cp:revision>
  <cp:lastPrinted>2018-02-02T03:19:00Z</cp:lastPrinted>
  <dcterms:created xsi:type="dcterms:W3CDTF">2018-09-24T01:28:00Z</dcterms:created>
  <dcterms:modified xsi:type="dcterms:W3CDTF">2018-09-24T03:49:00Z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