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3BF" w:rsidRPr="006809B4" w:rsidRDefault="007D63BF" w:rsidP="00973CC5">
      <w:pPr>
        <w:pStyle w:val="Title"/>
      </w:pPr>
      <w:r w:rsidRPr="006809B4">
        <w:t>EXPLANATORY STATEMENT</w:t>
      </w:r>
    </w:p>
    <w:p w:rsidR="007D63BF" w:rsidRPr="006809B4" w:rsidRDefault="007D63BF" w:rsidP="00D148F2">
      <w:pPr>
        <w:rPr>
          <w:b/>
          <w:bCs/>
        </w:rPr>
      </w:pPr>
    </w:p>
    <w:p w:rsidR="007D63BF" w:rsidRPr="006809B4" w:rsidRDefault="007D63BF" w:rsidP="00973CC5">
      <w:pPr>
        <w:jc w:val="center"/>
      </w:pPr>
      <w:r w:rsidRPr="006809B4">
        <w:t xml:space="preserve">Issued by the Authority of the Minister for Health </w:t>
      </w:r>
    </w:p>
    <w:p w:rsidR="007D63BF" w:rsidRPr="006809B4" w:rsidRDefault="007D63BF" w:rsidP="00973CC5">
      <w:pPr>
        <w:jc w:val="center"/>
      </w:pPr>
    </w:p>
    <w:p w:rsidR="005C11C6" w:rsidRPr="006809B4" w:rsidRDefault="007D63BF" w:rsidP="00973CC5">
      <w:pPr>
        <w:jc w:val="center"/>
      </w:pPr>
      <w:r w:rsidRPr="006809B4">
        <w:rPr>
          <w:i/>
        </w:rPr>
        <w:t>P</w:t>
      </w:r>
      <w:r w:rsidR="005C11C6" w:rsidRPr="006809B4">
        <w:rPr>
          <w:i/>
        </w:rPr>
        <w:t xml:space="preserve">rivate Health Insurance Act </w:t>
      </w:r>
      <w:r w:rsidR="00883586" w:rsidRPr="006809B4">
        <w:rPr>
          <w:i/>
        </w:rPr>
        <w:t>200</w:t>
      </w:r>
      <w:r w:rsidR="0078397D" w:rsidRPr="006809B4">
        <w:rPr>
          <w:i/>
        </w:rPr>
        <w:t>7</w:t>
      </w:r>
    </w:p>
    <w:p w:rsidR="005C11C6" w:rsidRPr="006809B4" w:rsidRDefault="005C11C6" w:rsidP="00973CC5">
      <w:pPr>
        <w:jc w:val="center"/>
        <w:rPr>
          <w:b/>
          <w:u w:val="single"/>
        </w:rPr>
      </w:pPr>
    </w:p>
    <w:p w:rsidR="00405205" w:rsidRPr="00405205" w:rsidRDefault="00A37928" w:rsidP="00405205">
      <w:pPr>
        <w:jc w:val="center"/>
        <w:rPr>
          <w:i/>
        </w:rPr>
      </w:pPr>
      <w:r w:rsidRPr="0083426D">
        <w:rPr>
          <w:i/>
        </w:rPr>
        <w:t>Private Health Insurance (</w:t>
      </w:r>
      <w:r w:rsidR="00C24DCA" w:rsidRPr="0083426D">
        <w:rPr>
          <w:i/>
        </w:rPr>
        <w:t>Complying Product</w:t>
      </w:r>
      <w:r w:rsidR="001C1E87" w:rsidRPr="0083426D">
        <w:rPr>
          <w:i/>
        </w:rPr>
        <w:t xml:space="preserve">) </w:t>
      </w:r>
    </w:p>
    <w:p w:rsidR="00A37928" w:rsidRPr="0083426D" w:rsidRDefault="00405205" w:rsidP="00405205">
      <w:pPr>
        <w:jc w:val="center"/>
        <w:rPr>
          <w:i/>
        </w:rPr>
      </w:pPr>
      <w:r w:rsidRPr="00405205">
        <w:rPr>
          <w:i/>
        </w:rPr>
        <w:t>Amendment (Terminating Products) Rules 2018</w:t>
      </w:r>
    </w:p>
    <w:p w:rsidR="00587B1D" w:rsidRPr="006809B4" w:rsidRDefault="00587B1D" w:rsidP="00973CC5">
      <w:pPr>
        <w:jc w:val="center"/>
        <w:rPr>
          <w:i/>
          <w:szCs w:val="24"/>
        </w:rPr>
      </w:pPr>
    </w:p>
    <w:p w:rsidR="00587B1D" w:rsidRPr="00587B1D" w:rsidRDefault="00587B1D" w:rsidP="00D47F0E">
      <w:pPr>
        <w:rPr>
          <w:u w:val="single"/>
        </w:rPr>
      </w:pPr>
      <w:r w:rsidRPr="00587B1D">
        <w:rPr>
          <w:u w:val="single"/>
        </w:rPr>
        <w:t>Authority</w:t>
      </w:r>
    </w:p>
    <w:p w:rsidR="00240FF5" w:rsidRDefault="0083426D" w:rsidP="00240FF5">
      <w:r>
        <w:rPr>
          <w:szCs w:val="24"/>
        </w:rPr>
        <w:t>Subs</w:t>
      </w:r>
      <w:r w:rsidR="006817B0" w:rsidRPr="006809B4">
        <w:rPr>
          <w:szCs w:val="24"/>
        </w:rPr>
        <w:t xml:space="preserve">ection </w:t>
      </w:r>
      <w:r w:rsidR="00575A24" w:rsidRPr="006809B4">
        <w:rPr>
          <w:szCs w:val="24"/>
        </w:rPr>
        <w:t>333-2</w:t>
      </w:r>
      <w:r w:rsidR="0078397D" w:rsidRPr="006809B4">
        <w:rPr>
          <w:szCs w:val="24"/>
        </w:rPr>
        <w:t>0</w:t>
      </w:r>
      <w:r>
        <w:rPr>
          <w:szCs w:val="24"/>
        </w:rPr>
        <w:t>(1)</w:t>
      </w:r>
      <w:r w:rsidR="006817B0" w:rsidRPr="006809B4">
        <w:rPr>
          <w:szCs w:val="24"/>
        </w:rPr>
        <w:t xml:space="preserve"> of the </w:t>
      </w:r>
      <w:r w:rsidR="006817B0" w:rsidRPr="006809B4">
        <w:rPr>
          <w:i/>
          <w:iCs/>
          <w:szCs w:val="24"/>
        </w:rPr>
        <w:t xml:space="preserve">Private Health Insurance Act </w:t>
      </w:r>
      <w:r w:rsidR="00575A24" w:rsidRPr="006809B4">
        <w:rPr>
          <w:i/>
          <w:iCs/>
          <w:szCs w:val="24"/>
        </w:rPr>
        <w:t>200</w:t>
      </w:r>
      <w:r w:rsidR="004344DF" w:rsidRPr="006809B4">
        <w:rPr>
          <w:i/>
          <w:iCs/>
          <w:szCs w:val="24"/>
        </w:rPr>
        <w:t>7</w:t>
      </w:r>
      <w:r w:rsidR="006817B0" w:rsidRPr="006809B4">
        <w:rPr>
          <w:i/>
          <w:iCs/>
          <w:szCs w:val="24"/>
        </w:rPr>
        <w:t xml:space="preserve"> </w:t>
      </w:r>
      <w:r w:rsidR="006817B0" w:rsidRPr="006809B4">
        <w:rPr>
          <w:szCs w:val="24"/>
        </w:rPr>
        <w:t xml:space="preserve">(the Act) provides that the </w:t>
      </w:r>
      <w:r w:rsidR="00575A24" w:rsidRPr="006809B4">
        <w:rPr>
          <w:szCs w:val="24"/>
        </w:rPr>
        <w:t>Minister</w:t>
      </w:r>
      <w:r w:rsidR="004F11D3" w:rsidRPr="006809B4">
        <w:rPr>
          <w:szCs w:val="24"/>
        </w:rPr>
        <w:t xml:space="preserve"> may make </w:t>
      </w:r>
      <w:r w:rsidR="00BF6A77" w:rsidRPr="006809B4">
        <w:rPr>
          <w:i/>
          <w:szCs w:val="24"/>
        </w:rPr>
        <w:t>Private Health Insurance (</w:t>
      </w:r>
      <w:r w:rsidR="009A02C6">
        <w:rPr>
          <w:i/>
          <w:szCs w:val="24"/>
        </w:rPr>
        <w:t>Complying Product</w:t>
      </w:r>
      <w:r w:rsidR="00BF6A77" w:rsidRPr="006809B4">
        <w:rPr>
          <w:i/>
          <w:szCs w:val="24"/>
        </w:rPr>
        <w:t>) Rules</w:t>
      </w:r>
      <w:r w:rsidR="006817B0" w:rsidRPr="006809B4">
        <w:rPr>
          <w:szCs w:val="24"/>
        </w:rPr>
        <w:t xml:space="preserve"> pr</w:t>
      </w:r>
      <w:r w:rsidR="00575A24" w:rsidRPr="006809B4">
        <w:rPr>
          <w:szCs w:val="24"/>
        </w:rPr>
        <w:t>oviding for</w:t>
      </w:r>
      <w:r w:rsidR="006817B0" w:rsidRPr="006809B4">
        <w:rPr>
          <w:szCs w:val="24"/>
        </w:rPr>
        <w:t xml:space="preserve"> matters required or permitted </w:t>
      </w:r>
      <w:r w:rsidR="00240FF5">
        <w:rPr>
          <w:szCs w:val="24"/>
        </w:rPr>
        <w:t xml:space="preserve">by </w:t>
      </w:r>
      <w:r w:rsidR="00240FF5">
        <w:t>Chapter 3 and section 188-1 of the Act</w:t>
      </w:r>
      <w:r w:rsidR="00BF6A77" w:rsidRPr="006809B4">
        <w:rPr>
          <w:szCs w:val="24"/>
        </w:rPr>
        <w:t>,</w:t>
      </w:r>
      <w:r w:rsidR="00140CBA" w:rsidRPr="006809B4">
        <w:rPr>
          <w:szCs w:val="24"/>
        </w:rPr>
        <w:t xml:space="preserve"> or necessary or convenient in order to </w:t>
      </w:r>
      <w:r w:rsidR="00575A24" w:rsidRPr="006809B4">
        <w:rPr>
          <w:szCs w:val="24"/>
        </w:rPr>
        <w:t>carry out or give effect</w:t>
      </w:r>
      <w:r w:rsidR="00240FF5">
        <w:rPr>
          <w:szCs w:val="24"/>
        </w:rPr>
        <w:t xml:space="preserve"> to</w:t>
      </w:r>
      <w:r w:rsidR="00575A24" w:rsidRPr="006809B4">
        <w:rPr>
          <w:szCs w:val="24"/>
        </w:rPr>
        <w:t xml:space="preserve"> </w:t>
      </w:r>
      <w:r w:rsidR="00240FF5">
        <w:t xml:space="preserve">Chapter 3 and section 188-1 of the Act. </w:t>
      </w:r>
    </w:p>
    <w:p w:rsidR="00587B1D" w:rsidRDefault="00587B1D" w:rsidP="00D47F0E">
      <w:pPr>
        <w:autoSpaceDE w:val="0"/>
        <w:autoSpaceDN w:val="0"/>
        <w:adjustRightInd w:val="0"/>
        <w:rPr>
          <w:szCs w:val="24"/>
        </w:rPr>
      </w:pPr>
    </w:p>
    <w:p w:rsidR="00FF5210" w:rsidRDefault="00FF5210" w:rsidP="00FF5210">
      <w:pPr>
        <w:rPr>
          <w:u w:val="single"/>
        </w:rPr>
      </w:pPr>
      <w:r w:rsidRPr="00587B1D">
        <w:rPr>
          <w:u w:val="single"/>
        </w:rPr>
        <w:t>Purpose</w:t>
      </w:r>
    </w:p>
    <w:p w:rsidR="00BD686F" w:rsidRPr="00405205" w:rsidRDefault="00236497" w:rsidP="00405205">
      <w:pPr>
        <w:rPr>
          <w:i/>
          <w:szCs w:val="24"/>
        </w:rPr>
      </w:pPr>
      <w:r w:rsidRPr="00102306">
        <w:rPr>
          <w:szCs w:val="24"/>
        </w:rPr>
        <w:t xml:space="preserve">The </w:t>
      </w:r>
      <w:r w:rsidR="001C1E87" w:rsidRPr="001C1E87">
        <w:rPr>
          <w:i/>
          <w:szCs w:val="24"/>
        </w:rPr>
        <w:t xml:space="preserve">Private Health Insurance </w:t>
      </w:r>
      <w:r w:rsidR="00405205">
        <w:rPr>
          <w:i/>
          <w:szCs w:val="24"/>
        </w:rPr>
        <w:t xml:space="preserve">(Complying Product) </w:t>
      </w:r>
      <w:r w:rsidR="00405205" w:rsidRPr="00405205">
        <w:rPr>
          <w:i/>
          <w:szCs w:val="24"/>
        </w:rPr>
        <w:t>Amendment (Terminating Products) Rules 2018</w:t>
      </w:r>
      <w:r w:rsidR="001C1E87" w:rsidRPr="001C1E87">
        <w:rPr>
          <w:i/>
          <w:szCs w:val="24"/>
        </w:rPr>
        <w:t xml:space="preserve"> </w:t>
      </w:r>
      <w:r w:rsidR="00D47F0E">
        <w:rPr>
          <w:szCs w:val="24"/>
        </w:rPr>
        <w:t xml:space="preserve">(the Amendment Rules) </w:t>
      </w:r>
      <w:r w:rsidR="00405205">
        <w:t xml:space="preserve">insert </w:t>
      </w:r>
      <w:r w:rsidR="00FF5210">
        <w:t xml:space="preserve">new </w:t>
      </w:r>
      <w:r w:rsidR="002D1B39">
        <w:t xml:space="preserve">rule </w:t>
      </w:r>
      <w:r w:rsidR="00405205">
        <w:t>9A</w:t>
      </w:r>
      <w:r w:rsidR="00BD686F">
        <w:t xml:space="preserve">A </w:t>
      </w:r>
      <w:r w:rsidR="00405205">
        <w:t xml:space="preserve">into </w:t>
      </w:r>
      <w:r w:rsidR="00BD686F">
        <w:t>t</w:t>
      </w:r>
      <w:r w:rsidR="00BD686F" w:rsidRPr="00B825A2">
        <w:t>he</w:t>
      </w:r>
      <w:r w:rsidR="00BD686F" w:rsidRPr="00DE43F0">
        <w:rPr>
          <w:i/>
        </w:rPr>
        <w:t xml:space="preserve"> Private Health Insurance (Complying Product) Rules</w:t>
      </w:r>
      <w:r w:rsidR="00BD686F">
        <w:t xml:space="preserve"> </w:t>
      </w:r>
      <w:r w:rsidR="00170257">
        <w:rPr>
          <w:i/>
        </w:rPr>
        <w:t>2015</w:t>
      </w:r>
      <w:r w:rsidR="00BD686F" w:rsidRPr="00DE43F0">
        <w:rPr>
          <w:i/>
        </w:rPr>
        <w:t xml:space="preserve"> </w:t>
      </w:r>
      <w:r w:rsidR="00BD686F">
        <w:t>(the Principal Rules)</w:t>
      </w:r>
      <w:r w:rsidR="00BD686F" w:rsidRPr="00F3275A">
        <w:t>.</w:t>
      </w:r>
    </w:p>
    <w:p w:rsidR="00236497" w:rsidRPr="006809B4" w:rsidRDefault="00236497" w:rsidP="00D47F0E">
      <w:pPr>
        <w:autoSpaceDE w:val="0"/>
        <w:autoSpaceDN w:val="0"/>
        <w:adjustRightInd w:val="0"/>
        <w:rPr>
          <w:szCs w:val="24"/>
        </w:rPr>
      </w:pPr>
    </w:p>
    <w:p w:rsidR="00BD453D" w:rsidRDefault="00587B1D" w:rsidP="00D47F0E">
      <w:pPr>
        <w:rPr>
          <w:u w:val="single"/>
        </w:rPr>
      </w:pPr>
      <w:r w:rsidRPr="00FE1C98">
        <w:rPr>
          <w:u w:val="single"/>
        </w:rPr>
        <w:t>Background</w:t>
      </w:r>
    </w:p>
    <w:p w:rsidR="0036074C" w:rsidRDefault="0036074C" w:rsidP="00D47F0E">
      <w:r w:rsidRPr="0036074C">
        <w:t xml:space="preserve">These </w:t>
      </w:r>
      <w:r w:rsidR="00A150AD">
        <w:t>Amendment Rules</w:t>
      </w:r>
      <w:bookmarkStart w:id="0" w:name="_GoBack"/>
      <w:bookmarkEnd w:id="0"/>
      <w:r w:rsidRPr="0036074C">
        <w:t xml:space="preserve"> implement consumer protections in cases where health insurance products are terminated and consumers are transferred to new policies.  Previously there were no specific Rules to ensure consumers have the information needed to assist them in transferring to new policies when products are terminated by insurers.</w:t>
      </w:r>
    </w:p>
    <w:p w:rsidR="0036074C" w:rsidRDefault="0036074C" w:rsidP="00D47F0E">
      <w:pPr>
        <w:rPr>
          <w:u w:val="single"/>
        </w:rPr>
      </w:pPr>
    </w:p>
    <w:p w:rsidR="0015342B" w:rsidRDefault="00405CF7" w:rsidP="00D951F7">
      <w:r>
        <w:t>Private health insurers must make available complying health insurance products.  One of the criteria for being a complying product involves meeting the requirements for policy portability</w:t>
      </w:r>
      <w:r w:rsidRPr="0036074C">
        <w:t xml:space="preserve">.  </w:t>
      </w:r>
      <w:r w:rsidR="00FF5210" w:rsidRPr="0036074C">
        <w:t>P</w:t>
      </w:r>
      <w:r w:rsidR="00CC35AB" w:rsidRPr="0036074C">
        <w:t>aragraph 78-1(5A)(c) of the Act</w:t>
      </w:r>
      <w:r w:rsidR="006215D8" w:rsidRPr="0036074C">
        <w:t xml:space="preserve"> </w:t>
      </w:r>
      <w:r w:rsidR="00436D29" w:rsidRPr="0036074C">
        <w:t xml:space="preserve">will be </w:t>
      </w:r>
      <w:r w:rsidR="00FF5210" w:rsidRPr="0036074C">
        <w:t>inserted in the Act by</w:t>
      </w:r>
      <w:r w:rsidR="00FF5210" w:rsidRPr="0036074C">
        <w:rPr>
          <w:i/>
        </w:rPr>
        <w:t xml:space="preserve"> the Private Health Insurance Legislation Amendment Act 2018</w:t>
      </w:r>
      <w:r w:rsidR="00600ABA" w:rsidRPr="0036074C">
        <w:t xml:space="preserve"> (the Amendment Act 2018)</w:t>
      </w:r>
      <w:r w:rsidR="00436D29">
        <w:t>, and will</w:t>
      </w:r>
      <w:r w:rsidR="00600ABA">
        <w:t xml:space="preserve"> </w:t>
      </w:r>
      <w:r w:rsidR="006215D8">
        <w:t xml:space="preserve">introduce </w:t>
      </w:r>
      <w:r w:rsidR="00DA3BD4">
        <w:t xml:space="preserve">a </w:t>
      </w:r>
      <w:r>
        <w:t xml:space="preserve">new portability </w:t>
      </w:r>
      <w:r w:rsidR="00DA3BD4">
        <w:t>requirement</w:t>
      </w:r>
      <w:r w:rsidR="00746B05">
        <w:t>.  It</w:t>
      </w:r>
      <w:r>
        <w:t xml:space="preserve"> </w:t>
      </w:r>
      <w:r w:rsidR="00436D29">
        <w:t xml:space="preserve">will </w:t>
      </w:r>
      <w:r w:rsidR="00746B05">
        <w:t>compel</w:t>
      </w:r>
      <w:r>
        <w:t xml:space="preserve"> insurers</w:t>
      </w:r>
      <w:r w:rsidR="00DA3BD4">
        <w:t xml:space="preserve"> to provide</w:t>
      </w:r>
      <w:r w:rsidR="00C55222">
        <w:t xml:space="preserve"> to</w:t>
      </w:r>
      <w:r w:rsidR="00815BC2">
        <w:t xml:space="preserve"> an insured</w:t>
      </w:r>
      <w:r w:rsidR="00C55222">
        <w:t xml:space="preserve"> </w:t>
      </w:r>
      <w:r w:rsidR="00815BC2">
        <w:t xml:space="preserve">adult </w:t>
      </w:r>
      <w:r w:rsidR="00DA3BD4">
        <w:t>information set out in the Principal Rules</w:t>
      </w:r>
      <w:r w:rsidR="00C55222">
        <w:t xml:space="preserve"> </w:t>
      </w:r>
      <w:r w:rsidR="006215D8">
        <w:t xml:space="preserve">when </w:t>
      </w:r>
      <w:r w:rsidR="00746B05">
        <w:t>the</w:t>
      </w:r>
      <w:r w:rsidR="006215D8">
        <w:t xml:space="preserve"> insurer </w:t>
      </w:r>
      <w:r w:rsidR="00746B05">
        <w:t xml:space="preserve">proposes to terminate </w:t>
      </w:r>
      <w:r w:rsidR="006215D8">
        <w:t>a product or product subgroup</w:t>
      </w:r>
      <w:r w:rsidR="00DA3BD4">
        <w:t xml:space="preserve"> and </w:t>
      </w:r>
      <w:r w:rsidR="00FF5210">
        <w:t xml:space="preserve">the consequent </w:t>
      </w:r>
      <w:r w:rsidR="00815BC2">
        <w:t xml:space="preserve">transfer </w:t>
      </w:r>
      <w:r w:rsidR="00FF5210">
        <w:t xml:space="preserve">of the insured </w:t>
      </w:r>
      <w:r w:rsidR="00815BC2">
        <w:t>adult</w:t>
      </w:r>
      <w:r w:rsidR="00DA3BD4">
        <w:t xml:space="preserve"> to a new policy</w:t>
      </w:r>
      <w:r w:rsidR="006215D8">
        <w:t xml:space="preserve">. </w:t>
      </w:r>
    </w:p>
    <w:p w:rsidR="00815BC2" w:rsidRDefault="00815BC2" w:rsidP="00D951F7"/>
    <w:p w:rsidR="00D951F7" w:rsidRDefault="002D1B39" w:rsidP="00D951F7">
      <w:r>
        <w:t>New rule 9AA</w:t>
      </w:r>
      <w:r w:rsidR="00436D29">
        <w:t xml:space="preserve"> will</w:t>
      </w:r>
      <w:r>
        <w:t xml:space="preserve"> specif</w:t>
      </w:r>
      <w:r w:rsidR="00436D29">
        <w:t>y</w:t>
      </w:r>
      <w:r>
        <w:t xml:space="preserve"> the matters about which an insurer must inform an adult insured under the policy, in writing, if the product or product subgroup is being terminated, and as a result the adult is to be transferred to a new policy.  </w:t>
      </w:r>
      <w:r w:rsidR="00600ABA" w:rsidRPr="0036074C">
        <w:t xml:space="preserve">Paragraph </w:t>
      </w:r>
      <w:r w:rsidR="00DA3BD4" w:rsidRPr="0036074C">
        <w:t>78-1(5A)(c) of the Act</w:t>
      </w:r>
      <w:r w:rsidR="00746B05">
        <w:t xml:space="preserve">, and the new </w:t>
      </w:r>
      <w:r w:rsidR="00E97BCA">
        <w:t>r</w:t>
      </w:r>
      <w:r w:rsidR="00746B05">
        <w:t>ule 9AA in the Amendment Rules,</w:t>
      </w:r>
      <w:r w:rsidR="00DA3BD4">
        <w:t xml:space="preserve"> </w:t>
      </w:r>
      <w:r w:rsidR="00436D29">
        <w:t xml:space="preserve">will </w:t>
      </w:r>
      <w:r w:rsidR="00DA3BD4">
        <w:t xml:space="preserve">provide important </w:t>
      </w:r>
      <w:r w:rsidR="0015342B">
        <w:t xml:space="preserve">consumer </w:t>
      </w:r>
      <w:r w:rsidR="00600ABA">
        <w:t xml:space="preserve">information </w:t>
      </w:r>
      <w:r w:rsidR="0015342B">
        <w:t>should an insure</w:t>
      </w:r>
      <w:r w:rsidR="00C55222">
        <w:t>r choose to terminate a product</w:t>
      </w:r>
      <w:r w:rsidR="006215D8">
        <w:t xml:space="preserve">. </w:t>
      </w:r>
      <w:r w:rsidR="00746B05">
        <w:t xml:space="preserve"> Based on the information required to be provided, policyholders can choose a new policy, or will be transferred to a default policy as set out in the information provided to them.</w:t>
      </w:r>
    </w:p>
    <w:p w:rsidR="003C040F" w:rsidRDefault="003C040F" w:rsidP="00973CC5">
      <w:pPr>
        <w:jc w:val="both"/>
        <w:rPr>
          <w:szCs w:val="24"/>
        </w:rPr>
      </w:pPr>
    </w:p>
    <w:p w:rsidR="00587B1D" w:rsidRDefault="00587B1D" w:rsidP="00587B1D">
      <w:pPr>
        <w:rPr>
          <w:u w:val="single"/>
        </w:rPr>
      </w:pPr>
      <w:r w:rsidRPr="001A053F">
        <w:rPr>
          <w:u w:val="single"/>
        </w:rPr>
        <w:t>Details</w:t>
      </w:r>
    </w:p>
    <w:p w:rsidR="002A59B5" w:rsidRDefault="002A59B5" w:rsidP="00973CC5">
      <w:pPr>
        <w:jc w:val="both"/>
        <w:rPr>
          <w:szCs w:val="24"/>
        </w:rPr>
      </w:pPr>
      <w:r w:rsidRPr="006809B4">
        <w:rPr>
          <w:szCs w:val="24"/>
        </w:rPr>
        <w:t>Details of the Amend</w:t>
      </w:r>
      <w:r w:rsidR="005F6CF5" w:rsidRPr="006809B4">
        <w:rPr>
          <w:szCs w:val="24"/>
        </w:rPr>
        <w:t>ment</w:t>
      </w:r>
      <w:r w:rsidRPr="006809B4">
        <w:rPr>
          <w:szCs w:val="24"/>
        </w:rPr>
        <w:t xml:space="preserve"> Rules are set out in the </w:t>
      </w:r>
      <w:r w:rsidRPr="000F0625">
        <w:rPr>
          <w:b/>
          <w:szCs w:val="24"/>
        </w:rPr>
        <w:t>Attachment</w:t>
      </w:r>
      <w:r w:rsidRPr="006809B4">
        <w:rPr>
          <w:szCs w:val="24"/>
        </w:rPr>
        <w:t>.</w:t>
      </w:r>
    </w:p>
    <w:p w:rsidR="007E7A60" w:rsidRDefault="007E7A60" w:rsidP="00973CC5">
      <w:pPr>
        <w:jc w:val="both"/>
        <w:rPr>
          <w:szCs w:val="24"/>
        </w:rPr>
      </w:pPr>
    </w:p>
    <w:p w:rsidR="002E0949" w:rsidRPr="00587B1D" w:rsidRDefault="00526D8A" w:rsidP="00973CC5">
      <w:pPr>
        <w:jc w:val="both"/>
        <w:rPr>
          <w:szCs w:val="24"/>
          <w:u w:val="single"/>
        </w:rPr>
      </w:pPr>
      <w:r w:rsidRPr="00587B1D">
        <w:rPr>
          <w:szCs w:val="24"/>
          <w:u w:val="single"/>
        </w:rPr>
        <w:t>Consultation</w:t>
      </w:r>
    </w:p>
    <w:p w:rsidR="00CE6C0C" w:rsidRDefault="001150E2" w:rsidP="00AD64A3">
      <w:pPr>
        <w:rPr>
          <w:szCs w:val="24"/>
          <w:lang w:eastAsia="en-US"/>
        </w:rPr>
      </w:pPr>
      <w:r>
        <w:t xml:space="preserve">On </w:t>
      </w:r>
      <w:r w:rsidR="002E0949">
        <w:t>16</w:t>
      </w:r>
      <w:r w:rsidR="00741A63">
        <w:t xml:space="preserve"> </w:t>
      </w:r>
      <w:r>
        <w:t>July</w:t>
      </w:r>
      <w:r w:rsidR="00657833">
        <w:t xml:space="preserve"> 2018 an exposure draft </w:t>
      </w:r>
      <w:r w:rsidR="006215D8">
        <w:t>of</w:t>
      </w:r>
      <w:r w:rsidR="00657833">
        <w:t xml:space="preserve"> the </w:t>
      </w:r>
      <w:r w:rsidR="006215D8">
        <w:t xml:space="preserve">Amendment Rules </w:t>
      </w:r>
      <w:r w:rsidR="00657833">
        <w:t xml:space="preserve">was released by the Department as part of the public consultation process </w:t>
      </w:r>
      <w:r w:rsidR="00C55222">
        <w:t>for</w:t>
      </w:r>
      <w:r w:rsidR="00657833">
        <w:t xml:space="preserve"> the </w:t>
      </w:r>
      <w:r w:rsidR="00C55222">
        <w:t xml:space="preserve">2018 </w:t>
      </w:r>
      <w:r w:rsidR="00657833">
        <w:t xml:space="preserve">private health insurance reform package. The consultation period concluded on </w:t>
      </w:r>
      <w:r w:rsidR="00A07364">
        <w:t xml:space="preserve">3 </w:t>
      </w:r>
      <w:r w:rsidR="00657833">
        <w:t>August 2018</w:t>
      </w:r>
      <w:r w:rsidR="002E0949">
        <w:t>.</w:t>
      </w:r>
      <w:r w:rsidR="00657833">
        <w:t xml:space="preserve"> </w:t>
      </w:r>
      <w:r w:rsidR="00C55222">
        <w:t xml:space="preserve"> In addition to ma</w:t>
      </w:r>
      <w:r w:rsidR="00815BC2">
        <w:t>king the exposure draft availabl</w:t>
      </w:r>
      <w:r w:rsidR="00C55222">
        <w:t>e</w:t>
      </w:r>
      <w:r w:rsidR="00815BC2">
        <w:t xml:space="preserve"> </w:t>
      </w:r>
      <w:r w:rsidR="00C55222">
        <w:t>on its website, t</w:t>
      </w:r>
      <w:r w:rsidR="002E0949" w:rsidRPr="002E0949">
        <w:rPr>
          <w:szCs w:val="24"/>
          <w:lang w:eastAsia="en-US"/>
        </w:rPr>
        <w:t xml:space="preserve">he Department </w:t>
      </w:r>
      <w:r w:rsidR="002E0949">
        <w:rPr>
          <w:szCs w:val="24"/>
          <w:lang w:eastAsia="en-US"/>
        </w:rPr>
        <w:t>invited feedback from</w:t>
      </w:r>
      <w:r w:rsidR="002E0949" w:rsidRPr="002E0949">
        <w:rPr>
          <w:szCs w:val="24"/>
          <w:lang w:eastAsia="en-US"/>
        </w:rPr>
        <w:t xml:space="preserve"> </w:t>
      </w:r>
      <w:r w:rsidR="00282F18">
        <w:rPr>
          <w:szCs w:val="24"/>
          <w:lang w:eastAsia="en-US"/>
        </w:rPr>
        <w:t xml:space="preserve">a </w:t>
      </w:r>
      <w:r w:rsidR="00C55222">
        <w:rPr>
          <w:szCs w:val="24"/>
          <w:lang w:eastAsia="en-US"/>
        </w:rPr>
        <w:t xml:space="preserve">large number </w:t>
      </w:r>
      <w:r w:rsidR="00282F18">
        <w:rPr>
          <w:szCs w:val="24"/>
          <w:lang w:eastAsia="en-US"/>
        </w:rPr>
        <w:t>of stakeholder</w:t>
      </w:r>
      <w:r w:rsidR="00C55222">
        <w:rPr>
          <w:szCs w:val="24"/>
          <w:lang w:eastAsia="en-US"/>
        </w:rPr>
        <w:t>s</w:t>
      </w:r>
      <w:r w:rsidR="00282F18">
        <w:rPr>
          <w:szCs w:val="24"/>
          <w:lang w:eastAsia="en-US"/>
        </w:rPr>
        <w:t xml:space="preserve">, including </w:t>
      </w:r>
      <w:r w:rsidR="002E0949">
        <w:rPr>
          <w:szCs w:val="24"/>
          <w:lang w:eastAsia="en-US"/>
        </w:rPr>
        <w:t>private health insurers</w:t>
      </w:r>
      <w:r w:rsidR="00C55222">
        <w:rPr>
          <w:szCs w:val="24"/>
          <w:lang w:eastAsia="en-US"/>
        </w:rPr>
        <w:t>, consumer</w:t>
      </w:r>
      <w:r w:rsidR="00A07364">
        <w:rPr>
          <w:szCs w:val="24"/>
          <w:lang w:eastAsia="en-US"/>
        </w:rPr>
        <w:t xml:space="preserve"> </w:t>
      </w:r>
      <w:r w:rsidR="00C55222">
        <w:rPr>
          <w:szCs w:val="24"/>
          <w:lang w:eastAsia="en-US"/>
        </w:rPr>
        <w:t>and health care provider groups</w:t>
      </w:r>
      <w:r w:rsidR="002E0949" w:rsidRPr="002E0949">
        <w:rPr>
          <w:szCs w:val="24"/>
          <w:lang w:eastAsia="en-US"/>
        </w:rPr>
        <w:t>.</w:t>
      </w:r>
      <w:r w:rsidR="002E0949">
        <w:rPr>
          <w:szCs w:val="24"/>
          <w:lang w:eastAsia="en-US"/>
        </w:rPr>
        <w:t xml:space="preserve"> </w:t>
      </w:r>
      <w:r w:rsidR="00560D42">
        <w:rPr>
          <w:szCs w:val="24"/>
          <w:lang w:eastAsia="en-US"/>
        </w:rPr>
        <w:t>The Amendment Rules incorporate</w:t>
      </w:r>
      <w:r w:rsidR="002E0949">
        <w:rPr>
          <w:szCs w:val="24"/>
          <w:lang w:eastAsia="en-US"/>
        </w:rPr>
        <w:t xml:space="preserve"> </w:t>
      </w:r>
      <w:r w:rsidR="00C55222">
        <w:rPr>
          <w:szCs w:val="24"/>
          <w:lang w:eastAsia="en-US"/>
        </w:rPr>
        <w:t xml:space="preserve">a </w:t>
      </w:r>
      <w:r w:rsidR="002E0949">
        <w:rPr>
          <w:szCs w:val="24"/>
          <w:lang w:eastAsia="en-US"/>
        </w:rPr>
        <w:t xml:space="preserve">technical amendment recommended </w:t>
      </w:r>
      <w:r w:rsidR="00C55222">
        <w:rPr>
          <w:szCs w:val="24"/>
          <w:lang w:eastAsia="en-US"/>
        </w:rPr>
        <w:t>during the consultation process</w:t>
      </w:r>
      <w:r w:rsidR="002E0949">
        <w:rPr>
          <w:szCs w:val="24"/>
          <w:lang w:eastAsia="en-US"/>
        </w:rPr>
        <w:t>.</w:t>
      </w:r>
    </w:p>
    <w:p w:rsidR="00CE6C0C" w:rsidRDefault="00CE6C0C" w:rsidP="00AD64A3">
      <w:pPr>
        <w:rPr>
          <w:szCs w:val="24"/>
          <w:lang w:eastAsia="en-US"/>
        </w:rPr>
      </w:pPr>
    </w:p>
    <w:p w:rsidR="00600ABA" w:rsidRDefault="00600ABA" w:rsidP="00AD64A3">
      <w:pPr>
        <w:rPr>
          <w:szCs w:val="24"/>
          <w:lang w:eastAsia="en-US"/>
        </w:rPr>
      </w:pPr>
      <w:r>
        <w:rPr>
          <w:szCs w:val="24"/>
          <w:lang w:eastAsia="en-US"/>
        </w:rPr>
        <w:lastRenderedPageBreak/>
        <w:t>Sections 1-4 of the Amendment Rules commence on the day after it is registered in the Federal Register of Legislation</w:t>
      </w:r>
      <w:r w:rsidRPr="0036074C">
        <w:rPr>
          <w:szCs w:val="24"/>
          <w:lang w:eastAsia="en-US"/>
        </w:rPr>
        <w:t xml:space="preserve">.  Schedule 1 to the Amendment Rules </w:t>
      </w:r>
      <w:r w:rsidR="00436D29" w:rsidRPr="0036074C">
        <w:rPr>
          <w:szCs w:val="24"/>
          <w:lang w:eastAsia="en-US"/>
        </w:rPr>
        <w:t xml:space="preserve">will </w:t>
      </w:r>
      <w:r w:rsidRPr="0036074C">
        <w:rPr>
          <w:szCs w:val="24"/>
          <w:lang w:eastAsia="en-US"/>
        </w:rPr>
        <w:t>commence at the same time as Part 4 of Schedule 5 of the Amendment Act 2018, that is, the day after that Act receives Royal Assent.</w:t>
      </w:r>
    </w:p>
    <w:p w:rsidR="005A234D" w:rsidRDefault="005A234D" w:rsidP="00600ABA"/>
    <w:p w:rsidR="00600ABA" w:rsidRPr="00FC5304" w:rsidRDefault="00600ABA" w:rsidP="00600ABA">
      <w:r>
        <w:t>The Amendment Rules</w:t>
      </w:r>
      <w:r w:rsidRPr="00FC5304">
        <w:t xml:space="preserve"> are a legislative instrument for the purposes of the </w:t>
      </w:r>
      <w:r w:rsidRPr="00FC5304">
        <w:rPr>
          <w:i/>
          <w:iCs/>
        </w:rPr>
        <w:t>Legislation Act 2003</w:t>
      </w:r>
      <w:r w:rsidRPr="00FC5304">
        <w:t>.</w:t>
      </w:r>
    </w:p>
    <w:p w:rsidR="00600ABA" w:rsidRPr="00CE6C0C" w:rsidRDefault="00600ABA" w:rsidP="00AD64A3">
      <w:pPr>
        <w:rPr>
          <w:szCs w:val="24"/>
          <w:lang w:eastAsia="en-US"/>
        </w:rPr>
      </w:pPr>
    </w:p>
    <w:p w:rsidR="00024783" w:rsidRPr="00CE6C0C" w:rsidRDefault="00B24C3C" w:rsidP="00AD64A3">
      <w:pPr>
        <w:rPr>
          <w:color w:val="1F497D"/>
        </w:rPr>
      </w:pPr>
      <w:r>
        <w:rPr>
          <w:szCs w:val="24"/>
          <w:lang w:eastAsia="en-US"/>
        </w:rPr>
        <w:br w:type="page"/>
      </w:r>
    </w:p>
    <w:p w:rsidR="00260997" w:rsidRDefault="00260997" w:rsidP="00260997">
      <w:pPr>
        <w:ind w:left="1701" w:firstLine="567"/>
        <w:jc w:val="right"/>
        <w:rPr>
          <w:b/>
        </w:rPr>
      </w:pPr>
      <w:r>
        <w:rPr>
          <w:b/>
        </w:rPr>
        <w:t>ATTACHMENT</w:t>
      </w:r>
    </w:p>
    <w:p w:rsidR="00260997" w:rsidRDefault="00260997" w:rsidP="00260997">
      <w:pPr>
        <w:jc w:val="center"/>
        <w:rPr>
          <w:b/>
        </w:rPr>
      </w:pPr>
    </w:p>
    <w:p w:rsidR="00260997" w:rsidRDefault="00260997" w:rsidP="00260997">
      <w:pPr>
        <w:jc w:val="center"/>
        <w:rPr>
          <w:b/>
          <w:i/>
        </w:rPr>
      </w:pPr>
      <w:r w:rsidRPr="00C81642">
        <w:rPr>
          <w:b/>
        </w:rPr>
        <w:t xml:space="preserve">DETAILS </w:t>
      </w:r>
      <w:r>
        <w:rPr>
          <w:b/>
        </w:rPr>
        <w:t xml:space="preserve">OF THE </w:t>
      </w:r>
      <w:r w:rsidRPr="00C81642">
        <w:rPr>
          <w:b/>
          <w:i/>
        </w:rPr>
        <w:t xml:space="preserve">PRIVATE HEALTH INSURANCE (COMPLYING PRODUCT) </w:t>
      </w:r>
      <w:r w:rsidR="001C1E87">
        <w:rPr>
          <w:b/>
          <w:i/>
        </w:rPr>
        <w:br/>
      </w:r>
      <w:r w:rsidR="001C1E87" w:rsidRPr="00C81642">
        <w:rPr>
          <w:b/>
          <w:i/>
        </w:rPr>
        <w:t>AMENDMENT</w:t>
      </w:r>
      <w:r w:rsidR="00A77AF8">
        <w:rPr>
          <w:b/>
          <w:i/>
        </w:rPr>
        <w:t xml:space="preserve"> (TERMINATING PRODUCTS)</w:t>
      </w:r>
      <w:r w:rsidRPr="00C81642">
        <w:rPr>
          <w:b/>
          <w:i/>
        </w:rPr>
        <w:t xml:space="preserve"> RULES 20</w:t>
      </w:r>
      <w:r>
        <w:rPr>
          <w:b/>
          <w:i/>
        </w:rPr>
        <w:t>1</w:t>
      </w:r>
      <w:r w:rsidR="001C1E87">
        <w:rPr>
          <w:b/>
          <w:i/>
        </w:rPr>
        <w:t>8</w:t>
      </w:r>
    </w:p>
    <w:p w:rsidR="00260997" w:rsidRDefault="00260997" w:rsidP="00260997">
      <w:pPr>
        <w:rPr>
          <w:b/>
          <w:i/>
        </w:rPr>
      </w:pPr>
    </w:p>
    <w:p w:rsidR="00260997" w:rsidRPr="00FD090C" w:rsidRDefault="00260997" w:rsidP="00260997">
      <w:pPr>
        <w:spacing w:before="120" w:after="120"/>
      </w:pPr>
      <w:r>
        <w:rPr>
          <w:b/>
        </w:rPr>
        <w:t>Section 1</w:t>
      </w:r>
      <w:r>
        <w:rPr>
          <w:b/>
        </w:rPr>
        <w:tab/>
        <w:t>Name of Rules</w:t>
      </w:r>
    </w:p>
    <w:p w:rsidR="00260997" w:rsidRDefault="00260997" w:rsidP="00260997">
      <w:pPr>
        <w:spacing w:before="120" w:after="120"/>
      </w:pPr>
      <w:r>
        <w:t xml:space="preserve">Section 1 provides that the </w:t>
      </w:r>
      <w:r w:rsidR="002D1B39">
        <w:t xml:space="preserve">instrument </w:t>
      </w:r>
      <w:r>
        <w:t xml:space="preserve">is the </w:t>
      </w:r>
      <w:r w:rsidR="001C1E87" w:rsidRPr="001C1E87">
        <w:rPr>
          <w:i/>
        </w:rPr>
        <w:t>Private Health</w:t>
      </w:r>
      <w:r w:rsidR="00734E4D">
        <w:rPr>
          <w:i/>
        </w:rPr>
        <w:t xml:space="preserve"> Insurance (Complying Product) </w:t>
      </w:r>
      <w:r w:rsidR="001C1E87" w:rsidRPr="001C1E87">
        <w:rPr>
          <w:i/>
        </w:rPr>
        <w:t xml:space="preserve">Amendment </w:t>
      </w:r>
      <w:r w:rsidR="00734E4D">
        <w:rPr>
          <w:i/>
        </w:rPr>
        <w:t>(Terminating Products)</w:t>
      </w:r>
      <w:r w:rsidR="00B519DD">
        <w:rPr>
          <w:i/>
        </w:rPr>
        <w:t xml:space="preserve"> </w:t>
      </w:r>
      <w:r w:rsidR="001C1E87" w:rsidRPr="001C1E87">
        <w:rPr>
          <w:i/>
        </w:rPr>
        <w:t xml:space="preserve">Rules 2018 </w:t>
      </w:r>
      <w:r>
        <w:t>(the Amendment Rules).</w:t>
      </w:r>
    </w:p>
    <w:p w:rsidR="00E91E8B" w:rsidRPr="00C81642" w:rsidRDefault="00E91E8B" w:rsidP="00260997">
      <w:pPr>
        <w:spacing w:before="120" w:after="120"/>
      </w:pPr>
    </w:p>
    <w:p w:rsidR="00260997" w:rsidRPr="00FD090C" w:rsidRDefault="00260997" w:rsidP="00260997">
      <w:pPr>
        <w:spacing w:before="120" w:after="120"/>
      </w:pPr>
      <w:r>
        <w:rPr>
          <w:b/>
        </w:rPr>
        <w:t>Section 2</w:t>
      </w:r>
      <w:r>
        <w:rPr>
          <w:b/>
        </w:rPr>
        <w:tab/>
        <w:t>Commencement</w:t>
      </w:r>
    </w:p>
    <w:p w:rsidR="00260997" w:rsidRDefault="00E91E8B" w:rsidP="00260997">
      <w:pPr>
        <w:spacing w:before="120" w:after="120"/>
      </w:pPr>
      <w:r>
        <w:t>Section 2 sets out the commencement dates for the Amendment Rules</w:t>
      </w:r>
      <w:r w:rsidR="002D5B40">
        <w:t>.  T</w:t>
      </w:r>
      <w:r>
        <w:t>he technical provisions in sections 1 to 4 commenc</w:t>
      </w:r>
      <w:r w:rsidR="002D5B40">
        <w:t>e</w:t>
      </w:r>
      <w:r>
        <w:t xml:space="preserve"> on the day after the </w:t>
      </w:r>
      <w:r w:rsidR="002D1B39">
        <w:t xml:space="preserve">Amendment </w:t>
      </w:r>
      <w:r>
        <w:t>Rules are registered on the Federal Register of Legislation</w:t>
      </w:r>
      <w:r w:rsidR="002D5B40">
        <w:t>.  T</w:t>
      </w:r>
      <w:r>
        <w:t xml:space="preserve">he active provisions in </w:t>
      </w:r>
      <w:r w:rsidR="00282F18">
        <w:t>Schedule 1 of</w:t>
      </w:r>
      <w:r w:rsidR="00260997">
        <w:t xml:space="preserve"> the Amend</w:t>
      </w:r>
      <w:r w:rsidR="002B4B59">
        <w:t xml:space="preserve">ment Rules </w:t>
      </w:r>
      <w:r w:rsidR="00F4712B">
        <w:t xml:space="preserve">will </w:t>
      </w:r>
      <w:r w:rsidR="002B4B59">
        <w:t>commenc</w:t>
      </w:r>
      <w:r w:rsidR="002D5B40">
        <w:t>e</w:t>
      </w:r>
      <w:r w:rsidR="002B4B59">
        <w:t xml:space="preserve"> </w:t>
      </w:r>
      <w:r w:rsidR="00F5034C">
        <w:t xml:space="preserve">at the same time </w:t>
      </w:r>
      <w:r>
        <w:t>as</w:t>
      </w:r>
      <w:r w:rsidR="00F5034C">
        <w:t xml:space="preserve"> Part 4 of Schedule 5 to the </w:t>
      </w:r>
      <w:r w:rsidR="00F5034C" w:rsidRPr="0036074C">
        <w:rPr>
          <w:i/>
        </w:rPr>
        <w:t>Private Health Insurance Legislation Amendment Act 2018</w:t>
      </w:r>
      <w:r w:rsidR="00F5034C">
        <w:t xml:space="preserve"> commences</w:t>
      </w:r>
      <w:r>
        <w:t xml:space="preserve"> (the day after the Act receives Royal Assent)</w:t>
      </w:r>
      <w:r w:rsidR="002B4B59">
        <w:t>.</w:t>
      </w:r>
    </w:p>
    <w:p w:rsidR="00734E4D" w:rsidRDefault="00734E4D" w:rsidP="00260997">
      <w:pPr>
        <w:spacing w:before="120" w:after="120"/>
        <w:rPr>
          <w:b/>
        </w:rPr>
      </w:pPr>
    </w:p>
    <w:p w:rsidR="00734E4D" w:rsidRDefault="00734E4D" w:rsidP="00260997">
      <w:pPr>
        <w:spacing w:before="120" w:after="120"/>
        <w:rPr>
          <w:b/>
        </w:rPr>
      </w:pPr>
      <w:r>
        <w:rPr>
          <w:b/>
        </w:rPr>
        <w:t xml:space="preserve">Section 3 Authority </w:t>
      </w:r>
    </w:p>
    <w:p w:rsidR="00734E4D" w:rsidRDefault="004C41ED" w:rsidP="00260997">
      <w:pPr>
        <w:spacing w:before="120" w:after="120"/>
      </w:pPr>
      <w:r w:rsidRPr="004C41ED">
        <w:t xml:space="preserve">Section 3 provides that the Authority for </w:t>
      </w:r>
      <w:r w:rsidR="00E91E8B">
        <w:t xml:space="preserve">the Amendment Rules </w:t>
      </w:r>
      <w:r w:rsidRPr="004C41ED">
        <w:t xml:space="preserve">is </w:t>
      </w:r>
      <w:r w:rsidR="002D1B39">
        <w:t xml:space="preserve">section 333-20 of </w:t>
      </w:r>
      <w:r w:rsidRPr="004C41ED">
        <w:t xml:space="preserve">the </w:t>
      </w:r>
      <w:r w:rsidRPr="004C41ED">
        <w:rPr>
          <w:i/>
        </w:rPr>
        <w:t>Private Health Insurance Act 2007</w:t>
      </w:r>
      <w:r w:rsidRPr="004C41ED">
        <w:t xml:space="preserve"> (the Act).</w:t>
      </w:r>
    </w:p>
    <w:p w:rsidR="00734E4D" w:rsidRPr="00734E4D" w:rsidRDefault="00734E4D" w:rsidP="00260997">
      <w:pPr>
        <w:spacing w:before="120" w:after="120"/>
      </w:pPr>
    </w:p>
    <w:p w:rsidR="00734E4D" w:rsidRDefault="00734E4D" w:rsidP="00260997">
      <w:pPr>
        <w:spacing w:before="120" w:after="120"/>
        <w:rPr>
          <w:b/>
        </w:rPr>
      </w:pPr>
      <w:r>
        <w:rPr>
          <w:b/>
        </w:rPr>
        <w:t>Section 4 Schedules</w:t>
      </w:r>
    </w:p>
    <w:p w:rsidR="00734E4D" w:rsidRDefault="00260997" w:rsidP="00260997">
      <w:pPr>
        <w:spacing w:before="120" w:after="120"/>
      </w:pPr>
      <w:r>
        <w:t xml:space="preserve">Section </w:t>
      </w:r>
      <w:r w:rsidR="00734E4D">
        <w:t>4</w:t>
      </w:r>
      <w:r>
        <w:t xml:space="preserve"> provides that the Schedule to the Amendment Rules amends the </w:t>
      </w:r>
      <w:r>
        <w:rPr>
          <w:i/>
        </w:rPr>
        <w:t xml:space="preserve">Private Health Insurance (Complying Product) Rules </w:t>
      </w:r>
      <w:r w:rsidR="00CC140A">
        <w:rPr>
          <w:i/>
        </w:rPr>
        <w:t>2015</w:t>
      </w:r>
      <w:r>
        <w:t>.</w:t>
      </w:r>
    </w:p>
    <w:p w:rsidR="00260997" w:rsidRDefault="00260997" w:rsidP="00260997">
      <w:pPr>
        <w:spacing w:before="120" w:after="120"/>
      </w:pPr>
      <w:r>
        <w:t xml:space="preserve"> </w:t>
      </w:r>
    </w:p>
    <w:p w:rsidR="00260997" w:rsidRDefault="00260997" w:rsidP="00260997">
      <w:pPr>
        <w:spacing w:before="120" w:after="120"/>
        <w:rPr>
          <w:b/>
        </w:rPr>
      </w:pPr>
      <w:r>
        <w:rPr>
          <w:b/>
        </w:rPr>
        <w:t xml:space="preserve">Schedule </w:t>
      </w:r>
      <w:r w:rsidR="00E91E8B">
        <w:rPr>
          <w:b/>
        </w:rPr>
        <w:t xml:space="preserve">1 </w:t>
      </w:r>
      <w:r>
        <w:rPr>
          <w:b/>
        </w:rPr>
        <w:t>– Amendments</w:t>
      </w:r>
    </w:p>
    <w:p w:rsidR="00E97BCA" w:rsidRDefault="00E97BCA" w:rsidP="00260997">
      <w:pPr>
        <w:rPr>
          <w:b/>
          <w:i/>
        </w:rPr>
      </w:pPr>
    </w:p>
    <w:p w:rsidR="00E97BCA" w:rsidRPr="007B7330" w:rsidRDefault="00E97BCA" w:rsidP="00260997">
      <w:pPr>
        <w:rPr>
          <w:b/>
          <w:i/>
        </w:rPr>
      </w:pPr>
      <w:r w:rsidRPr="007B7330">
        <w:rPr>
          <w:b/>
          <w:i/>
        </w:rPr>
        <w:t>Private Health Insurance (Complying Product) Rules 2015</w:t>
      </w:r>
    </w:p>
    <w:p w:rsidR="00E97BCA" w:rsidRDefault="00E97BCA" w:rsidP="00260997">
      <w:pPr>
        <w:rPr>
          <w:b/>
        </w:rPr>
      </w:pPr>
    </w:p>
    <w:p w:rsidR="00260997" w:rsidRDefault="00260997" w:rsidP="00260997">
      <w:pPr>
        <w:rPr>
          <w:b/>
        </w:rPr>
      </w:pPr>
      <w:r>
        <w:rPr>
          <w:b/>
        </w:rPr>
        <w:t xml:space="preserve">Item 1 – </w:t>
      </w:r>
      <w:r w:rsidR="0015342B">
        <w:rPr>
          <w:b/>
        </w:rPr>
        <w:t>Rule 9AA</w:t>
      </w:r>
    </w:p>
    <w:p w:rsidR="00815BC2" w:rsidRDefault="00F4712B" w:rsidP="00815BC2">
      <w:r>
        <w:t>Rule 9AA is expressed as being made f</w:t>
      </w:r>
      <w:r w:rsidR="00E91E8B">
        <w:t>or the purpose of</w:t>
      </w:r>
      <w:r w:rsidR="00CD4A52">
        <w:t xml:space="preserve"> subparagraph </w:t>
      </w:r>
      <w:r w:rsidR="00CD4A52" w:rsidRPr="0036074C">
        <w:t>78-1(5A)(c) of the Act</w:t>
      </w:r>
      <w:r w:rsidR="00CD4A52">
        <w:t xml:space="preserve">, </w:t>
      </w:r>
      <w:r>
        <w:t xml:space="preserve">and </w:t>
      </w:r>
      <w:r w:rsidR="00CD4A52">
        <w:t>sets out t</w:t>
      </w:r>
      <w:r w:rsidR="0015342B">
        <w:t>he</w:t>
      </w:r>
      <w:r w:rsidR="00E91E8B">
        <w:t xml:space="preserve"> follow</w:t>
      </w:r>
      <w:r w:rsidR="00815BC2">
        <w:t>ing</w:t>
      </w:r>
      <w:r w:rsidR="0015342B">
        <w:t xml:space="preserve"> </w:t>
      </w:r>
      <w:r w:rsidR="00CD4A52">
        <w:t>matters</w:t>
      </w:r>
      <w:r w:rsidR="0015342B">
        <w:t xml:space="preserve"> that an insurer must </w:t>
      </w:r>
      <w:r w:rsidR="00CD4A52">
        <w:t>communicat</w:t>
      </w:r>
      <w:r w:rsidR="0015342B">
        <w:t xml:space="preserve">e to </w:t>
      </w:r>
      <w:r w:rsidR="00724372">
        <w:t>the</w:t>
      </w:r>
      <w:r w:rsidR="0015342B">
        <w:t xml:space="preserve"> adult </w:t>
      </w:r>
      <w:r w:rsidR="00815BC2">
        <w:t xml:space="preserve">insured under a policy </w:t>
      </w:r>
      <w:r w:rsidR="00E91E8B">
        <w:t>where the insurer proposes terminat</w:t>
      </w:r>
      <w:r w:rsidR="000D06A4">
        <w:t>ing</w:t>
      </w:r>
      <w:r w:rsidR="00E91E8B">
        <w:t xml:space="preserve"> a product or product subgroup and transfer</w:t>
      </w:r>
      <w:r w:rsidR="000D06A4">
        <w:t>ring</w:t>
      </w:r>
      <w:r w:rsidR="00E91E8B">
        <w:t xml:space="preserve"> </w:t>
      </w:r>
      <w:r w:rsidR="002D5B40">
        <w:t>an</w:t>
      </w:r>
      <w:r w:rsidR="00E91E8B">
        <w:t xml:space="preserve"> </w:t>
      </w:r>
      <w:r w:rsidR="00815BC2">
        <w:t xml:space="preserve">adult </w:t>
      </w:r>
      <w:r w:rsidR="00E91E8B">
        <w:t>to a new policy</w:t>
      </w:r>
      <w:r w:rsidR="00815BC2">
        <w:t>:</w:t>
      </w:r>
    </w:p>
    <w:p w:rsidR="0015342B" w:rsidRDefault="0015342B" w:rsidP="0015342B"/>
    <w:p w:rsidR="002D5B40" w:rsidRDefault="002D1B39" w:rsidP="0036074C">
      <w:pPr>
        <w:ind w:left="360"/>
      </w:pPr>
      <w:r>
        <w:t xml:space="preserve">(a) </w:t>
      </w:r>
      <w:r w:rsidR="00815BC2">
        <w:t>advice that the</w:t>
      </w:r>
      <w:r w:rsidR="002D5B40">
        <w:t>ir</w:t>
      </w:r>
      <w:r w:rsidR="00815BC2">
        <w:t xml:space="preserve"> </w:t>
      </w:r>
      <w:r w:rsidR="002D5B40">
        <w:t xml:space="preserve">policy is part of a </w:t>
      </w:r>
      <w:r w:rsidR="00815BC2">
        <w:t xml:space="preserve">product or product sub-group </w:t>
      </w:r>
      <w:r w:rsidR="002D5B40">
        <w:t xml:space="preserve">that </w:t>
      </w:r>
      <w:r w:rsidR="00815BC2">
        <w:t>is terminating</w:t>
      </w:r>
      <w:r w:rsidR="002D5B40">
        <w:t>;</w:t>
      </w:r>
      <w:r w:rsidR="00815BC2">
        <w:t xml:space="preserve"> </w:t>
      </w:r>
    </w:p>
    <w:p w:rsidR="002D5B40" w:rsidRDefault="002D1B39" w:rsidP="007B7330">
      <w:pPr>
        <w:ind w:left="360"/>
      </w:pPr>
      <w:r>
        <w:t xml:space="preserve">(b) </w:t>
      </w:r>
      <w:r w:rsidR="002D5B40">
        <w:t xml:space="preserve">that people insured under the policy are to </w:t>
      </w:r>
      <w:r w:rsidR="00815BC2">
        <w:t xml:space="preserve">be transferred to another </w:t>
      </w:r>
      <w:r>
        <w:t xml:space="preserve">insurance </w:t>
      </w:r>
      <w:r w:rsidR="00815BC2">
        <w:t>policy</w:t>
      </w:r>
      <w:r w:rsidR="000D06A4">
        <w:t xml:space="preserve"> </w:t>
      </w:r>
      <w:r w:rsidR="00746B05">
        <w:t xml:space="preserve">and the date of </w:t>
      </w:r>
      <w:r w:rsidR="00815BC2">
        <w:t>transfer</w:t>
      </w:r>
      <w:r w:rsidR="00724372">
        <w:t>;</w:t>
      </w:r>
      <w:r w:rsidR="00815BC2">
        <w:t xml:space="preserve"> </w:t>
      </w:r>
    </w:p>
    <w:p w:rsidR="00815BC2" w:rsidRDefault="002D1B39" w:rsidP="007B7330">
      <w:pPr>
        <w:ind w:left="360"/>
      </w:pPr>
      <w:r>
        <w:t xml:space="preserve">(c) </w:t>
      </w:r>
      <w:r w:rsidR="00724372">
        <w:t>that the</w:t>
      </w:r>
      <w:r w:rsidR="00815BC2">
        <w:t xml:space="preserve"> insured</w:t>
      </w:r>
      <w:r w:rsidR="002D5B40">
        <w:t xml:space="preserve"> people</w:t>
      </w:r>
      <w:r w:rsidR="00815BC2">
        <w:t xml:space="preserve"> may choose to transfer to </w:t>
      </w:r>
      <w:r w:rsidR="000D06A4">
        <w:t>a different</w:t>
      </w:r>
      <w:r w:rsidR="00815BC2">
        <w:t xml:space="preserve"> policy, but if they do not choose </w:t>
      </w:r>
      <w:r w:rsidR="000D06A4">
        <w:t>a different</w:t>
      </w:r>
      <w:r w:rsidR="00815BC2">
        <w:t xml:space="preserve"> policy by the transfer date they will be transferred to </w:t>
      </w:r>
      <w:r w:rsidR="000D06A4">
        <w:t>the</w:t>
      </w:r>
      <w:r w:rsidR="00815BC2">
        <w:t xml:space="preserve"> specified default policy on the transfer date;</w:t>
      </w:r>
    </w:p>
    <w:p w:rsidR="002D5B40" w:rsidRDefault="002D1B39" w:rsidP="007B7330">
      <w:pPr>
        <w:ind w:left="360"/>
      </w:pPr>
      <w:r>
        <w:t xml:space="preserve">(d) </w:t>
      </w:r>
      <w:r w:rsidR="0015342B">
        <w:t xml:space="preserve">details about the </w:t>
      </w:r>
      <w:r w:rsidR="00815BC2">
        <w:t>default</w:t>
      </w:r>
      <w:r w:rsidR="002D5B40">
        <w:t xml:space="preserve"> policy:</w:t>
      </w:r>
    </w:p>
    <w:p w:rsidR="002D5B40" w:rsidRDefault="002D5B40" w:rsidP="002D5B40">
      <w:pPr>
        <w:pStyle w:val="ListParagraph"/>
        <w:numPr>
          <w:ilvl w:val="1"/>
          <w:numId w:val="49"/>
        </w:numPr>
      </w:pPr>
      <w:r>
        <w:t xml:space="preserve">the relevant standard information statement; </w:t>
      </w:r>
    </w:p>
    <w:p w:rsidR="002D5B40" w:rsidRDefault="002D5B40" w:rsidP="002D5B40">
      <w:pPr>
        <w:pStyle w:val="ListParagraph"/>
        <w:numPr>
          <w:ilvl w:val="1"/>
          <w:numId w:val="49"/>
        </w:numPr>
      </w:pPr>
      <w:r>
        <w:t xml:space="preserve">premium for </w:t>
      </w:r>
      <w:r w:rsidR="00724372">
        <w:t>t</w:t>
      </w:r>
      <w:r>
        <w:t>he default policy, including any premium incr</w:t>
      </w:r>
      <w:r w:rsidR="00724372">
        <w:t>e</w:t>
      </w:r>
      <w:r>
        <w:t>ases associated with lifetime health cover provisions in Part 2-3 of the Act, and any discounts that might apply;</w:t>
      </w:r>
    </w:p>
    <w:p w:rsidR="002D5B40" w:rsidRDefault="002D5B40" w:rsidP="002D5B40">
      <w:pPr>
        <w:pStyle w:val="ListParagraph"/>
        <w:numPr>
          <w:ilvl w:val="1"/>
          <w:numId w:val="49"/>
        </w:numPr>
      </w:pPr>
      <w:r>
        <w:t>differences between the excesses or co-payments payable under the terminating policy and the default policy</w:t>
      </w:r>
      <w:r w:rsidR="00724372">
        <w:t>;</w:t>
      </w:r>
    </w:p>
    <w:p w:rsidR="00724372" w:rsidRDefault="00724372" w:rsidP="002D5B40">
      <w:pPr>
        <w:pStyle w:val="ListParagraph"/>
        <w:numPr>
          <w:ilvl w:val="1"/>
          <w:numId w:val="49"/>
        </w:numPr>
      </w:pPr>
      <w:r>
        <w:t xml:space="preserve">any services covered under the terminating policy that will not be covered under the </w:t>
      </w:r>
      <w:r w:rsidR="000D06A4">
        <w:t>default</w:t>
      </w:r>
      <w:r>
        <w:t xml:space="preserve"> policy</w:t>
      </w:r>
      <w:r w:rsidR="000D06A4">
        <w:t>;</w:t>
      </w:r>
      <w:r w:rsidR="0015342B">
        <w:t xml:space="preserve"> </w:t>
      </w:r>
    </w:p>
    <w:p w:rsidR="00724372" w:rsidRDefault="002D1B39" w:rsidP="007B7330">
      <w:pPr>
        <w:ind w:left="360"/>
      </w:pPr>
      <w:r>
        <w:t xml:space="preserve">(e) other </w:t>
      </w:r>
      <w:r w:rsidR="00724372">
        <w:t>details about the transfer</w:t>
      </w:r>
      <w:r w:rsidR="000D06A4">
        <w:t>:</w:t>
      </w:r>
    </w:p>
    <w:p w:rsidR="0015342B" w:rsidRDefault="00724372" w:rsidP="002D5B40">
      <w:pPr>
        <w:pStyle w:val="ListParagraph"/>
        <w:numPr>
          <w:ilvl w:val="1"/>
          <w:numId w:val="49"/>
        </w:numPr>
      </w:pPr>
      <w:r>
        <w:t>that if a person transfers from a</w:t>
      </w:r>
      <w:r w:rsidR="001B6364">
        <w:t>n old</w:t>
      </w:r>
      <w:r>
        <w:t xml:space="preserve"> terminating policy to a </w:t>
      </w:r>
      <w:r w:rsidR="001B6364">
        <w:t xml:space="preserve">new </w:t>
      </w:r>
      <w:r>
        <w:t xml:space="preserve">policy (either of their own choice or the default) they will be considered to have satisfied any waiting periods for hospital or hospital-substitute treatments that are covered by both </w:t>
      </w:r>
      <w:r w:rsidR="001B6364">
        <w:t xml:space="preserve">the old and new </w:t>
      </w:r>
      <w:r>
        <w:t>policies to the extent that they satisfied the waiting periods under the old policy</w:t>
      </w:r>
      <w:r w:rsidR="0015342B">
        <w:t xml:space="preserve">; </w:t>
      </w:r>
    </w:p>
    <w:p w:rsidR="001B6364" w:rsidRDefault="001B6364" w:rsidP="002D5B40">
      <w:pPr>
        <w:pStyle w:val="ListParagraph"/>
        <w:numPr>
          <w:ilvl w:val="1"/>
          <w:numId w:val="49"/>
        </w:numPr>
      </w:pPr>
      <w:r>
        <w:t>that if a person transfers from an old terminating policy to a default policy and then moves to another policy (the replacement policy):</w:t>
      </w:r>
    </w:p>
    <w:p w:rsidR="001B6364" w:rsidRDefault="001B6364" w:rsidP="001B6364">
      <w:pPr>
        <w:pStyle w:val="ListParagraph"/>
        <w:numPr>
          <w:ilvl w:val="2"/>
          <w:numId w:val="49"/>
        </w:numPr>
      </w:pPr>
      <w:r>
        <w:t xml:space="preserve">where there are treatments under the replacement policy that were not covered on the default policy, they may have to serve waiting periods under the replacement policy even </w:t>
      </w:r>
      <w:r w:rsidR="000D06A4">
        <w:t xml:space="preserve">where </w:t>
      </w:r>
      <w:r>
        <w:t xml:space="preserve">those treatments had been covered by the original terminating policy; </w:t>
      </w:r>
    </w:p>
    <w:p w:rsidR="00724372" w:rsidRDefault="001B6364" w:rsidP="001B6364">
      <w:pPr>
        <w:pStyle w:val="ListParagraph"/>
        <w:numPr>
          <w:ilvl w:val="2"/>
          <w:numId w:val="49"/>
        </w:numPr>
      </w:pPr>
      <w:r>
        <w:t xml:space="preserve">where the default policy had higher excesses or co-payments than the replacement policy, those higher amounts under the default policy might continue to apply for a period of time under the replacement policy. </w:t>
      </w:r>
    </w:p>
    <w:p w:rsidR="00260997" w:rsidRDefault="00260997" w:rsidP="0015342B"/>
    <w:p w:rsidR="001B6364" w:rsidRDefault="001B6364" w:rsidP="0015342B">
      <w:r>
        <w:t xml:space="preserve">These provisions ensure that consumers are well informed about changes to their policies when insurers decide not to continue to offer certain products or product sub-groups.  The information will </w:t>
      </w:r>
      <w:r w:rsidR="000D06A4">
        <w:t xml:space="preserve">equip </w:t>
      </w:r>
      <w:r>
        <w:t xml:space="preserve">consumers to decide about </w:t>
      </w:r>
      <w:r w:rsidR="000D06A4">
        <w:t xml:space="preserve">the </w:t>
      </w:r>
      <w:r>
        <w:t xml:space="preserve">consequences of moving to </w:t>
      </w:r>
      <w:r w:rsidR="00F24A2D">
        <w:t>a</w:t>
      </w:r>
      <w:r>
        <w:t xml:space="preserve"> default policy specified by the insurer, and</w:t>
      </w:r>
      <w:r w:rsidR="000D06A4">
        <w:t xml:space="preserve"> also</w:t>
      </w:r>
      <w:r>
        <w:t xml:space="preserve"> the timeline and i</w:t>
      </w:r>
      <w:r w:rsidR="000D06A4">
        <w:t>mplications for the timing of their decision should the</w:t>
      </w:r>
      <w:r w:rsidR="00746B05">
        <w:t>y</w:t>
      </w:r>
      <w:r w:rsidR="000D06A4">
        <w:t xml:space="preserve"> decide </w:t>
      </w:r>
      <w:r>
        <w:t xml:space="preserve">to move to a different policy. </w:t>
      </w:r>
    </w:p>
    <w:p w:rsidR="00024783" w:rsidRDefault="00260997" w:rsidP="00AD64A3">
      <w:pPr>
        <w:rPr>
          <w:szCs w:val="24"/>
          <w:lang w:eastAsia="en-US"/>
        </w:rPr>
      </w:pPr>
      <w:r>
        <w:rPr>
          <w:szCs w:val="24"/>
          <w:lang w:eastAsia="en-US"/>
        </w:rPr>
        <w:br w:type="page"/>
      </w:r>
    </w:p>
    <w:p w:rsidR="00024783" w:rsidRDefault="000F3A18" w:rsidP="00024783">
      <w:pPr>
        <w:spacing w:after="200" w:line="276" w:lineRule="auto"/>
        <w:ind w:left="720" w:hanging="720"/>
        <w:rPr>
          <w:rFonts w:ascii="Calibri" w:eastAsia="Calibri" w:hAnsi="Calibri"/>
          <w:sz w:val="22"/>
          <w:szCs w:val="22"/>
          <w:lang w:eastAsia="en-US"/>
        </w:rPr>
      </w:pPr>
      <w:r>
        <w:rPr>
          <w:rFonts w:ascii="Calibri" w:eastAsia="Calibri" w:hAnsi="Calibri"/>
          <w:noProof/>
          <w:sz w:val="22"/>
          <w:szCs w:val="22"/>
        </w:rPr>
        <mc:AlternateContent>
          <mc:Choice Requires="wps">
            <w:drawing>
              <wp:anchor distT="0" distB="0" distL="114300" distR="114300" simplePos="0" relativeHeight="251657728" behindDoc="0" locked="0" layoutInCell="1" allowOverlap="1" wp14:anchorId="2CC9CE6A" wp14:editId="5500804A">
                <wp:simplePos x="0" y="0"/>
                <wp:positionH relativeFrom="column">
                  <wp:posOffset>-213995</wp:posOffset>
                </wp:positionH>
                <wp:positionV relativeFrom="paragraph">
                  <wp:posOffset>67945</wp:posOffset>
                </wp:positionV>
                <wp:extent cx="6436360" cy="8938260"/>
                <wp:effectExtent l="0" t="0" r="0" b="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6360" cy="8938260"/>
                        </a:xfrm>
                        <a:prstGeom prst="rect">
                          <a:avLst/>
                        </a:prstGeom>
                        <a:solidFill>
                          <a:srgbClr val="FFFFFF"/>
                        </a:solidFill>
                        <a:ln w="76200" cmpd="tri">
                          <a:solidFill>
                            <a:srgbClr val="000000"/>
                          </a:solidFill>
                          <a:miter lim="800000"/>
                          <a:headEnd/>
                          <a:tailEnd/>
                        </a:ln>
                      </wps:spPr>
                      <wps:txbx>
                        <w:txbxContent>
                          <w:p w:rsidR="004709C4" w:rsidRPr="00E4135E" w:rsidRDefault="004709C4" w:rsidP="00024783">
                            <w:pPr>
                              <w:spacing w:before="360" w:after="120"/>
                              <w:jc w:val="center"/>
                              <w:rPr>
                                <w:b/>
                                <w:sz w:val="28"/>
                                <w:szCs w:val="28"/>
                              </w:rPr>
                            </w:pPr>
                            <w:r w:rsidRPr="00E4135E">
                              <w:rPr>
                                <w:b/>
                                <w:sz w:val="28"/>
                                <w:szCs w:val="28"/>
                              </w:rPr>
                              <w:t>Statement of Compatibility with Human Rights</w:t>
                            </w:r>
                          </w:p>
                          <w:p w:rsidR="004709C4" w:rsidRPr="00E4135E" w:rsidRDefault="004709C4" w:rsidP="00024783">
                            <w:pPr>
                              <w:spacing w:before="120" w:after="120"/>
                              <w:jc w:val="center"/>
                              <w:rPr>
                                <w:szCs w:val="24"/>
                              </w:rPr>
                            </w:pPr>
                            <w:r w:rsidRPr="00E4135E">
                              <w:rPr>
                                <w:i/>
                                <w:szCs w:val="24"/>
                              </w:rPr>
                              <w:t>Prepared in accordance with Part 3 of the Human Rights (Parliamentary Scrutiny) Act 2011</w:t>
                            </w:r>
                          </w:p>
                          <w:p w:rsidR="004709C4" w:rsidRPr="00E4135E" w:rsidRDefault="004709C4" w:rsidP="00A163C5">
                            <w:pPr>
                              <w:jc w:val="center"/>
                              <w:rPr>
                                <w:szCs w:val="24"/>
                              </w:rPr>
                            </w:pPr>
                          </w:p>
                          <w:p w:rsidR="00657833" w:rsidRDefault="00657833" w:rsidP="00657833">
                            <w:pPr>
                              <w:spacing w:before="120" w:after="120"/>
                              <w:jc w:val="center"/>
                              <w:rPr>
                                <w:b/>
                                <w:szCs w:val="24"/>
                              </w:rPr>
                            </w:pPr>
                            <w:r w:rsidRPr="00657833">
                              <w:rPr>
                                <w:b/>
                                <w:szCs w:val="24"/>
                              </w:rPr>
                              <w:t>Private Health Insurance (Complying Product) Amendment (Terminating Products) Rules 2018</w:t>
                            </w:r>
                          </w:p>
                          <w:p w:rsidR="004709C4" w:rsidRPr="00E4135E" w:rsidRDefault="004709C4" w:rsidP="001C1E87">
                            <w:pPr>
                              <w:spacing w:before="120" w:after="120"/>
                              <w:rPr>
                                <w:szCs w:val="24"/>
                              </w:rPr>
                            </w:pPr>
                            <w:r w:rsidRPr="00E4135E">
                              <w:rPr>
                                <w:szCs w:val="24"/>
                              </w:rPr>
                              <w:t>Thi</w:t>
                            </w:r>
                            <w:r>
                              <w:rPr>
                                <w:szCs w:val="24"/>
                              </w:rPr>
                              <w:t xml:space="preserve">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A163C5" w:rsidRDefault="00A163C5" w:rsidP="00A163C5">
                            <w:pPr>
                              <w:jc w:val="both"/>
                              <w:rPr>
                                <w:b/>
                                <w:szCs w:val="24"/>
                              </w:rPr>
                            </w:pPr>
                          </w:p>
                          <w:p w:rsidR="004709C4" w:rsidRPr="00A163C5" w:rsidRDefault="004709C4" w:rsidP="00024783">
                            <w:pPr>
                              <w:spacing w:before="120" w:after="120"/>
                              <w:jc w:val="both"/>
                              <w:rPr>
                                <w:b/>
                                <w:szCs w:val="24"/>
                              </w:rPr>
                            </w:pPr>
                            <w:r w:rsidRPr="00A163C5">
                              <w:rPr>
                                <w:b/>
                                <w:szCs w:val="24"/>
                              </w:rPr>
                              <w:t>Overview of the Legislative Instrument</w:t>
                            </w:r>
                          </w:p>
                          <w:p w:rsidR="004354C4" w:rsidRPr="00E00DEC" w:rsidRDefault="004354C4" w:rsidP="004354C4">
                            <w:pPr>
                              <w:autoSpaceDE w:val="0"/>
                              <w:autoSpaceDN w:val="0"/>
                              <w:adjustRightInd w:val="0"/>
                              <w:spacing w:before="120" w:after="120"/>
                              <w:rPr>
                                <w:szCs w:val="24"/>
                              </w:rPr>
                            </w:pPr>
                            <w:r>
                              <w:rPr>
                                <w:szCs w:val="24"/>
                              </w:rPr>
                              <w:t xml:space="preserve">The </w:t>
                            </w:r>
                            <w:r w:rsidR="00657833" w:rsidRPr="00657833">
                              <w:rPr>
                                <w:i/>
                                <w:szCs w:val="24"/>
                              </w:rPr>
                              <w:t xml:space="preserve">Private Health Insurance (Complying Product) Amendment (Terminating Products) Rules 2018 </w:t>
                            </w:r>
                            <w:r>
                              <w:rPr>
                                <w:szCs w:val="24"/>
                              </w:rPr>
                              <w:t>amend</w:t>
                            </w:r>
                            <w:r w:rsidR="00745480">
                              <w:rPr>
                                <w:szCs w:val="24"/>
                              </w:rPr>
                              <w:t>s</w:t>
                            </w:r>
                            <w:r w:rsidRPr="00821B06">
                              <w:rPr>
                                <w:szCs w:val="24"/>
                              </w:rPr>
                              <w:t xml:space="preserve"> </w:t>
                            </w:r>
                            <w:r>
                              <w:rPr>
                                <w:szCs w:val="24"/>
                              </w:rPr>
                              <w:t xml:space="preserve">the </w:t>
                            </w:r>
                            <w:r>
                              <w:rPr>
                                <w:i/>
                                <w:szCs w:val="24"/>
                              </w:rPr>
                              <w:t xml:space="preserve">Private Health Insurance (Complying Product) Rules </w:t>
                            </w:r>
                            <w:r w:rsidR="00D067D7">
                              <w:rPr>
                                <w:i/>
                                <w:szCs w:val="24"/>
                              </w:rPr>
                              <w:t>2015</w:t>
                            </w:r>
                            <w:r>
                              <w:rPr>
                                <w:szCs w:val="24"/>
                              </w:rPr>
                              <w:t xml:space="preserve"> </w:t>
                            </w:r>
                            <w:r>
                              <w:t xml:space="preserve">to </w:t>
                            </w:r>
                            <w:r w:rsidR="006B561F">
                              <w:t>set out requirements for insure</w:t>
                            </w:r>
                            <w:r w:rsidR="001A2C97">
                              <w:t xml:space="preserve">rs to notify </w:t>
                            </w:r>
                            <w:r w:rsidR="006B561F">
                              <w:t xml:space="preserve">adult </w:t>
                            </w:r>
                            <w:r w:rsidR="001A2C97">
                              <w:t xml:space="preserve">policyholders </w:t>
                            </w:r>
                            <w:r w:rsidR="006B561F">
                              <w:t>of certain matters when</w:t>
                            </w:r>
                            <w:r w:rsidR="001A2C97">
                              <w:t xml:space="preserve"> they hold a product that will be terminated.  Policyholders can</w:t>
                            </w:r>
                            <w:r w:rsidR="006B561F">
                              <w:t xml:space="preserve"> then</w:t>
                            </w:r>
                            <w:r w:rsidR="001A2C97">
                              <w:t xml:space="preserve"> choose a new policy, or will be transferred to a default policy as set out in the information provided to them. </w:t>
                            </w:r>
                          </w:p>
                          <w:p w:rsidR="004709C4" w:rsidRPr="005928F0" w:rsidRDefault="004709C4" w:rsidP="00C31644">
                            <w:pPr>
                              <w:autoSpaceDE w:val="0"/>
                              <w:autoSpaceDN w:val="0"/>
                              <w:adjustRightInd w:val="0"/>
                              <w:rPr>
                                <w:szCs w:val="24"/>
                                <w:highlight w:val="yellow"/>
                              </w:rPr>
                            </w:pPr>
                          </w:p>
                          <w:p w:rsidR="004709C4" w:rsidRPr="00A163C5" w:rsidRDefault="004709C4" w:rsidP="00024783">
                            <w:pPr>
                              <w:spacing w:before="120" w:after="120"/>
                              <w:rPr>
                                <w:b/>
                                <w:szCs w:val="24"/>
                              </w:rPr>
                            </w:pPr>
                            <w:r w:rsidRPr="00A163C5">
                              <w:rPr>
                                <w:b/>
                                <w:szCs w:val="24"/>
                              </w:rPr>
                              <w:t>Human rights implications</w:t>
                            </w:r>
                          </w:p>
                          <w:p w:rsidR="00435BAA" w:rsidRDefault="00435BAA" w:rsidP="00435BAA">
                            <w:pPr>
                              <w:autoSpaceDE w:val="0"/>
                              <w:autoSpaceDN w:val="0"/>
                              <w:adjustRightInd w:val="0"/>
                              <w:spacing w:before="120" w:after="120"/>
                              <w:rPr>
                                <w:color w:val="000000"/>
                                <w:szCs w:val="24"/>
                              </w:rPr>
                            </w:pPr>
                            <w:r>
                              <w:rPr>
                                <w:color w:val="000000"/>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rsidR="00435BAA" w:rsidRDefault="00435BAA" w:rsidP="00435BAA">
                            <w:pPr>
                              <w:autoSpaceDE w:val="0"/>
                              <w:autoSpaceDN w:val="0"/>
                              <w:adjustRightInd w:val="0"/>
                              <w:rPr>
                                <w:color w:val="000000"/>
                                <w:szCs w:val="24"/>
                              </w:rPr>
                            </w:pPr>
                          </w:p>
                          <w:p w:rsidR="00435BAA" w:rsidRDefault="00435BAA" w:rsidP="00435BAA">
                            <w:pPr>
                              <w:rPr>
                                <w:color w:val="000000"/>
                                <w:szCs w:val="24"/>
                              </w:rPr>
                            </w:pPr>
                            <w:r>
                              <w:rPr>
                                <w:color w:val="000000"/>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w:t>
                            </w:r>
                            <w:r w:rsidR="001E60DD">
                              <w:rPr>
                                <w:color w:val="000000"/>
                                <w:szCs w:val="24"/>
                              </w:rPr>
                              <w:t>,</w:t>
                            </w:r>
                            <w:r>
                              <w:rPr>
                                <w:color w:val="000000"/>
                                <w:szCs w:val="24"/>
                              </w:rPr>
                              <w:t xml:space="preserve"> and requires insurers not to differentiate the premiums they charge according to individual health characteristics such as poor health.  </w:t>
                            </w:r>
                          </w:p>
                          <w:p w:rsidR="00A163C5" w:rsidRDefault="00A163C5" w:rsidP="00A163C5">
                            <w:pPr>
                              <w:rPr>
                                <w:szCs w:val="24"/>
                              </w:rPr>
                            </w:pPr>
                          </w:p>
                          <w:p w:rsidR="00A163C5" w:rsidRDefault="00A163C5" w:rsidP="00A163C5">
                            <w:pPr>
                              <w:rPr>
                                <w:b/>
                                <w:szCs w:val="24"/>
                              </w:rPr>
                            </w:pPr>
                            <w:r>
                              <w:rPr>
                                <w:b/>
                                <w:szCs w:val="24"/>
                              </w:rPr>
                              <w:t>Conclusion</w:t>
                            </w:r>
                          </w:p>
                          <w:p w:rsidR="00A163C5" w:rsidRDefault="00A163C5" w:rsidP="00A163C5">
                            <w:pPr>
                              <w:spacing w:before="120" w:after="120"/>
                              <w:rPr>
                                <w:b/>
                                <w:szCs w:val="24"/>
                              </w:rPr>
                            </w:pPr>
                            <w:r>
                              <w:rPr>
                                <w:szCs w:val="24"/>
                              </w:rPr>
                              <w:t>This legislative instrument is compatible with human rights because it advances the protection of human rights.</w:t>
                            </w:r>
                          </w:p>
                          <w:p w:rsidR="00A163C5" w:rsidRDefault="00A163C5" w:rsidP="00A163C5">
                            <w:pPr>
                              <w:jc w:val="center"/>
                              <w:rPr>
                                <w:b/>
                                <w:szCs w:val="24"/>
                              </w:rPr>
                            </w:pPr>
                          </w:p>
                          <w:p w:rsidR="004709C4" w:rsidRDefault="001C1E87" w:rsidP="00A163C5">
                            <w:pPr>
                              <w:spacing w:after="240"/>
                              <w:jc w:val="center"/>
                              <w:rPr>
                                <w:b/>
                                <w:szCs w:val="24"/>
                              </w:rPr>
                            </w:pPr>
                            <w:r>
                              <w:rPr>
                                <w:b/>
                                <w:szCs w:val="24"/>
                              </w:rPr>
                              <w:t>Susan Azmi</w:t>
                            </w:r>
                          </w:p>
                          <w:p w:rsidR="004709C4" w:rsidRDefault="001C1E87" w:rsidP="00A163C5">
                            <w:pPr>
                              <w:spacing w:after="240"/>
                              <w:jc w:val="center"/>
                              <w:rPr>
                                <w:b/>
                                <w:szCs w:val="24"/>
                              </w:rPr>
                            </w:pPr>
                            <w:r>
                              <w:rPr>
                                <w:b/>
                                <w:szCs w:val="24"/>
                              </w:rPr>
                              <w:t xml:space="preserve">Acting </w:t>
                            </w:r>
                            <w:r w:rsidR="004709C4">
                              <w:rPr>
                                <w:b/>
                                <w:szCs w:val="24"/>
                              </w:rPr>
                              <w:t>Assistant Secretary</w:t>
                            </w:r>
                          </w:p>
                          <w:p w:rsidR="00874125" w:rsidRDefault="00874125" w:rsidP="00A163C5">
                            <w:pPr>
                              <w:spacing w:after="240"/>
                              <w:jc w:val="center"/>
                              <w:rPr>
                                <w:b/>
                                <w:szCs w:val="24"/>
                              </w:rPr>
                            </w:pPr>
                            <w:r>
                              <w:rPr>
                                <w:b/>
                                <w:szCs w:val="24"/>
                              </w:rPr>
                              <w:t xml:space="preserve">Private Health Insurance Branch </w:t>
                            </w:r>
                          </w:p>
                          <w:p w:rsidR="004709C4" w:rsidRDefault="001C1E87" w:rsidP="00A163C5">
                            <w:pPr>
                              <w:spacing w:after="240"/>
                              <w:jc w:val="center"/>
                              <w:rPr>
                                <w:b/>
                                <w:szCs w:val="24"/>
                              </w:rPr>
                            </w:pPr>
                            <w:r>
                              <w:rPr>
                                <w:b/>
                                <w:szCs w:val="24"/>
                              </w:rPr>
                              <w:t>Medical</w:t>
                            </w:r>
                            <w:r w:rsidR="001A630B">
                              <w:rPr>
                                <w:b/>
                                <w:szCs w:val="24"/>
                              </w:rPr>
                              <w:t xml:space="preserve"> </w:t>
                            </w:r>
                            <w:r w:rsidR="00745480">
                              <w:rPr>
                                <w:b/>
                                <w:szCs w:val="24"/>
                              </w:rPr>
                              <w:t>Benefits Division</w:t>
                            </w:r>
                          </w:p>
                          <w:p w:rsidR="004709C4" w:rsidRDefault="00FA7516" w:rsidP="00A163C5">
                            <w:pPr>
                              <w:spacing w:after="240"/>
                              <w:jc w:val="center"/>
                              <w:rPr>
                                <w:b/>
                                <w:szCs w:val="24"/>
                              </w:rPr>
                            </w:pPr>
                            <w:r>
                              <w:rPr>
                                <w:b/>
                                <w:szCs w:val="24"/>
                              </w:rPr>
                              <w:t>Department of Health</w:t>
                            </w:r>
                          </w:p>
                          <w:p w:rsidR="004709C4" w:rsidRPr="00E4135E" w:rsidRDefault="004709C4" w:rsidP="00C31644">
                            <w:pPr>
                              <w:spacing w:before="120" w:after="120"/>
                              <w:rPr>
                                <w:szCs w:val="24"/>
                              </w:rPr>
                            </w:pPr>
                          </w:p>
                        </w:txbxContent>
                      </wps:txbx>
                      <wps:bodyPr rot="0" vert="horz" wrap="square" lIns="180000" tIns="45720" rIns="180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9CE6A" id="Rectangle 6" o:spid="_x0000_s1026" style="position:absolute;left:0;text-align:left;margin-left:-16.85pt;margin-top:5.35pt;width:506.8pt;height:70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" strokeweight="6pt">
                <v:stroke linestyle="thickBetweenThin"/>
                <v:textbox inset="5mm,,5mm">
                  <w:txbxContent>
                    <w:p w:rsidR="004709C4" w:rsidRPr="00E4135E" w:rsidRDefault="004709C4" w:rsidP="00024783">
                      <w:pPr>
                        <w:spacing w:before="360" w:after="120"/>
                        <w:jc w:val="center"/>
                        <w:rPr>
                          <w:b/>
                          <w:sz w:val="28"/>
                          <w:szCs w:val="28"/>
                        </w:rPr>
                      </w:pPr>
                      <w:r w:rsidRPr="00E4135E">
                        <w:rPr>
                          <w:b/>
                          <w:sz w:val="28"/>
                          <w:szCs w:val="28"/>
                        </w:rPr>
                        <w:t>Statement of Compatibility with Human Rights</w:t>
                      </w:r>
                    </w:p>
                    <w:p w:rsidR="004709C4" w:rsidRPr="00E4135E" w:rsidRDefault="004709C4" w:rsidP="00024783">
                      <w:pPr>
                        <w:spacing w:before="120" w:after="120"/>
                        <w:jc w:val="center"/>
                        <w:rPr>
                          <w:szCs w:val="24"/>
                        </w:rPr>
                      </w:pPr>
                      <w:r w:rsidRPr="00E4135E">
                        <w:rPr>
                          <w:i/>
                          <w:szCs w:val="24"/>
                        </w:rPr>
                        <w:t>Prepared in accordance with Part 3 of the Human Rights (Parliamentary Scrutiny) Act 2011</w:t>
                      </w:r>
                    </w:p>
                    <w:p w:rsidR="004709C4" w:rsidRPr="00E4135E" w:rsidRDefault="004709C4" w:rsidP="00A163C5">
                      <w:pPr>
                        <w:jc w:val="center"/>
                        <w:rPr>
                          <w:szCs w:val="24"/>
                        </w:rPr>
                      </w:pPr>
                    </w:p>
                    <w:p w:rsidR="00657833" w:rsidRDefault="00657833" w:rsidP="00657833">
                      <w:pPr>
                        <w:spacing w:before="120" w:after="120"/>
                        <w:jc w:val="center"/>
                        <w:rPr>
                          <w:b/>
                          <w:szCs w:val="24"/>
                        </w:rPr>
                      </w:pPr>
                      <w:r w:rsidRPr="00657833">
                        <w:rPr>
                          <w:b/>
                          <w:szCs w:val="24"/>
                        </w:rPr>
                        <w:t>Private Health Insurance (Complying Product) Amendment (Terminating Products) Rules 2018</w:t>
                      </w:r>
                    </w:p>
                    <w:p w:rsidR="004709C4" w:rsidRPr="00E4135E" w:rsidRDefault="004709C4" w:rsidP="001C1E87">
                      <w:pPr>
                        <w:spacing w:before="120" w:after="120"/>
                        <w:rPr>
                          <w:szCs w:val="24"/>
                        </w:rPr>
                      </w:pPr>
                      <w:r w:rsidRPr="00E4135E">
                        <w:rPr>
                          <w:szCs w:val="24"/>
                        </w:rPr>
                        <w:t>Thi</w:t>
                      </w:r>
                      <w:r>
                        <w:rPr>
                          <w:szCs w:val="24"/>
                        </w:rPr>
                        <w:t xml:space="preserve">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rsidR="00A163C5" w:rsidRDefault="00A163C5" w:rsidP="00A163C5">
                      <w:pPr>
                        <w:jc w:val="both"/>
                        <w:rPr>
                          <w:b/>
                          <w:szCs w:val="24"/>
                        </w:rPr>
                      </w:pPr>
                    </w:p>
                    <w:p w:rsidR="004709C4" w:rsidRPr="00A163C5" w:rsidRDefault="004709C4" w:rsidP="00024783">
                      <w:pPr>
                        <w:spacing w:before="120" w:after="120"/>
                        <w:jc w:val="both"/>
                        <w:rPr>
                          <w:b/>
                          <w:szCs w:val="24"/>
                        </w:rPr>
                      </w:pPr>
                      <w:r w:rsidRPr="00A163C5">
                        <w:rPr>
                          <w:b/>
                          <w:szCs w:val="24"/>
                        </w:rPr>
                        <w:t>Overview of the Legislative Instrument</w:t>
                      </w:r>
                    </w:p>
                    <w:p w:rsidR="004354C4" w:rsidRPr="00E00DEC" w:rsidRDefault="004354C4" w:rsidP="004354C4">
                      <w:pPr>
                        <w:autoSpaceDE w:val="0"/>
                        <w:autoSpaceDN w:val="0"/>
                        <w:adjustRightInd w:val="0"/>
                        <w:spacing w:before="120" w:after="120"/>
                        <w:rPr>
                          <w:szCs w:val="24"/>
                        </w:rPr>
                      </w:pPr>
                      <w:r>
                        <w:rPr>
                          <w:szCs w:val="24"/>
                        </w:rPr>
                        <w:t xml:space="preserve">The </w:t>
                      </w:r>
                      <w:r w:rsidR="00657833" w:rsidRPr="00657833">
                        <w:rPr>
                          <w:i/>
                          <w:szCs w:val="24"/>
                        </w:rPr>
                        <w:t xml:space="preserve">Private Health Insurance (Complying Product) Amendment (Terminating Products) Rules 2018 </w:t>
                      </w:r>
                      <w:r>
                        <w:rPr>
                          <w:szCs w:val="24"/>
                        </w:rPr>
                        <w:t>amend</w:t>
                      </w:r>
                      <w:r w:rsidR="00745480">
                        <w:rPr>
                          <w:szCs w:val="24"/>
                        </w:rPr>
                        <w:t>s</w:t>
                      </w:r>
                      <w:r w:rsidRPr="00821B06">
                        <w:rPr>
                          <w:szCs w:val="24"/>
                        </w:rPr>
                        <w:t xml:space="preserve"> </w:t>
                      </w:r>
                      <w:r>
                        <w:rPr>
                          <w:szCs w:val="24"/>
                        </w:rPr>
                        <w:t xml:space="preserve">the </w:t>
                      </w:r>
                      <w:r>
                        <w:rPr>
                          <w:i/>
                          <w:szCs w:val="24"/>
                        </w:rPr>
                        <w:t xml:space="preserve">Private Health Insurance (Complying Product) Rules </w:t>
                      </w:r>
                      <w:r w:rsidR="00D067D7">
                        <w:rPr>
                          <w:i/>
                          <w:szCs w:val="24"/>
                        </w:rPr>
                        <w:t>2015</w:t>
                      </w:r>
                      <w:r>
                        <w:rPr>
                          <w:szCs w:val="24"/>
                        </w:rPr>
                        <w:t xml:space="preserve"> </w:t>
                      </w:r>
                      <w:r>
                        <w:t xml:space="preserve">to </w:t>
                      </w:r>
                      <w:r w:rsidR="006B561F">
                        <w:t>set out requirements for insure</w:t>
                      </w:r>
                      <w:r w:rsidR="001A2C97">
                        <w:t xml:space="preserve">rs to notify </w:t>
                      </w:r>
                      <w:r w:rsidR="006B561F">
                        <w:t xml:space="preserve">adult </w:t>
                      </w:r>
                      <w:r w:rsidR="001A2C97">
                        <w:t xml:space="preserve">policyholders </w:t>
                      </w:r>
                      <w:r w:rsidR="006B561F">
                        <w:t>of certain matters when</w:t>
                      </w:r>
                      <w:r w:rsidR="001A2C97">
                        <w:t xml:space="preserve"> they hold a product that will be terminated.  Policyholders can</w:t>
                      </w:r>
                      <w:r w:rsidR="006B561F">
                        <w:t xml:space="preserve"> then</w:t>
                      </w:r>
                      <w:r w:rsidR="001A2C97">
                        <w:t xml:space="preserve"> choose a new policy, or will be transferred to a default policy as set out in the information provided to them. </w:t>
                      </w:r>
                    </w:p>
                    <w:p w:rsidR="004709C4" w:rsidRPr="005928F0" w:rsidRDefault="004709C4" w:rsidP="00C31644">
                      <w:pPr>
                        <w:autoSpaceDE w:val="0"/>
                        <w:autoSpaceDN w:val="0"/>
                        <w:adjustRightInd w:val="0"/>
                        <w:rPr>
                          <w:szCs w:val="24"/>
                          <w:highlight w:val="yellow"/>
                        </w:rPr>
                      </w:pPr>
                    </w:p>
                    <w:p w:rsidR="004709C4" w:rsidRPr="00A163C5" w:rsidRDefault="004709C4" w:rsidP="00024783">
                      <w:pPr>
                        <w:spacing w:before="120" w:after="120"/>
                        <w:rPr>
                          <w:b/>
                          <w:szCs w:val="24"/>
                        </w:rPr>
                      </w:pPr>
                      <w:r w:rsidRPr="00A163C5">
                        <w:rPr>
                          <w:b/>
                          <w:szCs w:val="24"/>
                        </w:rPr>
                        <w:t>Human rights implications</w:t>
                      </w:r>
                    </w:p>
                    <w:p w:rsidR="00435BAA" w:rsidRDefault="00435BAA" w:rsidP="00435BAA">
                      <w:pPr>
                        <w:autoSpaceDE w:val="0"/>
                        <w:autoSpaceDN w:val="0"/>
                        <w:adjustRightInd w:val="0"/>
                        <w:spacing w:before="120" w:after="120"/>
                        <w:rPr>
                          <w:color w:val="000000"/>
                          <w:szCs w:val="24"/>
                        </w:rPr>
                      </w:pPr>
                      <w:r>
                        <w:rPr>
                          <w:color w:val="000000"/>
                          <w:szCs w:val="24"/>
                        </w:rPr>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rsidR="00435BAA" w:rsidRDefault="00435BAA" w:rsidP="00435BAA">
                      <w:pPr>
                        <w:autoSpaceDE w:val="0"/>
                        <w:autoSpaceDN w:val="0"/>
                        <w:adjustRightInd w:val="0"/>
                        <w:rPr>
                          <w:color w:val="000000"/>
                          <w:szCs w:val="24"/>
                        </w:rPr>
                      </w:pPr>
                    </w:p>
                    <w:p w:rsidR="00435BAA" w:rsidRDefault="00435BAA" w:rsidP="00435BAA">
                      <w:pPr>
                        <w:rPr>
                          <w:color w:val="000000"/>
                          <w:szCs w:val="24"/>
                        </w:rPr>
                      </w:pPr>
                      <w:r>
                        <w:rPr>
                          <w:color w:val="000000"/>
                          <w:szCs w:val="24"/>
                        </w:rPr>
                        <w:t>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w:t>
                      </w:r>
                      <w:r w:rsidR="001E60DD">
                        <w:rPr>
                          <w:color w:val="000000"/>
                          <w:szCs w:val="24"/>
                        </w:rPr>
                        <w:t>,</w:t>
                      </w:r>
                      <w:r>
                        <w:rPr>
                          <w:color w:val="000000"/>
                          <w:szCs w:val="24"/>
                        </w:rPr>
                        <w:t xml:space="preserve"> and requires insurers not to differentiate the premiums they charge according to individual health characteristics such as poor health.  </w:t>
                      </w:r>
                    </w:p>
                    <w:p w:rsidR="00A163C5" w:rsidRDefault="00A163C5" w:rsidP="00A163C5">
                      <w:pPr>
                        <w:rPr>
                          <w:szCs w:val="24"/>
                        </w:rPr>
                      </w:pPr>
                    </w:p>
                    <w:p w:rsidR="00A163C5" w:rsidRDefault="00A163C5" w:rsidP="00A163C5">
                      <w:pPr>
                        <w:rPr>
                          <w:b/>
                          <w:szCs w:val="24"/>
                        </w:rPr>
                      </w:pPr>
                      <w:r>
                        <w:rPr>
                          <w:b/>
                          <w:szCs w:val="24"/>
                        </w:rPr>
                        <w:t>Conclusion</w:t>
                      </w:r>
                    </w:p>
                    <w:p w:rsidR="00A163C5" w:rsidRDefault="00A163C5" w:rsidP="00A163C5">
                      <w:pPr>
                        <w:spacing w:before="120" w:after="120"/>
                        <w:rPr>
                          <w:b/>
                          <w:szCs w:val="24"/>
                        </w:rPr>
                      </w:pPr>
                      <w:r>
                        <w:rPr>
                          <w:szCs w:val="24"/>
                        </w:rPr>
                        <w:t>This legislative instrument is compatible with human rights because it advances the protection of human rights.</w:t>
                      </w:r>
                    </w:p>
                    <w:p w:rsidR="00A163C5" w:rsidRDefault="00A163C5" w:rsidP="00A163C5">
                      <w:pPr>
                        <w:jc w:val="center"/>
                        <w:rPr>
                          <w:b/>
                          <w:szCs w:val="24"/>
                        </w:rPr>
                      </w:pPr>
                    </w:p>
                    <w:p w:rsidR="004709C4" w:rsidRDefault="001C1E87" w:rsidP="00A163C5">
                      <w:pPr>
                        <w:spacing w:after="240"/>
                        <w:jc w:val="center"/>
                        <w:rPr>
                          <w:b/>
                          <w:szCs w:val="24"/>
                        </w:rPr>
                      </w:pPr>
                      <w:r>
                        <w:rPr>
                          <w:b/>
                          <w:szCs w:val="24"/>
                        </w:rPr>
                        <w:t>Susan Azmi</w:t>
                      </w:r>
                    </w:p>
                    <w:p w:rsidR="004709C4" w:rsidRDefault="001C1E87" w:rsidP="00A163C5">
                      <w:pPr>
                        <w:spacing w:after="240"/>
                        <w:jc w:val="center"/>
                        <w:rPr>
                          <w:b/>
                          <w:szCs w:val="24"/>
                        </w:rPr>
                      </w:pPr>
                      <w:r>
                        <w:rPr>
                          <w:b/>
                          <w:szCs w:val="24"/>
                        </w:rPr>
                        <w:t xml:space="preserve">Acting </w:t>
                      </w:r>
                      <w:r w:rsidR="004709C4">
                        <w:rPr>
                          <w:b/>
                          <w:szCs w:val="24"/>
                        </w:rPr>
                        <w:t>Assistant Secretary</w:t>
                      </w:r>
                    </w:p>
                    <w:p w:rsidR="00874125" w:rsidRDefault="00874125" w:rsidP="00A163C5">
                      <w:pPr>
                        <w:spacing w:after="240"/>
                        <w:jc w:val="center"/>
                        <w:rPr>
                          <w:b/>
                          <w:szCs w:val="24"/>
                        </w:rPr>
                      </w:pPr>
                      <w:r>
                        <w:rPr>
                          <w:b/>
                          <w:szCs w:val="24"/>
                        </w:rPr>
                        <w:t xml:space="preserve">Private Health Insurance Branch </w:t>
                      </w:r>
                    </w:p>
                    <w:p w:rsidR="004709C4" w:rsidRDefault="001C1E87" w:rsidP="00A163C5">
                      <w:pPr>
                        <w:spacing w:after="240"/>
                        <w:jc w:val="center"/>
                        <w:rPr>
                          <w:b/>
                          <w:szCs w:val="24"/>
                        </w:rPr>
                      </w:pPr>
                      <w:r>
                        <w:rPr>
                          <w:b/>
                          <w:szCs w:val="24"/>
                        </w:rPr>
                        <w:t>Medical</w:t>
                      </w:r>
                      <w:r w:rsidR="001A630B">
                        <w:rPr>
                          <w:b/>
                          <w:szCs w:val="24"/>
                        </w:rPr>
                        <w:t xml:space="preserve"> </w:t>
                      </w:r>
                      <w:r w:rsidR="00745480">
                        <w:rPr>
                          <w:b/>
                          <w:szCs w:val="24"/>
                        </w:rPr>
                        <w:t>Benefits Division</w:t>
                      </w:r>
                    </w:p>
                    <w:p w:rsidR="004709C4" w:rsidRDefault="00FA7516" w:rsidP="00A163C5">
                      <w:pPr>
                        <w:spacing w:after="240"/>
                        <w:jc w:val="center"/>
                        <w:rPr>
                          <w:b/>
                          <w:szCs w:val="24"/>
                        </w:rPr>
                      </w:pPr>
                      <w:r>
                        <w:rPr>
                          <w:b/>
                          <w:szCs w:val="24"/>
                        </w:rPr>
                        <w:t>Department of Health</w:t>
                      </w:r>
                    </w:p>
                    <w:p w:rsidR="004709C4" w:rsidRPr="00E4135E" w:rsidRDefault="004709C4" w:rsidP="00C31644">
                      <w:pPr>
                        <w:spacing w:before="120" w:after="120"/>
                        <w:rPr>
                          <w:szCs w:val="24"/>
                        </w:rPr>
                      </w:pPr>
                    </w:p>
                  </w:txbxContent>
                </v:textbox>
              </v:rect>
            </w:pict>
          </mc:Fallback>
        </mc:AlternateContent>
      </w: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p w:rsidR="00024783" w:rsidRDefault="00024783" w:rsidP="00024783">
      <w:pPr>
        <w:spacing w:after="200" w:line="276" w:lineRule="auto"/>
        <w:ind w:left="720" w:hanging="720"/>
        <w:rPr>
          <w:rFonts w:ascii="Calibri" w:eastAsia="Calibri" w:hAnsi="Calibri"/>
          <w:sz w:val="22"/>
          <w:szCs w:val="22"/>
          <w:lang w:eastAsia="en-US"/>
        </w:rPr>
      </w:pPr>
    </w:p>
    <w:sectPr w:rsidR="00024783" w:rsidSect="007B6273">
      <w:headerReference w:type="even" r:id="rId8"/>
      <w:headerReference w:type="default" r:id="rId9"/>
      <w:type w:val="continuous"/>
      <w:pgSz w:w="11906" w:h="16838"/>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61B" w:rsidRDefault="006E561B">
      <w:r>
        <w:separator/>
      </w:r>
    </w:p>
  </w:endnote>
  <w:endnote w:type="continuationSeparator" w:id="0">
    <w:p w:rsidR="006E561B" w:rsidRDefault="006E561B">
      <w:r>
        <w:continuationSeparator/>
      </w:r>
    </w:p>
  </w:endnote>
  <w:endnote w:type="continuationNotice" w:id="1">
    <w:p w:rsidR="006E561B" w:rsidRDefault="006E56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61B" w:rsidRDefault="006E561B">
      <w:r>
        <w:separator/>
      </w:r>
    </w:p>
  </w:footnote>
  <w:footnote w:type="continuationSeparator" w:id="0">
    <w:p w:rsidR="006E561B" w:rsidRDefault="006E561B">
      <w:r>
        <w:continuationSeparator/>
      </w:r>
    </w:p>
  </w:footnote>
  <w:footnote w:type="continuationNotice" w:id="1">
    <w:p w:rsidR="006E561B" w:rsidRDefault="006E56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C4" w:rsidRDefault="004709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09C4" w:rsidRDefault="00470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09C4" w:rsidRDefault="004709C4">
    <w:pPr>
      <w:pStyle w:val="Header"/>
      <w:framePr w:wrap="around" w:vAnchor="text" w:hAnchor="margin" w:xAlign="center" w:y="1"/>
      <w:rPr>
        <w:rStyle w:val="PageNumber"/>
      </w:rPr>
    </w:pPr>
  </w:p>
  <w:p w:rsidR="004709C4" w:rsidRPr="00D0290E" w:rsidRDefault="004709C4" w:rsidP="00D029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2FD"/>
    <w:multiLevelType w:val="hybridMultilevel"/>
    <w:tmpl w:val="662C04FA"/>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D26E35"/>
    <w:multiLevelType w:val="hybridMultilevel"/>
    <w:tmpl w:val="6A78D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0B4150"/>
    <w:multiLevelType w:val="multilevel"/>
    <w:tmpl w:val="691A926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AF4F0E"/>
    <w:multiLevelType w:val="hybridMultilevel"/>
    <w:tmpl w:val="FECA1BE2"/>
    <w:lvl w:ilvl="0" w:tplc="A9221CE6">
      <w:start w:val="1"/>
      <w:numFmt w:val="decimal"/>
      <w:lvlText w:val="%1."/>
      <w:lvlJc w:val="left"/>
      <w:pPr>
        <w:ind w:left="360" w:hanging="360"/>
      </w:pPr>
      <w:rPr>
        <w:rFonts w:hint="default"/>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FE1610F"/>
    <w:multiLevelType w:val="hybridMultilevel"/>
    <w:tmpl w:val="445027DA"/>
    <w:lvl w:ilvl="0" w:tplc="77E645EE">
      <w:start w:val="8"/>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1256BA0"/>
    <w:multiLevelType w:val="hybridMultilevel"/>
    <w:tmpl w:val="64548308"/>
    <w:lvl w:ilvl="0" w:tplc="3662A1B6">
      <w:start w:val="1"/>
      <w:numFmt w:val="lowerLetter"/>
      <w:lvlText w:val="%1)"/>
      <w:lvlJc w:val="left"/>
      <w:pPr>
        <w:tabs>
          <w:tab w:val="num" w:pos="1875"/>
        </w:tabs>
        <w:ind w:left="1875" w:hanging="390"/>
      </w:pPr>
      <w:rPr>
        <w:rFonts w:hint="default"/>
      </w:rPr>
    </w:lvl>
    <w:lvl w:ilvl="1" w:tplc="4EE61E84">
      <w:start w:val="17"/>
      <w:numFmt w:val="decimal"/>
      <w:lvlText w:val="%2."/>
      <w:lvlJc w:val="left"/>
      <w:pPr>
        <w:tabs>
          <w:tab w:val="num" w:pos="2565"/>
        </w:tabs>
        <w:ind w:left="2565" w:hanging="360"/>
      </w:pPr>
      <w:rPr>
        <w:rFonts w:hint="default"/>
      </w:r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6" w15:restartNumberingAfterBreak="0">
    <w:nsid w:val="117A2CCD"/>
    <w:multiLevelType w:val="hybridMultilevel"/>
    <w:tmpl w:val="0E74F976"/>
    <w:lvl w:ilvl="0" w:tplc="9C2026F6">
      <w:start w:val="1"/>
      <w:numFmt w:val="lowerRoman"/>
      <w:lvlText w:val="(%1)"/>
      <w:lvlJc w:val="left"/>
      <w:pPr>
        <w:tabs>
          <w:tab w:val="num" w:pos="1140"/>
        </w:tabs>
        <w:ind w:left="1140" w:hanging="720"/>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7" w15:restartNumberingAfterBreak="0">
    <w:nsid w:val="11897249"/>
    <w:multiLevelType w:val="hybridMultilevel"/>
    <w:tmpl w:val="8F58C85C"/>
    <w:lvl w:ilvl="0" w:tplc="DDC43382">
      <w:start w:val="5"/>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A2307E"/>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134A2CE2"/>
    <w:multiLevelType w:val="hybridMultilevel"/>
    <w:tmpl w:val="5114D3A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1E530CCE"/>
    <w:multiLevelType w:val="hybridMultilevel"/>
    <w:tmpl w:val="1B5AB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853A12"/>
    <w:multiLevelType w:val="hybridMultilevel"/>
    <w:tmpl w:val="43B62C0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32497F"/>
    <w:multiLevelType w:val="hybridMultilevel"/>
    <w:tmpl w:val="B6D0D3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5770F8"/>
    <w:multiLevelType w:val="hybridMultilevel"/>
    <w:tmpl w:val="6E1EFF80"/>
    <w:lvl w:ilvl="0" w:tplc="A9221CE6">
      <w:start w:val="1"/>
      <w:numFmt w:val="decimal"/>
      <w:lvlText w:val="%1."/>
      <w:lvlJc w:val="left"/>
      <w:pPr>
        <w:ind w:left="360" w:hanging="360"/>
      </w:pPr>
      <w:rPr>
        <w:rFonts w:hint="default"/>
        <w:b w:val="0"/>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C852BA6"/>
    <w:multiLevelType w:val="hybridMultilevel"/>
    <w:tmpl w:val="69542568"/>
    <w:lvl w:ilvl="0" w:tplc="BD2A76A6">
      <w:start w:val="1"/>
      <w:numFmt w:val="bullet"/>
      <w:lvlText w:val=""/>
      <w:lvlJc w:val="left"/>
      <w:pPr>
        <w:tabs>
          <w:tab w:val="num" w:pos="283"/>
        </w:tabs>
        <w:ind w:left="283" w:hanging="283"/>
      </w:pPr>
      <w:rPr>
        <w:rFonts w:ascii="Symbol" w:hAnsi="Symbol" w:cs="Symbol" w:hint="default"/>
        <w:sz w:val="20"/>
        <w:szCs w:val="20"/>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25D6305"/>
    <w:multiLevelType w:val="hybridMultilevel"/>
    <w:tmpl w:val="121AC7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328A0469"/>
    <w:multiLevelType w:val="hybridMultilevel"/>
    <w:tmpl w:val="C4660E54"/>
    <w:lvl w:ilvl="0" w:tplc="C952E44A">
      <w:start w:val="1"/>
      <w:numFmt w:val="bullet"/>
      <w:lvlText w:val=""/>
      <w:lvlJc w:val="left"/>
      <w:pPr>
        <w:tabs>
          <w:tab w:val="num" w:pos="720"/>
        </w:tabs>
        <w:ind w:left="720" w:hanging="36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6C6109"/>
    <w:multiLevelType w:val="hybridMultilevel"/>
    <w:tmpl w:val="5C08093C"/>
    <w:lvl w:ilvl="0" w:tplc="C486D582">
      <w:start w:val="6"/>
      <w:numFmt w:val="decimal"/>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F211B9B"/>
    <w:multiLevelType w:val="multilevel"/>
    <w:tmpl w:val="7876ABD0"/>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387135"/>
    <w:multiLevelType w:val="hybridMultilevel"/>
    <w:tmpl w:val="8286F1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E345F2"/>
    <w:multiLevelType w:val="hybridMultilevel"/>
    <w:tmpl w:val="44C8428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1" w15:restartNumberingAfterBreak="0">
    <w:nsid w:val="4BA245B4"/>
    <w:multiLevelType w:val="hybridMultilevel"/>
    <w:tmpl w:val="7876ABD0"/>
    <w:lvl w:ilvl="0" w:tplc="182803E0">
      <w:start w:val="1"/>
      <w:numFmt w:val="bullet"/>
      <w:lvlText w:val=""/>
      <w:lvlJc w:val="left"/>
      <w:pPr>
        <w:tabs>
          <w:tab w:val="num" w:pos="720"/>
        </w:tabs>
        <w:ind w:left="720" w:hanging="36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4C71B8"/>
    <w:multiLevelType w:val="hybridMultilevel"/>
    <w:tmpl w:val="F0C445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D42C69"/>
    <w:multiLevelType w:val="hybridMultilevel"/>
    <w:tmpl w:val="386843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1B4D82"/>
    <w:multiLevelType w:val="hybridMultilevel"/>
    <w:tmpl w:val="6862DAD2"/>
    <w:lvl w:ilvl="0" w:tplc="66DED830">
      <w:start w:val="1"/>
      <w:numFmt w:val="bullet"/>
      <w:lvlText w:val=""/>
      <w:lvlJc w:val="left"/>
      <w:pPr>
        <w:tabs>
          <w:tab w:val="num" w:pos="357"/>
        </w:tabs>
        <w:ind w:left="357" w:hanging="35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144413"/>
    <w:multiLevelType w:val="multilevel"/>
    <w:tmpl w:val="86CEFCD8"/>
    <w:lvl w:ilvl="0">
      <w:start w:val="1"/>
      <w:numFmt w:val="decimal"/>
      <w:lvlRestart w:val="0"/>
      <w:lvlText w:val="%1."/>
      <w:lvlJc w:val="left"/>
      <w:pPr>
        <w:tabs>
          <w:tab w:val="num" w:pos="850"/>
        </w:tabs>
        <w:ind w:left="850" w:hanging="850"/>
      </w:pPr>
      <w:rPr>
        <w:rFonts w:hint="default"/>
        <w:sz w:val="24"/>
        <w:szCs w:val="24"/>
      </w:rPr>
    </w:lvl>
    <w:lvl w:ilvl="1">
      <w:start w:val="1"/>
      <w:numFmt w:val="upperLetter"/>
      <w:lvlText w:val="%1%2"/>
      <w:lvlJc w:val="left"/>
      <w:pPr>
        <w:tabs>
          <w:tab w:val="num" w:pos="850"/>
        </w:tabs>
        <w:ind w:left="850" w:hanging="850"/>
      </w:pPr>
      <w:rPr>
        <w:rFonts w:hint="default"/>
      </w:rPr>
    </w:lvl>
    <w:lvl w:ilvl="2">
      <w:start w:val="1"/>
      <w:numFmt w:val="bullet"/>
      <w:lvlText w:val=""/>
      <w:lvlJc w:val="left"/>
      <w:pPr>
        <w:tabs>
          <w:tab w:val="num" w:pos="1561"/>
        </w:tabs>
        <w:ind w:left="1561" w:hanging="851"/>
      </w:pPr>
      <w:rPr>
        <w:rFonts w:ascii="Symbol" w:hAnsi="Symbol" w:hint="default"/>
      </w:rPr>
    </w:lvl>
    <w:lvl w:ilvl="3">
      <w:start w:val="1"/>
      <w:numFmt w:val="lowerRoman"/>
      <w:lvlText w:val="(%4)"/>
      <w:lvlJc w:val="left"/>
      <w:pPr>
        <w:tabs>
          <w:tab w:val="num" w:pos="2551"/>
        </w:tabs>
        <w:ind w:left="2551" w:hanging="850"/>
      </w:pPr>
      <w:rPr>
        <w:rFonts w:hint="default"/>
      </w:rPr>
    </w:lvl>
    <w:lvl w:ilvl="4">
      <w:start w:val="1"/>
      <w:numFmt w:val="upperLetter"/>
      <w:lvlText w:val="(%5)"/>
      <w:lvlJc w:val="left"/>
      <w:pPr>
        <w:tabs>
          <w:tab w:val="num" w:pos="3402"/>
        </w:tabs>
        <w:ind w:left="3402" w:hanging="851"/>
      </w:pPr>
      <w:rPr>
        <w:rFonts w:hint="default"/>
      </w:rPr>
    </w:lvl>
    <w:lvl w:ilvl="5">
      <w:start w:val="1"/>
      <w:numFmt w:val="decimal"/>
      <w:lvlRestart w:val="2"/>
      <w:lvlText w:val="(%6)"/>
      <w:lvlJc w:val="left"/>
      <w:pPr>
        <w:tabs>
          <w:tab w:val="num" w:pos="936"/>
        </w:tabs>
        <w:ind w:left="936" w:hanging="510"/>
      </w:pPr>
      <w:rPr>
        <w:rFonts w:hint="default"/>
      </w:rPr>
    </w:lvl>
    <w:lvl w:ilvl="6">
      <w:start w:val="1"/>
      <w:numFmt w:val="upperLetter"/>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abstractNum w:abstractNumId="26" w15:restartNumberingAfterBreak="0">
    <w:nsid w:val="5AF236D6"/>
    <w:multiLevelType w:val="hybridMultilevel"/>
    <w:tmpl w:val="34A2AD1A"/>
    <w:lvl w:ilvl="0" w:tplc="6F021FB2">
      <w:start w:val="10"/>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5FBD236F"/>
    <w:multiLevelType w:val="hybridMultilevel"/>
    <w:tmpl w:val="B6E60480"/>
    <w:lvl w:ilvl="0" w:tplc="09DC891A">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170EEC"/>
    <w:multiLevelType w:val="hybridMultilevel"/>
    <w:tmpl w:val="0F1E34FC"/>
    <w:lvl w:ilvl="0" w:tplc="E866484C">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61194F36"/>
    <w:multiLevelType w:val="hybridMultilevel"/>
    <w:tmpl w:val="09A2C786"/>
    <w:lvl w:ilvl="0" w:tplc="F40052A0">
      <w:start w:val="1"/>
      <w:numFmt w:val="bullet"/>
      <w:lvlText w:val=""/>
      <w:lvlJc w:val="left"/>
      <w:pPr>
        <w:tabs>
          <w:tab w:val="num" w:pos="624"/>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1E7A15"/>
    <w:multiLevelType w:val="hybridMultilevel"/>
    <w:tmpl w:val="DB889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091B7D"/>
    <w:multiLevelType w:val="hybridMultilevel"/>
    <w:tmpl w:val="5EE887CE"/>
    <w:lvl w:ilvl="0" w:tplc="78909D8A">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2" w15:restartNumberingAfterBreak="0">
    <w:nsid w:val="64902E71"/>
    <w:multiLevelType w:val="hybridMultilevel"/>
    <w:tmpl w:val="3D160254"/>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5541893"/>
    <w:multiLevelType w:val="hybridMultilevel"/>
    <w:tmpl w:val="39E45DA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5720D31"/>
    <w:multiLevelType w:val="hybridMultilevel"/>
    <w:tmpl w:val="691A9262"/>
    <w:lvl w:ilvl="0" w:tplc="24D464CA">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90005A8"/>
    <w:multiLevelType w:val="hybridMultilevel"/>
    <w:tmpl w:val="F16A311C"/>
    <w:lvl w:ilvl="0" w:tplc="FA3C858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6E4B09E5"/>
    <w:multiLevelType w:val="hybridMultilevel"/>
    <w:tmpl w:val="367CA87E"/>
    <w:lvl w:ilvl="0" w:tplc="DC88E9F6">
      <w:start w:val="5"/>
      <w:numFmt w:val="decimal"/>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703023F3"/>
    <w:multiLevelType w:val="hybridMultilevel"/>
    <w:tmpl w:val="127A1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9E7869"/>
    <w:multiLevelType w:val="hybridMultilevel"/>
    <w:tmpl w:val="36E0B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F56416"/>
    <w:multiLevelType w:val="hybridMultilevel"/>
    <w:tmpl w:val="01D22AAC"/>
    <w:lvl w:ilvl="0" w:tplc="0C090001">
      <w:start w:val="1"/>
      <w:numFmt w:val="bullet"/>
      <w:lvlText w:val=""/>
      <w:lvlJc w:val="left"/>
      <w:pPr>
        <w:tabs>
          <w:tab w:val="num" w:pos="1080"/>
        </w:tabs>
        <w:ind w:left="1080" w:hanging="360"/>
      </w:pPr>
      <w:rPr>
        <w:rFonts w:ascii="Symbol" w:hAnsi="Symbol" w:hint="default"/>
      </w:rPr>
    </w:lvl>
    <w:lvl w:ilvl="1" w:tplc="8DD49256">
      <w:start w:val="1"/>
      <w:numFmt w:val="bullet"/>
      <w:lvlText w:val=""/>
      <w:lvlJc w:val="left"/>
      <w:pPr>
        <w:tabs>
          <w:tab w:val="num" w:pos="1803"/>
        </w:tabs>
        <w:ind w:left="1803" w:hanging="363"/>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7357255"/>
    <w:multiLevelType w:val="multilevel"/>
    <w:tmpl w:val="112E503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1" w15:restartNumberingAfterBreak="0">
    <w:nsid w:val="779605B9"/>
    <w:multiLevelType w:val="hybridMultilevel"/>
    <w:tmpl w:val="E51E575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9191271"/>
    <w:multiLevelType w:val="hybridMultilevel"/>
    <w:tmpl w:val="D2162492"/>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79AB5809"/>
    <w:multiLevelType w:val="hybridMultilevel"/>
    <w:tmpl w:val="70A29672"/>
    <w:lvl w:ilvl="0" w:tplc="F588140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41095"/>
    <w:multiLevelType w:val="hybridMultilevel"/>
    <w:tmpl w:val="A18CF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D686147"/>
    <w:multiLevelType w:val="hybridMultilevel"/>
    <w:tmpl w:val="5EF8BCAA"/>
    <w:lvl w:ilvl="0" w:tplc="F93049D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0"/>
  </w:num>
  <w:num w:numId="2">
    <w:abstractNumId w:val="37"/>
  </w:num>
  <w:num w:numId="3">
    <w:abstractNumId w:val="39"/>
  </w:num>
  <w:num w:numId="4">
    <w:abstractNumId w:val="33"/>
  </w:num>
  <w:num w:numId="5">
    <w:abstractNumId w:val="36"/>
  </w:num>
  <w:num w:numId="6">
    <w:abstractNumId w:val="17"/>
  </w:num>
  <w:num w:numId="7">
    <w:abstractNumId w:val="8"/>
  </w:num>
  <w:num w:numId="8">
    <w:abstractNumId w:val="26"/>
  </w:num>
  <w:num w:numId="9">
    <w:abstractNumId w:val="22"/>
  </w:num>
  <w:num w:numId="10">
    <w:abstractNumId w:val="1"/>
  </w:num>
  <w:num w:numId="11">
    <w:abstractNumId w:val="19"/>
  </w:num>
  <w:num w:numId="12">
    <w:abstractNumId w:val="28"/>
  </w:num>
  <w:num w:numId="13">
    <w:abstractNumId w:val="35"/>
  </w:num>
  <w:num w:numId="14">
    <w:abstractNumId w:val="9"/>
  </w:num>
  <w:num w:numId="15">
    <w:abstractNumId w:val="6"/>
  </w:num>
  <w:num w:numId="16">
    <w:abstractNumId w:val="7"/>
  </w:num>
  <w:num w:numId="17">
    <w:abstractNumId w:val="42"/>
  </w:num>
  <w:num w:numId="18">
    <w:abstractNumId w:val="4"/>
  </w:num>
  <w:num w:numId="19">
    <w:abstractNumId w:val="24"/>
  </w:num>
  <w:num w:numId="20">
    <w:abstractNumId w:val="12"/>
  </w:num>
  <w:num w:numId="21">
    <w:abstractNumId w:val="23"/>
  </w:num>
  <w:num w:numId="22">
    <w:abstractNumId w:val="38"/>
  </w:num>
  <w:num w:numId="23">
    <w:abstractNumId w:val="27"/>
  </w:num>
  <w:num w:numId="24">
    <w:abstractNumId w:val="34"/>
  </w:num>
  <w:num w:numId="25">
    <w:abstractNumId w:val="0"/>
  </w:num>
  <w:num w:numId="26">
    <w:abstractNumId w:val="45"/>
  </w:num>
  <w:num w:numId="27">
    <w:abstractNumId w:val="44"/>
  </w:num>
  <w:num w:numId="28">
    <w:abstractNumId w:val="41"/>
  </w:num>
  <w:num w:numId="29">
    <w:abstractNumId w:val="11"/>
  </w:num>
  <w:num w:numId="30">
    <w:abstractNumId w:val="29"/>
  </w:num>
  <w:num w:numId="31">
    <w:abstractNumId w:val="5"/>
  </w:num>
  <w:num w:numId="32">
    <w:abstractNumId w:val="32"/>
  </w:num>
  <w:num w:numId="33">
    <w:abstractNumId w:val="2"/>
  </w:num>
  <w:num w:numId="34">
    <w:abstractNumId w:val="21"/>
  </w:num>
  <w:num w:numId="35">
    <w:abstractNumId w:val="18"/>
  </w:num>
  <w:num w:numId="36">
    <w:abstractNumId w:val="16"/>
  </w:num>
  <w:num w:numId="37">
    <w:abstractNumId w:val="31"/>
  </w:num>
  <w:num w:numId="38">
    <w:abstractNumId w:val="43"/>
  </w:num>
  <w:num w:numId="39">
    <w:abstractNumId w:val="15"/>
  </w:num>
  <w:num w:numId="40">
    <w:abstractNumId w:val="25"/>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4"/>
  </w:num>
  <w:num w:numId="46">
    <w:abstractNumId w:val="10"/>
  </w:num>
  <w:num w:numId="47">
    <w:abstractNumId w:val="13"/>
  </w:num>
  <w:num w:numId="48">
    <w:abstractNumId w:val="3"/>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07C"/>
    <w:rsid w:val="00000683"/>
    <w:rsid w:val="0000205F"/>
    <w:rsid w:val="00002813"/>
    <w:rsid w:val="00003072"/>
    <w:rsid w:val="0000321D"/>
    <w:rsid w:val="0000395C"/>
    <w:rsid w:val="00003ADD"/>
    <w:rsid w:val="000065DC"/>
    <w:rsid w:val="00010F79"/>
    <w:rsid w:val="0001141A"/>
    <w:rsid w:val="00012E15"/>
    <w:rsid w:val="00013CB6"/>
    <w:rsid w:val="00014753"/>
    <w:rsid w:val="00014798"/>
    <w:rsid w:val="0001486F"/>
    <w:rsid w:val="00014C68"/>
    <w:rsid w:val="0001616C"/>
    <w:rsid w:val="000172CE"/>
    <w:rsid w:val="00020719"/>
    <w:rsid w:val="00021AFA"/>
    <w:rsid w:val="0002234B"/>
    <w:rsid w:val="00023AEF"/>
    <w:rsid w:val="000241B1"/>
    <w:rsid w:val="000244EA"/>
    <w:rsid w:val="00024783"/>
    <w:rsid w:val="00025876"/>
    <w:rsid w:val="000259ED"/>
    <w:rsid w:val="00034212"/>
    <w:rsid w:val="00034F5B"/>
    <w:rsid w:val="00034F7D"/>
    <w:rsid w:val="00040C8D"/>
    <w:rsid w:val="000435C1"/>
    <w:rsid w:val="000438CE"/>
    <w:rsid w:val="0004476D"/>
    <w:rsid w:val="0004484A"/>
    <w:rsid w:val="00045559"/>
    <w:rsid w:val="000502A5"/>
    <w:rsid w:val="00051856"/>
    <w:rsid w:val="0005565B"/>
    <w:rsid w:val="00055773"/>
    <w:rsid w:val="000602E8"/>
    <w:rsid w:val="00060380"/>
    <w:rsid w:val="00061D1A"/>
    <w:rsid w:val="00062206"/>
    <w:rsid w:val="00062BB9"/>
    <w:rsid w:val="000656AF"/>
    <w:rsid w:val="000662ED"/>
    <w:rsid w:val="0006664A"/>
    <w:rsid w:val="000674BC"/>
    <w:rsid w:val="000703A1"/>
    <w:rsid w:val="00070623"/>
    <w:rsid w:val="00071FE1"/>
    <w:rsid w:val="00072044"/>
    <w:rsid w:val="00077015"/>
    <w:rsid w:val="00077490"/>
    <w:rsid w:val="00081855"/>
    <w:rsid w:val="00083EDC"/>
    <w:rsid w:val="00084D5C"/>
    <w:rsid w:val="00085A5A"/>
    <w:rsid w:val="00086AA6"/>
    <w:rsid w:val="00094FE0"/>
    <w:rsid w:val="0009712F"/>
    <w:rsid w:val="00097A3A"/>
    <w:rsid w:val="000B0838"/>
    <w:rsid w:val="000B196C"/>
    <w:rsid w:val="000B1A63"/>
    <w:rsid w:val="000B2988"/>
    <w:rsid w:val="000B2B48"/>
    <w:rsid w:val="000B7EE0"/>
    <w:rsid w:val="000C1862"/>
    <w:rsid w:val="000C1AA4"/>
    <w:rsid w:val="000C3A29"/>
    <w:rsid w:val="000C70F1"/>
    <w:rsid w:val="000D06A4"/>
    <w:rsid w:val="000D20EA"/>
    <w:rsid w:val="000D2111"/>
    <w:rsid w:val="000D3B54"/>
    <w:rsid w:val="000D3F0F"/>
    <w:rsid w:val="000D4177"/>
    <w:rsid w:val="000D6592"/>
    <w:rsid w:val="000D66E6"/>
    <w:rsid w:val="000D6B44"/>
    <w:rsid w:val="000D6D60"/>
    <w:rsid w:val="000E16CA"/>
    <w:rsid w:val="000E2841"/>
    <w:rsid w:val="000E3025"/>
    <w:rsid w:val="000E3586"/>
    <w:rsid w:val="000E4BF6"/>
    <w:rsid w:val="000E5FCA"/>
    <w:rsid w:val="000E7AC5"/>
    <w:rsid w:val="000F0625"/>
    <w:rsid w:val="000F1772"/>
    <w:rsid w:val="000F3A0C"/>
    <w:rsid w:val="000F3A18"/>
    <w:rsid w:val="000F4B0E"/>
    <w:rsid w:val="000F6A3B"/>
    <w:rsid w:val="00100B9A"/>
    <w:rsid w:val="00103FB5"/>
    <w:rsid w:val="00105190"/>
    <w:rsid w:val="00112B00"/>
    <w:rsid w:val="00113801"/>
    <w:rsid w:val="001150E2"/>
    <w:rsid w:val="0011548B"/>
    <w:rsid w:val="001158B8"/>
    <w:rsid w:val="001173E1"/>
    <w:rsid w:val="001305FA"/>
    <w:rsid w:val="00131099"/>
    <w:rsid w:val="00133072"/>
    <w:rsid w:val="00136EF4"/>
    <w:rsid w:val="00140CBA"/>
    <w:rsid w:val="00143E01"/>
    <w:rsid w:val="00143F16"/>
    <w:rsid w:val="0014638F"/>
    <w:rsid w:val="0014661E"/>
    <w:rsid w:val="001477D5"/>
    <w:rsid w:val="00147F9D"/>
    <w:rsid w:val="001502B6"/>
    <w:rsid w:val="001507DC"/>
    <w:rsid w:val="001519AA"/>
    <w:rsid w:val="0015342B"/>
    <w:rsid w:val="00154F2A"/>
    <w:rsid w:val="00156EBC"/>
    <w:rsid w:val="00160A11"/>
    <w:rsid w:val="00160E2C"/>
    <w:rsid w:val="0016152E"/>
    <w:rsid w:val="00161E1F"/>
    <w:rsid w:val="0016231E"/>
    <w:rsid w:val="0016460C"/>
    <w:rsid w:val="00164845"/>
    <w:rsid w:val="00165C2E"/>
    <w:rsid w:val="001666A8"/>
    <w:rsid w:val="001673D6"/>
    <w:rsid w:val="00167472"/>
    <w:rsid w:val="00167CDE"/>
    <w:rsid w:val="00170085"/>
    <w:rsid w:val="00170257"/>
    <w:rsid w:val="00171489"/>
    <w:rsid w:val="00173245"/>
    <w:rsid w:val="00174E75"/>
    <w:rsid w:val="00175206"/>
    <w:rsid w:val="001778EB"/>
    <w:rsid w:val="00180E60"/>
    <w:rsid w:val="0018151D"/>
    <w:rsid w:val="001829D3"/>
    <w:rsid w:val="001844E3"/>
    <w:rsid w:val="00185EED"/>
    <w:rsid w:val="0018601F"/>
    <w:rsid w:val="00192124"/>
    <w:rsid w:val="00194A4D"/>
    <w:rsid w:val="00196C24"/>
    <w:rsid w:val="001A2C97"/>
    <w:rsid w:val="001A45DA"/>
    <w:rsid w:val="001A4F98"/>
    <w:rsid w:val="001A6261"/>
    <w:rsid w:val="001A630B"/>
    <w:rsid w:val="001A7530"/>
    <w:rsid w:val="001B0002"/>
    <w:rsid w:val="001B1763"/>
    <w:rsid w:val="001B188D"/>
    <w:rsid w:val="001B1891"/>
    <w:rsid w:val="001B1BA7"/>
    <w:rsid w:val="001B1BBD"/>
    <w:rsid w:val="001B2A13"/>
    <w:rsid w:val="001B3545"/>
    <w:rsid w:val="001B4B15"/>
    <w:rsid w:val="001B5541"/>
    <w:rsid w:val="001B6364"/>
    <w:rsid w:val="001B7409"/>
    <w:rsid w:val="001C073D"/>
    <w:rsid w:val="001C1E87"/>
    <w:rsid w:val="001C217A"/>
    <w:rsid w:val="001C22B3"/>
    <w:rsid w:val="001C4872"/>
    <w:rsid w:val="001C514B"/>
    <w:rsid w:val="001C6271"/>
    <w:rsid w:val="001C66DD"/>
    <w:rsid w:val="001C6FA7"/>
    <w:rsid w:val="001D05DC"/>
    <w:rsid w:val="001D0D42"/>
    <w:rsid w:val="001D2AEE"/>
    <w:rsid w:val="001D4B25"/>
    <w:rsid w:val="001D58AA"/>
    <w:rsid w:val="001D76AC"/>
    <w:rsid w:val="001D788B"/>
    <w:rsid w:val="001E1817"/>
    <w:rsid w:val="001E1E7E"/>
    <w:rsid w:val="001E2A7B"/>
    <w:rsid w:val="001E419F"/>
    <w:rsid w:val="001E430E"/>
    <w:rsid w:val="001E60DD"/>
    <w:rsid w:val="001F2C05"/>
    <w:rsid w:val="001F414D"/>
    <w:rsid w:val="001F4B1B"/>
    <w:rsid w:val="001F7C23"/>
    <w:rsid w:val="002076F9"/>
    <w:rsid w:val="002119D8"/>
    <w:rsid w:val="00216412"/>
    <w:rsid w:val="00216521"/>
    <w:rsid w:val="002167CC"/>
    <w:rsid w:val="002173D2"/>
    <w:rsid w:val="0022117D"/>
    <w:rsid w:val="00224143"/>
    <w:rsid w:val="00230033"/>
    <w:rsid w:val="002309C4"/>
    <w:rsid w:val="00231758"/>
    <w:rsid w:val="0023205E"/>
    <w:rsid w:val="002327B4"/>
    <w:rsid w:val="00233436"/>
    <w:rsid w:val="0023363E"/>
    <w:rsid w:val="00233CE9"/>
    <w:rsid w:val="00234DE1"/>
    <w:rsid w:val="002362A8"/>
    <w:rsid w:val="00236497"/>
    <w:rsid w:val="00240FF5"/>
    <w:rsid w:val="002419EA"/>
    <w:rsid w:val="00241BC6"/>
    <w:rsid w:val="00241C11"/>
    <w:rsid w:val="0024225B"/>
    <w:rsid w:val="00243E61"/>
    <w:rsid w:val="00245AD5"/>
    <w:rsid w:val="00245B4C"/>
    <w:rsid w:val="00247E9E"/>
    <w:rsid w:val="00250685"/>
    <w:rsid w:val="00253DA5"/>
    <w:rsid w:val="00254FF6"/>
    <w:rsid w:val="00256C3D"/>
    <w:rsid w:val="00256F81"/>
    <w:rsid w:val="00260997"/>
    <w:rsid w:val="00261485"/>
    <w:rsid w:val="002615A7"/>
    <w:rsid w:val="00262F6F"/>
    <w:rsid w:val="002700B9"/>
    <w:rsid w:val="0027145F"/>
    <w:rsid w:val="00271B06"/>
    <w:rsid w:val="0027338B"/>
    <w:rsid w:val="002750AA"/>
    <w:rsid w:val="00276EBA"/>
    <w:rsid w:val="00277013"/>
    <w:rsid w:val="002778AB"/>
    <w:rsid w:val="00277D71"/>
    <w:rsid w:val="00282F18"/>
    <w:rsid w:val="002833DB"/>
    <w:rsid w:val="00283518"/>
    <w:rsid w:val="00284395"/>
    <w:rsid w:val="00286224"/>
    <w:rsid w:val="00287DAA"/>
    <w:rsid w:val="00287E1D"/>
    <w:rsid w:val="0029055E"/>
    <w:rsid w:val="002909E7"/>
    <w:rsid w:val="002917F1"/>
    <w:rsid w:val="002920A2"/>
    <w:rsid w:val="00292BFB"/>
    <w:rsid w:val="002973A6"/>
    <w:rsid w:val="002975FF"/>
    <w:rsid w:val="00297BE3"/>
    <w:rsid w:val="002A1384"/>
    <w:rsid w:val="002A15B9"/>
    <w:rsid w:val="002A2F0A"/>
    <w:rsid w:val="002A3E3F"/>
    <w:rsid w:val="002A59B5"/>
    <w:rsid w:val="002A5DA0"/>
    <w:rsid w:val="002A77AE"/>
    <w:rsid w:val="002A7A04"/>
    <w:rsid w:val="002B151F"/>
    <w:rsid w:val="002B4B59"/>
    <w:rsid w:val="002C28DE"/>
    <w:rsid w:val="002C343F"/>
    <w:rsid w:val="002C4A12"/>
    <w:rsid w:val="002C546F"/>
    <w:rsid w:val="002C556B"/>
    <w:rsid w:val="002C67B2"/>
    <w:rsid w:val="002C6B5B"/>
    <w:rsid w:val="002D0A2F"/>
    <w:rsid w:val="002D0E29"/>
    <w:rsid w:val="002D0FC9"/>
    <w:rsid w:val="002D15E3"/>
    <w:rsid w:val="002D1B39"/>
    <w:rsid w:val="002D441D"/>
    <w:rsid w:val="002D5038"/>
    <w:rsid w:val="002D5B40"/>
    <w:rsid w:val="002E0949"/>
    <w:rsid w:val="002E1BEC"/>
    <w:rsid w:val="002E2BA9"/>
    <w:rsid w:val="002E3183"/>
    <w:rsid w:val="002E332C"/>
    <w:rsid w:val="002E3495"/>
    <w:rsid w:val="002E3858"/>
    <w:rsid w:val="002E44C9"/>
    <w:rsid w:val="002E45FF"/>
    <w:rsid w:val="002E46B1"/>
    <w:rsid w:val="002E5427"/>
    <w:rsid w:val="002E548A"/>
    <w:rsid w:val="002E67E2"/>
    <w:rsid w:val="002F0299"/>
    <w:rsid w:val="002F2501"/>
    <w:rsid w:val="002F25D7"/>
    <w:rsid w:val="002F27EA"/>
    <w:rsid w:val="002F29E5"/>
    <w:rsid w:val="002F3146"/>
    <w:rsid w:val="002F4262"/>
    <w:rsid w:val="002F4988"/>
    <w:rsid w:val="002F4A73"/>
    <w:rsid w:val="002F4CBD"/>
    <w:rsid w:val="002F5C09"/>
    <w:rsid w:val="002F6285"/>
    <w:rsid w:val="002F732B"/>
    <w:rsid w:val="002F73A3"/>
    <w:rsid w:val="00300A1C"/>
    <w:rsid w:val="00303999"/>
    <w:rsid w:val="00304B14"/>
    <w:rsid w:val="00307F61"/>
    <w:rsid w:val="0031037C"/>
    <w:rsid w:val="0031065D"/>
    <w:rsid w:val="0031298D"/>
    <w:rsid w:val="00313AA7"/>
    <w:rsid w:val="00315C42"/>
    <w:rsid w:val="00321C60"/>
    <w:rsid w:val="003300AA"/>
    <w:rsid w:val="00331B20"/>
    <w:rsid w:val="00332FEB"/>
    <w:rsid w:val="00333B56"/>
    <w:rsid w:val="003344BB"/>
    <w:rsid w:val="003404D8"/>
    <w:rsid w:val="00342B44"/>
    <w:rsid w:val="00343E4F"/>
    <w:rsid w:val="00343EC1"/>
    <w:rsid w:val="00344652"/>
    <w:rsid w:val="00345397"/>
    <w:rsid w:val="003470F4"/>
    <w:rsid w:val="0034772B"/>
    <w:rsid w:val="00350756"/>
    <w:rsid w:val="00350982"/>
    <w:rsid w:val="00350F3D"/>
    <w:rsid w:val="003548E0"/>
    <w:rsid w:val="003553CA"/>
    <w:rsid w:val="00357665"/>
    <w:rsid w:val="00360468"/>
    <w:rsid w:val="0036074C"/>
    <w:rsid w:val="003612B5"/>
    <w:rsid w:val="00365BB7"/>
    <w:rsid w:val="00365BF2"/>
    <w:rsid w:val="00365C2E"/>
    <w:rsid w:val="0036709E"/>
    <w:rsid w:val="00367795"/>
    <w:rsid w:val="00367879"/>
    <w:rsid w:val="00370123"/>
    <w:rsid w:val="0037092D"/>
    <w:rsid w:val="003715AE"/>
    <w:rsid w:val="00374D39"/>
    <w:rsid w:val="0037566F"/>
    <w:rsid w:val="00375BDB"/>
    <w:rsid w:val="00375F29"/>
    <w:rsid w:val="00376562"/>
    <w:rsid w:val="00376FDE"/>
    <w:rsid w:val="00377D10"/>
    <w:rsid w:val="00380294"/>
    <w:rsid w:val="00380FA3"/>
    <w:rsid w:val="00384126"/>
    <w:rsid w:val="00384A31"/>
    <w:rsid w:val="00385FDF"/>
    <w:rsid w:val="00386463"/>
    <w:rsid w:val="003879F3"/>
    <w:rsid w:val="00390178"/>
    <w:rsid w:val="00390E8C"/>
    <w:rsid w:val="0039186D"/>
    <w:rsid w:val="00392973"/>
    <w:rsid w:val="003945BE"/>
    <w:rsid w:val="00394728"/>
    <w:rsid w:val="00394992"/>
    <w:rsid w:val="00394B83"/>
    <w:rsid w:val="0039705A"/>
    <w:rsid w:val="003A0560"/>
    <w:rsid w:val="003A0884"/>
    <w:rsid w:val="003A2CAE"/>
    <w:rsid w:val="003A42FF"/>
    <w:rsid w:val="003A7E5E"/>
    <w:rsid w:val="003B054D"/>
    <w:rsid w:val="003B22E3"/>
    <w:rsid w:val="003B3335"/>
    <w:rsid w:val="003B34CA"/>
    <w:rsid w:val="003B5FE6"/>
    <w:rsid w:val="003B6473"/>
    <w:rsid w:val="003B705E"/>
    <w:rsid w:val="003B7340"/>
    <w:rsid w:val="003C040F"/>
    <w:rsid w:val="003C0ECF"/>
    <w:rsid w:val="003C528B"/>
    <w:rsid w:val="003C66E9"/>
    <w:rsid w:val="003D174F"/>
    <w:rsid w:val="003D25B4"/>
    <w:rsid w:val="003D27C3"/>
    <w:rsid w:val="003D4004"/>
    <w:rsid w:val="003D4D70"/>
    <w:rsid w:val="003E14D5"/>
    <w:rsid w:val="003E22A8"/>
    <w:rsid w:val="003E372C"/>
    <w:rsid w:val="003E520D"/>
    <w:rsid w:val="003E78C0"/>
    <w:rsid w:val="003E7B55"/>
    <w:rsid w:val="003E7B8D"/>
    <w:rsid w:val="003E7E18"/>
    <w:rsid w:val="003F713F"/>
    <w:rsid w:val="004008A7"/>
    <w:rsid w:val="00400DB2"/>
    <w:rsid w:val="00402421"/>
    <w:rsid w:val="00403B5D"/>
    <w:rsid w:val="00405205"/>
    <w:rsid w:val="00405CF7"/>
    <w:rsid w:val="00406446"/>
    <w:rsid w:val="00406964"/>
    <w:rsid w:val="00412334"/>
    <w:rsid w:val="00412788"/>
    <w:rsid w:val="00412877"/>
    <w:rsid w:val="0041329F"/>
    <w:rsid w:val="0041494D"/>
    <w:rsid w:val="00414E71"/>
    <w:rsid w:val="0041638B"/>
    <w:rsid w:val="00421C60"/>
    <w:rsid w:val="00421D71"/>
    <w:rsid w:val="00423B5F"/>
    <w:rsid w:val="0042406B"/>
    <w:rsid w:val="004256F4"/>
    <w:rsid w:val="00425811"/>
    <w:rsid w:val="00427285"/>
    <w:rsid w:val="0043260E"/>
    <w:rsid w:val="00432C38"/>
    <w:rsid w:val="004344DF"/>
    <w:rsid w:val="004354C4"/>
    <w:rsid w:val="00435BAA"/>
    <w:rsid w:val="00435CCC"/>
    <w:rsid w:val="00436D29"/>
    <w:rsid w:val="004373E0"/>
    <w:rsid w:val="0044196B"/>
    <w:rsid w:val="00441C72"/>
    <w:rsid w:val="0044276A"/>
    <w:rsid w:val="00443763"/>
    <w:rsid w:val="00444001"/>
    <w:rsid w:val="0044480D"/>
    <w:rsid w:val="0044585B"/>
    <w:rsid w:val="00445FFC"/>
    <w:rsid w:val="004462F5"/>
    <w:rsid w:val="004467F9"/>
    <w:rsid w:val="00446C80"/>
    <w:rsid w:val="00447751"/>
    <w:rsid w:val="00451BE1"/>
    <w:rsid w:val="004527AE"/>
    <w:rsid w:val="00453252"/>
    <w:rsid w:val="0045394B"/>
    <w:rsid w:val="00456323"/>
    <w:rsid w:val="004564CD"/>
    <w:rsid w:val="00457D21"/>
    <w:rsid w:val="00460781"/>
    <w:rsid w:val="004616A1"/>
    <w:rsid w:val="0046256F"/>
    <w:rsid w:val="00464C1B"/>
    <w:rsid w:val="004655D3"/>
    <w:rsid w:val="0046692A"/>
    <w:rsid w:val="004709C4"/>
    <w:rsid w:val="00470B92"/>
    <w:rsid w:val="00471339"/>
    <w:rsid w:val="00471552"/>
    <w:rsid w:val="00471AA2"/>
    <w:rsid w:val="004735D1"/>
    <w:rsid w:val="00473DF6"/>
    <w:rsid w:val="004747E8"/>
    <w:rsid w:val="004764E8"/>
    <w:rsid w:val="004766BF"/>
    <w:rsid w:val="00476B47"/>
    <w:rsid w:val="00477E67"/>
    <w:rsid w:val="004816AF"/>
    <w:rsid w:val="00481ADE"/>
    <w:rsid w:val="00481BB2"/>
    <w:rsid w:val="00482A75"/>
    <w:rsid w:val="00483509"/>
    <w:rsid w:val="00485438"/>
    <w:rsid w:val="004854AF"/>
    <w:rsid w:val="00485A74"/>
    <w:rsid w:val="00486037"/>
    <w:rsid w:val="00490A2D"/>
    <w:rsid w:val="00493CB2"/>
    <w:rsid w:val="00495DE2"/>
    <w:rsid w:val="00496084"/>
    <w:rsid w:val="004963BC"/>
    <w:rsid w:val="00496B12"/>
    <w:rsid w:val="00497721"/>
    <w:rsid w:val="004A4785"/>
    <w:rsid w:val="004A5BE7"/>
    <w:rsid w:val="004A7CB2"/>
    <w:rsid w:val="004B1FFD"/>
    <w:rsid w:val="004B22AE"/>
    <w:rsid w:val="004B2452"/>
    <w:rsid w:val="004B3FD7"/>
    <w:rsid w:val="004B5813"/>
    <w:rsid w:val="004B6038"/>
    <w:rsid w:val="004B679F"/>
    <w:rsid w:val="004B6FD8"/>
    <w:rsid w:val="004C1DF0"/>
    <w:rsid w:val="004C2331"/>
    <w:rsid w:val="004C3238"/>
    <w:rsid w:val="004C3BD4"/>
    <w:rsid w:val="004C41ED"/>
    <w:rsid w:val="004C5166"/>
    <w:rsid w:val="004C5571"/>
    <w:rsid w:val="004D0194"/>
    <w:rsid w:val="004D02E9"/>
    <w:rsid w:val="004D072B"/>
    <w:rsid w:val="004D5F7C"/>
    <w:rsid w:val="004D60B9"/>
    <w:rsid w:val="004D6670"/>
    <w:rsid w:val="004D686B"/>
    <w:rsid w:val="004D6FB3"/>
    <w:rsid w:val="004D7BDB"/>
    <w:rsid w:val="004E49FE"/>
    <w:rsid w:val="004E4B3A"/>
    <w:rsid w:val="004E5443"/>
    <w:rsid w:val="004E5688"/>
    <w:rsid w:val="004E58C3"/>
    <w:rsid w:val="004E5F2B"/>
    <w:rsid w:val="004E6613"/>
    <w:rsid w:val="004E79B9"/>
    <w:rsid w:val="004F0448"/>
    <w:rsid w:val="004F11D3"/>
    <w:rsid w:val="004F1FC0"/>
    <w:rsid w:val="004F48C0"/>
    <w:rsid w:val="004F4F60"/>
    <w:rsid w:val="004F5CC3"/>
    <w:rsid w:val="004F71AB"/>
    <w:rsid w:val="00500D13"/>
    <w:rsid w:val="0050272C"/>
    <w:rsid w:val="00504FC6"/>
    <w:rsid w:val="00505331"/>
    <w:rsid w:val="00505F8E"/>
    <w:rsid w:val="005061F6"/>
    <w:rsid w:val="005126E2"/>
    <w:rsid w:val="00513731"/>
    <w:rsid w:val="00514C4A"/>
    <w:rsid w:val="0051711C"/>
    <w:rsid w:val="005200BD"/>
    <w:rsid w:val="00521722"/>
    <w:rsid w:val="0052219B"/>
    <w:rsid w:val="00526D8A"/>
    <w:rsid w:val="0053024E"/>
    <w:rsid w:val="00530DD7"/>
    <w:rsid w:val="00531987"/>
    <w:rsid w:val="00531AE0"/>
    <w:rsid w:val="0053207C"/>
    <w:rsid w:val="00532747"/>
    <w:rsid w:val="005409D1"/>
    <w:rsid w:val="00541A8B"/>
    <w:rsid w:val="005439D6"/>
    <w:rsid w:val="00545283"/>
    <w:rsid w:val="00545FF9"/>
    <w:rsid w:val="005466F6"/>
    <w:rsid w:val="00546D0B"/>
    <w:rsid w:val="005470AD"/>
    <w:rsid w:val="005520B7"/>
    <w:rsid w:val="00553749"/>
    <w:rsid w:val="005541DD"/>
    <w:rsid w:val="00554258"/>
    <w:rsid w:val="005548DF"/>
    <w:rsid w:val="005549C3"/>
    <w:rsid w:val="00554B74"/>
    <w:rsid w:val="005571AB"/>
    <w:rsid w:val="005572A2"/>
    <w:rsid w:val="005572C5"/>
    <w:rsid w:val="00560D42"/>
    <w:rsid w:val="00562997"/>
    <w:rsid w:val="00563298"/>
    <w:rsid w:val="005636FC"/>
    <w:rsid w:val="005679F8"/>
    <w:rsid w:val="00571FFC"/>
    <w:rsid w:val="00573B58"/>
    <w:rsid w:val="00574215"/>
    <w:rsid w:val="00575A24"/>
    <w:rsid w:val="00576F78"/>
    <w:rsid w:val="005775B1"/>
    <w:rsid w:val="005807D6"/>
    <w:rsid w:val="0058305B"/>
    <w:rsid w:val="005836DA"/>
    <w:rsid w:val="00586C54"/>
    <w:rsid w:val="00587B1D"/>
    <w:rsid w:val="0059108D"/>
    <w:rsid w:val="00591AC2"/>
    <w:rsid w:val="005925E5"/>
    <w:rsid w:val="005928F0"/>
    <w:rsid w:val="005949E2"/>
    <w:rsid w:val="0059597A"/>
    <w:rsid w:val="0059600E"/>
    <w:rsid w:val="00596227"/>
    <w:rsid w:val="00596597"/>
    <w:rsid w:val="005A0141"/>
    <w:rsid w:val="005A0275"/>
    <w:rsid w:val="005A096A"/>
    <w:rsid w:val="005A1082"/>
    <w:rsid w:val="005A234D"/>
    <w:rsid w:val="005A2817"/>
    <w:rsid w:val="005A2A60"/>
    <w:rsid w:val="005A54B6"/>
    <w:rsid w:val="005A557D"/>
    <w:rsid w:val="005B2411"/>
    <w:rsid w:val="005B390E"/>
    <w:rsid w:val="005B4219"/>
    <w:rsid w:val="005B4A50"/>
    <w:rsid w:val="005B61E0"/>
    <w:rsid w:val="005B6354"/>
    <w:rsid w:val="005C01C3"/>
    <w:rsid w:val="005C0F67"/>
    <w:rsid w:val="005C11C6"/>
    <w:rsid w:val="005C217C"/>
    <w:rsid w:val="005C4CD9"/>
    <w:rsid w:val="005D2A41"/>
    <w:rsid w:val="005D3D89"/>
    <w:rsid w:val="005D4E5C"/>
    <w:rsid w:val="005E123E"/>
    <w:rsid w:val="005E2D86"/>
    <w:rsid w:val="005E50CA"/>
    <w:rsid w:val="005E7BA0"/>
    <w:rsid w:val="005F2D7C"/>
    <w:rsid w:val="005F3B70"/>
    <w:rsid w:val="005F44C4"/>
    <w:rsid w:val="005F5A36"/>
    <w:rsid w:val="005F6CF5"/>
    <w:rsid w:val="00600ABA"/>
    <w:rsid w:val="006011A5"/>
    <w:rsid w:val="0061048D"/>
    <w:rsid w:val="006111E5"/>
    <w:rsid w:val="006169E9"/>
    <w:rsid w:val="00620973"/>
    <w:rsid w:val="00620F4D"/>
    <w:rsid w:val="006215D8"/>
    <w:rsid w:val="00623CDD"/>
    <w:rsid w:val="006273F2"/>
    <w:rsid w:val="00632653"/>
    <w:rsid w:val="0063475F"/>
    <w:rsid w:val="00637415"/>
    <w:rsid w:val="006378B1"/>
    <w:rsid w:val="006424D6"/>
    <w:rsid w:val="0064299E"/>
    <w:rsid w:val="006437A7"/>
    <w:rsid w:val="00643D30"/>
    <w:rsid w:val="00643D37"/>
    <w:rsid w:val="00644163"/>
    <w:rsid w:val="00645D3F"/>
    <w:rsid w:val="006466B7"/>
    <w:rsid w:val="006467CD"/>
    <w:rsid w:val="00646DBB"/>
    <w:rsid w:val="006527ED"/>
    <w:rsid w:val="00652C7A"/>
    <w:rsid w:val="0065391E"/>
    <w:rsid w:val="0065398B"/>
    <w:rsid w:val="0065491C"/>
    <w:rsid w:val="00655EEF"/>
    <w:rsid w:val="00657833"/>
    <w:rsid w:val="006579EA"/>
    <w:rsid w:val="00657FB1"/>
    <w:rsid w:val="006612A2"/>
    <w:rsid w:val="00664B10"/>
    <w:rsid w:val="00666CDA"/>
    <w:rsid w:val="00667E6F"/>
    <w:rsid w:val="00670246"/>
    <w:rsid w:val="00670D92"/>
    <w:rsid w:val="006753A2"/>
    <w:rsid w:val="0067582A"/>
    <w:rsid w:val="00676ABE"/>
    <w:rsid w:val="00677186"/>
    <w:rsid w:val="00677281"/>
    <w:rsid w:val="006809B4"/>
    <w:rsid w:val="006809E2"/>
    <w:rsid w:val="006817B0"/>
    <w:rsid w:val="00684795"/>
    <w:rsid w:val="0069145A"/>
    <w:rsid w:val="0069318B"/>
    <w:rsid w:val="00693BF2"/>
    <w:rsid w:val="00694301"/>
    <w:rsid w:val="006950EB"/>
    <w:rsid w:val="00695A29"/>
    <w:rsid w:val="00696129"/>
    <w:rsid w:val="00696C5C"/>
    <w:rsid w:val="00697CB9"/>
    <w:rsid w:val="006A0238"/>
    <w:rsid w:val="006A1186"/>
    <w:rsid w:val="006A2EF1"/>
    <w:rsid w:val="006A6B2C"/>
    <w:rsid w:val="006B1335"/>
    <w:rsid w:val="006B1E07"/>
    <w:rsid w:val="006B34C6"/>
    <w:rsid w:val="006B561F"/>
    <w:rsid w:val="006B593E"/>
    <w:rsid w:val="006B6E67"/>
    <w:rsid w:val="006B7354"/>
    <w:rsid w:val="006B7904"/>
    <w:rsid w:val="006C004D"/>
    <w:rsid w:val="006C0380"/>
    <w:rsid w:val="006C04B0"/>
    <w:rsid w:val="006C146B"/>
    <w:rsid w:val="006C1D55"/>
    <w:rsid w:val="006C3857"/>
    <w:rsid w:val="006C3C82"/>
    <w:rsid w:val="006C74ED"/>
    <w:rsid w:val="006D0133"/>
    <w:rsid w:val="006D027D"/>
    <w:rsid w:val="006D2F41"/>
    <w:rsid w:val="006D4C48"/>
    <w:rsid w:val="006D4CBF"/>
    <w:rsid w:val="006D5F1F"/>
    <w:rsid w:val="006D7663"/>
    <w:rsid w:val="006D7A8C"/>
    <w:rsid w:val="006E03AB"/>
    <w:rsid w:val="006E3144"/>
    <w:rsid w:val="006E333D"/>
    <w:rsid w:val="006E407F"/>
    <w:rsid w:val="006E561B"/>
    <w:rsid w:val="006E5AE1"/>
    <w:rsid w:val="006F0475"/>
    <w:rsid w:val="006F1D16"/>
    <w:rsid w:val="006F369C"/>
    <w:rsid w:val="006F5840"/>
    <w:rsid w:val="006F5F58"/>
    <w:rsid w:val="006F7179"/>
    <w:rsid w:val="00700D55"/>
    <w:rsid w:val="00701459"/>
    <w:rsid w:val="00701BFB"/>
    <w:rsid w:val="0070260B"/>
    <w:rsid w:val="00705005"/>
    <w:rsid w:val="007051BD"/>
    <w:rsid w:val="00710FBF"/>
    <w:rsid w:val="00713703"/>
    <w:rsid w:val="00720850"/>
    <w:rsid w:val="00721001"/>
    <w:rsid w:val="00722B6B"/>
    <w:rsid w:val="00723A50"/>
    <w:rsid w:val="00723F7C"/>
    <w:rsid w:val="00724372"/>
    <w:rsid w:val="0072447C"/>
    <w:rsid w:val="00724A8E"/>
    <w:rsid w:val="007254C8"/>
    <w:rsid w:val="00725C1E"/>
    <w:rsid w:val="00726FF7"/>
    <w:rsid w:val="00730772"/>
    <w:rsid w:val="00730F5B"/>
    <w:rsid w:val="007311E0"/>
    <w:rsid w:val="0073288F"/>
    <w:rsid w:val="007344DE"/>
    <w:rsid w:val="007349C3"/>
    <w:rsid w:val="00734E4D"/>
    <w:rsid w:val="007356F4"/>
    <w:rsid w:val="00741A63"/>
    <w:rsid w:val="00742AD7"/>
    <w:rsid w:val="0074346B"/>
    <w:rsid w:val="00744CDF"/>
    <w:rsid w:val="00745012"/>
    <w:rsid w:val="00745480"/>
    <w:rsid w:val="00746B05"/>
    <w:rsid w:val="00751132"/>
    <w:rsid w:val="00751AF6"/>
    <w:rsid w:val="007549C0"/>
    <w:rsid w:val="00754A98"/>
    <w:rsid w:val="00760C96"/>
    <w:rsid w:val="00766639"/>
    <w:rsid w:val="00766CDB"/>
    <w:rsid w:val="00771E4C"/>
    <w:rsid w:val="0077437D"/>
    <w:rsid w:val="00775D3A"/>
    <w:rsid w:val="00775EA8"/>
    <w:rsid w:val="00776D1E"/>
    <w:rsid w:val="007776E1"/>
    <w:rsid w:val="0077789D"/>
    <w:rsid w:val="007779F2"/>
    <w:rsid w:val="00781A12"/>
    <w:rsid w:val="0078397D"/>
    <w:rsid w:val="00786AAE"/>
    <w:rsid w:val="007915E4"/>
    <w:rsid w:val="00792727"/>
    <w:rsid w:val="0079343D"/>
    <w:rsid w:val="00793B2F"/>
    <w:rsid w:val="00794DFE"/>
    <w:rsid w:val="007955A0"/>
    <w:rsid w:val="007A1E9C"/>
    <w:rsid w:val="007A3599"/>
    <w:rsid w:val="007A35AC"/>
    <w:rsid w:val="007A4D4C"/>
    <w:rsid w:val="007A50BA"/>
    <w:rsid w:val="007A538B"/>
    <w:rsid w:val="007B0F35"/>
    <w:rsid w:val="007B14C1"/>
    <w:rsid w:val="007B2BF9"/>
    <w:rsid w:val="007B2E03"/>
    <w:rsid w:val="007B345A"/>
    <w:rsid w:val="007B3D8C"/>
    <w:rsid w:val="007B3F03"/>
    <w:rsid w:val="007B5141"/>
    <w:rsid w:val="007B534D"/>
    <w:rsid w:val="007B6273"/>
    <w:rsid w:val="007B6468"/>
    <w:rsid w:val="007B6FCE"/>
    <w:rsid w:val="007B7330"/>
    <w:rsid w:val="007C01BE"/>
    <w:rsid w:val="007C21B8"/>
    <w:rsid w:val="007C3140"/>
    <w:rsid w:val="007C417D"/>
    <w:rsid w:val="007C5769"/>
    <w:rsid w:val="007C6BFD"/>
    <w:rsid w:val="007D2A44"/>
    <w:rsid w:val="007D63BF"/>
    <w:rsid w:val="007D68B0"/>
    <w:rsid w:val="007E4934"/>
    <w:rsid w:val="007E5F8B"/>
    <w:rsid w:val="007E63D6"/>
    <w:rsid w:val="007E7875"/>
    <w:rsid w:val="007E7A60"/>
    <w:rsid w:val="007E7C32"/>
    <w:rsid w:val="007F1AC9"/>
    <w:rsid w:val="007F1D5B"/>
    <w:rsid w:val="007F367B"/>
    <w:rsid w:val="007F5BFA"/>
    <w:rsid w:val="007F6293"/>
    <w:rsid w:val="007F6549"/>
    <w:rsid w:val="00801D23"/>
    <w:rsid w:val="0080358D"/>
    <w:rsid w:val="00804776"/>
    <w:rsid w:val="00804F36"/>
    <w:rsid w:val="00805E9C"/>
    <w:rsid w:val="00805EFA"/>
    <w:rsid w:val="008060C5"/>
    <w:rsid w:val="00807CDF"/>
    <w:rsid w:val="00810236"/>
    <w:rsid w:val="0081160C"/>
    <w:rsid w:val="00811E34"/>
    <w:rsid w:val="00813DC4"/>
    <w:rsid w:val="00814988"/>
    <w:rsid w:val="00814B24"/>
    <w:rsid w:val="00814C5B"/>
    <w:rsid w:val="00814D01"/>
    <w:rsid w:val="0081507E"/>
    <w:rsid w:val="008152DF"/>
    <w:rsid w:val="00815BC2"/>
    <w:rsid w:val="008161BD"/>
    <w:rsid w:val="00820FAA"/>
    <w:rsid w:val="00821B06"/>
    <w:rsid w:val="00822744"/>
    <w:rsid w:val="00823E86"/>
    <w:rsid w:val="0082445D"/>
    <w:rsid w:val="00824855"/>
    <w:rsid w:val="00825927"/>
    <w:rsid w:val="0082647A"/>
    <w:rsid w:val="00830C82"/>
    <w:rsid w:val="008311F0"/>
    <w:rsid w:val="0083426D"/>
    <w:rsid w:val="00834A37"/>
    <w:rsid w:val="0084010A"/>
    <w:rsid w:val="008407B3"/>
    <w:rsid w:val="00842EDC"/>
    <w:rsid w:val="0084794C"/>
    <w:rsid w:val="008479B9"/>
    <w:rsid w:val="00847FE9"/>
    <w:rsid w:val="00850972"/>
    <w:rsid w:val="00850B39"/>
    <w:rsid w:val="008513E5"/>
    <w:rsid w:val="008531B3"/>
    <w:rsid w:val="008546F3"/>
    <w:rsid w:val="0085489B"/>
    <w:rsid w:val="008615D7"/>
    <w:rsid w:val="00861B96"/>
    <w:rsid w:val="00862769"/>
    <w:rsid w:val="008634D6"/>
    <w:rsid w:val="00863762"/>
    <w:rsid w:val="00864A66"/>
    <w:rsid w:val="00866C65"/>
    <w:rsid w:val="008670E5"/>
    <w:rsid w:val="00867561"/>
    <w:rsid w:val="00874125"/>
    <w:rsid w:val="00874370"/>
    <w:rsid w:val="0087694F"/>
    <w:rsid w:val="00876C99"/>
    <w:rsid w:val="00882D11"/>
    <w:rsid w:val="00882FB1"/>
    <w:rsid w:val="0088328B"/>
    <w:rsid w:val="00883586"/>
    <w:rsid w:val="0088528A"/>
    <w:rsid w:val="00893117"/>
    <w:rsid w:val="00894789"/>
    <w:rsid w:val="008974D4"/>
    <w:rsid w:val="008A093F"/>
    <w:rsid w:val="008A0F95"/>
    <w:rsid w:val="008A0FCE"/>
    <w:rsid w:val="008A103A"/>
    <w:rsid w:val="008A2EF1"/>
    <w:rsid w:val="008A36D6"/>
    <w:rsid w:val="008A670B"/>
    <w:rsid w:val="008A6A00"/>
    <w:rsid w:val="008B1EE7"/>
    <w:rsid w:val="008B32F9"/>
    <w:rsid w:val="008B3497"/>
    <w:rsid w:val="008B3C39"/>
    <w:rsid w:val="008B4837"/>
    <w:rsid w:val="008B782C"/>
    <w:rsid w:val="008C0C13"/>
    <w:rsid w:val="008C3AEA"/>
    <w:rsid w:val="008C5916"/>
    <w:rsid w:val="008C76D1"/>
    <w:rsid w:val="008C7A52"/>
    <w:rsid w:val="008D21FE"/>
    <w:rsid w:val="008D2931"/>
    <w:rsid w:val="008D3222"/>
    <w:rsid w:val="008D4717"/>
    <w:rsid w:val="008E10F1"/>
    <w:rsid w:val="008E281D"/>
    <w:rsid w:val="008E651C"/>
    <w:rsid w:val="008E6DE9"/>
    <w:rsid w:val="008E7F4C"/>
    <w:rsid w:val="008F03D4"/>
    <w:rsid w:val="008F09D1"/>
    <w:rsid w:val="008F1C04"/>
    <w:rsid w:val="008F20AA"/>
    <w:rsid w:val="008F5662"/>
    <w:rsid w:val="00901CD2"/>
    <w:rsid w:val="00901EDF"/>
    <w:rsid w:val="00902619"/>
    <w:rsid w:val="00902CD0"/>
    <w:rsid w:val="009068E0"/>
    <w:rsid w:val="009073BA"/>
    <w:rsid w:val="00907AD8"/>
    <w:rsid w:val="00910912"/>
    <w:rsid w:val="00910DE9"/>
    <w:rsid w:val="009117F0"/>
    <w:rsid w:val="00911EE6"/>
    <w:rsid w:val="0091363D"/>
    <w:rsid w:val="0091410B"/>
    <w:rsid w:val="00920829"/>
    <w:rsid w:val="00920B1F"/>
    <w:rsid w:val="00920D51"/>
    <w:rsid w:val="00922B3A"/>
    <w:rsid w:val="009256CA"/>
    <w:rsid w:val="00925D4C"/>
    <w:rsid w:val="00926C9F"/>
    <w:rsid w:val="009308A8"/>
    <w:rsid w:val="00930FAA"/>
    <w:rsid w:val="0093133C"/>
    <w:rsid w:val="0093190C"/>
    <w:rsid w:val="00936049"/>
    <w:rsid w:val="009362F4"/>
    <w:rsid w:val="0094266F"/>
    <w:rsid w:val="00942D1D"/>
    <w:rsid w:val="0094451A"/>
    <w:rsid w:val="009456CF"/>
    <w:rsid w:val="00945DC9"/>
    <w:rsid w:val="00947F93"/>
    <w:rsid w:val="00952156"/>
    <w:rsid w:val="00954065"/>
    <w:rsid w:val="009563CE"/>
    <w:rsid w:val="00960C17"/>
    <w:rsid w:val="009664A0"/>
    <w:rsid w:val="00966559"/>
    <w:rsid w:val="0096662F"/>
    <w:rsid w:val="0097006B"/>
    <w:rsid w:val="00970E39"/>
    <w:rsid w:val="00971F0F"/>
    <w:rsid w:val="0097213C"/>
    <w:rsid w:val="00973CC5"/>
    <w:rsid w:val="00976C24"/>
    <w:rsid w:val="00977A3E"/>
    <w:rsid w:val="0098101E"/>
    <w:rsid w:val="00981066"/>
    <w:rsid w:val="009824AF"/>
    <w:rsid w:val="0098343D"/>
    <w:rsid w:val="0098369C"/>
    <w:rsid w:val="0098370C"/>
    <w:rsid w:val="0098565F"/>
    <w:rsid w:val="00985D5E"/>
    <w:rsid w:val="00987DE5"/>
    <w:rsid w:val="00995754"/>
    <w:rsid w:val="009A02C6"/>
    <w:rsid w:val="009A1DA5"/>
    <w:rsid w:val="009A244C"/>
    <w:rsid w:val="009A28CA"/>
    <w:rsid w:val="009A490A"/>
    <w:rsid w:val="009A4948"/>
    <w:rsid w:val="009A5D1A"/>
    <w:rsid w:val="009B05B1"/>
    <w:rsid w:val="009B45B4"/>
    <w:rsid w:val="009B4E32"/>
    <w:rsid w:val="009B59AD"/>
    <w:rsid w:val="009C3374"/>
    <w:rsid w:val="009C429B"/>
    <w:rsid w:val="009C4500"/>
    <w:rsid w:val="009C500D"/>
    <w:rsid w:val="009C534D"/>
    <w:rsid w:val="009C6674"/>
    <w:rsid w:val="009C7CD7"/>
    <w:rsid w:val="009D011D"/>
    <w:rsid w:val="009D1483"/>
    <w:rsid w:val="009D1894"/>
    <w:rsid w:val="009D1FD2"/>
    <w:rsid w:val="009D2A44"/>
    <w:rsid w:val="009D3BCF"/>
    <w:rsid w:val="009D596A"/>
    <w:rsid w:val="009D775D"/>
    <w:rsid w:val="009E41D7"/>
    <w:rsid w:val="009E5BFC"/>
    <w:rsid w:val="009E7191"/>
    <w:rsid w:val="009E7895"/>
    <w:rsid w:val="009F16AD"/>
    <w:rsid w:val="009F1E2C"/>
    <w:rsid w:val="009F25C8"/>
    <w:rsid w:val="009F7CD2"/>
    <w:rsid w:val="00A01A7B"/>
    <w:rsid w:val="00A02349"/>
    <w:rsid w:val="00A03099"/>
    <w:rsid w:val="00A040E4"/>
    <w:rsid w:val="00A0519C"/>
    <w:rsid w:val="00A07364"/>
    <w:rsid w:val="00A1063C"/>
    <w:rsid w:val="00A10DDD"/>
    <w:rsid w:val="00A11DB6"/>
    <w:rsid w:val="00A1321C"/>
    <w:rsid w:val="00A150AD"/>
    <w:rsid w:val="00A15C40"/>
    <w:rsid w:val="00A163C5"/>
    <w:rsid w:val="00A17433"/>
    <w:rsid w:val="00A2130E"/>
    <w:rsid w:val="00A21745"/>
    <w:rsid w:val="00A2211B"/>
    <w:rsid w:val="00A22E80"/>
    <w:rsid w:val="00A23A29"/>
    <w:rsid w:val="00A2450F"/>
    <w:rsid w:val="00A2459C"/>
    <w:rsid w:val="00A25DD2"/>
    <w:rsid w:val="00A26DB2"/>
    <w:rsid w:val="00A30AD0"/>
    <w:rsid w:val="00A315E4"/>
    <w:rsid w:val="00A317CC"/>
    <w:rsid w:val="00A31A47"/>
    <w:rsid w:val="00A32F26"/>
    <w:rsid w:val="00A37928"/>
    <w:rsid w:val="00A41784"/>
    <w:rsid w:val="00A43800"/>
    <w:rsid w:val="00A45EAC"/>
    <w:rsid w:val="00A50535"/>
    <w:rsid w:val="00A50C93"/>
    <w:rsid w:val="00A514B2"/>
    <w:rsid w:val="00A5297D"/>
    <w:rsid w:val="00A531D4"/>
    <w:rsid w:val="00A636AF"/>
    <w:rsid w:val="00A63B38"/>
    <w:rsid w:val="00A63D23"/>
    <w:rsid w:val="00A64082"/>
    <w:rsid w:val="00A65576"/>
    <w:rsid w:val="00A679AE"/>
    <w:rsid w:val="00A70676"/>
    <w:rsid w:val="00A753B6"/>
    <w:rsid w:val="00A76546"/>
    <w:rsid w:val="00A77AF8"/>
    <w:rsid w:val="00A77E81"/>
    <w:rsid w:val="00A8012A"/>
    <w:rsid w:val="00A804E6"/>
    <w:rsid w:val="00A8119B"/>
    <w:rsid w:val="00A832EA"/>
    <w:rsid w:val="00A85711"/>
    <w:rsid w:val="00A867BC"/>
    <w:rsid w:val="00A90783"/>
    <w:rsid w:val="00A91C26"/>
    <w:rsid w:val="00A93416"/>
    <w:rsid w:val="00A94F46"/>
    <w:rsid w:val="00A96CF0"/>
    <w:rsid w:val="00A977FD"/>
    <w:rsid w:val="00AA0340"/>
    <w:rsid w:val="00AA08E2"/>
    <w:rsid w:val="00AA2AB1"/>
    <w:rsid w:val="00AA4808"/>
    <w:rsid w:val="00AA5253"/>
    <w:rsid w:val="00AB060A"/>
    <w:rsid w:val="00AB096E"/>
    <w:rsid w:val="00AB2EC7"/>
    <w:rsid w:val="00AB3BD3"/>
    <w:rsid w:val="00AB414C"/>
    <w:rsid w:val="00AB4217"/>
    <w:rsid w:val="00AB51D5"/>
    <w:rsid w:val="00AB5518"/>
    <w:rsid w:val="00AB64AC"/>
    <w:rsid w:val="00AB6729"/>
    <w:rsid w:val="00AB71C4"/>
    <w:rsid w:val="00AB7C3C"/>
    <w:rsid w:val="00AC426C"/>
    <w:rsid w:val="00AC6B4D"/>
    <w:rsid w:val="00AD189D"/>
    <w:rsid w:val="00AD2196"/>
    <w:rsid w:val="00AD2AC5"/>
    <w:rsid w:val="00AD64A3"/>
    <w:rsid w:val="00AD72C9"/>
    <w:rsid w:val="00AE0A4F"/>
    <w:rsid w:val="00AE16E6"/>
    <w:rsid w:val="00AE1A27"/>
    <w:rsid w:val="00AE50CA"/>
    <w:rsid w:val="00AE733D"/>
    <w:rsid w:val="00AF5A3E"/>
    <w:rsid w:val="00AF5AFF"/>
    <w:rsid w:val="00AF67F8"/>
    <w:rsid w:val="00B00475"/>
    <w:rsid w:val="00B0299C"/>
    <w:rsid w:val="00B05A3C"/>
    <w:rsid w:val="00B0713C"/>
    <w:rsid w:val="00B114CC"/>
    <w:rsid w:val="00B12741"/>
    <w:rsid w:val="00B136DC"/>
    <w:rsid w:val="00B15B80"/>
    <w:rsid w:val="00B15CE3"/>
    <w:rsid w:val="00B17001"/>
    <w:rsid w:val="00B17B97"/>
    <w:rsid w:val="00B20139"/>
    <w:rsid w:val="00B21186"/>
    <w:rsid w:val="00B23D61"/>
    <w:rsid w:val="00B23E43"/>
    <w:rsid w:val="00B24631"/>
    <w:rsid w:val="00B24C3C"/>
    <w:rsid w:val="00B26151"/>
    <w:rsid w:val="00B26416"/>
    <w:rsid w:val="00B26E79"/>
    <w:rsid w:val="00B33A8C"/>
    <w:rsid w:val="00B3464B"/>
    <w:rsid w:val="00B354CD"/>
    <w:rsid w:val="00B417C2"/>
    <w:rsid w:val="00B41824"/>
    <w:rsid w:val="00B421D0"/>
    <w:rsid w:val="00B4289F"/>
    <w:rsid w:val="00B45C00"/>
    <w:rsid w:val="00B4749D"/>
    <w:rsid w:val="00B47FF1"/>
    <w:rsid w:val="00B5077A"/>
    <w:rsid w:val="00B519DD"/>
    <w:rsid w:val="00B51A6A"/>
    <w:rsid w:val="00B53675"/>
    <w:rsid w:val="00B53BDA"/>
    <w:rsid w:val="00B53F50"/>
    <w:rsid w:val="00B54F5B"/>
    <w:rsid w:val="00B6025C"/>
    <w:rsid w:val="00B61CE1"/>
    <w:rsid w:val="00B628A1"/>
    <w:rsid w:val="00B6496C"/>
    <w:rsid w:val="00B64B99"/>
    <w:rsid w:val="00B65E65"/>
    <w:rsid w:val="00B66F7B"/>
    <w:rsid w:val="00B71C53"/>
    <w:rsid w:val="00B73131"/>
    <w:rsid w:val="00B76C68"/>
    <w:rsid w:val="00B77623"/>
    <w:rsid w:val="00B80517"/>
    <w:rsid w:val="00B80D6E"/>
    <w:rsid w:val="00B82BC4"/>
    <w:rsid w:val="00B831F7"/>
    <w:rsid w:val="00B83456"/>
    <w:rsid w:val="00B83714"/>
    <w:rsid w:val="00B84E23"/>
    <w:rsid w:val="00B9188B"/>
    <w:rsid w:val="00B922D2"/>
    <w:rsid w:val="00B9299E"/>
    <w:rsid w:val="00B9591F"/>
    <w:rsid w:val="00BA1DF4"/>
    <w:rsid w:val="00BA297E"/>
    <w:rsid w:val="00BA4B1D"/>
    <w:rsid w:val="00BA5A2D"/>
    <w:rsid w:val="00BA6A62"/>
    <w:rsid w:val="00BA7243"/>
    <w:rsid w:val="00BB3236"/>
    <w:rsid w:val="00BB4079"/>
    <w:rsid w:val="00BB4E81"/>
    <w:rsid w:val="00BB5049"/>
    <w:rsid w:val="00BB57B6"/>
    <w:rsid w:val="00BB6645"/>
    <w:rsid w:val="00BB6DFB"/>
    <w:rsid w:val="00BB7CA0"/>
    <w:rsid w:val="00BC1E85"/>
    <w:rsid w:val="00BC490B"/>
    <w:rsid w:val="00BC6599"/>
    <w:rsid w:val="00BC7BCB"/>
    <w:rsid w:val="00BD453D"/>
    <w:rsid w:val="00BD62F3"/>
    <w:rsid w:val="00BD686F"/>
    <w:rsid w:val="00BE24E7"/>
    <w:rsid w:val="00BE2B40"/>
    <w:rsid w:val="00BE3320"/>
    <w:rsid w:val="00BE430C"/>
    <w:rsid w:val="00BE50A2"/>
    <w:rsid w:val="00BE56CC"/>
    <w:rsid w:val="00BF08E8"/>
    <w:rsid w:val="00BF32DA"/>
    <w:rsid w:val="00BF41A8"/>
    <w:rsid w:val="00BF4946"/>
    <w:rsid w:val="00BF5A2D"/>
    <w:rsid w:val="00BF601C"/>
    <w:rsid w:val="00BF627D"/>
    <w:rsid w:val="00BF6A77"/>
    <w:rsid w:val="00C035D7"/>
    <w:rsid w:val="00C03F46"/>
    <w:rsid w:val="00C04349"/>
    <w:rsid w:val="00C1089E"/>
    <w:rsid w:val="00C12710"/>
    <w:rsid w:val="00C14BD5"/>
    <w:rsid w:val="00C14DC2"/>
    <w:rsid w:val="00C1621F"/>
    <w:rsid w:val="00C170A8"/>
    <w:rsid w:val="00C179D6"/>
    <w:rsid w:val="00C23656"/>
    <w:rsid w:val="00C24DCA"/>
    <w:rsid w:val="00C27F1D"/>
    <w:rsid w:val="00C30F14"/>
    <w:rsid w:val="00C31644"/>
    <w:rsid w:val="00C439C1"/>
    <w:rsid w:val="00C43EA0"/>
    <w:rsid w:val="00C445A1"/>
    <w:rsid w:val="00C44630"/>
    <w:rsid w:val="00C45058"/>
    <w:rsid w:val="00C45114"/>
    <w:rsid w:val="00C51BD1"/>
    <w:rsid w:val="00C53A04"/>
    <w:rsid w:val="00C54C8E"/>
    <w:rsid w:val="00C55222"/>
    <w:rsid w:val="00C55B16"/>
    <w:rsid w:val="00C56AC1"/>
    <w:rsid w:val="00C60843"/>
    <w:rsid w:val="00C614EB"/>
    <w:rsid w:val="00C62AD8"/>
    <w:rsid w:val="00C65977"/>
    <w:rsid w:val="00C664DC"/>
    <w:rsid w:val="00C66A3B"/>
    <w:rsid w:val="00C70D6F"/>
    <w:rsid w:val="00C70F1E"/>
    <w:rsid w:val="00C74F26"/>
    <w:rsid w:val="00C755F8"/>
    <w:rsid w:val="00C768A3"/>
    <w:rsid w:val="00C81852"/>
    <w:rsid w:val="00C820EF"/>
    <w:rsid w:val="00C82264"/>
    <w:rsid w:val="00C83B57"/>
    <w:rsid w:val="00C8630D"/>
    <w:rsid w:val="00C87554"/>
    <w:rsid w:val="00C87978"/>
    <w:rsid w:val="00C87BB3"/>
    <w:rsid w:val="00C91612"/>
    <w:rsid w:val="00C932E8"/>
    <w:rsid w:val="00C97770"/>
    <w:rsid w:val="00CA107E"/>
    <w:rsid w:val="00CA3368"/>
    <w:rsid w:val="00CA6375"/>
    <w:rsid w:val="00CA7011"/>
    <w:rsid w:val="00CB0412"/>
    <w:rsid w:val="00CB0A99"/>
    <w:rsid w:val="00CB269B"/>
    <w:rsid w:val="00CB33EA"/>
    <w:rsid w:val="00CB5DD3"/>
    <w:rsid w:val="00CB6FE1"/>
    <w:rsid w:val="00CC129C"/>
    <w:rsid w:val="00CC13B7"/>
    <w:rsid w:val="00CC140A"/>
    <w:rsid w:val="00CC18AD"/>
    <w:rsid w:val="00CC1C2A"/>
    <w:rsid w:val="00CC35AB"/>
    <w:rsid w:val="00CC42DC"/>
    <w:rsid w:val="00CC6105"/>
    <w:rsid w:val="00CC7761"/>
    <w:rsid w:val="00CD24BF"/>
    <w:rsid w:val="00CD24D6"/>
    <w:rsid w:val="00CD291B"/>
    <w:rsid w:val="00CD342E"/>
    <w:rsid w:val="00CD4A52"/>
    <w:rsid w:val="00CD61C7"/>
    <w:rsid w:val="00CD6F24"/>
    <w:rsid w:val="00CD7E73"/>
    <w:rsid w:val="00CE063A"/>
    <w:rsid w:val="00CE1B84"/>
    <w:rsid w:val="00CE1C70"/>
    <w:rsid w:val="00CE6C0C"/>
    <w:rsid w:val="00CE6D28"/>
    <w:rsid w:val="00CE7F08"/>
    <w:rsid w:val="00CF24DB"/>
    <w:rsid w:val="00CF3F6C"/>
    <w:rsid w:val="00CF53B5"/>
    <w:rsid w:val="00D007E2"/>
    <w:rsid w:val="00D01F1B"/>
    <w:rsid w:val="00D0290E"/>
    <w:rsid w:val="00D02F4B"/>
    <w:rsid w:val="00D05461"/>
    <w:rsid w:val="00D059F4"/>
    <w:rsid w:val="00D05BAB"/>
    <w:rsid w:val="00D067D7"/>
    <w:rsid w:val="00D06ABD"/>
    <w:rsid w:val="00D07833"/>
    <w:rsid w:val="00D11689"/>
    <w:rsid w:val="00D148F2"/>
    <w:rsid w:val="00D15DA2"/>
    <w:rsid w:val="00D200DD"/>
    <w:rsid w:val="00D20DCB"/>
    <w:rsid w:val="00D24061"/>
    <w:rsid w:val="00D25F88"/>
    <w:rsid w:val="00D26701"/>
    <w:rsid w:val="00D26711"/>
    <w:rsid w:val="00D27976"/>
    <w:rsid w:val="00D3052A"/>
    <w:rsid w:val="00D32103"/>
    <w:rsid w:val="00D326CE"/>
    <w:rsid w:val="00D33CAE"/>
    <w:rsid w:val="00D3496E"/>
    <w:rsid w:val="00D354E0"/>
    <w:rsid w:val="00D35DC6"/>
    <w:rsid w:val="00D362CC"/>
    <w:rsid w:val="00D36D31"/>
    <w:rsid w:val="00D37A82"/>
    <w:rsid w:val="00D401EB"/>
    <w:rsid w:val="00D404FF"/>
    <w:rsid w:val="00D422BD"/>
    <w:rsid w:val="00D43DBF"/>
    <w:rsid w:val="00D45135"/>
    <w:rsid w:val="00D46EFE"/>
    <w:rsid w:val="00D47F0E"/>
    <w:rsid w:val="00D50C4B"/>
    <w:rsid w:val="00D51838"/>
    <w:rsid w:val="00D519AB"/>
    <w:rsid w:val="00D51A27"/>
    <w:rsid w:val="00D51D93"/>
    <w:rsid w:val="00D531CC"/>
    <w:rsid w:val="00D53FC1"/>
    <w:rsid w:val="00D56399"/>
    <w:rsid w:val="00D56E0C"/>
    <w:rsid w:val="00D570E8"/>
    <w:rsid w:val="00D57F1E"/>
    <w:rsid w:val="00D607A2"/>
    <w:rsid w:val="00D64348"/>
    <w:rsid w:val="00D64B10"/>
    <w:rsid w:val="00D67876"/>
    <w:rsid w:val="00D72377"/>
    <w:rsid w:val="00D74429"/>
    <w:rsid w:val="00D75177"/>
    <w:rsid w:val="00D7533D"/>
    <w:rsid w:val="00D76509"/>
    <w:rsid w:val="00D80B3A"/>
    <w:rsid w:val="00D81A66"/>
    <w:rsid w:val="00D82D81"/>
    <w:rsid w:val="00D831E6"/>
    <w:rsid w:val="00D83F1F"/>
    <w:rsid w:val="00D8496B"/>
    <w:rsid w:val="00D91E92"/>
    <w:rsid w:val="00D94CD9"/>
    <w:rsid w:val="00D951F7"/>
    <w:rsid w:val="00D955F4"/>
    <w:rsid w:val="00D9652F"/>
    <w:rsid w:val="00D97DF6"/>
    <w:rsid w:val="00DA03E9"/>
    <w:rsid w:val="00DA0A16"/>
    <w:rsid w:val="00DA0D81"/>
    <w:rsid w:val="00DA3BD4"/>
    <w:rsid w:val="00DA47E2"/>
    <w:rsid w:val="00DA510F"/>
    <w:rsid w:val="00DA52F4"/>
    <w:rsid w:val="00DB0BD6"/>
    <w:rsid w:val="00DB1582"/>
    <w:rsid w:val="00DB1EBB"/>
    <w:rsid w:val="00DB2307"/>
    <w:rsid w:val="00DB2AB5"/>
    <w:rsid w:val="00DB2D48"/>
    <w:rsid w:val="00DB4CC6"/>
    <w:rsid w:val="00DB719C"/>
    <w:rsid w:val="00DB7D9F"/>
    <w:rsid w:val="00DC04A3"/>
    <w:rsid w:val="00DC16DC"/>
    <w:rsid w:val="00DC32F4"/>
    <w:rsid w:val="00DC6DA8"/>
    <w:rsid w:val="00DC761B"/>
    <w:rsid w:val="00DD1819"/>
    <w:rsid w:val="00DD3939"/>
    <w:rsid w:val="00DD39FA"/>
    <w:rsid w:val="00DE06D4"/>
    <w:rsid w:val="00DE325E"/>
    <w:rsid w:val="00DE36C8"/>
    <w:rsid w:val="00DE45B2"/>
    <w:rsid w:val="00DE479A"/>
    <w:rsid w:val="00DE55DF"/>
    <w:rsid w:val="00DE70D5"/>
    <w:rsid w:val="00DE7B09"/>
    <w:rsid w:val="00DE7BB7"/>
    <w:rsid w:val="00DE7C8F"/>
    <w:rsid w:val="00DF00D3"/>
    <w:rsid w:val="00DF3B48"/>
    <w:rsid w:val="00DF4087"/>
    <w:rsid w:val="00DF7344"/>
    <w:rsid w:val="00DF7E08"/>
    <w:rsid w:val="00E00449"/>
    <w:rsid w:val="00E00BEC"/>
    <w:rsid w:val="00E017F0"/>
    <w:rsid w:val="00E040FE"/>
    <w:rsid w:val="00E0623F"/>
    <w:rsid w:val="00E070B6"/>
    <w:rsid w:val="00E07A09"/>
    <w:rsid w:val="00E101CA"/>
    <w:rsid w:val="00E10651"/>
    <w:rsid w:val="00E13D51"/>
    <w:rsid w:val="00E13D66"/>
    <w:rsid w:val="00E154E9"/>
    <w:rsid w:val="00E16AB1"/>
    <w:rsid w:val="00E17433"/>
    <w:rsid w:val="00E17ED6"/>
    <w:rsid w:val="00E17FB7"/>
    <w:rsid w:val="00E21818"/>
    <w:rsid w:val="00E27369"/>
    <w:rsid w:val="00E33A53"/>
    <w:rsid w:val="00E33B76"/>
    <w:rsid w:val="00E3476D"/>
    <w:rsid w:val="00E35BC9"/>
    <w:rsid w:val="00E3601E"/>
    <w:rsid w:val="00E411E0"/>
    <w:rsid w:val="00E41C95"/>
    <w:rsid w:val="00E4308E"/>
    <w:rsid w:val="00E444BC"/>
    <w:rsid w:val="00E456CD"/>
    <w:rsid w:val="00E45C64"/>
    <w:rsid w:val="00E526C7"/>
    <w:rsid w:val="00E52AC3"/>
    <w:rsid w:val="00E52D68"/>
    <w:rsid w:val="00E53580"/>
    <w:rsid w:val="00E53806"/>
    <w:rsid w:val="00E54110"/>
    <w:rsid w:val="00E5471B"/>
    <w:rsid w:val="00E54D15"/>
    <w:rsid w:val="00E557E2"/>
    <w:rsid w:val="00E558FE"/>
    <w:rsid w:val="00E57478"/>
    <w:rsid w:val="00E606AA"/>
    <w:rsid w:val="00E62A84"/>
    <w:rsid w:val="00E647AE"/>
    <w:rsid w:val="00E64AE2"/>
    <w:rsid w:val="00E732F1"/>
    <w:rsid w:val="00E74990"/>
    <w:rsid w:val="00E7565A"/>
    <w:rsid w:val="00E80149"/>
    <w:rsid w:val="00E8020A"/>
    <w:rsid w:val="00E805E3"/>
    <w:rsid w:val="00E819A6"/>
    <w:rsid w:val="00E81AE4"/>
    <w:rsid w:val="00E8209E"/>
    <w:rsid w:val="00E856E6"/>
    <w:rsid w:val="00E86AC3"/>
    <w:rsid w:val="00E90315"/>
    <w:rsid w:val="00E90503"/>
    <w:rsid w:val="00E913DF"/>
    <w:rsid w:val="00E91E8B"/>
    <w:rsid w:val="00E941EB"/>
    <w:rsid w:val="00E9622E"/>
    <w:rsid w:val="00E9636F"/>
    <w:rsid w:val="00E96C17"/>
    <w:rsid w:val="00E97BCA"/>
    <w:rsid w:val="00EA025C"/>
    <w:rsid w:val="00EA0606"/>
    <w:rsid w:val="00EA07D4"/>
    <w:rsid w:val="00EA1F62"/>
    <w:rsid w:val="00EA30AD"/>
    <w:rsid w:val="00EA39FB"/>
    <w:rsid w:val="00EA4648"/>
    <w:rsid w:val="00EB1C3F"/>
    <w:rsid w:val="00EB342A"/>
    <w:rsid w:val="00EB4237"/>
    <w:rsid w:val="00EB6506"/>
    <w:rsid w:val="00EB7D16"/>
    <w:rsid w:val="00EC1D4C"/>
    <w:rsid w:val="00EC2564"/>
    <w:rsid w:val="00EC3E1C"/>
    <w:rsid w:val="00EC4331"/>
    <w:rsid w:val="00EC6CCA"/>
    <w:rsid w:val="00ED1686"/>
    <w:rsid w:val="00ED3815"/>
    <w:rsid w:val="00ED45EE"/>
    <w:rsid w:val="00ED68E1"/>
    <w:rsid w:val="00ED69D2"/>
    <w:rsid w:val="00EE2563"/>
    <w:rsid w:val="00EE277A"/>
    <w:rsid w:val="00EE331E"/>
    <w:rsid w:val="00EE3B62"/>
    <w:rsid w:val="00EE65DE"/>
    <w:rsid w:val="00EF15B6"/>
    <w:rsid w:val="00EF374D"/>
    <w:rsid w:val="00EF4586"/>
    <w:rsid w:val="00EF471C"/>
    <w:rsid w:val="00EF592F"/>
    <w:rsid w:val="00EF5EC6"/>
    <w:rsid w:val="00EF6747"/>
    <w:rsid w:val="00F01F3F"/>
    <w:rsid w:val="00F0272B"/>
    <w:rsid w:val="00F02ED9"/>
    <w:rsid w:val="00F045D0"/>
    <w:rsid w:val="00F04703"/>
    <w:rsid w:val="00F0490D"/>
    <w:rsid w:val="00F0508D"/>
    <w:rsid w:val="00F11F31"/>
    <w:rsid w:val="00F126F2"/>
    <w:rsid w:val="00F12A56"/>
    <w:rsid w:val="00F1411D"/>
    <w:rsid w:val="00F14861"/>
    <w:rsid w:val="00F16832"/>
    <w:rsid w:val="00F16BEB"/>
    <w:rsid w:val="00F208C1"/>
    <w:rsid w:val="00F212A0"/>
    <w:rsid w:val="00F23353"/>
    <w:rsid w:val="00F23D11"/>
    <w:rsid w:val="00F240BC"/>
    <w:rsid w:val="00F24A2D"/>
    <w:rsid w:val="00F25E02"/>
    <w:rsid w:val="00F25EB9"/>
    <w:rsid w:val="00F27C18"/>
    <w:rsid w:val="00F300FF"/>
    <w:rsid w:val="00F3089A"/>
    <w:rsid w:val="00F30ADF"/>
    <w:rsid w:val="00F314B6"/>
    <w:rsid w:val="00F31EB3"/>
    <w:rsid w:val="00F32035"/>
    <w:rsid w:val="00F32412"/>
    <w:rsid w:val="00F3275A"/>
    <w:rsid w:val="00F3282A"/>
    <w:rsid w:val="00F33CDC"/>
    <w:rsid w:val="00F3465C"/>
    <w:rsid w:val="00F34ABD"/>
    <w:rsid w:val="00F3717E"/>
    <w:rsid w:val="00F37A29"/>
    <w:rsid w:val="00F41D89"/>
    <w:rsid w:val="00F4434B"/>
    <w:rsid w:val="00F447F5"/>
    <w:rsid w:val="00F452F4"/>
    <w:rsid w:val="00F4712B"/>
    <w:rsid w:val="00F5034C"/>
    <w:rsid w:val="00F53D61"/>
    <w:rsid w:val="00F55B3B"/>
    <w:rsid w:val="00F62D37"/>
    <w:rsid w:val="00F6492A"/>
    <w:rsid w:val="00F6543E"/>
    <w:rsid w:val="00F672C1"/>
    <w:rsid w:val="00F714CB"/>
    <w:rsid w:val="00F718EC"/>
    <w:rsid w:val="00F75692"/>
    <w:rsid w:val="00F75844"/>
    <w:rsid w:val="00F765A6"/>
    <w:rsid w:val="00F7667A"/>
    <w:rsid w:val="00F76765"/>
    <w:rsid w:val="00F779EB"/>
    <w:rsid w:val="00F77E50"/>
    <w:rsid w:val="00F84536"/>
    <w:rsid w:val="00F848DB"/>
    <w:rsid w:val="00F86CCC"/>
    <w:rsid w:val="00F9054B"/>
    <w:rsid w:val="00F92DB5"/>
    <w:rsid w:val="00F93869"/>
    <w:rsid w:val="00F94C81"/>
    <w:rsid w:val="00F953E8"/>
    <w:rsid w:val="00F96190"/>
    <w:rsid w:val="00FA3E14"/>
    <w:rsid w:val="00FA4FEC"/>
    <w:rsid w:val="00FA679C"/>
    <w:rsid w:val="00FA7516"/>
    <w:rsid w:val="00FB01AB"/>
    <w:rsid w:val="00FB286A"/>
    <w:rsid w:val="00FB3C17"/>
    <w:rsid w:val="00FB465C"/>
    <w:rsid w:val="00FB6C82"/>
    <w:rsid w:val="00FC51EE"/>
    <w:rsid w:val="00FD059A"/>
    <w:rsid w:val="00FD2ECF"/>
    <w:rsid w:val="00FD3B22"/>
    <w:rsid w:val="00FE1967"/>
    <w:rsid w:val="00FE1E8E"/>
    <w:rsid w:val="00FE5348"/>
    <w:rsid w:val="00FF01AB"/>
    <w:rsid w:val="00FF02F8"/>
    <w:rsid w:val="00FF310E"/>
    <w:rsid w:val="00FF446E"/>
    <w:rsid w:val="00FF5210"/>
    <w:rsid w:val="00FF5BD0"/>
    <w:rsid w:val="00FF7A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B6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semiHidden/>
    <w:rsid w:val="003612B5"/>
    <w:rPr>
      <w:sz w:val="16"/>
      <w:szCs w:val="16"/>
    </w:rPr>
  </w:style>
  <w:style w:type="paragraph" w:styleId="CommentText">
    <w:name w:val="annotation text"/>
    <w:basedOn w:val="Normal"/>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paragraph" w:styleId="ListParagraph">
    <w:name w:val="List Paragraph"/>
    <w:basedOn w:val="Normal"/>
    <w:uiPriority w:val="34"/>
    <w:qFormat/>
    <w:rsid w:val="002D5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223101793">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C834B-96A7-4D2A-9ED2-D40B1BF2B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1077</Words>
  <Characters>6140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2012-03-13T07:46:00Z</cp:lastPrinted>
  <dcterms:created xsi:type="dcterms:W3CDTF">2018-09-11T23:48:00Z</dcterms:created>
  <dcterms:modified xsi:type="dcterms:W3CDTF">2018-09-14T02:32:00Z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heckForSharePointFields">
    <vt:lpwstr>false</vt:lpwstr>
  </property>
</Properties>
</file>