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4305" w14:textId="77777777" w:rsidR="00A55C0B" w:rsidRPr="00B13F62" w:rsidRDefault="004D2843" w:rsidP="004D2843">
      <w:pPr>
        <w:jc w:val="center"/>
        <w:rPr>
          <w:rFonts w:ascii="Times New Roman" w:hAnsi="Times New Roman" w:cs="Times New Roman"/>
          <w:b/>
          <w:sz w:val="24"/>
          <w:szCs w:val="24"/>
          <w:u w:val="single"/>
        </w:rPr>
      </w:pPr>
      <w:bookmarkStart w:id="0" w:name="_GoBack"/>
      <w:bookmarkEnd w:id="0"/>
      <w:r w:rsidRPr="00B13F62">
        <w:rPr>
          <w:rFonts w:ascii="Times New Roman" w:hAnsi="Times New Roman" w:cs="Times New Roman"/>
          <w:b/>
          <w:sz w:val="24"/>
          <w:szCs w:val="24"/>
          <w:u w:val="single"/>
        </w:rPr>
        <w:t>EXPLANATORY STATEMENT</w:t>
      </w:r>
    </w:p>
    <w:p w14:paraId="01AFACCD" w14:textId="77777777" w:rsidR="001D2085" w:rsidRDefault="001D2085" w:rsidP="001D2085">
      <w:pPr>
        <w:jc w:val="center"/>
        <w:rPr>
          <w:rFonts w:ascii="Times New Roman" w:hAnsi="Times New Roman" w:cs="Times New Roman"/>
          <w:sz w:val="24"/>
          <w:szCs w:val="24"/>
        </w:rPr>
      </w:pPr>
    </w:p>
    <w:p w14:paraId="7AEA65BD" w14:textId="0D4DEDFD" w:rsidR="001D2085" w:rsidRPr="00FE036C" w:rsidRDefault="001D2085" w:rsidP="001D2085">
      <w:pPr>
        <w:jc w:val="center"/>
        <w:rPr>
          <w:rFonts w:ascii="Times New Roman" w:hAnsi="Times New Roman" w:cs="Times New Roman"/>
          <w:sz w:val="24"/>
          <w:szCs w:val="24"/>
          <w:u w:val="single"/>
        </w:rPr>
      </w:pPr>
      <w:r w:rsidRPr="00FE036C">
        <w:rPr>
          <w:rFonts w:ascii="Times New Roman" w:hAnsi="Times New Roman" w:cs="Times New Roman"/>
          <w:sz w:val="24"/>
          <w:szCs w:val="24"/>
          <w:u w:val="single"/>
        </w:rPr>
        <w:t>Issued by the authority of the Minister for Foreign Affairs</w:t>
      </w:r>
    </w:p>
    <w:p w14:paraId="7285325F" w14:textId="77777777" w:rsidR="001D2085" w:rsidRPr="00D34A32" w:rsidRDefault="001D2085" w:rsidP="00DC3AC8">
      <w:pPr>
        <w:jc w:val="center"/>
        <w:rPr>
          <w:rFonts w:ascii="Times New Roman" w:hAnsi="Times New Roman" w:cs="Times New Roman"/>
          <w:b/>
          <w:i/>
          <w:sz w:val="24"/>
          <w:szCs w:val="24"/>
        </w:rPr>
      </w:pPr>
    </w:p>
    <w:p w14:paraId="126B59CC" w14:textId="77777777" w:rsidR="00B820A8" w:rsidRPr="00D34A32" w:rsidRDefault="00B820A8" w:rsidP="00B820A8">
      <w:pPr>
        <w:ind w:right="91"/>
        <w:jc w:val="center"/>
        <w:rPr>
          <w:rFonts w:ascii="Times New Roman" w:hAnsi="Times New Roman" w:cs="Times New Roman"/>
          <w:b/>
          <w:i/>
        </w:rPr>
      </w:pPr>
      <w:r w:rsidRPr="00D34A32">
        <w:rPr>
          <w:rFonts w:ascii="Times New Roman" w:hAnsi="Times New Roman" w:cs="Times New Roman"/>
          <w:b/>
          <w:i/>
        </w:rPr>
        <w:t>Consular Fees Act 1955</w:t>
      </w:r>
    </w:p>
    <w:p w14:paraId="20260905" w14:textId="55C55A69" w:rsidR="003457B0" w:rsidRPr="00B13F62" w:rsidRDefault="00B820A8" w:rsidP="00D34A32">
      <w:pPr>
        <w:ind w:right="84"/>
        <w:jc w:val="center"/>
        <w:rPr>
          <w:rFonts w:ascii="Times New Roman" w:hAnsi="Times New Roman" w:cs="Times New Roman"/>
          <w:i/>
          <w:sz w:val="24"/>
          <w:szCs w:val="24"/>
        </w:rPr>
      </w:pPr>
      <w:r w:rsidRPr="00D34A32">
        <w:rPr>
          <w:rFonts w:ascii="Times New Roman" w:hAnsi="Times New Roman" w:cs="Times New Roman"/>
          <w:i/>
        </w:rPr>
        <w:t>Consular Fees Regulation</w:t>
      </w:r>
      <w:r w:rsidR="00231A59">
        <w:rPr>
          <w:rFonts w:ascii="Times New Roman" w:hAnsi="Times New Roman" w:cs="Times New Roman"/>
          <w:i/>
        </w:rPr>
        <w:t>s</w:t>
      </w:r>
      <w:r w:rsidRPr="00D34A32">
        <w:rPr>
          <w:rFonts w:ascii="Times New Roman" w:hAnsi="Times New Roman" w:cs="Times New Roman"/>
          <w:i/>
        </w:rPr>
        <w:t xml:space="preserve"> 2018</w:t>
      </w:r>
    </w:p>
    <w:p w14:paraId="602EA5E0" w14:textId="77777777" w:rsidR="00B820A8" w:rsidRPr="00B820A8" w:rsidRDefault="00B820A8" w:rsidP="00B820A8">
      <w:pPr>
        <w:ind w:right="84"/>
        <w:rPr>
          <w:rFonts w:ascii="Times New Roman" w:hAnsi="Times New Roman" w:cs="Times New Roman"/>
          <w:sz w:val="24"/>
          <w:szCs w:val="24"/>
        </w:rPr>
      </w:pPr>
      <w:r w:rsidRPr="00B820A8">
        <w:rPr>
          <w:rFonts w:ascii="Times New Roman" w:hAnsi="Times New Roman" w:cs="Times New Roman"/>
          <w:sz w:val="24"/>
          <w:szCs w:val="24"/>
        </w:rPr>
        <w:t xml:space="preserve">The </w:t>
      </w:r>
      <w:r w:rsidRPr="00117678">
        <w:rPr>
          <w:rFonts w:ascii="Times New Roman" w:hAnsi="Times New Roman" w:cs="Times New Roman"/>
          <w:i/>
          <w:sz w:val="24"/>
          <w:szCs w:val="24"/>
        </w:rPr>
        <w:t>Consular Fees Act 1955</w:t>
      </w:r>
      <w:r w:rsidRPr="00B820A8">
        <w:rPr>
          <w:rFonts w:ascii="Times New Roman" w:hAnsi="Times New Roman" w:cs="Times New Roman"/>
          <w:sz w:val="24"/>
          <w:szCs w:val="24"/>
        </w:rPr>
        <w:t xml:space="preserve"> (the Act) provides for the charging of fees for consular acts performed by Australian diplomatic and consular officers and designated other officers and employees of the Commonwealth.  The consular acts referred to in the Act are notarial services.  Fees are not charged for the delivery of consular assistance to Australians overseas.</w:t>
      </w:r>
    </w:p>
    <w:p w14:paraId="140D6946" w14:textId="53C8FBE7" w:rsidR="00B820A8" w:rsidRPr="00B820A8" w:rsidRDefault="00B820A8" w:rsidP="00B820A8">
      <w:pPr>
        <w:ind w:right="84"/>
        <w:rPr>
          <w:rFonts w:ascii="Times New Roman" w:hAnsi="Times New Roman" w:cs="Times New Roman"/>
          <w:sz w:val="24"/>
          <w:szCs w:val="24"/>
        </w:rPr>
      </w:pPr>
      <w:r w:rsidRPr="00B820A8">
        <w:rPr>
          <w:rFonts w:ascii="Times New Roman" w:hAnsi="Times New Roman" w:cs="Times New Roman"/>
          <w:sz w:val="24"/>
          <w:szCs w:val="24"/>
        </w:rPr>
        <w:t xml:space="preserve">Section 6 of the Act provides that the Governor-General may make regulations, not inconsistent with this Act, prescribing all matters required or permitted by this Act to be prescribed, or necessary or convenient to be prescribed for carrying out or giving effect to </w:t>
      </w:r>
      <w:r w:rsidR="00CD57DC">
        <w:rPr>
          <w:rFonts w:ascii="Times New Roman" w:hAnsi="Times New Roman" w:cs="Times New Roman"/>
          <w:sz w:val="24"/>
          <w:szCs w:val="24"/>
        </w:rPr>
        <w:t>the</w:t>
      </w:r>
      <w:r w:rsidRPr="00B820A8">
        <w:rPr>
          <w:rFonts w:ascii="Times New Roman" w:hAnsi="Times New Roman" w:cs="Times New Roman"/>
          <w:sz w:val="24"/>
          <w:szCs w:val="24"/>
        </w:rPr>
        <w:t xml:space="preserve"> Act, </w:t>
      </w:r>
      <w:r w:rsidR="00C00CAF" w:rsidRPr="00C00CAF">
        <w:rPr>
          <w:rFonts w:ascii="Times New Roman" w:hAnsi="Times New Roman" w:cs="Times New Roman"/>
          <w:sz w:val="24"/>
          <w:szCs w:val="24"/>
        </w:rPr>
        <w:t>and, in particular</w:t>
      </w:r>
      <w:r w:rsidR="00C00CAF" w:rsidRPr="00B820A8">
        <w:rPr>
          <w:rFonts w:ascii="Times New Roman" w:hAnsi="Times New Roman" w:cs="Times New Roman"/>
          <w:sz w:val="24"/>
          <w:szCs w:val="24"/>
        </w:rPr>
        <w:t xml:space="preserve">, providing </w:t>
      </w:r>
      <w:r w:rsidR="00CD57DC">
        <w:rPr>
          <w:rFonts w:ascii="Times New Roman" w:hAnsi="Times New Roman" w:cs="Times New Roman"/>
          <w:sz w:val="24"/>
          <w:szCs w:val="24"/>
        </w:rPr>
        <w:t>for when</w:t>
      </w:r>
      <w:r w:rsidR="00C00CAF" w:rsidRPr="00B820A8">
        <w:rPr>
          <w:rFonts w:ascii="Times New Roman" w:hAnsi="Times New Roman" w:cs="Times New Roman"/>
          <w:sz w:val="24"/>
          <w:szCs w:val="24"/>
        </w:rPr>
        <w:t xml:space="preserve"> the prescribed fees are not payable</w:t>
      </w:r>
      <w:r w:rsidR="00C00CAF" w:rsidRPr="00C00CAF">
        <w:rPr>
          <w:rFonts w:ascii="Times New Roman" w:hAnsi="Times New Roman" w:cs="Times New Roman"/>
          <w:sz w:val="24"/>
          <w:szCs w:val="24"/>
        </w:rPr>
        <w:t>, as well as when the prescribed fees may be collected in local currency</w:t>
      </w:r>
      <w:r w:rsidRPr="00B820A8">
        <w:rPr>
          <w:rFonts w:ascii="Times New Roman" w:hAnsi="Times New Roman" w:cs="Times New Roman"/>
          <w:sz w:val="24"/>
          <w:szCs w:val="24"/>
        </w:rPr>
        <w:t xml:space="preserve">. </w:t>
      </w:r>
    </w:p>
    <w:p w14:paraId="53D90626" w14:textId="15F6E491" w:rsidR="00B820A8" w:rsidRPr="00420F41" w:rsidRDefault="00901071" w:rsidP="008602F3">
      <w:pPr>
        <w:ind w:right="91"/>
        <w:rPr>
          <w:rFonts w:ascii="Times New Roman" w:hAnsi="Times New Roman" w:cs="Times New Roman"/>
          <w:sz w:val="24"/>
          <w:szCs w:val="24"/>
        </w:rPr>
      </w:pPr>
      <w:r w:rsidRPr="00CA0FEE">
        <w:rPr>
          <w:rFonts w:ascii="Times New Roman" w:hAnsi="Times New Roman" w:cs="Times New Roman"/>
          <w:sz w:val="24"/>
          <w:szCs w:val="24"/>
        </w:rPr>
        <w:t xml:space="preserve">The </w:t>
      </w:r>
      <w:r w:rsidRPr="00CD57DC">
        <w:rPr>
          <w:rFonts w:ascii="Times New Roman" w:hAnsi="Times New Roman" w:cs="Times New Roman"/>
          <w:i/>
          <w:sz w:val="24"/>
          <w:szCs w:val="24"/>
        </w:rPr>
        <w:t>Consular Fees Regulations 1990</w:t>
      </w:r>
      <w:r w:rsidRPr="00CA0FEE">
        <w:rPr>
          <w:rFonts w:ascii="Times New Roman" w:hAnsi="Times New Roman" w:cs="Times New Roman"/>
          <w:sz w:val="24"/>
          <w:szCs w:val="24"/>
        </w:rPr>
        <w:t xml:space="preserve"> (the 1990 Regulations) currently prescribes the fees for the provision of notarial services (specified as consular acts for the purposes of the Act)</w:t>
      </w:r>
      <w:r w:rsidR="00B820A8" w:rsidRPr="00B820A8">
        <w:rPr>
          <w:rFonts w:ascii="Times New Roman" w:hAnsi="Times New Roman" w:cs="Times New Roman"/>
          <w:sz w:val="24"/>
          <w:szCs w:val="24"/>
        </w:rPr>
        <w:t xml:space="preserve">.  The </w:t>
      </w:r>
      <w:r w:rsidR="00B820A8" w:rsidRPr="00CD57DC">
        <w:rPr>
          <w:rFonts w:ascii="Times New Roman" w:hAnsi="Times New Roman" w:cs="Times New Roman"/>
          <w:sz w:val="24"/>
          <w:szCs w:val="24"/>
        </w:rPr>
        <w:t>1990</w:t>
      </w:r>
      <w:r w:rsidR="00B820A8" w:rsidRPr="00B820A8">
        <w:rPr>
          <w:rFonts w:ascii="Times New Roman" w:hAnsi="Times New Roman" w:cs="Times New Roman"/>
          <w:sz w:val="24"/>
          <w:szCs w:val="24"/>
        </w:rPr>
        <w:t xml:space="preserve"> </w:t>
      </w:r>
      <w:r w:rsidR="00CD57DC">
        <w:rPr>
          <w:rFonts w:ascii="Times New Roman" w:hAnsi="Times New Roman" w:cs="Times New Roman"/>
          <w:sz w:val="24"/>
          <w:szCs w:val="24"/>
        </w:rPr>
        <w:t xml:space="preserve">Regulations </w:t>
      </w:r>
      <w:r w:rsidR="00B820A8" w:rsidRPr="00B820A8">
        <w:rPr>
          <w:rFonts w:ascii="Times New Roman" w:hAnsi="Times New Roman" w:cs="Times New Roman"/>
          <w:sz w:val="24"/>
          <w:szCs w:val="24"/>
        </w:rPr>
        <w:t>are due to sunset on 1 October 2018</w:t>
      </w:r>
    </w:p>
    <w:p w14:paraId="345E618C" w14:textId="5AF1F32D" w:rsidR="00FC2252" w:rsidRPr="00561F08" w:rsidRDefault="00420F41" w:rsidP="00C23E51">
      <w:pPr>
        <w:spacing w:line="240" w:lineRule="auto"/>
        <w:rPr>
          <w:rFonts w:ascii="Times New Roman" w:hAnsi="Times New Roman" w:cs="Times New Roman"/>
          <w:b/>
          <w:sz w:val="24"/>
          <w:szCs w:val="24"/>
        </w:rPr>
      </w:pPr>
      <w:r w:rsidRPr="00561F08">
        <w:rPr>
          <w:rFonts w:ascii="Times New Roman" w:hAnsi="Times New Roman" w:cs="Times New Roman"/>
          <w:b/>
          <w:sz w:val="24"/>
          <w:szCs w:val="24"/>
        </w:rPr>
        <w:t>I</w:t>
      </w:r>
      <w:r w:rsidR="00A815CB" w:rsidRPr="00561F08">
        <w:rPr>
          <w:rFonts w:ascii="Times New Roman" w:hAnsi="Times New Roman" w:cs="Times New Roman"/>
          <w:b/>
          <w:sz w:val="24"/>
          <w:szCs w:val="24"/>
        </w:rPr>
        <w:t xml:space="preserve">ssues giving rise to the need </w:t>
      </w:r>
      <w:r w:rsidR="00EA0780" w:rsidRPr="00561F08">
        <w:rPr>
          <w:rFonts w:ascii="Times New Roman" w:hAnsi="Times New Roman" w:cs="Times New Roman"/>
          <w:b/>
          <w:sz w:val="24"/>
          <w:szCs w:val="24"/>
        </w:rPr>
        <w:t xml:space="preserve">to remake </w:t>
      </w:r>
      <w:r w:rsidR="00A815CB" w:rsidRPr="00561F08">
        <w:rPr>
          <w:rFonts w:ascii="Times New Roman" w:hAnsi="Times New Roman" w:cs="Times New Roman"/>
          <w:b/>
          <w:sz w:val="24"/>
          <w:szCs w:val="24"/>
        </w:rPr>
        <w:t>the instrument</w:t>
      </w:r>
    </w:p>
    <w:p w14:paraId="740768F0" w14:textId="5B51B69F" w:rsidR="00901071" w:rsidRPr="00CA0FEE" w:rsidRDefault="00901071" w:rsidP="00561F08">
      <w:pPr>
        <w:ind w:right="84"/>
        <w:rPr>
          <w:rFonts w:ascii="Times New Roman" w:hAnsi="Times New Roman" w:cs="Times New Roman"/>
          <w:sz w:val="24"/>
          <w:szCs w:val="24"/>
        </w:rPr>
      </w:pPr>
      <w:r w:rsidRPr="00CA0FEE">
        <w:rPr>
          <w:rFonts w:ascii="Times New Roman" w:hAnsi="Times New Roman" w:cs="Times New Roman"/>
          <w:sz w:val="24"/>
          <w:szCs w:val="24"/>
        </w:rPr>
        <w:t xml:space="preserve">The purpose of the </w:t>
      </w:r>
      <w:r w:rsidRPr="00CD57DC">
        <w:rPr>
          <w:rFonts w:ascii="Times New Roman" w:hAnsi="Times New Roman" w:cs="Times New Roman"/>
          <w:i/>
          <w:sz w:val="24"/>
          <w:szCs w:val="24"/>
        </w:rPr>
        <w:t xml:space="preserve">Consular Fees Regulations 2018 </w:t>
      </w:r>
      <w:r w:rsidRPr="00CA0FEE">
        <w:rPr>
          <w:rFonts w:ascii="Times New Roman" w:hAnsi="Times New Roman" w:cs="Times New Roman"/>
          <w:sz w:val="24"/>
          <w:szCs w:val="24"/>
        </w:rPr>
        <w:t xml:space="preserve">(the proposed Regulations) would be to repeal and remake the 1990 Regulations in accordance with Part 4 of Chapter 3 of the </w:t>
      </w:r>
      <w:r w:rsidRPr="00CD57DC">
        <w:rPr>
          <w:rFonts w:ascii="Times New Roman" w:hAnsi="Times New Roman" w:cs="Times New Roman"/>
          <w:i/>
          <w:sz w:val="24"/>
          <w:szCs w:val="24"/>
        </w:rPr>
        <w:t>Legislation Act 2003</w:t>
      </w:r>
      <w:r w:rsidRPr="00CA0FEE">
        <w:rPr>
          <w:rFonts w:ascii="Times New Roman" w:hAnsi="Times New Roman" w:cs="Times New Roman"/>
          <w:sz w:val="24"/>
          <w:szCs w:val="24"/>
        </w:rPr>
        <w:t>. The proposed Regulations remain substantially the same as the 1990 Regulations and continue to prescribe the fee payable for the provision of specified notarial services.</w:t>
      </w:r>
    </w:p>
    <w:p w14:paraId="73B308A0" w14:textId="0C9F54E5" w:rsidR="00901071" w:rsidRPr="00CA0FEE" w:rsidRDefault="00901071" w:rsidP="00901071">
      <w:pPr>
        <w:ind w:right="84"/>
        <w:rPr>
          <w:rFonts w:ascii="Times New Roman" w:hAnsi="Times New Roman" w:cs="Times New Roman"/>
          <w:sz w:val="24"/>
          <w:szCs w:val="24"/>
        </w:rPr>
      </w:pPr>
      <w:r w:rsidRPr="00CA0FEE">
        <w:rPr>
          <w:rFonts w:ascii="Times New Roman" w:hAnsi="Times New Roman" w:cs="Times New Roman"/>
          <w:sz w:val="24"/>
          <w:szCs w:val="24"/>
        </w:rPr>
        <w:t xml:space="preserve">The fee structure in the 1990 Regulations was amended in 2016 following a recommendation from the 2015 Functional and Efficiency Review of the Foreign Affairs and Trade Portfolio.  The amended fees reflected inflation increases and were better aligned with the costs of delivering notarial services and comparable commercial providers.  The fees continue to compare favourably to recommended notarial fees charged by Australian public notaries and alternative Australian commercial providers. </w:t>
      </w:r>
    </w:p>
    <w:p w14:paraId="365ED9C9" w14:textId="5A384905" w:rsidR="00901071" w:rsidRPr="00CA0FEE" w:rsidRDefault="00901071" w:rsidP="00901071">
      <w:pPr>
        <w:ind w:right="84"/>
        <w:rPr>
          <w:rFonts w:ascii="Times New Roman" w:hAnsi="Times New Roman" w:cs="Times New Roman"/>
          <w:sz w:val="24"/>
          <w:szCs w:val="24"/>
        </w:rPr>
      </w:pPr>
      <w:r w:rsidRPr="00CD57DC">
        <w:rPr>
          <w:rFonts w:ascii="Times New Roman" w:hAnsi="Times New Roman" w:cs="Times New Roman"/>
          <w:i/>
          <w:sz w:val="24"/>
          <w:szCs w:val="24"/>
        </w:rPr>
        <w:t>Smartraveller.gov.au</w:t>
      </w:r>
      <w:r w:rsidRPr="00CA0FEE">
        <w:rPr>
          <w:rFonts w:ascii="Times New Roman" w:hAnsi="Times New Roman" w:cs="Times New Roman"/>
          <w:sz w:val="24"/>
          <w:szCs w:val="24"/>
        </w:rPr>
        <w:t xml:space="preserve"> notes that notarial services fees are increased in line with the Consumer Price Index (CPI) as published by the Australian Bureau of Statistics (ABS) on 1 January each year.  Consular fees are also displayed at all points of service delivery, which Consular Officers refer to before providing a notarial service.  </w:t>
      </w:r>
    </w:p>
    <w:p w14:paraId="6FD5D101" w14:textId="089522C4" w:rsidR="00901071" w:rsidRPr="00CA0FEE" w:rsidRDefault="00901071" w:rsidP="00901071">
      <w:pPr>
        <w:ind w:right="84"/>
        <w:rPr>
          <w:rFonts w:ascii="Times New Roman" w:hAnsi="Times New Roman" w:cs="Times New Roman"/>
          <w:sz w:val="24"/>
          <w:szCs w:val="24"/>
        </w:rPr>
      </w:pPr>
      <w:r w:rsidRPr="00CA0FEE">
        <w:rPr>
          <w:rFonts w:ascii="Times New Roman" w:hAnsi="Times New Roman" w:cs="Times New Roman"/>
          <w:sz w:val="24"/>
          <w:szCs w:val="24"/>
        </w:rPr>
        <w:t>Details of the proposed Regulations are set out in</w:t>
      </w:r>
      <w:r w:rsidR="00CA0FEE" w:rsidRPr="00CA0FEE">
        <w:rPr>
          <w:rFonts w:ascii="Times New Roman" w:hAnsi="Times New Roman" w:cs="Times New Roman"/>
          <w:sz w:val="24"/>
          <w:szCs w:val="24"/>
        </w:rPr>
        <w:t xml:space="preserve"> </w:t>
      </w:r>
      <w:r w:rsidR="00CA0FEE" w:rsidRPr="00CA0FEE">
        <w:rPr>
          <w:rFonts w:ascii="Times New Roman" w:hAnsi="Times New Roman" w:cs="Times New Roman"/>
          <w:b/>
          <w:sz w:val="24"/>
          <w:szCs w:val="24"/>
          <w:u w:val="single"/>
        </w:rPr>
        <w:t>Attachment A</w:t>
      </w:r>
      <w:r w:rsidRPr="00CA0FEE">
        <w:rPr>
          <w:rFonts w:ascii="Times New Roman" w:hAnsi="Times New Roman" w:cs="Times New Roman"/>
          <w:b/>
          <w:sz w:val="24"/>
          <w:szCs w:val="24"/>
          <w:u w:val="single"/>
        </w:rPr>
        <w:t>.</w:t>
      </w:r>
    </w:p>
    <w:p w14:paraId="6ABFF0EF" w14:textId="548CF16D" w:rsidR="00B820A8" w:rsidRDefault="00D56C76" w:rsidP="00CA0FEE">
      <w:pPr>
        <w:spacing w:after="240" w:line="240" w:lineRule="auto"/>
        <w:rPr>
          <w:rFonts w:ascii="Times New Roman" w:hAnsi="Times New Roman" w:cs="Times New Roman"/>
          <w:sz w:val="24"/>
          <w:szCs w:val="24"/>
        </w:rPr>
      </w:pPr>
      <w:r w:rsidRPr="00CA0FEE">
        <w:rPr>
          <w:rFonts w:ascii="Times New Roman" w:hAnsi="Times New Roman" w:cs="Times New Roman"/>
          <w:b/>
          <w:sz w:val="24"/>
          <w:szCs w:val="24"/>
          <w:u w:val="single"/>
        </w:rPr>
        <w:t xml:space="preserve">Attachment </w:t>
      </w:r>
      <w:r w:rsidR="00CA0FEE" w:rsidRPr="00CA0FEE">
        <w:rPr>
          <w:rFonts w:ascii="Times New Roman" w:hAnsi="Times New Roman" w:cs="Times New Roman"/>
          <w:b/>
          <w:sz w:val="24"/>
          <w:szCs w:val="24"/>
          <w:u w:val="single"/>
        </w:rPr>
        <w:t>B</w:t>
      </w:r>
      <w:r w:rsidRPr="00743F98">
        <w:rPr>
          <w:rFonts w:ascii="Times New Roman" w:hAnsi="Times New Roman" w:cs="Times New Roman"/>
          <w:sz w:val="24"/>
          <w:szCs w:val="24"/>
        </w:rPr>
        <w:t xml:space="preserve"> contains a Statement of </w:t>
      </w:r>
      <w:r w:rsidR="00197021" w:rsidRPr="00743F98">
        <w:rPr>
          <w:rFonts w:ascii="Times New Roman" w:hAnsi="Times New Roman" w:cs="Times New Roman"/>
          <w:sz w:val="24"/>
          <w:szCs w:val="24"/>
        </w:rPr>
        <w:t>Compatibility</w:t>
      </w:r>
      <w:r w:rsidRPr="00743F98">
        <w:rPr>
          <w:rFonts w:ascii="Times New Roman" w:hAnsi="Times New Roman" w:cs="Times New Roman"/>
          <w:sz w:val="24"/>
          <w:szCs w:val="24"/>
        </w:rPr>
        <w:t xml:space="preserve"> with Human Rights.</w:t>
      </w:r>
      <w:r w:rsidR="00B820A8">
        <w:rPr>
          <w:rFonts w:ascii="Times New Roman" w:hAnsi="Times New Roman" w:cs="Times New Roman"/>
          <w:sz w:val="24"/>
          <w:szCs w:val="24"/>
        </w:rPr>
        <w:br w:type="page"/>
      </w:r>
    </w:p>
    <w:p w14:paraId="2C59C637" w14:textId="62389104" w:rsidR="008B1B63" w:rsidRPr="00B820A8" w:rsidRDefault="00BB076E" w:rsidP="00C23E51">
      <w:pPr>
        <w:spacing w:line="240" w:lineRule="auto"/>
        <w:rPr>
          <w:rFonts w:ascii="Times New Roman" w:hAnsi="Times New Roman" w:cs="Times New Roman"/>
          <w:b/>
          <w:sz w:val="24"/>
          <w:szCs w:val="24"/>
        </w:rPr>
      </w:pPr>
      <w:r w:rsidRPr="00B820A8">
        <w:rPr>
          <w:rFonts w:ascii="Times New Roman" w:hAnsi="Times New Roman" w:cs="Times New Roman"/>
          <w:b/>
          <w:sz w:val="24"/>
          <w:szCs w:val="24"/>
        </w:rPr>
        <w:lastRenderedPageBreak/>
        <w:t>Consultation</w:t>
      </w:r>
    </w:p>
    <w:p w14:paraId="5BC62B6F" w14:textId="3B343A2A" w:rsidR="00CD57DC" w:rsidRPr="00CA0FEE" w:rsidRDefault="00B47C1C" w:rsidP="00CD57DC">
      <w:pPr>
        <w:spacing w:after="240"/>
        <w:rPr>
          <w:rFonts w:ascii="Times New Roman" w:hAnsi="Times New Roman" w:cs="Times New Roman"/>
          <w:sz w:val="24"/>
          <w:szCs w:val="24"/>
        </w:rPr>
      </w:pPr>
      <w:r>
        <w:rPr>
          <w:rFonts w:ascii="Times New Roman" w:hAnsi="Times New Roman" w:cs="Times New Roman"/>
          <w:sz w:val="24"/>
          <w:szCs w:val="24"/>
        </w:rPr>
        <w:t xml:space="preserve">The </w:t>
      </w:r>
      <w:r w:rsidR="00B820A8" w:rsidRPr="00B820A8">
        <w:rPr>
          <w:rFonts w:ascii="Times New Roman" w:hAnsi="Times New Roman" w:cs="Times New Roman"/>
          <w:sz w:val="24"/>
          <w:szCs w:val="24"/>
        </w:rPr>
        <w:t>Australian Bureau of Statistics</w:t>
      </w:r>
      <w:r w:rsidR="00B820A8">
        <w:rPr>
          <w:rFonts w:ascii="Times New Roman" w:hAnsi="Times New Roman" w:cs="Times New Roman"/>
          <w:sz w:val="24"/>
          <w:szCs w:val="24"/>
        </w:rPr>
        <w:t xml:space="preserve"> </w:t>
      </w:r>
      <w:r w:rsidR="00CD57DC">
        <w:rPr>
          <w:rFonts w:ascii="Times New Roman" w:hAnsi="Times New Roman" w:cs="Times New Roman"/>
          <w:sz w:val="24"/>
          <w:szCs w:val="24"/>
        </w:rPr>
        <w:t>was</w:t>
      </w:r>
      <w:r w:rsidR="005C1CE8">
        <w:rPr>
          <w:rFonts w:ascii="Times New Roman" w:hAnsi="Times New Roman" w:cs="Times New Roman"/>
          <w:sz w:val="24"/>
          <w:szCs w:val="24"/>
        </w:rPr>
        <w:t xml:space="preserve"> consulted during </w:t>
      </w:r>
      <w:r w:rsidR="00CD57DC">
        <w:rPr>
          <w:rFonts w:ascii="Times New Roman" w:hAnsi="Times New Roman" w:cs="Times New Roman"/>
          <w:sz w:val="24"/>
          <w:szCs w:val="24"/>
        </w:rPr>
        <w:t>the d</w:t>
      </w:r>
      <w:r w:rsidR="00CD57DC" w:rsidRPr="00CA0FEE">
        <w:rPr>
          <w:rFonts w:ascii="Times New Roman" w:hAnsi="Times New Roman" w:cs="Times New Roman"/>
          <w:sz w:val="24"/>
          <w:szCs w:val="24"/>
        </w:rPr>
        <w:t>evelopment of the indexation methodology.</w:t>
      </w:r>
    </w:p>
    <w:p w14:paraId="3DBDAC14" w14:textId="2D5984CE" w:rsidR="0091080B" w:rsidRPr="00D32C60" w:rsidRDefault="00FB4437" w:rsidP="00A03353">
      <w:pPr>
        <w:keepNext/>
        <w:keepLines/>
        <w:rPr>
          <w:rFonts w:ascii="Times New Roman" w:hAnsi="Times New Roman" w:cs="Times New Roman"/>
          <w:b/>
          <w:sz w:val="24"/>
          <w:szCs w:val="24"/>
        </w:rPr>
      </w:pPr>
      <w:r w:rsidRPr="00D32C60">
        <w:rPr>
          <w:rFonts w:ascii="Times New Roman" w:hAnsi="Times New Roman" w:cs="Times New Roman"/>
          <w:b/>
          <w:sz w:val="24"/>
          <w:szCs w:val="24"/>
        </w:rPr>
        <w:t>Regulatory impact assessment</w:t>
      </w:r>
    </w:p>
    <w:p w14:paraId="1B066C8A" w14:textId="454B5A1D" w:rsidR="00177A1F" w:rsidRPr="00D34A32" w:rsidRDefault="00093CD1">
      <w:pPr>
        <w:rPr>
          <w:rFonts w:ascii="Times New Roman" w:hAnsi="Times New Roman" w:cs="Times New Roman"/>
          <w:sz w:val="24"/>
          <w:szCs w:val="24"/>
        </w:rPr>
      </w:pPr>
      <w:r w:rsidRPr="00D32C60">
        <w:rPr>
          <w:rFonts w:ascii="Times New Roman" w:hAnsi="Times New Roman" w:cs="Times New Roman"/>
          <w:sz w:val="24"/>
          <w:szCs w:val="24"/>
        </w:rPr>
        <w:t xml:space="preserve">The Office of Best Practice Regulation </w:t>
      </w:r>
      <w:r w:rsidR="00C761FE" w:rsidRPr="00D32C60">
        <w:rPr>
          <w:rFonts w:ascii="Times New Roman" w:hAnsi="Times New Roman" w:cs="Times New Roman"/>
          <w:sz w:val="24"/>
          <w:szCs w:val="24"/>
        </w:rPr>
        <w:t>(</w:t>
      </w:r>
      <w:r w:rsidR="00C761FE" w:rsidRPr="00743F98">
        <w:rPr>
          <w:rFonts w:ascii="Times New Roman" w:hAnsi="Times New Roman" w:cs="Times New Roman"/>
          <w:sz w:val="24"/>
          <w:szCs w:val="24"/>
        </w:rPr>
        <w:t>OBPR ID</w:t>
      </w:r>
      <w:r w:rsidR="00B820A8">
        <w:rPr>
          <w:rFonts w:ascii="Times New Roman" w:hAnsi="Times New Roman" w:cs="Times New Roman"/>
          <w:sz w:val="24"/>
          <w:szCs w:val="24"/>
        </w:rPr>
        <w:t xml:space="preserve"> </w:t>
      </w:r>
      <w:r w:rsidR="00B820A8" w:rsidRPr="00D34A32">
        <w:rPr>
          <w:rFonts w:ascii="Times New Roman" w:hAnsi="Times New Roman" w:cs="Times New Roman"/>
          <w:sz w:val="24"/>
          <w:szCs w:val="24"/>
        </w:rPr>
        <w:t>21077</w:t>
      </w:r>
      <w:r w:rsidR="00C761FE" w:rsidRPr="00743F98">
        <w:rPr>
          <w:rFonts w:ascii="Times New Roman" w:hAnsi="Times New Roman" w:cs="Times New Roman"/>
          <w:sz w:val="24"/>
          <w:szCs w:val="24"/>
        </w:rPr>
        <w:t xml:space="preserve">) </w:t>
      </w:r>
      <w:r w:rsidRPr="00743F98">
        <w:rPr>
          <w:rFonts w:ascii="Times New Roman" w:hAnsi="Times New Roman" w:cs="Times New Roman"/>
          <w:sz w:val="24"/>
          <w:szCs w:val="24"/>
        </w:rPr>
        <w:t>has</w:t>
      </w:r>
      <w:r w:rsidRPr="00D32C60">
        <w:rPr>
          <w:rFonts w:ascii="Times New Roman" w:hAnsi="Times New Roman" w:cs="Times New Roman"/>
          <w:sz w:val="24"/>
          <w:szCs w:val="24"/>
        </w:rPr>
        <w:t xml:space="preserve"> </w:t>
      </w:r>
      <w:r w:rsidR="00D76DFC" w:rsidRPr="00D32C60">
        <w:rPr>
          <w:rFonts w:ascii="Times New Roman" w:hAnsi="Times New Roman" w:cs="Times New Roman"/>
          <w:sz w:val="24"/>
          <w:szCs w:val="24"/>
        </w:rPr>
        <w:t>advised</w:t>
      </w:r>
      <w:r w:rsidRPr="00D32C60">
        <w:rPr>
          <w:rFonts w:ascii="Times New Roman" w:hAnsi="Times New Roman" w:cs="Times New Roman"/>
          <w:sz w:val="24"/>
          <w:szCs w:val="24"/>
        </w:rPr>
        <w:t xml:space="preserve"> </w:t>
      </w:r>
      <w:r w:rsidR="00DD2EA8">
        <w:rPr>
          <w:rFonts w:ascii="Times New Roman" w:hAnsi="Times New Roman" w:cs="Times New Roman"/>
          <w:sz w:val="24"/>
          <w:szCs w:val="24"/>
        </w:rPr>
        <w:t xml:space="preserve">that </w:t>
      </w:r>
      <w:r w:rsidRPr="00D32C60">
        <w:rPr>
          <w:rFonts w:ascii="Times New Roman" w:hAnsi="Times New Roman" w:cs="Times New Roman"/>
          <w:sz w:val="24"/>
          <w:szCs w:val="24"/>
        </w:rPr>
        <w:t xml:space="preserve">a </w:t>
      </w:r>
      <w:r w:rsidR="000541E7">
        <w:rPr>
          <w:rFonts w:ascii="Times New Roman" w:hAnsi="Times New Roman" w:cs="Times New Roman"/>
          <w:sz w:val="24"/>
          <w:szCs w:val="24"/>
        </w:rPr>
        <w:t>r</w:t>
      </w:r>
      <w:r w:rsidR="00DD2EA8">
        <w:rPr>
          <w:rFonts w:ascii="Times New Roman" w:hAnsi="Times New Roman" w:cs="Times New Roman"/>
          <w:sz w:val="24"/>
          <w:szCs w:val="24"/>
        </w:rPr>
        <w:t>egulatory</w:t>
      </w:r>
      <w:r w:rsidR="00DD2EA8" w:rsidRPr="00D32C60">
        <w:rPr>
          <w:rFonts w:ascii="Times New Roman" w:hAnsi="Times New Roman" w:cs="Times New Roman"/>
          <w:sz w:val="24"/>
          <w:szCs w:val="24"/>
        </w:rPr>
        <w:t xml:space="preserve"> </w:t>
      </w:r>
      <w:r w:rsidRPr="00D32C60">
        <w:rPr>
          <w:rFonts w:ascii="Times New Roman" w:hAnsi="Times New Roman" w:cs="Times New Roman"/>
          <w:sz w:val="24"/>
          <w:szCs w:val="24"/>
        </w:rPr>
        <w:t xml:space="preserve">impact statement is not </w:t>
      </w:r>
      <w:r w:rsidR="00841FA0">
        <w:rPr>
          <w:rFonts w:ascii="Times New Roman" w:hAnsi="Times New Roman" w:cs="Times New Roman"/>
          <w:sz w:val="24"/>
          <w:szCs w:val="24"/>
        </w:rPr>
        <w:t>required</w:t>
      </w:r>
      <w:r w:rsidR="00841FA0" w:rsidRPr="00D32C60">
        <w:rPr>
          <w:rFonts w:ascii="Times New Roman" w:hAnsi="Times New Roman" w:cs="Times New Roman"/>
          <w:sz w:val="24"/>
          <w:szCs w:val="24"/>
        </w:rPr>
        <w:t xml:space="preserve"> </w:t>
      </w:r>
      <w:r w:rsidRPr="00D32C60">
        <w:rPr>
          <w:rFonts w:ascii="Times New Roman" w:hAnsi="Times New Roman" w:cs="Times New Roman"/>
          <w:sz w:val="24"/>
          <w:szCs w:val="24"/>
        </w:rPr>
        <w:t>for the legislation because it</w:t>
      </w:r>
      <w:r w:rsidR="00DD2EA8">
        <w:rPr>
          <w:rFonts w:ascii="Times New Roman" w:hAnsi="Times New Roman" w:cs="Times New Roman"/>
          <w:sz w:val="24"/>
          <w:szCs w:val="24"/>
        </w:rPr>
        <w:t xml:space="preserve"> is not</w:t>
      </w:r>
      <w:r w:rsidRPr="00D32C60">
        <w:rPr>
          <w:rFonts w:ascii="Times New Roman" w:hAnsi="Times New Roman" w:cs="Times New Roman"/>
          <w:sz w:val="24"/>
          <w:szCs w:val="24"/>
        </w:rPr>
        <w:t xml:space="preserve"> </w:t>
      </w:r>
      <w:r w:rsidR="00B820A8" w:rsidRPr="00D34A32">
        <w:rPr>
          <w:rFonts w:ascii="Times New Roman" w:hAnsi="Times New Roman" w:cs="Times New Roman"/>
          <w:sz w:val="24"/>
          <w:szCs w:val="24"/>
        </w:rPr>
        <w:t>intended to or expected to change behaviour.</w:t>
      </w:r>
    </w:p>
    <w:p w14:paraId="1B90F0DD" w14:textId="4E2E8072" w:rsidR="004C60C7" w:rsidRPr="00B13F62" w:rsidRDefault="004C60C7">
      <w:pPr>
        <w:rPr>
          <w:rFonts w:ascii="Times New Roman" w:hAnsi="Times New Roman" w:cs="Times New Roman"/>
          <w:sz w:val="24"/>
          <w:szCs w:val="24"/>
        </w:rPr>
      </w:pPr>
      <w:r w:rsidRPr="00B13F62">
        <w:rPr>
          <w:rFonts w:ascii="Times New Roman" w:hAnsi="Times New Roman" w:cs="Times New Roman"/>
          <w:sz w:val="24"/>
          <w:szCs w:val="24"/>
        </w:rPr>
        <w:br w:type="page"/>
      </w:r>
    </w:p>
    <w:p w14:paraId="60BA7583" w14:textId="0992C997" w:rsidR="00CA0FEE" w:rsidRPr="00CA0FEE" w:rsidRDefault="00CA0FEE" w:rsidP="00D850F9">
      <w:pPr>
        <w:rPr>
          <w:rFonts w:ascii="Times New Roman" w:hAnsi="Times New Roman" w:cs="Times New Roman"/>
          <w:sz w:val="24"/>
          <w:szCs w:val="24"/>
        </w:rPr>
      </w:pPr>
    </w:p>
    <w:p w14:paraId="5FC939BF" w14:textId="54BBBFC3" w:rsidR="00CA0FEE" w:rsidRPr="00CA0FEE" w:rsidRDefault="00CA0FEE" w:rsidP="00CA0FEE">
      <w:pPr>
        <w:tabs>
          <w:tab w:val="left" w:pos="6521"/>
        </w:tabs>
        <w:ind w:right="91"/>
        <w:jc w:val="right"/>
        <w:rPr>
          <w:rFonts w:ascii="Times New Roman" w:hAnsi="Times New Roman" w:cs="Times New Roman"/>
          <w:b/>
          <w:sz w:val="24"/>
          <w:szCs w:val="24"/>
        </w:rPr>
      </w:pPr>
      <w:r w:rsidRPr="00CA0FEE">
        <w:rPr>
          <w:rFonts w:ascii="Times New Roman" w:hAnsi="Times New Roman" w:cs="Times New Roman"/>
          <w:b/>
          <w:sz w:val="24"/>
          <w:szCs w:val="24"/>
        </w:rPr>
        <w:t>Attachment B</w:t>
      </w:r>
    </w:p>
    <w:p w14:paraId="45B92AEE" w14:textId="77777777" w:rsidR="00CA0FEE" w:rsidRPr="00CA0FEE" w:rsidRDefault="00CA0FEE" w:rsidP="00CA0FEE">
      <w:pPr>
        <w:ind w:right="84"/>
        <w:jc w:val="both"/>
        <w:rPr>
          <w:rFonts w:ascii="Times New Roman" w:hAnsi="Times New Roman" w:cs="Times New Roman"/>
          <w:b/>
          <w:sz w:val="24"/>
          <w:szCs w:val="24"/>
        </w:rPr>
      </w:pPr>
      <w:r w:rsidRPr="00CA0FEE">
        <w:rPr>
          <w:rFonts w:ascii="Times New Roman" w:hAnsi="Times New Roman" w:cs="Times New Roman"/>
          <w:b/>
          <w:sz w:val="24"/>
          <w:szCs w:val="24"/>
        </w:rPr>
        <w:t xml:space="preserve">Details of the proposed </w:t>
      </w:r>
      <w:r w:rsidRPr="00CA0FEE">
        <w:rPr>
          <w:rFonts w:ascii="Times New Roman" w:hAnsi="Times New Roman" w:cs="Times New Roman"/>
          <w:b/>
          <w:i/>
          <w:sz w:val="24"/>
          <w:szCs w:val="24"/>
        </w:rPr>
        <w:t>Consular Fees Regulations 2018</w:t>
      </w:r>
    </w:p>
    <w:p w14:paraId="6BB0BE6E"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1</w:t>
      </w:r>
      <w:r w:rsidRPr="00CA0FEE">
        <w:rPr>
          <w:rFonts w:ascii="Times New Roman" w:hAnsi="Times New Roman" w:cs="Times New Roman"/>
          <w:b/>
          <w:sz w:val="24"/>
          <w:szCs w:val="24"/>
        </w:rPr>
        <w:tab/>
        <w:t>Name</w:t>
      </w:r>
    </w:p>
    <w:p w14:paraId="76867739" w14:textId="77777777" w:rsidR="00CA0FEE" w:rsidRPr="00CA0FEE" w:rsidRDefault="00CA0FEE" w:rsidP="00CA0FEE">
      <w:pPr>
        <w:ind w:right="84"/>
        <w:rPr>
          <w:rFonts w:ascii="Times New Roman" w:hAnsi="Times New Roman" w:cs="Times New Roman"/>
          <w:sz w:val="24"/>
          <w:szCs w:val="24"/>
        </w:rPr>
      </w:pPr>
      <w:r w:rsidRPr="00CA0FEE">
        <w:rPr>
          <w:rFonts w:ascii="Times New Roman" w:hAnsi="Times New Roman" w:cs="Times New Roman"/>
          <w:sz w:val="24"/>
          <w:szCs w:val="24"/>
        </w:rPr>
        <w:t xml:space="preserve">This section provides for the instrument to be cited as the </w:t>
      </w:r>
      <w:r w:rsidRPr="00CA0FEE">
        <w:rPr>
          <w:rFonts w:ascii="Times New Roman" w:hAnsi="Times New Roman" w:cs="Times New Roman"/>
          <w:i/>
          <w:sz w:val="24"/>
          <w:szCs w:val="24"/>
        </w:rPr>
        <w:t>Consular Fees Regulations 2018.</w:t>
      </w:r>
    </w:p>
    <w:p w14:paraId="1F98A9E3"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2</w:t>
      </w:r>
      <w:r w:rsidRPr="00CA0FEE">
        <w:rPr>
          <w:rFonts w:ascii="Times New Roman" w:hAnsi="Times New Roman" w:cs="Times New Roman"/>
          <w:b/>
          <w:sz w:val="24"/>
          <w:szCs w:val="24"/>
        </w:rPr>
        <w:tab/>
        <w:t>Commencement</w:t>
      </w:r>
    </w:p>
    <w:p w14:paraId="3EBA3DC2" w14:textId="77777777" w:rsidR="00CA0FEE" w:rsidRPr="00CA0FEE" w:rsidRDefault="00CA0FEE" w:rsidP="00CA0FEE">
      <w:pPr>
        <w:rPr>
          <w:rFonts w:ascii="Times New Roman" w:hAnsi="Times New Roman" w:cs="Times New Roman"/>
          <w:sz w:val="24"/>
          <w:szCs w:val="24"/>
        </w:rPr>
      </w:pPr>
      <w:r w:rsidRPr="00CA0FEE">
        <w:rPr>
          <w:rFonts w:ascii="Times New Roman" w:hAnsi="Times New Roman" w:cs="Times New Roman"/>
          <w:sz w:val="24"/>
          <w:szCs w:val="24"/>
        </w:rPr>
        <w:t>This section provides for the Regulations to commence the day after the instrument is registered on the Federal Register of Legislation.</w:t>
      </w:r>
    </w:p>
    <w:p w14:paraId="09E02295"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3</w:t>
      </w:r>
      <w:r w:rsidRPr="00CA0FEE">
        <w:rPr>
          <w:rFonts w:ascii="Times New Roman" w:hAnsi="Times New Roman" w:cs="Times New Roman"/>
          <w:b/>
          <w:sz w:val="24"/>
          <w:szCs w:val="24"/>
        </w:rPr>
        <w:tab/>
        <w:t>Authority</w:t>
      </w:r>
    </w:p>
    <w:p w14:paraId="769B5F34" w14:textId="77777777" w:rsidR="00CA0FEE" w:rsidRPr="00CA0FEE" w:rsidRDefault="00CA0FEE" w:rsidP="00CA0FEE">
      <w:pPr>
        <w:rPr>
          <w:rFonts w:ascii="Times New Roman" w:hAnsi="Times New Roman" w:cs="Times New Roman"/>
          <w:sz w:val="24"/>
          <w:szCs w:val="24"/>
        </w:rPr>
      </w:pPr>
      <w:r w:rsidRPr="00CA0FEE">
        <w:rPr>
          <w:rFonts w:ascii="Times New Roman" w:hAnsi="Times New Roman" w:cs="Times New Roman"/>
          <w:sz w:val="24"/>
          <w:szCs w:val="24"/>
        </w:rPr>
        <w:t xml:space="preserve">This section provides that the </w:t>
      </w:r>
      <w:r w:rsidRPr="00CA0FEE">
        <w:rPr>
          <w:rFonts w:ascii="Times New Roman" w:hAnsi="Times New Roman" w:cs="Times New Roman"/>
          <w:i/>
          <w:sz w:val="24"/>
          <w:szCs w:val="24"/>
        </w:rPr>
        <w:t xml:space="preserve">Consular Fees Regulations 2018 </w:t>
      </w:r>
      <w:r w:rsidRPr="00CA0FEE">
        <w:rPr>
          <w:rFonts w:ascii="Times New Roman" w:hAnsi="Times New Roman" w:cs="Times New Roman"/>
          <w:sz w:val="24"/>
          <w:szCs w:val="24"/>
        </w:rPr>
        <w:t xml:space="preserve">is made under the </w:t>
      </w:r>
      <w:r w:rsidRPr="00CA0FEE">
        <w:rPr>
          <w:rFonts w:ascii="Times New Roman" w:hAnsi="Times New Roman" w:cs="Times New Roman"/>
          <w:i/>
          <w:sz w:val="24"/>
          <w:szCs w:val="24"/>
        </w:rPr>
        <w:t>Consular Fees Act 1955</w:t>
      </w:r>
      <w:r w:rsidRPr="00CA0FEE">
        <w:rPr>
          <w:rFonts w:ascii="Times New Roman" w:hAnsi="Times New Roman" w:cs="Times New Roman"/>
          <w:sz w:val="24"/>
          <w:szCs w:val="24"/>
        </w:rPr>
        <w:t>.</w:t>
      </w:r>
    </w:p>
    <w:p w14:paraId="41A04D1E"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4</w:t>
      </w:r>
      <w:r w:rsidRPr="00CA0FEE">
        <w:rPr>
          <w:rFonts w:ascii="Times New Roman" w:hAnsi="Times New Roman" w:cs="Times New Roman"/>
          <w:b/>
          <w:sz w:val="24"/>
          <w:szCs w:val="24"/>
        </w:rPr>
        <w:tab/>
        <w:t>Schedule(s)</w:t>
      </w:r>
    </w:p>
    <w:p w14:paraId="3DBB6239" w14:textId="77777777" w:rsidR="00CA0FEE" w:rsidRPr="00CA0FEE" w:rsidRDefault="00CA0FEE" w:rsidP="00CA0FEE">
      <w:pPr>
        <w:rPr>
          <w:rFonts w:ascii="Times New Roman" w:hAnsi="Times New Roman" w:cs="Times New Roman"/>
          <w:sz w:val="24"/>
          <w:szCs w:val="24"/>
        </w:rPr>
      </w:pPr>
      <w:r w:rsidRPr="00CA0FEE">
        <w:rPr>
          <w:rFonts w:ascii="Times New Roman" w:hAnsi="Times New Roman" w:cs="Times New Roman"/>
          <w:sz w:val="24"/>
          <w:szCs w:val="24"/>
        </w:rPr>
        <w:t>This section would provide that each instrument that is specified in Schedule 1 to this instrument is amended or repealed as set out in the applicable items in that Schedule, and any other item in a Schedule to this instrument has effect according to its terms.</w:t>
      </w:r>
    </w:p>
    <w:p w14:paraId="58B3F4E1"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5</w:t>
      </w:r>
      <w:r w:rsidRPr="00CA0FEE">
        <w:rPr>
          <w:rFonts w:ascii="Times New Roman" w:hAnsi="Times New Roman" w:cs="Times New Roman"/>
          <w:b/>
          <w:sz w:val="24"/>
          <w:szCs w:val="24"/>
        </w:rPr>
        <w:tab/>
        <w:t>Definitions</w:t>
      </w:r>
    </w:p>
    <w:p w14:paraId="0AC64338" w14:textId="77777777" w:rsidR="00CA0FEE" w:rsidRPr="00CA0FEE" w:rsidRDefault="00CA0FEE" w:rsidP="00CA0FEE">
      <w:pPr>
        <w:rPr>
          <w:rFonts w:ascii="Times New Roman" w:hAnsi="Times New Roman" w:cs="Times New Roman"/>
          <w:sz w:val="24"/>
          <w:szCs w:val="24"/>
        </w:rPr>
      </w:pPr>
      <w:r w:rsidRPr="00CA0FEE">
        <w:rPr>
          <w:rFonts w:ascii="Times New Roman" w:hAnsi="Times New Roman" w:cs="Times New Roman"/>
          <w:sz w:val="24"/>
          <w:szCs w:val="24"/>
        </w:rPr>
        <w:t>This section provides the definitions for the terms used within the Regulation.</w:t>
      </w:r>
    </w:p>
    <w:p w14:paraId="730D68E6"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6</w:t>
      </w:r>
      <w:r w:rsidRPr="00CA0FEE">
        <w:rPr>
          <w:rFonts w:ascii="Times New Roman" w:hAnsi="Times New Roman" w:cs="Times New Roman"/>
          <w:b/>
          <w:sz w:val="24"/>
          <w:szCs w:val="24"/>
        </w:rPr>
        <w:tab/>
        <w:t xml:space="preserve"> Consular acts and fees</w:t>
      </w:r>
    </w:p>
    <w:p w14:paraId="647E2A2D"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sz w:val="24"/>
          <w:szCs w:val="24"/>
        </w:rPr>
        <w:t>This section prescribes the fees payable for the consular acts listed in Column 1.</w:t>
      </w:r>
    </w:p>
    <w:p w14:paraId="5724EC78"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7</w:t>
      </w:r>
      <w:r w:rsidRPr="00CA0FEE">
        <w:rPr>
          <w:rFonts w:ascii="Times New Roman" w:hAnsi="Times New Roman" w:cs="Times New Roman"/>
          <w:b/>
          <w:sz w:val="24"/>
          <w:szCs w:val="24"/>
        </w:rPr>
        <w:tab/>
        <w:t>Fees not payable for consular acts performed for governments</w:t>
      </w:r>
    </w:p>
    <w:p w14:paraId="3E90958E"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sz w:val="24"/>
          <w:szCs w:val="24"/>
        </w:rPr>
        <w:t>This section prescribes when a fee is not payable for a consular act.</w:t>
      </w:r>
    </w:p>
    <w:p w14:paraId="4BC639E2"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 xml:space="preserve">Section 8 </w:t>
      </w:r>
      <w:r w:rsidRPr="00CA0FEE">
        <w:rPr>
          <w:rFonts w:ascii="Times New Roman" w:hAnsi="Times New Roman" w:cs="Times New Roman"/>
          <w:b/>
          <w:sz w:val="24"/>
          <w:szCs w:val="24"/>
        </w:rPr>
        <w:tab/>
        <w:t>Fees may be paid in local currencies</w:t>
      </w:r>
    </w:p>
    <w:p w14:paraId="0EA77004"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sz w:val="24"/>
          <w:szCs w:val="24"/>
        </w:rPr>
        <w:t>This section provides that if a consular act is performed outside of Australia, the fee payable may be made by payment in the currency of that place.</w:t>
      </w:r>
    </w:p>
    <w:p w14:paraId="488105EC" w14:textId="77777777" w:rsidR="00CA0FEE" w:rsidRPr="00CA0FEE" w:rsidRDefault="00CA0FEE" w:rsidP="00CA0FEE">
      <w:pPr>
        <w:rPr>
          <w:rFonts w:ascii="Times New Roman" w:hAnsi="Times New Roman" w:cs="Times New Roman"/>
          <w:b/>
          <w:sz w:val="24"/>
          <w:szCs w:val="24"/>
        </w:rPr>
      </w:pPr>
      <w:r w:rsidRPr="00CA0FEE">
        <w:rPr>
          <w:rFonts w:ascii="Times New Roman" w:hAnsi="Times New Roman" w:cs="Times New Roman"/>
          <w:b/>
          <w:sz w:val="24"/>
          <w:szCs w:val="24"/>
        </w:rPr>
        <w:t>Section 9</w:t>
      </w:r>
      <w:r w:rsidRPr="00CA0FEE">
        <w:rPr>
          <w:rFonts w:ascii="Times New Roman" w:hAnsi="Times New Roman" w:cs="Times New Roman"/>
          <w:b/>
          <w:sz w:val="24"/>
          <w:szCs w:val="24"/>
        </w:rPr>
        <w:tab/>
        <w:t>Indexation of fees</w:t>
      </w:r>
    </w:p>
    <w:p w14:paraId="18CCF89E" w14:textId="77777777" w:rsidR="00CA0FEE" w:rsidRPr="00CA0FEE" w:rsidRDefault="00CA0FEE" w:rsidP="00CA0FEE">
      <w:pPr>
        <w:rPr>
          <w:rFonts w:ascii="Times New Roman" w:hAnsi="Times New Roman" w:cs="Times New Roman"/>
          <w:sz w:val="24"/>
          <w:szCs w:val="24"/>
        </w:rPr>
      </w:pPr>
      <w:r w:rsidRPr="00CA0FEE">
        <w:rPr>
          <w:rFonts w:ascii="Times New Roman" w:hAnsi="Times New Roman" w:cs="Times New Roman"/>
          <w:sz w:val="24"/>
          <w:szCs w:val="24"/>
        </w:rPr>
        <w:t>This section provides that the fees detailed in Section 6 are to be indexed in January each year.  It also sets out the prescribed index methodology.</w:t>
      </w:r>
    </w:p>
    <w:p w14:paraId="0A6A7CA0" w14:textId="77777777" w:rsidR="00CA0FEE" w:rsidRPr="00CA0FEE" w:rsidRDefault="00CA0FEE" w:rsidP="00CA0FEE">
      <w:pPr>
        <w:rPr>
          <w:rFonts w:ascii="Times New Roman" w:hAnsi="Times New Roman" w:cs="Times New Roman"/>
          <w:sz w:val="24"/>
          <w:szCs w:val="24"/>
          <w:u w:val="single"/>
        </w:rPr>
      </w:pPr>
      <w:r w:rsidRPr="00CA0FEE">
        <w:rPr>
          <w:rFonts w:ascii="Times New Roman" w:hAnsi="Times New Roman" w:cs="Times New Roman"/>
          <w:sz w:val="24"/>
          <w:szCs w:val="24"/>
          <w:u w:val="single"/>
        </w:rPr>
        <w:t>Schedule 1 - Repeals</w:t>
      </w:r>
    </w:p>
    <w:p w14:paraId="323BB495" w14:textId="0D0F7723" w:rsidR="00CA0FEE" w:rsidRPr="00CA0FEE" w:rsidRDefault="00CA0FEE" w:rsidP="00CA0FEE">
      <w:pPr>
        <w:rPr>
          <w:rFonts w:ascii="Times New Roman" w:hAnsi="Times New Roman" w:cs="Times New Roman"/>
          <w:i/>
          <w:sz w:val="24"/>
          <w:szCs w:val="24"/>
        </w:rPr>
      </w:pPr>
      <w:r w:rsidRPr="00CA0FEE">
        <w:rPr>
          <w:rFonts w:ascii="Times New Roman" w:hAnsi="Times New Roman" w:cs="Times New Roman"/>
          <w:sz w:val="24"/>
          <w:szCs w:val="24"/>
        </w:rPr>
        <w:t xml:space="preserve">Schedule 1 repeals the whole of the </w:t>
      </w:r>
      <w:r w:rsidRPr="00CA0FEE">
        <w:rPr>
          <w:rFonts w:ascii="Times New Roman" w:hAnsi="Times New Roman" w:cs="Times New Roman"/>
          <w:i/>
          <w:sz w:val="24"/>
          <w:szCs w:val="24"/>
        </w:rPr>
        <w:t>Consular Fees Regulations 1990.</w:t>
      </w:r>
    </w:p>
    <w:p w14:paraId="255A2ACC" w14:textId="77777777" w:rsidR="00CA0FEE" w:rsidRPr="00CA0FEE" w:rsidRDefault="00CA0FEE">
      <w:pPr>
        <w:rPr>
          <w:rFonts w:ascii="Times New Roman" w:hAnsi="Times New Roman" w:cs="Times New Roman"/>
          <w:i/>
          <w:sz w:val="24"/>
          <w:szCs w:val="24"/>
        </w:rPr>
      </w:pPr>
      <w:r w:rsidRPr="00CA0FEE">
        <w:rPr>
          <w:rFonts w:ascii="Times New Roman" w:hAnsi="Times New Roman" w:cs="Times New Roman"/>
          <w:i/>
          <w:sz w:val="24"/>
          <w:szCs w:val="24"/>
        </w:rPr>
        <w:br w:type="page"/>
      </w:r>
    </w:p>
    <w:p w14:paraId="0F289D9C" w14:textId="5F4C51D6" w:rsidR="00CA0FEE" w:rsidRPr="00E47C1E" w:rsidRDefault="00CA0FEE" w:rsidP="00CA0FEE">
      <w:pPr>
        <w:jc w:val="right"/>
        <w:rPr>
          <w:rFonts w:ascii="Times New Roman" w:hAnsi="Times New Roman" w:cs="Times New Roman"/>
          <w:b/>
          <w:sz w:val="24"/>
          <w:szCs w:val="24"/>
        </w:rPr>
      </w:pPr>
      <w:r w:rsidRPr="00E47C1E">
        <w:rPr>
          <w:rFonts w:ascii="Times New Roman" w:hAnsi="Times New Roman" w:cs="Times New Roman"/>
          <w:b/>
          <w:sz w:val="24"/>
          <w:szCs w:val="24"/>
        </w:rPr>
        <w:t xml:space="preserve">Attachment </w:t>
      </w:r>
      <w:r>
        <w:rPr>
          <w:rFonts w:ascii="Times New Roman" w:hAnsi="Times New Roman" w:cs="Times New Roman"/>
          <w:b/>
          <w:sz w:val="24"/>
          <w:szCs w:val="24"/>
        </w:rPr>
        <w:t>B</w:t>
      </w:r>
    </w:p>
    <w:p w14:paraId="2433152B" w14:textId="77777777" w:rsidR="00CA0FEE" w:rsidRPr="00E47C1E" w:rsidRDefault="00CA0FEE" w:rsidP="00CA0FEE">
      <w:pPr>
        <w:tabs>
          <w:tab w:val="left" w:pos="3969"/>
          <w:tab w:val="left" w:pos="5245"/>
        </w:tabs>
        <w:ind w:right="91"/>
        <w:jc w:val="center"/>
        <w:rPr>
          <w:rFonts w:ascii="Times New Roman" w:hAnsi="Times New Roman" w:cs="Times New Roman"/>
          <w:b/>
          <w:sz w:val="24"/>
          <w:szCs w:val="24"/>
        </w:rPr>
      </w:pPr>
      <w:r w:rsidRPr="00E47C1E">
        <w:rPr>
          <w:rFonts w:ascii="Times New Roman" w:hAnsi="Times New Roman" w:cs="Times New Roman"/>
          <w:b/>
          <w:sz w:val="24"/>
          <w:szCs w:val="24"/>
        </w:rPr>
        <w:t>Statement of Compatibility with Human Rights</w:t>
      </w:r>
    </w:p>
    <w:p w14:paraId="56BFEA40" w14:textId="77777777" w:rsidR="00CA0FEE" w:rsidRPr="00E47C1E" w:rsidRDefault="00CA0FEE" w:rsidP="00CA0FEE">
      <w:pPr>
        <w:tabs>
          <w:tab w:val="left" w:pos="3969"/>
          <w:tab w:val="left" w:pos="5245"/>
        </w:tabs>
        <w:ind w:right="91"/>
        <w:rPr>
          <w:rFonts w:ascii="Times New Roman" w:hAnsi="Times New Roman" w:cs="Times New Roman"/>
          <w:sz w:val="24"/>
          <w:szCs w:val="24"/>
        </w:rPr>
      </w:pPr>
      <w:r w:rsidRPr="00E47C1E">
        <w:rPr>
          <w:rFonts w:ascii="Times New Roman" w:hAnsi="Times New Roman" w:cs="Times New Roman"/>
          <w:sz w:val="24"/>
          <w:szCs w:val="24"/>
        </w:rPr>
        <w:t xml:space="preserve">Prepared in accordance with Part 3 of the </w:t>
      </w:r>
      <w:r w:rsidRPr="00E47C1E">
        <w:rPr>
          <w:rFonts w:ascii="Times New Roman" w:hAnsi="Times New Roman" w:cs="Times New Roman"/>
          <w:i/>
          <w:sz w:val="24"/>
          <w:szCs w:val="24"/>
        </w:rPr>
        <w:t>Human Rights (Parliamentary Scrutiny) Act 2011</w:t>
      </w:r>
    </w:p>
    <w:p w14:paraId="1B8A705B" w14:textId="77777777" w:rsidR="00CA0FEE" w:rsidRPr="00D34A32" w:rsidRDefault="00CA0FEE" w:rsidP="00CA0FEE">
      <w:pPr>
        <w:ind w:right="84"/>
        <w:jc w:val="center"/>
        <w:rPr>
          <w:rFonts w:ascii="Times New Roman" w:hAnsi="Times New Roman" w:cs="Times New Roman"/>
          <w:b/>
          <w:i/>
          <w:sz w:val="24"/>
          <w:szCs w:val="24"/>
        </w:rPr>
      </w:pPr>
      <w:r w:rsidRPr="00D34A32">
        <w:rPr>
          <w:rFonts w:ascii="Times New Roman" w:hAnsi="Times New Roman" w:cs="Times New Roman"/>
          <w:b/>
          <w:i/>
        </w:rPr>
        <w:t>Consular Fees Regulation</w:t>
      </w:r>
      <w:r>
        <w:rPr>
          <w:rFonts w:ascii="Times New Roman" w:hAnsi="Times New Roman" w:cs="Times New Roman"/>
          <w:b/>
          <w:i/>
        </w:rPr>
        <w:t>s</w:t>
      </w:r>
      <w:r w:rsidRPr="00D34A32">
        <w:rPr>
          <w:rFonts w:ascii="Times New Roman" w:hAnsi="Times New Roman" w:cs="Times New Roman"/>
          <w:b/>
          <w:i/>
        </w:rPr>
        <w:t xml:space="preserve"> 2018</w:t>
      </w:r>
    </w:p>
    <w:p w14:paraId="29051FC9" w14:textId="77777777" w:rsidR="00CA0FEE" w:rsidRPr="00E47C1E" w:rsidRDefault="00CA0FEE" w:rsidP="00CA0FEE">
      <w:pPr>
        <w:tabs>
          <w:tab w:val="left" w:pos="3969"/>
          <w:tab w:val="left" w:pos="5245"/>
        </w:tabs>
        <w:ind w:right="91"/>
        <w:rPr>
          <w:rFonts w:ascii="Times New Roman" w:hAnsi="Times New Roman" w:cs="Times New Roman"/>
          <w:i/>
          <w:sz w:val="24"/>
          <w:szCs w:val="24"/>
        </w:rPr>
      </w:pPr>
      <w:r w:rsidRPr="00E47C1E">
        <w:rPr>
          <w:rFonts w:ascii="Times New Roman" w:hAnsi="Times New Roman" w:cs="Times New Roman"/>
          <w:sz w:val="24"/>
          <w:szCs w:val="24"/>
        </w:rPr>
        <w:t xml:space="preserve">This </w:t>
      </w:r>
      <w:r>
        <w:rPr>
          <w:rFonts w:ascii="Times New Roman" w:hAnsi="Times New Roman" w:cs="Times New Roman"/>
          <w:sz w:val="24"/>
          <w:szCs w:val="24"/>
        </w:rPr>
        <w:t xml:space="preserve">disallowable </w:t>
      </w:r>
      <w:r w:rsidRPr="00E47C1E">
        <w:rPr>
          <w:rFonts w:ascii="Times New Roman" w:hAnsi="Times New Roman" w:cs="Times New Roman"/>
          <w:sz w:val="24"/>
          <w:szCs w:val="24"/>
        </w:rPr>
        <w:t xml:space="preserve">legislative instrument is compatible with the human rights and freedoms recognised or declared in the international instruments listed in section 3 of the </w:t>
      </w:r>
      <w:r w:rsidRPr="00E47C1E">
        <w:rPr>
          <w:rFonts w:ascii="Times New Roman" w:hAnsi="Times New Roman" w:cs="Times New Roman"/>
          <w:i/>
          <w:sz w:val="24"/>
          <w:szCs w:val="24"/>
        </w:rPr>
        <w:t>Human Rights (Parliamentary Scrutiny) Act 2011.</w:t>
      </w:r>
    </w:p>
    <w:p w14:paraId="44A13BDC" w14:textId="77777777" w:rsidR="00CA0FEE" w:rsidRPr="00E47C1E" w:rsidRDefault="00CA0FEE" w:rsidP="00CA0FEE">
      <w:pPr>
        <w:rPr>
          <w:rFonts w:ascii="Times New Roman" w:hAnsi="Times New Roman" w:cs="Times New Roman"/>
          <w:b/>
          <w:sz w:val="24"/>
          <w:szCs w:val="24"/>
        </w:rPr>
      </w:pPr>
      <w:r w:rsidRPr="00E47C1E">
        <w:rPr>
          <w:rFonts w:ascii="Times New Roman" w:hAnsi="Times New Roman" w:cs="Times New Roman"/>
          <w:b/>
          <w:sz w:val="24"/>
          <w:szCs w:val="24"/>
        </w:rPr>
        <w:t>Overview</w:t>
      </w:r>
    </w:p>
    <w:p w14:paraId="78823897" w14:textId="77777777" w:rsidR="00CA0FEE" w:rsidRPr="00B820A8" w:rsidRDefault="00CA0FEE" w:rsidP="00CA0FEE">
      <w:pPr>
        <w:ind w:right="84"/>
        <w:rPr>
          <w:rFonts w:ascii="Times New Roman" w:hAnsi="Times New Roman" w:cs="Times New Roman"/>
          <w:sz w:val="24"/>
          <w:szCs w:val="24"/>
        </w:rPr>
      </w:pPr>
      <w:r w:rsidRPr="00B820A8">
        <w:rPr>
          <w:rFonts w:ascii="Times New Roman" w:hAnsi="Times New Roman" w:cs="Times New Roman"/>
          <w:sz w:val="24"/>
          <w:szCs w:val="24"/>
        </w:rPr>
        <w:t xml:space="preserve">The </w:t>
      </w:r>
      <w:r w:rsidRPr="00117678">
        <w:rPr>
          <w:rFonts w:ascii="Times New Roman" w:hAnsi="Times New Roman" w:cs="Times New Roman"/>
          <w:i/>
          <w:sz w:val="24"/>
          <w:szCs w:val="24"/>
        </w:rPr>
        <w:t>Consular Fees Act 1955</w:t>
      </w:r>
      <w:r w:rsidRPr="00B820A8">
        <w:rPr>
          <w:rFonts w:ascii="Times New Roman" w:hAnsi="Times New Roman" w:cs="Times New Roman"/>
          <w:sz w:val="24"/>
          <w:szCs w:val="24"/>
        </w:rPr>
        <w:t xml:space="preserve"> (the Act) provides for the charging of fees for consular acts performed by Australian diplomatic and consular officers and designated other officers and employees of the Commonwealth.  The consular acts referred to in the Act are notarial services.  Fees are not charged for the delivery of consular assistance to Australians overseas.</w:t>
      </w:r>
    </w:p>
    <w:p w14:paraId="36C1F89C" w14:textId="77777777" w:rsidR="00CA0FEE" w:rsidRPr="00420F41" w:rsidRDefault="00CA0FEE" w:rsidP="00CA0FEE">
      <w:pPr>
        <w:ind w:right="91"/>
        <w:rPr>
          <w:rFonts w:ascii="Times New Roman" w:hAnsi="Times New Roman" w:cs="Times New Roman"/>
          <w:sz w:val="24"/>
          <w:szCs w:val="24"/>
        </w:rPr>
      </w:pPr>
      <w:r w:rsidRPr="00B820A8">
        <w:rPr>
          <w:rFonts w:ascii="Times New Roman" w:hAnsi="Times New Roman" w:cs="Times New Roman"/>
          <w:sz w:val="24"/>
          <w:szCs w:val="24"/>
        </w:rPr>
        <w:t xml:space="preserve">The </w:t>
      </w:r>
      <w:r w:rsidRPr="00D34A32">
        <w:rPr>
          <w:rFonts w:ascii="Times New Roman" w:hAnsi="Times New Roman" w:cs="Times New Roman"/>
          <w:i/>
          <w:sz w:val="24"/>
          <w:szCs w:val="24"/>
        </w:rPr>
        <w:t>Consular Fees Regulations 1990</w:t>
      </w:r>
      <w:r w:rsidRPr="00B820A8">
        <w:rPr>
          <w:rFonts w:ascii="Times New Roman" w:hAnsi="Times New Roman" w:cs="Times New Roman"/>
          <w:sz w:val="24"/>
          <w:szCs w:val="24"/>
        </w:rPr>
        <w:t xml:space="preserve"> currently prescribes the fees for consular acts specified as being a consular act for the purposes of the Act.  The </w:t>
      </w:r>
      <w:r w:rsidRPr="00D34A32">
        <w:rPr>
          <w:rFonts w:ascii="Times New Roman" w:hAnsi="Times New Roman" w:cs="Times New Roman"/>
          <w:i/>
          <w:sz w:val="24"/>
          <w:szCs w:val="24"/>
        </w:rPr>
        <w:t>Consular Fees Regulations 1990</w:t>
      </w:r>
      <w:r w:rsidRPr="00B820A8">
        <w:rPr>
          <w:rFonts w:ascii="Times New Roman" w:hAnsi="Times New Roman" w:cs="Times New Roman"/>
          <w:sz w:val="24"/>
          <w:szCs w:val="24"/>
        </w:rPr>
        <w:t xml:space="preserve"> are due to sunset on 1 October 2018</w:t>
      </w:r>
    </w:p>
    <w:p w14:paraId="4A6B46F9" w14:textId="77777777" w:rsidR="00CA0FEE" w:rsidRPr="00E47C1E" w:rsidRDefault="00CA0FEE" w:rsidP="00CA0FEE">
      <w:pPr>
        <w:spacing w:after="0" w:line="240" w:lineRule="auto"/>
        <w:rPr>
          <w:rFonts w:ascii="Times New Roman" w:hAnsi="Times New Roman" w:cs="Times New Roman"/>
          <w:sz w:val="24"/>
          <w:szCs w:val="24"/>
        </w:rPr>
      </w:pPr>
    </w:p>
    <w:p w14:paraId="108E912E" w14:textId="77777777" w:rsidR="00CA0FEE" w:rsidRPr="00E47C1E" w:rsidRDefault="00CA0FEE" w:rsidP="00CA0FEE">
      <w:pPr>
        <w:rPr>
          <w:rFonts w:ascii="Times New Roman" w:hAnsi="Times New Roman" w:cs="Times New Roman"/>
          <w:b/>
          <w:sz w:val="24"/>
          <w:szCs w:val="24"/>
        </w:rPr>
      </w:pPr>
      <w:r w:rsidRPr="00E47C1E">
        <w:rPr>
          <w:rFonts w:ascii="Times New Roman" w:hAnsi="Times New Roman" w:cs="Times New Roman"/>
          <w:b/>
          <w:sz w:val="24"/>
          <w:szCs w:val="24"/>
        </w:rPr>
        <w:t>Human rights implications</w:t>
      </w:r>
    </w:p>
    <w:p w14:paraId="48645991" w14:textId="77777777" w:rsidR="00CA0FEE" w:rsidRPr="00E47C1E" w:rsidRDefault="00CA0FEE" w:rsidP="00CA0FEE">
      <w:pPr>
        <w:rPr>
          <w:rFonts w:ascii="Times New Roman" w:hAnsi="Times New Roman" w:cs="Times New Roman"/>
          <w:sz w:val="24"/>
          <w:szCs w:val="24"/>
        </w:rPr>
      </w:pPr>
      <w:r w:rsidRPr="00E47C1E">
        <w:rPr>
          <w:rFonts w:ascii="Times New Roman" w:hAnsi="Times New Roman" w:cs="Times New Roman"/>
          <w:sz w:val="24"/>
          <w:szCs w:val="24"/>
        </w:rPr>
        <w:t xml:space="preserve">The </w:t>
      </w:r>
      <w:r w:rsidRPr="00117678">
        <w:rPr>
          <w:rFonts w:ascii="Times New Roman" w:hAnsi="Times New Roman" w:cs="Times New Roman"/>
          <w:i/>
          <w:sz w:val="24"/>
          <w:szCs w:val="24"/>
        </w:rPr>
        <w:t>Consular Fees Regulation 2018</w:t>
      </w:r>
      <w:r w:rsidRPr="00E47C1E">
        <w:rPr>
          <w:rFonts w:ascii="Times New Roman" w:hAnsi="Times New Roman" w:cs="Times New Roman"/>
          <w:sz w:val="24"/>
          <w:szCs w:val="24"/>
        </w:rPr>
        <w:t xml:space="preserve"> do not engage any of the human rights and freedoms recognised or declared in the international instruments listed in section 3 of the </w:t>
      </w:r>
      <w:r w:rsidRPr="00E47C1E">
        <w:rPr>
          <w:rFonts w:ascii="Times New Roman" w:hAnsi="Times New Roman" w:cs="Times New Roman"/>
          <w:i/>
          <w:sz w:val="24"/>
          <w:szCs w:val="24"/>
        </w:rPr>
        <w:t>Human Rights (Parliamentary Scrutiny) Act 2011</w:t>
      </w:r>
      <w:r w:rsidRPr="00E47C1E">
        <w:rPr>
          <w:rFonts w:ascii="Times New Roman" w:hAnsi="Times New Roman" w:cs="Times New Roman"/>
          <w:sz w:val="24"/>
          <w:szCs w:val="24"/>
        </w:rPr>
        <w:t xml:space="preserve">.  For clarity, the registration of deaths under </w:t>
      </w:r>
      <w:r w:rsidRPr="00DD2EA8">
        <w:rPr>
          <w:rFonts w:ascii="Times New Roman" w:hAnsi="Times New Roman" w:cs="Times New Roman"/>
          <w:sz w:val="24"/>
          <w:szCs w:val="24"/>
        </w:rPr>
        <w:t xml:space="preserve">the </w:t>
      </w:r>
      <w:r w:rsidRPr="00117678">
        <w:rPr>
          <w:rFonts w:ascii="Times New Roman" w:hAnsi="Times New Roman" w:cs="Times New Roman"/>
          <w:i/>
        </w:rPr>
        <w:t>Consular Fees Act 1955</w:t>
      </w:r>
      <w:r>
        <w:rPr>
          <w:rFonts w:ascii="Times New Roman" w:hAnsi="Times New Roman" w:cs="Times New Roman"/>
          <w:b/>
          <w:i/>
        </w:rPr>
        <w:t xml:space="preserve"> </w:t>
      </w:r>
      <w:r w:rsidRPr="00E47C1E">
        <w:rPr>
          <w:rFonts w:ascii="Times New Roman" w:hAnsi="Times New Roman" w:cs="Times New Roman"/>
          <w:sz w:val="24"/>
          <w:szCs w:val="24"/>
        </w:rPr>
        <w:t>is a non-mandatory regime.</w:t>
      </w:r>
    </w:p>
    <w:p w14:paraId="4CCCF0EF" w14:textId="77777777" w:rsidR="00CA0FEE" w:rsidRPr="00E47C1E" w:rsidRDefault="00CA0FEE" w:rsidP="00CA0FEE">
      <w:pPr>
        <w:rPr>
          <w:rFonts w:ascii="Times New Roman" w:hAnsi="Times New Roman" w:cs="Times New Roman"/>
          <w:b/>
          <w:sz w:val="24"/>
          <w:szCs w:val="24"/>
        </w:rPr>
      </w:pPr>
      <w:r w:rsidRPr="00E47C1E">
        <w:rPr>
          <w:rFonts w:ascii="Times New Roman" w:hAnsi="Times New Roman" w:cs="Times New Roman"/>
          <w:b/>
          <w:sz w:val="24"/>
          <w:szCs w:val="24"/>
        </w:rPr>
        <w:t>Conclusion</w:t>
      </w:r>
    </w:p>
    <w:p w14:paraId="6D43D1D2" w14:textId="77777777" w:rsidR="00CA0FEE" w:rsidRDefault="00CA0FEE" w:rsidP="00CA0FEE">
      <w:pPr>
        <w:rPr>
          <w:rFonts w:ascii="Times New Roman" w:hAnsi="Times New Roman" w:cs="Times New Roman"/>
          <w:sz w:val="24"/>
          <w:szCs w:val="24"/>
        </w:rPr>
      </w:pPr>
      <w:r w:rsidRPr="00E47C1E">
        <w:rPr>
          <w:rFonts w:ascii="Times New Roman" w:hAnsi="Times New Roman" w:cs="Times New Roman"/>
          <w:sz w:val="24"/>
          <w:szCs w:val="24"/>
        </w:rPr>
        <w:t>Th</w:t>
      </w:r>
      <w:r>
        <w:rPr>
          <w:rFonts w:ascii="Times New Roman" w:hAnsi="Times New Roman" w:cs="Times New Roman"/>
          <w:sz w:val="24"/>
          <w:szCs w:val="24"/>
        </w:rPr>
        <w:t>is disallowable legislative instrument is</w:t>
      </w:r>
      <w:r w:rsidRPr="00E47C1E">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E47C1E">
        <w:rPr>
          <w:rFonts w:ascii="Times New Roman" w:hAnsi="Times New Roman" w:cs="Times New Roman"/>
          <w:sz w:val="24"/>
          <w:szCs w:val="24"/>
        </w:rPr>
        <w:t xml:space="preserve"> do</w:t>
      </w:r>
      <w:r>
        <w:rPr>
          <w:rFonts w:ascii="Times New Roman" w:hAnsi="Times New Roman" w:cs="Times New Roman"/>
          <w:sz w:val="24"/>
          <w:szCs w:val="24"/>
        </w:rPr>
        <w:t>es</w:t>
      </w:r>
      <w:r w:rsidRPr="00E47C1E">
        <w:rPr>
          <w:rFonts w:ascii="Times New Roman" w:hAnsi="Times New Roman" w:cs="Times New Roman"/>
          <w:sz w:val="24"/>
          <w:szCs w:val="24"/>
        </w:rPr>
        <w:t xml:space="preserve"> not limit any rights or raise any human rights issues of concern.</w:t>
      </w:r>
    </w:p>
    <w:p w14:paraId="5DD54CB0" w14:textId="3F66F9E5" w:rsidR="00CA0FEE" w:rsidRDefault="00CA0FEE" w:rsidP="00CA0FEE">
      <w:pPr>
        <w:rPr>
          <w:rFonts w:ascii="Times New Roman" w:hAnsi="Times New Roman" w:cs="Times New Roman"/>
          <w:sz w:val="24"/>
          <w:szCs w:val="24"/>
        </w:rPr>
      </w:pPr>
    </w:p>
    <w:p w14:paraId="01D2BFA9" w14:textId="77777777" w:rsidR="00CA0FEE" w:rsidRPr="007829A8" w:rsidRDefault="00CA0FEE" w:rsidP="00CA0FEE">
      <w:pPr>
        <w:rPr>
          <w:szCs w:val="24"/>
        </w:rPr>
      </w:pPr>
    </w:p>
    <w:p w14:paraId="378B8348" w14:textId="77777777" w:rsidR="00CA0FEE" w:rsidRPr="002F411B" w:rsidRDefault="00CA0FEE" w:rsidP="00CA0FEE">
      <w:pPr>
        <w:rPr>
          <w:b/>
          <w:szCs w:val="24"/>
        </w:rPr>
      </w:pPr>
    </w:p>
    <w:p w14:paraId="7E38421C" w14:textId="77777777" w:rsidR="00CA0FEE" w:rsidRPr="002F411B" w:rsidRDefault="00CA0FEE" w:rsidP="00CA0FEE">
      <w:pPr>
        <w:tabs>
          <w:tab w:val="left" w:pos="6521"/>
        </w:tabs>
        <w:ind w:right="91"/>
      </w:pPr>
    </w:p>
    <w:p w14:paraId="57A13DB5" w14:textId="77777777" w:rsidR="00CA0FEE" w:rsidRPr="00E47C1E" w:rsidRDefault="00CA0FEE" w:rsidP="00D850F9">
      <w:pPr>
        <w:rPr>
          <w:rFonts w:ascii="Times New Roman" w:hAnsi="Times New Roman" w:cs="Times New Roman"/>
          <w:sz w:val="24"/>
          <w:szCs w:val="24"/>
        </w:rPr>
      </w:pPr>
    </w:p>
    <w:sectPr w:rsidR="00CA0FEE" w:rsidRPr="00E47C1E"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D0AA" w14:textId="77777777" w:rsidR="003B528A" w:rsidRDefault="003B528A" w:rsidP="00025ACE">
      <w:pPr>
        <w:spacing w:after="0" w:line="240" w:lineRule="auto"/>
      </w:pPr>
      <w:r>
        <w:separator/>
      </w:r>
    </w:p>
  </w:endnote>
  <w:endnote w:type="continuationSeparator" w:id="0">
    <w:p w14:paraId="787FB7CD" w14:textId="77777777" w:rsidR="003B528A" w:rsidRDefault="003B528A"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1E27C0A2" w14:textId="77777777" w:rsidR="00AD3414" w:rsidRDefault="00AD3414" w:rsidP="00522953">
        <w:pPr>
          <w:pStyle w:val="Footer"/>
          <w:jc w:val="center"/>
        </w:pPr>
      </w:p>
      <w:p w14:paraId="556B0C98" w14:textId="77777777" w:rsidR="00AD3414" w:rsidRDefault="00AD3414">
        <w:pPr>
          <w:pStyle w:val="Footer"/>
          <w:jc w:val="right"/>
        </w:pPr>
      </w:p>
      <w:p w14:paraId="4E36910F" w14:textId="544B09A8" w:rsidR="00025ACE" w:rsidRPr="00AD3414" w:rsidRDefault="007327A2" w:rsidP="00522953">
        <w:pPr>
          <w:pStyle w:val="Footer"/>
          <w:jc w:val="right"/>
          <w:rPr>
            <w:i/>
          </w:rPr>
        </w:pP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218C0" w14:textId="77777777" w:rsidR="003B528A" w:rsidRDefault="003B528A" w:rsidP="00025ACE">
      <w:pPr>
        <w:spacing w:after="0" w:line="240" w:lineRule="auto"/>
      </w:pPr>
      <w:r>
        <w:separator/>
      </w:r>
    </w:p>
  </w:footnote>
  <w:footnote w:type="continuationSeparator" w:id="0">
    <w:p w14:paraId="0B074786" w14:textId="77777777" w:rsidR="003B528A" w:rsidRDefault="003B528A"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095EC5"/>
    <w:multiLevelType w:val="multilevel"/>
    <w:tmpl w:val="8468EA2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3061"/>
    <w:rsid w:val="00003720"/>
    <w:rsid w:val="000041E0"/>
    <w:rsid w:val="000124F9"/>
    <w:rsid w:val="00013079"/>
    <w:rsid w:val="000173BA"/>
    <w:rsid w:val="00025ACE"/>
    <w:rsid w:val="00033B16"/>
    <w:rsid w:val="00037F0E"/>
    <w:rsid w:val="00041BCC"/>
    <w:rsid w:val="00050272"/>
    <w:rsid w:val="00053106"/>
    <w:rsid w:val="000541E7"/>
    <w:rsid w:val="00070D91"/>
    <w:rsid w:val="000711C2"/>
    <w:rsid w:val="000726C7"/>
    <w:rsid w:val="00072ABD"/>
    <w:rsid w:val="00073D72"/>
    <w:rsid w:val="00074A8D"/>
    <w:rsid w:val="000801BB"/>
    <w:rsid w:val="00080F0F"/>
    <w:rsid w:val="00082354"/>
    <w:rsid w:val="00093CD1"/>
    <w:rsid w:val="00095AB3"/>
    <w:rsid w:val="00095EB8"/>
    <w:rsid w:val="00096CAC"/>
    <w:rsid w:val="00097EC4"/>
    <w:rsid w:val="000A3A94"/>
    <w:rsid w:val="000A435A"/>
    <w:rsid w:val="000A6C1F"/>
    <w:rsid w:val="000B0BA7"/>
    <w:rsid w:val="000B1E44"/>
    <w:rsid w:val="000B33B6"/>
    <w:rsid w:val="000B4B6C"/>
    <w:rsid w:val="000C6436"/>
    <w:rsid w:val="000D4ECE"/>
    <w:rsid w:val="000E2008"/>
    <w:rsid w:val="000E38C9"/>
    <w:rsid w:val="000F6255"/>
    <w:rsid w:val="000F632E"/>
    <w:rsid w:val="000F76C2"/>
    <w:rsid w:val="001063DC"/>
    <w:rsid w:val="00112987"/>
    <w:rsid w:val="001153DB"/>
    <w:rsid w:val="00116633"/>
    <w:rsid w:val="00117351"/>
    <w:rsid w:val="00117678"/>
    <w:rsid w:val="0012154E"/>
    <w:rsid w:val="00121B9E"/>
    <w:rsid w:val="00122072"/>
    <w:rsid w:val="001311AC"/>
    <w:rsid w:val="0013170F"/>
    <w:rsid w:val="00134705"/>
    <w:rsid w:val="001425E0"/>
    <w:rsid w:val="00146A0C"/>
    <w:rsid w:val="00153514"/>
    <w:rsid w:val="00154B20"/>
    <w:rsid w:val="00160E42"/>
    <w:rsid w:val="00161C73"/>
    <w:rsid w:val="00164FF0"/>
    <w:rsid w:val="001702BF"/>
    <w:rsid w:val="00177A1F"/>
    <w:rsid w:val="001814FD"/>
    <w:rsid w:val="00185BDC"/>
    <w:rsid w:val="00196260"/>
    <w:rsid w:val="00197021"/>
    <w:rsid w:val="001A27CF"/>
    <w:rsid w:val="001B14EC"/>
    <w:rsid w:val="001B3543"/>
    <w:rsid w:val="001B4643"/>
    <w:rsid w:val="001C0632"/>
    <w:rsid w:val="001C4BF8"/>
    <w:rsid w:val="001C5421"/>
    <w:rsid w:val="001D14A3"/>
    <w:rsid w:val="001D2085"/>
    <w:rsid w:val="001D5C25"/>
    <w:rsid w:val="001E3F86"/>
    <w:rsid w:val="001F7EB5"/>
    <w:rsid w:val="002019B1"/>
    <w:rsid w:val="00212847"/>
    <w:rsid w:val="00223329"/>
    <w:rsid w:val="00231A59"/>
    <w:rsid w:val="00234E94"/>
    <w:rsid w:val="00235FFA"/>
    <w:rsid w:val="002410F9"/>
    <w:rsid w:val="00243A30"/>
    <w:rsid w:val="00244861"/>
    <w:rsid w:val="002508F7"/>
    <w:rsid w:val="00270D82"/>
    <w:rsid w:val="0027187B"/>
    <w:rsid w:val="0027347B"/>
    <w:rsid w:val="00273D2D"/>
    <w:rsid w:val="002932D0"/>
    <w:rsid w:val="002B662B"/>
    <w:rsid w:val="002B6699"/>
    <w:rsid w:val="002C2256"/>
    <w:rsid w:val="002C701E"/>
    <w:rsid w:val="002E300E"/>
    <w:rsid w:val="002E3B2A"/>
    <w:rsid w:val="002E5B58"/>
    <w:rsid w:val="002F36E0"/>
    <w:rsid w:val="002F64BB"/>
    <w:rsid w:val="002F68A4"/>
    <w:rsid w:val="002F773B"/>
    <w:rsid w:val="00306417"/>
    <w:rsid w:val="003172C3"/>
    <w:rsid w:val="00326EB0"/>
    <w:rsid w:val="003434D4"/>
    <w:rsid w:val="003457B0"/>
    <w:rsid w:val="003542BC"/>
    <w:rsid w:val="00370620"/>
    <w:rsid w:val="00375FA7"/>
    <w:rsid w:val="00383058"/>
    <w:rsid w:val="00385EF1"/>
    <w:rsid w:val="00393DD5"/>
    <w:rsid w:val="00396465"/>
    <w:rsid w:val="003A1DD4"/>
    <w:rsid w:val="003A3635"/>
    <w:rsid w:val="003A4EB8"/>
    <w:rsid w:val="003A6F82"/>
    <w:rsid w:val="003A7407"/>
    <w:rsid w:val="003B2859"/>
    <w:rsid w:val="003B3D92"/>
    <w:rsid w:val="003B528A"/>
    <w:rsid w:val="003C2F82"/>
    <w:rsid w:val="003C44B4"/>
    <w:rsid w:val="003C77D7"/>
    <w:rsid w:val="003D1368"/>
    <w:rsid w:val="003D6FD0"/>
    <w:rsid w:val="003D74BE"/>
    <w:rsid w:val="003E5846"/>
    <w:rsid w:val="003F28F5"/>
    <w:rsid w:val="003F77E3"/>
    <w:rsid w:val="0041003E"/>
    <w:rsid w:val="004120DE"/>
    <w:rsid w:val="00414315"/>
    <w:rsid w:val="00420F41"/>
    <w:rsid w:val="00430508"/>
    <w:rsid w:val="004362E3"/>
    <w:rsid w:val="00450F48"/>
    <w:rsid w:val="0045489F"/>
    <w:rsid w:val="00466ECD"/>
    <w:rsid w:val="004729A6"/>
    <w:rsid w:val="00474889"/>
    <w:rsid w:val="0048003C"/>
    <w:rsid w:val="00480D6A"/>
    <w:rsid w:val="004826DD"/>
    <w:rsid w:val="00484F80"/>
    <w:rsid w:val="00485426"/>
    <w:rsid w:val="00487FD5"/>
    <w:rsid w:val="0049205B"/>
    <w:rsid w:val="004971D6"/>
    <w:rsid w:val="004A0AB4"/>
    <w:rsid w:val="004A1064"/>
    <w:rsid w:val="004B373A"/>
    <w:rsid w:val="004B5A16"/>
    <w:rsid w:val="004C3389"/>
    <w:rsid w:val="004C60C7"/>
    <w:rsid w:val="004D0836"/>
    <w:rsid w:val="004D2843"/>
    <w:rsid w:val="004D7B50"/>
    <w:rsid w:val="004E790E"/>
    <w:rsid w:val="004F0E96"/>
    <w:rsid w:val="004F0F57"/>
    <w:rsid w:val="004F2ED2"/>
    <w:rsid w:val="0050389F"/>
    <w:rsid w:val="005100C3"/>
    <w:rsid w:val="00522953"/>
    <w:rsid w:val="0052687A"/>
    <w:rsid w:val="0054054A"/>
    <w:rsid w:val="0054485C"/>
    <w:rsid w:val="00550938"/>
    <w:rsid w:val="005511C6"/>
    <w:rsid w:val="005612E7"/>
    <w:rsid w:val="00561F08"/>
    <w:rsid w:val="00565DC7"/>
    <w:rsid w:val="00570974"/>
    <w:rsid w:val="00574B1F"/>
    <w:rsid w:val="00590343"/>
    <w:rsid w:val="00593EC2"/>
    <w:rsid w:val="005958D6"/>
    <w:rsid w:val="005964CF"/>
    <w:rsid w:val="005B7ABD"/>
    <w:rsid w:val="005C1CE8"/>
    <w:rsid w:val="005C33E6"/>
    <w:rsid w:val="005C3B73"/>
    <w:rsid w:val="005C65EB"/>
    <w:rsid w:val="005D4D48"/>
    <w:rsid w:val="005D739B"/>
    <w:rsid w:val="005D7FF4"/>
    <w:rsid w:val="005E3790"/>
    <w:rsid w:val="005F5BE6"/>
    <w:rsid w:val="006007B4"/>
    <w:rsid w:val="00603B3F"/>
    <w:rsid w:val="006168EE"/>
    <w:rsid w:val="006175FC"/>
    <w:rsid w:val="006211A2"/>
    <w:rsid w:val="00632173"/>
    <w:rsid w:val="00632BD0"/>
    <w:rsid w:val="00641906"/>
    <w:rsid w:val="00661E62"/>
    <w:rsid w:val="00663AF2"/>
    <w:rsid w:val="00671216"/>
    <w:rsid w:val="00672379"/>
    <w:rsid w:val="00673531"/>
    <w:rsid w:val="00673EB4"/>
    <w:rsid w:val="00675A13"/>
    <w:rsid w:val="0067626F"/>
    <w:rsid w:val="006813EB"/>
    <w:rsid w:val="00681986"/>
    <w:rsid w:val="00683513"/>
    <w:rsid w:val="00686F06"/>
    <w:rsid w:val="00687290"/>
    <w:rsid w:val="00691F15"/>
    <w:rsid w:val="00692BE0"/>
    <w:rsid w:val="006940DB"/>
    <w:rsid w:val="00696659"/>
    <w:rsid w:val="006A0BDF"/>
    <w:rsid w:val="006A13B7"/>
    <w:rsid w:val="006A53BB"/>
    <w:rsid w:val="006A5942"/>
    <w:rsid w:val="006B660E"/>
    <w:rsid w:val="006C0780"/>
    <w:rsid w:val="006C4561"/>
    <w:rsid w:val="006C59D5"/>
    <w:rsid w:val="006D234E"/>
    <w:rsid w:val="006D2A22"/>
    <w:rsid w:val="006F21C8"/>
    <w:rsid w:val="006F32BF"/>
    <w:rsid w:val="0070627D"/>
    <w:rsid w:val="00706F43"/>
    <w:rsid w:val="007327A2"/>
    <w:rsid w:val="00741438"/>
    <w:rsid w:val="00742F06"/>
    <w:rsid w:val="00743576"/>
    <w:rsid w:val="00743B18"/>
    <w:rsid w:val="00743F98"/>
    <w:rsid w:val="007443BD"/>
    <w:rsid w:val="0074661C"/>
    <w:rsid w:val="00747E52"/>
    <w:rsid w:val="00750397"/>
    <w:rsid w:val="007516DB"/>
    <w:rsid w:val="0075393E"/>
    <w:rsid w:val="007550EF"/>
    <w:rsid w:val="0076364D"/>
    <w:rsid w:val="00766475"/>
    <w:rsid w:val="00771384"/>
    <w:rsid w:val="0077364D"/>
    <w:rsid w:val="007738DA"/>
    <w:rsid w:val="00777E6A"/>
    <w:rsid w:val="00780D46"/>
    <w:rsid w:val="007825AA"/>
    <w:rsid w:val="00784F74"/>
    <w:rsid w:val="00790421"/>
    <w:rsid w:val="00794C5F"/>
    <w:rsid w:val="007A0103"/>
    <w:rsid w:val="007A2277"/>
    <w:rsid w:val="007A562C"/>
    <w:rsid w:val="007A6278"/>
    <w:rsid w:val="007C0D2D"/>
    <w:rsid w:val="007C6490"/>
    <w:rsid w:val="007E1213"/>
    <w:rsid w:val="007E52CD"/>
    <w:rsid w:val="007F3EFD"/>
    <w:rsid w:val="008012C9"/>
    <w:rsid w:val="00805358"/>
    <w:rsid w:val="008070A8"/>
    <w:rsid w:val="00810499"/>
    <w:rsid w:val="0081166D"/>
    <w:rsid w:val="0081203C"/>
    <w:rsid w:val="00817385"/>
    <w:rsid w:val="0082154C"/>
    <w:rsid w:val="00821F3F"/>
    <w:rsid w:val="00835C9A"/>
    <w:rsid w:val="00841FA0"/>
    <w:rsid w:val="00842F17"/>
    <w:rsid w:val="008441CF"/>
    <w:rsid w:val="0084470A"/>
    <w:rsid w:val="00846A70"/>
    <w:rsid w:val="00855B67"/>
    <w:rsid w:val="0085767C"/>
    <w:rsid w:val="008602F3"/>
    <w:rsid w:val="00864540"/>
    <w:rsid w:val="0086774E"/>
    <w:rsid w:val="00872973"/>
    <w:rsid w:val="0087707C"/>
    <w:rsid w:val="00890F04"/>
    <w:rsid w:val="008928BE"/>
    <w:rsid w:val="008954A3"/>
    <w:rsid w:val="008963B6"/>
    <w:rsid w:val="008B1B63"/>
    <w:rsid w:val="008B41A6"/>
    <w:rsid w:val="008C33E3"/>
    <w:rsid w:val="008C584E"/>
    <w:rsid w:val="008D1418"/>
    <w:rsid w:val="008D5456"/>
    <w:rsid w:val="008D6DD3"/>
    <w:rsid w:val="008E3483"/>
    <w:rsid w:val="008F4C58"/>
    <w:rsid w:val="008F6957"/>
    <w:rsid w:val="00900222"/>
    <w:rsid w:val="00901071"/>
    <w:rsid w:val="009046F3"/>
    <w:rsid w:val="0090572C"/>
    <w:rsid w:val="00906E2B"/>
    <w:rsid w:val="0091080B"/>
    <w:rsid w:val="00926833"/>
    <w:rsid w:val="00933879"/>
    <w:rsid w:val="009379BD"/>
    <w:rsid w:val="00942A4D"/>
    <w:rsid w:val="009522B5"/>
    <w:rsid w:val="00960CF4"/>
    <w:rsid w:val="009670B7"/>
    <w:rsid w:val="00967A24"/>
    <w:rsid w:val="009723D1"/>
    <w:rsid w:val="00972FDD"/>
    <w:rsid w:val="009732C1"/>
    <w:rsid w:val="00977705"/>
    <w:rsid w:val="00992420"/>
    <w:rsid w:val="00995E23"/>
    <w:rsid w:val="0099724A"/>
    <w:rsid w:val="009A74CF"/>
    <w:rsid w:val="009B1FFC"/>
    <w:rsid w:val="009B7E2D"/>
    <w:rsid w:val="009C00FE"/>
    <w:rsid w:val="009C5E0F"/>
    <w:rsid w:val="009D1EA4"/>
    <w:rsid w:val="009D46E1"/>
    <w:rsid w:val="009D5783"/>
    <w:rsid w:val="009D6243"/>
    <w:rsid w:val="009D67A8"/>
    <w:rsid w:val="009E0DAF"/>
    <w:rsid w:val="009F7219"/>
    <w:rsid w:val="00A03353"/>
    <w:rsid w:val="00A04ADF"/>
    <w:rsid w:val="00A07A2F"/>
    <w:rsid w:val="00A11FEE"/>
    <w:rsid w:val="00A213A8"/>
    <w:rsid w:val="00A21F3E"/>
    <w:rsid w:val="00A27DA3"/>
    <w:rsid w:val="00A30EBF"/>
    <w:rsid w:val="00A32C77"/>
    <w:rsid w:val="00A350F3"/>
    <w:rsid w:val="00A36C0E"/>
    <w:rsid w:val="00A4134C"/>
    <w:rsid w:val="00A41418"/>
    <w:rsid w:val="00A43824"/>
    <w:rsid w:val="00A6196F"/>
    <w:rsid w:val="00A6271D"/>
    <w:rsid w:val="00A64EC4"/>
    <w:rsid w:val="00A7023B"/>
    <w:rsid w:val="00A815CB"/>
    <w:rsid w:val="00A820E5"/>
    <w:rsid w:val="00A974CC"/>
    <w:rsid w:val="00A97F33"/>
    <w:rsid w:val="00AA6088"/>
    <w:rsid w:val="00AB0E91"/>
    <w:rsid w:val="00AB1579"/>
    <w:rsid w:val="00AB3755"/>
    <w:rsid w:val="00AB65E7"/>
    <w:rsid w:val="00AC73DE"/>
    <w:rsid w:val="00AD3414"/>
    <w:rsid w:val="00AD4EB0"/>
    <w:rsid w:val="00AD500F"/>
    <w:rsid w:val="00AE2CB4"/>
    <w:rsid w:val="00AE6898"/>
    <w:rsid w:val="00AE6FC3"/>
    <w:rsid w:val="00AF080D"/>
    <w:rsid w:val="00AF6545"/>
    <w:rsid w:val="00B00FC3"/>
    <w:rsid w:val="00B039DB"/>
    <w:rsid w:val="00B07583"/>
    <w:rsid w:val="00B13F62"/>
    <w:rsid w:val="00B205CA"/>
    <w:rsid w:val="00B23030"/>
    <w:rsid w:val="00B24F45"/>
    <w:rsid w:val="00B43E10"/>
    <w:rsid w:val="00B47C1C"/>
    <w:rsid w:val="00B52584"/>
    <w:rsid w:val="00B55A2A"/>
    <w:rsid w:val="00B55EA2"/>
    <w:rsid w:val="00B62B7F"/>
    <w:rsid w:val="00B654EF"/>
    <w:rsid w:val="00B6597A"/>
    <w:rsid w:val="00B665E6"/>
    <w:rsid w:val="00B6793D"/>
    <w:rsid w:val="00B727F3"/>
    <w:rsid w:val="00B820A8"/>
    <w:rsid w:val="00B82D3D"/>
    <w:rsid w:val="00B84CF0"/>
    <w:rsid w:val="00B90F17"/>
    <w:rsid w:val="00B933B3"/>
    <w:rsid w:val="00B94B30"/>
    <w:rsid w:val="00BA7D17"/>
    <w:rsid w:val="00BB076E"/>
    <w:rsid w:val="00BB1CF2"/>
    <w:rsid w:val="00BB4316"/>
    <w:rsid w:val="00BB7A25"/>
    <w:rsid w:val="00BB7EB8"/>
    <w:rsid w:val="00BC0A3C"/>
    <w:rsid w:val="00BC1DB2"/>
    <w:rsid w:val="00BC5916"/>
    <w:rsid w:val="00BC621F"/>
    <w:rsid w:val="00BD1FC4"/>
    <w:rsid w:val="00BE1EE6"/>
    <w:rsid w:val="00C00CAF"/>
    <w:rsid w:val="00C032F0"/>
    <w:rsid w:val="00C03503"/>
    <w:rsid w:val="00C10870"/>
    <w:rsid w:val="00C10E3A"/>
    <w:rsid w:val="00C15717"/>
    <w:rsid w:val="00C1583B"/>
    <w:rsid w:val="00C20621"/>
    <w:rsid w:val="00C21933"/>
    <w:rsid w:val="00C23E51"/>
    <w:rsid w:val="00C251D5"/>
    <w:rsid w:val="00C355F7"/>
    <w:rsid w:val="00C4163B"/>
    <w:rsid w:val="00C52681"/>
    <w:rsid w:val="00C57E29"/>
    <w:rsid w:val="00C6130C"/>
    <w:rsid w:val="00C63E8C"/>
    <w:rsid w:val="00C655A8"/>
    <w:rsid w:val="00C659A7"/>
    <w:rsid w:val="00C664D3"/>
    <w:rsid w:val="00C710AE"/>
    <w:rsid w:val="00C73BC0"/>
    <w:rsid w:val="00C761FE"/>
    <w:rsid w:val="00C76FFC"/>
    <w:rsid w:val="00C825CF"/>
    <w:rsid w:val="00C86183"/>
    <w:rsid w:val="00C87071"/>
    <w:rsid w:val="00C91749"/>
    <w:rsid w:val="00C923F9"/>
    <w:rsid w:val="00C9259F"/>
    <w:rsid w:val="00C926CB"/>
    <w:rsid w:val="00C9792D"/>
    <w:rsid w:val="00CA0FEE"/>
    <w:rsid w:val="00CA2DD4"/>
    <w:rsid w:val="00CA3398"/>
    <w:rsid w:val="00CA40FA"/>
    <w:rsid w:val="00CA4C1F"/>
    <w:rsid w:val="00CA6926"/>
    <w:rsid w:val="00CA735C"/>
    <w:rsid w:val="00CB135D"/>
    <w:rsid w:val="00CB3AD5"/>
    <w:rsid w:val="00CB456C"/>
    <w:rsid w:val="00CB66B0"/>
    <w:rsid w:val="00CC613E"/>
    <w:rsid w:val="00CC6906"/>
    <w:rsid w:val="00CC7E2C"/>
    <w:rsid w:val="00CD57DC"/>
    <w:rsid w:val="00CD71EB"/>
    <w:rsid w:val="00CE24DA"/>
    <w:rsid w:val="00CF549E"/>
    <w:rsid w:val="00CF57D1"/>
    <w:rsid w:val="00D13143"/>
    <w:rsid w:val="00D13271"/>
    <w:rsid w:val="00D13D39"/>
    <w:rsid w:val="00D2301F"/>
    <w:rsid w:val="00D24EFD"/>
    <w:rsid w:val="00D2518B"/>
    <w:rsid w:val="00D3224C"/>
    <w:rsid w:val="00D32C60"/>
    <w:rsid w:val="00D32E4E"/>
    <w:rsid w:val="00D34804"/>
    <w:rsid w:val="00D34A32"/>
    <w:rsid w:val="00D35790"/>
    <w:rsid w:val="00D43F06"/>
    <w:rsid w:val="00D5385A"/>
    <w:rsid w:val="00D5532B"/>
    <w:rsid w:val="00D56765"/>
    <w:rsid w:val="00D56C76"/>
    <w:rsid w:val="00D57387"/>
    <w:rsid w:val="00D64908"/>
    <w:rsid w:val="00D71B6A"/>
    <w:rsid w:val="00D76DFC"/>
    <w:rsid w:val="00D850F9"/>
    <w:rsid w:val="00D86C1A"/>
    <w:rsid w:val="00D919E4"/>
    <w:rsid w:val="00DA0D39"/>
    <w:rsid w:val="00DB4A50"/>
    <w:rsid w:val="00DC2266"/>
    <w:rsid w:val="00DC3AC8"/>
    <w:rsid w:val="00DD1C67"/>
    <w:rsid w:val="00DD2EA8"/>
    <w:rsid w:val="00DE1510"/>
    <w:rsid w:val="00DE319D"/>
    <w:rsid w:val="00DE638E"/>
    <w:rsid w:val="00DF1975"/>
    <w:rsid w:val="00DF2758"/>
    <w:rsid w:val="00DF6CDC"/>
    <w:rsid w:val="00E04051"/>
    <w:rsid w:val="00E1519F"/>
    <w:rsid w:val="00E3044D"/>
    <w:rsid w:val="00E34D75"/>
    <w:rsid w:val="00E452E2"/>
    <w:rsid w:val="00E46AD6"/>
    <w:rsid w:val="00E47C1E"/>
    <w:rsid w:val="00E5073A"/>
    <w:rsid w:val="00E5492F"/>
    <w:rsid w:val="00E72926"/>
    <w:rsid w:val="00E75B83"/>
    <w:rsid w:val="00E833DA"/>
    <w:rsid w:val="00E83E52"/>
    <w:rsid w:val="00E910D0"/>
    <w:rsid w:val="00E935C6"/>
    <w:rsid w:val="00E94E71"/>
    <w:rsid w:val="00EA0780"/>
    <w:rsid w:val="00EA74D0"/>
    <w:rsid w:val="00EA7B6F"/>
    <w:rsid w:val="00EA7D6D"/>
    <w:rsid w:val="00EA7DB9"/>
    <w:rsid w:val="00EB0C79"/>
    <w:rsid w:val="00EC54C3"/>
    <w:rsid w:val="00EC76A0"/>
    <w:rsid w:val="00ED0E67"/>
    <w:rsid w:val="00ED11B9"/>
    <w:rsid w:val="00EE2795"/>
    <w:rsid w:val="00EE3880"/>
    <w:rsid w:val="00EE5E7F"/>
    <w:rsid w:val="00EF1133"/>
    <w:rsid w:val="00F126F3"/>
    <w:rsid w:val="00F146DC"/>
    <w:rsid w:val="00F17BF0"/>
    <w:rsid w:val="00F22BC9"/>
    <w:rsid w:val="00F23317"/>
    <w:rsid w:val="00F33BD8"/>
    <w:rsid w:val="00F354BE"/>
    <w:rsid w:val="00F406BB"/>
    <w:rsid w:val="00F4414D"/>
    <w:rsid w:val="00F4614D"/>
    <w:rsid w:val="00F530C3"/>
    <w:rsid w:val="00F550B4"/>
    <w:rsid w:val="00F675AA"/>
    <w:rsid w:val="00F754FD"/>
    <w:rsid w:val="00F76815"/>
    <w:rsid w:val="00F770E9"/>
    <w:rsid w:val="00F87841"/>
    <w:rsid w:val="00F90328"/>
    <w:rsid w:val="00FA4FD8"/>
    <w:rsid w:val="00FB4437"/>
    <w:rsid w:val="00FC0BF3"/>
    <w:rsid w:val="00FC2252"/>
    <w:rsid w:val="00FC445A"/>
    <w:rsid w:val="00FC67DA"/>
    <w:rsid w:val="00FD41F4"/>
    <w:rsid w:val="00FD7FEB"/>
    <w:rsid w:val="00FE036C"/>
    <w:rsid w:val="00FF1162"/>
    <w:rsid w:val="00FF5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2793DF"/>
  <w15:docId w15:val="{41230CEA-5E15-4D5E-AA25-7BD26655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table" w:styleId="TableGrid">
    <w:name w:val="Table Grid"/>
    <w:basedOn w:val="TableNormal"/>
    <w:rsid w:val="0027187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B354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B3543"/>
    <w:rPr>
      <w:rFonts w:ascii="Calibri" w:hAnsi="Calibri" w:cs="Times New Roman"/>
    </w:rPr>
  </w:style>
  <w:style w:type="paragraph" w:styleId="Revision">
    <w:name w:val="Revision"/>
    <w:hidden/>
    <w:uiPriority w:val="99"/>
    <w:semiHidden/>
    <w:rsid w:val="00231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259594">
      <w:bodyDiv w:val="1"/>
      <w:marLeft w:val="0"/>
      <w:marRight w:val="0"/>
      <w:marTop w:val="0"/>
      <w:marBottom w:val="0"/>
      <w:divBdr>
        <w:top w:val="none" w:sz="0" w:space="0" w:color="auto"/>
        <w:left w:val="none" w:sz="0" w:space="0" w:color="auto"/>
        <w:bottom w:val="none" w:sz="0" w:space="0" w:color="auto"/>
        <w:right w:val="none" w:sz="0" w:space="0" w:color="auto"/>
      </w:divBdr>
    </w:div>
    <w:div w:id="686449150">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046830772">
      <w:bodyDiv w:val="1"/>
      <w:marLeft w:val="0"/>
      <w:marRight w:val="0"/>
      <w:marTop w:val="0"/>
      <w:marBottom w:val="0"/>
      <w:divBdr>
        <w:top w:val="none" w:sz="0" w:space="0" w:color="auto"/>
        <w:left w:val="none" w:sz="0" w:space="0" w:color="auto"/>
        <w:bottom w:val="none" w:sz="0" w:space="0" w:color="auto"/>
        <w:right w:val="none" w:sz="0" w:space="0" w:color="auto"/>
      </w:divBdr>
      <w:divsChild>
        <w:div w:id="1573078486">
          <w:marLeft w:val="0"/>
          <w:marRight w:val="0"/>
          <w:marTop w:val="0"/>
          <w:marBottom w:val="0"/>
          <w:divBdr>
            <w:top w:val="none" w:sz="0" w:space="0" w:color="auto"/>
            <w:left w:val="none" w:sz="0" w:space="0" w:color="auto"/>
            <w:bottom w:val="none" w:sz="0" w:space="0" w:color="auto"/>
            <w:right w:val="none" w:sz="0" w:space="0" w:color="auto"/>
          </w:divBdr>
          <w:divsChild>
            <w:div w:id="79450747">
              <w:marLeft w:val="0"/>
              <w:marRight w:val="0"/>
              <w:marTop w:val="0"/>
              <w:marBottom w:val="0"/>
              <w:divBdr>
                <w:top w:val="none" w:sz="0" w:space="0" w:color="auto"/>
                <w:left w:val="none" w:sz="0" w:space="0" w:color="auto"/>
                <w:bottom w:val="none" w:sz="0" w:space="0" w:color="auto"/>
                <w:right w:val="none" w:sz="0" w:space="0" w:color="auto"/>
              </w:divBdr>
              <w:divsChild>
                <w:div w:id="1543597504">
                  <w:marLeft w:val="0"/>
                  <w:marRight w:val="0"/>
                  <w:marTop w:val="0"/>
                  <w:marBottom w:val="0"/>
                  <w:divBdr>
                    <w:top w:val="none" w:sz="0" w:space="0" w:color="auto"/>
                    <w:left w:val="none" w:sz="0" w:space="0" w:color="auto"/>
                    <w:bottom w:val="none" w:sz="0" w:space="0" w:color="auto"/>
                    <w:right w:val="none" w:sz="0" w:space="0" w:color="auto"/>
                  </w:divBdr>
                  <w:divsChild>
                    <w:div w:id="869536702">
                      <w:marLeft w:val="0"/>
                      <w:marRight w:val="0"/>
                      <w:marTop w:val="0"/>
                      <w:marBottom w:val="0"/>
                      <w:divBdr>
                        <w:top w:val="none" w:sz="0" w:space="0" w:color="auto"/>
                        <w:left w:val="none" w:sz="0" w:space="0" w:color="auto"/>
                        <w:bottom w:val="none" w:sz="0" w:space="0" w:color="auto"/>
                        <w:right w:val="none" w:sz="0" w:space="0" w:color="auto"/>
                      </w:divBdr>
                      <w:divsChild>
                        <w:div w:id="2086950002">
                          <w:marLeft w:val="0"/>
                          <w:marRight w:val="0"/>
                          <w:marTop w:val="0"/>
                          <w:marBottom w:val="0"/>
                          <w:divBdr>
                            <w:top w:val="none" w:sz="0" w:space="0" w:color="auto"/>
                            <w:left w:val="none" w:sz="0" w:space="0" w:color="auto"/>
                            <w:bottom w:val="none" w:sz="0" w:space="0" w:color="auto"/>
                            <w:right w:val="none" w:sz="0" w:space="0" w:color="auto"/>
                          </w:divBdr>
                          <w:divsChild>
                            <w:div w:id="788161760">
                              <w:marLeft w:val="0"/>
                              <w:marRight w:val="0"/>
                              <w:marTop w:val="0"/>
                              <w:marBottom w:val="0"/>
                              <w:divBdr>
                                <w:top w:val="none" w:sz="0" w:space="0" w:color="auto"/>
                                <w:left w:val="none" w:sz="0" w:space="0" w:color="auto"/>
                                <w:bottom w:val="none" w:sz="0" w:space="0" w:color="auto"/>
                                <w:right w:val="none" w:sz="0" w:space="0" w:color="auto"/>
                              </w:divBdr>
                              <w:divsChild>
                                <w:div w:id="738602529">
                                  <w:marLeft w:val="0"/>
                                  <w:marRight w:val="0"/>
                                  <w:marTop w:val="0"/>
                                  <w:marBottom w:val="0"/>
                                  <w:divBdr>
                                    <w:top w:val="none" w:sz="0" w:space="0" w:color="auto"/>
                                    <w:left w:val="none" w:sz="0" w:space="0" w:color="auto"/>
                                    <w:bottom w:val="none" w:sz="0" w:space="0" w:color="auto"/>
                                    <w:right w:val="none" w:sz="0" w:space="0" w:color="auto"/>
                                  </w:divBdr>
                                  <w:divsChild>
                                    <w:div w:id="1581598766">
                                      <w:marLeft w:val="0"/>
                                      <w:marRight w:val="0"/>
                                      <w:marTop w:val="0"/>
                                      <w:marBottom w:val="0"/>
                                      <w:divBdr>
                                        <w:top w:val="none" w:sz="0" w:space="0" w:color="auto"/>
                                        <w:left w:val="none" w:sz="0" w:space="0" w:color="auto"/>
                                        <w:bottom w:val="none" w:sz="0" w:space="0" w:color="auto"/>
                                        <w:right w:val="none" w:sz="0" w:space="0" w:color="auto"/>
                                      </w:divBdr>
                                      <w:divsChild>
                                        <w:div w:id="1676880845">
                                          <w:marLeft w:val="0"/>
                                          <w:marRight w:val="0"/>
                                          <w:marTop w:val="0"/>
                                          <w:marBottom w:val="0"/>
                                          <w:divBdr>
                                            <w:top w:val="none" w:sz="0" w:space="0" w:color="auto"/>
                                            <w:left w:val="none" w:sz="0" w:space="0" w:color="auto"/>
                                            <w:bottom w:val="none" w:sz="0" w:space="0" w:color="auto"/>
                                            <w:right w:val="none" w:sz="0" w:space="0" w:color="auto"/>
                                          </w:divBdr>
                                          <w:divsChild>
                                            <w:div w:id="163783498">
                                              <w:marLeft w:val="0"/>
                                              <w:marRight w:val="0"/>
                                              <w:marTop w:val="0"/>
                                              <w:marBottom w:val="0"/>
                                              <w:divBdr>
                                                <w:top w:val="none" w:sz="0" w:space="0" w:color="auto"/>
                                                <w:left w:val="none" w:sz="0" w:space="0" w:color="auto"/>
                                                <w:bottom w:val="none" w:sz="0" w:space="0" w:color="auto"/>
                                                <w:right w:val="none" w:sz="0" w:space="0" w:color="auto"/>
                                              </w:divBdr>
                                              <w:divsChild>
                                                <w:div w:id="269435869">
                                                  <w:marLeft w:val="0"/>
                                                  <w:marRight w:val="0"/>
                                                  <w:marTop w:val="0"/>
                                                  <w:marBottom w:val="0"/>
                                                  <w:divBdr>
                                                    <w:top w:val="none" w:sz="0" w:space="0" w:color="auto"/>
                                                    <w:left w:val="none" w:sz="0" w:space="0" w:color="auto"/>
                                                    <w:bottom w:val="none" w:sz="0" w:space="0" w:color="auto"/>
                                                    <w:right w:val="none" w:sz="0" w:space="0" w:color="auto"/>
                                                  </w:divBdr>
                                                  <w:divsChild>
                                                    <w:div w:id="1342317984">
                                                      <w:marLeft w:val="0"/>
                                                      <w:marRight w:val="0"/>
                                                      <w:marTop w:val="0"/>
                                                      <w:marBottom w:val="0"/>
                                                      <w:divBdr>
                                                        <w:top w:val="none" w:sz="0" w:space="0" w:color="auto"/>
                                                        <w:left w:val="none" w:sz="0" w:space="0" w:color="auto"/>
                                                        <w:bottom w:val="none" w:sz="0" w:space="0" w:color="auto"/>
                                                        <w:right w:val="none" w:sz="0" w:space="0" w:color="auto"/>
                                                      </w:divBdr>
                                                      <w:divsChild>
                                                        <w:div w:id="7210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865201">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C4EA81E3C95E44F9232BBF4F5E8A53A" ma:contentTypeVersion="" ma:contentTypeDescription="PDMS Document Site Content Type" ma:contentTypeScope="" ma:versionID="72942a9d4393a98652e05a5d95aea932">
  <xsd:schema xmlns:xsd="http://www.w3.org/2001/XMLSchema" xmlns:xs="http://www.w3.org/2001/XMLSchema" xmlns:p="http://schemas.microsoft.com/office/2006/metadata/properties" xmlns:ns2="7C09FD8D-DFF0-4E0F-BC2E-6916650EBF21" targetNamespace="http://schemas.microsoft.com/office/2006/metadata/properties" ma:root="true" ma:fieldsID="7a68c56191a995fdd8b87b6846f3c45c" ns2:_="">
    <xsd:import namespace="7C09FD8D-DFF0-4E0F-BC2E-6916650EBF2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9FD8D-DFF0-4E0F-BC2E-6916650EBF2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C09FD8D-DFF0-4E0F-BC2E-6916650EBF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58D5-7423-4D37-8947-82B25854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9FD8D-DFF0-4E0F-BC2E-6916650E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C0BB2-8B8E-4D7F-A1EB-011078CFB03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C09FD8D-DFF0-4E0F-BC2E-6916650EBF21"/>
    <ds:schemaRef ds:uri="http://www.w3.org/XML/1998/namespace"/>
  </ds:schemaRefs>
</ds:datastoreItem>
</file>

<file path=customXml/itemProps3.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4.xml><?xml version="1.0" encoding="utf-8"?>
<ds:datastoreItem xmlns:ds="http://schemas.openxmlformats.org/officeDocument/2006/customXml" ds:itemID="{11C5C35C-FE29-431F-8F4A-74EF694B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5086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Annette Vella</dc:creator>
  <cp:lastModifiedBy>Shipley, Nell</cp:lastModifiedBy>
  <cp:revision>2</cp:revision>
  <cp:lastPrinted>2018-08-06T01:08:00Z</cp:lastPrinted>
  <dcterms:created xsi:type="dcterms:W3CDTF">2018-09-05T01:28:00Z</dcterms:created>
  <dcterms:modified xsi:type="dcterms:W3CDTF">2018-09-05T01:28:00Z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0x010100266966F133664895A6EE3632470D45F5006C4EA81E3C95E44F9232BBF4F5E8A53A</vt:lpwstr>
  </property>
  <property fmtid="{D5CDD505-2E9C-101B-9397-08002B2CF9AE}" pid="3" name="_dlc_DocIdItemGuid">
    <vt:lpwstr>e97d7d38-85c9-4ad0-86d5-75718610b655</vt:lpwstr>
  </property>
  <property fmtid="{D5CDD505-2E9C-101B-9397-08002B2CF9AE}" pid="4" name="TitusGUID">
    <vt:lpwstr>50984348-f100-4ad5-be32-6cf2c8b7e623</vt:lpwstr>
  </property>
  <property fmtid="{D5CDD505-2E9C-101B-9397-08002B2CF9AE}" pid="5" name="SEC">
    <vt:lpwstr>UNCLASSIFIED</vt:lpwstr>
  </property>
  <property fmtid="{D5CDD505-2E9C-101B-9397-08002B2CF9AE}" pid="6" name="DLM">
    <vt:lpwstr>No DLM</vt:lpwstr>
  </property>
</Properties>
</file>