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48EF5" w14:textId="18B46705" w:rsidR="00F109D4" w:rsidRPr="003771ED" w:rsidRDefault="00F109D4" w:rsidP="003771ED">
      <w:pPr>
        <w:jc w:val="center"/>
        <w:rPr>
          <w:b/>
        </w:rPr>
      </w:pPr>
      <w:r w:rsidRPr="003771ED">
        <w:rPr>
          <w:b/>
        </w:rPr>
        <w:t>EXPLANATORY STATEMENT</w:t>
      </w:r>
    </w:p>
    <w:p w14:paraId="73B070ED" w14:textId="79200DC8" w:rsidR="003771ED" w:rsidRPr="006D6EDF" w:rsidRDefault="003771ED" w:rsidP="008C5A41">
      <w:pPr>
        <w:jc w:val="center"/>
      </w:pPr>
      <w:r w:rsidRPr="003771ED">
        <w:rPr>
          <w:i/>
        </w:rPr>
        <w:t>Federal Financial Relations (</w:t>
      </w:r>
      <w:r w:rsidR="00A33650">
        <w:rPr>
          <w:i/>
        </w:rPr>
        <w:t>General Purpose F</w:t>
      </w:r>
      <w:r w:rsidR="00326B4A" w:rsidRPr="00512B5A">
        <w:rPr>
          <w:i/>
        </w:rPr>
        <w:t xml:space="preserve">inancial </w:t>
      </w:r>
      <w:r w:rsidR="00A33650">
        <w:rPr>
          <w:i/>
        </w:rPr>
        <w:t>A</w:t>
      </w:r>
      <w:r w:rsidR="00326B4A">
        <w:rPr>
          <w:i/>
        </w:rPr>
        <w:t>ssistance</w:t>
      </w:r>
      <w:r w:rsidRPr="006D6EDF">
        <w:rPr>
          <w:i/>
        </w:rPr>
        <w:t>) Determination</w:t>
      </w:r>
      <w:r w:rsidR="008C5A41" w:rsidRPr="006D6EDF">
        <w:rPr>
          <w:i/>
        </w:rPr>
        <w:t xml:space="preserve"> No. </w:t>
      </w:r>
      <w:r w:rsidR="00CE7EB4">
        <w:rPr>
          <w:i/>
        </w:rPr>
        <w:t>114</w:t>
      </w:r>
      <w:r w:rsidR="00094B25" w:rsidRPr="006D6EDF">
        <w:rPr>
          <w:i/>
        </w:rPr>
        <w:t xml:space="preserve"> </w:t>
      </w:r>
      <w:r w:rsidR="008C5A41" w:rsidRPr="006D6EDF">
        <w:rPr>
          <w:i/>
        </w:rPr>
        <w:t>(</w:t>
      </w:r>
      <w:r w:rsidR="009A78ED">
        <w:rPr>
          <w:i/>
        </w:rPr>
        <w:t>August</w:t>
      </w:r>
      <w:r w:rsidR="00094B25">
        <w:rPr>
          <w:i/>
        </w:rPr>
        <w:t xml:space="preserve"> 2018</w:t>
      </w:r>
      <w:r w:rsidR="008C5A41" w:rsidRPr="006D6EDF">
        <w:rPr>
          <w:i/>
        </w:rPr>
        <w:t>)</w:t>
      </w:r>
      <w:r w:rsidR="008C5A41" w:rsidRPr="006D6EDF">
        <w:t xml:space="preserve">  </w:t>
      </w:r>
    </w:p>
    <w:p w14:paraId="49A5248F" w14:textId="5F785C9C" w:rsidR="003771ED" w:rsidRDefault="003771ED" w:rsidP="003771ED">
      <w:pPr>
        <w:pStyle w:val="Heading2"/>
      </w:pPr>
      <w:r>
        <w:t>Background</w:t>
      </w:r>
    </w:p>
    <w:p w14:paraId="22FA7D28" w14:textId="1471FAD5" w:rsidR="003E2254" w:rsidRPr="00306581" w:rsidRDefault="003E2254" w:rsidP="003771ED">
      <w:r>
        <w:t xml:space="preserve">The </w:t>
      </w:r>
      <w:r>
        <w:rPr>
          <w:i/>
        </w:rPr>
        <w:t>Intergovernmental Agreement on Federal Financial Relations</w:t>
      </w:r>
      <w:r w:rsidRPr="00306581">
        <w:t xml:space="preserve"> </w:t>
      </w:r>
      <w:r>
        <w:t xml:space="preserve">(the IGA) </w:t>
      </w:r>
      <w:r w:rsidRPr="00306581">
        <w:t>provides a foundation for collaboration on policy development and service delivery</w:t>
      </w:r>
      <w:r>
        <w:t xml:space="preserve"> between the Commonwealth and the States and Territories (the States). </w:t>
      </w:r>
    </w:p>
    <w:p w14:paraId="7BC98786" w14:textId="77777777" w:rsidR="00AE5BDD" w:rsidRPr="00CB6D90" w:rsidRDefault="00AE5BDD" w:rsidP="00AE5BDD">
      <w:pPr>
        <w:pStyle w:val="Heading2"/>
      </w:pPr>
      <w:bookmarkStart w:id="0" w:name="OLE_LINK9"/>
      <w:bookmarkStart w:id="1" w:name="OLE_LINK10"/>
      <w:r w:rsidRPr="00D33378">
        <w:t>Consultation</w:t>
      </w:r>
    </w:p>
    <w:p w14:paraId="7D61165D" w14:textId="0499EECF" w:rsidR="00AE5BDD" w:rsidRPr="00106A46" w:rsidRDefault="00AE5BDD" w:rsidP="00AE5BDD">
      <w:r w:rsidRPr="00E970EA">
        <w:t xml:space="preserve">The IGA was subject to extensive consultation with the States </w:t>
      </w:r>
      <w:r>
        <w:t xml:space="preserve">and </w:t>
      </w:r>
      <w:r w:rsidRPr="00E970EA">
        <w:t>was</w:t>
      </w:r>
      <w:r>
        <w:t xml:space="preserve"> agreed by the Council of Australian Governments on 29 November 2008</w:t>
      </w:r>
      <w:r w:rsidR="00F377E8">
        <w:t>.</w:t>
      </w:r>
      <w:r w:rsidRPr="00E970EA">
        <w:t xml:space="preserve"> The IGA </w:t>
      </w:r>
      <w:r>
        <w:t xml:space="preserve">and individual National Partnership agreements are </w:t>
      </w:r>
      <w:r w:rsidRPr="00E970EA">
        <w:t>publicly available on the Council for Federal Financial Relations</w:t>
      </w:r>
      <w:r w:rsidRPr="00CB6D90">
        <w:t xml:space="preserve"> </w:t>
      </w:r>
      <w:r w:rsidRPr="00E970EA">
        <w:t>website.</w:t>
      </w:r>
      <w:r>
        <w:t xml:space="preserve"> </w:t>
      </w:r>
    </w:p>
    <w:bookmarkEnd w:id="0"/>
    <w:bookmarkEnd w:id="1"/>
    <w:p w14:paraId="434FB500" w14:textId="77777777" w:rsidR="00326B4A" w:rsidRPr="00E40A11" w:rsidRDefault="00326B4A" w:rsidP="00326B4A">
      <w:pPr>
        <w:pStyle w:val="Heading2"/>
      </w:pPr>
      <w:r w:rsidRPr="00E40A11">
        <w:t xml:space="preserve">General purpose financial </w:t>
      </w:r>
      <w:r w:rsidRPr="0046172F">
        <w:t>assistance</w:t>
      </w:r>
    </w:p>
    <w:p w14:paraId="63DF97EA" w14:textId="1CD3CA2C" w:rsidR="00326B4A" w:rsidRDefault="00326B4A" w:rsidP="00326B4A">
      <w:r w:rsidRPr="00306581">
        <w:t>The</w:t>
      </w:r>
      <w:r>
        <w:t xml:space="preserve"> </w:t>
      </w:r>
      <w:r w:rsidR="00C430EC" w:rsidRPr="005034EB">
        <w:rPr>
          <w:i/>
        </w:rPr>
        <w:t>Federal Financial Relations Act 2009</w:t>
      </w:r>
      <w:r w:rsidR="00C430EC">
        <w:t xml:space="preserve"> (</w:t>
      </w:r>
      <w:r>
        <w:t>FFR Act</w:t>
      </w:r>
      <w:r w:rsidR="00C430EC">
        <w:t>)</w:t>
      </w:r>
      <w:r w:rsidRPr="00306581">
        <w:t xml:space="preserve"> provide</w:t>
      </w:r>
      <w:r>
        <w:t>s</w:t>
      </w:r>
      <w:r w:rsidRPr="00306581">
        <w:t xml:space="preserve"> for the Minister to </w:t>
      </w:r>
      <w:r w:rsidR="00C430EC">
        <w:t>credit an amount</w:t>
      </w:r>
      <w:r w:rsidRPr="00306581">
        <w:t xml:space="preserve"> to the COAG Reform Fund for the purpose of providing </w:t>
      </w:r>
      <w:r>
        <w:t>general purpose financial assistance</w:t>
      </w:r>
      <w:r w:rsidRPr="00306581">
        <w:t xml:space="preserve"> to the States.</w:t>
      </w:r>
      <w:r w:rsidR="00C430EC">
        <w:t xml:space="preserve"> Once the amount</w:t>
      </w:r>
      <w:r>
        <w:t xml:space="preserve"> </w:t>
      </w:r>
      <w:r w:rsidR="00C430EC">
        <w:t>is</w:t>
      </w:r>
      <w:r>
        <w:t xml:space="preserve"> credited to the COAG Reform Fund </w:t>
      </w:r>
      <w:r w:rsidR="00C430EC">
        <w:t>it is debited from the F</w:t>
      </w:r>
      <w:r>
        <w:t xml:space="preserve">und to make the grants to the States. </w:t>
      </w:r>
    </w:p>
    <w:p w14:paraId="13D3E0D3" w14:textId="0F93BD2B" w:rsidR="00326B4A" w:rsidRPr="00306581" w:rsidRDefault="00326B4A" w:rsidP="00326B4A">
      <w:r w:rsidRPr="00306581">
        <w:t>The</w:t>
      </w:r>
      <w:r>
        <w:rPr>
          <w:i/>
        </w:rPr>
        <w:t xml:space="preserve"> COAG Reform Fund Act </w:t>
      </w:r>
      <w:r w:rsidRPr="00306581">
        <w:rPr>
          <w:i/>
        </w:rPr>
        <w:t>2008</w:t>
      </w:r>
      <w:r w:rsidRPr="00463A37">
        <w:t xml:space="preserve"> </w:t>
      </w:r>
      <w:r w:rsidR="00463A37" w:rsidRPr="00463A37">
        <w:t>(COAG Act)</w:t>
      </w:r>
      <w:r w:rsidR="00463A37">
        <w:rPr>
          <w:i/>
        </w:rPr>
        <w:t xml:space="preserve"> </w:t>
      </w:r>
      <w:r w:rsidRPr="00306581">
        <w:t>establishe</w:t>
      </w:r>
      <w:r>
        <w:t>s</w:t>
      </w:r>
      <w:r w:rsidRPr="00306581">
        <w:t xml:space="preserve"> the COAG Reform Fund and specifies that it is a </w:t>
      </w:r>
      <w:r>
        <w:t>s</w:t>
      </w:r>
      <w:r w:rsidRPr="00306581">
        <w:t xml:space="preserve">pecial </w:t>
      </w:r>
      <w:r>
        <w:t>a</w:t>
      </w:r>
      <w:r w:rsidRPr="00306581">
        <w:t xml:space="preserve">ccount for the purposes of the </w:t>
      </w:r>
      <w:r w:rsidRPr="001008EF">
        <w:rPr>
          <w:i/>
        </w:rPr>
        <w:t>Public Governance, Performance and Accountability Act 2013</w:t>
      </w:r>
      <w:r w:rsidRPr="00306581">
        <w:t>.</w:t>
      </w:r>
    </w:p>
    <w:p w14:paraId="4264B8F2" w14:textId="77777777" w:rsidR="00326B4A" w:rsidRDefault="00326B4A" w:rsidP="00326B4A">
      <w:bookmarkStart w:id="2" w:name="OLE_LINK17"/>
      <w:bookmarkStart w:id="3" w:name="OLE_LINK5"/>
      <w:bookmarkStart w:id="4" w:name="OLE_LINK6"/>
      <w:r w:rsidRPr="00306581">
        <w:t xml:space="preserve">The </w:t>
      </w:r>
      <w:r>
        <w:t xml:space="preserve">Treasurer’s </w:t>
      </w:r>
      <w:r w:rsidRPr="00306581">
        <w:t xml:space="preserve">determinations </w:t>
      </w:r>
      <w:r>
        <w:t>in respect of general purpose financial assistance</w:t>
      </w:r>
      <w:r w:rsidRPr="00306581">
        <w:t xml:space="preserve"> are legislative instruments and </w:t>
      </w:r>
      <w:r>
        <w:t xml:space="preserve">are </w:t>
      </w:r>
      <w:r w:rsidRPr="00306581">
        <w:t xml:space="preserve">registered on the Federal Register of </w:t>
      </w:r>
      <w:bookmarkEnd w:id="2"/>
      <w:r>
        <w:t>Legislation</w:t>
      </w:r>
      <w:r w:rsidRPr="00306581">
        <w:t xml:space="preserve">, but </w:t>
      </w:r>
      <w:r>
        <w:t xml:space="preserve">are </w:t>
      </w:r>
      <w:r w:rsidRPr="00306581">
        <w:t>not disallowable.</w:t>
      </w:r>
      <w:r>
        <w:t xml:space="preserve"> </w:t>
      </w:r>
      <w:bookmarkEnd w:id="3"/>
      <w:bookmarkEnd w:id="4"/>
      <w:r w:rsidRPr="00306581">
        <w:t xml:space="preserve">The </w:t>
      </w:r>
      <w:r>
        <w:t xml:space="preserve">Commonwealth </w:t>
      </w:r>
      <w:r w:rsidRPr="00306581">
        <w:t xml:space="preserve">has an obligation under the </w:t>
      </w:r>
      <w:r>
        <w:t>IGA</w:t>
      </w:r>
      <w:r w:rsidRPr="00306581">
        <w:t xml:space="preserve"> to make </w:t>
      </w:r>
      <w:r>
        <w:t>payments of general purpose financial assistance</w:t>
      </w:r>
      <w:r w:rsidRPr="00DA0A28">
        <w:t xml:space="preserve"> </w:t>
      </w:r>
      <w:r w:rsidRPr="00306581">
        <w:t>in a prescribed manner.</w:t>
      </w:r>
      <w:r>
        <w:t xml:space="preserve"> </w:t>
      </w:r>
      <w:r w:rsidRPr="00306581">
        <w:t xml:space="preserve">Exemption from the disallowance provisions of the </w:t>
      </w:r>
      <w:r w:rsidRPr="00306581">
        <w:rPr>
          <w:i/>
        </w:rPr>
        <w:t>Legislati</w:t>
      </w:r>
      <w:r>
        <w:rPr>
          <w:i/>
        </w:rPr>
        <w:t xml:space="preserve">on </w:t>
      </w:r>
      <w:r w:rsidRPr="00306581">
        <w:rPr>
          <w:i/>
        </w:rPr>
        <w:t>Act 2003</w:t>
      </w:r>
      <w:r>
        <w:rPr>
          <w:i/>
        </w:rPr>
        <w:t xml:space="preserve"> </w:t>
      </w:r>
      <w:r>
        <w:t>allows</w:t>
      </w:r>
      <w:r w:rsidRPr="00306581">
        <w:t xml:space="preserve"> the </w:t>
      </w:r>
      <w:r>
        <w:t>Treasurer</w:t>
      </w:r>
      <w:r w:rsidRPr="00306581">
        <w:t xml:space="preserve"> to </w:t>
      </w:r>
      <w:r>
        <w:t xml:space="preserve">ensure that this </w:t>
      </w:r>
      <w:r w:rsidRPr="00306581">
        <w:t>obligation</w:t>
      </w:r>
      <w:r>
        <w:t xml:space="preserve"> is met</w:t>
      </w:r>
      <w:r w:rsidRPr="00306581">
        <w:t xml:space="preserve">.  </w:t>
      </w:r>
    </w:p>
    <w:p w14:paraId="491D9E3C" w14:textId="121F1CAA" w:rsidR="00B3252B" w:rsidRPr="00306581" w:rsidRDefault="00B3252B" w:rsidP="00326B4A">
      <w:r>
        <w:t>Payments of general purpose financial assistance are generally made on the 21</w:t>
      </w:r>
      <w:r w:rsidRPr="00B3252B">
        <w:rPr>
          <w:vertAlign w:val="superscript"/>
        </w:rPr>
        <w:t>st</w:t>
      </w:r>
      <w:r>
        <w:t xml:space="preserve"> of each month, or the next business day thereafter. Extraordinary payments can be made if necessary. </w:t>
      </w:r>
      <w:bookmarkStart w:id="5" w:name="_GoBack"/>
      <w:bookmarkEnd w:id="5"/>
    </w:p>
    <w:p w14:paraId="36683204" w14:textId="09D5C13B" w:rsidR="00AE5BDD" w:rsidRDefault="00AE5BDD" w:rsidP="00AE5BDD">
      <w:pPr>
        <w:pStyle w:val="Heading2"/>
      </w:pPr>
      <w:r>
        <w:t>Payment conditions</w:t>
      </w:r>
    </w:p>
    <w:p w14:paraId="5FAF4476" w14:textId="0D95C8B0" w:rsidR="00AE5BDD" w:rsidRDefault="00AE5BDD" w:rsidP="00AE5BDD">
      <w:pPr>
        <w:pStyle w:val="NumberedParagraph"/>
        <w:numPr>
          <w:ilvl w:val="0"/>
          <w:numId w:val="0"/>
        </w:numPr>
      </w:pPr>
      <w:r>
        <w:t>Subsection 7(2) of the</w:t>
      </w:r>
      <w:r>
        <w:rPr>
          <w:i/>
        </w:rPr>
        <w:t xml:space="preserve"> </w:t>
      </w:r>
      <w:r>
        <w:t>COAG Act requires that the terms and conditions on which financial assistance is granted through the COAG Reform Fund are to be set out in a written agreement between the Commonwealth and the State</w:t>
      </w:r>
      <w:r w:rsidR="007F4597">
        <w:t>s</w:t>
      </w:r>
      <w:r>
        <w:t>.</w:t>
      </w:r>
      <w:r w:rsidR="004E5CCB">
        <w:t xml:space="preserve"> The terms and conditions for general purpose financial assistance are set out in Schedule D to the IGA.</w:t>
      </w:r>
    </w:p>
    <w:p w14:paraId="76A48BA8" w14:textId="79EFB918" w:rsidR="00AE5BDD" w:rsidRPr="00AE5BDD" w:rsidRDefault="00AE5BDD" w:rsidP="00AE5BDD">
      <w:pPr>
        <w:pStyle w:val="Heading4"/>
        <w:rPr>
          <w:snapToGrid w:val="0"/>
          <w:lang w:eastAsia="en-US"/>
        </w:rPr>
      </w:pPr>
      <w:r w:rsidRPr="00AE5BDD">
        <w:rPr>
          <w:snapToGrid w:val="0"/>
          <w:lang w:eastAsia="en-US"/>
        </w:rPr>
        <w:t>Debit limits</w:t>
      </w:r>
    </w:p>
    <w:p w14:paraId="218EA69E" w14:textId="4D362A58" w:rsidR="00AE5BDD" w:rsidRDefault="00597BB5" w:rsidP="00AE5BDD">
      <w:pPr>
        <w:pStyle w:val="NumberedParagraph"/>
        <w:numPr>
          <w:ilvl w:val="0"/>
          <w:numId w:val="0"/>
        </w:numPr>
      </w:pPr>
      <w:r w:rsidRPr="00597BB5">
        <w:t xml:space="preserve">Under subsection 9(3) of the </w:t>
      </w:r>
      <w:r w:rsidR="00463A37" w:rsidRPr="00463A37">
        <w:rPr>
          <w:i/>
        </w:rPr>
        <w:t xml:space="preserve">Federal Financial Relations </w:t>
      </w:r>
      <w:r w:rsidRPr="00463A37">
        <w:rPr>
          <w:i/>
        </w:rPr>
        <w:t>Act</w:t>
      </w:r>
      <w:r w:rsidR="00463A37" w:rsidRPr="00463A37">
        <w:rPr>
          <w:i/>
        </w:rPr>
        <w:t xml:space="preserve"> 2009</w:t>
      </w:r>
      <w:r w:rsidRPr="00597BB5">
        <w:t xml:space="preserve">, the total amount credited to the COAG Reform Fund for the purpose of making a grant of general purpose financial assistance in the financial year starting on </w:t>
      </w:r>
      <w:r w:rsidR="00A03BD7">
        <w:t xml:space="preserve">1 July </w:t>
      </w:r>
      <w:r w:rsidR="008148A9">
        <w:t>2018</w:t>
      </w:r>
      <w:r w:rsidRPr="00597BB5">
        <w:t xml:space="preserve"> must not exceed $5,000,000,000.00.</w:t>
      </w:r>
    </w:p>
    <w:p w14:paraId="789AB52A" w14:textId="4F902407" w:rsidR="00AE5BDD" w:rsidRDefault="00AE5BDD" w:rsidP="00AE5BDD">
      <w:pPr>
        <w:pStyle w:val="NumberedParagraph"/>
        <w:numPr>
          <w:ilvl w:val="0"/>
          <w:numId w:val="0"/>
        </w:numPr>
      </w:pPr>
      <w:r>
        <w:t xml:space="preserve">The amounts specified in Table 1 are the total amounts determined in the </w:t>
      </w:r>
      <w:r w:rsidR="00AA796F">
        <w:t>2018-19</w:t>
      </w:r>
      <w:r>
        <w:t xml:space="preserve"> financial year in respect of</w:t>
      </w:r>
      <w:r w:rsidR="00597BB5">
        <w:t xml:space="preserve"> </w:t>
      </w:r>
      <w:r w:rsidR="00597BB5" w:rsidRPr="00597BB5">
        <w:t>general purpose financial assistance</w:t>
      </w:r>
      <w:r>
        <w:t>, including this determination.</w:t>
      </w:r>
    </w:p>
    <w:p w14:paraId="03698821" w14:textId="0141865B" w:rsidR="00AE5BDD" w:rsidRPr="001622C4" w:rsidRDefault="00AE5BDD" w:rsidP="00AE5BDD">
      <w:pPr>
        <w:pStyle w:val="NumberedParagraph"/>
        <w:numPr>
          <w:ilvl w:val="0"/>
          <w:numId w:val="0"/>
        </w:numPr>
      </w:pPr>
      <w:r w:rsidRPr="001622C4">
        <w:lastRenderedPageBreak/>
        <w:t xml:space="preserve">The total amount determined for </w:t>
      </w:r>
      <w:r w:rsidR="00597BB5" w:rsidRPr="009D7901">
        <w:t>general purpose financial assistance</w:t>
      </w:r>
      <w:r w:rsidR="00597BB5" w:rsidRPr="001622C4">
        <w:t xml:space="preserve"> </w:t>
      </w:r>
      <w:r w:rsidRPr="001622C4">
        <w:t xml:space="preserve">payments to date in the </w:t>
      </w:r>
      <w:r w:rsidR="00AA796F">
        <w:t>2018-19</w:t>
      </w:r>
      <w:r>
        <w:t xml:space="preserve"> </w:t>
      </w:r>
      <w:r w:rsidRPr="001622C4">
        <w:t xml:space="preserve">financial year does not exceed the </w:t>
      </w:r>
      <w:r w:rsidRPr="008D31A7">
        <w:t>debit limit</w:t>
      </w:r>
      <w:r w:rsidRPr="001622C4">
        <w:t>.</w:t>
      </w:r>
    </w:p>
    <w:p w14:paraId="429DF991" w14:textId="63BA2811" w:rsidR="00AE5BDD" w:rsidRDefault="00AE5BDD" w:rsidP="00354CA9">
      <w:pPr>
        <w:rPr>
          <w:i/>
          <w:snapToGrid w:val="0"/>
          <w:lang w:eastAsia="en-US"/>
        </w:rPr>
      </w:pPr>
      <w:r w:rsidRPr="00BA3C43">
        <w:rPr>
          <w:i/>
          <w:snapToGrid w:val="0"/>
          <w:lang w:eastAsia="en-US"/>
        </w:rPr>
        <w:t xml:space="preserve">Table 1: Total cumulative </w:t>
      </w:r>
      <w:r w:rsidR="00BA3C43" w:rsidRPr="00BA3C43">
        <w:rPr>
          <w:i/>
          <w:snapToGrid w:val="0"/>
          <w:lang w:eastAsia="en-US"/>
        </w:rPr>
        <w:t xml:space="preserve">general purpose financial assistance </w:t>
      </w:r>
      <w:r w:rsidRPr="00BA3C43">
        <w:rPr>
          <w:i/>
          <w:snapToGrid w:val="0"/>
          <w:lang w:eastAsia="en-US"/>
        </w:rPr>
        <w:t xml:space="preserve">payments in </w:t>
      </w:r>
      <w:r w:rsidR="00AA796F">
        <w:rPr>
          <w:i/>
          <w:snapToGrid w:val="0"/>
          <w:lang w:eastAsia="en-US"/>
        </w:rPr>
        <w:t>2018-19</w:t>
      </w:r>
      <w:r w:rsidRPr="00BA3C43">
        <w:rPr>
          <w:i/>
          <w:snapToGrid w:val="0"/>
          <w:lang w:eastAsia="en-US"/>
        </w:rPr>
        <w:t xml:space="preserve"> </w:t>
      </w:r>
    </w:p>
    <w:tbl>
      <w:tblPr>
        <w:tblW w:w="9707" w:type="dxa"/>
        <w:tblInd w:w="108" w:type="dxa"/>
        <w:tblLook w:val="04A0" w:firstRow="1" w:lastRow="0" w:firstColumn="1" w:lastColumn="0" w:noHBand="0" w:noVBand="1"/>
      </w:tblPr>
      <w:tblGrid>
        <w:gridCol w:w="1676"/>
        <w:gridCol w:w="296"/>
        <w:gridCol w:w="1856"/>
        <w:gridCol w:w="271"/>
        <w:gridCol w:w="296"/>
        <w:gridCol w:w="5312"/>
      </w:tblGrid>
      <w:tr w:rsidR="00C51A87" w:rsidRPr="001559CC" w14:paraId="5789423E" w14:textId="77777777" w:rsidTr="00412C04">
        <w:trPr>
          <w:trHeight w:val="402"/>
        </w:trPr>
        <w:tc>
          <w:tcPr>
            <w:tcW w:w="1676" w:type="dxa"/>
            <w:tcBorders>
              <w:top w:val="single" w:sz="4" w:space="0" w:color="auto"/>
              <w:left w:val="nil"/>
              <w:bottom w:val="single" w:sz="4" w:space="0" w:color="auto"/>
              <w:right w:val="nil"/>
            </w:tcBorders>
            <w:shd w:val="clear" w:color="auto" w:fill="auto"/>
            <w:noWrap/>
            <w:vAlign w:val="center"/>
            <w:hideMark/>
          </w:tcPr>
          <w:p w14:paraId="5278DF8B" w14:textId="77777777" w:rsidR="00C51A87" w:rsidRPr="00412C04" w:rsidRDefault="00C51A87" w:rsidP="00C51A87">
            <w:pPr>
              <w:spacing w:after="0"/>
              <w:rPr>
                <w:b/>
                <w:bCs/>
                <w:color w:val="000000"/>
                <w:sz w:val="22"/>
                <w:szCs w:val="22"/>
              </w:rPr>
            </w:pPr>
            <w:r w:rsidRPr="00412C04">
              <w:rPr>
                <w:b/>
                <w:bCs/>
                <w:color w:val="000000"/>
                <w:sz w:val="22"/>
                <w:szCs w:val="22"/>
              </w:rPr>
              <w:t>State</w:t>
            </w:r>
          </w:p>
        </w:tc>
        <w:tc>
          <w:tcPr>
            <w:tcW w:w="296" w:type="dxa"/>
            <w:tcBorders>
              <w:top w:val="single" w:sz="4" w:space="0" w:color="auto"/>
              <w:left w:val="nil"/>
              <w:bottom w:val="single" w:sz="4" w:space="0" w:color="auto"/>
              <w:right w:val="nil"/>
            </w:tcBorders>
            <w:shd w:val="clear" w:color="auto" w:fill="auto"/>
            <w:noWrap/>
            <w:vAlign w:val="center"/>
            <w:hideMark/>
          </w:tcPr>
          <w:p w14:paraId="0224C07A" w14:textId="77777777" w:rsidR="00C51A87" w:rsidRPr="00412C04" w:rsidRDefault="00C51A87" w:rsidP="00C51A87">
            <w:pPr>
              <w:spacing w:after="0"/>
              <w:rPr>
                <w:b/>
                <w:bCs/>
                <w:color w:val="000000"/>
                <w:sz w:val="22"/>
                <w:szCs w:val="22"/>
              </w:rPr>
            </w:pPr>
            <w:r w:rsidRPr="00412C04">
              <w:rPr>
                <w:b/>
                <w:bCs/>
                <w:color w:val="000000"/>
                <w:sz w:val="22"/>
                <w:szCs w:val="22"/>
              </w:rPr>
              <w:t> </w:t>
            </w:r>
          </w:p>
        </w:tc>
        <w:tc>
          <w:tcPr>
            <w:tcW w:w="1856" w:type="dxa"/>
            <w:tcBorders>
              <w:top w:val="single" w:sz="4" w:space="0" w:color="auto"/>
              <w:left w:val="nil"/>
              <w:bottom w:val="single" w:sz="4" w:space="0" w:color="auto"/>
              <w:right w:val="nil"/>
            </w:tcBorders>
            <w:shd w:val="clear" w:color="auto" w:fill="auto"/>
            <w:noWrap/>
            <w:vAlign w:val="center"/>
            <w:hideMark/>
          </w:tcPr>
          <w:p w14:paraId="56F8A7CA" w14:textId="77777777" w:rsidR="00C51A87" w:rsidRPr="00412C04" w:rsidRDefault="00C51A87" w:rsidP="00C51A87">
            <w:pPr>
              <w:spacing w:after="0"/>
              <w:rPr>
                <w:b/>
                <w:bCs/>
                <w:color w:val="000000"/>
                <w:sz w:val="22"/>
                <w:szCs w:val="22"/>
              </w:rPr>
            </w:pPr>
            <w:r w:rsidRPr="00412C04">
              <w:rPr>
                <w:b/>
                <w:bCs/>
                <w:color w:val="000000"/>
                <w:sz w:val="22"/>
                <w:szCs w:val="22"/>
              </w:rPr>
              <w:t> </w:t>
            </w:r>
          </w:p>
        </w:tc>
        <w:tc>
          <w:tcPr>
            <w:tcW w:w="5879" w:type="dxa"/>
            <w:gridSpan w:val="3"/>
            <w:tcBorders>
              <w:top w:val="single" w:sz="4" w:space="0" w:color="auto"/>
              <w:left w:val="nil"/>
              <w:bottom w:val="single" w:sz="4" w:space="0" w:color="auto"/>
              <w:right w:val="nil"/>
            </w:tcBorders>
            <w:shd w:val="clear" w:color="auto" w:fill="auto"/>
            <w:noWrap/>
            <w:vAlign w:val="center"/>
            <w:hideMark/>
          </w:tcPr>
          <w:p w14:paraId="1C49D551" w14:textId="77777777" w:rsidR="00C51A87" w:rsidRPr="00412C04" w:rsidRDefault="00C51A87" w:rsidP="00C51A87">
            <w:pPr>
              <w:spacing w:after="0"/>
              <w:jc w:val="right"/>
              <w:rPr>
                <w:b/>
                <w:bCs/>
                <w:color w:val="000000"/>
                <w:sz w:val="22"/>
                <w:szCs w:val="22"/>
              </w:rPr>
            </w:pPr>
            <w:r w:rsidRPr="00412C04">
              <w:rPr>
                <w:b/>
                <w:bCs/>
                <w:color w:val="000000"/>
                <w:sz w:val="22"/>
                <w:szCs w:val="22"/>
              </w:rPr>
              <w:t>Amount of General purpose financial assistance</w:t>
            </w:r>
          </w:p>
        </w:tc>
      </w:tr>
      <w:tr w:rsidR="00C51A87" w:rsidRPr="001559CC" w14:paraId="77ECFC35" w14:textId="77777777" w:rsidTr="00412C04">
        <w:trPr>
          <w:trHeight w:val="402"/>
        </w:trPr>
        <w:tc>
          <w:tcPr>
            <w:tcW w:w="4099" w:type="dxa"/>
            <w:gridSpan w:val="4"/>
            <w:tcBorders>
              <w:top w:val="single" w:sz="4" w:space="0" w:color="auto"/>
              <w:left w:val="nil"/>
              <w:bottom w:val="nil"/>
              <w:right w:val="nil"/>
            </w:tcBorders>
            <w:shd w:val="clear" w:color="auto" w:fill="auto"/>
            <w:noWrap/>
            <w:vAlign w:val="center"/>
            <w:hideMark/>
          </w:tcPr>
          <w:p w14:paraId="47BF18BE" w14:textId="77777777" w:rsidR="00C51A87" w:rsidRPr="00412C04" w:rsidRDefault="00C51A87" w:rsidP="00C51A87">
            <w:pPr>
              <w:spacing w:after="0"/>
              <w:rPr>
                <w:color w:val="000000"/>
                <w:sz w:val="22"/>
                <w:szCs w:val="22"/>
              </w:rPr>
            </w:pPr>
            <w:r w:rsidRPr="00412C04">
              <w:rPr>
                <w:color w:val="000000"/>
                <w:sz w:val="22"/>
                <w:szCs w:val="22"/>
              </w:rPr>
              <w:t>New South Wales</w:t>
            </w:r>
          </w:p>
        </w:tc>
        <w:tc>
          <w:tcPr>
            <w:tcW w:w="296" w:type="dxa"/>
            <w:tcBorders>
              <w:top w:val="nil"/>
              <w:left w:val="nil"/>
              <w:bottom w:val="nil"/>
              <w:right w:val="nil"/>
            </w:tcBorders>
            <w:shd w:val="clear" w:color="auto" w:fill="auto"/>
            <w:noWrap/>
            <w:vAlign w:val="center"/>
            <w:hideMark/>
          </w:tcPr>
          <w:p w14:paraId="09251129" w14:textId="77777777" w:rsidR="00C51A87" w:rsidRPr="00412C04" w:rsidRDefault="00C51A87" w:rsidP="00C51A87">
            <w:pPr>
              <w:spacing w:after="0"/>
              <w:rPr>
                <w:color w:val="000000"/>
                <w:sz w:val="22"/>
                <w:szCs w:val="22"/>
              </w:rPr>
            </w:pPr>
          </w:p>
        </w:tc>
        <w:tc>
          <w:tcPr>
            <w:tcW w:w="5312" w:type="dxa"/>
            <w:tcBorders>
              <w:top w:val="nil"/>
              <w:left w:val="nil"/>
              <w:bottom w:val="nil"/>
              <w:right w:val="nil"/>
            </w:tcBorders>
            <w:shd w:val="clear" w:color="auto" w:fill="auto"/>
            <w:noWrap/>
            <w:vAlign w:val="center"/>
            <w:hideMark/>
          </w:tcPr>
          <w:p w14:paraId="6E100717" w14:textId="77777777" w:rsidR="00C51A87" w:rsidRPr="00412C04" w:rsidRDefault="00C51A87" w:rsidP="00C51A87">
            <w:pPr>
              <w:spacing w:after="0"/>
              <w:ind w:firstLineChars="200" w:firstLine="440"/>
              <w:jc w:val="right"/>
              <w:rPr>
                <w:color w:val="000000"/>
                <w:sz w:val="22"/>
                <w:szCs w:val="22"/>
              </w:rPr>
            </w:pPr>
            <w:r w:rsidRPr="00412C04">
              <w:rPr>
                <w:color w:val="000000"/>
                <w:sz w:val="22"/>
                <w:szCs w:val="22"/>
              </w:rPr>
              <w:t>-</w:t>
            </w:r>
          </w:p>
        </w:tc>
      </w:tr>
      <w:tr w:rsidR="00C51A87" w:rsidRPr="001559CC" w14:paraId="3E776EE5" w14:textId="77777777" w:rsidTr="00412C04">
        <w:trPr>
          <w:trHeight w:val="402"/>
        </w:trPr>
        <w:tc>
          <w:tcPr>
            <w:tcW w:w="4099" w:type="dxa"/>
            <w:gridSpan w:val="4"/>
            <w:tcBorders>
              <w:top w:val="nil"/>
              <w:left w:val="nil"/>
              <w:bottom w:val="nil"/>
              <w:right w:val="nil"/>
            </w:tcBorders>
            <w:shd w:val="clear" w:color="auto" w:fill="auto"/>
            <w:noWrap/>
            <w:vAlign w:val="center"/>
            <w:hideMark/>
          </w:tcPr>
          <w:p w14:paraId="59946B06" w14:textId="77777777" w:rsidR="00C51A87" w:rsidRPr="00412C04" w:rsidRDefault="00C51A87" w:rsidP="00C51A87">
            <w:pPr>
              <w:spacing w:after="0"/>
              <w:rPr>
                <w:color w:val="000000"/>
                <w:sz w:val="22"/>
                <w:szCs w:val="22"/>
              </w:rPr>
            </w:pPr>
            <w:r w:rsidRPr="00412C04">
              <w:rPr>
                <w:color w:val="000000"/>
                <w:sz w:val="22"/>
                <w:szCs w:val="22"/>
              </w:rPr>
              <w:t>Victoria</w:t>
            </w:r>
          </w:p>
        </w:tc>
        <w:tc>
          <w:tcPr>
            <w:tcW w:w="296" w:type="dxa"/>
            <w:tcBorders>
              <w:top w:val="nil"/>
              <w:left w:val="nil"/>
              <w:bottom w:val="nil"/>
              <w:right w:val="nil"/>
            </w:tcBorders>
            <w:shd w:val="clear" w:color="auto" w:fill="auto"/>
            <w:noWrap/>
            <w:vAlign w:val="center"/>
            <w:hideMark/>
          </w:tcPr>
          <w:p w14:paraId="2DDAA311" w14:textId="77777777" w:rsidR="00C51A87" w:rsidRPr="00412C04" w:rsidRDefault="00C51A87" w:rsidP="00C51A87">
            <w:pPr>
              <w:spacing w:after="0"/>
              <w:rPr>
                <w:color w:val="000000"/>
                <w:sz w:val="22"/>
                <w:szCs w:val="22"/>
              </w:rPr>
            </w:pPr>
          </w:p>
        </w:tc>
        <w:tc>
          <w:tcPr>
            <w:tcW w:w="5312" w:type="dxa"/>
            <w:tcBorders>
              <w:top w:val="nil"/>
              <w:left w:val="nil"/>
              <w:bottom w:val="nil"/>
              <w:right w:val="nil"/>
            </w:tcBorders>
            <w:shd w:val="clear" w:color="auto" w:fill="auto"/>
            <w:noWrap/>
            <w:vAlign w:val="center"/>
            <w:hideMark/>
          </w:tcPr>
          <w:p w14:paraId="37AE8D81" w14:textId="77777777" w:rsidR="00C51A87" w:rsidRPr="00412C04" w:rsidRDefault="00C51A87" w:rsidP="00C51A87">
            <w:pPr>
              <w:spacing w:after="0"/>
              <w:ind w:firstLineChars="200" w:firstLine="440"/>
              <w:jc w:val="right"/>
              <w:rPr>
                <w:color w:val="000000"/>
                <w:sz w:val="22"/>
                <w:szCs w:val="22"/>
              </w:rPr>
            </w:pPr>
            <w:r w:rsidRPr="00412C04">
              <w:rPr>
                <w:color w:val="000000"/>
                <w:sz w:val="22"/>
                <w:szCs w:val="22"/>
              </w:rPr>
              <w:t>-</w:t>
            </w:r>
          </w:p>
        </w:tc>
      </w:tr>
      <w:tr w:rsidR="00C51A87" w:rsidRPr="001559CC" w14:paraId="575A2813" w14:textId="77777777" w:rsidTr="00412C04">
        <w:trPr>
          <w:trHeight w:val="402"/>
        </w:trPr>
        <w:tc>
          <w:tcPr>
            <w:tcW w:w="4099" w:type="dxa"/>
            <w:gridSpan w:val="4"/>
            <w:tcBorders>
              <w:top w:val="nil"/>
              <w:left w:val="nil"/>
              <w:bottom w:val="nil"/>
              <w:right w:val="nil"/>
            </w:tcBorders>
            <w:shd w:val="clear" w:color="auto" w:fill="auto"/>
            <w:noWrap/>
            <w:vAlign w:val="center"/>
            <w:hideMark/>
          </w:tcPr>
          <w:p w14:paraId="06E629A7" w14:textId="77777777" w:rsidR="00C51A87" w:rsidRPr="00412C04" w:rsidRDefault="00C51A87" w:rsidP="00C51A87">
            <w:pPr>
              <w:spacing w:after="0"/>
              <w:rPr>
                <w:color w:val="000000"/>
                <w:sz w:val="22"/>
                <w:szCs w:val="22"/>
              </w:rPr>
            </w:pPr>
            <w:r w:rsidRPr="00412C04">
              <w:rPr>
                <w:color w:val="000000"/>
                <w:sz w:val="22"/>
                <w:szCs w:val="22"/>
              </w:rPr>
              <w:t>Queensland</w:t>
            </w:r>
          </w:p>
        </w:tc>
        <w:tc>
          <w:tcPr>
            <w:tcW w:w="296" w:type="dxa"/>
            <w:tcBorders>
              <w:top w:val="nil"/>
              <w:left w:val="nil"/>
              <w:bottom w:val="nil"/>
              <w:right w:val="nil"/>
            </w:tcBorders>
            <w:shd w:val="clear" w:color="auto" w:fill="auto"/>
            <w:noWrap/>
            <w:vAlign w:val="center"/>
            <w:hideMark/>
          </w:tcPr>
          <w:p w14:paraId="46D892B5" w14:textId="77777777" w:rsidR="00C51A87" w:rsidRPr="00412C04" w:rsidRDefault="00C51A87" w:rsidP="00C51A87">
            <w:pPr>
              <w:spacing w:after="0"/>
              <w:rPr>
                <w:color w:val="000000"/>
                <w:sz w:val="22"/>
                <w:szCs w:val="22"/>
              </w:rPr>
            </w:pPr>
          </w:p>
        </w:tc>
        <w:tc>
          <w:tcPr>
            <w:tcW w:w="5312" w:type="dxa"/>
            <w:tcBorders>
              <w:top w:val="nil"/>
              <w:left w:val="nil"/>
              <w:bottom w:val="nil"/>
              <w:right w:val="nil"/>
            </w:tcBorders>
            <w:shd w:val="clear" w:color="auto" w:fill="auto"/>
            <w:noWrap/>
            <w:vAlign w:val="center"/>
            <w:hideMark/>
          </w:tcPr>
          <w:p w14:paraId="7D80F594" w14:textId="77777777" w:rsidR="00C51A87" w:rsidRPr="00412C04" w:rsidRDefault="00C51A87" w:rsidP="00C51A87">
            <w:pPr>
              <w:spacing w:after="0"/>
              <w:ind w:firstLineChars="200" w:firstLine="440"/>
              <w:jc w:val="right"/>
              <w:rPr>
                <w:color w:val="000000"/>
                <w:sz w:val="22"/>
                <w:szCs w:val="22"/>
              </w:rPr>
            </w:pPr>
            <w:r w:rsidRPr="00412C04">
              <w:rPr>
                <w:color w:val="000000"/>
                <w:sz w:val="22"/>
                <w:szCs w:val="22"/>
              </w:rPr>
              <w:t>-</w:t>
            </w:r>
          </w:p>
        </w:tc>
      </w:tr>
      <w:tr w:rsidR="00412C04" w:rsidRPr="001559CC" w14:paraId="7659596B" w14:textId="77777777" w:rsidTr="00412C04">
        <w:trPr>
          <w:trHeight w:val="402"/>
        </w:trPr>
        <w:tc>
          <w:tcPr>
            <w:tcW w:w="4099" w:type="dxa"/>
            <w:gridSpan w:val="4"/>
            <w:tcBorders>
              <w:top w:val="nil"/>
              <w:left w:val="nil"/>
              <w:bottom w:val="nil"/>
              <w:right w:val="nil"/>
            </w:tcBorders>
            <w:shd w:val="clear" w:color="auto" w:fill="auto"/>
            <w:noWrap/>
            <w:vAlign w:val="center"/>
            <w:hideMark/>
          </w:tcPr>
          <w:p w14:paraId="38C03DBD" w14:textId="77777777" w:rsidR="00412C04" w:rsidRPr="00412C04" w:rsidRDefault="00412C04" w:rsidP="00C51A87">
            <w:pPr>
              <w:spacing w:after="0"/>
              <w:rPr>
                <w:color w:val="000000"/>
                <w:sz w:val="22"/>
                <w:szCs w:val="22"/>
              </w:rPr>
            </w:pPr>
            <w:r w:rsidRPr="00412C04">
              <w:rPr>
                <w:color w:val="000000"/>
                <w:sz w:val="22"/>
                <w:szCs w:val="22"/>
              </w:rPr>
              <w:t>Western Australia</w:t>
            </w:r>
          </w:p>
        </w:tc>
        <w:tc>
          <w:tcPr>
            <w:tcW w:w="296" w:type="dxa"/>
            <w:tcBorders>
              <w:top w:val="nil"/>
              <w:left w:val="nil"/>
              <w:bottom w:val="nil"/>
              <w:right w:val="nil"/>
            </w:tcBorders>
            <w:shd w:val="clear" w:color="auto" w:fill="auto"/>
            <w:noWrap/>
            <w:vAlign w:val="center"/>
            <w:hideMark/>
          </w:tcPr>
          <w:p w14:paraId="420D5786" w14:textId="77777777" w:rsidR="00412C04" w:rsidRPr="00412C04" w:rsidRDefault="00412C04" w:rsidP="00C51A87">
            <w:pPr>
              <w:spacing w:after="0"/>
              <w:rPr>
                <w:color w:val="000000"/>
                <w:sz w:val="22"/>
                <w:szCs w:val="22"/>
              </w:rPr>
            </w:pPr>
          </w:p>
        </w:tc>
        <w:tc>
          <w:tcPr>
            <w:tcW w:w="5312" w:type="dxa"/>
            <w:tcBorders>
              <w:top w:val="nil"/>
              <w:left w:val="nil"/>
              <w:bottom w:val="nil"/>
              <w:right w:val="nil"/>
            </w:tcBorders>
            <w:shd w:val="clear" w:color="auto" w:fill="auto"/>
            <w:noWrap/>
            <w:vAlign w:val="center"/>
          </w:tcPr>
          <w:p w14:paraId="14E37DAF" w14:textId="5BBF9043" w:rsidR="00412C04" w:rsidRPr="00412C04" w:rsidRDefault="00412C04" w:rsidP="00C51A87">
            <w:pPr>
              <w:spacing w:after="0"/>
              <w:ind w:firstLineChars="200" w:firstLine="440"/>
              <w:jc w:val="right"/>
              <w:rPr>
                <w:color w:val="000000"/>
                <w:sz w:val="22"/>
                <w:szCs w:val="22"/>
              </w:rPr>
            </w:pPr>
            <w:r w:rsidRPr="00412C04">
              <w:rPr>
                <w:color w:val="000000"/>
                <w:sz w:val="22"/>
                <w:szCs w:val="22"/>
              </w:rPr>
              <w:t>$128,959,276.21</w:t>
            </w:r>
          </w:p>
        </w:tc>
      </w:tr>
      <w:tr w:rsidR="00412C04" w:rsidRPr="001559CC" w14:paraId="498F0FCE" w14:textId="77777777" w:rsidTr="00412C04">
        <w:trPr>
          <w:trHeight w:val="402"/>
        </w:trPr>
        <w:tc>
          <w:tcPr>
            <w:tcW w:w="4099" w:type="dxa"/>
            <w:gridSpan w:val="4"/>
            <w:tcBorders>
              <w:top w:val="nil"/>
              <w:left w:val="nil"/>
              <w:bottom w:val="nil"/>
              <w:right w:val="nil"/>
            </w:tcBorders>
            <w:shd w:val="clear" w:color="auto" w:fill="auto"/>
            <w:noWrap/>
            <w:vAlign w:val="center"/>
            <w:hideMark/>
          </w:tcPr>
          <w:p w14:paraId="5CC85C93" w14:textId="77777777" w:rsidR="00412C04" w:rsidRPr="00412C04" w:rsidRDefault="00412C04" w:rsidP="00C51A87">
            <w:pPr>
              <w:spacing w:after="0"/>
              <w:rPr>
                <w:color w:val="000000"/>
                <w:sz w:val="22"/>
                <w:szCs w:val="22"/>
              </w:rPr>
            </w:pPr>
            <w:r w:rsidRPr="00412C04">
              <w:rPr>
                <w:color w:val="000000"/>
                <w:sz w:val="22"/>
                <w:szCs w:val="22"/>
              </w:rPr>
              <w:t>South Australia</w:t>
            </w:r>
          </w:p>
        </w:tc>
        <w:tc>
          <w:tcPr>
            <w:tcW w:w="296" w:type="dxa"/>
            <w:tcBorders>
              <w:top w:val="nil"/>
              <w:left w:val="nil"/>
              <w:bottom w:val="nil"/>
              <w:right w:val="nil"/>
            </w:tcBorders>
            <w:shd w:val="clear" w:color="auto" w:fill="auto"/>
            <w:noWrap/>
            <w:vAlign w:val="center"/>
            <w:hideMark/>
          </w:tcPr>
          <w:p w14:paraId="0D94533D" w14:textId="77777777" w:rsidR="00412C04" w:rsidRPr="00412C04" w:rsidRDefault="00412C04" w:rsidP="00C51A87">
            <w:pPr>
              <w:spacing w:after="0"/>
              <w:rPr>
                <w:color w:val="000000"/>
                <w:sz w:val="22"/>
                <w:szCs w:val="22"/>
              </w:rPr>
            </w:pPr>
          </w:p>
        </w:tc>
        <w:tc>
          <w:tcPr>
            <w:tcW w:w="5312" w:type="dxa"/>
            <w:tcBorders>
              <w:top w:val="nil"/>
              <w:left w:val="nil"/>
              <w:bottom w:val="nil"/>
              <w:right w:val="nil"/>
            </w:tcBorders>
            <w:shd w:val="clear" w:color="auto" w:fill="auto"/>
            <w:noWrap/>
            <w:vAlign w:val="center"/>
            <w:hideMark/>
          </w:tcPr>
          <w:p w14:paraId="0E4A0ADA" w14:textId="42BD4ECD" w:rsidR="00412C04" w:rsidRPr="00412C04" w:rsidRDefault="00412C04" w:rsidP="00C51A87">
            <w:pPr>
              <w:spacing w:after="0"/>
              <w:ind w:firstLineChars="200" w:firstLine="440"/>
              <w:jc w:val="right"/>
              <w:rPr>
                <w:color w:val="000000"/>
                <w:sz w:val="22"/>
                <w:szCs w:val="22"/>
              </w:rPr>
            </w:pPr>
            <w:r w:rsidRPr="00412C04">
              <w:rPr>
                <w:color w:val="000000"/>
                <w:sz w:val="22"/>
                <w:szCs w:val="22"/>
              </w:rPr>
              <w:t>-</w:t>
            </w:r>
          </w:p>
        </w:tc>
      </w:tr>
      <w:tr w:rsidR="00412C04" w:rsidRPr="001559CC" w14:paraId="7DC2FFA7" w14:textId="77777777" w:rsidTr="00412C04">
        <w:trPr>
          <w:trHeight w:val="402"/>
        </w:trPr>
        <w:tc>
          <w:tcPr>
            <w:tcW w:w="4099" w:type="dxa"/>
            <w:gridSpan w:val="4"/>
            <w:tcBorders>
              <w:top w:val="nil"/>
              <w:left w:val="nil"/>
              <w:bottom w:val="nil"/>
              <w:right w:val="nil"/>
            </w:tcBorders>
            <w:shd w:val="clear" w:color="auto" w:fill="auto"/>
            <w:noWrap/>
            <w:vAlign w:val="center"/>
            <w:hideMark/>
          </w:tcPr>
          <w:p w14:paraId="105E3E09" w14:textId="77777777" w:rsidR="00412C04" w:rsidRPr="00412C04" w:rsidRDefault="00412C04" w:rsidP="00C51A87">
            <w:pPr>
              <w:spacing w:after="0"/>
              <w:rPr>
                <w:color w:val="000000"/>
                <w:sz w:val="22"/>
                <w:szCs w:val="22"/>
              </w:rPr>
            </w:pPr>
            <w:r w:rsidRPr="00412C04">
              <w:rPr>
                <w:color w:val="000000"/>
                <w:sz w:val="22"/>
                <w:szCs w:val="22"/>
              </w:rPr>
              <w:t>Tasmania</w:t>
            </w:r>
          </w:p>
        </w:tc>
        <w:tc>
          <w:tcPr>
            <w:tcW w:w="296" w:type="dxa"/>
            <w:tcBorders>
              <w:top w:val="nil"/>
              <w:left w:val="nil"/>
              <w:bottom w:val="nil"/>
              <w:right w:val="nil"/>
            </w:tcBorders>
            <w:shd w:val="clear" w:color="auto" w:fill="auto"/>
            <w:noWrap/>
            <w:vAlign w:val="center"/>
            <w:hideMark/>
          </w:tcPr>
          <w:p w14:paraId="0A7E9DD7" w14:textId="77777777" w:rsidR="00412C04" w:rsidRPr="00412C04" w:rsidRDefault="00412C04" w:rsidP="00C51A87">
            <w:pPr>
              <w:spacing w:after="0"/>
              <w:rPr>
                <w:color w:val="000000"/>
                <w:sz w:val="22"/>
                <w:szCs w:val="22"/>
              </w:rPr>
            </w:pPr>
          </w:p>
        </w:tc>
        <w:tc>
          <w:tcPr>
            <w:tcW w:w="5312" w:type="dxa"/>
            <w:tcBorders>
              <w:top w:val="nil"/>
              <w:left w:val="nil"/>
              <w:bottom w:val="nil"/>
              <w:right w:val="nil"/>
            </w:tcBorders>
            <w:shd w:val="clear" w:color="auto" w:fill="auto"/>
            <w:noWrap/>
            <w:vAlign w:val="center"/>
            <w:hideMark/>
          </w:tcPr>
          <w:p w14:paraId="3679E7EB" w14:textId="4B97C4D5" w:rsidR="00412C04" w:rsidRPr="00412C04" w:rsidRDefault="00412C04" w:rsidP="00C51A87">
            <w:pPr>
              <w:spacing w:after="0"/>
              <w:ind w:firstLineChars="200" w:firstLine="440"/>
              <w:jc w:val="right"/>
              <w:rPr>
                <w:color w:val="000000"/>
                <w:sz w:val="22"/>
                <w:szCs w:val="22"/>
              </w:rPr>
            </w:pPr>
            <w:r w:rsidRPr="00412C04">
              <w:rPr>
                <w:color w:val="000000"/>
                <w:sz w:val="22"/>
                <w:szCs w:val="22"/>
              </w:rPr>
              <w:t>-</w:t>
            </w:r>
          </w:p>
        </w:tc>
      </w:tr>
      <w:tr w:rsidR="00412C04" w:rsidRPr="001559CC" w14:paraId="22A4A3C2" w14:textId="77777777" w:rsidTr="00412C04">
        <w:trPr>
          <w:trHeight w:val="402"/>
        </w:trPr>
        <w:tc>
          <w:tcPr>
            <w:tcW w:w="4099" w:type="dxa"/>
            <w:gridSpan w:val="4"/>
            <w:tcBorders>
              <w:top w:val="nil"/>
              <w:left w:val="nil"/>
              <w:bottom w:val="nil"/>
              <w:right w:val="nil"/>
            </w:tcBorders>
            <w:shd w:val="clear" w:color="auto" w:fill="auto"/>
            <w:noWrap/>
            <w:vAlign w:val="center"/>
            <w:hideMark/>
          </w:tcPr>
          <w:p w14:paraId="3CD6AF57" w14:textId="77777777" w:rsidR="00412C04" w:rsidRPr="00412C04" w:rsidRDefault="00412C04" w:rsidP="00C51A87">
            <w:pPr>
              <w:spacing w:after="0"/>
              <w:rPr>
                <w:color w:val="000000"/>
                <w:sz w:val="22"/>
                <w:szCs w:val="22"/>
              </w:rPr>
            </w:pPr>
            <w:r w:rsidRPr="00412C04">
              <w:rPr>
                <w:color w:val="000000"/>
                <w:sz w:val="22"/>
                <w:szCs w:val="22"/>
              </w:rPr>
              <w:t>Australian Capital Territory</w:t>
            </w:r>
          </w:p>
        </w:tc>
        <w:tc>
          <w:tcPr>
            <w:tcW w:w="296" w:type="dxa"/>
            <w:tcBorders>
              <w:top w:val="nil"/>
              <w:left w:val="nil"/>
              <w:bottom w:val="nil"/>
              <w:right w:val="nil"/>
            </w:tcBorders>
            <w:shd w:val="clear" w:color="auto" w:fill="auto"/>
            <w:noWrap/>
            <w:vAlign w:val="center"/>
            <w:hideMark/>
          </w:tcPr>
          <w:p w14:paraId="1311783F" w14:textId="77777777" w:rsidR="00412C04" w:rsidRPr="00412C04" w:rsidRDefault="00412C04" w:rsidP="00C51A87">
            <w:pPr>
              <w:spacing w:after="0"/>
              <w:rPr>
                <w:color w:val="000000"/>
                <w:sz w:val="22"/>
                <w:szCs w:val="22"/>
              </w:rPr>
            </w:pPr>
          </w:p>
        </w:tc>
        <w:tc>
          <w:tcPr>
            <w:tcW w:w="5312" w:type="dxa"/>
            <w:tcBorders>
              <w:top w:val="nil"/>
              <w:left w:val="nil"/>
              <w:bottom w:val="nil"/>
              <w:right w:val="nil"/>
            </w:tcBorders>
            <w:shd w:val="clear" w:color="auto" w:fill="auto"/>
            <w:noWrap/>
            <w:vAlign w:val="center"/>
          </w:tcPr>
          <w:p w14:paraId="203EC1FC" w14:textId="3FB8FEEF" w:rsidR="00412C04" w:rsidRPr="00412C04" w:rsidRDefault="00412C04" w:rsidP="00C51A87">
            <w:pPr>
              <w:spacing w:after="0"/>
              <w:ind w:firstLineChars="200" w:firstLine="440"/>
              <w:jc w:val="right"/>
              <w:rPr>
                <w:color w:val="000000"/>
                <w:sz w:val="22"/>
                <w:szCs w:val="22"/>
              </w:rPr>
            </w:pPr>
            <w:r w:rsidRPr="00412C04">
              <w:rPr>
                <w:color w:val="000000"/>
                <w:sz w:val="22"/>
                <w:szCs w:val="22"/>
              </w:rPr>
              <w:t>$6,685,920.40</w:t>
            </w:r>
          </w:p>
        </w:tc>
      </w:tr>
      <w:tr w:rsidR="00412C04" w:rsidRPr="001559CC" w14:paraId="23F03D16" w14:textId="77777777" w:rsidTr="00412C04">
        <w:trPr>
          <w:trHeight w:val="402"/>
        </w:trPr>
        <w:tc>
          <w:tcPr>
            <w:tcW w:w="4099" w:type="dxa"/>
            <w:gridSpan w:val="4"/>
            <w:tcBorders>
              <w:top w:val="nil"/>
              <w:left w:val="nil"/>
              <w:bottom w:val="nil"/>
              <w:right w:val="nil"/>
            </w:tcBorders>
            <w:shd w:val="clear" w:color="auto" w:fill="auto"/>
            <w:noWrap/>
            <w:vAlign w:val="center"/>
            <w:hideMark/>
          </w:tcPr>
          <w:p w14:paraId="212B20B2" w14:textId="77777777" w:rsidR="00412C04" w:rsidRPr="00412C04" w:rsidRDefault="00412C04" w:rsidP="00C51A87">
            <w:pPr>
              <w:spacing w:after="0"/>
              <w:rPr>
                <w:color w:val="000000"/>
                <w:sz w:val="22"/>
                <w:szCs w:val="22"/>
              </w:rPr>
            </w:pPr>
            <w:r w:rsidRPr="00412C04">
              <w:rPr>
                <w:color w:val="000000"/>
                <w:sz w:val="22"/>
                <w:szCs w:val="22"/>
              </w:rPr>
              <w:t>Northern Territory</w:t>
            </w:r>
          </w:p>
        </w:tc>
        <w:tc>
          <w:tcPr>
            <w:tcW w:w="296" w:type="dxa"/>
            <w:tcBorders>
              <w:top w:val="nil"/>
              <w:left w:val="nil"/>
              <w:bottom w:val="nil"/>
              <w:right w:val="nil"/>
            </w:tcBorders>
            <w:shd w:val="clear" w:color="auto" w:fill="auto"/>
            <w:noWrap/>
            <w:vAlign w:val="center"/>
            <w:hideMark/>
          </w:tcPr>
          <w:p w14:paraId="0E9210A1" w14:textId="77777777" w:rsidR="00412C04" w:rsidRPr="00412C04" w:rsidRDefault="00412C04" w:rsidP="00C51A87">
            <w:pPr>
              <w:spacing w:after="0"/>
              <w:rPr>
                <w:color w:val="000000"/>
                <w:sz w:val="22"/>
                <w:szCs w:val="22"/>
              </w:rPr>
            </w:pPr>
          </w:p>
        </w:tc>
        <w:tc>
          <w:tcPr>
            <w:tcW w:w="5312" w:type="dxa"/>
            <w:tcBorders>
              <w:top w:val="nil"/>
              <w:left w:val="nil"/>
              <w:bottom w:val="single" w:sz="4" w:space="0" w:color="auto"/>
              <w:right w:val="nil"/>
            </w:tcBorders>
            <w:shd w:val="clear" w:color="auto" w:fill="auto"/>
            <w:noWrap/>
            <w:vAlign w:val="center"/>
            <w:hideMark/>
          </w:tcPr>
          <w:p w14:paraId="14949A4D" w14:textId="50239A78" w:rsidR="00412C04" w:rsidRPr="00412C04" w:rsidRDefault="00412C04" w:rsidP="00C51A87">
            <w:pPr>
              <w:spacing w:after="0"/>
              <w:ind w:firstLineChars="200" w:firstLine="440"/>
              <w:jc w:val="right"/>
              <w:rPr>
                <w:color w:val="000000"/>
                <w:sz w:val="22"/>
                <w:szCs w:val="22"/>
              </w:rPr>
            </w:pPr>
            <w:r w:rsidRPr="00412C04">
              <w:rPr>
                <w:color w:val="000000"/>
                <w:sz w:val="22"/>
                <w:szCs w:val="22"/>
              </w:rPr>
              <w:t>$1,967,794.86</w:t>
            </w:r>
          </w:p>
        </w:tc>
      </w:tr>
      <w:tr w:rsidR="00412C04" w:rsidRPr="001559CC" w14:paraId="40BB6DBE" w14:textId="77777777" w:rsidTr="00412C04">
        <w:trPr>
          <w:trHeight w:val="402"/>
        </w:trPr>
        <w:tc>
          <w:tcPr>
            <w:tcW w:w="4099" w:type="dxa"/>
            <w:gridSpan w:val="4"/>
            <w:tcBorders>
              <w:top w:val="nil"/>
              <w:left w:val="nil"/>
              <w:bottom w:val="nil"/>
              <w:right w:val="nil"/>
            </w:tcBorders>
            <w:shd w:val="clear" w:color="auto" w:fill="auto"/>
            <w:noWrap/>
            <w:vAlign w:val="center"/>
            <w:hideMark/>
          </w:tcPr>
          <w:p w14:paraId="526448E9" w14:textId="77777777" w:rsidR="00412C04" w:rsidRPr="00412C04" w:rsidRDefault="00412C04" w:rsidP="00C51A87">
            <w:pPr>
              <w:spacing w:after="0"/>
              <w:rPr>
                <w:b/>
                <w:bCs/>
                <w:color w:val="000000"/>
                <w:sz w:val="22"/>
                <w:szCs w:val="22"/>
              </w:rPr>
            </w:pPr>
            <w:r w:rsidRPr="00412C04">
              <w:rPr>
                <w:b/>
                <w:bCs/>
                <w:color w:val="000000"/>
                <w:sz w:val="22"/>
                <w:szCs w:val="22"/>
              </w:rPr>
              <w:t>Total</w:t>
            </w:r>
          </w:p>
        </w:tc>
        <w:tc>
          <w:tcPr>
            <w:tcW w:w="296" w:type="dxa"/>
            <w:tcBorders>
              <w:top w:val="nil"/>
              <w:left w:val="nil"/>
              <w:bottom w:val="nil"/>
              <w:right w:val="nil"/>
            </w:tcBorders>
            <w:shd w:val="clear" w:color="auto" w:fill="auto"/>
            <w:noWrap/>
            <w:vAlign w:val="center"/>
            <w:hideMark/>
          </w:tcPr>
          <w:p w14:paraId="6C4DFD44" w14:textId="77777777" w:rsidR="00412C04" w:rsidRPr="00412C04" w:rsidRDefault="00412C04" w:rsidP="00C51A87">
            <w:pPr>
              <w:spacing w:after="0"/>
              <w:rPr>
                <w:b/>
                <w:bCs/>
                <w:color w:val="000000"/>
                <w:sz w:val="22"/>
                <w:szCs w:val="22"/>
              </w:rPr>
            </w:pPr>
          </w:p>
        </w:tc>
        <w:tc>
          <w:tcPr>
            <w:tcW w:w="5312" w:type="dxa"/>
            <w:tcBorders>
              <w:top w:val="nil"/>
              <w:left w:val="nil"/>
              <w:bottom w:val="nil"/>
              <w:right w:val="nil"/>
            </w:tcBorders>
            <w:shd w:val="clear" w:color="auto" w:fill="auto"/>
            <w:noWrap/>
            <w:vAlign w:val="center"/>
          </w:tcPr>
          <w:p w14:paraId="06FA05C1" w14:textId="22418E42" w:rsidR="00412C04" w:rsidRPr="00412C04" w:rsidRDefault="00412C04" w:rsidP="00C51A87">
            <w:pPr>
              <w:spacing w:after="0"/>
              <w:ind w:firstLineChars="200" w:firstLine="442"/>
              <w:jc w:val="right"/>
              <w:rPr>
                <w:b/>
                <w:bCs/>
                <w:color w:val="000000"/>
                <w:sz w:val="22"/>
                <w:szCs w:val="22"/>
              </w:rPr>
            </w:pPr>
            <w:r w:rsidRPr="00412C04">
              <w:rPr>
                <w:b/>
                <w:bCs/>
                <w:color w:val="000000"/>
                <w:sz w:val="22"/>
                <w:szCs w:val="22"/>
              </w:rPr>
              <w:t>$137,612,991.47</w:t>
            </w:r>
          </w:p>
        </w:tc>
      </w:tr>
      <w:tr w:rsidR="00412C04" w:rsidRPr="001559CC" w14:paraId="7E4C903D" w14:textId="77777777" w:rsidTr="00412C04">
        <w:trPr>
          <w:trHeight w:val="402"/>
        </w:trPr>
        <w:tc>
          <w:tcPr>
            <w:tcW w:w="3828" w:type="dxa"/>
            <w:gridSpan w:val="3"/>
            <w:tcBorders>
              <w:top w:val="nil"/>
              <w:left w:val="nil"/>
              <w:bottom w:val="nil"/>
              <w:right w:val="nil"/>
            </w:tcBorders>
            <w:shd w:val="clear" w:color="auto" w:fill="auto"/>
            <w:noWrap/>
            <w:vAlign w:val="center"/>
            <w:hideMark/>
          </w:tcPr>
          <w:p w14:paraId="716DE770" w14:textId="4CD3747B" w:rsidR="00412C04" w:rsidRPr="00412C04" w:rsidRDefault="00412C04" w:rsidP="00C51A87">
            <w:pPr>
              <w:spacing w:after="0"/>
              <w:rPr>
                <w:color w:val="000000"/>
                <w:sz w:val="22"/>
                <w:szCs w:val="22"/>
              </w:rPr>
            </w:pPr>
            <w:r w:rsidRPr="00412C04">
              <w:rPr>
                <w:color w:val="000000"/>
                <w:sz w:val="22"/>
                <w:szCs w:val="22"/>
              </w:rPr>
              <w:t>General debit limit for 2018-19</w:t>
            </w:r>
          </w:p>
        </w:tc>
        <w:tc>
          <w:tcPr>
            <w:tcW w:w="271" w:type="dxa"/>
            <w:tcBorders>
              <w:top w:val="nil"/>
              <w:left w:val="nil"/>
              <w:bottom w:val="nil"/>
              <w:right w:val="nil"/>
            </w:tcBorders>
            <w:shd w:val="clear" w:color="auto" w:fill="auto"/>
            <w:noWrap/>
            <w:vAlign w:val="bottom"/>
            <w:hideMark/>
          </w:tcPr>
          <w:p w14:paraId="2054B697" w14:textId="77777777" w:rsidR="00412C04" w:rsidRPr="00412C04" w:rsidRDefault="00412C04" w:rsidP="00C51A87">
            <w:pPr>
              <w:spacing w:after="0"/>
              <w:rPr>
                <w:color w:val="000000"/>
                <w:sz w:val="22"/>
                <w:szCs w:val="22"/>
              </w:rPr>
            </w:pPr>
          </w:p>
        </w:tc>
        <w:tc>
          <w:tcPr>
            <w:tcW w:w="296" w:type="dxa"/>
            <w:tcBorders>
              <w:top w:val="nil"/>
              <w:left w:val="nil"/>
              <w:bottom w:val="nil"/>
              <w:right w:val="nil"/>
            </w:tcBorders>
            <w:shd w:val="clear" w:color="auto" w:fill="auto"/>
            <w:noWrap/>
            <w:vAlign w:val="center"/>
          </w:tcPr>
          <w:p w14:paraId="6CED7EEB" w14:textId="70C51D4C" w:rsidR="00412C04" w:rsidRPr="00412C04" w:rsidRDefault="00412C04" w:rsidP="00C51A87">
            <w:pPr>
              <w:spacing w:after="0"/>
              <w:rPr>
                <w:color w:val="000000"/>
                <w:sz w:val="22"/>
                <w:szCs w:val="22"/>
              </w:rPr>
            </w:pPr>
          </w:p>
        </w:tc>
        <w:tc>
          <w:tcPr>
            <w:tcW w:w="5312" w:type="dxa"/>
            <w:tcBorders>
              <w:top w:val="nil"/>
              <w:left w:val="nil"/>
              <w:bottom w:val="single" w:sz="4" w:space="0" w:color="auto"/>
              <w:right w:val="nil"/>
            </w:tcBorders>
            <w:shd w:val="clear" w:color="auto" w:fill="auto"/>
            <w:noWrap/>
            <w:vAlign w:val="center"/>
          </w:tcPr>
          <w:p w14:paraId="6E2AE2D2" w14:textId="67A555A4" w:rsidR="00412C04" w:rsidRPr="00412C04" w:rsidRDefault="00412C04" w:rsidP="00C51A87">
            <w:pPr>
              <w:spacing w:after="0"/>
              <w:ind w:firstLineChars="200" w:firstLine="440"/>
              <w:jc w:val="right"/>
              <w:rPr>
                <w:color w:val="000000"/>
                <w:sz w:val="22"/>
                <w:szCs w:val="22"/>
              </w:rPr>
            </w:pPr>
            <w:r w:rsidRPr="00412C04">
              <w:rPr>
                <w:color w:val="000000"/>
                <w:sz w:val="22"/>
                <w:szCs w:val="22"/>
              </w:rPr>
              <w:t>$5,000,000,000.00</w:t>
            </w:r>
          </w:p>
        </w:tc>
      </w:tr>
      <w:tr w:rsidR="00412C04" w:rsidRPr="00C51A87" w14:paraId="23696C09" w14:textId="77777777" w:rsidTr="00412C04">
        <w:trPr>
          <w:trHeight w:val="402"/>
        </w:trPr>
        <w:tc>
          <w:tcPr>
            <w:tcW w:w="3828" w:type="dxa"/>
            <w:gridSpan w:val="3"/>
            <w:tcBorders>
              <w:top w:val="nil"/>
              <w:left w:val="nil"/>
              <w:bottom w:val="single" w:sz="4" w:space="0" w:color="auto"/>
              <w:right w:val="nil"/>
            </w:tcBorders>
            <w:shd w:val="clear" w:color="auto" w:fill="auto"/>
            <w:noWrap/>
            <w:vAlign w:val="center"/>
            <w:hideMark/>
          </w:tcPr>
          <w:p w14:paraId="5A468166" w14:textId="6F163295" w:rsidR="00412C04" w:rsidRPr="00412C04" w:rsidRDefault="00412C04" w:rsidP="00C51A87">
            <w:pPr>
              <w:spacing w:after="0"/>
              <w:rPr>
                <w:b/>
                <w:bCs/>
                <w:color w:val="000000"/>
                <w:sz w:val="22"/>
                <w:szCs w:val="22"/>
              </w:rPr>
            </w:pPr>
            <w:r w:rsidRPr="00412C04">
              <w:rPr>
                <w:b/>
                <w:bCs/>
                <w:color w:val="000000"/>
                <w:sz w:val="22"/>
                <w:szCs w:val="22"/>
              </w:rPr>
              <w:t>Remaining debit limit for 2018-19</w:t>
            </w:r>
          </w:p>
        </w:tc>
        <w:tc>
          <w:tcPr>
            <w:tcW w:w="271" w:type="dxa"/>
            <w:tcBorders>
              <w:top w:val="nil"/>
              <w:left w:val="nil"/>
              <w:bottom w:val="single" w:sz="4" w:space="0" w:color="auto"/>
              <w:right w:val="nil"/>
            </w:tcBorders>
            <w:shd w:val="clear" w:color="auto" w:fill="auto"/>
            <w:noWrap/>
            <w:vAlign w:val="bottom"/>
            <w:hideMark/>
          </w:tcPr>
          <w:p w14:paraId="5DDF0F07" w14:textId="77777777" w:rsidR="00412C04" w:rsidRPr="00412C04" w:rsidRDefault="00412C04" w:rsidP="00C51A87">
            <w:pPr>
              <w:spacing w:after="0"/>
              <w:rPr>
                <w:color w:val="000000"/>
                <w:sz w:val="22"/>
                <w:szCs w:val="22"/>
              </w:rPr>
            </w:pPr>
            <w:r w:rsidRPr="00412C04">
              <w:rPr>
                <w:color w:val="000000"/>
                <w:sz w:val="22"/>
                <w:szCs w:val="22"/>
              </w:rPr>
              <w:t> </w:t>
            </w:r>
          </w:p>
        </w:tc>
        <w:tc>
          <w:tcPr>
            <w:tcW w:w="296" w:type="dxa"/>
            <w:tcBorders>
              <w:top w:val="nil"/>
              <w:left w:val="nil"/>
              <w:bottom w:val="single" w:sz="4" w:space="0" w:color="auto"/>
              <w:right w:val="nil"/>
            </w:tcBorders>
            <w:shd w:val="clear" w:color="auto" w:fill="auto"/>
            <w:noWrap/>
            <w:vAlign w:val="center"/>
          </w:tcPr>
          <w:p w14:paraId="51506BBD" w14:textId="5FA5C547" w:rsidR="00412C04" w:rsidRPr="00412C04" w:rsidRDefault="00412C04" w:rsidP="00C51A87">
            <w:pPr>
              <w:spacing w:after="0"/>
              <w:rPr>
                <w:color w:val="000000"/>
                <w:sz w:val="22"/>
                <w:szCs w:val="22"/>
              </w:rPr>
            </w:pPr>
          </w:p>
        </w:tc>
        <w:tc>
          <w:tcPr>
            <w:tcW w:w="5312" w:type="dxa"/>
            <w:tcBorders>
              <w:top w:val="nil"/>
              <w:left w:val="nil"/>
              <w:bottom w:val="single" w:sz="4" w:space="0" w:color="auto"/>
              <w:right w:val="nil"/>
            </w:tcBorders>
            <w:shd w:val="clear" w:color="auto" w:fill="auto"/>
            <w:noWrap/>
            <w:vAlign w:val="center"/>
          </w:tcPr>
          <w:p w14:paraId="15421697" w14:textId="334B695F" w:rsidR="00412C04" w:rsidRPr="00412C04" w:rsidRDefault="00412C04" w:rsidP="00C51A87">
            <w:pPr>
              <w:spacing w:after="0"/>
              <w:ind w:firstLineChars="200" w:firstLine="440"/>
              <w:jc w:val="right"/>
              <w:rPr>
                <w:color w:val="000000"/>
                <w:sz w:val="22"/>
                <w:szCs w:val="22"/>
              </w:rPr>
            </w:pPr>
            <w:r w:rsidRPr="00412C04">
              <w:rPr>
                <w:color w:val="000000"/>
                <w:sz w:val="22"/>
                <w:szCs w:val="22"/>
              </w:rPr>
              <w:t>$4,862,387,008.53</w:t>
            </w:r>
          </w:p>
        </w:tc>
      </w:tr>
    </w:tbl>
    <w:p w14:paraId="539ED846" w14:textId="77777777" w:rsidR="00E84313" w:rsidRPr="00943E74" w:rsidRDefault="00E84313" w:rsidP="00943E74">
      <w:pPr>
        <w:rPr>
          <w:snapToGrid w:val="0"/>
          <w:lang w:eastAsia="en-US"/>
        </w:rPr>
      </w:pPr>
    </w:p>
    <w:p w14:paraId="14154A2D" w14:textId="77777777" w:rsidR="00AE5BDD" w:rsidRDefault="00AE5BDD" w:rsidP="00AE5BDD">
      <w:pPr>
        <w:pStyle w:val="Heading4"/>
        <w:rPr>
          <w:snapToGrid w:val="0"/>
          <w:lang w:eastAsia="en-US"/>
        </w:rPr>
      </w:pPr>
      <w:r>
        <w:rPr>
          <w:snapToGrid w:val="0"/>
          <w:lang w:eastAsia="en-US"/>
        </w:rPr>
        <w:t>Commencement</w:t>
      </w:r>
    </w:p>
    <w:p w14:paraId="0FCB5FF7" w14:textId="77777777" w:rsidR="00AE5BDD" w:rsidRDefault="00AE5BDD" w:rsidP="00AE5BDD">
      <w:pPr>
        <w:rPr>
          <w:snapToGrid w:val="0"/>
          <w:lang w:eastAsia="en-US"/>
        </w:rPr>
      </w:pPr>
      <w:r>
        <w:rPr>
          <w:snapToGrid w:val="0"/>
          <w:lang w:eastAsia="en-US"/>
        </w:rPr>
        <w:t>The determination commenced</w:t>
      </w:r>
      <w:r w:rsidRPr="001E6B5B">
        <w:rPr>
          <w:snapToGrid w:val="0"/>
          <w:lang w:eastAsia="en-US"/>
        </w:rPr>
        <w:t xml:space="preserve"> on </w:t>
      </w:r>
      <w:r>
        <w:rPr>
          <w:snapToGrid w:val="0"/>
          <w:lang w:eastAsia="en-US"/>
        </w:rPr>
        <w:t>the day it was made</w:t>
      </w:r>
      <w:r w:rsidRPr="001E6B5B">
        <w:rPr>
          <w:snapToGrid w:val="0"/>
          <w:lang w:eastAsia="en-US"/>
        </w:rPr>
        <w:t>.</w:t>
      </w:r>
    </w:p>
    <w:p w14:paraId="3DBCF5A2" w14:textId="77777777" w:rsidR="005E26E8" w:rsidRDefault="005E26E8" w:rsidP="00AE5BDD">
      <w:pPr>
        <w:rPr>
          <w:snapToGrid w:val="0"/>
          <w:lang w:eastAsia="en-US"/>
        </w:rPr>
        <w:sectPr w:rsidR="005E26E8" w:rsidSect="005E26E8">
          <w:footerReference w:type="default" r:id="rId15"/>
          <w:pgSz w:w="11906" w:h="16838" w:code="9"/>
          <w:pgMar w:top="1134" w:right="1418" w:bottom="1134" w:left="1418" w:header="709" w:footer="709" w:gutter="0"/>
          <w:cols w:space="708"/>
          <w:docGrid w:linePitch="360"/>
        </w:sectPr>
      </w:pPr>
    </w:p>
    <w:p w14:paraId="0B7FFB04" w14:textId="2CBF30B9" w:rsidR="005E26E8" w:rsidRDefault="005E26E8" w:rsidP="00AE5BDD">
      <w:pPr>
        <w:rPr>
          <w:snapToGrid w:val="0"/>
          <w:lang w:eastAsia="en-US"/>
        </w:rPr>
      </w:pPr>
    </w:p>
    <w:p w14:paraId="46F6295C" w14:textId="6D2BBBBB" w:rsidR="005E26E8" w:rsidRDefault="005E26E8" w:rsidP="005E26E8">
      <w:pPr>
        <w:pStyle w:val="Heading2"/>
      </w:pPr>
      <w:r>
        <w:t xml:space="preserve">Summary of </w:t>
      </w:r>
      <w:r w:rsidRPr="00960C43">
        <w:t>relevant</w:t>
      </w:r>
      <w:r>
        <w:t xml:space="preserve"> agreements for general purpose financial assistance</w:t>
      </w:r>
    </w:p>
    <w:tbl>
      <w:tblPr>
        <w:tblW w:w="0" w:type="auto"/>
        <w:tblCellMar>
          <w:top w:w="28" w:type="dxa"/>
          <w:left w:w="57" w:type="dxa"/>
          <w:bottom w:w="28" w:type="dxa"/>
          <w:right w:w="57" w:type="dxa"/>
        </w:tblCellMar>
        <w:tblLook w:val="01E0" w:firstRow="1" w:lastRow="1" w:firstColumn="1" w:lastColumn="1" w:noHBand="0" w:noVBand="0"/>
      </w:tblPr>
      <w:tblGrid>
        <w:gridCol w:w="2397"/>
        <w:gridCol w:w="9360"/>
        <w:gridCol w:w="2927"/>
      </w:tblGrid>
      <w:tr w:rsidR="005E26E8" w:rsidRPr="00724D95" w14:paraId="152585F2" w14:textId="77777777" w:rsidTr="008C3358">
        <w:trPr>
          <w:tblHeader/>
        </w:trPr>
        <w:tc>
          <w:tcPr>
            <w:tcW w:w="2397" w:type="dxa"/>
            <w:tcBorders>
              <w:top w:val="single" w:sz="2" w:space="0" w:color="auto"/>
              <w:bottom w:val="single" w:sz="2" w:space="0" w:color="auto"/>
            </w:tcBorders>
          </w:tcPr>
          <w:p w14:paraId="6C9D9765" w14:textId="77777777" w:rsidR="005E26E8" w:rsidRPr="00724D95" w:rsidRDefault="005E26E8" w:rsidP="008C3358">
            <w:pPr>
              <w:spacing w:after="60"/>
              <w:rPr>
                <w:b/>
                <w:sz w:val="20"/>
              </w:rPr>
            </w:pPr>
            <w:r w:rsidRPr="00724D95">
              <w:rPr>
                <w:b/>
                <w:sz w:val="20"/>
              </w:rPr>
              <w:t>Payment title</w:t>
            </w:r>
          </w:p>
        </w:tc>
        <w:tc>
          <w:tcPr>
            <w:tcW w:w="9360" w:type="dxa"/>
            <w:tcBorders>
              <w:top w:val="single" w:sz="2" w:space="0" w:color="auto"/>
              <w:bottom w:val="single" w:sz="2" w:space="0" w:color="auto"/>
            </w:tcBorders>
          </w:tcPr>
          <w:p w14:paraId="74C5E9E3" w14:textId="77777777" w:rsidR="005E26E8" w:rsidRPr="00724D95" w:rsidRDefault="005E26E8" w:rsidP="008C3358">
            <w:pPr>
              <w:spacing w:after="60"/>
              <w:rPr>
                <w:b/>
                <w:sz w:val="20"/>
              </w:rPr>
            </w:pPr>
            <w:r w:rsidRPr="00724D95">
              <w:rPr>
                <w:b/>
                <w:sz w:val="20"/>
              </w:rPr>
              <w:t>Purpose</w:t>
            </w:r>
          </w:p>
        </w:tc>
        <w:tc>
          <w:tcPr>
            <w:tcW w:w="2927" w:type="dxa"/>
            <w:tcBorders>
              <w:top w:val="single" w:sz="2" w:space="0" w:color="auto"/>
              <w:bottom w:val="single" w:sz="2" w:space="0" w:color="auto"/>
            </w:tcBorders>
          </w:tcPr>
          <w:p w14:paraId="67AA8E64" w14:textId="77777777" w:rsidR="005E26E8" w:rsidRPr="00724D95" w:rsidRDefault="005E26E8" w:rsidP="008C3358">
            <w:pPr>
              <w:spacing w:after="60"/>
              <w:rPr>
                <w:b/>
                <w:sz w:val="20"/>
              </w:rPr>
            </w:pPr>
            <w:r w:rsidRPr="00724D95">
              <w:rPr>
                <w:b/>
                <w:sz w:val="20"/>
              </w:rPr>
              <w:t>Relevant agreement</w:t>
            </w:r>
          </w:p>
        </w:tc>
      </w:tr>
      <w:tr w:rsidR="005E26E8" w:rsidRPr="00724D95" w14:paraId="7D6851BC" w14:textId="77777777" w:rsidTr="008C3358">
        <w:trPr>
          <w:cantSplit/>
        </w:trPr>
        <w:tc>
          <w:tcPr>
            <w:tcW w:w="2397" w:type="dxa"/>
          </w:tcPr>
          <w:p w14:paraId="5B9052CE" w14:textId="77777777" w:rsidR="005E26E8" w:rsidRPr="00724D95" w:rsidRDefault="005E26E8" w:rsidP="008C3358">
            <w:pPr>
              <w:spacing w:after="60"/>
              <w:rPr>
                <w:sz w:val="20"/>
              </w:rPr>
            </w:pPr>
            <w:bookmarkStart w:id="6" w:name="OLE_LINK16"/>
            <w:r w:rsidRPr="00724D95">
              <w:rPr>
                <w:sz w:val="20"/>
              </w:rPr>
              <w:t>Compensation for impact on royalties of excise amendment</w:t>
            </w:r>
            <w:bookmarkEnd w:id="6"/>
          </w:p>
        </w:tc>
        <w:tc>
          <w:tcPr>
            <w:tcW w:w="9360" w:type="dxa"/>
          </w:tcPr>
          <w:p w14:paraId="4AC58406" w14:textId="77777777" w:rsidR="005E26E8" w:rsidRPr="00724D95" w:rsidRDefault="005E26E8" w:rsidP="008C3358">
            <w:pPr>
              <w:spacing w:after="60"/>
              <w:rPr>
                <w:sz w:val="20"/>
              </w:rPr>
            </w:pPr>
            <w:r w:rsidRPr="00724D95">
              <w:rPr>
                <w:sz w:val="20"/>
              </w:rPr>
              <w:t>The Commonwealth provides general purpose financial assistance to compensate Western Australia for the loss of royalty revenue resulting from the removal in the 2008-09 Budget of the exemption of condensate from crude oil excise.</w:t>
            </w:r>
          </w:p>
        </w:tc>
        <w:tc>
          <w:tcPr>
            <w:tcW w:w="2927" w:type="dxa"/>
          </w:tcPr>
          <w:p w14:paraId="1666B632" w14:textId="03A7F058" w:rsidR="005E26E8" w:rsidRPr="00724D95" w:rsidRDefault="005E26E8" w:rsidP="008C3358">
            <w:pPr>
              <w:spacing w:after="60"/>
              <w:rPr>
                <w:sz w:val="20"/>
              </w:rPr>
            </w:pPr>
            <w:r w:rsidRPr="00724D95">
              <w:rPr>
                <w:sz w:val="20"/>
              </w:rPr>
              <w:t>Schedule D – Payment arrangement</w:t>
            </w:r>
            <w:r w:rsidR="00415D54">
              <w:rPr>
                <w:sz w:val="20"/>
              </w:rPr>
              <w:t>s</w:t>
            </w:r>
            <w:r w:rsidRPr="00724D95">
              <w:rPr>
                <w:sz w:val="20"/>
              </w:rPr>
              <w:t xml:space="preserve"> of the Intergovernmental Agreement</w:t>
            </w:r>
          </w:p>
        </w:tc>
      </w:tr>
      <w:tr w:rsidR="005E26E8" w:rsidRPr="00724D95" w14:paraId="3233F375" w14:textId="77777777" w:rsidTr="008C3358">
        <w:trPr>
          <w:cantSplit/>
        </w:trPr>
        <w:tc>
          <w:tcPr>
            <w:tcW w:w="2397" w:type="dxa"/>
          </w:tcPr>
          <w:p w14:paraId="261494A1" w14:textId="77777777" w:rsidR="005E26E8" w:rsidRPr="00724D95" w:rsidRDefault="005E26E8" w:rsidP="008C3358">
            <w:pPr>
              <w:spacing w:after="60"/>
              <w:rPr>
                <w:sz w:val="20"/>
              </w:rPr>
            </w:pPr>
            <w:r w:rsidRPr="00724D95">
              <w:rPr>
                <w:sz w:val="20"/>
              </w:rPr>
              <w:t>ACT Municipal Services</w:t>
            </w:r>
          </w:p>
        </w:tc>
        <w:tc>
          <w:tcPr>
            <w:tcW w:w="9360" w:type="dxa"/>
          </w:tcPr>
          <w:p w14:paraId="7E96BD93" w14:textId="77777777" w:rsidR="005E26E8" w:rsidRPr="00724D95" w:rsidRDefault="005E26E8" w:rsidP="008C3358">
            <w:pPr>
              <w:tabs>
                <w:tab w:val="num" w:pos="567"/>
              </w:tabs>
              <w:spacing w:after="60"/>
              <w:rPr>
                <w:sz w:val="20"/>
              </w:rPr>
            </w:pPr>
            <w:r w:rsidRPr="00724D95">
              <w:rPr>
                <w:sz w:val="20"/>
              </w:rPr>
              <w:t>The Commonwealth provides general purpose financial assistance to the Australian Capital Territory to:</w:t>
            </w:r>
          </w:p>
          <w:p w14:paraId="77F3AF7A" w14:textId="77777777" w:rsidR="005E26E8" w:rsidRPr="00724D95" w:rsidRDefault="005E26E8" w:rsidP="005E26E8">
            <w:pPr>
              <w:pStyle w:val="Bullet"/>
              <w:numPr>
                <w:ilvl w:val="0"/>
                <w:numId w:val="8"/>
              </w:numPr>
              <w:spacing w:before="0" w:after="60"/>
              <w:rPr>
                <w:sz w:val="20"/>
              </w:rPr>
            </w:pPr>
            <w:r w:rsidRPr="00724D95">
              <w:rPr>
                <w:sz w:val="20"/>
              </w:rPr>
              <w:t>assist in meeting the additional municipal costs which arise from Canberra's role as the national capital; and</w:t>
            </w:r>
          </w:p>
          <w:p w14:paraId="5A9FDDEB" w14:textId="77777777" w:rsidR="005E26E8" w:rsidRPr="00724D95" w:rsidRDefault="005E26E8" w:rsidP="005E26E8">
            <w:pPr>
              <w:pStyle w:val="Bullet"/>
              <w:numPr>
                <w:ilvl w:val="0"/>
                <w:numId w:val="8"/>
              </w:numPr>
              <w:spacing w:before="0" w:after="60"/>
              <w:rPr>
                <w:sz w:val="20"/>
              </w:rPr>
            </w:pPr>
            <w:r w:rsidRPr="00724D95">
              <w:rPr>
                <w:sz w:val="20"/>
              </w:rPr>
              <w:t>compensate the Australian Capital Territory for additional costs resulting from the national capital planning influences on the provision of water and sewerage services.</w:t>
            </w:r>
          </w:p>
        </w:tc>
        <w:tc>
          <w:tcPr>
            <w:tcW w:w="2927" w:type="dxa"/>
          </w:tcPr>
          <w:p w14:paraId="4211714A" w14:textId="47E81745" w:rsidR="005E26E8" w:rsidRPr="00724D95" w:rsidRDefault="005E26E8" w:rsidP="008C3358">
            <w:pPr>
              <w:spacing w:after="60"/>
              <w:rPr>
                <w:sz w:val="20"/>
              </w:rPr>
            </w:pPr>
            <w:r w:rsidRPr="00724D95">
              <w:rPr>
                <w:sz w:val="20"/>
              </w:rPr>
              <w:t>Schedule D – Payment arrangement</w:t>
            </w:r>
            <w:r w:rsidR="00415D54">
              <w:rPr>
                <w:sz w:val="20"/>
              </w:rPr>
              <w:t>s</w:t>
            </w:r>
            <w:r w:rsidRPr="00724D95">
              <w:rPr>
                <w:sz w:val="20"/>
              </w:rPr>
              <w:t xml:space="preserve"> of the Intergovernmental Agreement</w:t>
            </w:r>
          </w:p>
        </w:tc>
      </w:tr>
      <w:tr w:rsidR="00FF6640" w:rsidRPr="00724D95" w14:paraId="716B7377" w14:textId="77777777" w:rsidTr="009030C1">
        <w:trPr>
          <w:cantSplit/>
        </w:trPr>
        <w:tc>
          <w:tcPr>
            <w:tcW w:w="2397" w:type="dxa"/>
          </w:tcPr>
          <w:p w14:paraId="1EDC76C3" w14:textId="77777777" w:rsidR="00FF6640" w:rsidRDefault="00FF6640" w:rsidP="008C3358">
            <w:pPr>
              <w:spacing w:after="60"/>
              <w:rPr>
                <w:sz w:val="20"/>
              </w:rPr>
            </w:pPr>
            <w:r w:rsidRPr="00724D95">
              <w:rPr>
                <w:sz w:val="20"/>
              </w:rPr>
              <w:t>Royalty payments</w:t>
            </w:r>
          </w:p>
          <w:p w14:paraId="33D5E718" w14:textId="77777777" w:rsidR="00E973E8" w:rsidRPr="00724D95" w:rsidRDefault="00E973E8" w:rsidP="008C3358">
            <w:pPr>
              <w:spacing w:after="60"/>
              <w:rPr>
                <w:sz w:val="20"/>
              </w:rPr>
            </w:pPr>
          </w:p>
        </w:tc>
        <w:tc>
          <w:tcPr>
            <w:tcW w:w="9360" w:type="dxa"/>
          </w:tcPr>
          <w:p w14:paraId="300F4A27" w14:textId="77777777" w:rsidR="00FF6640" w:rsidRPr="00724D95" w:rsidRDefault="00FF6640" w:rsidP="008C3358">
            <w:pPr>
              <w:spacing w:after="60"/>
              <w:rPr>
                <w:sz w:val="20"/>
              </w:rPr>
            </w:pPr>
          </w:p>
        </w:tc>
        <w:tc>
          <w:tcPr>
            <w:tcW w:w="2927" w:type="dxa"/>
          </w:tcPr>
          <w:p w14:paraId="559C8A1E" w14:textId="77777777" w:rsidR="00FF6640" w:rsidRPr="00724D95" w:rsidRDefault="00FF6640" w:rsidP="008C3358">
            <w:pPr>
              <w:spacing w:after="60"/>
              <w:rPr>
                <w:sz w:val="20"/>
              </w:rPr>
            </w:pPr>
          </w:p>
        </w:tc>
      </w:tr>
      <w:tr w:rsidR="00E973E8" w:rsidRPr="004D5E47" w14:paraId="012EB10B" w14:textId="77777777" w:rsidTr="0087542E">
        <w:trPr>
          <w:cantSplit/>
        </w:trPr>
        <w:tc>
          <w:tcPr>
            <w:tcW w:w="2397" w:type="dxa"/>
          </w:tcPr>
          <w:p w14:paraId="343781D8" w14:textId="77777777" w:rsidR="00E973E8" w:rsidRPr="004D5E47" w:rsidRDefault="00E973E8" w:rsidP="0087542E">
            <w:pPr>
              <w:spacing w:after="60"/>
              <w:rPr>
                <w:sz w:val="20"/>
              </w:rPr>
            </w:pPr>
            <w:r w:rsidRPr="00E82FD0">
              <w:rPr>
                <w:sz w:val="20"/>
              </w:rPr>
              <w:t>— Ranger Project Area</w:t>
            </w:r>
          </w:p>
        </w:tc>
        <w:tc>
          <w:tcPr>
            <w:tcW w:w="9360" w:type="dxa"/>
          </w:tcPr>
          <w:p w14:paraId="507D0CFD" w14:textId="79284AA5" w:rsidR="00E973E8" w:rsidRPr="004D5E47" w:rsidRDefault="00205006" w:rsidP="0087542E">
            <w:pPr>
              <w:spacing w:after="60"/>
              <w:rPr>
                <w:sz w:val="20"/>
              </w:rPr>
            </w:pPr>
            <w:r>
              <w:rPr>
                <w:sz w:val="20"/>
              </w:rPr>
              <w:t xml:space="preserve">The Commonwealth </w:t>
            </w:r>
            <w:r w:rsidR="00E973E8" w:rsidRPr="00E82FD0">
              <w:rPr>
                <w:sz w:val="20"/>
              </w:rPr>
              <w:t>provide</w:t>
            </w:r>
            <w:r>
              <w:rPr>
                <w:sz w:val="20"/>
              </w:rPr>
              <w:t>s</w:t>
            </w:r>
            <w:r w:rsidR="00E973E8" w:rsidRPr="00E82FD0">
              <w:rPr>
                <w:sz w:val="20"/>
              </w:rPr>
              <w:t xml:space="preserve"> general purpose financial assistance to the Northern Territory in lieu of royalties on uranium mining due to the Commonwealth's ownership of uranium in the Northern Territory.</w:t>
            </w:r>
          </w:p>
        </w:tc>
        <w:tc>
          <w:tcPr>
            <w:tcW w:w="2927" w:type="dxa"/>
          </w:tcPr>
          <w:p w14:paraId="686837B9" w14:textId="77777777" w:rsidR="00E973E8" w:rsidRPr="004D5E47" w:rsidRDefault="00E973E8" w:rsidP="0087542E">
            <w:pPr>
              <w:spacing w:after="60"/>
              <w:rPr>
                <w:sz w:val="20"/>
              </w:rPr>
            </w:pPr>
            <w:r w:rsidRPr="00E82FD0">
              <w:rPr>
                <w:sz w:val="20"/>
              </w:rPr>
              <w:t>Schedule D – Payment arrangement of the Intergovernmental Agreement</w:t>
            </w:r>
          </w:p>
        </w:tc>
      </w:tr>
      <w:tr w:rsidR="00FF6640" w:rsidRPr="00E82FD0" w14:paraId="4A025841" w14:textId="77777777" w:rsidTr="009030C1">
        <w:trPr>
          <w:cantSplit/>
        </w:trPr>
        <w:tc>
          <w:tcPr>
            <w:tcW w:w="2397" w:type="dxa"/>
            <w:tcBorders>
              <w:bottom w:val="single" w:sz="4" w:space="0" w:color="auto"/>
            </w:tcBorders>
          </w:tcPr>
          <w:p w14:paraId="4239A2E0" w14:textId="77777777" w:rsidR="00FF6640" w:rsidRPr="00724D95" w:rsidRDefault="00FF6640" w:rsidP="008C3358">
            <w:pPr>
              <w:spacing w:after="60"/>
              <w:ind w:left="170" w:hanging="170"/>
              <w:rPr>
                <w:i/>
                <w:sz w:val="20"/>
              </w:rPr>
            </w:pPr>
            <w:r w:rsidRPr="00724D95">
              <w:rPr>
                <w:i/>
                <w:sz w:val="20"/>
              </w:rPr>
              <w:t>— Offshore Petroleum and Greenhouse Gas Storage Act 2006</w:t>
            </w:r>
          </w:p>
        </w:tc>
        <w:tc>
          <w:tcPr>
            <w:tcW w:w="9360" w:type="dxa"/>
            <w:tcBorders>
              <w:bottom w:val="single" w:sz="4" w:space="0" w:color="auto"/>
            </w:tcBorders>
          </w:tcPr>
          <w:p w14:paraId="382A54F3" w14:textId="77777777" w:rsidR="00FF6640" w:rsidRPr="00724D95" w:rsidRDefault="00FF6640" w:rsidP="008C3358">
            <w:pPr>
              <w:tabs>
                <w:tab w:val="num" w:pos="567"/>
              </w:tabs>
              <w:spacing w:after="60"/>
              <w:rPr>
                <w:sz w:val="20"/>
              </w:rPr>
            </w:pPr>
            <w:r w:rsidRPr="00724D95">
              <w:rPr>
                <w:sz w:val="20"/>
              </w:rPr>
              <w:t xml:space="preserve">The Commonwealth provides general purpose financial assistance to Western Australia from royalties payable under the </w:t>
            </w:r>
            <w:r w:rsidRPr="00724D95">
              <w:rPr>
                <w:i/>
                <w:iCs/>
                <w:sz w:val="20"/>
              </w:rPr>
              <w:t>Offshore Petroleum (Royalty) Act 2006</w:t>
            </w:r>
            <w:r w:rsidRPr="00724D95">
              <w:rPr>
                <w:sz w:val="20"/>
              </w:rPr>
              <w:t xml:space="preserve"> in respect of the North West Shelf oil and gas project off the coast of Western Australia. The Commonwealth collects these royalties because it has jurisdiction over off</w:t>
            </w:r>
            <w:r w:rsidRPr="00724D95">
              <w:rPr>
                <w:sz w:val="20"/>
              </w:rPr>
              <w:noBreakHyphen/>
              <w:t>shore areas.</w:t>
            </w:r>
          </w:p>
          <w:p w14:paraId="4B09C57E" w14:textId="77777777" w:rsidR="00FF6640" w:rsidRPr="00724D95" w:rsidRDefault="00FF6640" w:rsidP="008C3358">
            <w:pPr>
              <w:spacing w:after="60"/>
              <w:rPr>
                <w:sz w:val="20"/>
              </w:rPr>
            </w:pPr>
            <w:r w:rsidRPr="00724D95">
              <w:rPr>
                <w:sz w:val="20"/>
              </w:rPr>
              <w:t xml:space="preserve">These royalties will be shared between the Commonwealth (approximately one third) and Western Australia (approximately two thirds). These payment arrangements are in accordance with section 75 of the </w:t>
            </w:r>
            <w:r w:rsidRPr="00724D95">
              <w:rPr>
                <w:i/>
                <w:sz w:val="20"/>
              </w:rPr>
              <w:t>Offshore Petroleum and Greenhouse Gas Storage Act 2006</w:t>
            </w:r>
            <w:r w:rsidRPr="00724D95">
              <w:rPr>
                <w:sz w:val="20"/>
              </w:rPr>
              <w:t>.</w:t>
            </w:r>
          </w:p>
        </w:tc>
        <w:tc>
          <w:tcPr>
            <w:tcW w:w="2927" w:type="dxa"/>
            <w:tcBorders>
              <w:bottom w:val="single" w:sz="4" w:space="0" w:color="auto"/>
            </w:tcBorders>
          </w:tcPr>
          <w:p w14:paraId="50EA5D19" w14:textId="716C590C" w:rsidR="00FF6640" w:rsidRPr="00DB2716" w:rsidRDefault="00FF6640" w:rsidP="008C3358">
            <w:pPr>
              <w:spacing w:after="60"/>
              <w:rPr>
                <w:sz w:val="20"/>
              </w:rPr>
            </w:pPr>
            <w:r w:rsidRPr="00724D95">
              <w:rPr>
                <w:sz w:val="20"/>
              </w:rPr>
              <w:t>Schedule D – Payment arrangement</w:t>
            </w:r>
            <w:r>
              <w:rPr>
                <w:sz w:val="20"/>
              </w:rPr>
              <w:t>s</w:t>
            </w:r>
            <w:r w:rsidRPr="00724D95">
              <w:rPr>
                <w:sz w:val="20"/>
              </w:rPr>
              <w:t xml:space="preserve"> of the Intergovernmental Agreement</w:t>
            </w:r>
          </w:p>
        </w:tc>
      </w:tr>
    </w:tbl>
    <w:p w14:paraId="57009D17" w14:textId="77777777" w:rsidR="005E26E8" w:rsidRDefault="005E26E8" w:rsidP="005E26E8">
      <w:pPr>
        <w:pStyle w:val="SingleParagraph"/>
        <w:rPr>
          <w:noProof/>
        </w:rPr>
        <w:sectPr w:rsidR="005E26E8" w:rsidSect="005E26E8">
          <w:pgSz w:w="16838" w:h="11906" w:orient="landscape" w:code="9"/>
          <w:pgMar w:top="1418" w:right="1134" w:bottom="1418" w:left="1134" w:header="709" w:footer="709" w:gutter="0"/>
          <w:cols w:space="708"/>
          <w:docGrid w:linePitch="360"/>
        </w:sectPr>
      </w:pPr>
    </w:p>
    <w:p w14:paraId="11A3D602" w14:textId="7CAC16AF" w:rsidR="00DB2716" w:rsidRDefault="005E26E8" w:rsidP="00543569">
      <w:pPr>
        <w:pStyle w:val="Heading2"/>
      </w:pPr>
      <w:r w:rsidRPr="002F60A4">
        <w:lastRenderedPageBreak/>
        <w:t xml:space="preserve">Amounts of general purpose financial assistance on </w:t>
      </w:r>
      <w:r w:rsidR="009A78ED">
        <w:t>21 August</w:t>
      </w:r>
      <w:r w:rsidR="00AA796F">
        <w:t xml:space="preserve"> </w:t>
      </w:r>
      <w:r w:rsidR="00094B25">
        <w:t>2018</w:t>
      </w:r>
      <w:r w:rsidRPr="002F60A4">
        <w:t xml:space="preserve"> ($)</w:t>
      </w:r>
    </w:p>
    <w:tbl>
      <w:tblPr>
        <w:tblW w:w="14787" w:type="dxa"/>
        <w:tblInd w:w="108" w:type="dxa"/>
        <w:tblLook w:val="04A0" w:firstRow="1" w:lastRow="0" w:firstColumn="1" w:lastColumn="0" w:noHBand="0" w:noVBand="1"/>
      </w:tblPr>
      <w:tblGrid>
        <w:gridCol w:w="4500"/>
        <w:gridCol w:w="1143"/>
        <w:gridCol w:w="1143"/>
        <w:gridCol w:w="1143"/>
        <w:gridCol w:w="1143"/>
        <w:gridCol w:w="1143"/>
        <w:gridCol w:w="1143"/>
        <w:gridCol w:w="1143"/>
        <w:gridCol w:w="1143"/>
        <w:gridCol w:w="1143"/>
      </w:tblGrid>
      <w:tr w:rsidR="00D60E52" w:rsidRPr="001559CC" w14:paraId="28F18E04" w14:textId="77777777" w:rsidTr="00D60E52">
        <w:trPr>
          <w:trHeight w:val="317"/>
        </w:trPr>
        <w:tc>
          <w:tcPr>
            <w:tcW w:w="4500" w:type="dxa"/>
            <w:tcBorders>
              <w:top w:val="single" w:sz="4" w:space="0" w:color="auto"/>
              <w:left w:val="nil"/>
              <w:bottom w:val="single" w:sz="4" w:space="0" w:color="auto"/>
              <w:right w:val="nil"/>
            </w:tcBorders>
            <w:shd w:val="clear" w:color="auto" w:fill="auto"/>
            <w:noWrap/>
            <w:vAlign w:val="bottom"/>
            <w:hideMark/>
          </w:tcPr>
          <w:p w14:paraId="3CB1B962" w14:textId="77777777" w:rsidR="00D60E52" w:rsidRPr="004C6C3C" w:rsidRDefault="00D60E52" w:rsidP="00D60E52">
            <w:pPr>
              <w:spacing w:after="0"/>
              <w:rPr>
                <w:sz w:val="22"/>
                <w:szCs w:val="22"/>
              </w:rPr>
            </w:pPr>
            <w:r w:rsidRPr="004C6C3C">
              <w:rPr>
                <w:sz w:val="22"/>
                <w:szCs w:val="22"/>
              </w:rPr>
              <w:t> </w:t>
            </w:r>
          </w:p>
        </w:tc>
        <w:tc>
          <w:tcPr>
            <w:tcW w:w="1143" w:type="dxa"/>
            <w:tcBorders>
              <w:top w:val="single" w:sz="4" w:space="0" w:color="auto"/>
              <w:left w:val="nil"/>
              <w:bottom w:val="single" w:sz="4" w:space="0" w:color="auto"/>
              <w:right w:val="nil"/>
            </w:tcBorders>
            <w:shd w:val="clear" w:color="auto" w:fill="auto"/>
            <w:noWrap/>
            <w:vAlign w:val="bottom"/>
            <w:hideMark/>
          </w:tcPr>
          <w:p w14:paraId="0921C08B" w14:textId="77777777" w:rsidR="00D60E52" w:rsidRPr="004C6C3C" w:rsidRDefault="00D60E52" w:rsidP="00D60E52">
            <w:pPr>
              <w:spacing w:after="0"/>
              <w:jc w:val="center"/>
              <w:rPr>
                <w:b/>
                <w:bCs/>
                <w:sz w:val="22"/>
                <w:szCs w:val="22"/>
              </w:rPr>
            </w:pPr>
            <w:r w:rsidRPr="004C6C3C">
              <w:rPr>
                <w:b/>
                <w:bCs/>
                <w:sz w:val="22"/>
                <w:szCs w:val="22"/>
              </w:rPr>
              <w:t>NSW</w:t>
            </w:r>
          </w:p>
        </w:tc>
        <w:tc>
          <w:tcPr>
            <w:tcW w:w="1143" w:type="dxa"/>
            <w:tcBorders>
              <w:top w:val="single" w:sz="4" w:space="0" w:color="auto"/>
              <w:left w:val="nil"/>
              <w:bottom w:val="single" w:sz="4" w:space="0" w:color="auto"/>
              <w:right w:val="nil"/>
            </w:tcBorders>
            <w:shd w:val="clear" w:color="auto" w:fill="auto"/>
            <w:noWrap/>
            <w:vAlign w:val="bottom"/>
            <w:hideMark/>
          </w:tcPr>
          <w:p w14:paraId="6EE44319" w14:textId="77777777" w:rsidR="00D60E52" w:rsidRPr="004C6C3C" w:rsidRDefault="00D60E52" w:rsidP="00D60E52">
            <w:pPr>
              <w:spacing w:after="0"/>
              <w:jc w:val="center"/>
              <w:rPr>
                <w:b/>
                <w:bCs/>
                <w:sz w:val="22"/>
                <w:szCs w:val="22"/>
              </w:rPr>
            </w:pPr>
            <w:r w:rsidRPr="004C6C3C">
              <w:rPr>
                <w:b/>
                <w:bCs/>
                <w:sz w:val="22"/>
                <w:szCs w:val="22"/>
              </w:rPr>
              <w:t>VIC</w:t>
            </w:r>
          </w:p>
        </w:tc>
        <w:tc>
          <w:tcPr>
            <w:tcW w:w="1143" w:type="dxa"/>
            <w:tcBorders>
              <w:top w:val="single" w:sz="4" w:space="0" w:color="auto"/>
              <w:left w:val="nil"/>
              <w:bottom w:val="single" w:sz="4" w:space="0" w:color="auto"/>
              <w:right w:val="nil"/>
            </w:tcBorders>
            <w:shd w:val="clear" w:color="auto" w:fill="auto"/>
            <w:noWrap/>
            <w:vAlign w:val="bottom"/>
            <w:hideMark/>
          </w:tcPr>
          <w:p w14:paraId="45EF1589" w14:textId="77777777" w:rsidR="00D60E52" w:rsidRPr="004C6C3C" w:rsidRDefault="00D60E52" w:rsidP="00D60E52">
            <w:pPr>
              <w:spacing w:after="0"/>
              <w:jc w:val="center"/>
              <w:rPr>
                <w:b/>
                <w:bCs/>
                <w:sz w:val="22"/>
                <w:szCs w:val="22"/>
              </w:rPr>
            </w:pPr>
            <w:r w:rsidRPr="004C6C3C">
              <w:rPr>
                <w:b/>
                <w:bCs/>
                <w:sz w:val="22"/>
                <w:szCs w:val="22"/>
              </w:rPr>
              <w:t>QLD</w:t>
            </w:r>
          </w:p>
        </w:tc>
        <w:tc>
          <w:tcPr>
            <w:tcW w:w="1143" w:type="dxa"/>
            <w:tcBorders>
              <w:top w:val="single" w:sz="4" w:space="0" w:color="auto"/>
              <w:left w:val="nil"/>
              <w:bottom w:val="single" w:sz="4" w:space="0" w:color="auto"/>
              <w:right w:val="nil"/>
            </w:tcBorders>
            <w:shd w:val="clear" w:color="auto" w:fill="auto"/>
            <w:noWrap/>
            <w:vAlign w:val="bottom"/>
            <w:hideMark/>
          </w:tcPr>
          <w:p w14:paraId="001A0190" w14:textId="77777777" w:rsidR="00D60E52" w:rsidRPr="004C6C3C" w:rsidRDefault="00D60E52" w:rsidP="00D60E52">
            <w:pPr>
              <w:spacing w:after="0"/>
              <w:jc w:val="center"/>
              <w:rPr>
                <w:b/>
                <w:bCs/>
                <w:sz w:val="22"/>
                <w:szCs w:val="22"/>
              </w:rPr>
            </w:pPr>
            <w:r w:rsidRPr="004C6C3C">
              <w:rPr>
                <w:b/>
                <w:bCs/>
                <w:sz w:val="22"/>
                <w:szCs w:val="22"/>
              </w:rPr>
              <w:t>WA</w:t>
            </w:r>
          </w:p>
        </w:tc>
        <w:tc>
          <w:tcPr>
            <w:tcW w:w="1143" w:type="dxa"/>
            <w:tcBorders>
              <w:top w:val="single" w:sz="4" w:space="0" w:color="auto"/>
              <w:left w:val="nil"/>
              <w:bottom w:val="single" w:sz="4" w:space="0" w:color="auto"/>
              <w:right w:val="nil"/>
            </w:tcBorders>
            <w:shd w:val="clear" w:color="auto" w:fill="auto"/>
            <w:noWrap/>
            <w:vAlign w:val="bottom"/>
            <w:hideMark/>
          </w:tcPr>
          <w:p w14:paraId="00BAAE29" w14:textId="77777777" w:rsidR="00D60E52" w:rsidRPr="004C6C3C" w:rsidRDefault="00D60E52" w:rsidP="00D60E52">
            <w:pPr>
              <w:spacing w:after="0"/>
              <w:jc w:val="center"/>
              <w:rPr>
                <w:b/>
                <w:bCs/>
                <w:sz w:val="22"/>
                <w:szCs w:val="22"/>
              </w:rPr>
            </w:pPr>
            <w:r w:rsidRPr="004C6C3C">
              <w:rPr>
                <w:b/>
                <w:bCs/>
                <w:sz w:val="22"/>
                <w:szCs w:val="22"/>
              </w:rPr>
              <w:t>SA</w:t>
            </w:r>
          </w:p>
        </w:tc>
        <w:tc>
          <w:tcPr>
            <w:tcW w:w="1143" w:type="dxa"/>
            <w:tcBorders>
              <w:top w:val="single" w:sz="4" w:space="0" w:color="auto"/>
              <w:left w:val="nil"/>
              <w:bottom w:val="single" w:sz="4" w:space="0" w:color="auto"/>
              <w:right w:val="nil"/>
            </w:tcBorders>
            <w:shd w:val="clear" w:color="auto" w:fill="auto"/>
            <w:noWrap/>
            <w:vAlign w:val="bottom"/>
            <w:hideMark/>
          </w:tcPr>
          <w:p w14:paraId="14B7FAE5" w14:textId="77777777" w:rsidR="00D60E52" w:rsidRPr="004C6C3C" w:rsidRDefault="00D60E52" w:rsidP="00D60E52">
            <w:pPr>
              <w:spacing w:after="0"/>
              <w:jc w:val="center"/>
              <w:rPr>
                <w:b/>
                <w:bCs/>
                <w:sz w:val="22"/>
                <w:szCs w:val="22"/>
              </w:rPr>
            </w:pPr>
            <w:r w:rsidRPr="004C6C3C">
              <w:rPr>
                <w:b/>
                <w:bCs/>
                <w:sz w:val="22"/>
                <w:szCs w:val="22"/>
              </w:rPr>
              <w:t>TAS</w:t>
            </w:r>
          </w:p>
        </w:tc>
        <w:tc>
          <w:tcPr>
            <w:tcW w:w="1143" w:type="dxa"/>
            <w:tcBorders>
              <w:top w:val="single" w:sz="4" w:space="0" w:color="auto"/>
              <w:left w:val="nil"/>
              <w:bottom w:val="single" w:sz="4" w:space="0" w:color="auto"/>
              <w:right w:val="nil"/>
            </w:tcBorders>
            <w:shd w:val="clear" w:color="auto" w:fill="auto"/>
            <w:noWrap/>
            <w:vAlign w:val="bottom"/>
            <w:hideMark/>
          </w:tcPr>
          <w:p w14:paraId="7120D42E" w14:textId="77777777" w:rsidR="00D60E52" w:rsidRPr="004C6C3C" w:rsidRDefault="00D60E52" w:rsidP="00D60E52">
            <w:pPr>
              <w:spacing w:after="0"/>
              <w:jc w:val="center"/>
              <w:rPr>
                <w:b/>
                <w:bCs/>
                <w:sz w:val="22"/>
                <w:szCs w:val="22"/>
              </w:rPr>
            </w:pPr>
            <w:r w:rsidRPr="004C6C3C">
              <w:rPr>
                <w:b/>
                <w:bCs/>
                <w:sz w:val="22"/>
                <w:szCs w:val="22"/>
              </w:rPr>
              <w:t>ACT</w:t>
            </w:r>
          </w:p>
        </w:tc>
        <w:tc>
          <w:tcPr>
            <w:tcW w:w="1143" w:type="dxa"/>
            <w:tcBorders>
              <w:top w:val="single" w:sz="4" w:space="0" w:color="auto"/>
              <w:left w:val="nil"/>
              <w:bottom w:val="single" w:sz="4" w:space="0" w:color="auto"/>
              <w:right w:val="nil"/>
            </w:tcBorders>
            <w:shd w:val="clear" w:color="auto" w:fill="auto"/>
            <w:noWrap/>
            <w:vAlign w:val="bottom"/>
            <w:hideMark/>
          </w:tcPr>
          <w:p w14:paraId="1378DB56" w14:textId="77777777" w:rsidR="00D60E52" w:rsidRPr="004C6C3C" w:rsidRDefault="00D60E52" w:rsidP="00D60E52">
            <w:pPr>
              <w:spacing w:after="0"/>
              <w:jc w:val="center"/>
              <w:rPr>
                <w:b/>
                <w:bCs/>
                <w:sz w:val="22"/>
                <w:szCs w:val="22"/>
              </w:rPr>
            </w:pPr>
            <w:r w:rsidRPr="004C6C3C">
              <w:rPr>
                <w:b/>
                <w:bCs/>
                <w:sz w:val="22"/>
                <w:szCs w:val="22"/>
              </w:rPr>
              <w:t>NT</w:t>
            </w:r>
          </w:p>
        </w:tc>
        <w:tc>
          <w:tcPr>
            <w:tcW w:w="1143" w:type="dxa"/>
            <w:tcBorders>
              <w:top w:val="single" w:sz="4" w:space="0" w:color="auto"/>
              <w:left w:val="nil"/>
              <w:bottom w:val="single" w:sz="4" w:space="0" w:color="auto"/>
              <w:right w:val="nil"/>
            </w:tcBorders>
            <w:shd w:val="clear" w:color="auto" w:fill="auto"/>
            <w:noWrap/>
            <w:vAlign w:val="bottom"/>
            <w:hideMark/>
          </w:tcPr>
          <w:p w14:paraId="1E832A11" w14:textId="77777777" w:rsidR="00D60E52" w:rsidRPr="004C6C3C" w:rsidRDefault="00D60E52" w:rsidP="00D60E52">
            <w:pPr>
              <w:spacing w:after="0"/>
              <w:jc w:val="center"/>
              <w:rPr>
                <w:b/>
                <w:bCs/>
                <w:sz w:val="22"/>
                <w:szCs w:val="22"/>
              </w:rPr>
            </w:pPr>
            <w:r w:rsidRPr="004C6C3C">
              <w:rPr>
                <w:b/>
                <w:bCs/>
                <w:sz w:val="22"/>
                <w:szCs w:val="22"/>
              </w:rPr>
              <w:t>Total</w:t>
            </w:r>
          </w:p>
        </w:tc>
      </w:tr>
      <w:tr w:rsidR="00D60E52" w:rsidRPr="001559CC" w14:paraId="49D70EB5" w14:textId="77777777" w:rsidTr="00D60E52">
        <w:trPr>
          <w:trHeight w:val="373"/>
        </w:trPr>
        <w:tc>
          <w:tcPr>
            <w:tcW w:w="4500" w:type="dxa"/>
            <w:tcBorders>
              <w:top w:val="nil"/>
              <w:left w:val="nil"/>
              <w:bottom w:val="single" w:sz="4" w:space="0" w:color="auto"/>
              <w:right w:val="nil"/>
            </w:tcBorders>
            <w:shd w:val="clear" w:color="auto" w:fill="auto"/>
            <w:noWrap/>
            <w:vAlign w:val="bottom"/>
            <w:hideMark/>
          </w:tcPr>
          <w:p w14:paraId="55E20000" w14:textId="77777777" w:rsidR="00D60E52" w:rsidRPr="004C6C3C" w:rsidRDefault="00D60E52" w:rsidP="00D60E52">
            <w:pPr>
              <w:spacing w:after="0"/>
              <w:rPr>
                <w:b/>
                <w:bCs/>
                <w:color w:val="000000"/>
                <w:sz w:val="22"/>
                <w:szCs w:val="22"/>
              </w:rPr>
            </w:pPr>
            <w:r w:rsidRPr="004C6C3C">
              <w:rPr>
                <w:b/>
                <w:bCs/>
                <w:color w:val="000000"/>
                <w:sz w:val="22"/>
                <w:szCs w:val="22"/>
              </w:rPr>
              <w:t>General Revenue Assistance</w:t>
            </w:r>
          </w:p>
        </w:tc>
        <w:tc>
          <w:tcPr>
            <w:tcW w:w="1143" w:type="dxa"/>
            <w:tcBorders>
              <w:top w:val="nil"/>
              <w:left w:val="nil"/>
              <w:bottom w:val="single" w:sz="4" w:space="0" w:color="auto"/>
              <w:right w:val="nil"/>
            </w:tcBorders>
            <w:shd w:val="clear" w:color="auto" w:fill="auto"/>
            <w:noWrap/>
            <w:vAlign w:val="bottom"/>
            <w:hideMark/>
          </w:tcPr>
          <w:p w14:paraId="5A26E3F4" w14:textId="77777777" w:rsidR="00D60E52" w:rsidRPr="004C6C3C" w:rsidRDefault="00D60E52" w:rsidP="00D60E52">
            <w:pPr>
              <w:spacing w:after="0"/>
              <w:rPr>
                <w:color w:val="000000"/>
                <w:sz w:val="22"/>
                <w:szCs w:val="22"/>
              </w:rPr>
            </w:pPr>
            <w:r w:rsidRPr="004C6C3C">
              <w:rPr>
                <w:color w:val="000000"/>
                <w:sz w:val="22"/>
                <w:szCs w:val="22"/>
              </w:rPr>
              <w:t> </w:t>
            </w:r>
          </w:p>
        </w:tc>
        <w:tc>
          <w:tcPr>
            <w:tcW w:w="1143" w:type="dxa"/>
            <w:tcBorders>
              <w:top w:val="nil"/>
              <w:left w:val="nil"/>
              <w:bottom w:val="single" w:sz="4" w:space="0" w:color="auto"/>
              <w:right w:val="nil"/>
            </w:tcBorders>
            <w:shd w:val="clear" w:color="auto" w:fill="auto"/>
            <w:noWrap/>
            <w:vAlign w:val="bottom"/>
            <w:hideMark/>
          </w:tcPr>
          <w:p w14:paraId="2103ED52" w14:textId="77777777" w:rsidR="00D60E52" w:rsidRPr="004C6C3C" w:rsidRDefault="00D60E52" w:rsidP="00D60E52">
            <w:pPr>
              <w:spacing w:after="0"/>
              <w:rPr>
                <w:color w:val="000000"/>
                <w:sz w:val="22"/>
                <w:szCs w:val="22"/>
              </w:rPr>
            </w:pPr>
            <w:r w:rsidRPr="004C6C3C">
              <w:rPr>
                <w:color w:val="000000"/>
                <w:sz w:val="22"/>
                <w:szCs w:val="22"/>
              </w:rPr>
              <w:t> </w:t>
            </w:r>
          </w:p>
        </w:tc>
        <w:tc>
          <w:tcPr>
            <w:tcW w:w="1143" w:type="dxa"/>
            <w:tcBorders>
              <w:top w:val="nil"/>
              <w:left w:val="nil"/>
              <w:bottom w:val="single" w:sz="4" w:space="0" w:color="auto"/>
              <w:right w:val="nil"/>
            </w:tcBorders>
            <w:shd w:val="clear" w:color="auto" w:fill="auto"/>
            <w:noWrap/>
            <w:vAlign w:val="bottom"/>
            <w:hideMark/>
          </w:tcPr>
          <w:p w14:paraId="2EB428EC" w14:textId="77777777" w:rsidR="00D60E52" w:rsidRPr="004C6C3C" w:rsidRDefault="00D60E52" w:rsidP="00D60E52">
            <w:pPr>
              <w:spacing w:after="0"/>
              <w:rPr>
                <w:color w:val="000000"/>
                <w:sz w:val="22"/>
                <w:szCs w:val="22"/>
              </w:rPr>
            </w:pPr>
            <w:r w:rsidRPr="004C6C3C">
              <w:rPr>
                <w:color w:val="000000"/>
                <w:sz w:val="22"/>
                <w:szCs w:val="22"/>
              </w:rPr>
              <w:t> </w:t>
            </w:r>
          </w:p>
        </w:tc>
        <w:tc>
          <w:tcPr>
            <w:tcW w:w="1143" w:type="dxa"/>
            <w:tcBorders>
              <w:top w:val="nil"/>
              <w:left w:val="nil"/>
              <w:bottom w:val="single" w:sz="4" w:space="0" w:color="auto"/>
              <w:right w:val="nil"/>
            </w:tcBorders>
            <w:shd w:val="clear" w:color="auto" w:fill="auto"/>
            <w:noWrap/>
            <w:vAlign w:val="bottom"/>
            <w:hideMark/>
          </w:tcPr>
          <w:p w14:paraId="5092C02C" w14:textId="77777777" w:rsidR="00D60E52" w:rsidRPr="004C6C3C" w:rsidRDefault="00D60E52" w:rsidP="00D60E52">
            <w:pPr>
              <w:spacing w:after="0"/>
              <w:rPr>
                <w:color w:val="000000"/>
                <w:sz w:val="22"/>
                <w:szCs w:val="22"/>
              </w:rPr>
            </w:pPr>
            <w:r w:rsidRPr="004C6C3C">
              <w:rPr>
                <w:color w:val="000000"/>
                <w:sz w:val="22"/>
                <w:szCs w:val="22"/>
              </w:rPr>
              <w:t> </w:t>
            </w:r>
          </w:p>
        </w:tc>
        <w:tc>
          <w:tcPr>
            <w:tcW w:w="1143" w:type="dxa"/>
            <w:tcBorders>
              <w:top w:val="nil"/>
              <w:left w:val="nil"/>
              <w:bottom w:val="single" w:sz="4" w:space="0" w:color="auto"/>
              <w:right w:val="nil"/>
            </w:tcBorders>
            <w:shd w:val="clear" w:color="auto" w:fill="auto"/>
            <w:noWrap/>
            <w:vAlign w:val="bottom"/>
            <w:hideMark/>
          </w:tcPr>
          <w:p w14:paraId="28E33B0B" w14:textId="77777777" w:rsidR="00D60E52" w:rsidRPr="004C6C3C" w:rsidRDefault="00D60E52" w:rsidP="00D60E52">
            <w:pPr>
              <w:spacing w:after="0"/>
              <w:rPr>
                <w:color w:val="000000"/>
                <w:sz w:val="22"/>
                <w:szCs w:val="22"/>
              </w:rPr>
            </w:pPr>
            <w:r w:rsidRPr="004C6C3C">
              <w:rPr>
                <w:color w:val="000000"/>
                <w:sz w:val="22"/>
                <w:szCs w:val="22"/>
              </w:rPr>
              <w:t> </w:t>
            </w:r>
          </w:p>
        </w:tc>
        <w:tc>
          <w:tcPr>
            <w:tcW w:w="1143" w:type="dxa"/>
            <w:tcBorders>
              <w:top w:val="nil"/>
              <w:left w:val="nil"/>
              <w:bottom w:val="single" w:sz="4" w:space="0" w:color="auto"/>
              <w:right w:val="nil"/>
            </w:tcBorders>
            <w:shd w:val="clear" w:color="auto" w:fill="auto"/>
            <w:noWrap/>
            <w:vAlign w:val="bottom"/>
            <w:hideMark/>
          </w:tcPr>
          <w:p w14:paraId="305CCD6B" w14:textId="77777777" w:rsidR="00D60E52" w:rsidRPr="004C6C3C" w:rsidRDefault="00D60E52" w:rsidP="00D60E52">
            <w:pPr>
              <w:spacing w:after="0"/>
              <w:rPr>
                <w:color w:val="000000"/>
                <w:sz w:val="22"/>
                <w:szCs w:val="22"/>
              </w:rPr>
            </w:pPr>
            <w:r w:rsidRPr="004C6C3C">
              <w:rPr>
                <w:color w:val="000000"/>
                <w:sz w:val="22"/>
                <w:szCs w:val="22"/>
              </w:rPr>
              <w:t> </w:t>
            </w:r>
          </w:p>
        </w:tc>
        <w:tc>
          <w:tcPr>
            <w:tcW w:w="1143" w:type="dxa"/>
            <w:tcBorders>
              <w:top w:val="nil"/>
              <w:left w:val="nil"/>
              <w:bottom w:val="single" w:sz="4" w:space="0" w:color="auto"/>
              <w:right w:val="nil"/>
            </w:tcBorders>
            <w:shd w:val="clear" w:color="auto" w:fill="auto"/>
            <w:noWrap/>
            <w:vAlign w:val="bottom"/>
            <w:hideMark/>
          </w:tcPr>
          <w:p w14:paraId="73415317" w14:textId="77777777" w:rsidR="00D60E52" w:rsidRPr="004C6C3C" w:rsidRDefault="00D60E52" w:rsidP="00D60E52">
            <w:pPr>
              <w:spacing w:after="0"/>
              <w:rPr>
                <w:color w:val="000000"/>
                <w:sz w:val="22"/>
                <w:szCs w:val="22"/>
              </w:rPr>
            </w:pPr>
            <w:r w:rsidRPr="004C6C3C">
              <w:rPr>
                <w:color w:val="000000"/>
                <w:sz w:val="22"/>
                <w:szCs w:val="22"/>
              </w:rPr>
              <w:t> </w:t>
            </w:r>
          </w:p>
        </w:tc>
        <w:tc>
          <w:tcPr>
            <w:tcW w:w="1143" w:type="dxa"/>
            <w:tcBorders>
              <w:top w:val="nil"/>
              <w:left w:val="nil"/>
              <w:bottom w:val="single" w:sz="4" w:space="0" w:color="auto"/>
              <w:right w:val="nil"/>
            </w:tcBorders>
            <w:shd w:val="clear" w:color="auto" w:fill="auto"/>
            <w:noWrap/>
            <w:vAlign w:val="bottom"/>
            <w:hideMark/>
          </w:tcPr>
          <w:p w14:paraId="2C1D95AA" w14:textId="77777777" w:rsidR="00D60E52" w:rsidRPr="004C6C3C" w:rsidRDefault="00D60E52" w:rsidP="00D60E52">
            <w:pPr>
              <w:spacing w:after="0"/>
              <w:rPr>
                <w:color w:val="000000"/>
                <w:sz w:val="22"/>
                <w:szCs w:val="22"/>
              </w:rPr>
            </w:pPr>
            <w:r w:rsidRPr="004C6C3C">
              <w:rPr>
                <w:color w:val="000000"/>
                <w:sz w:val="22"/>
                <w:szCs w:val="22"/>
              </w:rPr>
              <w:t> </w:t>
            </w:r>
          </w:p>
        </w:tc>
        <w:tc>
          <w:tcPr>
            <w:tcW w:w="1143" w:type="dxa"/>
            <w:tcBorders>
              <w:top w:val="nil"/>
              <w:left w:val="nil"/>
              <w:bottom w:val="single" w:sz="4" w:space="0" w:color="auto"/>
              <w:right w:val="nil"/>
            </w:tcBorders>
            <w:shd w:val="clear" w:color="auto" w:fill="auto"/>
            <w:noWrap/>
            <w:vAlign w:val="bottom"/>
            <w:hideMark/>
          </w:tcPr>
          <w:p w14:paraId="06035B6D" w14:textId="77777777" w:rsidR="00D60E52" w:rsidRPr="004C6C3C" w:rsidRDefault="00D60E52" w:rsidP="00D60E52">
            <w:pPr>
              <w:spacing w:after="0"/>
              <w:rPr>
                <w:color w:val="000000"/>
                <w:sz w:val="22"/>
                <w:szCs w:val="22"/>
              </w:rPr>
            </w:pPr>
            <w:r w:rsidRPr="004C6C3C">
              <w:rPr>
                <w:color w:val="000000"/>
                <w:sz w:val="22"/>
                <w:szCs w:val="22"/>
              </w:rPr>
              <w:t> </w:t>
            </w:r>
          </w:p>
        </w:tc>
      </w:tr>
      <w:tr w:rsidR="004C6C3C" w:rsidRPr="001559CC" w14:paraId="27DF9271" w14:textId="77777777" w:rsidTr="009A78ED">
        <w:trPr>
          <w:trHeight w:val="373"/>
        </w:trPr>
        <w:tc>
          <w:tcPr>
            <w:tcW w:w="4500" w:type="dxa"/>
            <w:tcBorders>
              <w:top w:val="nil"/>
              <w:left w:val="single" w:sz="4" w:space="0" w:color="auto"/>
              <w:bottom w:val="nil"/>
              <w:right w:val="single" w:sz="4" w:space="0" w:color="auto"/>
            </w:tcBorders>
            <w:shd w:val="clear" w:color="auto" w:fill="auto"/>
            <w:vAlign w:val="center"/>
            <w:hideMark/>
          </w:tcPr>
          <w:p w14:paraId="5A5C12BD" w14:textId="77777777" w:rsidR="004C6C3C" w:rsidRPr="004C6C3C" w:rsidRDefault="004C6C3C" w:rsidP="00D60E52">
            <w:pPr>
              <w:spacing w:after="0"/>
              <w:rPr>
                <w:color w:val="000000"/>
                <w:sz w:val="16"/>
                <w:szCs w:val="16"/>
              </w:rPr>
            </w:pPr>
            <w:r w:rsidRPr="004C6C3C">
              <w:rPr>
                <w:color w:val="000000"/>
                <w:sz w:val="16"/>
                <w:szCs w:val="16"/>
              </w:rPr>
              <w:t>Compensation for impact on royalties of excise amendment</w:t>
            </w:r>
          </w:p>
        </w:tc>
        <w:tc>
          <w:tcPr>
            <w:tcW w:w="1143" w:type="dxa"/>
            <w:tcBorders>
              <w:top w:val="nil"/>
              <w:left w:val="nil"/>
              <w:bottom w:val="nil"/>
              <w:right w:val="nil"/>
            </w:tcBorders>
            <w:shd w:val="clear" w:color="auto" w:fill="auto"/>
            <w:noWrap/>
            <w:vAlign w:val="bottom"/>
            <w:hideMark/>
          </w:tcPr>
          <w:p w14:paraId="1947C676" w14:textId="77777777"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7195629F" w14:textId="77777777"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0AF57217" w14:textId="77777777"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tcPr>
          <w:p w14:paraId="0526874B" w14:textId="411D788E" w:rsidR="004C6C3C" w:rsidRPr="004C6C3C" w:rsidRDefault="004C6C3C" w:rsidP="00D60E52">
            <w:pPr>
              <w:spacing w:after="0"/>
              <w:jc w:val="right"/>
              <w:rPr>
                <w:color w:val="000000"/>
                <w:sz w:val="16"/>
                <w:szCs w:val="16"/>
              </w:rPr>
            </w:pPr>
            <w:r w:rsidRPr="004C6C3C">
              <w:rPr>
                <w:color w:val="000000"/>
                <w:sz w:val="16"/>
                <w:szCs w:val="16"/>
              </w:rPr>
              <w:t xml:space="preserve">3,065,718.36 </w:t>
            </w:r>
          </w:p>
        </w:tc>
        <w:tc>
          <w:tcPr>
            <w:tcW w:w="1143" w:type="dxa"/>
            <w:tcBorders>
              <w:top w:val="nil"/>
              <w:left w:val="nil"/>
              <w:bottom w:val="nil"/>
              <w:right w:val="nil"/>
            </w:tcBorders>
            <w:shd w:val="clear" w:color="auto" w:fill="auto"/>
            <w:noWrap/>
            <w:vAlign w:val="bottom"/>
            <w:hideMark/>
          </w:tcPr>
          <w:p w14:paraId="3220FECC" w14:textId="6F1C13AD"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36DB9494" w14:textId="602E4E07"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20DFBBA6" w14:textId="66AA5CD9"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422E8687" w14:textId="3E43A323"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single" w:sz="4" w:space="0" w:color="auto"/>
            </w:tcBorders>
            <w:shd w:val="clear" w:color="auto" w:fill="auto"/>
            <w:noWrap/>
            <w:vAlign w:val="bottom"/>
          </w:tcPr>
          <w:p w14:paraId="0DEBBDDD" w14:textId="43D64A75" w:rsidR="004C6C3C" w:rsidRPr="004C6C3C" w:rsidRDefault="004C6C3C" w:rsidP="00D60E52">
            <w:pPr>
              <w:spacing w:after="0"/>
              <w:jc w:val="right"/>
              <w:rPr>
                <w:color w:val="000000"/>
                <w:sz w:val="16"/>
                <w:szCs w:val="16"/>
              </w:rPr>
            </w:pPr>
            <w:r w:rsidRPr="004C6C3C">
              <w:rPr>
                <w:color w:val="000000"/>
                <w:sz w:val="16"/>
                <w:szCs w:val="16"/>
              </w:rPr>
              <w:t xml:space="preserve">3,065,718.36 </w:t>
            </w:r>
          </w:p>
        </w:tc>
      </w:tr>
      <w:tr w:rsidR="004C6C3C" w:rsidRPr="001559CC" w14:paraId="104D3ACB" w14:textId="77777777" w:rsidTr="009A78ED">
        <w:trPr>
          <w:trHeight w:val="373"/>
        </w:trPr>
        <w:tc>
          <w:tcPr>
            <w:tcW w:w="4500" w:type="dxa"/>
            <w:tcBorders>
              <w:top w:val="nil"/>
              <w:left w:val="single" w:sz="4" w:space="0" w:color="auto"/>
              <w:bottom w:val="nil"/>
              <w:right w:val="single" w:sz="4" w:space="0" w:color="auto"/>
            </w:tcBorders>
            <w:shd w:val="clear" w:color="auto" w:fill="auto"/>
            <w:vAlign w:val="center"/>
            <w:hideMark/>
          </w:tcPr>
          <w:p w14:paraId="4701B3A5" w14:textId="77777777" w:rsidR="004C6C3C" w:rsidRPr="004C6C3C" w:rsidRDefault="004C6C3C" w:rsidP="00D60E52">
            <w:pPr>
              <w:spacing w:after="0"/>
              <w:rPr>
                <w:color w:val="000000"/>
                <w:sz w:val="16"/>
                <w:szCs w:val="16"/>
              </w:rPr>
            </w:pPr>
            <w:r w:rsidRPr="004C6C3C">
              <w:rPr>
                <w:color w:val="000000"/>
                <w:sz w:val="16"/>
                <w:szCs w:val="16"/>
              </w:rPr>
              <w:t>ACT Municipal Services</w:t>
            </w:r>
          </w:p>
        </w:tc>
        <w:tc>
          <w:tcPr>
            <w:tcW w:w="1143" w:type="dxa"/>
            <w:tcBorders>
              <w:top w:val="nil"/>
              <w:left w:val="nil"/>
              <w:bottom w:val="nil"/>
              <w:right w:val="nil"/>
            </w:tcBorders>
            <w:shd w:val="clear" w:color="auto" w:fill="auto"/>
            <w:noWrap/>
            <w:vAlign w:val="bottom"/>
            <w:hideMark/>
          </w:tcPr>
          <w:p w14:paraId="27559C6E" w14:textId="77777777"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1A5EF97C" w14:textId="77777777"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4895D580" w14:textId="77777777"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372C65F8" w14:textId="2812B8CD"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3D50A619" w14:textId="02542E8A"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5A00E01A" w14:textId="37AA027C"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tcPr>
          <w:p w14:paraId="6EA2292C" w14:textId="102E181B" w:rsidR="004C6C3C" w:rsidRPr="004C6C3C" w:rsidRDefault="004C6C3C" w:rsidP="00D60E52">
            <w:pPr>
              <w:spacing w:after="0"/>
              <w:jc w:val="right"/>
              <w:rPr>
                <w:color w:val="000000"/>
                <w:sz w:val="16"/>
                <w:szCs w:val="16"/>
              </w:rPr>
            </w:pPr>
            <w:r w:rsidRPr="004C6C3C">
              <w:rPr>
                <w:color w:val="000000"/>
                <w:sz w:val="16"/>
                <w:szCs w:val="16"/>
              </w:rPr>
              <w:t xml:space="preserve">3,342,960.20 </w:t>
            </w:r>
          </w:p>
        </w:tc>
        <w:tc>
          <w:tcPr>
            <w:tcW w:w="1143" w:type="dxa"/>
            <w:tcBorders>
              <w:top w:val="nil"/>
              <w:left w:val="nil"/>
              <w:bottom w:val="nil"/>
              <w:right w:val="nil"/>
            </w:tcBorders>
            <w:shd w:val="clear" w:color="auto" w:fill="auto"/>
            <w:noWrap/>
            <w:vAlign w:val="bottom"/>
            <w:hideMark/>
          </w:tcPr>
          <w:p w14:paraId="5E12741E" w14:textId="11029699"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single" w:sz="4" w:space="0" w:color="auto"/>
            </w:tcBorders>
            <w:shd w:val="clear" w:color="auto" w:fill="auto"/>
            <w:noWrap/>
            <w:vAlign w:val="bottom"/>
          </w:tcPr>
          <w:p w14:paraId="04FD9BC3" w14:textId="2B58329E" w:rsidR="004C6C3C" w:rsidRPr="004C6C3C" w:rsidRDefault="004C6C3C" w:rsidP="00D60E52">
            <w:pPr>
              <w:spacing w:after="0"/>
              <w:jc w:val="right"/>
              <w:rPr>
                <w:color w:val="000000"/>
                <w:sz w:val="16"/>
                <w:szCs w:val="16"/>
              </w:rPr>
            </w:pPr>
            <w:r w:rsidRPr="004C6C3C">
              <w:rPr>
                <w:color w:val="000000"/>
                <w:sz w:val="16"/>
                <w:szCs w:val="16"/>
              </w:rPr>
              <w:t xml:space="preserve">3,342,960.20 </w:t>
            </w:r>
          </w:p>
        </w:tc>
      </w:tr>
      <w:tr w:rsidR="004C6C3C" w:rsidRPr="001559CC" w14:paraId="01E4EEB1" w14:textId="77777777" w:rsidTr="009A78ED">
        <w:trPr>
          <w:trHeight w:val="373"/>
        </w:trPr>
        <w:tc>
          <w:tcPr>
            <w:tcW w:w="4500" w:type="dxa"/>
            <w:tcBorders>
              <w:top w:val="nil"/>
              <w:left w:val="single" w:sz="4" w:space="0" w:color="auto"/>
              <w:bottom w:val="nil"/>
              <w:right w:val="single" w:sz="4" w:space="0" w:color="auto"/>
            </w:tcBorders>
            <w:shd w:val="clear" w:color="auto" w:fill="auto"/>
            <w:vAlign w:val="center"/>
          </w:tcPr>
          <w:p w14:paraId="66F875EC" w14:textId="16AFDA36" w:rsidR="004C6C3C" w:rsidRPr="004C6C3C" w:rsidRDefault="004C6C3C" w:rsidP="00D60E52">
            <w:pPr>
              <w:spacing w:after="0"/>
              <w:rPr>
                <w:color w:val="000000"/>
                <w:sz w:val="16"/>
                <w:szCs w:val="16"/>
              </w:rPr>
            </w:pPr>
            <w:r w:rsidRPr="004C6C3C">
              <w:rPr>
                <w:color w:val="000000"/>
                <w:sz w:val="16"/>
                <w:szCs w:val="16"/>
              </w:rPr>
              <w:t>Royalty Payments NT – Ranger Project Area</w:t>
            </w:r>
          </w:p>
        </w:tc>
        <w:tc>
          <w:tcPr>
            <w:tcW w:w="1143" w:type="dxa"/>
            <w:tcBorders>
              <w:top w:val="nil"/>
              <w:left w:val="nil"/>
              <w:bottom w:val="nil"/>
              <w:right w:val="nil"/>
            </w:tcBorders>
            <w:shd w:val="clear" w:color="auto" w:fill="auto"/>
            <w:noWrap/>
            <w:vAlign w:val="bottom"/>
          </w:tcPr>
          <w:p w14:paraId="64D0C190" w14:textId="79867517" w:rsidR="004C6C3C" w:rsidRPr="004C6C3C" w:rsidRDefault="00507294" w:rsidP="00D60E52">
            <w:pPr>
              <w:spacing w:after="0"/>
              <w:jc w:val="right"/>
              <w:rPr>
                <w:color w:val="000000"/>
                <w:sz w:val="16"/>
                <w:szCs w:val="16"/>
              </w:rPr>
            </w:pPr>
            <w:r>
              <w:rPr>
                <w:color w:val="000000"/>
                <w:sz w:val="16"/>
                <w:szCs w:val="16"/>
              </w:rPr>
              <w:t>-</w:t>
            </w:r>
          </w:p>
        </w:tc>
        <w:tc>
          <w:tcPr>
            <w:tcW w:w="1143" w:type="dxa"/>
            <w:tcBorders>
              <w:top w:val="nil"/>
              <w:left w:val="nil"/>
              <w:bottom w:val="nil"/>
              <w:right w:val="nil"/>
            </w:tcBorders>
            <w:shd w:val="clear" w:color="auto" w:fill="auto"/>
            <w:noWrap/>
            <w:vAlign w:val="bottom"/>
          </w:tcPr>
          <w:p w14:paraId="379EAFF1" w14:textId="6080B727" w:rsidR="004C6C3C" w:rsidRPr="004C6C3C" w:rsidRDefault="00507294" w:rsidP="00D60E52">
            <w:pPr>
              <w:spacing w:after="0"/>
              <w:jc w:val="right"/>
              <w:rPr>
                <w:color w:val="000000"/>
                <w:sz w:val="16"/>
                <w:szCs w:val="16"/>
              </w:rPr>
            </w:pPr>
            <w:r>
              <w:rPr>
                <w:color w:val="000000"/>
                <w:sz w:val="16"/>
                <w:szCs w:val="16"/>
              </w:rPr>
              <w:t>-</w:t>
            </w:r>
          </w:p>
        </w:tc>
        <w:tc>
          <w:tcPr>
            <w:tcW w:w="1143" w:type="dxa"/>
            <w:tcBorders>
              <w:top w:val="nil"/>
              <w:left w:val="nil"/>
              <w:bottom w:val="nil"/>
              <w:right w:val="nil"/>
            </w:tcBorders>
            <w:shd w:val="clear" w:color="auto" w:fill="auto"/>
            <w:noWrap/>
            <w:vAlign w:val="bottom"/>
          </w:tcPr>
          <w:p w14:paraId="5DD08957" w14:textId="1DDF2C7E" w:rsidR="004C6C3C" w:rsidRPr="004C6C3C" w:rsidRDefault="00507294" w:rsidP="00D60E52">
            <w:pPr>
              <w:spacing w:after="0"/>
              <w:jc w:val="right"/>
              <w:rPr>
                <w:color w:val="000000"/>
                <w:sz w:val="16"/>
                <w:szCs w:val="16"/>
              </w:rPr>
            </w:pPr>
            <w:r>
              <w:rPr>
                <w:color w:val="000000"/>
                <w:sz w:val="16"/>
                <w:szCs w:val="16"/>
              </w:rPr>
              <w:t>-</w:t>
            </w:r>
          </w:p>
        </w:tc>
        <w:tc>
          <w:tcPr>
            <w:tcW w:w="1143" w:type="dxa"/>
            <w:tcBorders>
              <w:top w:val="nil"/>
              <w:left w:val="nil"/>
              <w:bottom w:val="nil"/>
              <w:right w:val="nil"/>
            </w:tcBorders>
            <w:shd w:val="clear" w:color="auto" w:fill="auto"/>
            <w:noWrap/>
            <w:vAlign w:val="bottom"/>
          </w:tcPr>
          <w:p w14:paraId="2431B1D0" w14:textId="719A925D"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tcPr>
          <w:p w14:paraId="217F3EEC" w14:textId="51EDF81D"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tcPr>
          <w:p w14:paraId="299DACB7" w14:textId="315453D1"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tcPr>
          <w:p w14:paraId="20F7BF2D" w14:textId="0B204641"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tcPr>
          <w:p w14:paraId="5B6DDAE4" w14:textId="7033F078" w:rsidR="004C6C3C" w:rsidRPr="004C6C3C" w:rsidRDefault="004C6C3C" w:rsidP="00D60E52">
            <w:pPr>
              <w:spacing w:after="0"/>
              <w:jc w:val="right"/>
              <w:rPr>
                <w:color w:val="000000"/>
                <w:sz w:val="16"/>
                <w:szCs w:val="16"/>
              </w:rPr>
            </w:pPr>
            <w:r w:rsidRPr="004C6C3C">
              <w:rPr>
                <w:color w:val="000000"/>
                <w:sz w:val="16"/>
                <w:szCs w:val="16"/>
              </w:rPr>
              <w:t xml:space="preserve">1,967,794.86 </w:t>
            </w:r>
          </w:p>
        </w:tc>
        <w:tc>
          <w:tcPr>
            <w:tcW w:w="1143" w:type="dxa"/>
            <w:tcBorders>
              <w:top w:val="nil"/>
              <w:left w:val="nil"/>
              <w:bottom w:val="nil"/>
              <w:right w:val="single" w:sz="4" w:space="0" w:color="auto"/>
            </w:tcBorders>
            <w:shd w:val="clear" w:color="auto" w:fill="auto"/>
            <w:noWrap/>
            <w:vAlign w:val="bottom"/>
          </w:tcPr>
          <w:p w14:paraId="207349DA" w14:textId="72F406A5" w:rsidR="004C6C3C" w:rsidRPr="004C6C3C" w:rsidRDefault="004C6C3C" w:rsidP="00D60E52">
            <w:pPr>
              <w:spacing w:after="0"/>
              <w:jc w:val="right"/>
              <w:rPr>
                <w:color w:val="000000"/>
                <w:sz w:val="16"/>
                <w:szCs w:val="16"/>
              </w:rPr>
            </w:pPr>
            <w:r w:rsidRPr="004C6C3C">
              <w:rPr>
                <w:color w:val="000000"/>
                <w:sz w:val="16"/>
                <w:szCs w:val="16"/>
              </w:rPr>
              <w:t xml:space="preserve">1,967,794.86 </w:t>
            </w:r>
          </w:p>
        </w:tc>
      </w:tr>
      <w:tr w:rsidR="004C6C3C" w:rsidRPr="001559CC" w14:paraId="07A90CC4" w14:textId="77777777" w:rsidTr="009A78ED">
        <w:trPr>
          <w:trHeight w:val="373"/>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7DD54500" w14:textId="77777777" w:rsidR="004C6C3C" w:rsidRPr="004C6C3C" w:rsidRDefault="004C6C3C" w:rsidP="00D60E52">
            <w:pPr>
              <w:spacing w:after="0"/>
              <w:rPr>
                <w:color w:val="000000"/>
                <w:sz w:val="16"/>
                <w:szCs w:val="16"/>
              </w:rPr>
            </w:pPr>
            <w:r w:rsidRPr="004C6C3C">
              <w:rPr>
                <w:color w:val="000000"/>
                <w:sz w:val="16"/>
                <w:szCs w:val="16"/>
              </w:rPr>
              <w:t>Offshore Petroleum &amp; Greenhouse Gas Storage Act 2006</w:t>
            </w:r>
          </w:p>
        </w:tc>
        <w:tc>
          <w:tcPr>
            <w:tcW w:w="1143" w:type="dxa"/>
            <w:tcBorders>
              <w:top w:val="nil"/>
              <w:left w:val="nil"/>
              <w:bottom w:val="nil"/>
              <w:right w:val="nil"/>
            </w:tcBorders>
            <w:shd w:val="clear" w:color="auto" w:fill="auto"/>
            <w:noWrap/>
            <w:vAlign w:val="bottom"/>
            <w:hideMark/>
          </w:tcPr>
          <w:p w14:paraId="79C5073C" w14:textId="77777777"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16B37AC4" w14:textId="77777777"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7E796F51" w14:textId="77777777"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tcPr>
          <w:p w14:paraId="13B06686" w14:textId="7E983E16" w:rsidR="004C6C3C" w:rsidRPr="004C6C3C" w:rsidRDefault="004C6C3C" w:rsidP="00D60E52">
            <w:pPr>
              <w:spacing w:after="0"/>
              <w:jc w:val="right"/>
              <w:rPr>
                <w:color w:val="000000"/>
                <w:sz w:val="16"/>
                <w:szCs w:val="16"/>
              </w:rPr>
            </w:pPr>
            <w:r w:rsidRPr="004C6C3C">
              <w:rPr>
                <w:color w:val="000000"/>
                <w:sz w:val="16"/>
                <w:szCs w:val="16"/>
              </w:rPr>
              <w:t xml:space="preserve">68,141,816.52 </w:t>
            </w:r>
          </w:p>
        </w:tc>
        <w:tc>
          <w:tcPr>
            <w:tcW w:w="1143" w:type="dxa"/>
            <w:tcBorders>
              <w:top w:val="nil"/>
              <w:left w:val="nil"/>
              <w:bottom w:val="nil"/>
              <w:right w:val="nil"/>
            </w:tcBorders>
            <w:shd w:val="clear" w:color="auto" w:fill="auto"/>
            <w:noWrap/>
            <w:vAlign w:val="bottom"/>
            <w:hideMark/>
          </w:tcPr>
          <w:p w14:paraId="7159CBF6" w14:textId="6A8503AA"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1CF29FCB" w14:textId="3F04B358"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22E8F927" w14:textId="4FF71092"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nil"/>
            </w:tcBorders>
            <w:shd w:val="clear" w:color="auto" w:fill="auto"/>
            <w:noWrap/>
            <w:vAlign w:val="bottom"/>
            <w:hideMark/>
          </w:tcPr>
          <w:p w14:paraId="5EAB0ECE" w14:textId="3E75C870" w:rsidR="004C6C3C" w:rsidRPr="004C6C3C" w:rsidRDefault="004C6C3C" w:rsidP="00D60E52">
            <w:pPr>
              <w:spacing w:after="0"/>
              <w:jc w:val="right"/>
              <w:rPr>
                <w:color w:val="000000"/>
                <w:sz w:val="16"/>
                <w:szCs w:val="16"/>
              </w:rPr>
            </w:pPr>
            <w:r w:rsidRPr="004C6C3C">
              <w:rPr>
                <w:color w:val="000000"/>
                <w:sz w:val="16"/>
                <w:szCs w:val="16"/>
              </w:rPr>
              <w:t xml:space="preserve">- </w:t>
            </w:r>
          </w:p>
        </w:tc>
        <w:tc>
          <w:tcPr>
            <w:tcW w:w="1143" w:type="dxa"/>
            <w:tcBorders>
              <w:top w:val="nil"/>
              <w:left w:val="nil"/>
              <w:bottom w:val="nil"/>
              <w:right w:val="single" w:sz="4" w:space="0" w:color="auto"/>
            </w:tcBorders>
            <w:shd w:val="clear" w:color="auto" w:fill="auto"/>
            <w:noWrap/>
            <w:vAlign w:val="bottom"/>
          </w:tcPr>
          <w:p w14:paraId="6363D32B" w14:textId="47973805" w:rsidR="004C6C3C" w:rsidRPr="004C6C3C" w:rsidRDefault="004C6C3C" w:rsidP="00D60E52">
            <w:pPr>
              <w:spacing w:after="0"/>
              <w:jc w:val="right"/>
              <w:rPr>
                <w:color w:val="000000"/>
                <w:sz w:val="16"/>
                <w:szCs w:val="16"/>
              </w:rPr>
            </w:pPr>
            <w:r w:rsidRPr="004C6C3C">
              <w:rPr>
                <w:color w:val="000000"/>
                <w:sz w:val="16"/>
                <w:szCs w:val="16"/>
              </w:rPr>
              <w:t xml:space="preserve">68,141,816.52 </w:t>
            </w:r>
          </w:p>
        </w:tc>
      </w:tr>
      <w:tr w:rsidR="004C6C3C" w:rsidRPr="00D60E52" w14:paraId="4EA32BB0" w14:textId="77777777" w:rsidTr="009A78ED">
        <w:trPr>
          <w:trHeight w:val="327"/>
        </w:trPr>
        <w:tc>
          <w:tcPr>
            <w:tcW w:w="4500" w:type="dxa"/>
            <w:tcBorders>
              <w:top w:val="nil"/>
              <w:left w:val="single" w:sz="4" w:space="0" w:color="auto"/>
              <w:bottom w:val="single" w:sz="4" w:space="0" w:color="auto"/>
              <w:right w:val="single" w:sz="4" w:space="0" w:color="auto"/>
            </w:tcBorders>
            <w:shd w:val="clear" w:color="000000" w:fill="C5D9F1"/>
            <w:noWrap/>
            <w:vAlign w:val="bottom"/>
            <w:hideMark/>
          </w:tcPr>
          <w:p w14:paraId="7B5B5D24" w14:textId="77777777" w:rsidR="004C6C3C" w:rsidRPr="004C6C3C" w:rsidRDefault="004C6C3C" w:rsidP="00D60E52">
            <w:pPr>
              <w:spacing w:after="0"/>
              <w:rPr>
                <w:b/>
                <w:bCs/>
                <w:color w:val="000000"/>
                <w:sz w:val="16"/>
                <w:szCs w:val="16"/>
              </w:rPr>
            </w:pPr>
            <w:r w:rsidRPr="004C6C3C">
              <w:rPr>
                <w:b/>
                <w:bCs/>
                <w:color w:val="000000"/>
                <w:sz w:val="16"/>
                <w:szCs w:val="16"/>
              </w:rPr>
              <w:t>Total General Revenue Assistance</w:t>
            </w:r>
          </w:p>
        </w:tc>
        <w:tc>
          <w:tcPr>
            <w:tcW w:w="1143" w:type="dxa"/>
            <w:tcBorders>
              <w:top w:val="single" w:sz="4" w:space="0" w:color="auto"/>
              <w:left w:val="nil"/>
              <w:bottom w:val="single" w:sz="4" w:space="0" w:color="auto"/>
              <w:right w:val="nil"/>
            </w:tcBorders>
            <w:shd w:val="clear" w:color="000000" w:fill="C5D9F1"/>
            <w:noWrap/>
            <w:vAlign w:val="bottom"/>
            <w:hideMark/>
          </w:tcPr>
          <w:p w14:paraId="7B113924" w14:textId="77777777" w:rsidR="004C6C3C" w:rsidRPr="004C6C3C" w:rsidRDefault="004C6C3C" w:rsidP="00D60E52">
            <w:pPr>
              <w:spacing w:after="0"/>
              <w:jc w:val="right"/>
              <w:rPr>
                <w:b/>
                <w:bCs/>
                <w:color w:val="000000"/>
                <w:sz w:val="16"/>
                <w:szCs w:val="16"/>
              </w:rPr>
            </w:pPr>
            <w:r w:rsidRPr="004C6C3C">
              <w:rPr>
                <w:b/>
                <w:bCs/>
                <w:color w:val="000000"/>
                <w:sz w:val="16"/>
                <w:szCs w:val="16"/>
              </w:rPr>
              <w:t xml:space="preserve">- </w:t>
            </w:r>
          </w:p>
        </w:tc>
        <w:tc>
          <w:tcPr>
            <w:tcW w:w="1143" w:type="dxa"/>
            <w:tcBorders>
              <w:top w:val="single" w:sz="4" w:space="0" w:color="auto"/>
              <w:left w:val="nil"/>
              <w:bottom w:val="single" w:sz="4" w:space="0" w:color="auto"/>
              <w:right w:val="nil"/>
            </w:tcBorders>
            <w:shd w:val="clear" w:color="000000" w:fill="C5D9F1"/>
            <w:noWrap/>
            <w:vAlign w:val="bottom"/>
            <w:hideMark/>
          </w:tcPr>
          <w:p w14:paraId="5ECA1F13" w14:textId="77777777" w:rsidR="004C6C3C" w:rsidRPr="004C6C3C" w:rsidRDefault="004C6C3C" w:rsidP="00D60E52">
            <w:pPr>
              <w:spacing w:after="0"/>
              <w:jc w:val="right"/>
              <w:rPr>
                <w:b/>
                <w:bCs/>
                <w:color w:val="000000"/>
                <w:sz w:val="16"/>
                <w:szCs w:val="16"/>
              </w:rPr>
            </w:pPr>
            <w:r w:rsidRPr="004C6C3C">
              <w:rPr>
                <w:b/>
                <w:bCs/>
                <w:color w:val="000000"/>
                <w:sz w:val="16"/>
                <w:szCs w:val="16"/>
              </w:rPr>
              <w:t xml:space="preserve">- </w:t>
            </w:r>
          </w:p>
        </w:tc>
        <w:tc>
          <w:tcPr>
            <w:tcW w:w="1143" w:type="dxa"/>
            <w:tcBorders>
              <w:top w:val="single" w:sz="4" w:space="0" w:color="auto"/>
              <w:left w:val="nil"/>
              <w:bottom w:val="single" w:sz="4" w:space="0" w:color="auto"/>
              <w:right w:val="nil"/>
            </w:tcBorders>
            <w:shd w:val="clear" w:color="000000" w:fill="C5D9F1"/>
            <w:noWrap/>
            <w:vAlign w:val="bottom"/>
            <w:hideMark/>
          </w:tcPr>
          <w:p w14:paraId="0B1705A1" w14:textId="77777777" w:rsidR="004C6C3C" w:rsidRPr="004C6C3C" w:rsidRDefault="004C6C3C" w:rsidP="00D60E52">
            <w:pPr>
              <w:spacing w:after="0"/>
              <w:jc w:val="right"/>
              <w:rPr>
                <w:b/>
                <w:bCs/>
                <w:color w:val="000000"/>
                <w:sz w:val="16"/>
                <w:szCs w:val="16"/>
              </w:rPr>
            </w:pPr>
            <w:r w:rsidRPr="004C6C3C">
              <w:rPr>
                <w:b/>
                <w:bCs/>
                <w:color w:val="000000"/>
                <w:sz w:val="16"/>
                <w:szCs w:val="16"/>
              </w:rPr>
              <w:t xml:space="preserve">- </w:t>
            </w:r>
          </w:p>
        </w:tc>
        <w:tc>
          <w:tcPr>
            <w:tcW w:w="1143" w:type="dxa"/>
            <w:tcBorders>
              <w:top w:val="single" w:sz="4" w:space="0" w:color="auto"/>
              <w:left w:val="nil"/>
              <w:bottom w:val="single" w:sz="4" w:space="0" w:color="auto"/>
              <w:right w:val="nil"/>
            </w:tcBorders>
            <w:shd w:val="clear" w:color="000000" w:fill="C5D9F1"/>
            <w:noWrap/>
            <w:vAlign w:val="bottom"/>
          </w:tcPr>
          <w:p w14:paraId="0D3FB048" w14:textId="0F4CEEA9" w:rsidR="004C6C3C" w:rsidRPr="004C6C3C" w:rsidRDefault="004C6C3C" w:rsidP="00D60E52">
            <w:pPr>
              <w:spacing w:after="0"/>
              <w:jc w:val="right"/>
              <w:rPr>
                <w:b/>
                <w:bCs/>
                <w:color w:val="000000"/>
                <w:sz w:val="16"/>
                <w:szCs w:val="16"/>
              </w:rPr>
            </w:pPr>
            <w:r w:rsidRPr="004C6C3C">
              <w:rPr>
                <w:b/>
                <w:bCs/>
                <w:color w:val="000000"/>
                <w:sz w:val="16"/>
                <w:szCs w:val="16"/>
              </w:rPr>
              <w:t xml:space="preserve">71,207,534.88 </w:t>
            </w:r>
          </w:p>
        </w:tc>
        <w:tc>
          <w:tcPr>
            <w:tcW w:w="1143" w:type="dxa"/>
            <w:tcBorders>
              <w:top w:val="single" w:sz="4" w:space="0" w:color="auto"/>
              <w:left w:val="nil"/>
              <w:bottom w:val="single" w:sz="4" w:space="0" w:color="auto"/>
              <w:right w:val="nil"/>
            </w:tcBorders>
            <w:shd w:val="clear" w:color="000000" w:fill="C5D9F1"/>
            <w:noWrap/>
            <w:vAlign w:val="bottom"/>
            <w:hideMark/>
          </w:tcPr>
          <w:p w14:paraId="5F5A75DF" w14:textId="00FEC628" w:rsidR="004C6C3C" w:rsidRPr="004C6C3C" w:rsidRDefault="004C6C3C" w:rsidP="00D60E52">
            <w:pPr>
              <w:spacing w:after="0"/>
              <w:jc w:val="right"/>
              <w:rPr>
                <w:b/>
                <w:bCs/>
                <w:color w:val="000000"/>
                <w:sz w:val="16"/>
                <w:szCs w:val="16"/>
              </w:rPr>
            </w:pPr>
            <w:r w:rsidRPr="004C6C3C">
              <w:rPr>
                <w:b/>
                <w:bCs/>
                <w:color w:val="000000"/>
                <w:sz w:val="16"/>
                <w:szCs w:val="16"/>
              </w:rPr>
              <w:t xml:space="preserve">- </w:t>
            </w:r>
          </w:p>
        </w:tc>
        <w:tc>
          <w:tcPr>
            <w:tcW w:w="1143" w:type="dxa"/>
            <w:tcBorders>
              <w:top w:val="single" w:sz="4" w:space="0" w:color="auto"/>
              <w:left w:val="nil"/>
              <w:bottom w:val="single" w:sz="4" w:space="0" w:color="auto"/>
              <w:right w:val="nil"/>
            </w:tcBorders>
            <w:shd w:val="clear" w:color="000000" w:fill="C5D9F1"/>
            <w:noWrap/>
            <w:vAlign w:val="bottom"/>
            <w:hideMark/>
          </w:tcPr>
          <w:p w14:paraId="2C68E34D" w14:textId="533E8A18" w:rsidR="004C6C3C" w:rsidRPr="004C6C3C" w:rsidRDefault="004C6C3C" w:rsidP="00D60E52">
            <w:pPr>
              <w:spacing w:after="0"/>
              <w:jc w:val="right"/>
              <w:rPr>
                <w:b/>
                <w:bCs/>
                <w:color w:val="000000"/>
                <w:sz w:val="16"/>
                <w:szCs w:val="16"/>
              </w:rPr>
            </w:pPr>
            <w:r w:rsidRPr="004C6C3C">
              <w:rPr>
                <w:b/>
                <w:bCs/>
                <w:color w:val="000000"/>
                <w:sz w:val="16"/>
                <w:szCs w:val="16"/>
              </w:rPr>
              <w:t xml:space="preserve">- </w:t>
            </w:r>
          </w:p>
        </w:tc>
        <w:tc>
          <w:tcPr>
            <w:tcW w:w="1143" w:type="dxa"/>
            <w:tcBorders>
              <w:top w:val="single" w:sz="4" w:space="0" w:color="auto"/>
              <w:left w:val="nil"/>
              <w:bottom w:val="single" w:sz="4" w:space="0" w:color="auto"/>
              <w:right w:val="nil"/>
            </w:tcBorders>
            <w:shd w:val="clear" w:color="000000" w:fill="C5D9F1"/>
            <w:noWrap/>
            <w:vAlign w:val="bottom"/>
          </w:tcPr>
          <w:p w14:paraId="4EE4BB0B" w14:textId="2144A4BF" w:rsidR="004C6C3C" w:rsidRPr="004C6C3C" w:rsidRDefault="004C6C3C" w:rsidP="00D60E52">
            <w:pPr>
              <w:spacing w:after="0"/>
              <w:jc w:val="right"/>
              <w:rPr>
                <w:b/>
                <w:bCs/>
                <w:color w:val="000000"/>
                <w:sz w:val="16"/>
                <w:szCs w:val="16"/>
              </w:rPr>
            </w:pPr>
            <w:r w:rsidRPr="004C6C3C">
              <w:rPr>
                <w:b/>
                <w:bCs/>
                <w:color w:val="000000"/>
                <w:sz w:val="16"/>
                <w:szCs w:val="16"/>
              </w:rPr>
              <w:t xml:space="preserve">3,342,960.20 </w:t>
            </w:r>
          </w:p>
        </w:tc>
        <w:tc>
          <w:tcPr>
            <w:tcW w:w="1143" w:type="dxa"/>
            <w:tcBorders>
              <w:top w:val="single" w:sz="4" w:space="0" w:color="auto"/>
              <w:left w:val="nil"/>
              <w:bottom w:val="single" w:sz="4" w:space="0" w:color="auto"/>
              <w:right w:val="nil"/>
            </w:tcBorders>
            <w:shd w:val="clear" w:color="000000" w:fill="C5D9F1"/>
            <w:noWrap/>
            <w:vAlign w:val="bottom"/>
            <w:hideMark/>
          </w:tcPr>
          <w:p w14:paraId="37E86612" w14:textId="43751C89" w:rsidR="004C6C3C" w:rsidRPr="004C6C3C" w:rsidRDefault="004C6C3C" w:rsidP="00D60E52">
            <w:pPr>
              <w:spacing w:after="0"/>
              <w:jc w:val="right"/>
              <w:rPr>
                <w:b/>
                <w:bCs/>
                <w:color w:val="000000"/>
                <w:sz w:val="16"/>
                <w:szCs w:val="16"/>
              </w:rPr>
            </w:pPr>
            <w:r w:rsidRPr="004C6C3C">
              <w:rPr>
                <w:b/>
                <w:bCs/>
                <w:color w:val="000000"/>
                <w:sz w:val="16"/>
                <w:szCs w:val="16"/>
              </w:rPr>
              <w:t xml:space="preserve">1,967,794.86 </w:t>
            </w:r>
          </w:p>
        </w:tc>
        <w:tc>
          <w:tcPr>
            <w:tcW w:w="1143" w:type="dxa"/>
            <w:tcBorders>
              <w:top w:val="single" w:sz="4" w:space="0" w:color="auto"/>
              <w:left w:val="nil"/>
              <w:bottom w:val="single" w:sz="4" w:space="0" w:color="auto"/>
              <w:right w:val="single" w:sz="4" w:space="0" w:color="auto"/>
            </w:tcBorders>
            <w:shd w:val="clear" w:color="000000" w:fill="C5D9F1"/>
            <w:noWrap/>
            <w:vAlign w:val="bottom"/>
          </w:tcPr>
          <w:p w14:paraId="69A0888B" w14:textId="7ED48630" w:rsidR="004C6C3C" w:rsidRPr="004C6C3C" w:rsidRDefault="004C6C3C" w:rsidP="00D60E52">
            <w:pPr>
              <w:spacing w:after="0"/>
              <w:jc w:val="right"/>
              <w:rPr>
                <w:b/>
                <w:bCs/>
                <w:color w:val="000000"/>
                <w:sz w:val="16"/>
                <w:szCs w:val="16"/>
              </w:rPr>
            </w:pPr>
            <w:r w:rsidRPr="004C6C3C">
              <w:rPr>
                <w:b/>
                <w:bCs/>
                <w:color w:val="000000"/>
                <w:sz w:val="16"/>
                <w:szCs w:val="16"/>
              </w:rPr>
              <w:t xml:space="preserve">76,518,289.94 </w:t>
            </w:r>
          </w:p>
        </w:tc>
      </w:tr>
    </w:tbl>
    <w:p w14:paraId="5715817A" w14:textId="77777777" w:rsidR="00724D95" w:rsidRPr="00724D95" w:rsidRDefault="00724D95" w:rsidP="00724D95"/>
    <w:p w14:paraId="3815EC2F" w14:textId="41A96D2E" w:rsidR="006C40B4" w:rsidRDefault="006C40B4" w:rsidP="00724D95">
      <w:pPr>
        <w:sectPr w:rsidR="006C40B4" w:rsidSect="00AF6DCC">
          <w:headerReference w:type="default" r:id="rId16"/>
          <w:pgSz w:w="16839" w:h="11907" w:orient="landscape" w:code="9"/>
          <w:pgMar w:top="1797" w:right="1440" w:bottom="1797" w:left="1440" w:header="720" w:footer="720" w:gutter="0"/>
          <w:cols w:space="720"/>
          <w:docGrid w:linePitch="360"/>
        </w:sectPr>
      </w:pPr>
      <w:r>
        <w:br w:type="page"/>
      </w:r>
    </w:p>
    <w:p w14:paraId="0218312A" w14:textId="61CAB1DA" w:rsidR="006C40B4" w:rsidRDefault="006C40B4" w:rsidP="006C40B4">
      <w:pPr>
        <w:pStyle w:val="Heading2"/>
        <w:rPr>
          <w:snapToGrid w:val="0"/>
          <w:lang w:eastAsia="en-US"/>
        </w:rPr>
      </w:pPr>
      <w:r>
        <w:rPr>
          <w:snapToGrid w:val="0"/>
          <w:lang w:eastAsia="en-US"/>
        </w:rPr>
        <w:lastRenderedPageBreak/>
        <w:t>Statement of Compatibility with Human Rights</w:t>
      </w:r>
    </w:p>
    <w:p w14:paraId="7522D15A" w14:textId="77777777" w:rsidR="006C40B4" w:rsidRDefault="006C40B4" w:rsidP="006C40B4">
      <w:pPr>
        <w:keepNext/>
        <w:rPr>
          <w:lang w:eastAsia="en-US"/>
        </w:rPr>
      </w:pPr>
      <w:r w:rsidRPr="000C782C">
        <w:t>Prepared in accordance with Part 3 of the</w:t>
      </w:r>
      <w:r>
        <w:rPr>
          <w:i/>
        </w:rPr>
        <w:t xml:space="preserve"> </w:t>
      </w:r>
      <w:r w:rsidRPr="000C782C">
        <w:rPr>
          <w:i/>
        </w:rPr>
        <w:t>Human Rights (Parliamentary Scrutiny) Act 2011</w:t>
      </w:r>
    </w:p>
    <w:p w14:paraId="53C65345" w14:textId="77777777" w:rsidR="006C40B4" w:rsidRDefault="006C40B4" w:rsidP="006C40B4">
      <w:pPr>
        <w:rPr>
          <w:b/>
          <w:snapToGrid w:val="0"/>
          <w:lang w:eastAsia="en-US"/>
        </w:rPr>
      </w:pPr>
      <w:r>
        <w:t>It is difficult to assess the human rights compatibility of either the determination or the making of payments of general purpose financial assistance, as the amounts paid to each State can be used for any purpose. Generally, payments will promote multiple human rights by supporting service delivery in a range of policy areas, at the discretion of each State. Consequently, neither this determination nor the making of general purpose financial assistance payments more generally could be said to have a detrimental impact on any human right.</w:t>
      </w:r>
    </w:p>
    <w:p w14:paraId="48CC03D0" w14:textId="2A848549" w:rsidR="006C40B4" w:rsidRPr="0053282E" w:rsidRDefault="006C40B4" w:rsidP="0053282E"/>
    <w:sectPr w:rsidR="006C40B4" w:rsidRPr="0053282E" w:rsidSect="006C40B4">
      <w:pgSz w:w="11906" w:h="16838" w:code="277"/>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FBE2B" w14:textId="77777777" w:rsidR="008C3358" w:rsidRDefault="008C3358" w:rsidP="003771ED">
      <w:r>
        <w:separator/>
      </w:r>
    </w:p>
    <w:p w14:paraId="022F4B78" w14:textId="77777777" w:rsidR="008C3358" w:rsidRDefault="008C3358" w:rsidP="003771ED"/>
  </w:endnote>
  <w:endnote w:type="continuationSeparator" w:id="0">
    <w:p w14:paraId="1B288946" w14:textId="77777777" w:rsidR="008C3358" w:rsidRDefault="008C3358" w:rsidP="003771ED">
      <w:r>
        <w:continuationSeparator/>
      </w:r>
    </w:p>
    <w:p w14:paraId="7D2709AF" w14:textId="77777777" w:rsidR="008C3358" w:rsidRDefault="008C3358" w:rsidP="003771ED"/>
  </w:endnote>
  <w:endnote w:type="continuationNotice" w:id="1">
    <w:p w14:paraId="3C986FB3" w14:textId="77777777" w:rsidR="009E73FA" w:rsidRDefault="009E73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382400"/>
      <w:docPartObj>
        <w:docPartGallery w:val="Page Numbers (Bottom of Page)"/>
        <w:docPartUnique/>
      </w:docPartObj>
    </w:sdtPr>
    <w:sdtEndPr/>
    <w:sdtContent>
      <w:sdt>
        <w:sdtPr>
          <w:id w:val="98381352"/>
          <w:docPartObj>
            <w:docPartGallery w:val="Page Numbers (Top of Page)"/>
            <w:docPartUnique/>
          </w:docPartObj>
        </w:sdtPr>
        <w:sdtEndPr/>
        <w:sdtContent>
          <w:p w14:paraId="4EF1850D" w14:textId="27E16396" w:rsidR="008C3358" w:rsidRPr="00EF6B2C" w:rsidRDefault="008C3358">
            <w:pPr>
              <w:pStyle w:val="Footer"/>
            </w:pPr>
            <w:r w:rsidRPr="00EF6B2C">
              <w:rPr>
                <w:bCs/>
                <w:szCs w:val="24"/>
              </w:rPr>
              <w:fldChar w:fldCharType="begin"/>
            </w:r>
            <w:r w:rsidRPr="00EF6B2C">
              <w:rPr>
                <w:bCs/>
              </w:rPr>
              <w:instrText xml:space="preserve"> PAGE </w:instrText>
            </w:r>
            <w:r w:rsidRPr="00EF6B2C">
              <w:rPr>
                <w:bCs/>
                <w:szCs w:val="24"/>
              </w:rPr>
              <w:fldChar w:fldCharType="separate"/>
            </w:r>
            <w:r w:rsidR="00B3252B">
              <w:rPr>
                <w:bCs/>
                <w:noProof/>
              </w:rPr>
              <w:t>1</w:t>
            </w:r>
            <w:r w:rsidRPr="00EF6B2C">
              <w:rPr>
                <w:bCs/>
                <w:szCs w:val="24"/>
              </w:rPr>
              <w:fldChar w:fldCharType="end"/>
            </w:r>
            <w:r w:rsidRPr="00EF6B2C">
              <w:t xml:space="preserve"> of </w:t>
            </w:r>
            <w:r w:rsidRPr="00EF6B2C">
              <w:rPr>
                <w:bCs/>
                <w:szCs w:val="24"/>
              </w:rPr>
              <w:fldChar w:fldCharType="begin"/>
            </w:r>
            <w:r w:rsidRPr="00EF6B2C">
              <w:rPr>
                <w:bCs/>
              </w:rPr>
              <w:instrText xml:space="preserve"> NUMPAGES  </w:instrText>
            </w:r>
            <w:r w:rsidRPr="00EF6B2C">
              <w:rPr>
                <w:bCs/>
                <w:szCs w:val="24"/>
              </w:rPr>
              <w:fldChar w:fldCharType="separate"/>
            </w:r>
            <w:r w:rsidR="00B3252B">
              <w:rPr>
                <w:bCs/>
                <w:noProof/>
              </w:rPr>
              <w:t>5</w:t>
            </w:r>
            <w:r w:rsidRPr="00EF6B2C">
              <w:rPr>
                <w:bCs/>
                <w:szCs w:val="24"/>
              </w:rPr>
              <w:fldChar w:fldCharType="end"/>
            </w:r>
          </w:p>
        </w:sdtContent>
      </w:sdt>
    </w:sdtContent>
  </w:sdt>
  <w:p w14:paraId="1305A171" w14:textId="77777777" w:rsidR="008C3358" w:rsidRDefault="008C3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8EE55" w14:textId="77777777" w:rsidR="008C3358" w:rsidRDefault="008C3358" w:rsidP="003771ED">
      <w:r>
        <w:separator/>
      </w:r>
    </w:p>
    <w:p w14:paraId="7A8C0F43" w14:textId="77777777" w:rsidR="008C3358" w:rsidRDefault="008C3358" w:rsidP="003771ED"/>
  </w:footnote>
  <w:footnote w:type="continuationSeparator" w:id="0">
    <w:p w14:paraId="2DD071A0" w14:textId="77777777" w:rsidR="008C3358" w:rsidRDefault="008C3358" w:rsidP="003771ED">
      <w:r>
        <w:continuationSeparator/>
      </w:r>
    </w:p>
    <w:p w14:paraId="30A3E217" w14:textId="77777777" w:rsidR="008C3358" w:rsidRDefault="008C3358" w:rsidP="003771ED"/>
  </w:footnote>
  <w:footnote w:type="continuationNotice" w:id="1">
    <w:p w14:paraId="3D01FBEB" w14:textId="77777777" w:rsidR="009E73FA" w:rsidRDefault="009E73F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A8921" w14:textId="77777777" w:rsidR="008C3358" w:rsidRPr="0053282E" w:rsidRDefault="008C3358" w:rsidP="00532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2D665DFA"/>
    <w:multiLevelType w:val="singleLevel"/>
    <w:tmpl w:val="C80025D4"/>
    <w:lvl w:ilvl="0">
      <w:start w:val="1"/>
      <w:numFmt w:val="lowerLetter"/>
      <w:lvlRestart w:val="0"/>
      <w:pStyle w:val="AlphaParagraph"/>
      <w:lvlText w:val="(%1)"/>
      <w:lvlJc w:val="left"/>
      <w:pPr>
        <w:tabs>
          <w:tab w:val="num" w:pos="1134"/>
        </w:tabs>
        <w:ind w:left="1134" w:hanging="567"/>
      </w:pPr>
      <w:rPr>
        <w:rFonts w:ascii="Times New Roman" w:hAnsi="Times New Roman" w:cs="Arial Bold" w:hint="default"/>
        <w:b w:val="0"/>
        <w:i w:val="0"/>
        <w:sz w:val="24"/>
        <w:szCs w:val="24"/>
      </w:rPr>
    </w:lvl>
  </w:abstractNum>
  <w:abstractNum w:abstractNumId="3">
    <w:nsid w:val="3C414067"/>
    <w:multiLevelType w:val="multilevel"/>
    <w:tmpl w:val="B1A8176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4972423"/>
    <w:multiLevelType w:val="singleLevel"/>
    <w:tmpl w:val="40EE6524"/>
    <w:lvl w:ilvl="0">
      <w:start w:val="1"/>
      <w:numFmt w:val="decimal"/>
      <w:pStyle w:val="NumberedParagraph"/>
      <w:lvlText w:val="%1."/>
      <w:lvlJc w:val="left"/>
      <w:pPr>
        <w:tabs>
          <w:tab w:val="num" w:pos="567"/>
        </w:tabs>
        <w:ind w:left="0" w:firstLine="0"/>
      </w:pPr>
      <w:rPr>
        <w:rFonts w:hint="default"/>
      </w:rPr>
    </w:lvl>
  </w:abstractNum>
  <w:abstractNum w:abstractNumId="5">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84623B5"/>
    <w:multiLevelType w:val="multilevel"/>
    <w:tmpl w:val="9D821B9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512111D"/>
    <w:multiLevelType w:val="multilevel"/>
    <w:tmpl w:val="A770076C"/>
    <w:lvl w:ilvl="0">
      <w:start w:val="1"/>
      <w:numFmt w:val="bullet"/>
      <w:lvlText w:val="•"/>
      <w:lvlJc w:val="left"/>
      <w:pPr>
        <w:tabs>
          <w:tab w:val="num" w:pos="1240"/>
        </w:tabs>
        <w:ind w:left="1240" w:hanging="520"/>
      </w:pPr>
      <w:rPr>
        <w:rFonts w:ascii="Times New Roman" w:hAnsi="Times New Roman" w:cs="Times New Roman"/>
      </w:rPr>
    </w:lvl>
    <w:lvl w:ilvl="1">
      <w:start w:val="1"/>
      <w:numFmt w:val="bullet"/>
      <w:lvlText w:val="–"/>
      <w:lvlJc w:val="left"/>
      <w:pPr>
        <w:tabs>
          <w:tab w:val="num" w:pos="1760"/>
        </w:tabs>
        <w:ind w:left="1760" w:hanging="520"/>
      </w:pPr>
      <w:rPr>
        <w:rFonts w:ascii="Times New Roman" w:hAnsi="Times New Roman" w:cs="Times New Roman"/>
      </w:rPr>
    </w:lvl>
    <w:lvl w:ilvl="2">
      <w:start w:val="1"/>
      <w:numFmt w:val="bullet"/>
      <w:lvlText w:val=":"/>
      <w:lvlJc w:val="left"/>
      <w:pPr>
        <w:tabs>
          <w:tab w:val="num" w:pos="2280"/>
        </w:tabs>
        <w:ind w:left="228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2"/>
    <w:lvlOverride w:ilvl="0">
      <w:startOverride w:val="1"/>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79"/>
    <w:rsid w:val="00016EA2"/>
    <w:rsid w:val="00053D7B"/>
    <w:rsid w:val="00070549"/>
    <w:rsid w:val="00094B25"/>
    <w:rsid w:val="00095211"/>
    <w:rsid w:val="000960B3"/>
    <w:rsid w:val="000A1982"/>
    <w:rsid w:val="000C0790"/>
    <w:rsid w:val="000C10DF"/>
    <w:rsid w:val="000C782C"/>
    <w:rsid w:val="000D116B"/>
    <w:rsid w:val="000D208B"/>
    <w:rsid w:val="000E1217"/>
    <w:rsid w:val="000E22DF"/>
    <w:rsid w:val="000E5B46"/>
    <w:rsid w:val="000E6C94"/>
    <w:rsid w:val="000E791A"/>
    <w:rsid w:val="001008EF"/>
    <w:rsid w:val="00106EC2"/>
    <w:rsid w:val="00113B45"/>
    <w:rsid w:val="00124122"/>
    <w:rsid w:val="00147451"/>
    <w:rsid w:val="001559CC"/>
    <w:rsid w:val="001623CE"/>
    <w:rsid w:val="00184425"/>
    <w:rsid w:val="00186E33"/>
    <w:rsid w:val="001A0A13"/>
    <w:rsid w:val="001B0661"/>
    <w:rsid w:val="001C1743"/>
    <w:rsid w:val="001C34C9"/>
    <w:rsid w:val="001C40F1"/>
    <w:rsid w:val="001D1EF7"/>
    <w:rsid w:val="001D2E7D"/>
    <w:rsid w:val="001D3730"/>
    <w:rsid w:val="001E6A74"/>
    <w:rsid w:val="001F41D0"/>
    <w:rsid w:val="001F79D3"/>
    <w:rsid w:val="00205006"/>
    <w:rsid w:val="002060EA"/>
    <w:rsid w:val="00220F16"/>
    <w:rsid w:val="00221400"/>
    <w:rsid w:val="002357AE"/>
    <w:rsid w:val="00237986"/>
    <w:rsid w:val="00242EE8"/>
    <w:rsid w:val="00254C5B"/>
    <w:rsid w:val="00276195"/>
    <w:rsid w:val="0027779C"/>
    <w:rsid w:val="00281339"/>
    <w:rsid w:val="002B29A9"/>
    <w:rsid w:val="002B546C"/>
    <w:rsid w:val="002C32AA"/>
    <w:rsid w:val="002F60A4"/>
    <w:rsid w:val="00326B4A"/>
    <w:rsid w:val="003342CD"/>
    <w:rsid w:val="00335042"/>
    <w:rsid w:val="00347607"/>
    <w:rsid w:val="00354CA9"/>
    <w:rsid w:val="003617BB"/>
    <w:rsid w:val="00362B70"/>
    <w:rsid w:val="00371727"/>
    <w:rsid w:val="003771ED"/>
    <w:rsid w:val="00392BBA"/>
    <w:rsid w:val="003954FD"/>
    <w:rsid w:val="003D2D34"/>
    <w:rsid w:val="003D5132"/>
    <w:rsid w:val="003E2254"/>
    <w:rsid w:val="003E2BC4"/>
    <w:rsid w:val="00406BE2"/>
    <w:rsid w:val="00412C04"/>
    <w:rsid w:val="0041408C"/>
    <w:rsid w:val="00414F2C"/>
    <w:rsid w:val="00415D54"/>
    <w:rsid w:val="004476A2"/>
    <w:rsid w:val="00462095"/>
    <w:rsid w:val="00463A37"/>
    <w:rsid w:val="0046410C"/>
    <w:rsid w:val="00480B4C"/>
    <w:rsid w:val="004913C3"/>
    <w:rsid w:val="004B3C0F"/>
    <w:rsid w:val="004C05E4"/>
    <w:rsid w:val="004C6840"/>
    <w:rsid w:val="004C6C3C"/>
    <w:rsid w:val="004E39E1"/>
    <w:rsid w:val="004E5CCB"/>
    <w:rsid w:val="004F4D8C"/>
    <w:rsid w:val="005034EB"/>
    <w:rsid w:val="00503C3D"/>
    <w:rsid w:val="00503E44"/>
    <w:rsid w:val="00507294"/>
    <w:rsid w:val="00507993"/>
    <w:rsid w:val="00514B90"/>
    <w:rsid w:val="00515283"/>
    <w:rsid w:val="00523FDF"/>
    <w:rsid w:val="0053282E"/>
    <w:rsid w:val="00533926"/>
    <w:rsid w:val="00543569"/>
    <w:rsid w:val="005564F2"/>
    <w:rsid w:val="0055675D"/>
    <w:rsid w:val="005624F4"/>
    <w:rsid w:val="00562B54"/>
    <w:rsid w:val="005833BE"/>
    <w:rsid w:val="00591156"/>
    <w:rsid w:val="00596085"/>
    <w:rsid w:val="00597BB5"/>
    <w:rsid w:val="005A75FB"/>
    <w:rsid w:val="005B0565"/>
    <w:rsid w:val="005B1A58"/>
    <w:rsid w:val="005C4E06"/>
    <w:rsid w:val="005D7D5A"/>
    <w:rsid w:val="005E26E8"/>
    <w:rsid w:val="005E4BAC"/>
    <w:rsid w:val="0060130D"/>
    <w:rsid w:val="0064129F"/>
    <w:rsid w:val="00647BB7"/>
    <w:rsid w:val="00655B34"/>
    <w:rsid w:val="0067359C"/>
    <w:rsid w:val="00681F99"/>
    <w:rsid w:val="006A0786"/>
    <w:rsid w:val="006C40B4"/>
    <w:rsid w:val="006D5FBF"/>
    <w:rsid w:val="006D6EDF"/>
    <w:rsid w:val="006D7902"/>
    <w:rsid w:val="006E1F9A"/>
    <w:rsid w:val="00704CE7"/>
    <w:rsid w:val="00724D95"/>
    <w:rsid w:val="00730561"/>
    <w:rsid w:val="00730E3F"/>
    <w:rsid w:val="007326B1"/>
    <w:rsid w:val="00732716"/>
    <w:rsid w:val="00736F61"/>
    <w:rsid w:val="00742ED8"/>
    <w:rsid w:val="007662C7"/>
    <w:rsid w:val="007A610A"/>
    <w:rsid w:val="007B0083"/>
    <w:rsid w:val="007B1F10"/>
    <w:rsid w:val="007E018D"/>
    <w:rsid w:val="007F1B71"/>
    <w:rsid w:val="007F2C9F"/>
    <w:rsid w:val="007F4597"/>
    <w:rsid w:val="00807E7D"/>
    <w:rsid w:val="008148A9"/>
    <w:rsid w:val="0082203B"/>
    <w:rsid w:val="00823A7A"/>
    <w:rsid w:val="00831675"/>
    <w:rsid w:val="00831AFC"/>
    <w:rsid w:val="00833A06"/>
    <w:rsid w:val="00837EE7"/>
    <w:rsid w:val="00880CCF"/>
    <w:rsid w:val="0088467C"/>
    <w:rsid w:val="00894579"/>
    <w:rsid w:val="0089507F"/>
    <w:rsid w:val="008A5B67"/>
    <w:rsid w:val="008B0659"/>
    <w:rsid w:val="008B6CC4"/>
    <w:rsid w:val="008C3358"/>
    <w:rsid w:val="008C5A41"/>
    <w:rsid w:val="008D16F7"/>
    <w:rsid w:val="00902292"/>
    <w:rsid w:val="009030C1"/>
    <w:rsid w:val="00903A54"/>
    <w:rsid w:val="00912E12"/>
    <w:rsid w:val="009143A0"/>
    <w:rsid w:val="00920394"/>
    <w:rsid w:val="00925F21"/>
    <w:rsid w:val="0092635F"/>
    <w:rsid w:val="00933DD9"/>
    <w:rsid w:val="009350E0"/>
    <w:rsid w:val="009417C4"/>
    <w:rsid w:val="00943E74"/>
    <w:rsid w:val="009543C1"/>
    <w:rsid w:val="00954679"/>
    <w:rsid w:val="00961F45"/>
    <w:rsid w:val="009A1715"/>
    <w:rsid w:val="009A78ED"/>
    <w:rsid w:val="009B286C"/>
    <w:rsid w:val="009E2F86"/>
    <w:rsid w:val="009E73FA"/>
    <w:rsid w:val="00A0205D"/>
    <w:rsid w:val="00A03BD7"/>
    <w:rsid w:val="00A064F5"/>
    <w:rsid w:val="00A12209"/>
    <w:rsid w:val="00A1730F"/>
    <w:rsid w:val="00A273A1"/>
    <w:rsid w:val="00A33650"/>
    <w:rsid w:val="00A36DF3"/>
    <w:rsid w:val="00A532DD"/>
    <w:rsid w:val="00A570F4"/>
    <w:rsid w:val="00A64D29"/>
    <w:rsid w:val="00A80BCF"/>
    <w:rsid w:val="00A8369C"/>
    <w:rsid w:val="00A843AA"/>
    <w:rsid w:val="00AA146F"/>
    <w:rsid w:val="00AA1689"/>
    <w:rsid w:val="00AA2F13"/>
    <w:rsid w:val="00AA796F"/>
    <w:rsid w:val="00AC1D15"/>
    <w:rsid w:val="00AD1863"/>
    <w:rsid w:val="00AD6FA4"/>
    <w:rsid w:val="00AE5BDD"/>
    <w:rsid w:val="00AE6B48"/>
    <w:rsid w:val="00AF6DCC"/>
    <w:rsid w:val="00B0247B"/>
    <w:rsid w:val="00B04A3F"/>
    <w:rsid w:val="00B07B0C"/>
    <w:rsid w:val="00B12D19"/>
    <w:rsid w:val="00B17CCF"/>
    <w:rsid w:val="00B20A99"/>
    <w:rsid w:val="00B240D8"/>
    <w:rsid w:val="00B25563"/>
    <w:rsid w:val="00B26D48"/>
    <w:rsid w:val="00B3252B"/>
    <w:rsid w:val="00B42EE1"/>
    <w:rsid w:val="00B43001"/>
    <w:rsid w:val="00B92478"/>
    <w:rsid w:val="00B95133"/>
    <w:rsid w:val="00BA3C43"/>
    <w:rsid w:val="00BB7F5F"/>
    <w:rsid w:val="00BC1B40"/>
    <w:rsid w:val="00BD12CE"/>
    <w:rsid w:val="00BD61A2"/>
    <w:rsid w:val="00BE484D"/>
    <w:rsid w:val="00BE4DF7"/>
    <w:rsid w:val="00BF1465"/>
    <w:rsid w:val="00BF6F86"/>
    <w:rsid w:val="00C20566"/>
    <w:rsid w:val="00C37E05"/>
    <w:rsid w:val="00C430EC"/>
    <w:rsid w:val="00C51A87"/>
    <w:rsid w:val="00C54768"/>
    <w:rsid w:val="00C55D29"/>
    <w:rsid w:val="00C66EA2"/>
    <w:rsid w:val="00C6739E"/>
    <w:rsid w:val="00C76C65"/>
    <w:rsid w:val="00CA0BE9"/>
    <w:rsid w:val="00CA138D"/>
    <w:rsid w:val="00CB1D71"/>
    <w:rsid w:val="00CC7641"/>
    <w:rsid w:val="00CD2A1E"/>
    <w:rsid w:val="00CE1C75"/>
    <w:rsid w:val="00CE3783"/>
    <w:rsid w:val="00CE7EB4"/>
    <w:rsid w:val="00CF5C40"/>
    <w:rsid w:val="00CF6AE7"/>
    <w:rsid w:val="00D13794"/>
    <w:rsid w:val="00D21584"/>
    <w:rsid w:val="00D215EE"/>
    <w:rsid w:val="00D24052"/>
    <w:rsid w:val="00D31575"/>
    <w:rsid w:val="00D34626"/>
    <w:rsid w:val="00D4257A"/>
    <w:rsid w:val="00D427D9"/>
    <w:rsid w:val="00D60E52"/>
    <w:rsid w:val="00D62665"/>
    <w:rsid w:val="00D72719"/>
    <w:rsid w:val="00D85007"/>
    <w:rsid w:val="00D87771"/>
    <w:rsid w:val="00DA0CAB"/>
    <w:rsid w:val="00DA7154"/>
    <w:rsid w:val="00DB2716"/>
    <w:rsid w:val="00DC0CDE"/>
    <w:rsid w:val="00DC1375"/>
    <w:rsid w:val="00DC4D72"/>
    <w:rsid w:val="00DC5A5E"/>
    <w:rsid w:val="00DD207E"/>
    <w:rsid w:val="00DD68AC"/>
    <w:rsid w:val="00DE2B2E"/>
    <w:rsid w:val="00DE42E5"/>
    <w:rsid w:val="00E0624D"/>
    <w:rsid w:val="00E4438C"/>
    <w:rsid w:val="00E457F3"/>
    <w:rsid w:val="00E84313"/>
    <w:rsid w:val="00E907DD"/>
    <w:rsid w:val="00E973E8"/>
    <w:rsid w:val="00EB7E71"/>
    <w:rsid w:val="00EE7885"/>
    <w:rsid w:val="00EF23A6"/>
    <w:rsid w:val="00EF6B2C"/>
    <w:rsid w:val="00F01EE5"/>
    <w:rsid w:val="00F109D4"/>
    <w:rsid w:val="00F377E8"/>
    <w:rsid w:val="00F47585"/>
    <w:rsid w:val="00F65379"/>
    <w:rsid w:val="00FA4807"/>
    <w:rsid w:val="00FC58DE"/>
    <w:rsid w:val="00FE04E4"/>
    <w:rsid w:val="00FE73F9"/>
    <w:rsid w:val="00FF1057"/>
    <w:rsid w:val="00FF12BD"/>
    <w:rsid w:val="00FF3E25"/>
    <w:rsid w:val="00FF52F1"/>
    <w:rsid w:val="00FF6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01E3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ED"/>
    <w:pPr>
      <w:spacing w:after="24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5B1A58"/>
    <w:pPr>
      <w:keepNext/>
      <w:outlineLvl w:val="1"/>
    </w:pPr>
    <w:rPr>
      <w:b/>
    </w:rPr>
  </w:style>
  <w:style w:type="paragraph" w:styleId="Heading3">
    <w:name w:val="heading 3"/>
    <w:basedOn w:val="Heading2"/>
    <w:next w:val="base-text-paragraph"/>
    <w:link w:val="Heading3Char"/>
    <w:qFormat/>
    <w:rsid w:val="00392BBA"/>
    <w:pPr>
      <w:tabs>
        <w:tab w:val="left" w:pos="1987"/>
      </w:tabs>
      <w:outlineLvl w:val="2"/>
    </w:pPr>
    <w:rPr>
      <w:rFonts w:ascii="Helvetica" w:hAnsi="Helvetica"/>
      <w:kern w:val="28"/>
    </w:rPr>
  </w:style>
  <w:style w:type="paragraph" w:styleId="Heading4">
    <w:name w:val="heading 4"/>
    <w:basedOn w:val="Heading3"/>
    <w:next w:val="base-text-paragraph"/>
    <w:qFormat/>
    <w:rsid w:val="00E4438C"/>
    <w:pPr>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954679"/>
    <w:pPr>
      <w:tabs>
        <w:tab w:val="center" w:pos="4513"/>
        <w:tab w:val="right" w:pos="9026"/>
      </w:tabs>
      <w:spacing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semiHidden/>
    <w:unhideWhenUsed/>
    <w:rsid w:val="005E4BAC"/>
    <w:rPr>
      <w:sz w:val="16"/>
      <w:szCs w:val="16"/>
    </w:rPr>
  </w:style>
  <w:style w:type="paragraph" w:styleId="CommentText">
    <w:name w:val="annotation text"/>
    <w:basedOn w:val="Normal"/>
    <w:link w:val="CommentTextChar"/>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AlphaParagraph">
    <w:name w:val="Alpha Paragraph"/>
    <w:basedOn w:val="Normal"/>
    <w:rsid w:val="000960B3"/>
    <w:pPr>
      <w:numPr>
        <w:numId w:val="4"/>
      </w:numPr>
      <w:spacing w:line="260" w:lineRule="exact"/>
      <w:jc w:val="both"/>
    </w:pPr>
    <w:rPr>
      <w:color w:val="000000"/>
    </w:rPr>
  </w:style>
  <w:style w:type="paragraph" w:customStyle="1" w:styleId="NumberedParagraph">
    <w:name w:val="Numbered Paragraph"/>
    <w:basedOn w:val="Normal"/>
    <w:rsid w:val="001623CE"/>
    <w:pPr>
      <w:numPr>
        <w:numId w:val="5"/>
      </w:numPr>
    </w:pPr>
  </w:style>
  <w:style w:type="paragraph" w:customStyle="1" w:styleId="SingleParagraph">
    <w:name w:val="Single Paragraph"/>
    <w:basedOn w:val="Normal"/>
    <w:link w:val="SingleParagraphChar"/>
    <w:rsid w:val="005E26E8"/>
    <w:pPr>
      <w:spacing w:after="0"/>
    </w:pPr>
  </w:style>
  <w:style w:type="character" w:customStyle="1" w:styleId="SingleParagraphChar">
    <w:name w:val="Single Paragraph Char"/>
    <w:basedOn w:val="DefaultParagraphFont"/>
    <w:link w:val="SingleParagraph"/>
    <w:rsid w:val="005E26E8"/>
    <w:rPr>
      <w:sz w:val="24"/>
    </w:rPr>
  </w:style>
  <w:style w:type="character" w:customStyle="1" w:styleId="Heading2Char">
    <w:name w:val="Heading 2 Char"/>
    <w:basedOn w:val="DefaultParagraphFont"/>
    <w:link w:val="Heading2"/>
    <w:rsid w:val="00354CA9"/>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ED"/>
    <w:pPr>
      <w:spacing w:after="24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5B1A58"/>
    <w:pPr>
      <w:keepNext/>
      <w:outlineLvl w:val="1"/>
    </w:pPr>
    <w:rPr>
      <w:b/>
    </w:rPr>
  </w:style>
  <w:style w:type="paragraph" w:styleId="Heading3">
    <w:name w:val="heading 3"/>
    <w:basedOn w:val="Heading2"/>
    <w:next w:val="base-text-paragraph"/>
    <w:link w:val="Heading3Char"/>
    <w:qFormat/>
    <w:rsid w:val="00392BBA"/>
    <w:pPr>
      <w:tabs>
        <w:tab w:val="left" w:pos="1987"/>
      </w:tabs>
      <w:outlineLvl w:val="2"/>
    </w:pPr>
    <w:rPr>
      <w:rFonts w:ascii="Helvetica" w:hAnsi="Helvetica"/>
      <w:kern w:val="28"/>
    </w:rPr>
  </w:style>
  <w:style w:type="paragraph" w:styleId="Heading4">
    <w:name w:val="heading 4"/>
    <w:basedOn w:val="Heading3"/>
    <w:next w:val="base-text-paragraph"/>
    <w:qFormat/>
    <w:rsid w:val="00E4438C"/>
    <w:pPr>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954679"/>
    <w:pPr>
      <w:tabs>
        <w:tab w:val="center" w:pos="4513"/>
        <w:tab w:val="right" w:pos="9026"/>
      </w:tabs>
      <w:spacing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semiHidden/>
    <w:unhideWhenUsed/>
    <w:rsid w:val="005E4BAC"/>
    <w:rPr>
      <w:sz w:val="16"/>
      <w:szCs w:val="16"/>
    </w:rPr>
  </w:style>
  <w:style w:type="paragraph" w:styleId="CommentText">
    <w:name w:val="annotation text"/>
    <w:basedOn w:val="Normal"/>
    <w:link w:val="CommentTextChar"/>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AlphaParagraph">
    <w:name w:val="Alpha Paragraph"/>
    <w:basedOn w:val="Normal"/>
    <w:rsid w:val="000960B3"/>
    <w:pPr>
      <w:numPr>
        <w:numId w:val="4"/>
      </w:numPr>
      <w:spacing w:line="260" w:lineRule="exact"/>
      <w:jc w:val="both"/>
    </w:pPr>
    <w:rPr>
      <w:color w:val="000000"/>
    </w:rPr>
  </w:style>
  <w:style w:type="paragraph" w:customStyle="1" w:styleId="NumberedParagraph">
    <w:name w:val="Numbered Paragraph"/>
    <w:basedOn w:val="Normal"/>
    <w:rsid w:val="001623CE"/>
    <w:pPr>
      <w:numPr>
        <w:numId w:val="5"/>
      </w:numPr>
    </w:pPr>
  </w:style>
  <w:style w:type="paragraph" w:customStyle="1" w:styleId="SingleParagraph">
    <w:name w:val="Single Paragraph"/>
    <w:basedOn w:val="Normal"/>
    <w:link w:val="SingleParagraphChar"/>
    <w:rsid w:val="005E26E8"/>
    <w:pPr>
      <w:spacing w:after="0"/>
    </w:pPr>
  </w:style>
  <w:style w:type="character" w:customStyle="1" w:styleId="SingleParagraphChar">
    <w:name w:val="Single Paragraph Char"/>
    <w:basedOn w:val="DefaultParagraphFont"/>
    <w:link w:val="SingleParagraph"/>
    <w:rsid w:val="005E26E8"/>
    <w:rPr>
      <w:sz w:val="24"/>
    </w:rPr>
  </w:style>
  <w:style w:type="character" w:customStyle="1" w:styleId="Heading2Char">
    <w:name w:val="Heading 2 Char"/>
    <w:basedOn w:val="DefaultParagraphFont"/>
    <w:link w:val="Heading2"/>
    <w:rsid w:val="00354CA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4743">
      <w:bodyDiv w:val="1"/>
      <w:marLeft w:val="0"/>
      <w:marRight w:val="0"/>
      <w:marTop w:val="0"/>
      <w:marBottom w:val="0"/>
      <w:divBdr>
        <w:top w:val="none" w:sz="0" w:space="0" w:color="auto"/>
        <w:left w:val="none" w:sz="0" w:space="0" w:color="auto"/>
        <w:bottom w:val="none" w:sz="0" w:space="0" w:color="auto"/>
        <w:right w:val="none" w:sz="0" w:space="0" w:color="auto"/>
      </w:divBdr>
    </w:div>
    <w:div w:id="131673488">
      <w:bodyDiv w:val="1"/>
      <w:marLeft w:val="0"/>
      <w:marRight w:val="0"/>
      <w:marTop w:val="0"/>
      <w:marBottom w:val="0"/>
      <w:divBdr>
        <w:top w:val="none" w:sz="0" w:space="0" w:color="auto"/>
        <w:left w:val="none" w:sz="0" w:space="0" w:color="auto"/>
        <w:bottom w:val="none" w:sz="0" w:space="0" w:color="auto"/>
        <w:right w:val="none" w:sz="0" w:space="0" w:color="auto"/>
      </w:divBdr>
    </w:div>
    <w:div w:id="142506966">
      <w:bodyDiv w:val="1"/>
      <w:marLeft w:val="0"/>
      <w:marRight w:val="0"/>
      <w:marTop w:val="0"/>
      <w:marBottom w:val="0"/>
      <w:divBdr>
        <w:top w:val="none" w:sz="0" w:space="0" w:color="auto"/>
        <w:left w:val="none" w:sz="0" w:space="0" w:color="auto"/>
        <w:bottom w:val="none" w:sz="0" w:space="0" w:color="auto"/>
        <w:right w:val="none" w:sz="0" w:space="0" w:color="auto"/>
      </w:divBdr>
    </w:div>
    <w:div w:id="145896025">
      <w:bodyDiv w:val="1"/>
      <w:marLeft w:val="0"/>
      <w:marRight w:val="0"/>
      <w:marTop w:val="0"/>
      <w:marBottom w:val="0"/>
      <w:divBdr>
        <w:top w:val="none" w:sz="0" w:space="0" w:color="auto"/>
        <w:left w:val="none" w:sz="0" w:space="0" w:color="auto"/>
        <w:bottom w:val="none" w:sz="0" w:space="0" w:color="auto"/>
        <w:right w:val="none" w:sz="0" w:space="0" w:color="auto"/>
      </w:divBdr>
    </w:div>
    <w:div w:id="194970254">
      <w:bodyDiv w:val="1"/>
      <w:marLeft w:val="0"/>
      <w:marRight w:val="0"/>
      <w:marTop w:val="0"/>
      <w:marBottom w:val="0"/>
      <w:divBdr>
        <w:top w:val="none" w:sz="0" w:space="0" w:color="auto"/>
        <w:left w:val="none" w:sz="0" w:space="0" w:color="auto"/>
        <w:bottom w:val="none" w:sz="0" w:space="0" w:color="auto"/>
        <w:right w:val="none" w:sz="0" w:space="0" w:color="auto"/>
      </w:divBdr>
    </w:div>
    <w:div w:id="248392958">
      <w:bodyDiv w:val="1"/>
      <w:marLeft w:val="0"/>
      <w:marRight w:val="0"/>
      <w:marTop w:val="0"/>
      <w:marBottom w:val="0"/>
      <w:divBdr>
        <w:top w:val="none" w:sz="0" w:space="0" w:color="auto"/>
        <w:left w:val="none" w:sz="0" w:space="0" w:color="auto"/>
        <w:bottom w:val="none" w:sz="0" w:space="0" w:color="auto"/>
        <w:right w:val="none" w:sz="0" w:space="0" w:color="auto"/>
      </w:divBdr>
    </w:div>
    <w:div w:id="270284926">
      <w:bodyDiv w:val="1"/>
      <w:marLeft w:val="0"/>
      <w:marRight w:val="0"/>
      <w:marTop w:val="0"/>
      <w:marBottom w:val="0"/>
      <w:divBdr>
        <w:top w:val="none" w:sz="0" w:space="0" w:color="auto"/>
        <w:left w:val="none" w:sz="0" w:space="0" w:color="auto"/>
        <w:bottom w:val="none" w:sz="0" w:space="0" w:color="auto"/>
        <w:right w:val="none" w:sz="0" w:space="0" w:color="auto"/>
      </w:divBdr>
    </w:div>
    <w:div w:id="424031549">
      <w:bodyDiv w:val="1"/>
      <w:marLeft w:val="0"/>
      <w:marRight w:val="0"/>
      <w:marTop w:val="0"/>
      <w:marBottom w:val="0"/>
      <w:divBdr>
        <w:top w:val="none" w:sz="0" w:space="0" w:color="auto"/>
        <w:left w:val="none" w:sz="0" w:space="0" w:color="auto"/>
        <w:bottom w:val="none" w:sz="0" w:space="0" w:color="auto"/>
        <w:right w:val="none" w:sz="0" w:space="0" w:color="auto"/>
      </w:divBdr>
    </w:div>
    <w:div w:id="424882352">
      <w:bodyDiv w:val="1"/>
      <w:marLeft w:val="0"/>
      <w:marRight w:val="0"/>
      <w:marTop w:val="0"/>
      <w:marBottom w:val="0"/>
      <w:divBdr>
        <w:top w:val="none" w:sz="0" w:space="0" w:color="auto"/>
        <w:left w:val="none" w:sz="0" w:space="0" w:color="auto"/>
        <w:bottom w:val="none" w:sz="0" w:space="0" w:color="auto"/>
        <w:right w:val="none" w:sz="0" w:space="0" w:color="auto"/>
      </w:divBdr>
    </w:div>
    <w:div w:id="441189705">
      <w:bodyDiv w:val="1"/>
      <w:marLeft w:val="0"/>
      <w:marRight w:val="0"/>
      <w:marTop w:val="0"/>
      <w:marBottom w:val="0"/>
      <w:divBdr>
        <w:top w:val="none" w:sz="0" w:space="0" w:color="auto"/>
        <w:left w:val="none" w:sz="0" w:space="0" w:color="auto"/>
        <w:bottom w:val="none" w:sz="0" w:space="0" w:color="auto"/>
        <w:right w:val="none" w:sz="0" w:space="0" w:color="auto"/>
      </w:divBdr>
    </w:div>
    <w:div w:id="487719243">
      <w:bodyDiv w:val="1"/>
      <w:marLeft w:val="0"/>
      <w:marRight w:val="0"/>
      <w:marTop w:val="0"/>
      <w:marBottom w:val="0"/>
      <w:divBdr>
        <w:top w:val="none" w:sz="0" w:space="0" w:color="auto"/>
        <w:left w:val="none" w:sz="0" w:space="0" w:color="auto"/>
        <w:bottom w:val="none" w:sz="0" w:space="0" w:color="auto"/>
        <w:right w:val="none" w:sz="0" w:space="0" w:color="auto"/>
      </w:divBdr>
    </w:div>
    <w:div w:id="502430155">
      <w:bodyDiv w:val="1"/>
      <w:marLeft w:val="0"/>
      <w:marRight w:val="0"/>
      <w:marTop w:val="0"/>
      <w:marBottom w:val="0"/>
      <w:divBdr>
        <w:top w:val="none" w:sz="0" w:space="0" w:color="auto"/>
        <w:left w:val="none" w:sz="0" w:space="0" w:color="auto"/>
        <w:bottom w:val="none" w:sz="0" w:space="0" w:color="auto"/>
        <w:right w:val="none" w:sz="0" w:space="0" w:color="auto"/>
      </w:divBdr>
    </w:div>
    <w:div w:id="657655247">
      <w:bodyDiv w:val="1"/>
      <w:marLeft w:val="0"/>
      <w:marRight w:val="0"/>
      <w:marTop w:val="0"/>
      <w:marBottom w:val="0"/>
      <w:divBdr>
        <w:top w:val="none" w:sz="0" w:space="0" w:color="auto"/>
        <w:left w:val="none" w:sz="0" w:space="0" w:color="auto"/>
        <w:bottom w:val="none" w:sz="0" w:space="0" w:color="auto"/>
        <w:right w:val="none" w:sz="0" w:space="0" w:color="auto"/>
      </w:divBdr>
    </w:div>
    <w:div w:id="720524178">
      <w:bodyDiv w:val="1"/>
      <w:marLeft w:val="0"/>
      <w:marRight w:val="0"/>
      <w:marTop w:val="0"/>
      <w:marBottom w:val="0"/>
      <w:divBdr>
        <w:top w:val="none" w:sz="0" w:space="0" w:color="auto"/>
        <w:left w:val="none" w:sz="0" w:space="0" w:color="auto"/>
        <w:bottom w:val="none" w:sz="0" w:space="0" w:color="auto"/>
        <w:right w:val="none" w:sz="0" w:space="0" w:color="auto"/>
      </w:divBdr>
    </w:div>
    <w:div w:id="744032664">
      <w:bodyDiv w:val="1"/>
      <w:marLeft w:val="0"/>
      <w:marRight w:val="0"/>
      <w:marTop w:val="0"/>
      <w:marBottom w:val="0"/>
      <w:divBdr>
        <w:top w:val="none" w:sz="0" w:space="0" w:color="auto"/>
        <w:left w:val="none" w:sz="0" w:space="0" w:color="auto"/>
        <w:bottom w:val="none" w:sz="0" w:space="0" w:color="auto"/>
        <w:right w:val="none" w:sz="0" w:space="0" w:color="auto"/>
      </w:divBdr>
    </w:div>
    <w:div w:id="789322294">
      <w:bodyDiv w:val="1"/>
      <w:marLeft w:val="0"/>
      <w:marRight w:val="0"/>
      <w:marTop w:val="0"/>
      <w:marBottom w:val="0"/>
      <w:divBdr>
        <w:top w:val="none" w:sz="0" w:space="0" w:color="auto"/>
        <w:left w:val="none" w:sz="0" w:space="0" w:color="auto"/>
        <w:bottom w:val="none" w:sz="0" w:space="0" w:color="auto"/>
        <w:right w:val="none" w:sz="0" w:space="0" w:color="auto"/>
      </w:divBdr>
    </w:div>
    <w:div w:id="810295182">
      <w:bodyDiv w:val="1"/>
      <w:marLeft w:val="0"/>
      <w:marRight w:val="0"/>
      <w:marTop w:val="0"/>
      <w:marBottom w:val="0"/>
      <w:divBdr>
        <w:top w:val="none" w:sz="0" w:space="0" w:color="auto"/>
        <w:left w:val="none" w:sz="0" w:space="0" w:color="auto"/>
        <w:bottom w:val="none" w:sz="0" w:space="0" w:color="auto"/>
        <w:right w:val="none" w:sz="0" w:space="0" w:color="auto"/>
      </w:divBdr>
    </w:div>
    <w:div w:id="853543055">
      <w:bodyDiv w:val="1"/>
      <w:marLeft w:val="0"/>
      <w:marRight w:val="0"/>
      <w:marTop w:val="0"/>
      <w:marBottom w:val="0"/>
      <w:divBdr>
        <w:top w:val="none" w:sz="0" w:space="0" w:color="auto"/>
        <w:left w:val="none" w:sz="0" w:space="0" w:color="auto"/>
        <w:bottom w:val="none" w:sz="0" w:space="0" w:color="auto"/>
        <w:right w:val="none" w:sz="0" w:space="0" w:color="auto"/>
      </w:divBdr>
    </w:div>
    <w:div w:id="1017342763">
      <w:bodyDiv w:val="1"/>
      <w:marLeft w:val="0"/>
      <w:marRight w:val="0"/>
      <w:marTop w:val="0"/>
      <w:marBottom w:val="0"/>
      <w:divBdr>
        <w:top w:val="none" w:sz="0" w:space="0" w:color="auto"/>
        <w:left w:val="none" w:sz="0" w:space="0" w:color="auto"/>
        <w:bottom w:val="none" w:sz="0" w:space="0" w:color="auto"/>
        <w:right w:val="none" w:sz="0" w:space="0" w:color="auto"/>
      </w:divBdr>
    </w:div>
    <w:div w:id="1020737708">
      <w:bodyDiv w:val="1"/>
      <w:marLeft w:val="0"/>
      <w:marRight w:val="0"/>
      <w:marTop w:val="0"/>
      <w:marBottom w:val="0"/>
      <w:divBdr>
        <w:top w:val="none" w:sz="0" w:space="0" w:color="auto"/>
        <w:left w:val="none" w:sz="0" w:space="0" w:color="auto"/>
        <w:bottom w:val="none" w:sz="0" w:space="0" w:color="auto"/>
        <w:right w:val="none" w:sz="0" w:space="0" w:color="auto"/>
      </w:divBdr>
    </w:div>
    <w:div w:id="1080055678">
      <w:bodyDiv w:val="1"/>
      <w:marLeft w:val="0"/>
      <w:marRight w:val="0"/>
      <w:marTop w:val="0"/>
      <w:marBottom w:val="0"/>
      <w:divBdr>
        <w:top w:val="none" w:sz="0" w:space="0" w:color="auto"/>
        <w:left w:val="none" w:sz="0" w:space="0" w:color="auto"/>
        <w:bottom w:val="none" w:sz="0" w:space="0" w:color="auto"/>
        <w:right w:val="none" w:sz="0" w:space="0" w:color="auto"/>
      </w:divBdr>
    </w:div>
    <w:div w:id="1209611937">
      <w:bodyDiv w:val="1"/>
      <w:marLeft w:val="0"/>
      <w:marRight w:val="0"/>
      <w:marTop w:val="0"/>
      <w:marBottom w:val="0"/>
      <w:divBdr>
        <w:top w:val="none" w:sz="0" w:space="0" w:color="auto"/>
        <w:left w:val="none" w:sz="0" w:space="0" w:color="auto"/>
        <w:bottom w:val="none" w:sz="0" w:space="0" w:color="auto"/>
        <w:right w:val="none" w:sz="0" w:space="0" w:color="auto"/>
      </w:divBdr>
    </w:div>
    <w:div w:id="1229002158">
      <w:bodyDiv w:val="1"/>
      <w:marLeft w:val="0"/>
      <w:marRight w:val="0"/>
      <w:marTop w:val="0"/>
      <w:marBottom w:val="0"/>
      <w:divBdr>
        <w:top w:val="none" w:sz="0" w:space="0" w:color="auto"/>
        <w:left w:val="none" w:sz="0" w:space="0" w:color="auto"/>
        <w:bottom w:val="none" w:sz="0" w:space="0" w:color="auto"/>
        <w:right w:val="none" w:sz="0" w:space="0" w:color="auto"/>
      </w:divBdr>
    </w:div>
    <w:div w:id="1238596008">
      <w:bodyDiv w:val="1"/>
      <w:marLeft w:val="0"/>
      <w:marRight w:val="0"/>
      <w:marTop w:val="0"/>
      <w:marBottom w:val="0"/>
      <w:divBdr>
        <w:top w:val="none" w:sz="0" w:space="0" w:color="auto"/>
        <w:left w:val="none" w:sz="0" w:space="0" w:color="auto"/>
        <w:bottom w:val="none" w:sz="0" w:space="0" w:color="auto"/>
        <w:right w:val="none" w:sz="0" w:space="0" w:color="auto"/>
      </w:divBdr>
    </w:div>
    <w:div w:id="1310287589">
      <w:bodyDiv w:val="1"/>
      <w:marLeft w:val="0"/>
      <w:marRight w:val="0"/>
      <w:marTop w:val="0"/>
      <w:marBottom w:val="0"/>
      <w:divBdr>
        <w:top w:val="none" w:sz="0" w:space="0" w:color="auto"/>
        <w:left w:val="none" w:sz="0" w:space="0" w:color="auto"/>
        <w:bottom w:val="none" w:sz="0" w:space="0" w:color="auto"/>
        <w:right w:val="none" w:sz="0" w:space="0" w:color="auto"/>
      </w:divBdr>
    </w:div>
    <w:div w:id="1345552255">
      <w:bodyDiv w:val="1"/>
      <w:marLeft w:val="0"/>
      <w:marRight w:val="0"/>
      <w:marTop w:val="0"/>
      <w:marBottom w:val="0"/>
      <w:divBdr>
        <w:top w:val="none" w:sz="0" w:space="0" w:color="auto"/>
        <w:left w:val="none" w:sz="0" w:space="0" w:color="auto"/>
        <w:bottom w:val="none" w:sz="0" w:space="0" w:color="auto"/>
        <w:right w:val="none" w:sz="0" w:space="0" w:color="auto"/>
      </w:divBdr>
    </w:div>
    <w:div w:id="1372606085">
      <w:bodyDiv w:val="1"/>
      <w:marLeft w:val="0"/>
      <w:marRight w:val="0"/>
      <w:marTop w:val="0"/>
      <w:marBottom w:val="0"/>
      <w:divBdr>
        <w:top w:val="none" w:sz="0" w:space="0" w:color="auto"/>
        <w:left w:val="none" w:sz="0" w:space="0" w:color="auto"/>
        <w:bottom w:val="none" w:sz="0" w:space="0" w:color="auto"/>
        <w:right w:val="none" w:sz="0" w:space="0" w:color="auto"/>
      </w:divBdr>
    </w:div>
    <w:div w:id="1381709236">
      <w:bodyDiv w:val="1"/>
      <w:marLeft w:val="0"/>
      <w:marRight w:val="0"/>
      <w:marTop w:val="0"/>
      <w:marBottom w:val="0"/>
      <w:divBdr>
        <w:top w:val="none" w:sz="0" w:space="0" w:color="auto"/>
        <w:left w:val="none" w:sz="0" w:space="0" w:color="auto"/>
        <w:bottom w:val="none" w:sz="0" w:space="0" w:color="auto"/>
        <w:right w:val="none" w:sz="0" w:space="0" w:color="auto"/>
      </w:divBdr>
    </w:div>
    <w:div w:id="1421834340">
      <w:bodyDiv w:val="1"/>
      <w:marLeft w:val="0"/>
      <w:marRight w:val="0"/>
      <w:marTop w:val="0"/>
      <w:marBottom w:val="0"/>
      <w:divBdr>
        <w:top w:val="none" w:sz="0" w:space="0" w:color="auto"/>
        <w:left w:val="none" w:sz="0" w:space="0" w:color="auto"/>
        <w:bottom w:val="none" w:sz="0" w:space="0" w:color="auto"/>
        <w:right w:val="none" w:sz="0" w:space="0" w:color="auto"/>
      </w:divBdr>
    </w:div>
    <w:div w:id="1428235183">
      <w:bodyDiv w:val="1"/>
      <w:marLeft w:val="0"/>
      <w:marRight w:val="0"/>
      <w:marTop w:val="0"/>
      <w:marBottom w:val="0"/>
      <w:divBdr>
        <w:top w:val="none" w:sz="0" w:space="0" w:color="auto"/>
        <w:left w:val="none" w:sz="0" w:space="0" w:color="auto"/>
        <w:bottom w:val="none" w:sz="0" w:space="0" w:color="auto"/>
        <w:right w:val="none" w:sz="0" w:space="0" w:color="auto"/>
      </w:divBdr>
    </w:div>
    <w:div w:id="1442601371">
      <w:bodyDiv w:val="1"/>
      <w:marLeft w:val="0"/>
      <w:marRight w:val="0"/>
      <w:marTop w:val="0"/>
      <w:marBottom w:val="0"/>
      <w:divBdr>
        <w:top w:val="none" w:sz="0" w:space="0" w:color="auto"/>
        <w:left w:val="none" w:sz="0" w:space="0" w:color="auto"/>
        <w:bottom w:val="none" w:sz="0" w:space="0" w:color="auto"/>
        <w:right w:val="none" w:sz="0" w:space="0" w:color="auto"/>
      </w:divBdr>
    </w:div>
    <w:div w:id="1463887837">
      <w:bodyDiv w:val="1"/>
      <w:marLeft w:val="0"/>
      <w:marRight w:val="0"/>
      <w:marTop w:val="0"/>
      <w:marBottom w:val="0"/>
      <w:divBdr>
        <w:top w:val="none" w:sz="0" w:space="0" w:color="auto"/>
        <w:left w:val="none" w:sz="0" w:space="0" w:color="auto"/>
        <w:bottom w:val="none" w:sz="0" w:space="0" w:color="auto"/>
        <w:right w:val="none" w:sz="0" w:space="0" w:color="auto"/>
      </w:divBdr>
    </w:div>
    <w:div w:id="1489637632">
      <w:bodyDiv w:val="1"/>
      <w:marLeft w:val="0"/>
      <w:marRight w:val="0"/>
      <w:marTop w:val="0"/>
      <w:marBottom w:val="0"/>
      <w:divBdr>
        <w:top w:val="none" w:sz="0" w:space="0" w:color="auto"/>
        <w:left w:val="none" w:sz="0" w:space="0" w:color="auto"/>
        <w:bottom w:val="none" w:sz="0" w:space="0" w:color="auto"/>
        <w:right w:val="none" w:sz="0" w:space="0" w:color="auto"/>
      </w:divBdr>
    </w:div>
    <w:div w:id="1514876922">
      <w:bodyDiv w:val="1"/>
      <w:marLeft w:val="0"/>
      <w:marRight w:val="0"/>
      <w:marTop w:val="0"/>
      <w:marBottom w:val="0"/>
      <w:divBdr>
        <w:top w:val="none" w:sz="0" w:space="0" w:color="auto"/>
        <w:left w:val="none" w:sz="0" w:space="0" w:color="auto"/>
        <w:bottom w:val="none" w:sz="0" w:space="0" w:color="auto"/>
        <w:right w:val="none" w:sz="0" w:space="0" w:color="auto"/>
      </w:divBdr>
    </w:div>
    <w:div w:id="1523593850">
      <w:bodyDiv w:val="1"/>
      <w:marLeft w:val="0"/>
      <w:marRight w:val="0"/>
      <w:marTop w:val="0"/>
      <w:marBottom w:val="0"/>
      <w:divBdr>
        <w:top w:val="none" w:sz="0" w:space="0" w:color="auto"/>
        <w:left w:val="none" w:sz="0" w:space="0" w:color="auto"/>
        <w:bottom w:val="none" w:sz="0" w:space="0" w:color="auto"/>
        <w:right w:val="none" w:sz="0" w:space="0" w:color="auto"/>
      </w:divBdr>
    </w:div>
    <w:div w:id="1578248423">
      <w:bodyDiv w:val="1"/>
      <w:marLeft w:val="0"/>
      <w:marRight w:val="0"/>
      <w:marTop w:val="0"/>
      <w:marBottom w:val="0"/>
      <w:divBdr>
        <w:top w:val="none" w:sz="0" w:space="0" w:color="auto"/>
        <w:left w:val="none" w:sz="0" w:space="0" w:color="auto"/>
        <w:bottom w:val="none" w:sz="0" w:space="0" w:color="auto"/>
        <w:right w:val="none" w:sz="0" w:space="0" w:color="auto"/>
      </w:divBdr>
    </w:div>
    <w:div w:id="1703432438">
      <w:bodyDiv w:val="1"/>
      <w:marLeft w:val="0"/>
      <w:marRight w:val="0"/>
      <w:marTop w:val="0"/>
      <w:marBottom w:val="0"/>
      <w:divBdr>
        <w:top w:val="none" w:sz="0" w:space="0" w:color="auto"/>
        <w:left w:val="none" w:sz="0" w:space="0" w:color="auto"/>
        <w:bottom w:val="none" w:sz="0" w:space="0" w:color="auto"/>
        <w:right w:val="none" w:sz="0" w:space="0" w:color="auto"/>
      </w:divBdr>
    </w:div>
    <w:div w:id="1873684092">
      <w:bodyDiv w:val="1"/>
      <w:marLeft w:val="0"/>
      <w:marRight w:val="0"/>
      <w:marTop w:val="0"/>
      <w:marBottom w:val="0"/>
      <w:divBdr>
        <w:top w:val="none" w:sz="0" w:space="0" w:color="auto"/>
        <w:left w:val="none" w:sz="0" w:space="0" w:color="auto"/>
        <w:bottom w:val="none" w:sz="0" w:space="0" w:color="auto"/>
        <w:right w:val="none" w:sz="0" w:space="0" w:color="auto"/>
      </w:divBdr>
    </w:div>
    <w:div w:id="1907182313">
      <w:bodyDiv w:val="1"/>
      <w:marLeft w:val="0"/>
      <w:marRight w:val="0"/>
      <w:marTop w:val="0"/>
      <w:marBottom w:val="0"/>
      <w:divBdr>
        <w:top w:val="none" w:sz="0" w:space="0" w:color="auto"/>
        <w:left w:val="none" w:sz="0" w:space="0" w:color="auto"/>
        <w:bottom w:val="none" w:sz="0" w:space="0" w:color="auto"/>
        <w:right w:val="none" w:sz="0" w:space="0" w:color="auto"/>
      </w:divBdr>
    </w:div>
    <w:div w:id="1948778781">
      <w:bodyDiv w:val="1"/>
      <w:marLeft w:val="0"/>
      <w:marRight w:val="0"/>
      <w:marTop w:val="0"/>
      <w:marBottom w:val="0"/>
      <w:divBdr>
        <w:top w:val="none" w:sz="0" w:space="0" w:color="auto"/>
        <w:left w:val="none" w:sz="0" w:space="0" w:color="auto"/>
        <w:bottom w:val="none" w:sz="0" w:space="0" w:color="auto"/>
        <w:right w:val="none" w:sz="0" w:space="0" w:color="auto"/>
      </w:divBdr>
    </w:div>
    <w:div w:id="1974479358">
      <w:bodyDiv w:val="1"/>
      <w:marLeft w:val="0"/>
      <w:marRight w:val="0"/>
      <w:marTop w:val="0"/>
      <w:marBottom w:val="0"/>
      <w:divBdr>
        <w:top w:val="none" w:sz="0" w:space="0" w:color="auto"/>
        <w:left w:val="none" w:sz="0" w:space="0" w:color="auto"/>
        <w:bottom w:val="none" w:sz="0" w:space="0" w:color="auto"/>
        <w:right w:val="none" w:sz="0" w:space="0" w:color="auto"/>
      </w:divBdr>
    </w:div>
    <w:div w:id="2014530121">
      <w:bodyDiv w:val="1"/>
      <w:marLeft w:val="0"/>
      <w:marRight w:val="0"/>
      <w:marTop w:val="0"/>
      <w:marBottom w:val="0"/>
      <w:divBdr>
        <w:top w:val="none" w:sz="0" w:space="0" w:color="auto"/>
        <w:left w:val="none" w:sz="0" w:space="0" w:color="auto"/>
        <w:bottom w:val="none" w:sz="0" w:space="0" w:color="auto"/>
        <w:right w:val="none" w:sz="0" w:space="0" w:color="auto"/>
      </w:divBdr>
    </w:div>
    <w:div w:id="2026322910">
      <w:bodyDiv w:val="1"/>
      <w:marLeft w:val="0"/>
      <w:marRight w:val="0"/>
      <w:marTop w:val="0"/>
      <w:marBottom w:val="0"/>
      <w:divBdr>
        <w:top w:val="none" w:sz="0" w:space="0" w:color="auto"/>
        <w:left w:val="none" w:sz="0" w:space="0" w:color="auto"/>
        <w:bottom w:val="none" w:sz="0" w:space="0" w:color="auto"/>
        <w:right w:val="none" w:sz="0" w:space="0" w:color="auto"/>
      </w:divBdr>
    </w:div>
    <w:div w:id="2045401795">
      <w:bodyDiv w:val="1"/>
      <w:marLeft w:val="0"/>
      <w:marRight w:val="0"/>
      <w:marTop w:val="0"/>
      <w:marBottom w:val="0"/>
      <w:divBdr>
        <w:top w:val="none" w:sz="0" w:space="0" w:color="auto"/>
        <w:left w:val="none" w:sz="0" w:space="0" w:color="auto"/>
        <w:bottom w:val="none" w:sz="0" w:space="0" w:color="auto"/>
        <w:right w:val="none" w:sz="0" w:space="0" w:color="auto"/>
      </w:divBdr>
    </w:div>
    <w:div w:id="207763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14" Type="http://schemas.openxmlformats.org/officeDocument/2006/relationships/endnotes" Target="endnotes.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4041" ma:contentTypeDescription=" " ma:contentTypeScope="" ma:versionID="bd0bb40a1426bc76cbb5a8fe8598853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22</Value>
    </TaxCatchAll>
    <_dlc_DocId xmlns="0f563589-9cf9-4143-b1eb-fb0534803d38">2018RG-111-9790</_dlc_DocId>
    <_dlc_DocIdUrl xmlns="0f563589-9cf9-4143-b1eb-fb0534803d38">
      <Url>http://tweb/sites/rg/ldp/lmu/_layouts/15/DocIdRedir.aspx?ID=2018RG-111-9790</Url>
      <Description>2018RG-111-9790</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CDF45B49E80F24CAD80DFC012154DA9" ma:contentTypeVersion="13848" ma:contentTypeDescription=" " ma:contentTypeScope="" ma:versionID="a1126989f2e7ac80f03c23a94b8b5062">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2de41cb074d60f016f2d6a24a4e6a081"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7515-EB45-41DB-9C3B-CF7BD5074942}"/>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sharepoint/v4"/>
    <ds:schemaRef ds:uri="http://purl.org/dc/elements/1.1/"/>
    <ds:schemaRef ds:uri="http://schemas.microsoft.com/office/2006/metadata/properties"/>
    <ds:schemaRef ds:uri="http://schemas.microsoft.com/office/infopath/2007/PartnerControls"/>
    <ds:schemaRef ds:uri="http://purl.org/dc/dcmitype/"/>
    <ds:schemaRef ds:uri="e544e5cc-ab70-42e1-849e-1a0f8bb1f4ef"/>
    <ds:schemaRef ds:uri="http://schemas.microsoft.com/office/2006/documentManagement/types"/>
    <ds:schemaRef ds:uri="http://schemas.openxmlformats.org/package/2006/metadata/core-properties"/>
    <ds:schemaRef ds:uri="http://www.w3.org/XML/1998/namespace"/>
    <ds:schemaRef ds:uri="0f563589-9cf9-4143-b1eb-fb0534803d38"/>
    <ds:schemaRef ds:uri="http://schemas.microsoft.com/sharepoint/v3"/>
    <ds:schemaRef ds:uri="http://purl.org/dc/terms/"/>
  </ds:schemaRefs>
</ds:datastoreItem>
</file>

<file path=customXml/itemProps4.xml><?xml version="1.0" encoding="utf-8"?>
<ds:datastoreItem xmlns:ds="http://schemas.openxmlformats.org/officeDocument/2006/customXml" ds:itemID="{E81B6A35-8C34-4E8E-A30C-1C8A5FD4E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A3AC60-414C-44BA-B407-1252BFF9FFF1}"/>
</file>

<file path=customXml/itemProps6.xml><?xml version="1.0" encoding="utf-8"?>
<ds:datastoreItem xmlns:ds="http://schemas.openxmlformats.org/officeDocument/2006/customXml" ds:itemID="{958AE5F6-96BF-4A73-9E5B-BEDAC13BD1C8}"/>
</file>

<file path=customXml/itemProps7.xml><?xml version="1.0" encoding="utf-8"?>
<ds:datastoreItem xmlns:ds="http://schemas.openxmlformats.org/officeDocument/2006/customXml" ds:itemID="{A6FBAE6E-2B0F-4C47-85BB-BABF8CCE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593</TotalTime>
  <Pages>5</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Cowie, Vhairi</dc:creator>
  <cp:lastModifiedBy>Pridmore, Brant</cp:lastModifiedBy>
  <cp:revision>50</cp:revision>
  <cp:lastPrinted>2018-08-15T02:10:00Z</cp:lastPrinted>
  <dcterms:created xsi:type="dcterms:W3CDTF">2018-03-15T03:51:00Z</dcterms:created>
  <dcterms:modified xsi:type="dcterms:W3CDTF">2018-09-03T04:35:00Z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-305872716</vt:i4>
  </property>
  <property fmtid="{D5CDD505-2E9C-101B-9397-08002B2CF9AE}" pid="3" name="_NewReviewCycle">
    <vt:lpwstr/>
  </property>
  <property fmtid="{D5CDD505-2E9C-101B-9397-08002B2CF9AE}" pid="4" name="_EmailSubject">
    <vt:lpwstr>FOR CLEARANCE - GDA and NPP for Lodgement [SEC=UNCLASSIFIED]</vt:lpwstr>
  </property>
  <property fmtid="{D5CDD505-2E9C-101B-9397-08002B2CF9AE}" pid="5" name="_AuthorEmail">
    <vt:lpwstr>Brant.Pridmore@TREASURY.GOV.AU</vt:lpwstr>
  </property>
  <property fmtid="{D5CDD505-2E9C-101B-9397-08002B2CF9AE}" pid="6" name="_AuthorEmailDisplayName">
    <vt:lpwstr>Pridmore, Brant</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56740484-6626-4912-8d79-0d060a13ce7e</vt:lpwstr>
  </property>
  <property fmtid="{D5CDD505-2E9C-101B-9397-08002B2CF9AE}" pid="10" name="_PreviousAdHocReviewCycleID">
    <vt:i4>1320679756</vt:i4>
  </property>
  <property fmtid="{D5CDD505-2E9C-101B-9397-08002B2CF9AE}" pid="11" name="RecordPoint_WorkflowType">
    <vt:lpwstr>ActiveSubmitStub</vt:lpwstr>
  </property>
  <property fmtid="{D5CDD505-2E9C-101B-9397-08002B2CF9AE}" pid="12" name="RecordPoint_ActiveItemUniqueId">
    <vt:lpwstr>{56740484-6626-4912-8d79-0d060a13ce7e}</vt:lpwstr>
  </property>
  <property fmtid="{D5CDD505-2E9C-101B-9397-08002B2CF9AE}" pid="13" name="RecordPoint_ActiveItemListId">
    <vt:lpwstr>{1a010be9-83b3-4740-abb7-452f2d1120fe}</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SubmissionDate">
    <vt:lpwstr/>
  </property>
  <property fmtid="{D5CDD505-2E9C-101B-9397-08002B2CF9AE}" pid="17" name="RecordPoint_RecordNumberSubmitted">
    <vt:lpwstr>R0001859644</vt:lpwstr>
  </property>
  <property fmtid="{D5CDD505-2E9C-101B-9397-08002B2CF9AE}" pid="18" name="RecordPoint_ActiveItemMoved">
    <vt:lpwstr/>
  </property>
  <property fmtid="{D5CDD505-2E9C-101B-9397-08002B2CF9AE}" pid="19" name="RecordPoint_RecordFormat">
    <vt:lpwstr/>
  </property>
  <property fmtid="{D5CDD505-2E9C-101B-9397-08002B2CF9AE}" pid="20" name="_ReviewingToolsShownOnce">
    <vt:lpwstr/>
  </property>
  <property fmtid="{D5CDD505-2E9C-101B-9397-08002B2CF9AE}" pid="21" name="RecordPoint_SubmissionCompleted">
    <vt:lpwstr>2018-09-03T16:47:07.7178546+10:00</vt:lpwstr>
  </property>
</Properties>
</file>