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C736" w14:textId="49C4F22A" w:rsidR="00715914" w:rsidRPr="00F61B09" w:rsidRDefault="007A255C" w:rsidP="009460DC">
      <w:pPr>
        <w:spacing w:after="600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AF4381" wp14:editId="17419384">
            <wp:extent cx="5267325" cy="74295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1EA3" w14:textId="60932FA8" w:rsidR="00243EC0" w:rsidRPr="00243EC0" w:rsidRDefault="00447DB4" w:rsidP="003B28C3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5D3D41">
        <w:t>C</w:t>
      </w:r>
      <w:r w:rsidR="00861E68">
        <w:t>redit</w:t>
      </w:r>
      <w:r w:rsidR="00327DDF" w:rsidRPr="005D3D41">
        <w:t xml:space="preserve"> </w:t>
      </w:r>
      <w:r w:rsidR="00C11452" w:rsidRPr="005D3D41">
        <w:t>(</w:t>
      </w:r>
      <w:r w:rsidR="007B77C5">
        <w:t>Unsuitability—Credit Cards</w:t>
      </w:r>
      <w:r w:rsidR="00C11452">
        <w:t>) Instrument</w:t>
      </w:r>
      <w:r w:rsidR="007B77C5">
        <w:t> </w:t>
      </w:r>
      <w:r w:rsidR="00861E68">
        <w:t>2018</w:t>
      </w:r>
      <w:r w:rsidR="005B204F">
        <w:t>/</w:t>
      </w:r>
      <w:r w:rsidR="003E13EF">
        <w:t>753</w:t>
      </w:r>
    </w:p>
    <w:p w14:paraId="316919A6" w14:textId="7E8D520D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4E2123">
        <w:rPr>
          <w:sz w:val="24"/>
          <w:szCs w:val="24"/>
        </w:rPr>
        <w:t>Grant Moodie</w:t>
      </w:r>
      <w:r w:rsidR="00C0544A" w:rsidRPr="00BB5C17">
        <w:rPr>
          <w:sz w:val="24"/>
          <w:szCs w:val="24"/>
        </w:rPr>
        <w:t>, delegate of the Australian Securities and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0E91B848" w14:textId="77777777" w:rsidR="004E2123" w:rsidRPr="004E2123" w:rsidRDefault="004E2123" w:rsidP="004E2123">
      <w:pPr>
        <w:rPr>
          <w:lang w:eastAsia="en-AU"/>
        </w:rPr>
      </w:pPr>
    </w:p>
    <w:p w14:paraId="2809C541" w14:textId="7D74C8BA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="00861E68">
        <w:rPr>
          <w:sz w:val="24"/>
          <w:szCs w:val="24"/>
        </w:rPr>
        <w:tab/>
      </w:r>
      <w:r w:rsidR="004E2123">
        <w:rPr>
          <w:sz w:val="24"/>
          <w:szCs w:val="24"/>
        </w:rPr>
        <w:tab/>
      </w:r>
      <w:r w:rsidR="003E13EF">
        <w:rPr>
          <w:sz w:val="24"/>
          <w:szCs w:val="24"/>
        </w:rPr>
        <w:t>28</w:t>
      </w:r>
      <w:r w:rsidR="004E2123">
        <w:rPr>
          <w:sz w:val="24"/>
          <w:szCs w:val="24"/>
        </w:rPr>
        <w:t xml:space="preserve"> August 2018</w:t>
      </w:r>
    </w:p>
    <w:p w14:paraId="7DFB669B" w14:textId="51DCD7A0" w:rsidR="000E0D20" w:rsidRDefault="000E0D20" w:rsidP="000E0D20">
      <w:pPr>
        <w:rPr>
          <w:lang w:eastAsia="en-AU"/>
        </w:rPr>
      </w:pPr>
    </w:p>
    <w:p w14:paraId="204907FE" w14:textId="77777777" w:rsidR="003E13EF" w:rsidRPr="000E0D20" w:rsidRDefault="003E13EF" w:rsidP="000E0D20">
      <w:pPr>
        <w:rPr>
          <w:lang w:eastAsia="en-AU"/>
        </w:rPr>
      </w:pPr>
    </w:p>
    <w:p w14:paraId="309C3E79" w14:textId="3FCA805E" w:rsidR="00F171A1" w:rsidRDefault="004E2123" w:rsidP="000E0D20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75156CAA" w14:textId="77777777" w:rsidR="008F092F" w:rsidRPr="000E0D20" w:rsidRDefault="008F092F" w:rsidP="000E0D20">
      <w:pPr>
        <w:rPr>
          <w:lang w:eastAsia="en-AU"/>
        </w:rPr>
      </w:pPr>
    </w:p>
    <w:p w14:paraId="51F6A54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E2E6CE0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13CB67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DC9D2C0" w14:textId="51FD5E05" w:rsidR="003E13EF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23228675" w:history="1">
        <w:r w:rsidR="003E13EF" w:rsidRPr="00C30CE1">
          <w:rPr>
            <w:rStyle w:val="Hyperlink"/>
            <w:noProof/>
          </w:rPr>
          <w:t>Part 1—Preliminary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_Toc523228675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3</w:t>
        </w:r>
        <w:r w:rsidR="003E13EF">
          <w:rPr>
            <w:noProof/>
            <w:webHidden/>
          </w:rPr>
          <w:fldChar w:fldCharType="end"/>
        </w:r>
      </w:hyperlink>
    </w:p>
    <w:p w14:paraId="42A70503" w14:textId="3130370B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76" w:history="1">
        <w:r w:rsidR="003E13EF" w:rsidRPr="00C30CE1">
          <w:rPr>
            <w:rStyle w:val="Hyperlink"/>
            <w:noProof/>
          </w:rPr>
          <w:t>1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Name of legislative instrument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_Toc523228676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3</w:t>
        </w:r>
        <w:r w:rsidR="003E13EF">
          <w:rPr>
            <w:noProof/>
            <w:webHidden/>
          </w:rPr>
          <w:fldChar w:fldCharType="end"/>
        </w:r>
      </w:hyperlink>
    </w:p>
    <w:p w14:paraId="1C782845" w14:textId="7550ED3E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77" w:history="1">
        <w:r w:rsidR="003E13EF" w:rsidRPr="00C30CE1">
          <w:rPr>
            <w:rStyle w:val="Hyperlink"/>
            <w:noProof/>
          </w:rPr>
          <w:t>2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Commencement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_Toc523228677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3</w:t>
        </w:r>
        <w:r w:rsidR="003E13EF">
          <w:rPr>
            <w:noProof/>
            <w:webHidden/>
          </w:rPr>
          <w:fldChar w:fldCharType="end"/>
        </w:r>
      </w:hyperlink>
    </w:p>
    <w:p w14:paraId="48ADB349" w14:textId="35610BE1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78" w:history="1">
        <w:r w:rsidR="003E13EF" w:rsidRPr="00C30CE1">
          <w:rPr>
            <w:rStyle w:val="Hyperlink"/>
            <w:noProof/>
          </w:rPr>
          <w:t>3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Authority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_Toc523228678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3</w:t>
        </w:r>
        <w:r w:rsidR="003E13EF">
          <w:rPr>
            <w:noProof/>
            <w:webHidden/>
          </w:rPr>
          <w:fldChar w:fldCharType="end"/>
        </w:r>
      </w:hyperlink>
    </w:p>
    <w:p w14:paraId="4AC3D7A7" w14:textId="1C07BEE3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79" w:history="1">
        <w:r w:rsidR="003E13EF" w:rsidRPr="00C30CE1">
          <w:rPr>
            <w:rStyle w:val="Hyperlink"/>
            <w:noProof/>
          </w:rPr>
          <w:t>4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Definitions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_Toc523228679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3</w:t>
        </w:r>
        <w:r w:rsidR="003E13EF">
          <w:rPr>
            <w:noProof/>
            <w:webHidden/>
          </w:rPr>
          <w:fldChar w:fldCharType="end"/>
        </w:r>
      </w:hyperlink>
    </w:p>
    <w:p w14:paraId="5634FD3B" w14:textId="0A1243C2" w:rsidR="003E13EF" w:rsidRDefault="00DC243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3228680" w:history="1">
        <w:r w:rsidR="003E13EF" w:rsidRPr="00C30CE1">
          <w:rPr>
            <w:rStyle w:val="Hyperlink"/>
            <w:noProof/>
          </w:rPr>
          <w:t>Part 2—Determination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_Toc523228680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4</w:t>
        </w:r>
        <w:r w:rsidR="003E13EF">
          <w:rPr>
            <w:noProof/>
            <w:webHidden/>
          </w:rPr>
          <w:fldChar w:fldCharType="end"/>
        </w:r>
      </w:hyperlink>
    </w:p>
    <w:p w14:paraId="49E398EC" w14:textId="6EB5C85B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81" w:history="1">
        <w:r w:rsidR="003E13EF" w:rsidRPr="00C30CE1">
          <w:rPr>
            <w:rStyle w:val="Hyperlink"/>
            <w:noProof/>
          </w:rPr>
          <w:t>5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Period for determining unsuitability in respect of credit card contracts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_Toc523228681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4</w:t>
        </w:r>
        <w:r w:rsidR="003E13EF">
          <w:rPr>
            <w:noProof/>
            <w:webHidden/>
          </w:rPr>
          <w:fldChar w:fldCharType="end"/>
        </w:r>
      </w:hyperlink>
    </w:p>
    <w:p w14:paraId="3B6E836E" w14:textId="79F22A10" w:rsidR="003E13EF" w:rsidRDefault="00DC243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3228682" w:history="1">
        <w:r w:rsidR="003E13EF" w:rsidRPr="00C30CE1">
          <w:rPr>
            <w:rStyle w:val="Hyperlink"/>
            <w:noProof/>
          </w:rPr>
          <w:t>Part 3—Transitional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_Toc523228682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5</w:t>
        </w:r>
        <w:r w:rsidR="003E13EF">
          <w:rPr>
            <w:noProof/>
            <w:webHidden/>
          </w:rPr>
          <w:fldChar w:fldCharType="end"/>
        </w:r>
      </w:hyperlink>
    </w:p>
    <w:p w14:paraId="19B4E9CE" w14:textId="732C5A71" w:rsidR="003E13EF" w:rsidRDefault="00DC243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3228683" w:history="1">
        <w:r w:rsidR="003E13EF" w:rsidRPr="00C30CE1">
          <w:rPr>
            <w:rStyle w:val="Hyperlink"/>
            <w:noProof/>
          </w:rPr>
          <w:t>6</w:t>
        </w:r>
        <w:r w:rsidR="003E13E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13EF" w:rsidRPr="00C30CE1">
          <w:rPr>
            <w:rStyle w:val="Hyperlink"/>
            <w:noProof/>
          </w:rPr>
          <w:t>Application</w:t>
        </w:r>
        <w:r w:rsidR="003E13EF">
          <w:rPr>
            <w:noProof/>
            <w:webHidden/>
          </w:rPr>
          <w:tab/>
        </w:r>
        <w:r w:rsidR="003E13EF">
          <w:rPr>
            <w:noProof/>
            <w:webHidden/>
          </w:rPr>
          <w:fldChar w:fldCharType="begin"/>
        </w:r>
        <w:r w:rsidR="003E13EF">
          <w:rPr>
            <w:noProof/>
            <w:webHidden/>
          </w:rPr>
          <w:instrText xml:space="preserve"> PAGEREF _Toc523228683 \h </w:instrText>
        </w:r>
        <w:r w:rsidR="003E13EF">
          <w:rPr>
            <w:noProof/>
            <w:webHidden/>
          </w:rPr>
        </w:r>
        <w:r w:rsidR="003E13EF">
          <w:rPr>
            <w:noProof/>
            <w:webHidden/>
          </w:rPr>
          <w:fldChar w:fldCharType="separate"/>
        </w:r>
        <w:r w:rsidR="003E13EF">
          <w:rPr>
            <w:noProof/>
            <w:webHidden/>
          </w:rPr>
          <w:t>5</w:t>
        </w:r>
        <w:r w:rsidR="003E13EF">
          <w:rPr>
            <w:noProof/>
            <w:webHidden/>
          </w:rPr>
          <w:fldChar w:fldCharType="end"/>
        </w:r>
      </w:hyperlink>
    </w:p>
    <w:p w14:paraId="224B6B49" w14:textId="30566768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25F82D8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52B8291" w14:textId="77777777" w:rsidR="00FA31DE" w:rsidRPr="00F61B09" w:rsidRDefault="00FA31DE" w:rsidP="006554FF">
      <w:pPr>
        <w:pStyle w:val="LI-Heading1"/>
      </w:pPr>
      <w:bookmarkStart w:id="2" w:name="BK_S3P1L1C1"/>
      <w:bookmarkStart w:id="3" w:name="_Toc52322867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513CD64E" w14:textId="77777777" w:rsidR="00FA31DE" w:rsidRDefault="00FA31DE" w:rsidP="00C11452">
      <w:pPr>
        <w:pStyle w:val="LI-Heading2"/>
        <w:rPr>
          <w:szCs w:val="24"/>
        </w:rPr>
      </w:pPr>
      <w:bookmarkStart w:id="4" w:name="_Toc5232286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5F6622D" w14:textId="232EFCDC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4B07F7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0F4872">
        <w:rPr>
          <w:i/>
          <w:szCs w:val="24"/>
        </w:rPr>
        <w:t>A</w:t>
      </w:r>
      <w:r w:rsidR="000F4872" w:rsidRPr="000F4872">
        <w:rPr>
          <w:i/>
          <w:szCs w:val="24"/>
        </w:rPr>
        <w:t>SIC Credit</w:t>
      </w:r>
      <w:r w:rsidR="00327DDF" w:rsidRPr="000F4872">
        <w:rPr>
          <w:i/>
          <w:szCs w:val="24"/>
        </w:rPr>
        <w:t xml:space="preserve"> </w:t>
      </w:r>
      <w:r w:rsidR="00623D78" w:rsidRPr="000F4872">
        <w:rPr>
          <w:i/>
          <w:szCs w:val="24"/>
        </w:rPr>
        <w:t>(</w:t>
      </w:r>
      <w:r w:rsidR="007B77C5">
        <w:rPr>
          <w:i/>
          <w:szCs w:val="24"/>
        </w:rPr>
        <w:t>Unsuitability—Credit Cards)</w:t>
      </w:r>
      <w:r w:rsidR="005B204F" w:rsidRPr="000F4872">
        <w:rPr>
          <w:i/>
          <w:szCs w:val="24"/>
        </w:rPr>
        <w:t xml:space="preserve"> Instrument</w:t>
      </w:r>
      <w:r w:rsidR="001E6DCC" w:rsidRPr="000F4872">
        <w:rPr>
          <w:i/>
          <w:szCs w:val="24"/>
        </w:rPr>
        <w:t> </w:t>
      </w:r>
      <w:r w:rsidR="000F4872" w:rsidRPr="000F4872">
        <w:rPr>
          <w:i/>
          <w:szCs w:val="24"/>
        </w:rPr>
        <w:t>2018</w:t>
      </w:r>
      <w:r w:rsidR="005B204F" w:rsidRPr="000F4872">
        <w:rPr>
          <w:i/>
          <w:szCs w:val="24"/>
        </w:rPr>
        <w:t>/</w:t>
      </w:r>
      <w:r w:rsidR="003E13EF">
        <w:rPr>
          <w:i/>
          <w:szCs w:val="24"/>
        </w:rPr>
        <w:t>753</w:t>
      </w:r>
      <w:r w:rsidRPr="005D3D41">
        <w:rPr>
          <w:szCs w:val="24"/>
        </w:rPr>
        <w:t>.</w:t>
      </w:r>
    </w:p>
    <w:p w14:paraId="78212B24" w14:textId="77777777" w:rsidR="00FA31DE" w:rsidRPr="008C0F29" w:rsidRDefault="00FA31DE" w:rsidP="008E3265">
      <w:pPr>
        <w:pStyle w:val="LI-Heading2"/>
        <w:spacing w:before="240"/>
        <w:rPr>
          <w:szCs w:val="24"/>
        </w:rPr>
      </w:pPr>
      <w:bookmarkStart w:id="5" w:name="_Toc5232286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F8065A7" w14:textId="0D88AC02" w:rsidR="007B77C5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</w:t>
      </w:r>
      <w:r w:rsidR="007B77C5">
        <w:rPr>
          <w:szCs w:val="24"/>
        </w:rPr>
        <w:t>the later of:</w:t>
      </w:r>
    </w:p>
    <w:p w14:paraId="52F0B520" w14:textId="77777777" w:rsidR="007B77C5" w:rsidRDefault="007B77C5" w:rsidP="007B77C5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8E3265">
        <w:rPr>
          <w:szCs w:val="24"/>
        </w:rPr>
        <w:t xml:space="preserve">1 </w:t>
      </w:r>
      <w:r w:rsidR="00275037">
        <w:rPr>
          <w:szCs w:val="24"/>
        </w:rPr>
        <w:t>January 2019</w:t>
      </w:r>
      <w:r>
        <w:rPr>
          <w:szCs w:val="24"/>
        </w:rPr>
        <w:t>; and</w:t>
      </w:r>
    </w:p>
    <w:p w14:paraId="2B80F944" w14:textId="33546E8A" w:rsidR="00FA31DE" w:rsidRDefault="007B77C5" w:rsidP="007B77C5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>the day after it is registered on the Federal Register of Legislation</w:t>
      </w:r>
      <w:r w:rsidR="001C4AC3">
        <w:rPr>
          <w:szCs w:val="24"/>
        </w:rPr>
        <w:t>.</w:t>
      </w:r>
    </w:p>
    <w:p w14:paraId="492174AE" w14:textId="4229A450" w:rsidR="007B77C5" w:rsidRPr="008C0F29" w:rsidRDefault="007B77C5" w:rsidP="003E13EF">
      <w:pPr>
        <w:pStyle w:val="LI-BodyTextNote"/>
        <w:rPr>
          <w:szCs w:val="24"/>
        </w:rPr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0DE782D8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514941275"/>
      <w:bookmarkStart w:id="7" w:name="_Toc5232286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  <w:bookmarkEnd w:id="7"/>
    </w:p>
    <w:p w14:paraId="0593437B" w14:textId="165D1D8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CE4750">
        <w:rPr>
          <w:szCs w:val="24"/>
        </w:rPr>
        <w:t xml:space="preserve"> </w:t>
      </w:r>
      <w:r w:rsidR="007B77C5">
        <w:rPr>
          <w:szCs w:val="24"/>
        </w:rPr>
        <w:t>subsection</w:t>
      </w:r>
      <w:r w:rsidR="00CE4750">
        <w:rPr>
          <w:szCs w:val="24"/>
        </w:rPr>
        <w:t xml:space="preserve"> </w:t>
      </w:r>
      <w:r w:rsidR="00101E11">
        <w:rPr>
          <w:szCs w:val="24"/>
        </w:rPr>
        <w:t>160F</w:t>
      </w:r>
      <w:r w:rsidR="00CE4750">
        <w:rPr>
          <w:szCs w:val="24"/>
        </w:rPr>
        <w:t>(</w:t>
      </w:r>
      <w:r w:rsidR="00101E11">
        <w:rPr>
          <w:szCs w:val="24"/>
        </w:rPr>
        <w:t>1</w:t>
      </w:r>
      <w:r w:rsidR="00CE4750">
        <w:rPr>
          <w:szCs w:val="24"/>
        </w:rPr>
        <w:t>)</w:t>
      </w:r>
      <w:r w:rsidRPr="008C0F29">
        <w:rPr>
          <w:szCs w:val="24"/>
        </w:rPr>
        <w:t xml:space="preserve"> </w:t>
      </w:r>
      <w:r w:rsidRPr="005D3D41">
        <w:rPr>
          <w:szCs w:val="24"/>
        </w:rPr>
        <w:t>of</w:t>
      </w:r>
      <w:r w:rsidR="006A20EC">
        <w:rPr>
          <w:szCs w:val="24"/>
        </w:rPr>
        <w:t xml:space="preserve"> the </w:t>
      </w:r>
      <w:r w:rsidR="006153DE">
        <w:rPr>
          <w:i/>
          <w:szCs w:val="24"/>
        </w:rPr>
        <w:t>National</w:t>
      </w:r>
      <w:r w:rsidR="004E2123">
        <w:rPr>
          <w:i/>
          <w:szCs w:val="24"/>
        </w:rPr>
        <w:t> </w:t>
      </w:r>
      <w:r w:rsidR="006153DE">
        <w:rPr>
          <w:i/>
          <w:szCs w:val="24"/>
        </w:rPr>
        <w:t>Consumer Credit Protection A</w:t>
      </w:r>
      <w:r w:rsidR="00101E11">
        <w:rPr>
          <w:i/>
          <w:szCs w:val="24"/>
        </w:rPr>
        <w:t>c</w:t>
      </w:r>
      <w:r w:rsidR="006153DE">
        <w:rPr>
          <w:i/>
          <w:szCs w:val="24"/>
        </w:rPr>
        <w:t>t 2009</w:t>
      </w:r>
      <w:r w:rsidR="005B204F">
        <w:rPr>
          <w:i/>
          <w:szCs w:val="24"/>
        </w:rPr>
        <w:t>.</w:t>
      </w:r>
    </w:p>
    <w:p w14:paraId="7D908332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5232286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2C061A3D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0129606B" w14:textId="77777777" w:rsidR="00D87EE7" w:rsidRDefault="00702EFD" w:rsidP="00005446">
      <w:pPr>
        <w:pStyle w:val="LI-BodyTextUnnumbered"/>
        <w:rPr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D87EE7">
        <w:rPr>
          <w:i/>
        </w:rPr>
        <w:t>National Consumer Credit Protection Act 2009</w:t>
      </w:r>
      <w:r w:rsidR="00CE4750">
        <w:rPr>
          <w:i/>
        </w:rPr>
        <w:t>.</w:t>
      </w:r>
    </w:p>
    <w:p w14:paraId="2B649C93" w14:textId="4AA8408F" w:rsidR="00C700A0" w:rsidRDefault="004F6A1F" w:rsidP="00C700A0">
      <w:pPr>
        <w:pStyle w:val="LI-Heading1"/>
      </w:pPr>
      <w:r>
        <w:br w:type="page"/>
      </w:r>
      <w:bookmarkStart w:id="9" w:name="_Toc523228680"/>
      <w:r w:rsidR="00C700A0" w:rsidRPr="00E271DA">
        <w:lastRenderedPageBreak/>
        <w:t xml:space="preserve">Part </w:t>
      </w:r>
      <w:r w:rsidR="00C700A0">
        <w:t>2</w:t>
      </w:r>
      <w:r w:rsidR="00C700A0" w:rsidRPr="00E271DA">
        <w:t>—</w:t>
      </w:r>
      <w:r w:rsidR="00AE359D">
        <w:t>Determination</w:t>
      </w:r>
      <w:bookmarkEnd w:id="9"/>
    </w:p>
    <w:p w14:paraId="4DD7739E" w14:textId="77777777" w:rsidR="00C700A0" w:rsidRPr="000532C0" w:rsidRDefault="00C700A0" w:rsidP="00C700A0">
      <w:pPr>
        <w:pStyle w:val="LI-Heading2"/>
        <w:rPr>
          <w:szCs w:val="24"/>
        </w:rPr>
      </w:pPr>
      <w:bookmarkStart w:id="10" w:name="_Toc523228681"/>
      <w:r>
        <w:rPr>
          <w:szCs w:val="24"/>
        </w:rPr>
        <w:t>5</w:t>
      </w:r>
      <w:r>
        <w:rPr>
          <w:szCs w:val="24"/>
        </w:rPr>
        <w:tab/>
      </w:r>
      <w:r w:rsidR="00D7271F">
        <w:rPr>
          <w:szCs w:val="24"/>
        </w:rPr>
        <w:t>Period for determining unsuitability in respect of credit card contracts</w:t>
      </w:r>
      <w:bookmarkEnd w:id="10"/>
    </w:p>
    <w:p w14:paraId="5D7B4CED" w14:textId="77777777" w:rsidR="00C700A0" w:rsidRDefault="00101E11" w:rsidP="00C700A0">
      <w:pPr>
        <w:pStyle w:val="LI-BodyTextNumbered"/>
        <w:ind w:firstLine="0"/>
      </w:pPr>
      <w:r>
        <w:t>A</w:t>
      </w:r>
      <w:r w:rsidR="00196032">
        <w:t xml:space="preserve"> per</w:t>
      </w:r>
      <w:r w:rsidR="009F1F64">
        <w:t xml:space="preserve">iod of </w:t>
      </w:r>
      <w:r w:rsidR="00687DC0">
        <w:t>three</w:t>
      </w:r>
      <w:r w:rsidR="009F1F64">
        <w:t xml:space="preserve"> years </w:t>
      </w:r>
      <w:r>
        <w:t>is determined for the purposes of</w:t>
      </w:r>
      <w:r w:rsidR="00196032">
        <w:t xml:space="preserve"> </w:t>
      </w:r>
      <w:r w:rsidR="00FE4270">
        <w:t>the following provisions of the Act:</w:t>
      </w:r>
    </w:p>
    <w:p w14:paraId="5E42FE0E" w14:textId="42AB85FE" w:rsidR="00FE4270" w:rsidRDefault="007434A6" w:rsidP="007434A6">
      <w:pPr>
        <w:pStyle w:val="LI-BodyTextNumbered"/>
        <w:ind w:left="1701"/>
      </w:pPr>
      <w:r>
        <w:t>(a)</w:t>
      </w:r>
      <w:r>
        <w:tab/>
      </w:r>
      <w:r w:rsidR="00FE4270">
        <w:t>paragraph 118(3AA)(b);</w:t>
      </w:r>
    </w:p>
    <w:p w14:paraId="4B1956BF" w14:textId="3C883431" w:rsidR="00FE4270" w:rsidRDefault="007434A6" w:rsidP="007434A6">
      <w:pPr>
        <w:pStyle w:val="LI-BodyTextNumbered"/>
        <w:ind w:left="1701"/>
      </w:pPr>
      <w:r>
        <w:t>(b)</w:t>
      </w:r>
      <w:r>
        <w:tab/>
      </w:r>
      <w:r w:rsidR="00FE4270">
        <w:t>paragraph 119(3A)(b);</w:t>
      </w:r>
    </w:p>
    <w:p w14:paraId="2621BA4D" w14:textId="40908219" w:rsidR="00FE4270" w:rsidRDefault="007434A6" w:rsidP="007434A6">
      <w:pPr>
        <w:pStyle w:val="LI-BodyTextNumbered"/>
        <w:ind w:left="1701"/>
      </w:pPr>
      <w:r>
        <w:t>(c)</w:t>
      </w:r>
      <w:r>
        <w:tab/>
      </w:r>
      <w:r w:rsidR="00FE4270">
        <w:t>paragraph 123</w:t>
      </w:r>
      <w:r w:rsidR="007A0E55">
        <w:t>(3AA)(b);</w:t>
      </w:r>
    </w:p>
    <w:p w14:paraId="76F4D870" w14:textId="5C198CD2" w:rsidR="007A0E55" w:rsidRDefault="007434A6" w:rsidP="007434A6">
      <w:pPr>
        <w:pStyle w:val="LI-BodyTextNumbered"/>
        <w:ind w:left="1701"/>
      </w:pPr>
      <w:r>
        <w:t>(d)</w:t>
      </w:r>
      <w:r>
        <w:tab/>
      </w:r>
      <w:r w:rsidR="007A0E55">
        <w:t>paragraph 124(3A)(b);</w:t>
      </w:r>
    </w:p>
    <w:p w14:paraId="2A2030EF" w14:textId="78B1A456" w:rsidR="00F05E41" w:rsidRDefault="007434A6" w:rsidP="007434A6">
      <w:pPr>
        <w:pStyle w:val="LI-BodyTextNumbered"/>
        <w:ind w:left="1701"/>
      </w:pPr>
      <w:r>
        <w:t>(e)</w:t>
      </w:r>
      <w:r>
        <w:tab/>
      </w:r>
      <w:r w:rsidR="00F05E41">
        <w:t>p</w:t>
      </w:r>
      <w:r w:rsidR="007A0E55">
        <w:t>aragraph 131(3AA)(b);</w:t>
      </w:r>
    </w:p>
    <w:p w14:paraId="3001F833" w14:textId="28A2941A" w:rsidR="00F05E41" w:rsidRDefault="007434A6" w:rsidP="007434A6">
      <w:pPr>
        <w:pStyle w:val="LI-BodyTextNumbered"/>
        <w:ind w:left="1701"/>
      </w:pPr>
      <w:r>
        <w:rPr>
          <w:rStyle w:val="LI-BodyTextNumberedChar"/>
        </w:rPr>
        <w:t>(f)</w:t>
      </w:r>
      <w:r>
        <w:rPr>
          <w:rStyle w:val="LI-BodyTextNumberedChar"/>
        </w:rPr>
        <w:tab/>
      </w:r>
      <w:r w:rsidR="00F05E41">
        <w:rPr>
          <w:rStyle w:val="LI-BodyTextNumberedChar"/>
        </w:rPr>
        <w:t>p</w:t>
      </w:r>
      <w:r w:rsidR="007A0E55" w:rsidRPr="00F05E41">
        <w:rPr>
          <w:rStyle w:val="LI-BodyTextNumberedChar"/>
        </w:rPr>
        <w:t>aragraph 133(3AA)(b)</w:t>
      </w:r>
      <w:r w:rsidR="00196032" w:rsidRPr="00F05E41">
        <w:rPr>
          <w:rStyle w:val="LI-BodyTextNumberedChar"/>
        </w:rPr>
        <w:t>.</w:t>
      </w:r>
      <w:r w:rsidR="004F6A1F">
        <w:br w:type="page"/>
      </w:r>
    </w:p>
    <w:p w14:paraId="569B78EB" w14:textId="77777777" w:rsidR="00FA31DE" w:rsidRPr="00F61B09" w:rsidRDefault="00FA31DE" w:rsidP="00F05E41">
      <w:pPr>
        <w:pStyle w:val="LI-Heading1"/>
      </w:pPr>
      <w:bookmarkStart w:id="11" w:name="_Toc523228682"/>
      <w:r w:rsidRPr="006554FF">
        <w:lastRenderedPageBreak/>
        <w:t>Part</w:t>
      </w:r>
      <w:r w:rsidR="005D0489" w:rsidRPr="006554FF">
        <w:t xml:space="preserve"> </w:t>
      </w:r>
      <w:r w:rsidR="00C700A0">
        <w:t>3</w:t>
      </w:r>
      <w:r w:rsidRPr="00F61B09">
        <w:t>—</w:t>
      </w:r>
      <w:r w:rsidR="00CE4750">
        <w:t>Transitional</w:t>
      </w:r>
      <w:bookmarkEnd w:id="11"/>
    </w:p>
    <w:p w14:paraId="257AB8A6" w14:textId="77777777" w:rsidR="00FA31DE" w:rsidRPr="005D3D41" w:rsidRDefault="00C700A0" w:rsidP="00005446">
      <w:pPr>
        <w:pStyle w:val="LI-Heading2"/>
      </w:pPr>
      <w:bookmarkStart w:id="12" w:name="_Toc523228683"/>
      <w:r>
        <w:t>6</w:t>
      </w:r>
      <w:r w:rsidR="00FC3EB8">
        <w:tab/>
      </w:r>
      <w:r w:rsidR="00CE4750">
        <w:t>Application</w:t>
      </w:r>
      <w:bookmarkEnd w:id="12"/>
    </w:p>
    <w:p w14:paraId="5849BE35" w14:textId="3CE7FBCC" w:rsidR="008A3223" w:rsidRDefault="000B4434" w:rsidP="009959F1">
      <w:pPr>
        <w:pStyle w:val="LI-BodyTextNumbered"/>
        <w:ind w:left="567" w:firstLine="0"/>
      </w:pPr>
      <w:r>
        <w:t>The determination in section 5</w:t>
      </w:r>
      <w:r w:rsidR="009959F1">
        <w:t xml:space="preserve"> </w:t>
      </w:r>
      <w:r w:rsidR="008A3223">
        <w:t>applies:</w:t>
      </w:r>
    </w:p>
    <w:p w14:paraId="247D3640" w14:textId="3CEEE3C6" w:rsidR="008A3223" w:rsidRDefault="008A3223" w:rsidP="008A3223">
      <w:pPr>
        <w:pStyle w:val="LI-BodyTextNumbered"/>
      </w:pPr>
      <w:r>
        <w:t>(a)</w:t>
      </w:r>
      <w:r>
        <w:tab/>
      </w:r>
      <w:bookmarkStart w:id="13" w:name="_Hlk514944836"/>
      <w:r>
        <w:t xml:space="preserve">so far as </w:t>
      </w:r>
      <w:r w:rsidR="000B4434">
        <w:t>the provision to which it relates</w:t>
      </w:r>
      <w:r>
        <w:t xml:space="preserve"> applies in relation to entering a</w:t>
      </w:r>
      <w:r w:rsidR="003E13EF">
        <w:t> </w:t>
      </w:r>
      <w:r>
        <w:t>credit card contract</w:t>
      </w:r>
      <w:bookmarkEnd w:id="13"/>
      <w:r>
        <w:t>—to credit card contracts entered into on or after 1</w:t>
      </w:r>
      <w:r w:rsidR="004E2123">
        <w:t> </w:t>
      </w:r>
      <w:r>
        <w:t>January 2019; and</w:t>
      </w:r>
    </w:p>
    <w:p w14:paraId="71295221" w14:textId="532D60CE" w:rsidR="004D2575" w:rsidRDefault="008A3223" w:rsidP="008A3223">
      <w:pPr>
        <w:pStyle w:val="LI-BodyTextNumbered"/>
      </w:pPr>
      <w:r>
        <w:t>(b)</w:t>
      </w:r>
      <w:r>
        <w:tab/>
        <w:t xml:space="preserve">so far as </w:t>
      </w:r>
      <w:r w:rsidR="000B4434">
        <w:t>the provision to which it relates</w:t>
      </w:r>
      <w:r>
        <w:t xml:space="preserve"> applies in relation to </w:t>
      </w:r>
      <w:r w:rsidR="004D2575">
        <w:t>remaining</w:t>
      </w:r>
      <w:r w:rsidR="004E2123">
        <w:t> </w:t>
      </w:r>
      <w:r w:rsidR="004D2575">
        <w:t>in a credit card contract, or increasing the credit limit of a credit</w:t>
      </w:r>
      <w:r w:rsidR="004E2123">
        <w:t> </w:t>
      </w:r>
      <w:r w:rsidR="004D2575">
        <w:t>card contract:</w:t>
      </w:r>
    </w:p>
    <w:p w14:paraId="15E9C994" w14:textId="77777777" w:rsidR="004D2575" w:rsidRDefault="004D2575" w:rsidP="004D2575">
      <w:pPr>
        <w:pStyle w:val="LI-BodyTextNumbered"/>
        <w:ind w:left="1701"/>
      </w:pPr>
      <w:r>
        <w:t>(i)</w:t>
      </w:r>
      <w:r>
        <w:tab/>
        <w:t>to credit card contracts entered into on or after 1 January 2019; and</w:t>
      </w:r>
    </w:p>
    <w:p w14:paraId="254F7B0A" w14:textId="2C8E1A49" w:rsidR="009959F1" w:rsidRDefault="004D2575" w:rsidP="004D2575">
      <w:pPr>
        <w:pStyle w:val="LI-BodyTextNumbered"/>
        <w:ind w:left="1701"/>
      </w:pPr>
      <w:r>
        <w:t>(ii)</w:t>
      </w:r>
      <w:r>
        <w:tab/>
        <w:t>to credit card contracts entered into before 1 January 2019.</w:t>
      </w:r>
    </w:p>
    <w:p w14:paraId="5C037BBF" w14:textId="77777777" w:rsidR="00C51491" w:rsidRPr="00C51491" w:rsidRDefault="00C51491" w:rsidP="009F2E78">
      <w:pPr>
        <w:pStyle w:val="ActHead3"/>
      </w:pPr>
    </w:p>
    <w:sectPr w:rsidR="00C51491" w:rsidRPr="00C51491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FFFAF" w14:textId="77777777" w:rsidR="0021003A" w:rsidRDefault="0021003A" w:rsidP="00715914">
      <w:pPr>
        <w:spacing w:line="240" w:lineRule="auto"/>
      </w:pPr>
      <w:r>
        <w:separator/>
      </w:r>
    </w:p>
  </w:endnote>
  <w:endnote w:type="continuationSeparator" w:id="0">
    <w:p w14:paraId="5D187B37" w14:textId="77777777" w:rsidR="0021003A" w:rsidRDefault="0021003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142A6D3E" w14:textId="77777777" w:rsidTr="00081794">
      <w:tc>
        <w:tcPr>
          <w:tcW w:w="8472" w:type="dxa"/>
          <w:shd w:val="clear" w:color="auto" w:fill="auto"/>
        </w:tcPr>
        <w:p w14:paraId="2EBFEE6C" w14:textId="3847557A" w:rsidR="00102CA6" w:rsidRPr="00081794" w:rsidRDefault="007A255C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4B87D08F" wp14:editId="4218462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12032A" w14:textId="65404D39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D070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87D0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0712032A" w14:textId="65404D39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070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AADAC5B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FEB6" w14:textId="1A2EC0E8" w:rsidR="00102CA6" w:rsidRDefault="007A255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58DBC3" wp14:editId="6880399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727DB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8DBC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6727DB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20DD59F0" w14:textId="77777777" w:rsidTr="00081794">
      <w:tc>
        <w:tcPr>
          <w:tcW w:w="8472" w:type="dxa"/>
          <w:shd w:val="clear" w:color="auto" w:fill="auto"/>
        </w:tcPr>
        <w:p w14:paraId="3A7E7864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66D01C35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F613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1C39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4E5D" w14:textId="1316D9E3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24B77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6F15" w14:textId="77777777" w:rsidR="0021003A" w:rsidRDefault="0021003A" w:rsidP="00715914">
      <w:pPr>
        <w:spacing w:line="240" w:lineRule="auto"/>
      </w:pPr>
      <w:r>
        <w:separator/>
      </w:r>
    </w:p>
  </w:footnote>
  <w:footnote w:type="continuationSeparator" w:id="0">
    <w:p w14:paraId="7CB8A6C8" w14:textId="77777777" w:rsidR="0021003A" w:rsidRDefault="0021003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C1DA" w14:textId="5EE80AF3" w:rsidR="00102CA6" w:rsidRPr="005F1388" w:rsidRDefault="007A255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C941C9" wp14:editId="322C0C7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D3008AE" w14:textId="5FACA88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070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41C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4D3008AE" w14:textId="5FACA88B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D070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C060" w14:textId="43429EBF" w:rsidR="00102CA6" w:rsidRPr="005F1388" w:rsidRDefault="007A255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CED6D52" wp14:editId="4D153FE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3B572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D6D5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93B572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63B1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1AB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8959D4F" w14:textId="77777777" w:rsidTr="00BF75C9">
      <w:tc>
        <w:tcPr>
          <w:tcW w:w="6804" w:type="dxa"/>
          <w:shd w:val="clear" w:color="auto" w:fill="auto"/>
        </w:tcPr>
        <w:p w14:paraId="50F3BF0D" w14:textId="41D6A782" w:rsidR="00F4215A" w:rsidRDefault="003E13E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C243D">
              <w:rPr>
                <w:noProof/>
              </w:rPr>
              <w:t>ASIC Credit (Unsuitability—Credit Cards) Instrument 2018/753</w:t>
            </w:r>
          </w:fldSimple>
        </w:p>
      </w:tc>
      <w:tc>
        <w:tcPr>
          <w:tcW w:w="1509" w:type="dxa"/>
          <w:shd w:val="clear" w:color="auto" w:fill="auto"/>
        </w:tcPr>
        <w:p w14:paraId="31F53F99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EC0B98B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46BA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E43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10DA2EC3" w14:textId="77777777" w:rsidTr="003E13EF">
      <w:tc>
        <w:tcPr>
          <w:tcW w:w="6237" w:type="dxa"/>
          <w:shd w:val="clear" w:color="auto" w:fill="auto"/>
        </w:tcPr>
        <w:p w14:paraId="29BD6271" w14:textId="1B486868" w:rsidR="00F4215A" w:rsidRDefault="003E13E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C243D">
              <w:rPr>
                <w:noProof/>
              </w:rPr>
              <w:t>ASIC Credit (Unsuitability—Credit Cards) Instrument 2018/753</w:t>
            </w:r>
          </w:fldSimple>
        </w:p>
      </w:tc>
      <w:tc>
        <w:tcPr>
          <w:tcW w:w="2076" w:type="dxa"/>
          <w:shd w:val="clear" w:color="auto" w:fill="auto"/>
        </w:tcPr>
        <w:p w14:paraId="6176424B" w14:textId="20677C0E" w:rsidR="00F4215A" w:rsidRDefault="003E13E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DC243D">
              <w:rPr>
                <w:noProof/>
              </w:rPr>
              <w:t>Part 3—Transitional</w:t>
            </w:r>
          </w:fldSimple>
        </w:p>
      </w:tc>
    </w:tr>
  </w:tbl>
  <w:p w14:paraId="1D409774" w14:textId="1B4C600E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7DD5"/>
    <w:multiLevelType w:val="hybridMultilevel"/>
    <w:tmpl w:val="687CFBA8"/>
    <w:lvl w:ilvl="0" w:tplc="8A0C83F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1"/>
    <w:rsid w:val="00004470"/>
    <w:rsid w:val="000051D0"/>
    <w:rsid w:val="00005446"/>
    <w:rsid w:val="0000767B"/>
    <w:rsid w:val="000136AF"/>
    <w:rsid w:val="00013B8D"/>
    <w:rsid w:val="00015719"/>
    <w:rsid w:val="00015973"/>
    <w:rsid w:val="00023D53"/>
    <w:rsid w:val="00024AAD"/>
    <w:rsid w:val="0003764F"/>
    <w:rsid w:val="000437C1"/>
    <w:rsid w:val="0005124E"/>
    <w:rsid w:val="00051987"/>
    <w:rsid w:val="000532C0"/>
    <w:rsid w:val="0005365D"/>
    <w:rsid w:val="000614BF"/>
    <w:rsid w:val="0006250C"/>
    <w:rsid w:val="00081794"/>
    <w:rsid w:val="00084FF4"/>
    <w:rsid w:val="000A142F"/>
    <w:rsid w:val="000A6C39"/>
    <w:rsid w:val="000B4434"/>
    <w:rsid w:val="000B58FA"/>
    <w:rsid w:val="000C55A0"/>
    <w:rsid w:val="000D041F"/>
    <w:rsid w:val="000D05EF"/>
    <w:rsid w:val="000E0D20"/>
    <w:rsid w:val="000E2261"/>
    <w:rsid w:val="000E3C2E"/>
    <w:rsid w:val="000F21C1"/>
    <w:rsid w:val="000F4872"/>
    <w:rsid w:val="00101E11"/>
    <w:rsid w:val="00102CA6"/>
    <w:rsid w:val="0010745C"/>
    <w:rsid w:val="00125141"/>
    <w:rsid w:val="00132CEB"/>
    <w:rsid w:val="00142B62"/>
    <w:rsid w:val="00153B32"/>
    <w:rsid w:val="00157B8B"/>
    <w:rsid w:val="00160C49"/>
    <w:rsid w:val="00166C2F"/>
    <w:rsid w:val="00171A6E"/>
    <w:rsid w:val="00175C68"/>
    <w:rsid w:val="001809D7"/>
    <w:rsid w:val="001939E1"/>
    <w:rsid w:val="00194C3E"/>
    <w:rsid w:val="00195382"/>
    <w:rsid w:val="00195BD4"/>
    <w:rsid w:val="00196032"/>
    <w:rsid w:val="001C4AC3"/>
    <w:rsid w:val="001C61C5"/>
    <w:rsid w:val="001C69C4"/>
    <w:rsid w:val="001D37EF"/>
    <w:rsid w:val="001E3590"/>
    <w:rsid w:val="001E6DCC"/>
    <w:rsid w:val="001E7407"/>
    <w:rsid w:val="001F02B1"/>
    <w:rsid w:val="001F5D5E"/>
    <w:rsid w:val="001F6219"/>
    <w:rsid w:val="001F6CD4"/>
    <w:rsid w:val="00206C4D"/>
    <w:rsid w:val="0020791A"/>
    <w:rsid w:val="0021003A"/>
    <w:rsid w:val="0021053C"/>
    <w:rsid w:val="00215AF1"/>
    <w:rsid w:val="0022596C"/>
    <w:rsid w:val="00230628"/>
    <w:rsid w:val="002321E8"/>
    <w:rsid w:val="002334E2"/>
    <w:rsid w:val="00236EEC"/>
    <w:rsid w:val="0024010F"/>
    <w:rsid w:val="00240749"/>
    <w:rsid w:val="00243018"/>
    <w:rsid w:val="00243EC0"/>
    <w:rsid w:val="00244742"/>
    <w:rsid w:val="002564A4"/>
    <w:rsid w:val="002644D5"/>
    <w:rsid w:val="0026736C"/>
    <w:rsid w:val="00275037"/>
    <w:rsid w:val="00277D65"/>
    <w:rsid w:val="00281308"/>
    <w:rsid w:val="00281813"/>
    <w:rsid w:val="00284719"/>
    <w:rsid w:val="00297ECB"/>
    <w:rsid w:val="002A7328"/>
    <w:rsid w:val="002A7BCF"/>
    <w:rsid w:val="002B19F3"/>
    <w:rsid w:val="002B4A0D"/>
    <w:rsid w:val="002B5706"/>
    <w:rsid w:val="002B6484"/>
    <w:rsid w:val="002B6EB2"/>
    <w:rsid w:val="002C7B6F"/>
    <w:rsid w:val="002D043A"/>
    <w:rsid w:val="002D6224"/>
    <w:rsid w:val="002E3F4B"/>
    <w:rsid w:val="00300D9F"/>
    <w:rsid w:val="00304F8B"/>
    <w:rsid w:val="003257E9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73770"/>
    <w:rsid w:val="00384C37"/>
    <w:rsid w:val="00387A96"/>
    <w:rsid w:val="003A2A48"/>
    <w:rsid w:val="003B28C3"/>
    <w:rsid w:val="003B732F"/>
    <w:rsid w:val="003C1F76"/>
    <w:rsid w:val="003C6231"/>
    <w:rsid w:val="003D0BFE"/>
    <w:rsid w:val="003D5700"/>
    <w:rsid w:val="003E0F99"/>
    <w:rsid w:val="003E13EF"/>
    <w:rsid w:val="003E341B"/>
    <w:rsid w:val="0040053F"/>
    <w:rsid w:val="004116CD"/>
    <w:rsid w:val="004144EC"/>
    <w:rsid w:val="00417EB9"/>
    <w:rsid w:val="00424CA9"/>
    <w:rsid w:val="00426BCF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B07F7"/>
    <w:rsid w:val="004B5B44"/>
    <w:rsid w:val="004C1CB1"/>
    <w:rsid w:val="004D2575"/>
    <w:rsid w:val="004E063A"/>
    <w:rsid w:val="004E2123"/>
    <w:rsid w:val="004E7BEC"/>
    <w:rsid w:val="004F6A1F"/>
    <w:rsid w:val="0050044F"/>
    <w:rsid w:val="005010A1"/>
    <w:rsid w:val="00505D3D"/>
    <w:rsid w:val="00506AF6"/>
    <w:rsid w:val="00507335"/>
    <w:rsid w:val="00516B8D"/>
    <w:rsid w:val="00517E56"/>
    <w:rsid w:val="00524B13"/>
    <w:rsid w:val="00532049"/>
    <w:rsid w:val="005356A7"/>
    <w:rsid w:val="00536D95"/>
    <w:rsid w:val="00537FBC"/>
    <w:rsid w:val="005574D1"/>
    <w:rsid w:val="005657FE"/>
    <w:rsid w:val="00572BB1"/>
    <w:rsid w:val="0057670F"/>
    <w:rsid w:val="00584811"/>
    <w:rsid w:val="00585784"/>
    <w:rsid w:val="00593AA6"/>
    <w:rsid w:val="00594161"/>
    <w:rsid w:val="00594749"/>
    <w:rsid w:val="005B204F"/>
    <w:rsid w:val="005B4067"/>
    <w:rsid w:val="005B4526"/>
    <w:rsid w:val="005B780C"/>
    <w:rsid w:val="005C1B2B"/>
    <w:rsid w:val="005C3F41"/>
    <w:rsid w:val="005D0489"/>
    <w:rsid w:val="005D2D09"/>
    <w:rsid w:val="005D3D41"/>
    <w:rsid w:val="005D4A7A"/>
    <w:rsid w:val="005E4810"/>
    <w:rsid w:val="005F65CD"/>
    <w:rsid w:val="00600219"/>
    <w:rsid w:val="00603DC4"/>
    <w:rsid w:val="00607A71"/>
    <w:rsid w:val="00607AF6"/>
    <w:rsid w:val="006117CB"/>
    <w:rsid w:val="006153DE"/>
    <w:rsid w:val="00620076"/>
    <w:rsid w:val="00621BD7"/>
    <w:rsid w:val="00623D78"/>
    <w:rsid w:val="00634044"/>
    <w:rsid w:val="00640161"/>
    <w:rsid w:val="00643660"/>
    <w:rsid w:val="00652769"/>
    <w:rsid w:val="0065542F"/>
    <w:rsid w:val="006554FF"/>
    <w:rsid w:val="0065657B"/>
    <w:rsid w:val="00670EA1"/>
    <w:rsid w:val="006753A3"/>
    <w:rsid w:val="00677CC2"/>
    <w:rsid w:val="00682E42"/>
    <w:rsid w:val="00687DC0"/>
    <w:rsid w:val="006905DE"/>
    <w:rsid w:val="0069207B"/>
    <w:rsid w:val="00696592"/>
    <w:rsid w:val="006A20EC"/>
    <w:rsid w:val="006B5789"/>
    <w:rsid w:val="006C2795"/>
    <w:rsid w:val="006C30C5"/>
    <w:rsid w:val="006C48FA"/>
    <w:rsid w:val="006C7F8C"/>
    <w:rsid w:val="006D0709"/>
    <w:rsid w:val="006E5320"/>
    <w:rsid w:val="006E6246"/>
    <w:rsid w:val="006E66E4"/>
    <w:rsid w:val="006F2EBB"/>
    <w:rsid w:val="006F318F"/>
    <w:rsid w:val="006F4226"/>
    <w:rsid w:val="0070017E"/>
    <w:rsid w:val="00700501"/>
    <w:rsid w:val="00700B2C"/>
    <w:rsid w:val="00702EFD"/>
    <w:rsid w:val="0070442A"/>
    <w:rsid w:val="00704F53"/>
    <w:rsid w:val="007050A2"/>
    <w:rsid w:val="00713084"/>
    <w:rsid w:val="0071399B"/>
    <w:rsid w:val="00714F20"/>
    <w:rsid w:val="0071590F"/>
    <w:rsid w:val="00715914"/>
    <w:rsid w:val="00724B77"/>
    <w:rsid w:val="00731E00"/>
    <w:rsid w:val="00741EE8"/>
    <w:rsid w:val="007434A6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0E55"/>
    <w:rsid w:val="007A255C"/>
    <w:rsid w:val="007B4C4F"/>
    <w:rsid w:val="007B77C5"/>
    <w:rsid w:val="007C2253"/>
    <w:rsid w:val="007C67E5"/>
    <w:rsid w:val="007D230B"/>
    <w:rsid w:val="007D6985"/>
    <w:rsid w:val="007E163D"/>
    <w:rsid w:val="007E2254"/>
    <w:rsid w:val="007E667A"/>
    <w:rsid w:val="007F28C9"/>
    <w:rsid w:val="007F4055"/>
    <w:rsid w:val="0080312D"/>
    <w:rsid w:val="00803587"/>
    <w:rsid w:val="008117E9"/>
    <w:rsid w:val="00824498"/>
    <w:rsid w:val="0082771F"/>
    <w:rsid w:val="008317AC"/>
    <w:rsid w:val="00840442"/>
    <w:rsid w:val="00852009"/>
    <w:rsid w:val="008527C0"/>
    <w:rsid w:val="00856A31"/>
    <w:rsid w:val="00860B58"/>
    <w:rsid w:val="00861E68"/>
    <w:rsid w:val="00862F03"/>
    <w:rsid w:val="00867B37"/>
    <w:rsid w:val="008718DD"/>
    <w:rsid w:val="008754D0"/>
    <w:rsid w:val="008855C9"/>
    <w:rsid w:val="00886456"/>
    <w:rsid w:val="008945E0"/>
    <w:rsid w:val="0089527F"/>
    <w:rsid w:val="008A3223"/>
    <w:rsid w:val="008A362B"/>
    <w:rsid w:val="008A3D89"/>
    <w:rsid w:val="008A46E1"/>
    <w:rsid w:val="008A4F43"/>
    <w:rsid w:val="008B2706"/>
    <w:rsid w:val="008C0F29"/>
    <w:rsid w:val="008D0EE0"/>
    <w:rsid w:val="008D3422"/>
    <w:rsid w:val="008E3265"/>
    <w:rsid w:val="008E6067"/>
    <w:rsid w:val="008F092F"/>
    <w:rsid w:val="008F54E7"/>
    <w:rsid w:val="009016BE"/>
    <w:rsid w:val="00903422"/>
    <w:rsid w:val="009157B9"/>
    <w:rsid w:val="00915DF9"/>
    <w:rsid w:val="0092297B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713EC"/>
    <w:rsid w:val="00982242"/>
    <w:rsid w:val="009868E9"/>
    <w:rsid w:val="009944E6"/>
    <w:rsid w:val="009959F1"/>
    <w:rsid w:val="0099612A"/>
    <w:rsid w:val="009A49C9"/>
    <w:rsid w:val="009D1818"/>
    <w:rsid w:val="009E5CFC"/>
    <w:rsid w:val="009F1F64"/>
    <w:rsid w:val="009F2E78"/>
    <w:rsid w:val="00A0385B"/>
    <w:rsid w:val="00A079CB"/>
    <w:rsid w:val="00A12128"/>
    <w:rsid w:val="00A12F48"/>
    <w:rsid w:val="00A131E9"/>
    <w:rsid w:val="00A15512"/>
    <w:rsid w:val="00A161D5"/>
    <w:rsid w:val="00A22C98"/>
    <w:rsid w:val="00A231E2"/>
    <w:rsid w:val="00A33D55"/>
    <w:rsid w:val="00A34412"/>
    <w:rsid w:val="00A40424"/>
    <w:rsid w:val="00A52B0F"/>
    <w:rsid w:val="00A52F9C"/>
    <w:rsid w:val="00A5632E"/>
    <w:rsid w:val="00A64912"/>
    <w:rsid w:val="00A70A74"/>
    <w:rsid w:val="00A77660"/>
    <w:rsid w:val="00A91966"/>
    <w:rsid w:val="00AA66AC"/>
    <w:rsid w:val="00AB1DE8"/>
    <w:rsid w:val="00AB5C06"/>
    <w:rsid w:val="00AC0886"/>
    <w:rsid w:val="00AD1F73"/>
    <w:rsid w:val="00AD5315"/>
    <w:rsid w:val="00AD5641"/>
    <w:rsid w:val="00AD7889"/>
    <w:rsid w:val="00AE359D"/>
    <w:rsid w:val="00AF021B"/>
    <w:rsid w:val="00AF06CF"/>
    <w:rsid w:val="00AF40DA"/>
    <w:rsid w:val="00B07CDB"/>
    <w:rsid w:val="00B16A31"/>
    <w:rsid w:val="00B17DFD"/>
    <w:rsid w:val="00B2799D"/>
    <w:rsid w:val="00B308FE"/>
    <w:rsid w:val="00B30DD0"/>
    <w:rsid w:val="00B33709"/>
    <w:rsid w:val="00B33B3C"/>
    <w:rsid w:val="00B33BD1"/>
    <w:rsid w:val="00B50ADC"/>
    <w:rsid w:val="00B566B1"/>
    <w:rsid w:val="00B6216A"/>
    <w:rsid w:val="00B63834"/>
    <w:rsid w:val="00B66ECB"/>
    <w:rsid w:val="00B72734"/>
    <w:rsid w:val="00B80199"/>
    <w:rsid w:val="00B82D81"/>
    <w:rsid w:val="00B83204"/>
    <w:rsid w:val="00B93D0F"/>
    <w:rsid w:val="00BA03D0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B32"/>
    <w:rsid w:val="00C25E7F"/>
    <w:rsid w:val="00C2746F"/>
    <w:rsid w:val="00C324A0"/>
    <w:rsid w:val="00C3300F"/>
    <w:rsid w:val="00C34E77"/>
    <w:rsid w:val="00C35875"/>
    <w:rsid w:val="00C35DAF"/>
    <w:rsid w:val="00C40AF1"/>
    <w:rsid w:val="00C42BF8"/>
    <w:rsid w:val="00C439A3"/>
    <w:rsid w:val="00C45171"/>
    <w:rsid w:val="00C5000B"/>
    <w:rsid w:val="00C50043"/>
    <w:rsid w:val="00C50B97"/>
    <w:rsid w:val="00C51491"/>
    <w:rsid w:val="00C6434E"/>
    <w:rsid w:val="00C700A0"/>
    <w:rsid w:val="00C70CA8"/>
    <w:rsid w:val="00C7573B"/>
    <w:rsid w:val="00C7761F"/>
    <w:rsid w:val="00C93C03"/>
    <w:rsid w:val="00C95964"/>
    <w:rsid w:val="00CA3AD0"/>
    <w:rsid w:val="00CA4719"/>
    <w:rsid w:val="00CA66DC"/>
    <w:rsid w:val="00CA7139"/>
    <w:rsid w:val="00CB2C8E"/>
    <w:rsid w:val="00CB602E"/>
    <w:rsid w:val="00CC3EF1"/>
    <w:rsid w:val="00CC48BD"/>
    <w:rsid w:val="00CD23E0"/>
    <w:rsid w:val="00CD2E90"/>
    <w:rsid w:val="00CE051D"/>
    <w:rsid w:val="00CE1335"/>
    <w:rsid w:val="00CE3D2A"/>
    <w:rsid w:val="00CE4750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527AD"/>
    <w:rsid w:val="00D52DC2"/>
    <w:rsid w:val="00D53BCC"/>
    <w:rsid w:val="00D6240C"/>
    <w:rsid w:val="00D702DE"/>
    <w:rsid w:val="00D70DFB"/>
    <w:rsid w:val="00D7271F"/>
    <w:rsid w:val="00D73C22"/>
    <w:rsid w:val="00D766DF"/>
    <w:rsid w:val="00D87EE7"/>
    <w:rsid w:val="00D91C66"/>
    <w:rsid w:val="00D922F8"/>
    <w:rsid w:val="00DA01D6"/>
    <w:rsid w:val="00DA186E"/>
    <w:rsid w:val="00DA4116"/>
    <w:rsid w:val="00DA748F"/>
    <w:rsid w:val="00DB251C"/>
    <w:rsid w:val="00DB38AD"/>
    <w:rsid w:val="00DB4630"/>
    <w:rsid w:val="00DC243D"/>
    <w:rsid w:val="00DC28EB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271DA"/>
    <w:rsid w:val="00E338EF"/>
    <w:rsid w:val="00E40FF8"/>
    <w:rsid w:val="00E504FB"/>
    <w:rsid w:val="00E51F8D"/>
    <w:rsid w:val="00E544BB"/>
    <w:rsid w:val="00E578EC"/>
    <w:rsid w:val="00E60423"/>
    <w:rsid w:val="00E649D7"/>
    <w:rsid w:val="00E662CB"/>
    <w:rsid w:val="00E666E4"/>
    <w:rsid w:val="00E74DC7"/>
    <w:rsid w:val="00E8075A"/>
    <w:rsid w:val="00E818A6"/>
    <w:rsid w:val="00E8395B"/>
    <w:rsid w:val="00E85A91"/>
    <w:rsid w:val="00E87718"/>
    <w:rsid w:val="00E94D5E"/>
    <w:rsid w:val="00EA7100"/>
    <w:rsid w:val="00EA7F9F"/>
    <w:rsid w:val="00EB0E70"/>
    <w:rsid w:val="00EB1274"/>
    <w:rsid w:val="00EB5933"/>
    <w:rsid w:val="00EC4757"/>
    <w:rsid w:val="00EC7EDB"/>
    <w:rsid w:val="00ED2BB6"/>
    <w:rsid w:val="00ED34E1"/>
    <w:rsid w:val="00ED3B8D"/>
    <w:rsid w:val="00ED7FBE"/>
    <w:rsid w:val="00EE52C1"/>
    <w:rsid w:val="00EF15D3"/>
    <w:rsid w:val="00EF2E3A"/>
    <w:rsid w:val="00F02EF9"/>
    <w:rsid w:val="00F047D8"/>
    <w:rsid w:val="00F05E41"/>
    <w:rsid w:val="00F072A7"/>
    <w:rsid w:val="00F078DC"/>
    <w:rsid w:val="00F102F8"/>
    <w:rsid w:val="00F14593"/>
    <w:rsid w:val="00F171A1"/>
    <w:rsid w:val="00F32BA8"/>
    <w:rsid w:val="00F349F1"/>
    <w:rsid w:val="00F34F79"/>
    <w:rsid w:val="00F4215A"/>
    <w:rsid w:val="00F4350D"/>
    <w:rsid w:val="00F50532"/>
    <w:rsid w:val="00F567F7"/>
    <w:rsid w:val="00F61B09"/>
    <w:rsid w:val="00F62036"/>
    <w:rsid w:val="00F65A61"/>
    <w:rsid w:val="00F65B52"/>
    <w:rsid w:val="00F67BCA"/>
    <w:rsid w:val="00F73BD6"/>
    <w:rsid w:val="00F83989"/>
    <w:rsid w:val="00F85099"/>
    <w:rsid w:val="00F86104"/>
    <w:rsid w:val="00F9379C"/>
    <w:rsid w:val="00F9632C"/>
    <w:rsid w:val="00FA1E52"/>
    <w:rsid w:val="00FA31DE"/>
    <w:rsid w:val="00FA40B1"/>
    <w:rsid w:val="00FA6208"/>
    <w:rsid w:val="00FA7D17"/>
    <w:rsid w:val="00FC3EB8"/>
    <w:rsid w:val="00FC7D25"/>
    <w:rsid w:val="00FD13CC"/>
    <w:rsid w:val="00FD5962"/>
    <w:rsid w:val="00FE4270"/>
    <w:rsid w:val="00FE4688"/>
    <w:rsid w:val="00FE72D6"/>
    <w:rsid w:val="00FE79D0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EBFBC8"/>
  <w15:chartTrackingRefBased/>
  <w15:docId w15:val="{3C8F1F3D-6E09-4757-99D5-A16AB7ED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R20180000508649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71C8-0BE3-4E3F-A2A3-6A258655E8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3EBEFF-D258-4FFB-837F-7DDB5F2D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95FAC-01CB-4FB7-A279-4E293EC83F5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fdf923d-1605-456d-9034-49e4c2a6593d"/>
    <ds:schemaRef ds:uri="da7a9ac0-bc47-4684-84e6-3a8e9ac80c12"/>
    <ds:schemaRef ds:uri="17f478ab-373e-4295-9ff0-9b833ad01319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AA7198-091B-40CE-838E-8DD64BEE0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08F0F5-6A98-438B-964D-D6AFA45C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389</Words>
  <Characters>2218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2602</CharactersWithSpaces>
  <SharedDoc>false</SharedDoc>
  <HyperlinkBase/>
  <HLinks>
    <vt:vector size="54" baseType="variant"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_Toc511729162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_Toc511729161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_Toc511729160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_Toc511729159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_Toc511729158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_Toc511729157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_Toc511729156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_Toc511729155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_Toc511729154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chris.flanagan</dc:creator>
  <cp:keywords/>
  <cp:lastModifiedBy>Ruki Weerasinghe</cp:lastModifiedBy>
  <cp:revision>2</cp:revision>
  <cp:lastPrinted>2018-06-13T02:05:00Z</cp:lastPrinted>
  <dcterms:created xsi:type="dcterms:W3CDTF">2018-08-28T05:03:00Z</dcterms:created>
  <dcterms:modified xsi:type="dcterms:W3CDTF">2018-08-28T05:03:00Z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{6d849f8b-11a9-4606-adbe-a4b255ca2f4d}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2018-08-28T14:12:20.7434913+10:00</vt:lpwstr>
  </property>
  <property fmtid="{D5CDD505-2E9C-101B-9397-08002B2CF9AE}" pid="44" name="RecordPoint_RecordNumberSubmitted">
    <vt:lpwstr>R20180000508649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RecordPoint_ActiveItemMoved">
    <vt:lpwstr/>
  </property>
  <property fmtid="{D5CDD505-2E9C-101B-9397-08002B2CF9AE}" pid="51" name="h771bd08b94b4ae5a720f57c72698c26">
    <vt:lpwstr/>
  </property>
  <property fmtid="{D5CDD505-2E9C-101B-9397-08002B2CF9AE}" pid="52" name="FAPolicyDocumentType">
    <vt:lpwstr/>
  </property>
  <property fmtid="{D5CDD505-2E9C-101B-9397-08002B2CF9AE}" pid="53" name="d60934758bd44d46b350733ac9e6adc4">
    <vt:lpwstr>Sensitive|19fd2cb8-3e97-4464-ae71-8c2c2095d028</vt:lpwstr>
  </property>
  <property fmtid="{D5CDD505-2E9C-101B-9397-08002B2CF9AE}" pid="54" name="a60570851ad04f0eb2fbdabf0a7347d1">
    <vt:lpwstr>In Confidence or Sensitive|b209eba4-50cc-4782-a384-0b057e0fa683</vt:lpwstr>
  </property>
</Properties>
</file>