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1F" w14:textId="26ABE8BB" w:rsidR="00FA6784" w:rsidRPr="00C85162" w:rsidRDefault="00AA7E4E" w:rsidP="00FA6784">
      <w:pPr>
        <w:pStyle w:val="H3"/>
        <w:jc w:val="center"/>
        <w:rPr>
          <w:sz w:val="24"/>
          <w:szCs w:val="24"/>
        </w:rPr>
      </w:pPr>
      <w:bookmarkStart w:id="0" w:name="_GoBack"/>
      <w:bookmarkEnd w:id="0"/>
      <w:r>
        <w:rPr>
          <w:sz w:val="24"/>
          <w:szCs w:val="24"/>
        </w:rPr>
        <w:tab/>
      </w:r>
      <w:r w:rsidR="00FA6784"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4CED0915" w14:textId="4CAC3304" w:rsidR="00E605A2" w:rsidRDefault="00D5274F" w:rsidP="00D5274F">
      <w:pPr>
        <w:ind w:right="-483"/>
        <w:jc w:val="center"/>
        <w:rPr>
          <w:i/>
          <w:szCs w:val="24"/>
        </w:rPr>
      </w:pPr>
      <w:r w:rsidRPr="00D5274F">
        <w:rPr>
          <w:i/>
          <w:szCs w:val="24"/>
        </w:rPr>
        <w:t xml:space="preserve">Health Insurance (Section 3C General Medical Services – MIGS </w:t>
      </w:r>
      <w:r w:rsidR="009A1462">
        <w:rPr>
          <w:i/>
          <w:szCs w:val="24"/>
        </w:rPr>
        <w:t>S</w:t>
      </w:r>
      <w:r w:rsidRPr="00D5274F">
        <w:rPr>
          <w:i/>
          <w:szCs w:val="24"/>
        </w:rPr>
        <w:t xml:space="preserve">tent </w:t>
      </w:r>
      <w:r w:rsidR="009A1462">
        <w:rPr>
          <w:i/>
          <w:szCs w:val="24"/>
        </w:rPr>
        <w:t>I</w:t>
      </w:r>
      <w:r w:rsidRPr="00D5274F">
        <w:rPr>
          <w:i/>
          <w:szCs w:val="24"/>
        </w:rPr>
        <w:t xml:space="preserve">mplantation) </w:t>
      </w:r>
    </w:p>
    <w:p w14:paraId="2838A7B4" w14:textId="3C82388E" w:rsidR="00FD602D" w:rsidRPr="00EB601D" w:rsidRDefault="00D5274F" w:rsidP="00D5274F">
      <w:pPr>
        <w:ind w:right="-483"/>
        <w:jc w:val="center"/>
        <w:rPr>
          <w:szCs w:val="24"/>
          <w:highlight w:val="yellow"/>
        </w:rPr>
      </w:pPr>
      <w:r w:rsidRPr="00D5274F">
        <w:rPr>
          <w:i/>
          <w:szCs w:val="24"/>
        </w:rPr>
        <w:t>Determination 2018</w:t>
      </w:r>
    </w:p>
    <w:p w14:paraId="299ADC6C" w14:textId="77777777" w:rsidR="00D5274F" w:rsidRDefault="00D5274F"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F15A2D8" w14:textId="7EB00C64" w:rsidR="00841EDA" w:rsidRPr="00EB601D" w:rsidRDefault="004C6AE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provides that the Minister may, by </w:t>
      </w:r>
      <w:r w:rsidR="00673872" w:rsidRPr="00D87426">
        <w:rPr>
          <w:color w:val="000000"/>
          <w:shd w:val="clear" w:color="auto" w:fill="FFFFFF"/>
        </w:rPr>
        <w:t>legislative instrument</w:t>
      </w:r>
      <w:r w:rsidRPr="00D87426">
        <w:rPr>
          <w:color w:val="000000"/>
          <w:shd w:val="clear" w:color="auto" w:fill="FFFFFF"/>
        </w:rPr>
        <w:t xml:space="preserve">, determine that a health service not specified in an item in the </w:t>
      </w:r>
      <w:r w:rsidR="00D5274F">
        <w:rPr>
          <w:color w:val="000000"/>
          <w:shd w:val="clear" w:color="auto" w:fill="FFFFFF"/>
        </w:rPr>
        <w:t>general medical</w:t>
      </w:r>
      <w:r w:rsidR="00D42638" w:rsidRPr="00D87426">
        <w:rPr>
          <w:color w:val="000000"/>
          <w:shd w:val="clear" w:color="auto" w:fill="FFFFFF"/>
        </w:rPr>
        <w:t xml:space="preserve"> </w:t>
      </w:r>
      <w:r w:rsidR="005E62D6" w:rsidRPr="00D87426">
        <w:rPr>
          <w:color w:val="000000"/>
          <w:shd w:val="clear" w:color="auto" w:fill="FFFFFF"/>
        </w:rPr>
        <w:t xml:space="preserve">services table </w:t>
      </w:r>
      <w:r w:rsidRPr="00D87426">
        <w:rPr>
          <w:color w:val="000000"/>
          <w:shd w:val="clear" w:color="auto" w:fill="FFFFFF"/>
        </w:rPr>
        <w:t>shall, in specified circumstances and for specified statutory provisions, be treated as i</w:t>
      </w:r>
      <w:r w:rsidR="005E62D6" w:rsidRPr="00D87426">
        <w:rPr>
          <w:color w:val="000000"/>
          <w:shd w:val="clear" w:color="auto" w:fill="FFFFFF"/>
        </w:rPr>
        <w:t xml:space="preserve">f it were specified in the </w:t>
      </w:r>
      <w:r w:rsidR="00D5274F">
        <w:rPr>
          <w:color w:val="000000"/>
          <w:shd w:val="clear" w:color="auto" w:fill="FFFFFF"/>
        </w:rPr>
        <w:t xml:space="preserve">general medical </w:t>
      </w:r>
      <w:r w:rsidR="005E62D6" w:rsidRPr="00D87426">
        <w:rPr>
          <w:color w:val="000000"/>
          <w:shd w:val="clear" w:color="auto" w:fill="FFFFFF"/>
        </w:rPr>
        <w:t>services table</w:t>
      </w:r>
      <w:r w:rsidRPr="00D87426">
        <w:rPr>
          <w:color w:val="000000"/>
          <w:shd w:val="clear" w:color="auto" w:fill="FFFFFF"/>
        </w:rPr>
        <w:t xml:space="preserve">.  </w:t>
      </w:r>
    </w:p>
    <w:p w14:paraId="7DB18649" w14:textId="77777777" w:rsidR="00841EDA" w:rsidRPr="00D87426"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B6E3EDA" w14:textId="3F4B352C" w:rsidR="00D5274F" w:rsidRDefault="00D5274F"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5274F">
        <w:t>The general medical services table is set out in the regulations made under subsection 4(1) of the Act.</w:t>
      </w:r>
      <w:r w:rsidR="00CE2163" w:rsidRPr="00CE2163">
        <w:t xml:space="preserve"> </w:t>
      </w:r>
    </w:p>
    <w:p w14:paraId="38C0CEC3" w14:textId="77777777" w:rsidR="009A1462" w:rsidRDefault="009A1462"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7C8E7C7" w14:textId="1E066CA2" w:rsidR="009A1462" w:rsidRPr="0092616B" w:rsidRDefault="009A1462"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 xml:space="preserve">In addition to the power to make this instrument under subsection 3C(1) of the Act, subsection 33(3) of the </w:t>
      </w:r>
      <w:r>
        <w:rPr>
          <w:i/>
        </w:rPr>
        <w:t xml:space="preserve">Acts Interpretation Act 1901 </w:t>
      </w:r>
      <w:r w:rsidR="0092616B"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rsidR="0092616B">
        <w:t>t.</w:t>
      </w:r>
    </w:p>
    <w:p w14:paraId="3F6DF215" w14:textId="77777777" w:rsidR="00D5274F" w:rsidRDefault="00D5274F"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76E50D28" w14:textId="79287B8E" w:rsidR="009137DB" w:rsidRDefault="009137DB" w:rsidP="009137DB">
      <w:pPr>
        <w:rPr>
          <w:szCs w:val="24"/>
        </w:rPr>
      </w:pPr>
      <w:r w:rsidRPr="00CD4A21">
        <w:rPr>
          <w:szCs w:val="24"/>
        </w:rPr>
        <w:t xml:space="preserve">The </w:t>
      </w:r>
      <w:r>
        <w:rPr>
          <w:szCs w:val="24"/>
        </w:rPr>
        <w:t xml:space="preserve">purpose of the </w:t>
      </w:r>
      <w:r w:rsidRPr="00D5274F">
        <w:rPr>
          <w:i/>
          <w:iCs/>
        </w:rPr>
        <w:t xml:space="preserve">Health Insurance (Section 3C General Medical Services – MIGS </w:t>
      </w:r>
      <w:r w:rsidR="00661407">
        <w:rPr>
          <w:i/>
          <w:iCs/>
        </w:rPr>
        <w:t>S</w:t>
      </w:r>
      <w:r w:rsidRPr="00D5274F">
        <w:rPr>
          <w:i/>
          <w:iCs/>
        </w:rPr>
        <w:t xml:space="preserve">tent </w:t>
      </w:r>
      <w:r w:rsidR="00661407">
        <w:rPr>
          <w:i/>
          <w:iCs/>
        </w:rPr>
        <w:t>I</w:t>
      </w:r>
      <w:r w:rsidRPr="00D5274F">
        <w:rPr>
          <w:i/>
          <w:iCs/>
        </w:rPr>
        <w:t>mplantation) Determination 2018</w:t>
      </w:r>
      <w:r>
        <w:rPr>
          <w:szCs w:val="24"/>
        </w:rPr>
        <w:t xml:space="preserve"> </w:t>
      </w:r>
      <w:r w:rsidR="00D22C78">
        <w:rPr>
          <w:szCs w:val="24"/>
        </w:rPr>
        <w:t xml:space="preserve">(Determination) </w:t>
      </w:r>
      <w:r>
        <w:rPr>
          <w:szCs w:val="24"/>
        </w:rPr>
        <w:t xml:space="preserve">is to </w:t>
      </w:r>
      <w:r w:rsidR="00D22C78">
        <w:rPr>
          <w:szCs w:val="24"/>
        </w:rPr>
        <w:t>provide for the permanent listing of</w:t>
      </w:r>
      <w:r w:rsidR="00CB7AFE">
        <w:rPr>
          <w:szCs w:val="24"/>
        </w:rPr>
        <w:t xml:space="preserve"> </w:t>
      </w:r>
      <w:r w:rsidR="005B00EA">
        <w:rPr>
          <w:szCs w:val="24"/>
        </w:rPr>
        <w:t>Medicare Benefits Schedule (MBS) item</w:t>
      </w:r>
      <w:r>
        <w:rPr>
          <w:szCs w:val="24"/>
        </w:rPr>
        <w:t xml:space="preserve"> </w:t>
      </w:r>
      <w:r w:rsidRPr="00DC6F5E">
        <w:rPr>
          <w:szCs w:val="24"/>
        </w:rPr>
        <w:t>42705</w:t>
      </w:r>
      <w:r>
        <w:rPr>
          <w:szCs w:val="24"/>
        </w:rPr>
        <w:t xml:space="preserve"> with a higher fee, and to list new item 42505.</w:t>
      </w:r>
    </w:p>
    <w:p w14:paraId="4C36B69C" w14:textId="77777777" w:rsidR="009137DB" w:rsidRDefault="009137DB" w:rsidP="009137DB">
      <w:pPr>
        <w:rPr>
          <w:szCs w:val="24"/>
        </w:rPr>
      </w:pPr>
    </w:p>
    <w:p w14:paraId="5A530057" w14:textId="2C81636F" w:rsidR="00C22682" w:rsidRDefault="00C22682" w:rsidP="00C22682">
      <w:pPr>
        <w:rPr>
          <w:szCs w:val="24"/>
        </w:rPr>
      </w:pPr>
      <w:r w:rsidRPr="00EB028C">
        <w:rPr>
          <w:szCs w:val="24"/>
        </w:rPr>
        <w:t>Item 42705</w:t>
      </w:r>
      <w:r w:rsidR="00867019">
        <w:rPr>
          <w:szCs w:val="24"/>
        </w:rPr>
        <w:t xml:space="preserve"> </w:t>
      </w:r>
      <w:r w:rsidR="0084773B" w:rsidRPr="0084773B">
        <w:rPr>
          <w:szCs w:val="24"/>
        </w:rPr>
        <w:t>is for micro-invasive glaucoma surgery (MIGS) stent implantation for open-angle glaucoma (OAG)</w:t>
      </w:r>
      <w:r w:rsidR="00A74FFA">
        <w:rPr>
          <w:szCs w:val="24"/>
        </w:rPr>
        <w:t xml:space="preserve">. </w:t>
      </w:r>
      <w:r w:rsidR="00B1244E">
        <w:rPr>
          <w:szCs w:val="24"/>
        </w:rPr>
        <w:t>T</w:t>
      </w:r>
      <w:r w:rsidR="00A74FFA">
        <w:rPr>
          <w:szCs w:val="24"/>
        </w:rPr>
        <w:t xml:space="preserve">he item was previously </w:t>
      </w:r>
      <w:r w:rsidRPr="00EB028C">
        <w:rPr>
          <w:szCs w:val="24"/>
        </w:rPr>
        <w:t xml:space="preserve">listed </w:t>
      </w:r>
      <w:r w:rsidR="00B1244E">
        <w:rPr>
          <w:szCs w:val="24"/>
        </w:rPr>
        <w:t xml:space="preserve">on an interim basis </w:t>
      </w:r>
      <w:r w:rsidRPr="00EB028C">
        <w:rPr>
          <w:szCs w:val="24"/>
        </w:rPr>
        <w:t xml:space="preserve">in the </w:t>
      </w:r>
      <w:r w:rsidRPr="00EB028C">
        <w:rPr>
          <w:i/>
          <w:szCs w:val="24"/>
        </w:rPr>
        <w:t>Health Insurance (Section 3C General Medical Services–Cataract) Determination 2017</w:t>
      </w:r>
      <w:r w:rsidR="005276C6">
        <w:rPr>
          <w:szCs w:val="24"/>
        </w:rPr>
        <w:t xml:space="preserve"> </w:t>
      </w:r>
      <w:r w:rsidRPr="00EB028C">
        <w:rPr>
          <w:szCs w:val="24"/>
        </w:rPr>
        <w:t>(Cataract Determination)</w:t>
      </w:r>
      <w:r w:rsidR="00B1244E">
        <w:rPr>
          <w:szCs w:val="24"/>
        </w:rPr>
        <w:t>,</w:t>
      </w:r>
      <w:r w:rsidRPr="00EB028C">
        <w:rPr>
          <w:szCs w:val="24"/>
        </w:rPr>
        <w:t xml:space="preserve"> which </w:t>
      </w:r>
      <w:r w:rsidR="00661407">
        <w:rPr>
          <w:szCs w:val="24"/>
        </w:rPr>
        <w:t>was</w:t>
      </w:r>
      <w:r w:rsidR="00661407" w:rsidRPr="00EB028C">
        <w:rPr>
          <w:szCs w:val="24"/>
        </w:rPr>
        <w:t xml:space="preserve"> </w:t>
      </w:r>
      <w:r w:rsidRPr="00EB028C">
        <w:rPr>
          <w:szCs w:val="24"/>
        </w:rPr>
        <w:t xml:space="preserve">due to </w:t>
      </w:r>
      <w:proofErr w:type="gramStart"/>
      <w:r w:rsidR="00661407">
        <w:rPr>
          <w:szCs w:val="24"/>
        </w:rPr>
        <w:t>cease</w:t>
      </w:r>
      <w:proofErr w:type="gramEnd"/>
      <w:r w:rsidR="00661407">
        <w:rPr>
          <w:szCs w:val="24"/>
        </w:rPr>
        <w:t xml:space="preserve"> </w:t>
      </w:r>
      <w:r w:rsidRPr="00EB028C">
        <w:rPr>
          <w:szCs w:val="24"/>
        </w:rPr>
        <w:t>on 31 December 2018</w:t>
      </w:r>
      <w:r w:rsidR="00661407">
        <w:rPr>
          <w:szCs w:val="24"/>
        </w:rPr>
        <w:t xml:space="preserve"> and</w:t>
      </w:r>
      <w:r w:rsidR="00B1244E">
        <w:rPr>
          <w:szCs w:val="24"/>
        </w:rPr>
        <w:t xml:space="preserve"> </w:t>
      </w:r>
      <w:r w:rsidR="00A74FFA">
        <w:rPr>
          <w:szCs w:val="24"/>
        </w:rPr>
        <w:t xml:space="preserve">which is </w:t>
      </w:r>
      <w:r w:rsidR="00661407">
        <w:rPr>
          <w:szCs w:val="24"/>
        </w:rPr>
        <w:t>repealed</w:t>
      </w:r>
      <w:r w:rsidR="00A74FFA">
        <w:rPr>
          <w:szCs w:val="24"/>
        </w:rPr>
        <w:t xml:space="preserve"> by this Determination. </w:t>
      </w:r>
    </w:p>
    <w:p w14:paraId="5A892EA8" w14:textId="77777777" w:rsidR="00C22682" w:rsidRDefault="00C22682" w:rsidP="00D5274F">
      <w:pPr>
        <w:rPr>
          <w:szCs w:val="24"/>
        </w:rPr>
      </w:pPr>
    </w:p>
    <w:p w14:paraId="67EF18EB" w14:textId="77777777" w:rsidR="00AD327D" w:rsidRDefault="00AD327D" w:rsidP="007A4CE4">
      <w:pPr>
        <w:rPr>
          <w:szCs w:val="24"/>
        </w:rPr>
      </w:pPr>
      <w:r>
        <w:rPr>
          <w:szCs w:val="24"/>
        </w:rPr>
        <w:t xml:space="preserve">The Government announced this service in the </w:t>
      </w:r>
      <w:r w:rsidRPr="001C261D">
        <w:rPr>
          <w:szCs w:val="24"/>
        </w:rPr>
        <w:t xml:space="preserve">2018-19 Budget under the </w:t>
      </w:r>
      <w:r w:rsidRPr="001C261D">
        <w:rPr>
          <w:i/>
          <w:szCs w:val="24"/>
        </w:rPr>
        <w:t xml:space="preserve">Guaranteeing Medicare – Medicare Benefits Schedule – New and Amended Listings </w:t>
      </w:r>
      <w:r>
        <w:rPr>
          <w:szCs w:val="24"/>
        </w:rPr>
        <w:t xml:space="preserve">measure. </w:t>
      </w:r>
    </w:p>
    <w:p w14:paraId="283A8EFE" w14:textId="77777777" w:rsidR="00AD327D" w:rsidRDefault="00AD327D" w:rsidP="007A4CE4">
      <w:pPr>
        <w:rPr>
          <w:szCs w:val="24"/>
        </w:rPr>
      </w:pPr>
    </w:p>
    <w:p w14:paraId="5599CE12" w14:textId="5A9BDB57" w:rsidR="00EB028C" w:rsidRDefault="007A4CE4" w:rsidP="007A4CE4">
      <w:pPr>
        <w:rPr>
          <w:szCs w:val="24"/>
          <w:lang w:eastAsia="en-US"/>
        </w:rPr>
      </w:pPr>
      <w:r w:rsidRPr="007A4CE4">
        <w:rPr>
          <w:szCs w:val="24"/>
          <w:lang w:eastAsia="en-US"/>
        </w:rPr>
        <w:t xml:space="preserve">In November 2017, </w:t>
      </w:r>
      <w:r w:rsidR="00B75D53">
        <w:rPr>
          <w:szCs w:val="24"/>
          <w:lang w:eastAsia="en-US"/>
        </w:rPr>
        <w:t xml:space="preserve">the </w:t>
      </w:r>
      <w:r w:rsidR="00D259FD">
        <w:rPr>
          <w:szCs w:val="24"/>
          <w:lang w:eastAsia="en-US"/>
        </w:rPr>
        <w:t>Medical Services Advisory Committee (</w:t>
      </w:r>
      <w:r w:rsidRPr="007A4CE4">
        <w:rPr>
          <w:szCs w:val="24"/>
          <w:lang w:eastAsia="en-US"/>
        </w:rPr>
        <w:t>MSAC</w:t>
      </w:r>
      <w:r w:rsidR="00D259FD">
        <w:rPr>
          <w:szCs w:val="24"/>
          <w:lang w:eastAsia="en-US"/>
        </w:rPr>
        <w:t>)</w:t>
      </w:r>
      <w:r w:rsidRPr="007A4CE4">
        <w:rPr>
          <w:szCs w:val="24"/>
          <w:lang w:eastAsia="en-US"/>
        </w:rPr>
        <w:t xml:space="preserve"> supported </w:t>
      </w:r>
      <w:r w:rsidR="00592858">
        <w:rPr>
          <w:szCs w:val="24"/>
          <w:lang w:eastAsia="en-US"/>
        </w:rPr>
        <w:t xml:space="preserve">the </w:t>
      </w:r>
      <w:r w:rsidR="003625C6">
        <w:rPr>
          <w:szCs w:val="24"/>
          <w:lang w:eastAsia="en-US"/>
        </w:rPr>
        <w:t xml:space="preserve">listing </w:t>
      </w:r>
      <w:r w:rsidRPr="007A4CE4">
        <w:rPr>
          <w:szCs w:val="24"/>
          <w:lang w:eastAsia="en-US"/>
        </w:rPr>
        <w:t>of MIGS stent implantation for patients with OAG who are also undergoing cataract surgery</w:t>
      </w:r>
      <w:r w:rsidR="00592858" w:rsidRPr="00592858">
        <w:rPr>
          <w:szCs w:val="24"/>
          <w:lang w:eastAsia="en-US"/>
        </w:rPr>
        <w:t xml:space="preserve"> </w:t>
      </w:r>
      <w:r w:rsidR="00592858">
        <w:rPr>
          <w:szCs w:val="24"/>
          <w:lang w:eastAsia="en-US"/>
        </w:rPr>
        <w:t>on the</w:t>
      </w:r>
      <w:r w:rsidR="00592858" w:rsidRPr="007A4CE4">
        <w:rPr>
          <w:szCs w:val="24"/>
          <w:lang w:eastAsia="en-US"/>
        </w:rPr>
        <w:t xml:space="preserve"> MBS</w:t>
      </w:r>
      <w:r w:rsidR="005276C6">
        <w:rPr>
          <w:szCs w:val="24"/>
          <w:lang w:eastAsia="en-US"/>
        </w:rPr>
        <w:t xml:space="preserve">. </w:t>
      </w:r>
      <w:r w:rsidRPr="007A4CE4">
        <w:rPr>
          <w:szCs w:val="24"/>
          <w:lang w:eastAsia="en-US"/>
        </w:rPr>
        <w:t xml:space="preserve">MSAC accepted that </w:t>
      </w:r>
      <w:proofErr w:type="spellStart"/>
      <w:r w:rsidRPr="007A4CE4">
        <w:rPr>
          <w:szCs w:val="24"/>
          <w:lang w:eastAsia="en-US"/>
        </w:rPr>
        <w:t>suprachoroidal</w:t>
      </w:r>
      <w:proofErr w:type="spellEnd"/>
      <w:r w:rsidRPr="007A4CE4">
        <w:rPr>
          <w:szCs w:val="24"/>
          <w:lang w:eastAsia="en-US"/>
        </w:rPr>
        <w:t xml:space="preserve"> micro-invasive glaucoma surgery stent implantation was similar to trabecular bypass micro-invasive glaucoma surgery stent implantation in this population and suggested both </w:t>
      </w:r>
      <w:r w:rsidR="0060114E">
        <w:rPr>
          <w:szCs w:val="24"/>
          <w:lang w:eastAsia="en-US"/>
        </w:rPr>
        <w:t>procedures</w:t>
      </w:r>
      <w:r w:rsidRPr="007A4CE4">
        <w:rPr>
          <w:szCs w:val="24"/>
          <w:lang w:eastAsia="en-US"/>
        </w:rPr>
        <w:t xml:space="preserve"> be covered by a single MBS item. </w:t>
      </w:r>
    </w:p>
    <w:p w14:paraId="33EBEEB4" w14:textId="77777777" w:rsidR="00EB028C" w:rsidRDefault="00EB028C" w:rsidP="007A4CE4">
      <w:pPr>
        <w:rPr>
          <w:szCs w:val="24"/>
          <w:lang w:eastAsia="en-US"/>
        </w:rPr>
      </w:pPr>
    </w:p>
    <w:p w14:paraId="10BC6A9B" w14:textId="4495B4B0" w:rsidR="00D320F2" w:rsidRDefault="008150D4" w:rsidP="007A4CE4">
      <w:pPr>
        <w:rPr>
          <w:szCs w:val="24"/>
          <w:lang w:eastAsia="en-US"/>
        </w:rPr>
      </w:pPr>
      <w:r>
        <w:rPr>
          <w:szCs w:val="24"/>
          <w:lang w:eastAsia="en-US"/>
        </w:rPr>
        <w:t xml:space="preserve">In relation to this procedure, </w:t>
      </w:r>
      <w:r w:rsidR="007A4CE4" w:rsidRPr="007A4CE4">
        <w:rPr>
          <w:szCs w:val="24"/>
          <w:lang w:eastAsia="en-US"/>
        </w:rPr>
        <w:t>MSAC recommended</w:t>
      </w:r>
      <w:r w:rsidR="00D320F2">
        <w:rPr>
          <w:szCs w:val="24"/>
          <w:lang w:eastAsia="en-US"/>
        </w:rPr>
        <w:t>:</w:t>
      </w:r>
    </w:p>
    <w:p w14:paraId="6949C7D7" w14:textId="3F48F002" w:rsidR="00D320F2" w:rsidRDefault="00B1244E" w:rsidP="00D53CDF">
      <w:pPr>
        <w:pStyle w:val="ListParagraph"/>
        <w:numPr>
          <w:ilvl w:val="0"/>
          <w:numId w:val="31"/>
        </w:numPr>
        <w:rPr>
          <w:szCs w:val="24"/>
          <w:lang w:eastAsia="en-US"/>
        </w:rPr>
      </w:pPr>
      <w:r>
        <w:rPr>
          <w:szCs w:val="24"/>
          <w:lang w:eastAsia="en-US"/>
        </w:rPr>
        <w:t xml:space="preserve">that </w:t>
      </w:r>
      <w:r w:rsidR="007A4CE4" w:rsidRPr="001B7F09">
        <w:rPr>
          <w:szCs w:val="24"/>
          <w:lang w:eastAsia="en-US"/>
        </w:rPr>
        <w:t>item 42705</w:t>
      </w:r>
      <w:r>
        <w:rPr>
          <w:szCs w:val="24"/>
          <w:lang w:eastAsia="en-US"/>
        </w:rPr>
        <w:t xml:space="preserve"> be permanently listed in the MBS, </w:t>
      </w:r>
      <w:r w:rsidR="007A4CE4" w:rsidRPr="00500524">
        <w:rPr>
          <w:szCs w:val="24"/>
          <w:lang w:eastAsia="en-US"/>
        </w:rPr>
        <w:t>given the profession has been claiming this service under this item number since May 2017</w:t>
      </w:r>
      <w:r w:rsidR="00D320F2">
        <w:rPr>
          <w:szCs w:val="24"/>
          <w:lang w:eastAsia="en-US"/>
        </w:rPr>
        <w:t>;</w:t>
      </w:r>
    </w:p>
    <w:p w14:paraId="6CD79E7D" w14:textId="60533956" w:rsidR="001B7F09" w:rsidRDefault="00B864BF" w:rsidP="00D53CDF">
      <w:pPr>
        <w:pStyle w:val="ListParagraph"/>
        <w:numPr>
          <w:ilvl w:val="0"/>
          <w:numId w:val="31"/>
        </w:numPr>
        <w:rPr>
          <w:szCs w:val="24"/>
          <w:lang w:eastAsia="en-US"/>
        </w:rPr>
      </w:pPr>
      <w:r>
        <w:rPr>
          <w:szCs w:val="24"/>
          <w:lang w:eastAsia="en-US"/>
        </w:rPr>
        <w:t xml:space="preserve">specification of </w:t>
      </w:r>
      <w:r w:rsidR="008F1B70" w:rsidRPr="001B7F09">
        <w:rPr>
          <w:szCs w:val="24"/>
          <w:lang w:eastAsia="en-US"/>
        </w:rPr>
        <w:t xml:space="preserve">a higher fee for item 42705 to appropriately </w:t>
      </w:r>
      <w:r w:rsidR="00DB4742" w:rsidRPr="005B00EA">
        <w:rPr>
          <w:szCs w:val="24"/>
          <w:lang w:eastAsia="en-US"/>
        </w:rPr>
        <w:t>remunerate the service</w:t>
      </w:r>
      <w:r w:rsidR="008150D4">
        <w:rPr>
          <w:szCs w:val="24"/>
          <w:lang w:eastAsia="en-US"/>
        </w:rPr>
        <w:t>; and</w:t>
      </w:r>
    </w:p>
    <w:p w14:paraId="4EB1FD48" w14:textId="11868B58" w:rsidR="00EB028C" w:rsidRPr="00500524" w:rsidRDefault="007A1A43" w:rsidP="00D53CDF">
      <w:pPr>
        <w:pStyle w:val="ListParagraph"/>
        <w:numPr>
          <w:ilvl w:val="0"/>
          <w:numId w:val="31"/>
        </w:numPr>
        <w:rPr>
          <w:szCs w:val="24"/>
          <w:lang w:eastAsia="en-US"/>
        </w:rPr>
      </w:pPr>
      <w:proofErr w:type="gramStart"/>
      <w:r>
        <w:rPr>
          <w:szCs w:val="24"/>
          <w:lang w:eastAsia="en-US"/>
        </w:rPr>
        <w:t>listing</w:t>
      </w:r>
      <w:proofErr w:type="gramEnd"/>
      <w:r>
        <w:rPr>
          <w:szCs w:val="24"/>
          <w:lang w:eastAsia="en-US"/>
        </w:rPr>
        <w:t xml:space="preserve"> </w:t>
      </w:r>
      <w:r w:rsidR="00B864BF">
        <w:rPr>
          <w:szCs w:val="24"/>
          <w:lang w:eastAsia="en-US"/>
        </w:rPr>
        <w:t xml:space="preserve">new </w:t>
      </w:r>
      <w:r w:rsidR="00395942" w:rsidRPr="001B7F09">
        <w:rPr>
          <w:szCs w:val="24"/>
          <w:lang w:eastAsia="en-US"/>
        </w:rPr>
        <w:t xml:space="preserve">item </w:t>
      </w:r>
      <w:r w:rsidR="00254E5D" w:rsidRPr="001B7F09">
        <w:rPr>
          <w:szCs w:val="24"/>
          <w:lang w:eastAsia="en-US"/>
        </w:rPr>
        <w:t xml:space="preserve">42505 </w:t>
      </w:r>
      <w:r w:rsidR="00395942" w:rsidRPr="005B00EA">
        <w:rPr>
          <w:szCs w:val="24"/>
          <w:lang w:eastAsia="en-US"/>
        </w:rPr>
        <w:t>for the removal of MIGS devices with or without replacement</w:t>
      </w:r>
      <w:r w:rsidR="00B1244E">
        <w:rPr>
          <w:szCs w:val="24"/>
          <w:lang w:eastAsia="en-US"/>
        </w:rPr>
        <w:t>,</w:t>
      </w:r>
      <w:r w:rsidR="00395942" w:rsidRPr="005B00EA">
        <w:rPr>
          <w:szCs w:val="24"/>
          <w:lang w:eastAsia="en-US"/>
        </w:rPr>
        <w:t xml:space="preserve"> should the original stent fail or complications arise. </w:t>
      </w:r>
    </w:p>
    <w:p w14:paraId="2412D131" w14:textId="698C7FCF" w:rsidR="001865F8" w:rsidRPr="00A853D1" w:rsidRDefault="00B03AFA" w:rsidP="00AD327D">
      <w:pPr>
        <w:spacing w:after="200" w:line="276" w:lineRule="auto"/>
        <w:rPr>
          <w:b/>
        </w:rPr>
      </w:pPr>
      <w:r>
        <w:rPr>
          <w:b/>
        </w:rPr>
        <w:br w:type="page"/>
      </w:r>
      <w:r w:rsidR="00A1739A" w:rsidRPr="00A853D1">
        <w:rPr>
          <w:b/>
        </w:rPr>
        <w:lastRenderedPageBreak/>
        <w:t>Consultation</w:t>
      </w:r>
    </w:p>
    <w:p w14:paraId="6A86AEB0" w14:textId="52EB4F02" w:rsidR="00A853D1" w:rsidRDefault="00A853D1" w:rsidP="001A5BC0">
      <w:pPr>
        <w:shd w:val="clear" w:color="auto" w:fill="FFFFFF"/>
        <w:rPr>
          <w:color w:val="000000"/>
          <w:szCs w:val="24"/>
        </w:rPr>
      </w:pPr>
      <w:r w:rsidRPr="00A853D1">
        <w:rPr>
          <w:color w:val="000000"/>
          <w:szCs w:val="24"/>
        </w:rPr>
        <w:t>MSAC reviews new or existing medical services or technology, and the circumstances under which public funding should be supported through listing on the MBS. This includes the listing of new items, or amendments to existing items on the MBS.</w:t>
      </w:r>
    </w:p>
    <w:p w14:paraId="6F74D92D" w14:textId="77777777" w:rsidR="002003CA" w:rsidRDefault="002003CA" w:rsidP="001A5BC0">
      <w:pPr>
        <w:shd w:val="clear" w:color="auto" w:fill="FFFFFF"/>
        <w:rPr>
          <w:color w:val="000000"/>
          <w:szCs w:val="24"/>
        </w:rPr>
      </w:pPr>
    </w:p>
    <w:p w14:paraId="2906F230" w14:textId="08477DD8" w:rsidR="004C1122" w:rsidRDefault="004C1122" w:rsidP="00AA193A">
      <w:pPr>
        <w:shd w:val="clear" w:color="auto" w:fill="FFFFFF"/>
        <w:rPr>
          <w:color w:val="000000"/>
          <w:szCs w:val="24"/>
        </w:rPr>
      </w:pPr>
      <w:r w:rsidRPr="004C1122">
        <w:rPr>
          <w:color w:val="000000"/>
          <w:szCs w:val="24"/>
        </w:rPr>
        <w:t>Targeted consultation was undertaken as part of the MSAC process.  The</w:t>
      </w:r>
      <w:r w:rsidR="00AA193A">
        <w:rPr>
          <w:color w:val="000000"/>
          <w:szCs w:val="24"/>
        </w:rPr>
        <w:t xml:space="preserve"> </w:t>
      </w:r>
      <w:r w:rsidR="00AA193A" w:rsidRPr="00AA193A">
        <w:rPr>
          <w:color w:val="000000"/>
          <w:szCs w:val="24"/>
        </w:rPr>
        <w:t>Royal Australian and New Zealand College of Ophthalmologists</w:t>
      </w:r>
      <w:r w:rsidR="00AA193A">
        <w:rPr>
          <w:color w:val="000000"/>
          <w:szCs w:val="24"/>
        </w:rPr>
        <w:t xml:space="preserve">, </w:t>
      </w:r>
      <w:r w:rsidR="00AA193A" w:rsidRPr="00AA193A">
        <w:rPr>
          <w:color w:val="000000"/>
          <w:szCs w:val="24"/>
        </w:rPr>
        <w:t>Australian and New Zealand Glaucoma Interest Group</w:t>
      </w:r>
      <w:r w:rsidR="00AA193A">
        <w:rPr>
          <w:color w:val="000000"/>
          <w:szCs w:val="24"/>
        </w:rPr>
        <w:t xml:space="preserve">, </w:t>
      </w:r>
      <w:r w:rsidR="00AA193A" w:rsidRPr="00AA193A">
        <w:rPr>
          <w:color w:val="000000"/>
          <w:szCs w:val="24"/>
        </w:rPr>
        <w:t>Centre for Eye Research Australia</w:t>
      </w:r>
      <w:r w:rsidR="00AA193A">
        <w:rPr>
          <w:color w:val="000000"/>
          <w:szCs w:val="24"/>
        </w:rPr>
        <w:t xml:space="preserve">, </w:t>
      </w:r>
      <w:r w:rsidR="00AA193A" w:rsidRPr="00AA193A">
        <w:rPr>
          <w:color w:val="000000"/>
          <w:szCs w:val="24"/>
        </w:rPr>
        <w:t>Indigenous Eye Health Unit</w:t>
      </w:r>
      <w:r w:rsidR="00AA193A">
        <w:rPr>
          <w:color w:val="000000"/>
          <w:szCs w:val="24"/>
        </w:rPr>
        <w:t xml:space="preserve">, </w:t>
      </w:r>
      <w:r w:rsidR="00AA193A" w:rsidRPr="00AA193A">
        <w:rPr>
          <w:color w:val="000000"/>
          <w:szCs w:val="24"/>
        </w:rPr>
        <w:t>Glaucoma Australia</w:t>
      </w:r>
      <w:r w:rsidR="00AA193A">
        <w:rPr>
          <w:color w:val="000000"/>
          <w:szCs w:val="24"/>
        </w:rPr>
        <w:t xml:space="preserve">, </w:t>
      </w:r>
      <w:r w:rsidR="00AA193A" w:rsidRPr="00AA193A">
        <w:rPr>
          <w:color w:val="000000"/>
          <w:szCs w:val="24"/>
        </w:rPr>
        <w:t>Australian Society of Ophthalmologists</w:t>
      </w:r>
      <w:r w:rsidR="00AA193A">
        <w:rPr>
          <w:color w:val="000000"/>
          <w:szCs w:val="24"/>
        </w:rPr>
        <w:t xml:space="preserve"> and </w:t>
      </w:r>
      <w:r w:rsidR="0005341B">
        <w:rPr>
          <w:color w:val="000000"/>
          <w:szCs w:val="24"/>
        </w:rPr>
        <w:t xml:space="preserve">the </w:t>
      </w:r>
      <w:r w:rsidR="00AA193A" w:rsidRPr="00AA193A">
        <w:rPr>
          <w:color w:val="000000"/>
          <w:szCs w:val="24"/>
        </w:rPr>
        <w:t>Macular Disease Foundation</w:t>
      </w:r>
      <w:r w:rsidR="00AA193A">
        <w:rPr>
          <w:color w:val="000000"/>
          <w:szCs w:val="24"/>
        </w:rPr>
        <w:t xml:space="preserve"> were</w:t>
      </w:r>
      <w:r w:rsidRPr="004C1122">
        <w:rPr>
          <w:color w:val="000000"/>
          <w:szCs w:val="24"/>
        </w:rPr>
        <w:t xml:space="preserve"> advised of the intent to list the above items and associated descriptors</w:t>
      </w:r>
      <w:r w:rsidR="0005341B">
        <w:rPr>
          <w:color w:val="000000"/>
          <w:szCs w:val="24"/>
        </w:rPr>
        <w:t xml:space="preserve">. </w:t>
      </w:r>
    </w:p>
    <w:p w14:paraId="0A85D955" w14:textId="77777777" w:rsidR="004C1122" w:rsidRDefault="004C1122" w:rsidP="001A5BC0">
      <w:pPr>
        <w:shd w:val="clear" w:color="auto" w:fill="FFFFFF"/>
        <w:rPr>
          <w:color w:val="000000"/>
          <w:szCs w:val="24"/>
        </w:rPr>
      </w:pPr>
    </w:p>
    <w:p w14:paraId="2412D134" w14:textId="77777777" w:rsidR="00967E51" w:rsidRPr="00A853D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7F310E98" w14:textId="77777777" w:rsidR="007C30F6" w:rsidRDefault="007C30F6" w:rsidP="004C1122">
      <w:pPr>
        <w:rPr>
          <w:szCs w:val="24"/>
        </w:rPr>
      </w:pPr>
    </w:p>
    <w:p w14:paraId="2434ACE8" w14:textId="579B8357" w:rsidR="004C1122" w:rsidRPr="0092705D" w:rsidRDefault="00297AD0" w:rsidP="0005341B">
      <w:pPr>
        <w:rPr>
          <w:szCs w:val="24"/>
          <w:lang w:eastAsia="en-US"/>
        </w:rPr>
      </w:pPr>
      <w:r w:rsidRPr="00A853D1">
        <w:rPr>
          <w:szCs w:val="24"/>
        </w:rPr>
        <w:t xml:space="preserve">The </w:t>
      </w:r>
      <w:r w:rsidR="00967E51" w:rsidRPr="00A853D1">
        <w:rPr>
          <w:szCs w:val="24"/>
        </w:rPr>
        <w:t>Determination</w:t>
      </w:r>
      <w:r w:rsidRPr="00A853D1">
        <w:rPr>
          <w:szCs w:val="24"/>
        </w:rPr>
        <w:t xml:space="preserve"> </w:t>
      </w:r>
      <w:r w:rsidR="007524B0" w:rsidRPr="00A853D1">
        <w:rPr>
          <w:szCs w:val="24"/>
        </w:rPr>
        <w:t>commences</w:t>
      </w:r>
      <w:r w:rsidR="004C1122">
        <w:rPr>
          <w:szCs w:val="24"/>
        </w:rPr>
        <w:t xml:space="preserve"> </w:t>
      </w:r>
      <w:r w:rsidR="004C1122">
        <w:rPr>
          <w:szCs w:val="24"/>
          <w:lang w:eastAsia="en-US"/>
        </w:rPr>
        <w:t xml:space="preserve">on </w:t>
      </w:r>
      <w:r w:rsidR="0005341B">
        <w:rPr>
          <w:szCs w:val="24"/>
          <w:lang w:eastAsia="en-US"/>
        </w:rPr>
        <w:t xml:space="preserve">1 </w:t>
      </w:r>
      <w:r w:rsidR="004C1122" w:rsidRPr="0092705D">
        <w:rPr>
          <w:szCs w:val="24"/>
          <w:lang w:eastAsia="en-US"/>
        </w:rPr>
        <w:t>November 2018</w:t>
      </w:r>
      <w:r w:rsidR="0005341B">
        <w:rPr>
          <w:szCs w:val="24"/>
          <w:lang w:eastAsia="en-US"/>
        </w:rPr>
        <w:t xml:space="preserve">. </w:t>
      </w:r>
    </w:p>
    <w:p w14:paraId="2412D136" w14:textId="77777777" w:rsidR="00236DF2" w:rsidRPr="00A853D1" w:rsidRDefault="00236DF2" w:rsidP="00574E71">
      <w:pPr>
        <w:rPr>
          <w:szCs w:val="24"/>
        </w:rPr>
      </w:pPr>
    </w:p>
    <w:p w14:paraId="2412D138" w14:textId="2C70DF8B" w:rsidR="00574E71" w:rsidRPr="00A853D1" w:rsidRDefault="0002728B" w:rsidP="00DE07E4">
      <w:pPr>
        <w:spacing w:after="200" w:line="276" w:lineRule="auto"/>
        <w:rPr>
          <w:szCs w:val="24"/>
        </w:rPr>
      </w:pPr>
      <w:r>
        <w:rPr>
          <w:szCs w:val="24"/>
        </w:rPr>
        <w:t>T</w:t>
      </w:r>
      <w:r w:rsidR="00574E71" w:rsidRPr="00A853D1">
        <w:rPr>
          <w:szCs w:val="24"/>
        </w:rPr>
        <w:t xml:space="preserve">he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2412D13B" w14:textId="0596CD30" w:rsidR="00A1739A" w:rsidRDefault="00A1739A" w:rsidP="000337CB">
      <w:pPr>
        <w:tabs>
          <w:tab w:val="left" w:pos="4820"/>
        </w:tabs>
        <w:rPr>
          <w:i/>
          <w:szCs w:val="24"/>
        </w:rPr>
      </w:pPr>
      <w:r w:rsidRPr="00A853D1">
        <w:rPr>
          <w:i/>
          <w:szCs w:val="24"/>
        </w:rPr>
        <w:tab/>
        <w:t>Health Insurance Act 1973</w:t>
      </w:r>
    </w:p>
    <w:p w14:paraId="6B26AD86" w14:textId="77777777" w:rsidR="00C67460" w:rsidRDefault="00C67460" w:rsidP="000337CB">
      <w:pPr>
        <w:tabs>
          <w:tab w:val="left" w:pos="4820"/>
        </w:tabs>
        <w:rPr>
          <w:i/>
          <w:szCs w:val="24"/>
        </w:rPr>
      </w:pPr>
    </w:p>
    <w:p w14:paraId="1F957C0C" w14:textId="77777777" w:rsidR="00C67460" w:rsidRDefault="00C67460" w:rsidP="000337CB">
      <w:pPr>
        <w:tabs>
          <w:tab w:val="left" w:pos="4820"/>
        </w:tabs>
        <w:rPr>
          <w:i/>
          <w:szCs w:val="24"/>
        </w:rPr>
      </w:pPr>
    </w:p>
    <w:p w14:paraId="40497B71" w14:textId="77777777" w:rsidR="00C67460" w:rsidRDefault="00C67460">
      <w:pPr>
        <w:spacing w:after="200" w:line="276" w:lineRule="auto"/>
        <w:rPr>
          <w:b/>
          <w:szCs w:val="24"/>
        </w:rPr>
      </w:pPr>
      <w:r>
        <w:rPr>
          <w:szCs w:val="24"/>
        </w:rPr>
        <w:br w:type="page"/>
      </w:r>
    </w:p>
    <w:p w14:paraId="441C9181" w14:textId="54C5B8A5" w:rsidR="00C67460" w:rsidRPr="00215191" w:rsidRDefault="00C67460" w:rsidP="00C67460">
      <w:pPr>
        <w:pStyle w:val="BodyText"/>
        <w:jc w:val="right"/>
        <w:rPr>
          <w:szCs w:val="24"/>
        </w:rPr>
      </w:pPr>
      <w:r w:rsidRPr="00215191">
        <w:rPr>
          <w:szCs w:val="24"/>
        </w:rPr>
        <w:lastRenderedPageBreak/>
        <w:t>ATTACHMENT</w:t>
      </w:r>
    </w:p>
    <w:p w14:paraId="1706D676" w14:textId="77777777" w:rsidR="00C67460" w:rsidRPr="00215191" w:rsidRDefault="00C67460" w:rsidP="00C67460">
      <w:pPr>
        <w:pStyle w:val="BodyText"/>
        <w:rPr>
          <w:szCs w:val="24"/>
          <w:u w:val="single"/>
        </w:rPr>
      </w:pPr>
    </w:p>
    <w:p w14:paraId="7C5E231D" w14:textId="1B30F648" w:rsidR="00C67460" w:rsidRPr="00215191" w:rsidRDefault="00C67460" w:rsidP="00C67460">
      <w:pPr>
        <w:pStyle w:val="BodyText"/>
        <w:rPr>
          <w:i/>
          <w:szCs w:val="24"/>
        </w:rPr>
      </w:pPr>
      <w:r w:rsidRPr="00215191">
        <w:rPr>
          <w:szCs w:val="24"/>
        </w:rPr>
        <w:t xml:space="preserve">Details of the </w:t>
      </w:r>
      <w:r w:rsidRPr="007C30F6">
        <w:rPr>
          <w:i/>
          <w:iCs/>
        </w:rPr>
        <w:t xml:space="preserve">Health Insurance (Section 3C General Medical Services – MIGS </w:t>
      </w:r>
      <w:r w:rsidR="0090796E">
        <w:rPr>
          <w:i/>
          <w:iCs/>
        </w:rPr>
        <w:t>S</w:t>
      </w:r>
      <w:r w:rsidRPr="007C30F6">
        <w:rPr>
          <w:i/>
          <w:iCs/>
        </w:rPr>
        <w:t xml:space="preserve">tent </w:t>
      </w:r>
      <w:r w:rsidR="0090796E">
        <w:rPr>
          <w:i/>
          <w:iCs/>
        </w:rPr>
        <w:t>I</w:t>
      </w:r>
      <w:r w:rsidRPr="007C30F6">
        <w:rPr>
          <w:i/>
          <w:iCs/>
        </w:rPr>
        <w:t>mplantation) Determination 2018</w:t>
      </w:r>
    </w:p>
    <w:p w14:paraId="4275FCDB" w14:textId="77777777" w:rsidR="00C67460" w:rsidRPr="00215191" w:rsidRDefault="00C67460" w:rsidP="00C67460">
      <w:pPr>
        <w:pStyle w:val="BodyText"/>
        <w:rPr>
          <w:b w:val="0"/>
          <w:i/>
          <w:szCs w:val="24"/>
        </w:rPr>
      </w:pPr>
    </w:p>
    <w:p w14:paraId="437237FF" w14:textId="4064EC44" w:rsidR="00C67460" w:rsidRPr="00215191" w:rsidRDefault="00C67460" w:rsidP="00C67460">
      <w:pPr>
        <w:pStyle w:val="BodyText"/>
        <w:rPr>
          <w:b w:val="0"/>
          <w:szCs w:val="24"/>
          <w:u w:val="single"/>
        </w:rPr>
      </w:pPr>
      <w:r w:rsidRPr="00215191">
        <w:rPr>
          <w:b w:val="0"/>
          <w:szCs w:val="24"/>
          <w:u w:val="single"/>
        </w:rPr>
        <w:t>Section 1 – Name</w:t>
      </w:r>
    </w:p>
    <w:p w14:paraId="0FDB14B2" w14:textId="77777777" w:rsidR="00C67460" w:rsidRPr="00215191" w:rsidRDefault="00C67460" w:rsidP="00C67460">
      <w:pPr>
        <w:pStyle w:val="BodyText"/>
        <w:rPr>
          <w:b w:val="0"/>
          <w:szCs w:val="24"/>
          <w:u w:val="single"/>
        </w:rPr>
      </w:pPr>
    </w:p>
    <w:p w14:paraId="62B5A915" w14:textId="04196CCD" w:rsidR="00C67460" w:rsidRPr="00FD602D" w:rsidRDefault="00C67460" w:rsidP="00C67460">
      <w:pPr>
        <w:pStyle w:val="Heading1"/>
        <w:jc w:val="left"/>
        <w:rPr>
          <w:b w:val="0"/>
          <w:i/>
          <w:iCs/>
          <w:u w:val="none"/>
        </w:rPr>
      </w:pPr>
      <w:r w:rsidRPr="00215191">
        <w:rPr>
          <w:b w:val="0"/>
          <w:szCs w:val="24"/>
          <w:u w:val="none"/>
        </w:rPr>
        <w:t xml:space="preserve">Section 1 provides for the Determination to be referred to as the </w:t>
      </w:r>
      <w:r w:rsidRPr="007C30F6">
        <w:rPr>
          <w:b w:val="0"/>
          <w:i/>
          <w:iCs/>
          <w:u w:val="none"/>
        </w:rPr>
        <w:t xml:space="preserve">Health Insurance (Section 3C General Medical Services – MIGS </w:t>
      </w:r>
      <w:r w:rsidR="0090796E">
        <w:rPr>
          <w:b w:val="0"/>
          <w:i/>
          <w:iCs/>
          <w:u w:val="none"/>
        </w:rPr>
        <w:t>S</w:t>
      </w:r>
      <w:r w:rsidRPr="007C30F6">
        <w:rPr>
          <w:b w:val="0"/>
          <w:i/>
          <w:iCs/>
          <w:u w:val="none"/>
        </w:rPr>
        <w:t xml:space="preserve">tent </w:t>
      </w:r>
      <w:r w:rsidR="0090796E">
        <w:rPr>
          <w:b w:val="0"/>
          <w:i/>
          <w:iCs/>
          <w:u w:val="none"/>
        </w:rPr>
        <w:t>I</w:t>
      </w:r>
      <w:r w:rsidRPr="007C30F6">
        <w:rPr>
          <w:b w:val="0"/>
          <w:i/>
          <w:iCs/>
          <w:u w:val="none"/>
        </w:rPr>
        <w:t>mplantation) Determination 2018</w:t>
      </w:r>
      <w:r>
        <w:rPr>
          <w:b w:val="0"/>
          <w:i/>
          <w:iCs/>
          <w:u w:val="none"/>
        </w:rPr>
        <w:t>.</w:t>
      </w:r>
    </w:p>
    <w:p w14:paraId="6E248236" w14:textId="77777777" w:rsidR="00C67460" w:rsidRPr="00FD602D" w:rsidRDefault="00C67460" w:rsidP="00C67460"/>
    <w:p w14:paraId="09A44DED" w14:textId="77777777" w:rsidR="00C67460" w:rsidRPr="00215191" w:rsidRDefault="00C67460" w:rsidP="00C67460">
      <w:pPr>
        <w:pStyle w:val="BodyText"/>
        <w:rPr>
          <w:b w:val="0"/>
          <w:szCs w:val="24"/>
          <w:u w:val="single"/>
        </w:rPr>
      </w:pPr>
      <w:r w:rsidRPr="00215191">
        <w:rPr>
          <w:b w:val="0"/>
          <w:szCs w:val="24"/>
          <w:u w:val="single"/>
        </w:rPr>
        <w:t xml:space="preserve">Section 2 – Commencement </w:t>
      </w:r>
    </w:p>
    <w:p w14:paraId="7F4E3DC2" w14:textId="77777777" w:rsidR="00C67460" w:rsidRPr="00215191" w:rsidRDefault="00C67460" w:rsidP="00C67460">
      <w:pPr>
        <w:pStyle w:val="BodyText"/>
        <w:rPr>
          <w:b w:val="0"/>
          <w:szCs w:val="24"/>
          <w:u w:val="single"/>
        </w:rPr>
      </w:pPr>
    </w:p>
    <w:p w14:paraId="2FEC2A64" w14:textId="2A5008D1" w:rsidR="00C67460" w:rsidRPr="00215191" w:rsidRDefault="00C67460" w:rsidP="0005341B">
      <w:pPr>
        <w:pStyle w:val="BodyText"/>
        <w:rPr>
          <w:b w:val="0"/>
          <w:szCs w:val="24"/>
        </w:rPr>
      </w:pPr>
      <w:r w:rsidRPr="00215191">
        <w:rPr>
          <w:b w:val="0"/>
          <w:szCs w:val="24"/>
        </w:rPr>
        <w:t>Section 2 provides that the Determination commences</w:t>
      </w:r>
      <w:r w:rsidRPr="007C30F6">
        <w:t xml:space="preserve"> </w:t>
      </w:r>
      <w:r w:rsidRPr="007C30F6">
        <w:rPr>
          <w:b w:val="0"/>
          <w:szCs w:val="24"/>
        </w:rPr>
        <w:t>on 1 November 2018</w:t>
      </w:r>
      <w:r w:rsidR="0005341B">
        <w:rPr>
          <w:b w:val="0"/>
          <w:szCs w:val="24"/>
        </w:rPr>
        <w:t xml:space="preserve">. </w:t>
      </w:r>
    </w:p>
    <w:p w14:paraId="12230BE2" w14:textId="77777777" w:rsidR="00C67460" w:rsidRPr="00215191" w:rsidRDefault="00C67460" w:rsidP="00C67460">
      <w:pPr>
        <w:pStyle w:val="BodyText"/>
        <w:rPr>
          <w:b w:val="0"/>
          <w:szCs w:val="24"/>
        </w:rPr>
      </w:pPr>
    </w:p>
    <w:p w14:paraId="658B9080" w14:textId="77777777" w:rsidR="00C67460" w:rsidRPr="00215191" w:rsidRDefault="00C67460" w:rsidP="00C67460">
      <w:pPr>
        <w:pStyle w:val="BodyText"/>
        <w:rPr>
          <w:b w:val="0"/>
          <w:szCs w:val="24"/>
          <w:u w:val="single"/>
        </w:rPr>
      </w:pPr>
      <w:r w:rsidRPr="00215191">
        <w:rPr>
          <w:b w:val="0"/>
          <w:szCs w:val="24"/>
          <w:u w:val="single"/>
        </w:rPr>
        <w:t>Section 3 – Authority</w:t>
      </w:r>
    </w:p>
    <w:p w14:paraId="36336F91" w14:textId="77777777" w:rsidR="00C67460" w:rsidRPr="00215191" w:rsidRDefault="00C67460" w:rsidP="00C67460">
      <w:pPr>
        <w:pStyle w:val="BodyText"/>
        <w:rPr>
          <w:b w:val="0"/>
          <w:szCs w:val="24"/>
          <w:u w:val="single"/>
        </w:rPr>
      </w:pPr>
    </w:p>
    <w:p w14:paraId="6E4BEB2F" w14:textId="77777777" w:rsidR="00C67460" w:rsidRPr="00215191" w:rsidRDefault="00C67460" w:rsidP="00C67460">
      <w:pPr>
        <w:pStyle w:val="BodyText"/>
        <w:rPr>
          <w:b w:val="0"/>
        </w:rPr>
      </w:pPr>
      <w:r w:rsidRPr="00215191">
        <w:rPr>
          <w:b w:val="0"/>
        </w:rPr>
        <w:t xml:space="preserve">Section 3 provides that the Determination is made under subsection 3C(1) of the </w:t>
      </w:r>
      <w:r w:rsidRPr="00215191">
        <w:rPr>
          <w:b w:val="0"/>
          <w:i/>
        </w:rPr>
        <w:t>Health Insurance Act 1973</w:t>
      </w:r>
      <w:r w:rsidRPr="00215191">
        <w:rPr>
          <w:b w:val="0"/>
        </w:rPr>
        <w:t>.</w:t>
      </w:r>
    </w:p>
    <w:p w14:paraId="718A5E49" w14:textId="77777777" w:rsidR="00C67460" w:rsidRPr="00215191" w:rsidRDefault="00C67460" w:rsidP="00C67460">
      <w:pPr>
        <w:pStyle w:val="BodyText"/>
        <w:rPr>
          <w:b w:val="0"/>
        </w:rPr>
      </w:pPr>
    </w:p>
    <w:p w14:paraId="64500C3B" w14:textId="5E6FA2DA" w:rsidR="00C67460" w:rsidRDefault="00C67460" w:rsidP="00C67460">
      <w:pPr>
        <w:pStyle w:val="BodyText"/>
        <w:rPr>
          <w:b w:val="0"/>
          <w:szCs w:val="24"/>
          <w:u w:val="single"/>
        </w:rPr>
      </w:pPr>
      <w:r>
        <w:rPr>
          <w:b w:val="0"/>
          <w:szCs w:val="24"/>
          <w:u w:val="single"/>
        </w:rPr>
        <w:t xml:space="preserve">Section 4 – </w:t>
      </w:r>
      <w:r w:rsidR="0090796E">
        <w:rPr>
          <w:b w:val="0"/>
          <w:szCs w:val="24"/>
          <w:u w:val="single"/>
        </w:rPr>
        <w:t>Repeal</w:t>
      </w:r>
    </w:p>
    <w:p w14:paraId="6DF21B0F" w14:textId="77777777" w:rsidR="00C67460" w:rsidRDefault="00C67460" w:rsidP="00C67460">
      <w:pPr>
        <w:pStyle w:val="BodyText"/>
        <w:rPr>
          <w:b w:val="0"/>
          <w:szCs w:val="24"/>
          <w:u w:val="single"/>
        </w:rPr>
      </w:pPr>
    </w:p>
    <w:p w14:paraId="7C04F04D" w14:textId="3FAB5FA7" w:rsidR="00C67460" w:rsidRPr="007C5697" w:rsidRDefault="00C67460" w:rsidP="00C67460">
      <w:pPr>
        <w:pStyle w:val="BodyText"/>
        <w:rPr>
          <w:b w:val="0"/>
          <w:szCs w:val="24"/>
        </w:rPr>
      </w:pPr>
      <w:r>
        <w:rPr>
          <w:b w:val="0"/>
          <w:szCs w:val="24"/>
        </w:rPr>
        <w:t xml:space="preserve">Section 4 provides that the Determination revokes the </w:t>
      </w:r>
      <w:hyperlink r:id="rId12" w:history="1">
        <w:r w:rsidRPr="00890BA2">
          <w:rPr>
            <w:b w:val="0"/>
            <w:i/>
            <w:szCs w:val="24"/>
            <w:lang w:eastAsia="en-US"/>
          </w:rPr>
          <w:t>Health Insurance (Section 3C General Medical Service</w:t>
        </w:r>
        <w:r w:rsidR="00FE241D">
          <w:rPr>
            <w:b w:val="0"/>
            <w:i/>
            <w:szCs w:val="24"/>
            <w:lang w:eastAsia="en-US"/>
          </w:rPr>
          <w:t>s</w:t>
        </w:r>
        <w:r w:rsidR="002E23DD" w:rsidRPr="00890BA2">
          <w:rPr>
            <w:b w:val="0"/>
            <w:i/>
            <w:szCs w:val="24"/>
            <w:lang w:eastAsia="en-US"/>
          </w:rPr>
          <w:t>–</w:t>
        </w:r>
        <w:r w:rsidRPr="00890BA2">
          <w:rPr>
            <w:b w:val="0"/>
            <w:i/>
            <w:szCs w:val="24"/>
            <w:lang w:eastAsia="en-US"/>
          </w:rPr>
          <w:t>Cataract) Determination 2017</w:t>
        </w:r>
      </w:hyperlink>
      <w:r w:rsidRPr="0090796E">
        <w:rPr>
          <w:b w:val="0"/>
          <w:i/>
          <w:szCs w:val="24"/>
          <w:lang w:eastAsia="en-US"/>
        </w:rPr>
        <w:t>.</w:t>
      </w:r>
    </w:p>
    <w:p w14:paraId="6483C2B7" w14:textId="77777777" w:rsidR="00C67460" w:rsidRDefault="00C67460" w:rsidP="00C67460">
      <w:pPr>
        <w:pStyle w:val="BodyText"/>
        <w:rPr>
          <w:b w:val="0"/>
          <w:szCs w:val="24"/>
          <w:u w:val="single"/>
        </w:rPr>
      </w:pPr>
    </w:p>
    <w:p w14:paraId="2DD1D35A" w14:textId="77777777" w:rsidR="00C67460" w:rsidRPr="00215191" w:rsidRDefault="00C67460" w:rsidP="00C67460">
      <w:pPr>
        <w:pStyle w:val="BodyText"/>
        <w:rPr>
          <w:b w:val="0"/>
          <w:szCs w:val="24"/>
          <w:u w:val="single"/>
        </w:rPr>
      </w:pPr>
      <w:r w:rsidRPr="00215191">
        <w:rPr>
          <w:b w:val="0"/>
          <w:szCs w:val="24"/>
          <w:u w:val="single"/>
        </w:rPr>
        <w:t xml:space="preserve">Section </w:t>
      </w:r>
      <w:r>
        <w:rPr>
          <w:b w:val="0"/>
          <w:szCs w:val="24"/>
          <w:u w:val="single"/>
        </w:rPr>
        <w:t>5</w:t>
      </w:r>
      <w:r w:rsidRPr="00215191">
        <w:rPr>
          <w:b w:val="0"/>
          <w:szCs w:val="24"/>
          <w:u w:val="single"/>
        </w:rPr>
        <w:t xml:space="preserve"> – Definitions</w:t>
      </w:r>
    </w:p>
    <w:p w14:paraId="65A5FA9C" w14:textId="77777777" w:rsidR="00C67460" w:rsidRPr="00215191" w:rsidRDefault="00C67460" w:rsidP="00C67460">
      <w:pPr>
        <w:pStyle w:val="BodyText"/>
        <w:rPr>
          <w:b w:val="0"/>
          <w:szCs w:val="24"/>
          <w:u w:val="single"/>
        </w:rPr>
      </w:pPr>
    </w:p>
    <w:p w14:paraId="2B8C277D" w14:textId="445C1483" w:rsidR="00C67460" w:rsidRPr="00215191" w:rsidRDefault="008262BF" w:rsidP="00C67460">
      <w:pPr>
        <w:pStyle w:val="BodyText"/>
        <w:rPr>
          <w:b w:val="0"/>
          <w:szCs w:val="24"/>
        </w:rPr>
      </w:pPr>
      <w:r>
        <w:rPr>
          <w:b w:val="0"/>
          <w:szCs w:val="24"/>
        </w:rPr>
        <w:t>Section 5</w:t>
      </w:r>
      <w:r w:rsidR="00C67460" w:rsidRPr="00215191">
        <w:rPr>
          <w:b w:val="0"/>
          <w:szCs w:val="24"/>
        </w:rPr>
        <w:t xml:space="preserve"> defines terms used in the Determination. </w:t>
      </w:r>
    </w:p>
    <w:p w14:paraId="3AD3A0B4" w14:textId="77777777" w:rsidR="00C67460" w:rsidRPr="00EB601D" w:rsidRDefault="00C67460" w:rsidP="00C67460">
      <w:pPr>
        <w:pStyle w:val="BodyText"/>
        <w:rPr>
          <w:b w:val="0"/>
          <w:szCs w:val="24"/>
          <w:highlight w:val="yellow"/>
        </w:rPr>
      </w:pPr>
    </w:p>
    <w:p w14:paraId="63C8FF5E" w14:textId="77777777" w:rsidR="00C67460" w:rsidRPr="00215191" w:rsidRDefault="00C67460" w:rsidP="00C67460">
      <w:pPr>
        <w:pStyle w:val="BodyText"/>
        <w:rPr>
          <w:b w:val="0"/>
          <w:szCs w:val="24"/>
          <w:u w:val="single"/>
        </w:rPr>
      </w:pPr>
      <w:r w:rsidRPr="00215191">
        <w:rPr>
          <w:b w:val="0"/>
          <w:szCs w:val="24"/>
          <w:u w:val="single"/>
        </w:rPr>
        <w:t xml:space="preserve">Section </w:t>
      </w:r>
      <w:r>
        <w:rPr>
          <w:b w:val="0"/>
          <w:szCs w:val="24"/>
          <w:u w:val="single"/>
        </w:rPr>
        <w:t>6</w:t>
      </w:r>
      <w:r w:rsidRPr="00215191">
        <w:rPr>
          <w:b w:val="0"/>
          <w:szCs w:val="24"/>
          <w:u w:val="single"/>
        </w:rPr>
        <w:t xml:space="preserve"> – Treatment of relevant services</w:t>
      </w:r>
    </w:p>
    <w:p w14:paraId="30F99B28" w14:textId="77777777" w:rsidR="00C67460" w:rsidRPr="00215191" w:rsidRDefault="00C67460" w:rsidP="00C67460">
      <w:pPr>
        <w:pStyle w:val="BodyText"/>
        <w:shd w:val="clear" w:color="auto" w:fill="FFFFFF"/>
        <w:rPr>
          <w:b w:val="0"/>
          <w:szCs w:val="24"/>
        </w:rPr>
      </w:pPr>
      <w:r w:rsidRPr="00215191">
        <w:rPr>
          <w:b w:val="0"/>
          <w:szCs w:val="24"/>
        </w:rPr>
        <w:t> </w:t>
      </w:r>
    </w:p>
    <w:p w14:paraId="72C2177C" w14:textId="77777777" w:rsidR="00C67460" w:rsidRPr="00215191" w:rsidRDefault="00C67460" w:rsidP="00C67460">
      <w:pPr>
        <w:pStyle w:val="BodyText"/>
        <w:shd w:val="clear" w:color="auto" w:fill="FFFFFF"/>
        <w:rPr>
          <w:b w:val="0"/>
          <w:szCs w:val="24"/>
        </w:rPr>
      </w:pPr>
      <w:r w:rsidRPr="00215191">
        <w:rPr>
          <w:b w:val="0"/>
          <w:szCs w:val="24"/>
        </w:rPr>
        <w:t xml:space="preserve">Section </w:t>
      </w:r>
      <w:r>
        <w:rPr>
          <w:b w:val="0"/>
          <w:szCs w:val="24"/>
        </w:rPr>
        <w:t>6</w:t>
      </w:r>
      <w:r w:rsidRPr="00215191">
        <w:rPr>
          <w:b w:val="0"/>
          <w:szCs w:val="24"/>
        </w:rPr>
        <w:t xml:space="preserve"> provides that a clinically relevant service provided in accordance with the Determination shall be treated, for relevant provisions of the </w:t>
      </w:r>
      <w:r w:rsidRPr="00215191">
        <w:rPr>
          <w:b w:val="0"/>
          <w:i/>
          <w:szCs w:val="24"/>
        </w:rPr>
        <w:t>Health Insurance Act 1973</w:t>
      </w:r>
      <w:r w:rsidRPr="00215191">
        <w:rPr>
          <w:b w:val="0"/>
          <w:szCs w:val="24"/>
        </w:rPr>
        <w:t xml:space="preserve"> and </w:t>
      </w:r>
      <w:r w:rsidRPr="00215191">
        <w:rPr>
          <w:b w:val="0"/>
          <w:i/>
          <w:szCs w:val="24"/>
        </w:rPr>
        <w:t>National Health Act 1953</w:t>
      </w:r>
      <w:r w:rsidRPr="00215191">
        <w:rPr>
          <w:b w:val="0"/>
          <w:szCs w:val="24"/>
        </w:rPr>
        <w:t xml:space="preserve">, and regulations made under those Acts, as if it were both a professional service and a medical service and as if there were an item specified in the diagnostic imaging services table for the service. </w:t>
      </w:r>
    </w:p>
    <w:p w14:paraId="1B0BD49A" w14:textId="77777777" w:rsidR="00C67460" w:rsidRDefault="00C67460" w:rsidP="00C67460">
      <w:pPr>
        <w:shd w:val="clear" w:color="auto" w:fill="FFFFFF"/>
        <w:spacing w:before="100" w:beforeAutospacing="1" w:after="100" w:afterAutospacing="1"/>
        <w:rPr>
          <w:szCs w:val="24"/>
          <w:u w:val="single"/>
        </w:rPr>
      </w:pPr>
      <w:r>
        <w:rPr>
          <w:szCs w:val="24"/>
          <w:u w:val="single"/>
        </w:rPr>
        <w:t>Section 7 – Application of items of the general medical services table</w:t>
      </w:r>
    </w:p>
    <w:p w14:paraId="6ED4CD77" w14:textId="7957A287" w:rsidR="00C67460" w:rsidRDefault="00C67460" w:rsidP="00C67460">
      <w:pPr>
        <w:shd w:val="clear" w:color="auto" w:fill="FFFFFF"/>
        <w:rPr>
          <w:szCs w:val="24"/>
        </w:rPr>
      </w:pPr>
      <w:r>
        <w:rPr>
          <w:szCs w:val="24"/>
        </w:rPr>
        <w:t xml:space="preserve">Section 7 </w:t>
      </w:r>
      <w:r w:rsidRPr="00D14302">
        <w:rPr>
          <w:szCs w:val="24"/>
        </w:rPr>
        <w:t>specifies provisions of the general medical services table that apply in relation to item</w:t>
      </w:r>
      <w:r>
        <w:rPr>
          <w:szCs w:val="24"/>
        </w:rPr>
        <w:t>s 42</w:t>
      </w:r>
      <w:r w:rsidR="00B57966">
        <w:rPr>
          <w:szCs w:val="24"/>
        </w:rPr>
        <w:t>505</w:t>
      </w:r>
      <w:r>
        <w:rPr>
          <w:szCs w:val="24"/>
        </w:rPr>
        <w:t xml:space="preserve"> and 42</w:t>
      </w:r>
      <w:r w:rsidR="00B57966">
        <w:rPr>
          <w:szCs w:val="24"/>
        </w:rPr>
        <w:t>7</w:t>
      </w:r>
      <w:r>
        <w:rPr>
          <w:szCs w:val="24"/>
        </w:rPr>
        <w:t xml:space="preserve">05. </w:t>
      </w:r>
    </w:p>
    <w:p w14:paraId="74DB5207" w14:textId="77777777" w:rsidR="00C67460" w:rsidRDefault="00C67460" w:rsidP="00C67460">
      <w:pPr>
        <w:pStyle w:val="Header"/>
        <w:rPr>
          <w:szCs w:val="24"/>
        </w:rPr>
      </w:pPr>
    </w:p>
    <w:p w14:paraId="3E5F0FDA" w14:textId="63A05E5D" w:rsidR="005530B8" w:rsidRDefault="005530B8" w:rsidP="005530B8">
      <w:pPr>
        <w:pStyle w:val="Header"/>
        <w:rPr>
          <w:szCs w:val="24"/>
        </w:rPr>
      </w:pPr>
      <w:r>
        <w:rPr>
          <w:szCs w:val="24"/>
        </w:rPr>
        <w:t xml:space="preserve">Subsection 7(1) provides that clause </w:t>
      </w:r>
      <w:r w:rsidRPr="00D14302">
        <w:rPr>
          <w:szCs w:val="24"/>
        </w:rPr>
        <w:t xml:space="preserve">1.2.1 </w:t>
      </w:r>
      <w:r w:rsidRPr="008F1B70">
        <w:rPr>
          <w:szCs w:val="24"/>
        </w:rPr>
        <w:t>of the general medical services table shall have effect as if item 42505 and 42705 were also specified in the clause. Clause 1.2.1 provides that items do not apply to a service provided in contravention of a law of the Commonwealth, a State or Territory</w:t>
      </w:r>
      <w:r w:rsidR="00CA2CF0">
        <w:rPr>
          <w:szCs w:val="24"/>
        </w:rPr>
        <w:t>.</w:t>
      </w:r>
    </w:p>
    <w:p w14:paraId="7A53EE14" w14:textId="77777777" w:rsidR="005530B8" w:rsidRDefault="005530B8" w:rsidP="00C67460">
      <w:pPr>
        <w:pStyle w:val="Header"/>
        <w:rPr>
          <w:szCs w:val="24"/>
        </w:rPr>
      </w:pPr>
    </w:p>
    <w:p w14:paraId="1CE6C3DE" w14:textId="7BC76FBD" w:rsidR="00C67460" w:rsidRDefault="00C67460" w:rsidP="00C67460">
      <w:pPr>
        <w:pStyle w:val="Header"/>
        <w:rPr>
          <w:szCs w:val="24"/>
        </w:rPr>
      </w:pPr>
      <w:r w:rsidRPr="00B97A54">
        <w:rPr>
          <w:szCs w:val="24"/>
        </w:rPr>
        <w:t>Subsection</w:t>
      </w:r>
      <w:r>
        <w:rPr>
          <w:szCs w:val="24"/>
        </w:rPr>
        <w:t xml:space="preserve"> 7(</w:t>
      </w:r>
      <w:r w:rsidR="005530B8">
        <w:rPr>
          <w:szCs w:val="24"/>
        </w:rPr>
        <w:t>2</w:t>
      </w:r>
      <w:r>
        <w:rPr>
          <w:szCs w:val="24"/>
        </w:rPr>
        <w:t>) provides that clause 1.2.5 of the general medical services table shall have effect as if items 42</w:t>
      </w:r>
      <w:r w:rsidR="00B57966">
        <w:rPr>
          <w:szCs w:val="24"/>
        </w:rPr>
        <w:t>5</w:t>
      </w:r>
      <w:r>
        <w:rPr>
          <w:szCs w:val="24"/>
        </w:rPr>
        <w:t>05 and 42</w:t>
      </w:r>
      <w:r w:rsidR="00B57966">
        <w:rPr>
          <w:szCs w:val="24"/>
        </w:rPr>
        <w:t>7</w:t>
      </w:r>
      <w:r>
        <w:rPr>
          <w:szCs w:val="24"/>
        </w:rPr>
        <w:t xml:space="preserve">05 </w:t>
      </w:r>
      <w:r w:rsidRPr="00D14302">
        <w:rPr>
          <w:szCs w:val="24"/>
        </w:rPr>
        <w:t>were also specified in subclause 1.2.5(1).</w:t>
      </w:r>
      <w:r w:rsidR="00DF73B9">
        <w:rPr>
          <w:szCs w:val="24"/>
        </w:rPr>
        <w:t xml:space="preserve">  Clause 1.2.5 </w:t>
      </w:r>
      <w:r w:rsidR="00B57966">
        <w:rPr>
          <w:szCs w:val="24"/>
        </w:rPr>
        <w:t>prescribes</w:t>
      </w:r>
      <w:r w:rsidR="00DF73B9">
        <w:rPr>
          <w:szCs w:val="24"/>
        </w:rPr>
        <w:t xml:space="preserve"> services that </w:t>
      </w:r>
      <w:r w:rsidR="00B57966">
        <w:rPr>
          <w:szCs w:val="24"/>
        </w:rPr>
        <w:t>must be</w:t>
      </w:r>
      <w:r w:rsidR="00DF73B9">
        <w:rPr>
          <w:szCs w:val="24"/>
        </w:rPr>
        <w:t xml:space="preserve"> provided </w:t>
      </w:r>
      <w:r w:rsidR="008E22E8">
        <w:rPr>
          <w:szCs w:val="24"/>
        </w:rPr>
        <w:t xml:space="preserve">in the course of a personal attendance </w:t>
      </w:r>
      <w:r w:rsidR="002F3A75">
        <w:rPr>
          <w:szCs w:val="24"/>
        </w:rPr>
        <w:t>by</w:t>
      </w:r>
      <w:r w:rsidR="00DF73B9">
        <w:rPr>
          <w:szCs w:val="24"/>
        </w:rPr>
        <w:t xml:space="preserve"> </w:t>
      </w:r>
      <w:r w:rsidR="00DF73B9" w:rsidRPr="00DF73B9">
        <w:rPr>
          <w:szCs w:val="24"/>
        </w:rPr>
        <w:t>a single medical practitioner on a single patient on a single occasion.</w:t>
      </w:r>
    </w:p>
    <w:p w14:paraId="28E8B4C6" w14:textId="77777777" w:rsidR="00C67460" w:rsidRDefault="00C67460" w:rsidP="00C67460">
      <w:pPr>
        <w:pStyle w:val="Header"/>
        <w:rPr>
          <w:szCs w:val="24"/>
        </w:rPr>
      </w:pPr>
    </w:p>
    <w:p w14:paraId="646E8C33" w14:textId="58958DF0" w:rsidR="00B57966" w:rsidRDefault="00C67460" w:rsidP="00C67460">
      <w:pPr>
        <w:pStyle w:val="Header"/>
        <w:rPr>
          <w:szCs w:val="24"/>
        </w:rPr>
      </w:pPr>
      <w:r>
        <w:rPr>
          <w:szCs w:val="24"/>
        </w:rPr>
        <w:t>Subsection 7(</w:t>
      </w:r>
      <w:r w:rsidR="005530B8">
        <w:rPr>
          <w:szCs w:val="24"/>
        </w:rPr>
        <w:t>3</w:t>
      </w:r>
      <w:r>
        <w:rPr>
          <w:szCs w:val="24"/>
        </w:rPr>
        <w:t xml:space="preserve">) provides that clause </w:t>
      </w:r>
      <w:r w:rsidRPr="00D14302">
        <w:rPr>
          <w:szCs w:val="24"/>
        </w:rPr>
        <w:t>1.2.6 of the general medical services table shall have effect as if item 42</w:t>
      </w:r>
      <w:r w:rsidR="008F1B70">
        <w:rPr>
          <w:szCs w:val="24"/>
        </w:rPr>
        <w:t>5</w:t>
      </w:r>
      <w:r w:rsidRPr="00D14302">
        <w:rPr>
          <w:szCs w:val="24"/>
        </w:rPr>
        <w:t>05 and 42</w:t>
      </w:r>
      <w:r w:rsidR="008F1B70">
        <w:rPr>
          <w:szCs w:val="24"/>
        </w:rPr>
        <w:t>7</w:t>
      </w:r>
      <w:r w:rsidRPr="00D14302">
        <w:rPr>
          <w:szCs w:val="24"/>
        </w:rPr>
        <w:t>05 were also specified in subclause 1.2.6(1).</w:t>
      </w:r>
      <w:r w:rsidR="0014661F">
        <w:rPr>
          <w:szCs w:val="24"/>
        </w:rPr>
        <w:t xml:space="preserve"> </w:t>
      </w:r>
      <w:r w:rsidR="00B57966" w:rsidRPr="00B57966">
        <w:rPr>
          <w:szCs w:val="24"/>
        </w:rPr>
        <w:t xml:space="preserve">Clause 1.2.6 </w:t>
      </w:r>
      <w:r w:rsidR="00B03AFA">
        <w:rPr>
          <w:szCs w:val="24"/>
        </w:rPr>
        <w:t>prescribes requirements</w:t>
      </w:r>
      <w:r w:rsidR="005057AB">
        <w:rPr>
          <w:szCs w:val="24"/>
        </w:rPr>
        <w:t xml:space="preserve"> relating to the personal attendance of the medical practitioner when providing the service</w:t>
      </w:r>
      <w:r w:rsidR="00B57966" w:rsidRPr="00B57966">
        <w:rPr>
          <w:szCs w:val="24"/>
        </w:rPr>
        <w:t>.</w:t>
      </w:r>
    </w:p>
    <w:p w14:paraId="6C98C994" w14:textId="77777777" w:rsidR="00B57966" w:rsidRDefault="00B57966" w:rsidP="00C67460">
      <w:pPr>
        <w:pStyle w:val="Header"/>
        <w:rPr>
          <w:szCs w:val="24"/>
        </w:rPr>
      </w:pPr>
    </w:p>
    <w:p w14:paraId="61091C1F" w14:textId="2E9A032A" w:rsidR="00C67460" w:rsidRDefault="008F1B70" w:rsidP="00C67460">
      <w:pPr>
        <w:pStyle w:val="Header"/>
        <w:rPr>
          <w:szCs w:val="24"/>
        </w:rPr>
      </w:pPr>
      <w:r>
        <w:rPr>
          <w:szCs w:val="24"/>
        </w:rPr>
        <w:t xml:space="preserve">Subsection 7(4) provides that clause </w:t>
      </w:r>
      <w:r w:rsidR="00C67460" w:rsidRPr="00D14302">
        <w:rPr>
          <w:szCs w:val="24"/>
        </w:rPr>
        <w:t>2.45.2 of the general medical services table shall have effect as if item 42</w:t>
      </w:r>
      <w:r>
        <w:rPr>
          <w:szCs w:val="24"/>
        </w:rPr>
        <w:t>5</w:t>
      </w:r>
      <w:r w:rsidR="00C67460" w:rsidRPr="00D14302">
        <w:rPr>
          <w:szCs w:val="24"/>
        </w:rPr>
        <w:t>05 and 42</w:t>
      </w:r>
      <w:r>
        <w:rPr>
          <w:szCs w:val="24"/>
        </w:rPr>
        <w:t>7</w:t>
      </w:r>
      <w:r w:rsidR="00C67460" w:rsidRPr="00D14302">
        <w:rPr>
          <w:szCs w:val="24"/>
        </w:rPr>
        <w:t>05 were also specified in the clause.</w:t>
      </w:r>
      <w:r w:rsidR="0014661F">
        <w:rPr>
          <w:szCs w:val="24"/>
        </w:rPr>
        <w:t xml:space="preserve"> Clause 2.45.2 provides that an item in Group T8 of the general medical services table does not apply if the </w:t>
      </w:r>
      <w:r w:rsidR="0014661F" w:rsidRPr="0014661F">
        <w:rPr>
          <w:szCs w:val="24"/>
        </w:rPr>
        <w:t>service is provided at the same time as, or in connection with, the provision of a pain pump for post</w:t>
      </w:r>
      <w:r w:rsidR="0014661F" w:rsidRPr="0014661F">
        <w:rPr>
          <w:rFonts w:ascii="MS Mincho" w:eastAsia="MS Mincho" w:hAnsi="MS Mincho" w:cs="MS Mincho" w:hint="eastAsia"/>
          <w:szCs w:val="24"/>
        </w:rPr>
        <w:t>‑</w:t>
      </w:r>
      <w:r w:rsidR="0014661F" w:rsidRPr="0014661F">
        <w:rPr>
          <w:szCs w:val="24"/>
        </w:rPr>
        <w:t>surgical pain management.</w:t>
      </w:r>
    </w:p>
    <w:p w14:paraId="3588C8D9" w14:textId="77777777" w:rsidR="00C67460" w:rsidRDefault="00C67460" w:rsidP="00C67460">
      <w:pPr>
        <w:pStyle w:val="Header"/>
        <w:rPr>
          <w:szCs w:val="24"/>
        </w:rPr>
      </w:pPr>
    </w:p>
    <w:p w14:paraId="1D6833D2" w14:textId="7B0E3EB1" w:rsidR="007D6DE0" w:rsidRDefault="00C67460" w:rsidP="00C67460">
      <w:pPr>
        <w:pStyle w:val="Header"/>
        <w:rPr>
          <w:szCs w:val="24"/>
        </w:rPr>
      </w:pPr>
      <w:r>
        <w:rPr>
          <w:szCs w:val="24"/>
        </w:rPr>
        <w:t>Subsection 7(</w:t>
      </w:r>
      <w:r w:rsidR="008F1B70">
        <w:rPr>
          <w:szCs w:val="24"/>
        </w:rPr>
        <w:t>5</w:t>
      </w:r>
      <w:r>
        <w:rPr>
          <w:szCs w:val="24"/>
        </w:rPr>
        <w:t xml:space="preserve">) provides a table that specifies in column 1 an item </w:t>
      </w:r>
      <w:r w:rsidRPr="00D14302">
        <w:rPr>
          <w:szCs w:val="24"/>
        </w:rPr>
        <w:t xml:space="preserve">of the general medical services table </w:t>
      </w:r>
      <w:r>
        <w:rPr>
          <w:szCs w:val="24"/>
        </w:rPr>
        <w:t>that</w:t>
      </w:r>
      <w:r w:rsidRPr="00D14302">
        <w:rPr>
          <w:szCs w:val="24"/>
        </w:rPr>
        <w:t xml:space="preserve"> shall have effect as if </w:t>
      </w:r>
      <w:r w:rsidR="005057AB">
        <w:rPr>
          <w:szCs w:val="24"/>
        </w:rPr>
        <w:t>its</w:t>
      </w:r>
      <w:r w:rsidRPr="00D14302">
        <w:rPr>
          <w:szCs w:val="24"/>
        </w:rPr>
        <w:t xml:space="preserve"> reference to a medical service or item, as appropriate, </w:t>
      </w:r>
      <w:r>
        <w:rPr>
          <w:szCs w:val="24"/>
        </w:rPr>
        <w:t xml:space="preserve">that is specified in </w:t>
      </w:r>
      <w:r w:rsidRPr="00D14302">
        <w:rPr>
          <w:szCs w:val="24"/>
        </w:rPr>
        <w:t>column 2 of the table</w:t>
      </w:r>
      <w:r>
        <w:rPr>
          <w:szCs w:val="24"/>
        </w:rPr>
        <w:t xml:space="preserve">, included as </w:t>
      </w:r>
      <w:r w:rsidRPr="00D14302">
        <w:rPr>
          <w:szCs w:val="24"/>
        </w:rPr>
        <w:t xml:space="preserve">a reference to the health service or item that relates to the health service </w:t>
      </w:r>
      <w:r>
        <w:rPr>
          <w:szCs w:val="24"/>
        </w:rPr>
        <w:t xml:space="preserve">that is specified in </w:t>
      </w:r>
      <w:r w:rsidRPr="00D14302">
        <w:rPr>
          <w:szCs w:val="24"/>
        </w:rPr>
        <w:t>column 3 of the table.</w:t>
      </w:r>
      <w:r w:rsidR="00DD23D7">
        <w:rPr>
          <w:szCs w:val="24"/>
        </w:rPr>
        <w:t xml:space="preserve"> </w:t>
      </w:r>
      <w:r w:rsidR="007D6DE0">
        <w:rPr>
          <w:szCs w:val="24"/>
        </w:rPr>
        <w:t>This table specifies that:</w:t>
      </w:r>
    </w:p>
    <w:p w14:paraId="588F67C2" w14:textId="6C880CE0" w:rsidR="007D6DE0" w:rsidRDefault="00DD23D7" w:rsidP="007D6DE0">
      <w:pPr>
        <w:pStyle w:val="Header"/>
        <w:numPr>
          <w:ilvl w:val="0"/>
          <w:numId w:val="30"/>
        </w:numPr>
        <w:rPr>
          <w:szCs w:val="24"/>
        </w:rPr>
      </w:pPr>
      <w:r>
        <w:rPr>
          <w:szCs w:val="24"/>
        </w:rPr>
        <w:t>item</w:t>
      </w:r>
      <w:r w:rsidR="005530B8">
        <w:rPr>
          <w:szCs w:val="24"/>
        </w:rPr>
        <w:t>s</w:t>
      </w:r>
      <w:r>
        <w:rPr>
          <w:szCs w:val="24"/>
        </w:rPr>
        <w:t xml:space="preserve"> 42719, 42731, 42789, 45051 </w:t>
      </w:r>
      <w:r w:rsidR="00045D06">
        <w:rPr>
          <w:szCs w:val="24"/>
        </w:rPr>
        <w:t>and</w:t>
      </w:r>
      <w:r>
        <w:rPr>
          <w:szCs w:val="24"/>
        </w:rPr>
        <w:t xml:space="preserve"> 45572</w:t>
      </w:r>
      <w:r w:rsidR="005530B8">
        <w:rPr>
          <w:szCs w:val="24"/>
        </w:rPr>
        <w:t xml:space="preserve"> cannot be co-claimed with item 42705</w:t>
      </w:r>
      <w:r w:rsidR="007D6DE0">
        <w:rPr>
          <w:szCs w:val="24"/>
        </w:rPr>
        <w:t>;</w:t>
      </w:r>
    </w:p>
    <w:p w14:paraId="59487B96" w14:textId="03E51CDC" w:rsidR="007D6DE0" w:rsidRDefault="00DD23D7" w:rsidP="007D6DE0">
      <w:pPr>
        <w:pStyle w:val="Header"/>
        <w:numPr>
          <w:ilvl w:val="0"/>
          <w:numId w:val="30"/>
        </w:numPr>
        <w:rPr>
          <w:szCs w:val="24"/>
        </w:rPr>
      </w:pPr>
      <w:r>
        <w:rPr>
          <w:szCs w:val="24"/>
        </w:rPr>
        <w:t xml:space="preserve">item 45051 </w:t>
      </w:r>
      <w:r w:rsidR="00C1324F">
        <w:rPr>
          <w:szCs w:val="24"/>
        </w:rPr>
        <w:t>c</w:t>
      </w:r>
      <w:r w:rsidR="005530B8">
        <w:rPr>
          <w:szCs w:val="24"/>
        </w:rPr>
        <w:t>annot be co-claimed with item 42505</w:t>
      </w:r>
      <w:r w:rsidR="007D6DE0">
        <w:rPr>
          <w:szCs w:val="24"/>
        </w:rPr>
        <w:t>; and</w:t>
      </w:r>
    </w:p>
    <w:p w14:paraId="0191D1B8" w14:textId="1B00C3E6" w:rsidR="00500524" w:rsidRPr="00CE7141" w:rsidRDefault="008524CD" w:rsidP="008524CD">
      <w:pPr>
        <w:pStyle w:val="Header"/>
        <w:numPr>
          <w:ilvl w:val="0"/>
          <w:numId w:val="30"/>
        </w:numPr>
        <w:rPr>
          <w:szCs w:val="24"/>
        </w:rPr>
      </w:pPr>
      <w:r w:rsidRPr="008524CD">
        <w:rPr>
          <w:szCs w:val="24"/>
        </w:rPr>
        <w:t>Item 51315 can be claimed for assistance at an operation when a cataract and intraocular lens surgery (42698, 42701, 42702, 42704 or 42707) is performed in association with other ophthalmology services specified in items 42551 to 42569, 42653, 42656, 42725, 42746, 42749, 42752, 42776 or 42779. Item 42705 will be treated as if it was a specified cataract and intraocular lens surgery item.</w:t>
      </w:r>
    </w:p>
    <w:p w14:paraId="52D0B06F" w14:textId="2B1C70BC" w:rsidR="005C7504" w:rsidRPr="004A6A64" w:rsidRDefault="00500524" w:rsidP="004A6A64">
      <w:pPr>
        <w:shd w:val="clear" w:color="auto" w:fill="FFFFFF"/>
        <w:spacing w:before="100" w:beforeAutospacing="1" w:after="100" w:afterAutospacing="1"/>
        <w:rPr>
          <w:szCs w:val="24"/>
          <w:u w:val="single"/>
        </w:rPr>
      </w:pPr>
      <w:r w:rsidRPr="004A6A64">
        <w:rPr>
          <w:szCs w:val="24"/>
          <w:u w:val="single"/>
        </w:rPr>
        <w:t>Schedule</w:t>
      </w:r>
      <w:r w:rsidR="00E10728" w:rsidRPr="004A6A64">
        <w:rPr>
          <w:szCs w:val="24"/>
          <w:u w:val="single"/>
        </w:rPr>
        <w:t xml:space="preserve"> 1</w:t>
      </w:r>
      <w:r w:rsidRPr="004A6A64">
        <w:rPr>
          <w:szCs w:val="24"/>
          <w:u w:val="single"/>
        </w:rPr>
        <w:t xml:space="preserve"> – Relevant services</w:t>
      </w:r>
    </w:p>
    <w:p w14:paraId="58A22C54" w14:textId="77777777" w:rsidR="004A6A64" w:rsidRPr="007D6DE0" w:rsidRDefault="004A6A64" w:rsidP="004A6A64">
      <w:pPr>
        <w:pStyle w:val="Header"/>
        <w:rPr>
          <w:szCs w:val="24"/>
        </w:rPr>
      </w:pPr>
      <w:r>
        <w:rPr>
          <w:szCs w:val="24"/>
        </w:rPr>
        <w:t>The Schedule specifies the services and the</w:t>
      </w:r>
      <w:r w:rsidRPr="00500524">
        <w:rPr>
          <w:szCs w:val="24"/>
        </w:rPr>
        <w:t xml:space="preserve"> associated fees for items</w:t>
      </w:r>
      <w:r>
        <w:rPr>
          <w:szCs w:val="24"/>
        </w:rPr>
        <w:t xml:space="preserve"> 42705 and 42505. </w:t>
      </w:r>
    </w:p>
    <w:p w14:paraId="034B439C" w14:textId="77777777" w:rsidR="00C67460" w:rsidRDefault="00C67460" w:rsidP="00C67460">
      <w:pPr>
        <w:spacing w:after="200" w:line="276" w:lineRule="auto"/>
        <w:rPr>
          <w:b/>
          <w:sz w:val="28"/>
          <w:szCs w:val="28"/>
        </w:rPr>
      </w:pPr>
      <w:r>
        <w:rPr>
          <w:b/>
          <w:sz w:val="28"/>
          <w:szCs w:val="28"/>
        </w:rPr>
        <w:br w:type="page"/>
      </w:r>
    </w:p>
    <w:p w14:paraId="796D727D" w14:textId="77777777" w:rsidR="00C67460" w:rsidRPr="00B86A9F" w:rsidRDefault="00C67460" w:rsidP="00C67460">
      <w:pPr>
        <w:spacing w:before="360" w:after="120"/>
        <w:jc w:val="center"/>
        <w:rPr>
          <w:b/>
          <w:sz w:val="28"/>
          <w:szCs w:val="28"/>
        </w:rPr>
      </w:pPr>
      <w:r w:rsidRPr="00B86A9F">
        <w:rPr>
          <w:b/>
          <w:sz w:val="28"/>
          <w:szCs w:val="28"/>
        </w:rPr>
        <w:lastRenderedPageBreak/>
        <w:t>Statement of Compatibility with Human Rights</w:t>
      </w:r>
    </w:p>
    <w:p w14:paraId="76CE15CD" w14:textId="77777777" w:rsidR="00C67460" w:rsidRPr="00B86A9F" w:rsidRDefault="00C67460" w:rsidP="00C67460">
      <w:pPr>
        <w:spacing w:before="120" w:after="120"/>
        <w:jc w:val="center"/>
        <w:rPr>
          <w:szCs w:val="24"/>
        </w:rPr>
      </w:pPr>
      <w:r w:rsidRPr="00B86A9F">
        <w:rPr>
          <w:i/>
          <w:szCs w:val="24"/>
        </w:rPr>
        <w:t>Prepared in accordance with Part 3 of the Human Rights (Parliamentary Scrutiny) Act 2011</w:t>
      </w:r>
    </w:p>
    <w:p w14:paraId="5B275BEC" w14:textId="77777777" w:rsidR="00C67460" w:rsidRPr="00B86A9F" w:rsidRDefault="00C67460" w:rsidP="00C67460">
      <w:pPr>
        <w:spacing w:before="120" w:after="120"/>
        <w:jc w:val="center"/>
        <w:rPr>
          <w:szCs w:val="24"/>
        </w:rPr>
      </w:pPr>
    </w:p>
    <w:p w14:paraId="0FFE4FB8" w14:textId="7DF5742A" w:rsidR="00C67460" w:rsidRPr="00FD602D" w:rsidRDefault="00C67460" w:rsidP="0093356F">
      <w:pPr>
        <w:jc w:val="center"/>
        <w:rPr>
          <w:b/>
          <w:i/>
          <w:szCs w:val="24"/>
        </w:rPr>
      </w:pPr>
      <w:r w:rsidRPr="006B26FC">
        <w:rPr>
          <w:b/>
          <w:i/>
          <w:iCs/>
        </w:rPr>
        <w:t xml:space="preserve">Health Insurance (Section 3C General Medical Services – MIGS </w:t>
      </w:r>
      <w:r w:rsidR="00C7631D">
        <w:rPr>
          <w:b/>
          <w:i/>
          <w:iCs/>
        </w:rPr>
        <w:t>S</w:t>
      </w:r>
      <w:r w:rsidRPr="006B26FC">
        <w:rPr>
          <w:b/>
          <w:i/>
          <w:iCs/>
        </w:rPr>
        <w:t xml:space="preserve">tent </w:t>
      </w:r>
      <w:r w:rsidR="00C7631D">
        <w:rPr>
          <w:b/>
          <w:i/>
          <w:iCs/>
        </w:rPr>
        <w:t>I</w:t>
      </w:r>
      <w:r w:rsidRPr="006B26FC">
        <w:rPr>
          <w:b/>
          <w:i/>
          <w:iCs/>
        </w:rPr>
        <w:t>mplantation) Determination 2018</w:t>
      </w:r>
      <w:r w:rsidRPr="00FD602D">
        <w:rPr>
          <w:b/>
          <w:i/>
          <w:szCs w:val="24"/>
        </w:rPr>
        <w:br/>
      </w:r>
    </w:p>
    <w:p w14:paraId="2A44F74C" w14:textId="77777777" w:rsidR="00C67460" w:rsidRPr="00B86A9F" w:rsidRDefault="00C67460" w:rsidP="00C67460">
      <w:pPr>
        <w:jc w:val="center"/>
        <w:rPr>
          <w:szCs w:val="24"/>
        </w:rPr>
      </w:pPr>
      <w:r w:rsidRPr="00B86A9F">
        <w:rPr>
          <w:szCs w:val="24"/>
        </w:rPr>
        <w:t xml:space="preserve">This Determination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32CFF3F4" w14:textId="77777777" w:rsidR="00C67460" w:rsidRPr="00EB601D" w:rsidRDefault="00C67460" w:rsidP="00C67460">
      <w:pPr>
        <w:jc w:val="center"/>
        <w:rPr>
          <w:szCs w:val="24"/>
          <w:highlight w:val="yellow"/>
        </w:rPr>
      </w:pPr>
    </w:p>
    <w:p w14:paraId="6ECEAD35" w14:textId="77777777" w:rsidR="00C67460" w:rsidRPr="00B86A9F" w:rsidRDefault="00C67460" w:rsidP="00C67460">
      <w:pPr>
        <w:spacing w:before="120" w:after="120"/>
        <w:rPr>
          <w:b/>
          <w:szCs w:val="24"/>
        </w:rPr>
      </w:pPr>
      <w:r w:rsidRPr="00B86A9F">
        <w:rPr>
          <w:b/>
          <w:szCs w:val="24"/>
        </w:rPr>
        <w:t>Overview of the Determination</w:t>
      </w:r>
    </w:p>
    <w:p w14:paraId="09D7B4BB" w14:textId="033133E7" w:rsidR="00C67460" w:rsidRDefault="00C67460" w:rsidP="00C67460">
      <w:pPr>
        <w:rPr>
          <w:szCs w:val="24"/>
        </w:rPr>
      </w:pPr>
      <w:r w:rsidRPr="00CD4A21">
        <w:rPr>
          <w:szCs w:val="24"/>
        </w:rPr>
        <w:t xml:space="preserve">The </w:t>
      </w:r>
      <w:r>
        <w:rPr>
          <w:szCs w:val="24"/>
        </w:rPr>
        <w:t xml:space="preserve">purpose of the </w:t>
      </w:r>
      <w:r w:rsidRPr="00D5274F">
        <w:rPr>
          <w:i/>
          <w:iCs/>
        </w:rPr>
        <w:t xml:space="preserve">Health Insurance (Section 3C General Medical Services – MIGS </w:t>
      </w:r>
      <w:r w:rsidR="00796EBD">
        <w:rPr>
          <w:i/>
          <w:iCs/>
        </w:rPr>
        <w:t>S</w:t>
      </w:r>
      <w:r w:rsidRPr="00D5274F">
        <w:rPr>
          <w:i/>
          <w:iCs/>
        </w:rPr>
        <w:t xml:space="preserve">tent </w:t>
      </w:r>
      <w:r w:rsidR="00796EBD">
        <w:rPr>
          <w:i/>
          <w:iCs/>
        </w:rPr>
        <w:t>I</w:t>
      </w:r>
      <w:r w:rsidRPr="00D5274F">
        <w:rPr>
          <w:i/>
          <w:iCs/>
        </w:rPr>
        <w:t xml:space="preserve">mplantation) Determination 2018 </w:t>
      </w:r>
      <w:r>
        <w:rPr>
          <w:szCs w:val="24"/>
        </w:rPr>
        <w:t xml:space="preserve">(the Determination) is to permanently list item </w:t>
      </w:r>
      <w:r w:rsidRPr="00DC6F5E">
        <w:rPr>
          <w:szCs w:val="24"/>
        </w:rPr>
        <w:t>42705</w:t>
      </w:r>
      <w:r>
        <w:rPr>
          <w:szCs w:val="24"/>
        </w:rPr>
        <w:t>, which is for</w:t>
      </w:r>
      <w:r w:rsidRPr="00DC6F5E">
        <w:rPr>
          <w:szCs w:val="24"/>
        </w:rPr>
        <w:t xml:space="preserve"> micro-invasive glaucoma surgery (MIGS) stent implantation for open-angle glaucoma</w:t>
      </w:r>
      <w:r>
        <w:rPr>
          <w:szCs w:val="24"/>
        </w:rPr>
        <w:t xml:space="preserve">, </w:t>
      </w:r>
      <w:r w:rsidR="005530B8">
        <w:rPr>
          <w:szCs w:val="24"/>
        </w:rPr>
        <w:t xml:space="preserve">with a higher fee, </w:t>
      </w:r>
      <w:r>
        <w:rPr>
          <w:szCs w:val="24"/>
        </w:rPr>
        <w:t xml:space="preserve">and to list a new item 42505 for </w:t>
      </w:r>
      <w:r w:rsidRPr="00DC6F5E">
        <w:rPr>
          <w:szCs w:val="24"/>
        </w:rPr>
        <w:t>the removal of MIGS devices</w:t>
      </w:r>
      <w:r>
        <w:rPr>
          <w:szCs w:val="24"/>
        </w:rPr>
        <w:t>.</w:t>
      </w:r>
      <w:r w:rsidR="00AD327D">
        <w:rPr>
          <w:szCs w:val="24"/>
        </w:rPr>
        <w:t xml:space="preserve"> The Government announced this service in the </w:t>
      </w:r>
      <w:r w:rsidR="00AD327D" w:rsidRPr="001C261D">
        <w:rPr>
          <w:szCs w:val="24"/>
        </w:rPr>
        <w:t xml:space="preserve">2018-19 Budget under the </w:t>
      </w:r>
      <w:r w:rsidR="00AD327D" w:rsidRPr="001C261D">
        <w:rPr>
          <w:i/>
          <w:szCs w:val="24"/>
        </w:rPr>
        <w:t xml:space="preserve">Guaranteeing Medicare – Medicare Benefits Schedule – New and Amended Listings </w:t>
      </w:r>
      <w:r w:rsidR="00AD327D">
        <w:rPr>
          <w:szCs w:val="24"/>
        </w:rPr>
        <w:t>measure.</w:t>
      </w:r>
    </w:p>
    <w:p w14:paraId="6CF1FB14" w14:textId="026BCCC7" w:rsidR="00C67460" w:rsidRPr="00B86A9F" w:rsidRDefault="00C67460" w:rsidP="00C67460">
      <w:pPr>
        <w:spacing w:before="120" w:after="120"/>
        <w:rPr>
          <w:b/>
          <w:szCs w:val="24"/>
        </w:rPr>
      </w:pPr>
      <w:r w:rsidRPr="00B86A9F">
        <w:rPr>
          <w:b/>
          <w:szCs w:val="24"/>
        </w:rPr>
        <w:t>Human rights implications</w:t>
      </w:r>
    </w:p>
    <w:p w14:paraId="1A3A32E4" w14:textId="77777777" w:rsidR="00C67460" w:rsidRPr="00B86A9F" w:rsidRDefault="00C67460" w:rsidP="00C67460">
      <w:pPr>
        <w:spacing w:before="120" w:after="120"/>
        <w:rPr>
          <w:szCs w:val="24"/>
        </w:rPr>
      </w:pPr>
      <w:r w:rsidRPr="00B86A9F">
        <w:rPr>
          <w:szCs w:val="24"/>
        </w:rPr>
        <w:t>Th</w:t>
      </w:r>
      <w:r>
        <w:rPr>
          <w:szCs w:val="24"/>
        </w:rPr>
        <w:t>is</w:t>
      </w:r>
      <w:r w:rsidRPr="00B86A9F">
        <w:rPr>
          <w:szCs w:val="24"/>
        </w:rPr>
        <w:t xml:space="preserve"> Determination engages Articles 9 and 12 of the International Covenant on Economic Social and Cultural Rights (ICESCR), specifically the rights to health and social security. </w:t>
      </w:r>
    </w:p>
    <w:p w14:paraId="4F9408A4" w14:textId="77777777" w:rsidR="00C67460" w:rsidRPr="00B86A9F" w:rsidRDefault="00C67460" w:rsidP="00C67460">
      <w:pPr>
        <w:spacing w:before="120" w:after="120"/>
        <w:rPr>
          <w:i/>
          <w:szCs w:val="24"/>
        </w:rPr>
      </w:pPr>
      <w:r w:rsidRPr="00B86A9F">
        <w:rPr>
          <w:i/>
          <w:szCs w:val="24"/>
        </w:rPr>
        <w:t>The Right to Health</w:t>
      </w:r>
    </w:p>
    <w:p w14:paraId="7D1C5FE7" w14:textId="77777777" w:rsidR="00C67460" w:rsidRPr="00B86A9F" w:rsidRDefault="00C67460" w:rsidP="00C67460">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4982970" w14:textId="77777777" w:rsidR="00C67460" w:rsidRPr="00B86A9F" w:rsidRDefault="00C67460" w:rsidP="00C67460">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1C7A8595" w14:textId="77777777" w:rsidR="00C67460" w:rsidRPr="00B86A9F" w:rsidRDefault="00C67460" w:rsidP="00C67460">
      <w:pPr>
        <w:spacing w:before="120" w:after="120"/>
        <w:rPr>
          <w:i/>
          <w:szCs w:val="24"/>
        </w:rPr>
      </w:pPr>
      <w:r w:rsidRPr="00B86A9F">
        <w:rPr>
          <w:i/>
          <w:szCs w:val="24"/>
        </w:rPr>
        <w:t xml:space="preserve">The Right to Social Security </w:t>
      </w:r>
    </w:p>
    <w:p w14:paraId="23635B14" w14:textId="77777777" w:rsidR="00C67460" w:rsidRPr="00B86A9F" w:rsidRDefault="00C67460" w:rsidP="00C67460">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5A9DFB7" w14:textId="77777777" w:rsidR="00C67460" w:rsidRPr="00B86A9F" w:rsidRDefault="00C67460" w:rsidP="00C67460">
      <w:pPr>
        <w:spacing w:before="120" w:after="120"/>
        <w:rPr>
          <w:szCs w:val="24"/>
        </w:rPr>
      </w:pPr>
      <w:r w:rsidRPr="00B86A9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0F833F7" w14:textId="11A0D03B" w:rsidR="00C67460" w:rsidRPr="00B86A9F" w:rsidRDefault="00567C1B" w:rsidP="00AD327D">
      <w:pPr>
        <w:spacing w:after="200" w:line="276" w:lineRule="auto"/>
        <w:rPr>
          <w:szCs w:val="24"/>
          <w:u w:val="single"/>
        </w:rPr>
      </w:pPr>
      <w:r>
        <w:rPr>
          <w:szCs w:val="24"/>
          <w:u w:val="single"/>
        </w:rPr>
        <w:br w:type="page"/>
      </w:r>
      <w:r w:rsidR="00C67460" w:rsidRPr="00B86A9F">
        <w:rPr>
          <w:szCs w:val="24"/>
          <w:u w:val="single"/>
        </w:rPr>
        <w:lastRenderedPageBreak/>
        <w:t xml:space="preserve">Analysis </w:t>
      </w:r>
    </w:p>
    <w:p w14:paraId="5CEE6551" w14:textId="396C920B" w:rsidR="00C67460" w:rsidRDefault="00C67460" w:rsidP="00C67460">
      <w:pPr>
        <w:rPr>
          <w:szCs w:val="24"/>
        </w:rPr>
      </w:pPr>
      <w:r w:rsidRPr="00B86A9F">
        <w:rPr>
          <w:szCs w:val="24"/>
        </w:rPr>
        <w:t>This Determination will advance rights to health and social security by ensuring access to publicly subsidised health services which are clinically effective, safe and cost-effective.</w:t>
      </w:r>
      <w:r>
        <w:rPr>
          <w:szCs w:val="24"/>
        </w:rPr>
        <w:t xml:space="preserve"> </w:t>
      </w:r>
    </w:p>
    <w:p w14:paraId="40B1C56B" w14:textId="77777777" w:rsidR="00C67460" w:rsidRDefault="00C67460" w:rsidP="00C67460">
      <w:pPr>
        <w:rPr>
          <w:szCs w:val="24"/>
        </w:rPr>
      </w:pPr>
    </w:p>
    <w:p w14:paraId="7EEF7069" w14:textId="77777777" w:rsidR="00C67460" w:rsidRPr="00B86A9F" w:rsidRDefault="00C67460" w:rsidP="00C67460">
      <w:pPr>
        <w:spacing w:before="120" w:after="120" w:line="276" w:lineRule="auto"/>
        <w:rPr>
          <w:rFonts w:eastAsia="Calibri"/>
          <w:b/>
          <w:szCs w:val="24"/>
          <w:lang w:eastAsia="en-US"/>
        </w:rPr>
      </w:pPr>
      <w:r w:rsidRPr="00B86A9F">
        <w:rPr>
          <w:rFonts w:eastAsia="Calibri"/>
          <w:b/>
          <w:szCs w:val="24"/>
          <w:lang w:eastAsia="en-US"/>
        </w:rPr>
        <w:t xml:space="preserve">Conclusion </w:t>
      </w:r>
    </w:p>
    <w:p w14:paraId="42B8647B" w14:textId="77777777" w:rsidR="00C67460" w:rsidRPr="00B86A9F" w:rsidRDefault="00C67460" w:rsidP="00C67460">
      <w:pPr>
        <w:rPr>
          <w:szCs w:val="24"/>
        </w:rPr>
      </w:pPr>
      <w:r w:rsidRPr="00B86A9F">
        <w:rPr>
          <w:szCs w:val="24"/>
        </w:rPr>
        <w:t xml:space="preserve">This </w:t>
      </w:r>
      <w:r>
        <w:rPr>
          <w:szCs w:val="24"/>
        </w:rPr>
        <w:t>Determination</w:t>
      </w:r>
      <w:r w:rsidRPr="00B86A9F">
        <w:rPr>
          <w:szCs w:val="24"/>
        </w:rPr>
        <w:t xml:space="preserve"> is compatible with human rights as it has a positive effect on </w:t>
      </w:r>
      <w:r>
        <w:rPr>
          <w:szCs w:val="24"/>
        </w:rPr>
        <w:t xml:space="preserve">the right to health and the right to social security. </w:t>
      </w:r>
    </w:p>
    <w:p w14:paraId="36F39195" w14:textId="77777777" w:rsidR="00C67460" w:rsidRPr="00B86A9F" w:rsidRDefault="00C67460" w:rsidP="00C67460">
      <w:pPr>
        <w:rPr>
          <w:rFonts w:eastAsia="Calibri"/>
          <w:szCs w:val="24"/>
          <w:lang w:eastAsia="en-US"/>
        </w:rPr>
      </w:pPr>
    </w:p>
    <w:p w14:paraId="3924E53C" w14:textId="41121B90" w:rsidR="00C67460" w:rsidRDefault="00611763" w:rsidP="008A7735">
      <w:pPr>
        <w:jc w:val="center"/>
        <w:rPr>
          <w:b/>
        </w:rPr>
      </w:pPr>
      <w:r>
        <w:rPr>
          <w:b/>
        </w:rPr>
        <w:t>Michael</w:t>
      </w:r>
      <w:r w:rsidR="00C67460">
        <w:rPr>
          <w:b/>
        </w:rPr>
        <w:t xml:space="preserve"> Ryan</w:t>
      </w:r>
    </w:p>
    <w:p w14:paraId="577AFC0C" w14:textId="6EB82F70" w:rsidR="00C67460" w:rsidRPr="00D67E0A" w:rsidRDefault="00611763" w:rsidP="008A7735">
      <w:pPr>
        <w:jc w:val="center"/>
        <w:rPr>
          <w:b/>
        </w:rPr>
      </w:pPr>
      <w:r>
        <w:rPr>
          <w:b/>
        </w:rPr>
        <w:t xml:space="preserve">Acting </w:t>
      </w:r>
      <w:r w:rsidR="00C67460" w:rsidRPr="00D67E0A">
        <w:rPr>
          <w:b/>
        </w:rPr>
        <w:t>Assistant Secretary</w:t>
      </w:r>
    </w:p>
    <w:p w14:paraId="24243C9E" w14:textId="77777777" w:rsidR="00C67460" w:rsidRPr="00536AC6" w:rsidRDefault="00C67460" w:rsidP="00F60926">
      <w:pPr>
        <w:autoSpaceDE w:val="0"/>
        <w:autoSpaceDN w:val="0"/>
        <w:spacing w:line="240" w:lineRule="atLeast"/>
        <w:ind w:right="-23"/>
        <w:jc w:val="center"/>
        <w:rPr>
          <w:b/>
          <w:szCs w:val="24"/>
          <w:lang w:eastAsia="en-US"/>
        </w:rPr>
      </w:pPr>
      <w:r w:rsidRPr="00536AC6">
        <w:rPr>
          <w:b/>
          <w:szCs w:val="24"/>
          <w:lang w:eastAsia="en-US"/>
        </w:rPr>
        <w:t>MBS Policy and Specialist Services Branch</w:t>
      </w:r>
    </w:p>
    <w:p w14:paraId="1D362E3A" w14:textId="77777777" w:rsidR="00C67460" w:rsidRPr="00536AC6" w:rsidRDefault="00C67460" w:rsidP="00F60926">
      <w:pPr>
        <w:autoSpaceDE w:val="0"/>
        <w:autoSpaceDN w:val="0"/>
        <w:spacing w:line="240" w:lineRule="atLeast"/>
        <w:ind w:right="-23"/>
        <w:jc w:val="center"/>
        <w:rPr>
          <w:b/>
          <w:szCs w:val="24"/>
          <w:lang w:eastAsia="en-US"/>
        </w:rPr>
      </w:pPr>
      <w:r w:rsidRPr="00536AC6">
        <w:rPr>
          <w:b/>
          <w:szCs w:val="24"/>
          <w:lang w:eastAsia="en-US"/>
        </w:rPr>
        <w:t>Medical Benefits Division</w:t>
      </w:r>
    </w:p>
    <w:p w14:paraId="677EA8A4" w14:textId="77777777" w:rsidR="007254F2" w:rsidRPr="007254F2" w:rsidRDefault="007254F2" w:rsidP="007254F2">
      <w:pPr>
        <w:autoSpaceDE w:val="0"/>
        <w:autoSpaceDN w:val="0"/>
        <w:spacing w:line="240" w:lineRule="atLeast"/>
        <w:ind w:right="-23"/>
        <w:jc w:val="center"/>
        <w:rPr>
          <w:b/>
          <w:szCs w:val="24"/>
          <w:lang w:eastAsia="en-US"/>
        </w:rPr>
      </w:pPr>
      <w:r w:rsidRPr="007254F2">
        <w:rPr>
          <w:b/>
          <w:szCs w:val="24"/>
          <w:lang w:eastAsia="en-US"/>
        </w:rPr>
        <w:t>Health Financing Group</w:t>
      </w:r>
    </w:p>
    <w:p w14:paraId="60929AC7" w14:textId="216C5A02" w:rsidR="00C67460" w:rsidRPr="0020245D" w:rsidRDefault="00C67460" w:rsidP="00F60926">
      <w:pPr>
        <w:autoSpaceDE w:val="0"/>
        <w:autoSpaceDN w:val="0"/>
        <w:spacing w:line="240" w:lineRule="atLeast"/>
        <w:ind w:right="-23"/>
        <w:jc w:val="center"/>
        <w:rPr>
          <w:rFonts w:eastAsia="Calibri"/>
          <w:szCs w:val="24"/>
          <w:lang w:eastAsia="en-US"/>
        </w:rPr>
      </w:pPr>
      <w:r w:rsidRPr="00536AC6">
        <w:rPr>
          <w:b/>
          <w:szCs w:val="24"/>
          <w:lang w:eastAsia="en-US"/>
        </w:rPr>
        <w:t>Department of Health</w:t>
      </w:r>
    </w:p>
    <w:p w14:paraId="2412D13C" w14:textId="77777777" w:rsidR="00242974" w:rsidRPr="00EB601D" w:rsidRDefault="00242974" w:rsidP="000337CB">
      <w:pPr>
        <w:tabs>
          <w:tab w:val="left" w:pos="4536"/>
        </w:tabs>
        <w:rPr>
          <w:b/>
          <w:szCs w:val="24"/>
          <w:highlight w:val="yellow"/>
        </w:rPr>
      </w:pPr>
    </w:p>
    <w:sectPr w:rsidR="00242974" w:rsidRPr="00EB601D" w:rsidSect="00D664A9">
      <w:headerReference w:type="even" r:id="rId13"/>
      <w:headerReference w:type="default" r:id="rId14"/>
      <w:headerReference w:type="first" r:id="rId15"/>
      <w:pgSz w:w="11906" w:h="16838"/>
      <w:pgMar w:top="1440"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14:paraId="2412D17A" w14:textId="77777777" w:rsidR="00E23B6B" w:rsidRDefault="00E23B6B">
        <w:pPr>
          <w:pStyle w:val="Header"/>
          <w:jc w:val="center"/>
        </w:pPr>
        <w:r>
          <w:fldChar w:fldCharType="begin"/>
        </w:r>
        <w:r>
          <w:instrText xml:space="preserve"> PAGE   \* MERGEFORMAT </w:instrText>
        </w:r>
        <w:r>
          <w:fldChar w:fldCharType="separate"/>
        </w:r>
        <w:r w:rsidR="0015308D">
          <w:rPr>
            <w:noProof/>
          </w:rPr>
          <w:t>2</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14:paraId="2412D17C" w14:textId="77777777" w:rsidR="00E23B6B" w:rsidRDefault="00E23B6B">
        <w:pPr>
          <w:pStyle w:val="Header"/>
          <w:jc w:val="center"/>
        </w:pPr>
        <w:r>
          <w:fldChar w:fldCharType="begin"/>
        </w:r>
        <w:r>
          <w:instrText xml:space="preserve"> PAGE   \* MERGEFORMAT </w:instrText>
        </w:r>
        <w:r>
          <w:fldChar w:fldCharType="separate"/>
        </w:r>
        <w:r w:rsidR="0015308D">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8F0B67"/>
    <w:multiLevelType w:val="hybridMultilevel"/>
    <w:tmpl w:val="19D4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7A91D92"/>
    <w:multiLevelType w:val="hybridMultilevel"/>
    <w:tmpl w:val="34C4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644A2E17"/>
    <w:multiLevelType w:val="hybridMultilevel"/>
    <w:tmpl w:val="A93E3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4"/>
  </w:num>
  <w:num w:numId="4">
    <w:abstractNumId w:val="14"/>
  </w:num>
  <w:num w:numId="5">
    <w:abstractNumId w:val="18"/>
  </w:num>
  <w:num w:numId="6">
    <w:abstractNumId w:val="12"/>
  </w:num>
  <w:num w:numId="7">
    <w:abstractNumId w:val="29"/>
  </w:num>
  <w:num w:numId="8">
    <w:abstractNumId w:val="9"/>
  </w:num>
  <w:num w:numId="9">
    <w:abstractNumId w:val="7"/>
  </w:num>
  <w:num w:numId="10">
    <w:abstractNumId w:val="30"/>
  </w:num>
  <w:num w:numId="11">
    <w:abstractNumId w:val="28"/>
  </w:num>
  <w:num w:numId="12">
    <w:abstractNumId w:val="16"/>
  </w:num>
  <w:num w:numId="13">
    <w:abstractNumId w:val="17"/>
  </w:num>
  <w:num w:numId="14">
    <w:abstractNumId w:val="26"/>
  </w:num>
  <w:num w:numId="15">
    <w:abstractNumId w:val="10"/>
  </w:num>
  <w:num w:numId="16">
    <w:abstractNumId w:val="20"/>
  </w:num>
  <w:num w:numId="17">
    <w:abstractNumId w:val="23"/>
  </w:num>
  <w:num w:numId="18">
    <w:abstractNumId w:val="21"/>
  </w:num>
  <w:num w:numId="19">
    <w:abstractNumId w:val="6"/>
  </w:num>
  <w:num w:numId="20">
    <w:abstractNumId w:val="1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11"/>
  </w:num>
  <w:num w:numId="26">
    <w:abstractNumId w:val="1"/>
  </w:num>
  <w:num w:numId="27">
    <w:abstractNumId w:val="5"/>
  </w:num>
  <w:num w:numId="28">
    <w:abstractNumId w:val="8"/>
  </w:num>
  <w:num w:numId="29">
    <w:abstractNumId w:val="27"/>
  </w:num>
  <w:num w:numId="30">
    <w:abstractNumId w:val="15"/>
  </w:num>
  <w:num w:numId="31">
    <w:abstractNumId w:val="3"/>
  </w:num>
  <w:num w:numId="3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CCE"/>
    <w:rsid w:val="00003D66"/>
    <w:rsid w:val="0000441D"/>
    <w:rsid w:val="00004E17"/>
    <w:rsid w:val="00005906"/>
    <w:rsid w:val="00007B65"/>
    <w:rsid w:val="00014639"/>
    <w:rsid w:val="00014B38"/>
    <w:rsid w:val="00014E40"/>
    <w:rsid w:val="00016774"/>
    <w:rsid w:val="000203B4"/>
    <w:rsid w:val="00021EFA"/>
    <w:rsid w:val="00024158"/>
    <w:rsid w:val="00025F64"/>
    <w:rsid w:val="0002704E"/>
    <w:rsid w:val="0002728B"/>
    <w:rsid w:val="00027830"/>
    <w:rsid w:val="000319EF"/>
    <w:rsid w:val="00033034"/>
    <w:rsid w:val="000337CB"/>
    <w:rsid w:val="0003591F"/>
    <w:rsid w:val="00041849"/>
    <w:rsid w:val="0004426E"/>
    <w:rsid w:val="00044A2A"/>
    <w:rsid w:val="00045D06"/>
    <w:rsid w:val="000509BA"/>
    <w:rsid w:val="0005224B"/>
    <w:rsid w:val="0005341B"/>
    <w:rsid w:val="0005533C"/>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9514A"/>
    <w:rsid w:val="000969EF"/>
    <w:rsid w:val="000A199B"/>
    <w:rsid w:val="000A31F2"/>
    <w:rsid w:val="000A45BE"/>
    <w:rsid w:val="000A467F"/>
    <w:rsid w:val="000A6FB3"/>
    <w:rsid w:val="000A7B9B"/>
    <w:rsid w:val="000B25E0"/>
    <w:rsid w:val="000B3452"/>
    <w:rsid w:val="000B36DF"/>
    <w:rsid w:val="000C1226"/>
    <w:rsid w:val="000C12EE"/>
    <w:rsid w:val="000C22D4"/>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7F36"/>
    <w:rsid w:val="0011066E"/>
    <w:rsid w:val="00113B2E"/>
    <w:rsid w:val="00120766"/>
    <w:rsid w:val="00121189"/>
    <w:rsid w:val="00121A66"/>
    <w:rsid w:val="00132087"/>
    <w:rsid w:val="00134B27"/>
    <w:rsid w:val="00135D0D"/>
    <w:rsid w:val="001400C4"/>
    <w:rsid w:val="00141323"/>
    <w:rsid w:val="00141E8C"/>
    <w:rsid w:val="00143943"/>
    <w:rsid w:val="00145918"/>
    <w:rsid w:val="00145D25"/>
    <w:rsid w:val="00145DED"/>
    <w:rsid w:val="0014661F"/>
    <w:rsid w:val="001519E4"/>
    <w:rsid w:val="0015308D"/>
    <w:rsid w:val="00154FC4"/>
    <w:rsid w:val="0015521F"/>
    <w:rsid w:val="001641C0"/>
    <w:rsid w:val="0016646C"/>
    <w:rsid w:val="00167DA1"/>
    <w:rsid w:val="0017187F"/>
    <w:rsid w:val="001734C9"/>
    <w:rsid w:val="00174E96"/>
    <w:rsid w:val="001770D9"/>
    <w:rsid w:val="0017759F"/>
    <w:rsid w:val="0018012F"/>
    <w:rsid w:val="00180742"/>
    <w:rsid w:val="00181B3E"/>
    <w:rsid w:val="00181F74"/>
    <w:rsid w:val="00182F72"/>
    <w:rsid w:val="00183C10"/>
    <w:rsid w:val="0018451D"/>
    <w:rsid w:val="001865F8"/>
    <w:rsid w:val="001867EA"/>
    <w:rsid w:val="00187EE5"/>
    <w:rsid w:val="00190FC9"/>
    <w:rsid w:val="0019289B"/>
    <w:rsid w:val="001929C3"/>
    <w:rsid w:val="0019464A"/>
    <w:rsid w:val="00195A6A"/>
    <w:rsid w:val="001965DA"/>
    <w:rsid w:val="0019711F"/>
    <w:rsid w:val="001978CE"/>
    <w:rsid w:val="001A4BE2"/>
    <w:rsid w:val="001A5BC0"/>
    <w:rsid w:val="001A7249"/>
    <w:rsid w:val="001A7EF8"/>
    <w:rsid w:val="001B0111"/>
    <w:rsid w:val="001B3714"/>
    <w:rsid w:val="001B5ED9"/>
    <w:rsid w:val="001B66AF"/>
    <w:rsid w:val="001B7092"/>
    <w:rsid w:val="001B7F09"/>
    <w:rsid w:val="001C1B86"/>
    <w:rsid w:val="001C35BC"/>
    <w:rsid w:val="001C5FC1"/>
    <w:rsid w:val="001C6713"/>
    <w:rsid w:val="001D6B46"/>
    <w:rsid w:val="001D778A"/>
    <w:rsid w:val="001D7D62"/>
    <w:rsid w:val="001E014D"/>
    <w:rsid w:val="001E2D6D"/>
    <w:rsid w:val="001E3B02"/>
    <w:rsid w:val="001E5391"/>
    <w:rsid w:val="001E5787"/>
    <w:rsid w:val="001E579F"/>
    <w:rsid w:val="001E57BC"/>
    <w:rsid w:val="001E5DE7"/>
    <w:rsid w:val="001E63F3"/>
    <w:rsid w:val="001E7C25"/>
    <w:rsid w:val="001F0923"/>
    <w:rsid w:val="001F1F27"/>
    <w:rsid w:val="001F5411"/>
    <w:rsid w:val="00200145"/>
    <w:rsid w:val="002003CA"/>
    <w:rsid w:val="002003F7"/>
    <w:rsid w:val="00200971"/>
    <w:rsid w:val="0020145C"/>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6DF2"/>
    <w:rsid w:val="0024152E"/>
    <w:rsid w:val="00242974"/>
    <w:rsid w:val="00244D84"/>
    <w:rsid w:val="00250061"/>
    <w:rsid w:val="00250642"/>
    <w:rsid w:val="00251E4A"/>
    <w:rsid w:val="00251F50"/>
    <w:rsid w:val="00253E30"/>
    <w:rsid w:val="0025493F"/>
    <w:rsid w:val="00254E5D"/>
    <w:rsid w:val="00257E4D"/>
    <w:rsid w:val="00262865"/>
    <w:rsid w:val="00263279"/>
    <w:rsid w:val="002643FC"/>
    <w:rsid w:val="00274073"/>
    <w:rsid w:val="0027545F"/>
    <w:rsid w:val="0027610D"/>
    <w:rsid w:val="00281918"/>
    <w:rsid w:val="00284483"/>
    <w:rsid w:val="00285256"/>
    <w:rsid w:val="00287AEF"/>
    <w:rsid w:val="00287B08"/>
    <w:rsid w:val="00290B98"/>
    <w:rsid w:val="002944D4"/>
    <w:rsid w:val="00296763"/>
    <w:rsid w:val="0029737E"/>
    <w:rsid w:val="00297AD0"/>
    <w:rsid w:val="002A0CC8"/>
    <w:rsid w:val="002A3243"/>
    <w:rsid w:val="002A5CDF"/>
    <w:rsid w:val="002A68B3"/>
    <w:rsid w:val="002B2AC5"/>
    <w:rsid w:val="002B2E78"/>
    <w:rsid w:val="002B49DE"/>
    <w:rsid w:val="002B4D3E"/>
    <w:rsid w:val="002B4E4D"/>
    <w:rsid w:val="002B53D3"/>
    <w:rsid w:val="002B7177"/>
    <w:rsid w:val="002C4F5B"/>
    <w:rsid w:val="002C54A1"/>
    <w:rsid w:val="002C5DCD"/>
    <w:rsid w:val="002D03AB"/>
    <w:rsid w:val="002D2A4E"/>
    <w:rsid w:val="002D4E97"/>
    <w:rsid w:val="002D5294"/>
    <w:rsid w:val="002D5DFC"/>
    <w:rsid w:val="002D5E92"/>
    <w:rsid w:val="002D6269"/>
    <w:rsid w:val="002D629A"/>
    <w:rsid w:val="002E12C3"/>
    <w:rsid w:val="002E23DD"/>
    <w:rsid w:val="002E3493"/>
    <w:rsid w:val="002E35BF"/>
    <w:rsid w:val="002E5F5C"/>
    <w:rsid w:val="002E6FD5"/>
    <w:rsid w:val="002E7D88"/>
    <w:rsid w:val="002F0434"/>
    <w:rsid w:val="002F1707"/>
    <w:rsid w:val="002F2F33"/>
    <w:rsid w:val="002F3A26"/>
    <w:rsid w:val="002F3A75"/>
    <w:rsid w:val="002F449C"/>
    <w:rsid w:val="002F4CD2"/>
    <w:rsid w:val="002F6069"/>
    <w:rsid w:val="002F7549"/>
    <w:rsid w:val="00301D49"/>
    <w:rsid w:val="003025C7"/>
    <w:rsid w:val="00302F5C"/>
    <w:rsid w:val="00304080"/>
    <w:rsid w:val="003067D0"/>
    <w:rsid w:val="0031124D"/>
    <w:rsid w:val="00312ED1"/>
    <w:rsid w:val="00313554"/>
    <w:rsid w:val="00317B55"/>
    <w:rsid w:val="0032155B"/>
    <w:rsid w:val="003239D0"/>
    <w:rsid w:val="00324908"/>
    <w:rsid w:val="0033493D"/>
    <w:rsid w:val="00337DE1"/>
    <w:rsid w:val="00340BDB"/>
    <w:rsid w:val="00340E39"/>
    <w:rsid w:val="00341145"/>
    <w:rsid w:val="003412CB"/>
    <w:rsid w:val="0034729D"/>
    <w:rsid w:val="0035214B"/>
    <w:rsid w:val="003527D6"/>
    <w:rsid w:val="00353351"/>
    <w:rsid w:val="00353622"/>
    <w:rsid w:val="00357CD8"/>
    <w:rsid w:val="0036105C"/>
    <w:rsid w:val="00361ADE"/>
    <w:rsid w:val="003625C6"/>
    <w:rsid w:val="00363306"/>
    <w:rsid w:val="0036495A"/>
    <w:rsid w:val="00366C2C"/>
    <w:rsid w:val="00367440"/>
    <w:rsid w:val="00370BE6"/>
    <w:rsid w:val="00371F67"/>
    <w:rsid w:val="00375E39"/>
    <w:rsid w:val="003760ED"/>
    <w:rsid w:val="003775D7"/>
    <w:rsid w:val="00380CBA"/>
    <w:rsid w:val="00381278"/>
    <w:rsid w:val="0038127E"/>
    <w:rsid w:val="00384080"/>
    <w:rsid w:val="00386C22"/>
    <w:rsid w:val="003876E6"/>
    <w:rsid w:val="00391AFA"/>
    <w:rsid w:val="003937EF"/>
    <w:rsid w:val="00393E9B"/>
    <w:rsid w:val="00395942"/>
    <w:rsid w:val="00397A97"/>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77CB"/>
    <w:rsid w:val="003F47FD"/>
    <w:rsid w:val="003F4B52"/>
    <w:rsid w:val="003F73BA"/>
    <w:rsid w:val="003F73F0"/>
    <w:rsid w:val="00401423"/>
    <w:rsid w:val="00403105"/>
    <w:rsid w:val="00404F11"/>
    <w:rsid w:val="00405890"/>
    <w:rsid w:val="00405EF4"/>
    <w:rsid w:val="00411365"/>
    <w:rsid w:val="0041237F"/>
    <w:rsid w:val="00412B6C"/>
    <w:rsid w:val="00414613"/>
    <w:rsid w:val="00415B19"/>
    <w:rsid w:val="004170A6"/>
    <w:rsid w:val="0041767B"/>
    <w:rsid w:val="00420205"/>
    <w:rsid w:val="00421D5F"/>
    <w:rsid w:val="00422831"/>
    <w:rsid w:val="00424197"/>
    <w:rsid w:val="00425F40"/>
    <w:rsid w:val="004265AA"/>
    <w:rsid w:val="00426A8D"/>
    <w:rsid w:val="00430861"/>
    <w:rsid w:val="00432D4D"/>
    <w:rsid w:val="00433DCE"/>
    <w:rsid w:val="00437B1B"/>
    <w:rsid w:val="004405B8"/>
    <w:rsid w:val="004417A2"/>
    <w:rsid w:val="00442F9D"/>
    <w:rsid w:val="00444EDF"/>
    <w:rsid w:val="004456A4"/>
    <w:rsid w:val="00445A6D"/>
    <w:rsid w:val="00446A6B"/>
    <w:rsid w:val="0045189C"/>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A64"/>
    <w:rsid w:val="004A6B0F"/>
    <w:rsid w:val="004B1ECE"/>
    <w:rsid w:val="004B38C8"/>
    <w:rsid w:val="004B5C2E"/>
    <w:rsid w:val="004B7CB9"/>
    <w:rsid w:val="004C10BA"/>
    <w:rsid w:val="004C1122"/>
    <w:rsid w:val="004C27EB"/>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7682"/>
    <w:rsid w:val="00500524"/>
    <w:rsid w:val="005012BC"/>
    <w:rsid w:val="00502156"/>
    <w:rsid w:val="00502277"/>
    <w:rsid w:val="005042B5"/>
    <w:rsid w:val="005057AB"/>
    <w:rsid w:val="00505C67"/>
    <w:rsid w:val="00510A4F"/>
    <w:rsid w:val="005119E9"/>
    <w:rsid w:val="00512A65"/>
    <w:rsid w:val="005130BE"/>
    <w:rsid w:val="005140F2"/>
    <w:rsid w:val="0051709B"/>
    <w:rsid w:val="0052165A"/>
    <w:rsid w:val="00521802"/>
    <w:rsid w:val="0052430B"/>
    <w:rsid w:val="00525D51"/>
    <w:rsid w:val="005276C6"/>
    <w:rsid w:val="00532CD3"/>
    <w:rsid w:val="005345A9"/>
    <w:rsid w:val="00534D8A"/>
    <w:rsid w:val="00536AC6"/>
    <w:rsid w:val="0054004F"/>
    <w:rsid w:val="00542913"/>
    <w:rsid w:val="005440E4"/>
    <w:rsid w:val="005452CD"/>
    <w:rsid w:val="00546DB4"/>
    <w:rsid w:val="005474A5"/>
    <w:rsid w:val="00547D82"/>
    <w:rsid w:val="005504B4"/>
    <w:rsid w:val="00550DAB"/>
    <w:rsid w:val="00552105"/>
    <w:rsid w:val="005530B8"/>
    <w:rsid w:val="0055354D"/>
    <w:rsid w:val="00554543"/>
    <w:rsid w:val="005555B8"/>
    <w:rsid w:val="005642D9"/>
    <w:rsid w:val="00564C2B"/>
    <w:rsid w:val="00564C37"/>
    <w:rsid w:val="00564D84"/>
    <w:rsid w:val="00567C1B"/>
    <w:rsid w:val="00570F2B"/>
    <w:rsid w:val="0057258C"/>
    <w:rsid w:val="00573651"/>
    <w:rsid w:val="00574E71"/>
    <w:rsid w:val="005811D8"/>
    <w:rsid w:val="00581904"/>
    <w:rsid w:val="00582B3F"/>
    <w:rsid w:val="00583643"/>
    <w:rsid w:val="00584142"/>
    <w:rsid w:val="00585309"/>
    <w:rsid w:val="005857E8"/>
    <w:rsid w:val="005858CB"/>
    <w:rsid w:val="0058699E"/>
    <w:rsid w:val="00586CE9"/>
    <w:rsid w:val="00590B04"/>
    <w:rsid w:val="00592858"/>
    <w:rsid w:val="00592F78"/>
    <w:rsid w:val="00594EB6"/>
    <w:rsid w:val="0059798F"/>
    <w:rsid w:val="00597EC9"/>
    <w:rsid w:val="005A0300"/>
    <w:rsid w:val="005A163F"/>
    <w:rsid w:val="005A3D73"/>
    <w:rsid w:val="005A3D8D"/>
    <w:rsid w:val="005A445D"/>
    <w:rsid w:val="005B00EA"/>
    <w:rsid w:val="005B0EA3"/>
    <w:rsid w:val="005B1B0A"/>
    <w:rsid w:val="005B5062"/>
    <w:rsid w:val="005B6234"/>
    <w:rsid w:val="005B7596"/>
    <w:rsid w:val="005C4A91"/>
    <w:rsid w:val="005C4BA4"/>
    <w:rsid w:val="005C5824"/>
    <w:rsid w:val="005C6118"/>
    <w:rsid w:val="005C7504"/>
    <w:rsid w:val="005D085B"/>
    <w:rsid w:val="005D3575"/>
    <w:rsid w:val="005D3CED"/>
    <w:rsid w:val="005D538F"/>
    <w:rsid w:val="005D63D9"/>
    <w:rsid w:val="005D68D1"/>
    <w:rsid w:val="005E293A"/>
    <w:rsid w:val="005E49E7"/>
    <w:rsid w:val="005E56FE"/>
    <w:rsid w:val="005E62D6"/>
    <w:rsid w:val="005E6A82"/>
    <w:rsid w:val="005E7398"/>
    <w:rsid w:val="005F04DC"/>
    <w:rsid w:val="005F0F6C"/>
    <w:rsid w:val="005F1A7F"/>
    <w:rsid w:val="0060114E"/>
    <w:rsid w:val="00601165"/>
    <w:rsid w:val="00607971"/>
    <w:rsid w:val="00611763"/>
    <w:rsid w:val="00611A4E"/>
    <w:rsid w:val="006122C0"/>
    <w:rsid w:val="0061281D"/>
    <w:rsid w:val="00613C46"/>
    <w:rsid w:val="00616889"/>
    <w:rsid w:val="00617F77"/>
    <w:rsid w:val="0062186B"/>
    <w:rsid w:val="00623004"/>
    <w:rsid w:val="00627C91"/>
    <w:rsid w:val="00631B54"/>
    <w:rsid w:val="00635031"/>
    <w:rsid w:val="006369D4"/>
    <w:rsid w:val="00636C51"/>
    <w:rsid w:val="006407FA"/>
    <w:rsid w:val="006427B2"/>
    <w:rsid w:val="00642BEB"/>
    <w:rsid w:val="00647426"/>
    <w:rsid w:val="00647590"/>
    <w:rsid w:val="006526F5"/>
    <w:rsid w:val="00653949"/>
    <w:rsid w:val="00657702"/>
    <w:rsid w:val="00661407"/>
    <w:rsid w:val="006619F5"/>
    <w:rsid w:val="006629F9"/>
    <w:rsid w:val="006639F0"/>
    <w:rsid w:val="0066562D"/>
    <w:rsid w:val="00667A72"/>
    <w:rsid w:val="00670998"/>
    <w:rsid w:val="00672050"/>
    <w:rsid w:val="00673872"/>
    <w:rsid w:val="00674A34"/>
    <w:rsid w:val="00685515"/>
    <w:rsid w:val="0068642A"/>
    <w:rsid w:val="00694C76"/>
    <w:rsid w:val="00694F4A"/>
    <w:rsid w:val="006A029B"/>
    <w:rsid w:val="006A0FDA"/>
    <w:rsid w:val="006A17A1"/>
    <w:rsid w:val="006A61C5"/>
    <w:rsid w:val="006B0F31"/>
    <w:rsid w:val="006B13BC"/>
    <w:rsid w:val="006B26FC"/>
    <w:rsid w:val="006B32FE"/>
    <w:rsid w:val="006B3959"/>
    <w:rsid w:val="006B4B58"/>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62C2"/>
    <w:rsid w:val="00707B77"/>
    <w:rsid w:val="00707CE9"/>
    <w:rsid w:val="00710055"/>
    <w:rsid w:val="007103BC"/>
    <w:rsid w:val="00710981"/>
    <w:rsid w:val="0071184F"/>
    <w:rsid w:val="00712189"/>
    <w:rsid w:val="007134A2"/>
    <w:rsid w:val="00713FB2"/>
    <w:rsid w:val="00717B45"/>
    <w:rsid w:val="007202C4"/>
    <w:rsid w:val="0072331C"/>
    <w:rsid w:val="007254F2"/>
    <w:rsid w:val="00726CFA"/>
    <w:rsid w:val="0072758A"/>
    <w:rsid w:val="007304D5"/>
    <w:rsid w:val="00730965"/>
    <w:rsid w:val="00733599"/>
    <w:rsid w:val="00735753"/>
    <w:rsid w:val="00735CCC"/>
    <w:rsid w:val="007368DC"/>
    <w:rsid w:val="00736AC9"/>
    <w:rsid w:val="00741A4E"/>
    <w:rsid w:val="00742E97"/>
    <w:rsid w:val="007452E0"/>
    <w:rsid w:val="00745BD4"/>
    <w:rsid w:val="00750378"/>
    <w:rsid w:val="007505FB"/>
    <w:rsid w:val="007524B0"/>
    <w:rsid w:val="00752997"/>
    <w:rsid w:val="007533EC"/>
    <w:rsid w:val="00757618"/>
    <w:rsid w:val="00762606"/>
    <w:rsid w:val="00762B45"/>
    <w:rsid w:val="0076544A"/>
    <w:rsid w:val="00767402"/>
    <w:rsid w:val="0077044D"/>
    <w:rsid w:val="00774454"/>
    <w:rsid w:val="00774ABF"/>
    <w:rsid w:val="00776E17"/>
    <w:rsid w:val="00782D07"/>
    <w:rsid w:val="007859F8"/>
    <w:rsid w:val="00791384"/>
    <w:rsid w:val="0079191B"/>
    <w:rsid w:val="00791C27"/>
    <w:rsid w:val="0079239C"/>
    <w:rsid w:val="007934F3"/>
    <w:rsid w:val="00795A80"/>
    <w:rsid w:val="00796464"/>
    <w:rsid w:val="00796EBD"/>
    <w:rsid w:val="00796F15"/>
    <w:rsid w:val="007A0403"/>
    <w:rsid w:val="007A12F5"/>
    <w:rsid w:val="007A1A43"/>
    <w:rsid w:val="007A4089"/>
    <w:rsid w:val="007A4CE4"/>
    <w:rsid w:val="007A5936"/>
    <w:rsid w:val="007A5B55"/>
    <w:rsid w:val="007A5F41"/>
    <w:rsid w:val="007A5FEC"/>
    <w:rsid w:val="007B08D1"/>
    <w:rsid w:val="007B161A"/>
    <w:rsid w:val="007B29C6"/>
    <w:rsid w:val="007B37E0"/>
    <w:rsid w:val="007B4EAA"/>
    <w:rsid w:val="007B790F"/>
    <w:rsid w:val="007C20FA"/>
    <w:rsid w:val="007C27D3"/>
    <w:rsid w:val="007C2C95"/>
    <w:rsid w:val="007C30F6"/>
    <w:rsid w:val="007C5697"/>
    <w:rsid w:val="007C767F"/>
    <w:rsid w:val="007C79FB"/>
    <w:rsid w:val="007D3891"/>
    <w:rsid w:val="007D4584"/>
    <w:rsid w:val="007D4A14"/>
    <w:rsid w:val="007D6DE0"/>
    <w:rsid w:val="007E0017"/>
    <w:rsid w:val="007E0D9D"/>
    <w:rsid w:val="007E4B14"/>
    <w:rsid w:val="007E4B4C"/>
    <w:rsid w:val="007E7ABF"/>
    <w:rsid w:val="007F0907"/>
    <w:rsid w:val="007F0D24"/>
    <w:rsid w:val="007F10B5"/>
    <w:rsid w:val="007F1C81"/>
    <w:rsid w:val="007F6ABA"/>
    <w:rsid w:val="0080144C"/>
    <w:rsid w:val="00804A98"/>
    <w:rsid w:val="00805C3A"/>
    <w:rsid w:val="008061B8"/>
    <w:rsid w:val="008129B1"/>
    <w:rsid w:val="008150D4"/>
    <w:rsid w:val="00817A12"/>
    <w:rsid w:val="00822092"/>
    <w:rsid w:val="0082437E"/>
    <w:rsid w:val="008259FD"/>
    <w:rsid w:val="00825B2C"/>
    <w:rsid w:val="00825D67"/>
    <w:rsid w:val="008262BF"/>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73B"/>
    <w:rsid w:val="008478EE"/>
    <w:rsid w:val="008524CD"/>
    <w:rsid w:val="00852FB1"/>
    <w:rsid w:val="0085475F"/>
    <w:rsid w:val="00855C39"/>
    <w:rsid w:val="00856225"/>
    <w:rsid w:val="0085681C"/>
    <w:rsid w:val="008604B1"/>
    <w:rsid w:val="008609B1"/>
    <w:rsid w:val="008645C4"/>
    <w:rsid w:val="00867019"/>
    <w:rsid w:val="00867884"/>
    <w:rsid w:val="008734F5"/>
    <w:rsid w:val="00875104"/>
    <w:rsid w:val="008774D2"/>
    <w:rsid w:val="00880E40"/>
    <w:rsid w:val="00883771"/>
    <w:rsid w:val="00883C9D"/>
    <w:rsid w:val="00883EFE"/>
    <w:rsid w:val="00885722"/>
    <w:rsid w:val="008869CA"/>
    <w:rsid w:val="008905BA"/>
    <w:rsid w:val="00890BA2"/>
    <w:rsid w:val="0089513F"/>
    <w:rsid w:val="00895699"/>
    <w:rsid w:val="008A153F"/>
    <w:rsid w:val="008A54A9"/>
    <w:rsid w:val="008A6188"/>
    <w:rsid w:val="008A7735"/>
    <w:rsid w:val="008A79C6"/>
    <w:rsid w:val="008B28F2"/>
    <w:rsid w:val="008B444F"/>
    <w:rsid w:val="008B683E"/>
    <w:rsid w:val="008C0EF7"/>
    <w:rsid w:val="008C11A2"/>
    <w:rsid w:val="008C20F7"/>
    <w:rsid w:val="008C5F1C"/>
    <w:rsid w:val="008D06D8"/>
    <w:rsid w:val="008D1B01"/>
    <w:rsid w:val="008D25D7"/>
    <w:rsid w:val="008D2A83"/>
    <w:rsid w:val="008D2D7B"/>
    <w:rsid w:val="008D2D98"/>
    <w:rsid w:val="008D44EB"/>
    <w:rsid w:val="008E22E8"/>
    <w:rsid w:val="008E3E1A"/>
    <w:rsid w:val="008E4039"/>
    <w:rsid w:val="008F1AA9"/>
    <w:rsid w:val="008F1B70"/>
    <w:rsid w:val="008F7C5B"/>
    <w:rsid w:val="009049C0"/>
    <w:rsid w:val="00906257"/>
    <w:rsid w:val="009069D6"/>
    <w:rsid w:val="0090796E"/>
    <w:rsid w:val="00910EF6"/>
    <w:rsid w:val="00912380"/>
    <w:rsid w:val="009124F6"/>
    <w:rsid w:val="00912BC1"/>
    <w:rsid w:val="009137DB"/>
    <w:rsid w:val="00913B67"/>
    <w:rsid w:val="00915B08"/>
    <w:rsid w:val="00916953"/>
    <w:rsid w:val="00921DD1"/>
    <w:rsid w:val="009225FE"/>
    <w:rsid w:val="00923D31"/>
    <w:rsid w:val="00923F94"/>
    <w:rsid w:val="0092616B"/>
    <w:rsid w:val="00926DD3"/>
    <w:rsid w:val="0092705D"/>
    <w:rsid w:val="0093356F"/>
    <w:rsid w:val="00935308"/>
    <w:rsid w:val="009361FD"/>
    <w:rsid w:val="009406D2"/>
    <w:rsid w:val="00940F17"/>
    <w:rsid w:val="009414C5"/>
    <w:rsid w:val="009427F2"/>
    <w:rsid w:val="00944F64"/>
    <w:rsid w:val="00945CE1"/>
    <w:rsid w:val="009467A8"/>
    <w:rsid w:val="00947DCC"/>
    <w:rsid w:val="00951A0B"/>
    <w:rsid w:val="00953383"/>
    <w:rsid w:val="009574A8"/>
    <w:rsid w:val="009648F3"/>
    <w:rsid w:val="00964D68"/>
    <w:rsid w:val="00965025"/>
    <w:rsid w:val="009654C8"/>
    <w:rsid w:val="00967E51"/>
    <w:rsid w:val="00971039"/>
    <w:rsid w:val="00971B7B"/>
    <w:rsid w:val="00971D3B"/>
    <w:rsid w:val="00972D48"/>
    <w:rsid w:val="00975E68"/>
    <w:rsid w:val="00977A95"/>
    <w:rsid w:val="00982585"/>
    <w:rsid w:val="00985DC9"/>
    <w:rsid w:val="00985FA9"/>
    <w:rsid w:val="00987A99"/>
    <w:rsid w:val="009902F7"/>
    <w:rsid w:val="0099448D"/>
    <w:rsid w:val="00995A06"/>
    <w:rsid w:val="009A1462"/>
    <w:rsid w:val="009A17B1"/>
    <w:rsid w:val="009A222A"/>
    <w:rsid w:val="009A26CA"/>
    <w:rsid w:val="009A6FE7"/>
    <w:rsid w:val="009B1FD2"/>
    <w:rsid w:val="009B3AEB"/>
    <w:rsid w:val="009B7AE2"/>
    <w:rsid w:val="009C3EB5"/>
    <w:rsid w:val="009C42BD"/>
    <w:rsid w:val="009C444B"/>
    <w:rsid w:val="009D3773"/>
    <w:rsid w:val="009D499D"/>
    <w:rsid w:val="009D72AA"/>
    <w:rsid w:val="009D7484"/>
    <w:rsid w:val="009E2AEA"/>
    <w:rsid w:val="009E3183"/>
    <w:rsid w:val="009E36E1"/>
    <w:rsid w:val="009E3783"/>
    <w:rsid w:val="009E3EA3"/>
    <w:rsid w:val="009E3ED4"/>
    <w:rsid w:val="009F0715"/>
    <w:rsid w:val="009F1615"/>
    <w:rsid w:val="009F45F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33893"/>
    <w:rsid w:val="00A34400"/>
    <w:rsid w:val="00A34C9A"/>
    <w:rsid w:val="00A34D89"/>
    <w:rsid w:val="00A41364"/>
    <w:rsid w:val="00A41F72"/>
    <w:rsid w:val="00A44A25"/>
    <w:rsid w:val="00A54891"/>
    <w:rsid w:val="00A54CA1"/>
    <w:rsid w:val="00A56516"/>
    <w:rsid w:val="00A62031"/>
    <w:rsid w:val="00A65D80"/>
    <w:rsid w:val="00A672A7"/>
    <w:rsid w:val="00A714DD"/>
    <w:rsid w:val="00A73044"/>
    <w:rsid w:val="00A7379C"/>
    <w:rsid w:val="00A73CF1"/>
    <w:rsid w:val="00A74FFA"/>
    <w:rsid w:val="00A75C9A"/>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193A"/>
    <w:rsid w:val="00AA2734"/>
    <w:rsid w:val="00AA3015"/>
    <w:rsid w:val="00AA3E46"/>
    <w:rsid w:val="00AA4399"/>
    <w:rsid w:val="00AA4D97"/>
    <w:rsid w:val="00AA59AF"/>
    <w:rsid w:val="00AA7E4E"/>
    <w:rsid w:val="00AB05D5"/>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327D"/>
    <w:rsid w:val="00AD7E8E"/>
    <w:rsid w:val="00AE0F81"/>
    <w:rsid w:val="00AE283D"/>
    <w:rsid w:val="00AE330D"/>
    <w:rsid w:val="00AF134A"/>
    <w:rsid w:val="00AF3563"/>
    <w:rsid w:val="00AF3BCE"/>
    <w:rsid w:val="00AF421C"/>
    <w:rsid w:val="00AF5C05"/>
    <w:rsid w:val="00AF7622"/>
    <w:rsid w:val="00B00238"/>
    <w:rsid w:val="00B019A9"/>
    <w:rsid w:val="00B03218"/>
    <w:rsid w:val="00B03273"/>
    <w:rsid w:val="00B039EC"/>
    <w:rsid w:val="00B03AFA"/>
    <w:rsid w:val="00B07EFF"/>
    <w:rsid w:val="00B10984"/>
    <w:rsid w:val="00B110B5"/>
    <w:rsid w:val="00B11FF9"/>
    <w:rsid w:val="00B1244E"/>
    <w:rsid w:val="00B14C3A"/>
    <w:rsid w:val="00B167A2"/>
    <w:rsid w:val="00B174E3"/>
    <w:rsid w:val="00B27719"/>
    <w:rsid w:val="00B2772E"/>
    <w:rsid w:val="00B27A5B"/>
    <w:rsid w:val="00B316E7"/>
    <w:rsid w:val="00B3398C"/>
    <w:rsid w:val="00B34BDE"/>
    <w:rsid w:val="00B34EF9"/>
    <w:rsid w:val="00B3578F"/>
    <w:rsid w:val="00B35DAD"/>
    <w:rsid w:val="00B36EB3"/>
    <w:rsid w:val="00B41AE8"/>
    <w:rsid w:val="00B445D0"/>
    <w:rsid w:val="00B45C4D"/>
    <w:rsid w:val="00B53FF2"/>
    <w:rsid w:val="00B54620"/>
    <w:rsid w:val="00B55CDD"/>
    <w:rsid w:val="00B56E4F"/>
    <w:rsid w:val="00B57966"/>
    <w:rsid w:val="00B63345"/>
    <w:rsid w:val="00B63A7A"/>
    <w:rsid w:val="00B652B0"/>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64BF"/>
    <w:rsid w:val="00B86A9F"/>
    <w:rsid w:val="00B910E8"/>
    <w:rsid w:val="00B93137"/>
    <w:rsid w:val="00B9328C"/>
    <w:rsid w:val="00B94CD8"/>
    <w:rsid w:val="00B94F1B"/>
    <w:rsid w:val="00B9595D"/>
    <w:rsid w:val="00B96F16"/>
    <w:rsid w:val="00B97A54"/>
    <w:rsid w:val="00BA0974"/>
    <w:rsid w:val="00BA3D73"/>
    <w:rsid w:val="00BA58AC"/>
    <w:rsid w:val="00BA5D5A"/>
    <w:rsid w:val="00BA67DC"/>
    <w:rsid w:val="00BA69CB"/>
    <w:rsid w:val="00BA7C49"/>
    <w:rsid w:val="00BB00BA"/>
    <w:rsid w:val="00BB112B"/>
    <w:rsid w:val="00BB1B81"/>
    <w:rsid w:val="00BB1CDA"/>
    <w:rsid w:val="00BB25B1"/>
    <w:rsid w:val="00BB2CD8"/>
    <w:rsid w:val="00BB4114"/>
    <w:rsid w:val="00BB49CB"/>
    <w:rsid w:val="00BB6375"/>
    <w:rsid w:val="00BB7A6E"/>
    <w:rsid w:val="00BC459E"/>
    <w:rsid w:val="00BC4AAE"/>
    <w:rsid w:val="00BC5DCD"/>
    <w:rsid w:val="00BC626B"/>
    <w:rsid w:val="00BC6ED9"/>
    <w:rsid w:val="00BC7397"/>
    <w:rsid w:val="00BD0628"/>
    <w:rsid w:val="00BD2B6B"/>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69DE"/>
    <w:rsid w:val="00C073E4"/>
    <w:rsid w:val="00C07C34"/>
    <w:rsid w:val="00C1324F"/>
    <w:rsid w:val="00C13962"/>
    <w:rsid w:val="00C154E6"/>
    <w:rsid w:val="00C158B5"/>
    <w:rsid w:val="00C16E23"/>
    <w:rsid w:val="00C2082B"/>
    <w:rsid w:val="00C20DBA"/>
    <w:rsid w:val="00C22682"/>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6251"/>
    <w:rsid w:val="00C5667B"/>
    <w:rsid w:val="00C56A65"/>
    <w:rsid w:val="00C56FE0"/>
    <w:rsid w:val="00C6072B"/>
    <w:rsid w:val="00C6094D"/>
    <w:rsid w:val="00C62733"/>
    <w:rsid w:val="00C62FDC"/>
    <w:rsid w:val="00C67460"/>
    <w:rsid w:val="00C724F5"/>
    <w:rsid w:val="00C73066"/>
    <w:rsid w:val="00C743D2"/>
    <w:rsid w:val="00C7631D"/>
    <w:rsid w:val="00C77A1F"/>
    <w:rsid w:val="00C80647"/>
    <w:rsid w:val="00C80836"/>
    <w:rsid w:val="00C84DDE"/>
    <w:rsid w:val="00C85162"/>
    <w:rsid w:val="00C87864"/>
    <w:rsid w:val="00C90EAC"/>
    <w:rsid w:val="00C917FD"/>
    <w:rsid w:val="00C93D01"/>
    <w:rsid w:val="00C958FA"/>
    <w:rsid w:val="00C96958"/>
    <w:rsid w:val="00C96A6B"/>
    <w:rsid w:val="00CA2CF0"/>
    <w:rsid w:val="00CA5750"/>
    <w:rsid w:val="00CA62C0"/>
    <w:rsid w:val="00CA73CB"/>
    <w:rsid w:val="00CA79BB"/>
    <w:rsid w:val="00CB4161"/>
    <w:rsid w:val="00CB43A2"/>
    <w:rsid w:val="00CB6DE1"/>
    <w:rsid w:val="00CB7730"/>
    <w:rsid w:val="00CB7AFE"/>
    <w:rsid w:val="00CC12A0"/>
    <w:rsid w:val="00CC26A8"/>
    <w:rsid w:val="00CC4CED"/>
    <w:rsid w:val="00CC6EBB"/>
    <w:rsid w:val="00CD4A21"/>
    <w:rsid w:val="00CE2163"/>
    <w:rsid w:val="00CE2DB4"/>
    <w:rsid w:val="00CE3A6F"/>
    <w:rsid w:val="00CE63F9"/>
    <w:rsid w:val="00CE7141"/>
    <w:rsid w:val="00CF0A31"/>
    <w:rsid w:val="00CF1E87"/>
    <w:rsid w:val="00CF240F"/>
    <w:rsid w:val="00CF34FA"/>
    <w:rsid w:val="00CF4B5F"/>
    <w:rsid w:val="00CF4FAD"/>
    <w:rsid w:val="00CF5C15"/>
    <w:rsid w:val="00CF6201"/>
    <w:rsid w:val="00CF6B2F"/>
    <w:rsid w:val="00D05CAA"/>
    <w:rsid w:val="00D06129"/>
    <w:rsid w:val="00D114E6"/>
    <w:rsid w:val="00D1198D"/>
    <w:rsid w:val="00D14302"/>
    <w:rsid w:val="00D15F17"/>
    <w:rsid w:val="00D161BE"/>
    <w:rsid w:val="00D162D9"/>
    <w:rsid w:val="00D22C78"/>
    <w:rsid w:val="00D259FD"/>
    <w:rsid w:val="00D30F03"/>
    <w:rsid w:val="00D320F2"/>
    <w:rsid w:val="00D33180"/>
    <w:rsid w:val="00D34E5E"/>
    <w:rsid w:val="00D4044B"/>
    <w:rsid w:val="00D4046C"/>
    <w:rsid w:val="00D41D2D"/>
    <w:rsid w:val="00D42638"/>
    <w:rsid w:val="00D44316"/>
    <w:rsid w:val="00D448E6"/>
    <w:rsid w:val="00D44EB2"/>
    <w:rsid w:val="00D4743F"/>
    <w:rsid w:val="00D5065B"/>
    <w:rsid w:val="00D51CBC"/>
    <w:rsid w:val="00D5274F"/>
    <w:rsid w:val="00D53CDF"/>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566A"/>
    <w:rsid w:val="00D85008"/>
    <w:rsid w:val="00D87426"/>
    <w:rsid w:val="00D8754D"/>
    <w:rsid w:val="00D92717"/>
    <w:rsid w:val="00D93E05"/>
    <w:rsid w:val="00D9515D"/>
    <w:rsid w:val="00DA3A08"/>
    <w:rsid w:val="00DA4715"/>
    <w:rsid w:val="00DA62DF"/>
    <w:rsid w:val="00DA7439"/>
    <w:rsid w:val="00DB0DA9"/>
    <w:rsid w:val="00DB108A"/>
    <w:rsid w:val="00DB4742"/>
    <w:rsid w:val="00DC1776"/>
    <w:rsid w:val="00DC33A5"/>
    <w:rsid w:val="00DC4340"/>
    <w:rsid w:val="00DC6F5E"/>
    <w:rsid w:val="00DC7898"/>
    <w:rsid w:val="00DD19F8"/>
    <w:rsid w:val="00DD1C70"/>
    <w:rsid w:val="00DD23D7"/>
    <w:rsid w:val="00DD3239"/>
    <w:rsid w:val="00DE07E4"/>
    <w:rsid w:val="00DE0877"/>
    <w:rsid w:val="00DE0FF8"/>
    <w:rsid w:val="00DE3EBF"/>
    <w:rsid w:val="00DE6D39"/>
    <w:rsid w:val="00DE7345"/>
    <w:rsid w:val="00DF1FB7"/>
    <w:rsid w:val="00DF51CA"/>
    <w:rsid w:val="00DF5581"/>
    <w:rsid w:val="00DF73B9"/>
    <w:rsid w:val="00DF7501"/>
    <w:rsid w:val="00DF7936"/>
    <w:rsid w:val="00E04B6F"/>
    <w:rsid w:val="00E10728"/>
    <w:rsid w:val="00E13833"/>
    <w:rsid w:val="00E17001"/>
    <w:rsid w:val="00E17406"/>
    <w:rsid w:val="00E20AE5"/>
    <w:rsid w:val="00E20F00"/>
    <w:rsid w:val="00E21297"/>
    <w:rsid w:val="00E23A38"/>
    <w:rsid w:val="00E23B6B"/>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05A2"/>
    <w:rsid w:val="00E628D9"/>
    <w:rsid w:val="00E63ADA"/>
    <w:rsid w:val="00E640E0"/>
    <w:rsid w:val="00E645F6"/>
    <w:rsid w:val="00E64C5F"/>
    <w:rsid w:val="00E664F4"/>
    <w:rsid w:val="00E70355"/>
    <w:rsid w:val="00E72855"/>
    <w:rsid w:val="00E7377F"/>
    <w:rsid w:val="00E74710"/>
    <w:rsid w:val="00E748E7"/>
    <w:rsid w:val="00E74C1D"/>
    <w:rsid w:val="00E81B2F"/>
    <w:rsid w:val="00E844ED"/>
    <w:rsid w:val="00E85810"/>
    <w:rsid w:val="00E85B0A"/>
    <w:rsid w:val="00E90558"/>
    <w:rsid w:val="00E909CD"/>
    <w:rsid w:val="00E92248"/>
    <w:rsid w:val="00E92BD1"/>
    <w:rsid w:val="00E935A1"/>
    <w:rsid w:val="00E93FB6"/>
    <w:rsid w:val="00EA1715"/>
    <w:rsid w:val="00EA31FD"/>
    <w:rsid w:val="00EA4349"/>
    <w:rsid w:val="00EA4EE4"/>
    <w:rsid w:val="00EA5453"/>
    <w:rsid w:val="00EA5A32"/>
    <w:rsid w:val="00EB028C"/>
    <w:rsid w:val="00EB2F51"/>
    <w:rsid w:val="00EB3BF0"/>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AB8"/>
    <w:rsid w:val="00EF7C6E"/>
    <w:rsid w:val="00F012F4"/>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33F4"/>
    <w:rsid w:val="00F2428F"/>
    <w:rsid w:val="00F25075"/>
    <w:rsid w:val="00F27444"/>
    <w:rsid w:val="00F317CA"/>
    <w:rsid w:val="00F319F3"/>
    <w:rsid w:val="00F31BFB"/>
    <w:rsid w:val="00F323E7"/>
    <w:rsid w:val="00F324D2"/>
    <w:rsid w:val="00F32A56"/>
    <w:rsid w:val="00F335E4"/>
    <w:rsid w:val="00F35509"/>
    <w:rsid w:val="00F358C3"/>
    <w:rsid w:val="00F376BE"/>
    <w:rsid w:val="00F413D8"/>
    <w:rsid w:val="00F42100"/>
    <w:rsid w:val="00F42A9B"/>
    <w:rsid w:val="00F45470"/>
    <w:rsid w:val="00F464FE"/>
    <w:rsid w:val="00F465F9"/>
    <w:rsid w:val="00F47621"/>
    <w:rsid w:val="00F52CF2"/>
    <w:rsid w:val="00F570AB"/>
    <w:rsid w:val="00F57A71"/>
    <w:rsid w:val="00F60926"/>
    <w:rsid w:val="00F60A1A"/>
    <w:rsid w:val="00F61C28"/>
    <w:rsid w:val="00F61E69"/>
    <w:rsid w:val="00F633B7"/>
    <w:rsid w:val="00F645F1"/>
    <w:rsid w:val="00F6591A"/>
    <w:rsid w:val="00F70D35"/>
    <w:rsid w:val="00F73030"/>
    <w:rsid w:val="00F7546C"/>
    <w:rsid w:val="00F77B00"/>
    <w:rsid w:val="00F83B6F"/>
    <w:rsid w:val="00F84470"/>
    <w:rsid w:val="00F857BC"/>
    <w:rsid w:val="00F90273"/>
    <w:rsid w:val="00F90BD0"/>
    <w:rsid w:val="00F93ACB"/>
    <w:rsid w:val="00F93C4F"/>
    <w:rsid w:val="00F95994"/>
    <w:rsid w:val="00FA49C5"/>
    <w:rsid w:val="00FA5BD2"/>
    <w:rsid w:val="00FA6175"/>
    <w:rsid w:val="00FA6784"/>
    <w:rsid w:val="00FA7E00"/>
    <w:rsid w:val="00FB1780"/>
    <w:rsid w:val="00FB35C6"/>
    <w:rsid w:val="00FB4C5A"/>
    <w:rsid w:val="00FB5BFA"/>
    <w:rsid w:val="00FB6F79"/>
    <w:rsid w:val="00FC10F6"/>
    <w:rsid w:val="00FC7C25"/>
    <w:rsid w:val="00FD1C2E"/>
    <w:rsid w:val="00FD3574"/>
    <w:rsid w:val="00FD602D"/>
    <w:rsid w:val="00FD60D2"/>
    <w:rsid w:val="00FD6A7D"/>
    <w:rsid w:val="00FD6FC9"/>
    <w:rsid w:val="00FE02C2"/>
    <w:rsid w:val="00FE241D"/>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egislation.gov.au/Details/F2018C0009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http://purl.org/dc/dcmitype/"/>
    <ds:schemaRef ds:uri="8bd9498f-fa43-4ae2-8bb2-4c55a71680a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6ED5E-DAA5-4431-8E90-3F6215F1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1698</Words>
  <Characters>9681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NADINE, Tamara</cp:lastModifiedBy>
  <cp:revision>2</cp:revision>
  <cp:lastPrinted>2018-02-02T03:19:00Z</cp:lastPrinted>
  <dcterms:created xsi:type="dcterms:W3CDTF">2018-08-16T02:00:00Z</dcterms:created>
  <dcterms:modified xsi:type="dcterms:W3CDTF">2018-08-16T02:00:00Z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