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CC2" w:rsidRDefault="00DC4CC2" w:rsidP="00DC4CC2">
      <w:pPr>
        <w:pStyle w:val="Heading1"/>
        <w:spacing w:before="199"/>
        <w:ind w:left="2964"/>
        <w:rPr>
          <w:u w:val="thick" w:color="000000"/>
        </w:rPr>
      </w:pPr>
    </w:p>
    <w:p w:rsidR="00DC4CC2" w:rsidRDefault="00DC4CC2" w:rsidP="00DC4CC2">
      <w:pPr>
        <w:pStyle w:val="Heading1"/>
        <w:spacing w:before="199"/>
        <w:ind w:left="2964"/>
        <w:rPr>
          <w:u w:val="thick" w:color="000000"/>
        </w:rPr>
      </w:pPr>
    </w:p>
    <w:p w:rsidR="00DC4CC2" w:rsidRDefault="00DC4CC2" w:rsidP="00DC4CC2">
      <w:pPr>
        <w:pStyle w:val="Heading1"/>
        <w:spacing w:before="199"/>
        <w:ind w:left="2964"/>
        <w:rPr>
          <w:b w:val="0"/>
          <w:bCs w:val="0"/>
        </w:rPr>
      </w:pPr>
      <w:bookmarkStart w:id="0" w:name="_GoBack"/>
      <w:bookmarkEnd w:id="0"/>
      <w:r>
        <w:rPr>
          <w:u w:val="thick" w:color="000000"/>
        </w:rPr>
        <w:t>EXPLANATORY</w:t>
      </w:r>
      <w:r>
        <w:rPr>
          <w:spacing w:val="-7"/>
          <w:u w:val="thick" w:color="000000"/>
        </w:rPr>
        <w:t xml:space="preserve"> </w:t>
      </w:r>
      <w:r>
        <w:rPr>
          <w:u w:val="thick" w:color="000000"/>
        </w:rPr>
        <w:t>STATEMENT</w:t>
      </w:r>
    </w:p>
    <w:p w:rsidR="00DC4CC2" w:rsidRDefault="00DC4CC2" w:rsidP="00DC4CC2">
      <w:pPr>
        <w:spacing w:before="11"/>
        <w:rPr>
          <w:rFonts w:ascii="Times New Roman" w:eastAsia="Times New Roman" w:hAnsi="Times New Roman" w:cs="Times New Roman"/>
          <w:b/>
          <w:bCs/>
          <w:sz w:val="15"/>
          <w:szCs w:val="15"/>
        </w:rPr>
      </w:pPr>
    </w:p>
    <w:p w:rsidR="00DC4CC2" w:rsidRDefault="00DC4CC2" w:rsidP="00DC4CC2">
      <w:pPr>
        <w:spacing w:before="69"/>
        <w:ind w:left="117" w:right="96"/>
        <w:jc w:val="center"/>
        <w:rPr>
          <w:rFonts w:ascii="Times New Roman" w:eastAsia="Times New Roman" w:hAnsi="Times New Roman" w:cs="Times New Roman"/>
          <w:sz w:val="24"/>
          <w:szCs w:val="24"/>
        </w:rPr>
      </w:pPr>
      <w:r>
        <w:rPr>
          <w:rFonts w:ascii="Times New Roman"/>
          <w:i/>
          <w:sz w:val="24"/>
        </w:rPr>
        <w:t>Migration Regulations</w:t>
      </w:r>
      <w:r>
        <w:rPr>
          <w:rFonts w:ascii="Times New Roman"/>
          <w:i/>
          <w:spacing w:val="-6"/>
          <w:sz w:val="24"/>
        </w:rPr>
        <w:t xml:space="preserve"> </w:t>
      </w:r>
      <w:r>
        <w:rPr>
          <w:rFonts w:ascii="Times New Roman"/>
          <w:i/>
          <w:sz w:val="24"/>
        </w:rPr>
        <w:t>1994</w:t>
      </w:r>
    </w:p>
    <w:p w:rsidR="00DC4CC2" w:rsidRDefault="00DC4CC2" w:rsidP="00DC4CC2">
      <w:pPr>
        <w:rPr>
          <w:rFonts w:ascii="Times New Roman" w:eastAsia="Times New Roman" w:hAnsi="Times New Roman" w:cs="Times New Roman"/>
          <w:i/>
          <w:sz w:val="24"/>
          <w:szCs w:val="24"/>
        </w:rPr>
      </w:pPr>
    </w:p>
    <w:p w:rsidR="00DC4CC2" w:rsidRDefault="00DC4CC2" w:rsidP="00DC4CC2">
      <w:pPr>
        <w:spacing w:before="10"/>
        <w:rPr>
          <w:rFonts w:ascii="Times New Roman" w:eastAsia="Times New Roman" w:hAnsi="Times New Roman" w:cs="Times New Roman"/>
          <w:i/>
          <w:sz w:val="19"/>
          <w:szCs w:val="19"/>
        </w:rPr>
      </w:pPr>
    </w:p>
    <w:p w:rsidR="00DC4CC2" w:rsidRDefault="00DC4CC2" w:rsidP="00DC4CC2">
      <w:pPr>
        <w:pStyle w:val="Heading1"/>
        <w:spacing w:line="360" w:lineRule="auto"/>
        <w:ind w:right="120"/>
        <w:jc w:val="center"/>
        <w:rPr>
          <w:b w:val="0"/>
          <w:bCs w:val="0"/>
        </w:rPr>
      </w:pPr>
      <w:r>
        <w:t>Migration (IMMI 18/082: Specification of income threshold and annual earnings)</w:t>
      </w:r>
      <w:r>
        <w:rPr>
          <w:spacing w:val="-21"/>
        </w:rPr>
        <w:t xml:space="preserve"> </w:t>
      </w:r>
      <w:r>
        <w:t>Repeal Instrument</w:t>
      </w:r>
      <w:r>
        <w:rPr>
          <w:spacing w:val="-9"/>
        </w:rPr>
        <w:t xml:space="preserve"> </w:t>
      </w:r>
      <w:r>
        <w:t>2018</w:t>
      </w:r>
    </w:p>
    <w:p w:rsidR="00DC4CC2" w:rsidRDefault="00DC4CC2" w:rsidP="00DC4CC2">
      <w:pPr>
        <w:spacing w:before="121"/>
        <w:ind w:left="117" w:right="117"/>
        <w:jc w:val="center"/>
        <w:rPr>
          <w:rFonts w:ascii="Times New Roman" w:eastAsia="Times New Roman" w:hAnsi="Times New Roman" w:cs="Times New Roman"/>
          <w:sz w:val="24"/>
          <w:szCs w:val="24"/>
        </w:rPr>
      </w:pPr>
      <w:r>
        <w:rPr>
          <w:rFonts w:ascii="Times New Roman"/>
          <w:i/>
          <w:sz w:val="24"/>
        </w:rPr>
        <w:t>(Paragraph</w:t>
      </w:r>
      <w:r>
        <w:rPr>
          <w:rFonts w:ascii="Times New Roman"/>
          <w:i/>
          <w:spacing w:val="-4"/>
          <w:sz w:val="24"/>
        </w:rPr>
        <w:t xml:space="preserve"> </w:t>
      </w:r>
      <w:r>
        <w:rPr>
          <w:rFonts w:ascii="Times New Roman"/>
          <w:i/>
          <w:sz w:val="24"/>
        </w:rPr>
        <w:t>2.79(1A</w:t>
      </w:r>
      <w:proofErr w:type="gramStart"/>
      <w:r>
        <w:rPr>
          <w:rFonts w:ascii="Times New Roman"/>
          <w:i/>
          <w:sz w:val="24"/>
        </w:rPr>
        <w:t>)(</w:t>
      </w:r>
      <w:proofErr w:type="gramEnd"/>
      <w:r>
        <w:rPr>
          <w:rFonts w:ascii="Times New Roman"/>
          <w:i/>
          <w:sz w:val="24"/>
        </w:rPr>
        <w:t>b))</w:t>
      </w:r>
    </w:p>
    <w:p w:rsidR="00DC4CC2" w:rsidRDefault="00DC4CC2" w:rsidP="00DC4CC2">
      <w:pPr>
        <w:rPr>
          <w:rFonts w:ascii="Times New Roman" w:eastAsia="Times New Roman" w:hAnsi="Times New Roman" w:cs="Times New Roman"/>
          <w:i/>
          <w:sz w:val="24"/>
          <w:szCs w:val="24"/>
        </w:rPr>
      </w:pPr>
    </w:p>
    <w:p w:rsidR="00DC4CC2" w:rsidRDefault="00DC4CC2" w:rsidP="00DC4CC2">
      <w:pPr>
        <w:spacing w:before="7"/>
        <w:rPr>
          <w:rFonts w:ascii="Times New Roman" w:eastAsia="Times New Roman" w:hAnsi="Times New Roman" w:cs="Times New Roman"/>
          <w:i/>
          <w:sz w:val="29"/>
          <w:szCs w:val="29"/>
        </w:rPr>
      </w:pPr>
    </w:p>
    <w:p w:rsidR="00DC4CC2" w:rsidRDefault="00DC4CC2" w:rsidP="00DC4CC2">
      <w:pPr>
        <w:pStyle w:val="ListParagraph"/>
        <w:numPr>
          <w:ilvl w:val="0"/>
          <w:numId w:val="1"/>
        </w:numPr>
        <w:tabs>
          <w:tab w:val="left" w:pos="706"/>
        </w:tabs>
        <w:spacing w:line="360" w:lineRule="auto"/>
        <w:ind w:right="110"/>
        <w:jc w:val="both"/>
        <w:rPr>
          <w:rFonts w:ascii="Times New Roman" w:eastAsia="Times New Roman" w:hAnsi="Times New Roman" w:cs="Times New Roman"/>
          <w:sz w:val="24"/>
          <w:szCs w:val="24"/>
        </w:rPr>
      </w:pPr>
      <w:r>
        <w:rPr>
          <w:rFonts w:ascii="Times New Roman"/>
          <w:sz w:val="24"/>
        </w:rPr>
        <w:t>Instrument IMMI 18/082 is made under paragraph 2.79(1A</w:t>
      </w:r>
      <w:proofErr w:type="gramStart"/>
      <w:r>
        <w:rPr>
          <w:rFonts w:ascii="Times New Roman"/>
          <w:sz w:val="24"/>
        </w:rPr>
        <w:t>)(</w:t>
      </w:r>
      <w:proofErr w:type="gramEnd"/>
      <w:r>
        <w:rPr>
          <w:rFonts w:ascii="Times New Roman"/>
          <w:sz w:val="24"/>
        </w:rPr>
        <w:t xml:space="preserve">b) of the </w:t>
      </w:r>
      <w:r>
        <w:rPr>
          <w:rFonts w:ascii="Times New Roman"/>
          <w:i/>
          <w:sz w:val="24"/>
        </w:rPr>
        <w:t xml:space="preserve">Migration Regulations 1994 </w:t>
      </w:r>
      <w:r>
        <w:rPr>
          <w:rFonts w:ascii="Times New Roman"/>
          <w:sz w:val="24"/>
        </w:rPr>
        <w:t>(the</w:t>
      </w:r>
      <w:r>
        <w:rPr>
          <w:rFonts w:ascii="Times New Roman"/>
          <w:spacing w:val="-9"/>
          <w:sz w:val="24"/>
        </w:rPr>
        <w:t xml:space="preserve"> </w:t>
      </w:r>
      <w:r>
        <w:rPr>
          <w:rFonts w:ascii="Times New Roman"/>
          <w:sz w:val="24"/>
        </w:rPr>
        <w:t>Regulations).</w:t>
      </w:r>
    </w:p>
    <w:p w:rsidR="00DC4CC2" w:rsidRDefault="00DC4CC2" w:rsidP="00DC4CC2">
      <w:pPr>
        <w:tabs>
          <w:tab w:val="left" w:pos="6466"/>
        </w:tabs>
        <w:spacing w:before="8"/>
        <w:rPr>
          <w:rFonts w:ascii="Times New Roman" w:eastAsia="Times New Roman" w:hAnsi="Times New Roman" w:cs="Times New Roman"/>
          <w:sz w:val="31"/>
          <w:szCs w:val="31"/>
        </w:rPr>
      </w:pPr>
      <w:r>
        <w:rPr>
          <w:rFonts w:ascii="Times New Roman" w:eastAsia="Times New Roman" w:hAnsi="Times New Roman" w:cs="Times New Roman"/>
          <w:sz w:val="31"/>
          <w:szCs w:val="31"/>
        </w:rPr>
        <w:tab/>
      </w:r>
    </w:p>
    <w:p w:rsidR="00DC4CC2" w:rsidRDefault="00DC4CC2" w:rsidP="00DC4CC2">
      <w:pPr>
        <w:pStyle w:val="ListParagraph"/>
        <w:numPr>
          <w:ilvl w:val="0"/>
          <w:numId w:val="1"/>
        </w:numPr>
        <w:tabs>
          <w:tab w:val="left" w:pos="706"/>
        </w:tabs>
        <w:rPr>
          <w:rFonts w:ascii="Times New Roman" w:eastAsia="Times New Roman" w:hAnsi="Times New Roman" w:cs="Times New Roman"/>
          <w:sz w:val="24"/>
          <w:szCs w:val="24"/>
        </w:rPr>
      </w:pPr>
      <w:r>
        <w:rPr>
          <w:rFonts w:ascii="Times New Roman"/>
          <w:sz w:val="24"/>
        </w:rPr>
        <w:t>The instrument repeals IMMI 13/028 (F2013L01231).  IMMI 13/028 is</w:t>
      </w:r>
      <w:r>
        <w:rPr>
          <w:rFonts w:ascii="Times New Roman"/>
          <w:spacing w:val="-11"/>
          <w:sz w:val="24"/>
        </w:rPr>
        <w:t xml:space="preserve"> </w:t>
      </w:r>
      <w:r>
        <w:rPr>
          <w:rFonts w:ascii="Times New Roman"/>
          <w:sz w:val="24"/>
        </w:rPr>
        <w:t>repealed:</w:t>
      </w:r>
    </w:p>
    <w:p w:rsidR="00DC4CC2" w:rsidRDefault="00DC4CC2" w:rsidP="00DC4CC2">
      <w:pPr>
        <w:rPr>
          <w:rFonts w:ascii="Times New Roman" w:eastAsia="Times New Roman" w:hAnsi="Times New Roman" w:cs="Times New Roman"/>
          <w:sz w:val="24"/>
          <w:szCs w:val="24"/>
        </w:rPr>
      </w:pPr>
    </w:p>
    <w:p w:rsidR="00DC4CC2" w:rsidRDefault="00DC4CC2" w:rsidP="00DC4CC2">
      <w:pPr>
        <w:spacing w:before="5"/>
        <w:rPr>
          <w:rFonts w:ascii="Times New Roman" w:eastAsia="Times New Roman" w:hAnsi="Times New Roman" w:cs="Times New Roman"/>
          <w:sz w:val="19"/>
          <w:szCs w:val="19"/>
        </w:rPr>
      </w:pPr>
    </w:p>
    <w:p w:rsidR="00DC4CC2" w:rsidRDefault="00DC4CC2" w:rsidP="00DC4CC2">
      <w:pPr>
        <w:pStyle w:val="ListParagraph"/>
        <w:numPr>
          <w:ilvl w:val="1"/>
          <w:numId w:val="1"/>
        </w:numPr>
        <w:tabs>
          <w:tab w:val="left" w:pos="1579"/>
        </w:tabs>
        <w:spacing w:line="360" w:lineRule="auto"/>
        <w:ind w:right="113"/>
        <w:jc w:val="both"/>
        <w:rPr>
          <w:rFonts w:ascii="Times New Roman" w:eastAsia="Times New Roman" w:hAnsi="Times New Roman" w:cs="Times New Roman"/>
          <w:sz w:val="24"/>
          <w:szCs w:val="24"/>
        </w:rPr>
      </w:pPr>
      <w:r>
        <w:rPr>
          <w:rFonts w:ascii="Times New Roman"/>
          <w:sz w:val="24"/>
        </w:rPr>
        <w:t xml:space="preserve">under paragraph 2.79(1A)(b) of the Regulations in  accordance  with  subsection 33(3) of the </w:t>
      </w:r>
      <w:r>
        <w:rPr>
          <w:rFonts w:ascii="Times New Roman"/>
          <w:i/>
          <w:sz w:val="24"/>
        </w:rPr>
        <w:t>Acts Interpretation Act 1901</w:t>
      </w:r>
      <w:r>
        <w:rPr>
          <w:rFonts w:ascii="Times New Roman"/>
          <w:sz w:val="24"/>
        </w:rPr>
        <w:t>, which states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w:t>
      </w:r>
      <w:r>
        <w:rPr>
          <w:rFonts w:ascii="Times New Roman"/>
          <w:spacing w:val="-5"/>
          <w:sz w:val="24"/>
        </w:rPr>
        <w:t xml:space="preserve"> </w:t>
      </w:r>
      <w:r>
        <w:rPr>
          <w:rFonts w:ascii="Times New Roman"/>
          <w:sz w:val="24"/>
        </w:rPr>
        <w:t>and</w:t>
      </w:r>
    </w:p>
    <w:p w:rsidR="00DC4CC2" w:rsidRDefault="00DC4CC2" w:rsidP="00DC4CC2">
      <w:pPr>
        <w:spacing w:before="10"/>
        <w:rPr>
          <w:rFonts w:ascii="Times New Roman" w:eastAsia="Times New Roman" w:hAnsi="Times New Roman" w:cs="Times New Roman"/>
          <w:sz w:val="31"/>
          <w:szCs w:val="31"/>
        </w:rPr>
      </w:pPr>
    </w:p>
    <w:p w:rsidR="00DC4CC2" w:rsidRDefault="00DC4CC2" w:rsidP="00DC4CC2">
      <w:pPr>
        <w:pStyle w:val="ListParagraph"/>
        <w:numPr>
          <w:ilvl w:val="1"/>
          <w:numId w:val="1"/>
        </w:numPr>
        <w:tabs>
          <w:tab w:val="left" w:pos="1579"/>
        </w:tabs>
        <w:spacing w:line="360" w:lineRule="auto"/>
        <w:ind w:right="112"/>
        <w:jc w:val="both"/>
        <w:rPr>
          <w:rFonts w:ascii="Times New Roman" w:eastAsia="Times New Roman" w:hAnsi="Times New Roman" w:cs="Times New Roman"/>
          <w:sz w:val="24"/>
          <w:szCs w:val="24"/>
        </w:rPr>
      </w:pPr>
      <w:proofErr w:type="gramStart"/>
      <w:r>
        <w:rPr>
          <w:rFonts w:ascii="Times New Roman"/>
          <w:sz w:val="24"/>
        </w:rPr>
        <w:t>subsequent</w:t>
      </w:r>
      <w:proofErr w:type="gramEnd"/>
      <w:r>
        <w:rPr>
          <w:rFonts w:ascii="Times New Roman"/>
          <w:sz w:val="24"/>
        </w:rPr>
        <w:t xml:space="preserve"> to the repeal of paragraph 2.72(10)(cc) and subregulation 2.72(10AB) of the Regulations by the </w:t>
      </w:r>
      <w:r>
        <w:rPr>
          <w:rFonts w:ascii="Times New Roman"/>
          <w:i/>
          <w:sz w:val="24"/>
        </w:rPr>
        <w:t>Migration Legislation Amendment (Temporary Skill Shortage Visa and Complementary Reforms) Regulations 2018</w:t>
      </w:r>
      <w:r>
        <w:rPr>
          <w:rFonts w:ascii="Times New Roman"/>
          <w:sz w:val="24"/>
        </w:rPr>
        <w:t>.</w:t>
      </w:r>
    </w:p>
    <w:p w:rsidR="00DC4CC2" w:rsidRDefault="00DC4CC2" w:rsidP="00DC4CC2">
      <w:pPr>
        <w:spacing w:before="10"/>
        <w:rPr>
          <w:rFonts w:ascii="Times New Roman" w:eastAsia="Times New Roman" w:hAnsi="Times New Roman" w:cs="Times New Roman"/>
          <w:sz w:val="31"/>
          <w:szCs w:val="31"/>
        </w:rPr>
      </w:pPr>
    </w:p>
    <w:p w:rsidR="00DC4CC2" w:rsidRDefault="00DC4CC2" w:rsidP="00DC4CC2">
      <w:pPr>
        <w:pStyle w:val="ListParagraph"/>
        <w:numPr>
          <w:ilvl w:val="0"/>
          <w:numId w:val="1"/>
        </w:numPr>
        <w:tabs>
          <w:tab w:val="left" w:pos="770"/>
        </w:tabs>
        <w:spacing w:line="360" w:lineRule="auto"/>
        <w:ind w:left="770" w:right="110" w:hanging="632"/>
        <w:jc w:val="both"/>
        <w:rPr>
          <w:rFonts w:ascii="Times New Roman" w:eastAsia="Times New Roman" w:hAnsi="Times New Roman" w:cs="Times New Roman"/>
          <w:sz w:val="24"/>
          <w:szCs w:val="24"/>
        </w:rPr>
      </w:pPr>
      <w:r>
        <w:rPr>
          <w:rFonts w:ascii="Times New Roman"/>
          <w:sz w:val="24"/>
        </w:rPr>
        <w:t>The purpose of the instrument is to repeal IMMI 13/</w:t>
      </w:r>
      <w:r w:rsidRPr="00455AB2">
        <w:rPr>
          <w:rFonts w:ascii="Times New Roman"/>
          <w:sz w:val="24"/>
        </w:rPr>
        <w:t>028</w:t>
      </w:r>
      <w:r>
        <w:rPr>
          <w:rFonts w:ascii="Times New Roman"/>
          <w:sz w:val="24"/>
        </w:rPr>
        <w:t>, as it i</w:t>
      </w:r>
      <w:r w:rsidRPr="00455AB2">
        <w:rPr>
          <w:rFonts w:ascii="Times New Roman"/>
          <w:sz w:val="24"/>
        </w:rPr>
        <w:t>s</w:t>
      </w:r>
      <w:r>
        <w:rPr>
          <w:rFonts w:ascii="Times New Roman"/>
          <w:sz w:val="24"/>
        </w:rPr>
        <w:t xml:space="preserve"> no longer required. As at 18 March 2018, the annual earnings for the purposes of 2.79(1A</w:t>
      </w:r>
      <w:proofErr w:type="gramStart"/>
      <w:r>
        <w:rPr>
          <w:rFonts w:ascii="Times New Roman"/>
          <w:sz w:val="24"/>
        </w:rPr>
        <w:t>)(</w:t>
      </w:r>
      <w:proofErr w:type="gramEnd"/>
      <w:r>
        <w:rPr>
          <w:rFonts w:ascii="Times New Roman"/>
          <w:sz w:val="24"/>
        </w:rPr>
        <w:t>b) are now specified in instrument IMMI</w:t>
      </w:r>
      <w:r>
        <w:rPr>
          <w:rFonts w:ascii="Times New Roman"/>
          <w:spacing w:val="-5"/>
          <w:sz w:val="24"/>
        </w:rPr>
        <w:t xml:space="preserve"> </w:t>
      </w:r>
      <w:r>
        <w:rPr>
          <w:rFonts w:ascii="Times New Roman"/>
          <w:sz w:val="24"/>
        </w:rPr>
        <w:t>18/033.</w:t>
      </w:r>
    </w:p>
    <w:p w:rsidR="00DC4CC2" w:rsidRDefault="00DC4CC2" w:rsidP="00DC4CC2">
      <w:pPr>
        <w:spacing w:before="5"/>
        <w:rPr>
          <w:rFonts w:ascii="Times New Roman" w:eastAsia="Times New Roman" w:hAnsi="Times New Roman" w:cs="Times New Roman"/>
          <w:sz w:val="21"/>
          <w:szCs w:val="21"/>
        </w:rPr>
      </w:pPr>
    </w:p>
    <w:p w:rsidR="00DC4CC2" w:rsidRDefault="00DC4CC2" w:rsidP="00DC4CC2">
      <w:pPr>
        <w:pStyle w:val="ListParagraph"/>
        <w:numPr>
          <w:ilvl w:val="0"/>
          <w:numId w:val="1"/>
        </w:numPr>
        <w:tabs>
          <w:tab w:val="left" w:pos="706"/>
        </w:tabs>
        <w:spacing w:line="360" w:lineRule="auto"/>
        <w:ind w:right="111"/>
        <w:jc w:val="both"/>
        <w:rPr>
          <w:rFonts w:ascii="Times New Roman" w:eastAsia="Times New Roman" w:hAnsi="Times New Roman" w:cs="Times New Roman"/>
          <w:sz w:val="24"/>
          <w:szCs w:val="24"/>
        </w:rPr>
      </w:pPr>
      <w:r>
        <w:rPr>
          <w:rFonts w:ascii="Times New Roman"/>
          <w:sz w:val="24"/>
        </w:rPr>
        <w:t xml:space="preserve">This instrument operates to reflect the changes to the Regulations by the </w:t>
      </w:r>
      <w:r>
        <w:rPr>
          <w:rFonts w:ascii="Times New Roman"/>
          <w:i/>
          <w:sz w:val="24"/>
        </w:rPr>
        <w:t>Migration Legislation Amendment (Temporary Skill Shortage Visa and Complementary Reforms) Regulations</w:t>
      </w:r>
      <w:r>
        <w:rPr>
          <w:rFonts w:ascii="Times New Roman"/>
          <w:i/>
          <w:spacing w:val="-3"/>
          <w:sz w:val="24"/>
        </w:rPr>
        <w:t xml:space="preserve"> </w:t>
      </w:r>
      <w:r>
        <w:rPr>
          <w:rFonts w:ascii="Times New Roman"/>
          <w:i/>
          <w:sz w:val="24"/>
        </w:rPr>
        <w:t>2018.</w:t>
      </w:r>
    </w:p>
    <w:p w:rsidR="00DC4CC2" w:rsidRDefault="00DC4CC2" w:rsidP="00DC4CC2">
      <w:pPr>
        <w:spacing w:line="360" w:lineRule="auto"/>
        <w:jc w:val="both"/>
        <w:rPr>
          <w:rFonts w:ascii="Times New Roman" w:eastAsia="Times New Roman" w:hAnsi="Times New Roman" w:cs="Times New Roman"/>
          <w:sz w:val="24"/>
          <w:szCs w:val="24"/>
        </w:rPr>
        <w:sectPr w:rsidR="00DC4CC2" w:rsidSect="00DC4CC2">
          <w:headerReference w:type="default" r:id="rId5"/>
          <w:pgSz w:w="11910" w:h="16840"/>
          <w:pgMar w:top="660" w:right="1300" w:bottom="280" w:left="1280" w:header="449" w:footer="720" w:gutter="0"/>
          <w:cols w:space="720"/>
        </w:sectPr>
      </w:pPr>
    </w:p>
    <w:p w:rsidR="00DC4CC2" w:rsidRDefault="00DC4CC2" w:rsidP="00DC4CC2">
      <w:pPr>
        <w:rPr>
          <w:rFonts w:ascii="Times New Roman" w:eastAsia="Times New Roman" w:hAnsi="Times New Roman" w:cs="Times New Roman"/>
          <w:i/>
          <w:sz w:val="20"/>
          <w:szCs w:val="20"/>
        </w:rPr>
      </w:pPr>
    </w:p>
    <w:p w:rsidR="00DC4CC2" w:rsidRDefault="00DC4CC2" w:rsidP="00DC4CC2">
      <w:pPr>
        <w:rPr>
          <w:rFonts w:ascii="Times New Roman" w:eastAsia="Times New Roman" w:hAnsi="Times New Roman" w:cs="Times New Roman"/>
          <w:i/>
          <w:sz w:val="20"/>
          <w:szCs w:val="20"/>
        </w:rPr>
      </w:pPr>
    </w:p>
    <w:p w:rsidR="00DC4CC2" w:rsidRDefault="00DC4CC2" w:rsidP="00DC4CC2">
      <w:pPr>
        <w:rPr>
          <w:rFonts w:ascii="Times New Roman" w:eastAsia="Times New Roman" w:hAnsi="Times New Roman" w:cs="Times New Roman"/>
          <w:i/>
          <w:sz w:val="20"/>
          <w:szCs w:val="20"/>
        </w:rPr>
      </w:pPr>
    </w:p>
    <w:p w:rsidR="00DC4CC2" w:rsidRDefault="00DC4CC2" w:rsidP="00DC4CC2">
      <w:pPr>
        <w:pStyle w:val="ListParagraph"/>
        <w:numPr>
          <w:ilvl w:val="0"/>
          <w:numId w:val="1"/>
        </w:numPr>
        <w:tabs>
          <w:tab w:val="left" w:pos="686"/>
        </w:tabs>
        <w:spacing w:before="195" w:line="360" w:lineRule="auto"/>
        <w:ind w:left="685" w:right="111"/>
        <w:jc w:val="both"/>
        <w:rPr>
          <w:rFonts w:ascii="Times New Roman" w:eastAsia="Times New Roman" w:hAnsi="Times New Roman" w:cs="Times New Roman"/>
          <w:sz w:val="24"/>
          <w:szCs w:val="24"/>
        </w:rPr>
      </w:pPr>
      <w:r>
        <w:rPr>
          <w:rFonts w:ascii="Times New Roman"/>
          <w:sz w:val="24"/>
        </w:rPr>
        <w:t>The repeal of IMMI 13/028 is part of a broad package of reforms for the employer sponsored skilled visa programs, announced by the Government on 18 April 2017. The Department of Home Affairs has engaged with external stakeholders since the announcement in developing the policy settings and considered feedback</w:t>
      </w:r>
      <w:r>
        <w:rPr>
          <w:rFonts w:ascii="Times New Roman"/>
          <w:spacing w:val="-13"/>
          <w:sz w:val="24"/>
        </w:rPr>
        <w:t xml:space="preserve"> </w:t>
      </w:r>
      <w:r>
        <w:rPr>
          <w:rFonts w:ascii="Times New Roman"/>
          <w:sz w:val="24"/>
        </w:rPr>
        <w:t>received. Some changes to settings have been machinery, and have not been the subject of consultation.</w:t>
      </w:r>
    </w:p>
    <w:p w:rsidR="00DC4CC2" w:rsidRDefault="00DC4CC2" w:rsidP="00DC4CC2">
      <w:pPr>
        <w:spacing w:before="10"/>
        <w:rPr>
          <w:rFonts w:ascii="Times New Roman" w:eastAsia="Times New Roman" w:hAnsi="Times New Roman" w:cs="Times New Roman"/>
          <w:sz w:val="31"/>
          <w:szCs w:val="31"/>
        </w:rPr>
      </w:pPr>
    </w:p>
    <w:p w:rsidR="00DC4CC2" w:rsidRDefault="00DC4CC2" w:rsidP="00DC4CC2">
      <w:pPr>
        <w:pStyle w:val="ListParagraph"/>
        <w:numPr>
          <w:ilvl w:val="0"/>
          <w:numId w:val="1"/>
        </w:numPr>
        <w:tabs>
          <w:tab w:val="left" w:pos="686"/>
        </w:tabs>
        <w:spacing w:line="360" w:lineRule="auto"/>
        <w:ind w:left="685" w:right="112"/>
        <w:jc w:val="both"/>
        <w:rPr>
          <w:rFonts w:ascii="Times New Roman" w:eastAsia="Times New Roman" w:hAnsi="Times New Roman" w:cs="Times New Roman"/>
          <w:sz w:val="24"/>
          <w:szCs w:val="24"/>
        </w:rPr>
      </w:pPr>
      <w:r>
        <w:rPr>
          <w:rFonts w:ascii="Times New Roman"/>
          <w:sz w:val="24"/>
        </w:rPr>
        <w:t>These reforms were also informed by earlier reviews including: the 2014 Independent Review into the integrity of the 457 program; the 2016 Productivity Commission Inquiry Report: Migrant Intake into Australia; the 2016 Review of the Temporary Skilled Migration Income Threshold; and the 2016 Senate Inquiry: A National  Disgrace: The Exploitation of Temporary Work Visa Holders. These reviews were subject to extensive consultation processes, including: individuals; academics; bodies and businesses who use the employer sponsored skilled visa programs; migration agents; representatives of foreign governments; the Ministerial Advisory Council on Skilled Migration; and government departments and</w:t>
      </w:r>
      <w:r>
        <w:rPr>
          <w:rFonts w:ascii="Times New Roman"/>
          <w:spacing w:val="-11"/>
          <w:sz w:val="24"/>
        </w:rPr>
        <w:t xml:space="preserve"> </w:t>
      </w:r>
      <w:r>
        <w:rPr>
          <w:rFonts w:ascii="Times New Roman"/>
          <w:sz w:val="24"/>
        </w:rPr>
        <w:t>agencies.</w:t>
      </w:r>
    </w:p>
    <w:p w:rsidR="00DC4CC2" w:rsidRDefault="00DC4CC2" w:rsidP="00DC4CC2">
      <w:pPr>
        <w:spacing w:before="7"/>
        <w:rPr>
          <w:rFonts w:ascii="Times New Roman" w:eastAsia="Times New Roman" w:hAnsi="Times New Roman" w:cs="Times New Roman"/>
          <w:sz w:val="31"/>
          <w:szCs w:val="31"/>
        </w:rPr>
      </w:pPr>
    </w:p>
    <w:p w:rsidR="00DC4CC2" w:rsidRDefault="00DC4CC2" w:rsidP="00DC4CC2">
      <w:pPr>
        <w:pStyle w:val="ListParagraph"/>
        <w:numPr>
          <w:ilvl w:val="0"/>
          <w:numId w:val="1"/>
        </w:numPr>
        <w:tabs>
          <w:tab w:val="left" w:pos="686"/>
        </w:tabs>
        <w:spacing w:line="360" w:lineRule="auto"/>
        <w:ind w:left="685" w:right="123"/>
        <w:jc w:val="both"/>
        <w:rPr>
          <w:rFonts w:ascii="Times New Roman" w:eastAsia="Times New Roman" w:hAnsi="Times New Roman" w:cs="Times New Roman"/>
          <w:sz w:val="24"/>
          <w:szCs w:val="24"/>
        </w:rPr>
      </w:pPr>
      <w:r>
        <w:rPr>
          <w:rFonts w:ascii="Times New Roman"/>
          <w:sz w:val="24"/>
        </w:rPr>
        <w:t>A Regulatory Impact Statement has been prepared in accordance with advice from the Office of Best Practice Regulation (OBPR Reference:</w:t>
      </w:r>
      <w:r>
        <w:rPr>
          <w:rFonts w:ascii="Times New Roman"/>
          <w:spacing w:val="-6"/>
          <w:sz w:val="24"/>
        </w:rPr>
        <w:t xml:space="preserve"> </w:t>
      </w:r>
      <w:r>
        <w:rPr>
          <w:rFonts w:ascii="Times New Roman"/>
          <w:sz w:val="24"/>
        </w:rPr>
        <w:t>21946).</w:t>
      </w:r>
    </w:p>
    <w:p w:rsidR="00DC4CC2" w:rsidRDefault="00DC4CC2" w:rsidP="00DC4CC2">
      <w:pPr>
        <w:spacing w:before="7"/>
        <w:rPr>
          <w:rFonts w:ascii="Times New Roman" w:eastAsia="Times New Roman" w:hAnsi="Times New Roman" w:cs="Times New Roman"/>
          <w:sz w:val="31"/>
          <w:szCs w:val="31"/>
        </w:rPr>
      </w:pPr>
    </w:p>
    <w:p w:rsidR="00DC4CC2" w:rsidRDefault="00DC4CC2" w:rsidP="00DC4CC2">
      <w:pPr>
        <w:pStyle w:val="ListParagraph"/>
        <w:numPr>
          <w:ilvl w:val="0"/>
          <w:numId w:val="1"/>
        </w:numPr>
        <w:tabs>
          <w:tab w:val="left" w:pos="686"/>
        </w:tabs>
        <w:spacing w:line="360" w:lineRule="auto"/>
        <w:ind w:left="685" w:right="115"/>
        <w:jc w:val="both"/>
        <w:rPr>
          <w:rFonts w:ascii="Times New Roman" w:eastAsia="Times New Roman" w:hAnsi="Times New Roman" w:cs="Times New Roman"/>
          <w:sz w:val="24"/>
          <w:szCs w:val="24"/>
        </w:rPr>
      </w:pPr>
      <w:r>
        <w:rPr>
          <w:rFonts w:ascii="Times New Roman"/>
          <w:sz w:val="24"/>
        </w:rPr>
        <w:t xml:space="preserve">Under section 42 of the </w:t>
      </w:r>
      <w:r>
        <w:rPr>
          <w:rFonts w:ascii="Times New Roman"/>
          <w:i/>
          <w:sz w:val="24"/>
        </w:rPr>
        <w:t>Legislation Act 2003</w:t>
      </w:r>
      <w:r>
        <w:rPr>
          <w:rFonts w:ascii="Times New Roman"/>
          <w:sz w:val="24"/>
        </w:rPr>
        <w:t>, this instrument is subject to disallowance and therefore a Statement of Compatibility with Human Rights is included at Attachment</w:t>
      </w:r>
      <w:r>
        <w:rPr>
          <w:rFonts w:ascii="Times New Roman"/>
          <w:spacing w:val="-3"/>
          <w:sz w:val="24"/>
        </w:rPr>
        <w:t> </w:t>
      </w:r>
      <w:r>
        <w:rPr>
          <w:rFonts w:ascii="Times New Roman"/>
          <w:sz w:val="24"/>
        </w:rPr>
        <w:t>A.</w:t>
      </w:r>
    </w:p>
    <w:p w:rsidR="00DC4CC2" w:rsidRDefault="00DC4CC2" w:rsidP="00DC4CC2">
      <w:pPr>
        <w:spacing w:before="10"/>
        <w:rPr>
          <w:rFonts w:ascii="Times New Roman" w:eastAsia="Times New Roman" w:hAnsi="Times New Roman" w:cs="Times New Roman"/>
          <w:sz w:val="31"/>
          <w:szCs w:val="31"/>
        </w:rPr>
      </w:pPr>
    </w:p>
    <w:p w:rsidR="00DC4CC2" w:rsidRPr="000A69D7" w:rsidRDefault="00DC4CC2" w:rsidP="00DC4CC2">
      <w:pPr>
        <w:pStyle w:val="ListParagraph"/>
        <w:numPr>
          <w:ilvl w:val="0"/>
          <w:numId w:val="1"/>
        </w:numPr>
        <w:tabs>
          <w:tab w:val="left" w:pos="686"/>
        </w:tabs>
        <w:spacing w:line="360" w:lineRule="auto"/>
        <w:ind w:left="685" w:right="115"/>
        <w:jc w:val="both"/>
        <w:rPr>
          <w:rFonts w:ascii="Times New Roman" w:eastAsia="Times New Roman" w:hAnsi="Times New Roman" w:cs="Times New Roman"/>
          <w:sz w:val="24"/>
          <w:szCs w:val="24"/>
        </w:rPr>
      </w:pPr>
      <w:r>
        <w:rPr>
          <w:rFonts w:ascii="Times New Roman"/>
          <w:sz w:val="24"/>
        </w:rPr>
        <w:t xml:space="preserve">The instrument, IMMI 18/082, commences on the day after it </w:t>
      </w:r>
      <w:proofErr w:type="gramStart"/>
      <w:r>
        <w:rPr>
          <w:rFonts w:ascii="Times New Roman"/>
          <w:sz w:val="24"/>
        </w:rPr>
        <w:t>is registered</w:t>
      </w:r>
      <w:proofErr w:type="gramEnd"/>
      <w:r>
        <w:rPr>
          <w:rFonts w:ascii="Times New Roman"/>
          <w:sz w:val="24"/>
        </w:rPr>
        <w:t xml:space="preserve"> on the Federal Register of</w:t>
      </w:r>
      <w:r>
        <w:rPr>
          <w:rFonts w:ascii="Times New Roman"/>
          <w:spacing w:val="-6"/>
          <w:sz w:val="24"/>
        </w:rPr>
        <w:t xml:space="preserve"> </w:t>
      </w:r>
      <w:r>
        <w:rPr>
          <w:rFonts w:ascii="Times New Roman"/>
          <w:sz w:val="24"/>
        </w:rPr>
        <w:t>Legislation.</w:t>
      </w:r>
    </w:p>
    <w:p w:rsidR="00DC4CC2" w:rsidRPr="000A69D7" w:rsidRDefault="00DC4CC2" w:rsidP="00DC4CC2">
      <w:pPr>
        <w:pStyle w:val="ListParagraph"/>
        <w:rPr>
          <w:rFonts w:ascii="Times New Roman" w:eastAsia="Times New Roman" w:hAnsi="Times New Roman" w:cs="Times New Roman"/>
          <w:sz w:val="24"/>
          <w:szCs w:val="24"/>
        </w:rPr>
      </w:pPr>
    </w:p>
    <w:p w:rsidR="00DC4CC2" w:rsidRDefault="00DC4CC2" w:rsidP="00DC4CC2">
      <w:pPr>
        <w:tabs>
          <w:tab w:val="left" w:pos="686"/>
        </w:tabs>
        <w:spacing w:line="360" w:lineRule="auto"/>
        <w:ind w:right="115"/>
        <w:jc w:val="both"/>
        <w:rPr>
          <w:rFonts w:ascii="Times New Roman" w:eastAsia="Times New Roman" w:hAnsi="Times New Roman" w:cs="Times New Roman"/>
          <w:sz w:val="24"/>
          <w:szCs w:val="24"/>
        </w:rPr>
      </w:pPr>
    </w:p>
    <w:p w:rsidR="00DC4CC2" w:rsidRDefault="00DC4CC2" w:rsidP="00DC4CC2">
      <w:pPr>
        <w:tabs>
          <w:tab w:val="left" w:pos="686"/>
        </w:tabs>
        <w:spacing w:line="360" w:lineRule="auto"/>
        <w:ind w:right="115"/>
        <w:jc w:val="both"/>
        <w:rPr>
          <w:rFonts w:ascii="Times New Roman" w:eastAsia="Times New Roman" w:hAnsi="Times New Roman" w:cs="Times New Roman"/>
          <w:sz w:val="24"/>
          <w:szCs w:val="24"/>
        </w:rPr>
      </w:pPr>
    </w:p>
    <w:p w:rsidR="00DC4CC2" w:rsidRDefault="00DC4CC2" w:rsidP="00DC4CC2">
      <w:pPr>
        <w:tabs>
          <w:tab w:val="left" w:pos="686"/>
        </w:tabs>
        <w:spacing w:line="360" w:lineRule="auto"/>
        <w:ind w:right="115"/>
        <w:jc w:val="both"/>
        <w:rPr>
          <w:rFonts w:ascii="Times New Roman" w:eastAsia="Times New Roman" w:hAnsi="Times New Roman" w:cs="Times New Roman"/>
          <w:sz w:val="24"/>
          <w:szCs w:val="24"/>
        </w:rPr>
      </w:pPr>
    </w:p>
    <w:p w:rsidR="00DC4CC2" w:rsidRDefault="00DC4CC2" w:rsidP="00DC4CC2">
      <w:pPr>
        <w:tabs>
          <w:tab w:val="left" w:pos="686"/>
        </w:tabs>
        <w:spacing w:line="360" w:lineRule="auto"/>
        <w:ind w:right="115"/>
        <w:jc w:val="both"/>
        <w:rPr>
          <w:rFonts w:ascii="Times New Roman" w:eastAsia="Times New Roman" w:hAnsi="Times New Roman" w:cs="Times New Roman"/>
          <w:sz w:val="24"/>
          <w:szCs w:val="24"/>
        </w:rPr>
      </w:pPr>
    </w:p>
    <w:p w:rsidR="00DC4CC2" w:rsidRDefault="00DC4CC2" w:rsidP="00DC4CC2">
      <w:pPr>
        <w:tabs>
          <w:tab w:val="left" w:pos="686"/>
        </w:tabs>
        <w:spacing w:line="360" w:lineRule="auto"/>
        <w:ind w:right="115"/>
        <w:jc w:val="both"/>
        <w:rPr>
          <w:rFonts w:ascii="Times New Roman" w:eastAsia="Times New Roman" w:hAnsi="Times New Roman" w:cs="Times New Roman"/>
          <w:sz w:val="24"/>
          <w:szCs w:val="24"/>
        </w:rPr>
      </w:pPr>
    </w:p>
    <w:p w:rsidR="00DC4CC2" w:rsidRDefault="00DC4CC2" w:rsidP="00DC4CC2">
      <w:pPr>
        <w:tabs>
          <w:tab w:val="left" w:pos="686"/>
        </w:tabs>
        <w:spacing w:line="360" w:lineRule="auto"/>
        <w:ind w:right="115"/>
        <w:jc w:val="both"/>
        <w:rPr>
          <w:rFonts w:ascii="Times New Roman" w:eastAsia="Times New Roman" w:hAnsi="Times New Roman" w:cs="Times New Roman"/>
          <w:sz w:val="24"/>
          <w:szCs w:val="24"/>
        </w:rPr>
      </w:pPr>
    </w:p>
    <w:p w:rsidR="00DC4CC2" w:rsidRDefault="00DC4CC2" w:rsidP="00DC4CC2">
      <w:pPr>
        <w:tabs>
          <w:tab w:val="left" w:pos="686"/>
        </w:tabs>
        <w:spacing w:line="360" w:lineRule="auto"/>
        <w:ind w:right="115"/>
        <w:jc w:val="both"/>
        <w:rPr>
          <w:rFonts w:ascii="Times New Roman" w:eastAsia="Times New Roman" w:hAnsi="Times New Roman" w:cs="Times New Roman"/>
          <w:sz w:val="24"/>
          <w:szCs w:val="24"/>
        </w:rPr>
      </w:pPr>
    </w:p>
    <w:p w:rsidR="00DC4CC2" w:rsidRDefault="00DC4CC2" w:rsidP="00DC4CC2">
      <w:pPr>
        <w:tabs>
          <w:tab w:val="left" w:pos="686"/>
        </w:tabs>
        <w:spacing w:line="360" w:lineRule="auto"/>
        <w:ind w:right="115"/>
        <w:jc w:val="both"/>
        <w:rPr>
          <w:rFonts w:ascii="Times New Roman" w:eastAsia="Times New Roman" w:hAnsi="Times New Roman" w:cs="Times New Roman"/>
          <w:sz w:val="24"/>
          <w:szCs w:val="24"/>
        </w:rPr>
      </w:pPr>
    </w:p>
    <w:p w:rsidR="00DC4CC2" w:rsidRDefault="00DC4CC2" w:rsidP="00DC4CC2">
      <w:pPr>
        <w:tabs>
          <w:tab w:val="left" w:pos="686"/>
        </w:tabs>
        <w:spacing w:line="360" w:lineRule="auto"/>
        <w:ind w:right="115"/>
        <w:jc w:val="both"/>
        <w:rPr>
          <w:rFonts w:ascii="Times New Roman" w:eastAsia="Times New Roman" w:hAnsi="Times New Roman" w:cs="Times New Roman"/>
          <w:sz w:val="24"/>
          <w:szCs w:val="24"/>
        </w:rPr>
      </w:pPr>
    </w:p>
    <w:p w:rsidR="00DC4CC2" w:rsidRDefault="00DC4CC2" w:rsidP="00DC4CC2">
      <w:pPr>
        <w:tabs>
          <w:tab w:val="left" w:pos="686"/>
        </w:tabs>
        <w:spacing w:line="360" w:lineRule="auto"/>
        <w:ind w:right="115"/>
        <w:jc w:val="both"/>
        <w:rPr>
          <w:rFonts w:ascii="Times New Roman" w:eastAsia="Times New Roman" w:hAnsi="Times New Roman" w:cs="Times New Roman"/>
          <w:sz w:val="24"/>
          <w:szCs w:val="24"/>
        </w:rPr>
      </w:pPr>
    </w:p>
    <w:p w:rsidR="00DC4CC2" w:rsidRDefault="00DC4CC2" w:rsidP="00DC4CC2">
      <w:pPr>
        <w:tabs>
          <w:tab w:val="left" w:pos="686"/>
        </w:tabs>
        <w:spacing w:line="360" w:lineRule="auto"/>
        <w:ind w:right="115"/>
        <w:jc w:val="both"/>
        <w:rPr>
          <w:rFonts w:ascii="Times New Roman" w:eastAsia="Times New Roman" w:hAnsi="Times New Roman" w:cs="Times New Roman"/>
          <w:sz w:val="24"/>
          <w:szCs w:val="24"/>
        </w:rPr>
      </w:pPr>
    </w:p>
    <w:p w:rsidR="00DC4CC2" w:rsidRDefault="00DC4CC2" w:rsidP="00DC4CC2">
      <w:pPr>
        <w:tabs>
          <w:tab w:val="left" w:pos="686"/>
        </w:tabs>
        <w:spacing w:line="360" w:lineRule="auto"/>
        <w:ind w:right="115"/>
        <w:jc w:val="both"/>
        <w:rPr>
          <w:rFonts w:ascii="Times New Roman" w:eastAsia="Times New Roman" w:hAnsi="Times New Roman" w:cs="Times New Roman"/>
          <w:sz w:val="24"/>
          <w:szCs w:val="24"/>
        </w:rPr>
      </w:pPr>
    </w:p>
    <w:p w:rsidR="00DC4CC2" w:rsidRDefault="00DC4CC2" w:rsidP="00DC4CC2">
      <w:pPr>
        <w:tabs>
          <w:tab w:val="left" w:pos="686"/>
        </w:tabs>
        <w:spacing w:line="360" w:lineRule="auto"/>
        <w:ind w:right="115"/>
        <w:jc w:val="both"/>
        <w:rPr>
          <w:rFonts w:ascii="Times New Roman" w:eastAsia="Times New Roman" w:hAnsi="Times New Roman" w:cs="Times New Roman"/>
          <w:sz w:val="24"/>
          <w:szCs w:val="24"/>
        </w:rPr>
      </w:pPr>
    </w:p>
    <w:p w:rsidR="00DC4CC2" w:rsidRPr="00D664E6" w:rsidRDefault="00DC4CC2" w:rsidP="00DC4CC2">
      <w:pPr>
        <w:spacing w:before="360" w:after="120"/>
        <w:jc w:val="center"/>
        <w:rPr>
          <w:rFonts w:ascii="Times New Roman" w:hAnsi="Times New Roman"/>
          <w:b/>
          <w:sz w:val="28"/>
          <w:szCs w:val="28"/>
        </w:rPr>
      </w:pPr>
      <w:r w:rsidRPr="00D664E6">
        <w:rPr>
          <w:rFonts w:ascii="Times New Roman" w:hAnsi="Times New Roman"/>
          <w:b/>
          <w:sz w:val="28"/>
          <w:szCs w:val="28"/>
        </w:rPr>
        <w:t>Statement of Compatibility with Human Rights</w:t>
      </w:r>
    </w:p>
    <w:p w:rsidR="00DC4CC2" w:rsidRPr="00D664E6" w:rsidRDefault="00DC4CC2" w:rsidP="00DC4CC2">
      <w:pPr>
        <w:spacing w:before="120" w:after="120"/>
        <w:jc w:val="both"/>
        <w:rPr>
          <w:rFonts w:ascii="Times New Roman" w:hAnsi="Times New Roman"/>
          <w:sz w:val="24"/>
          <w:szCs w:val="24"/>
        </w:rPr>
      </w:pPr>
      <w:r w:rsidRPr="00D664E6">
        <w:rPr>
          <w:rFonts w:ascii="Times New Roman" w:hAnsi="Times New Roman"/>
          <w:i/>
          <w:sz w:val="24"/>
          <w:szCs w:val="24"/>
        </w:rPr>
        <w:t>Prepared in accordance with Part 3 of the Human Rights (Parliamentary Scrutiny) Act 2011</w:t>
      </w:r>
    </w:p>
    <w:p w:rsidR="00DC4CC2" w:rsidRPr="00D664E6" w:rsidRDefault="00DC4CC2" w:rsidP="00DC4CC2">
      <w:pPr>
        <w:spacing w:before="120" w:after="120"/>
        <w:jc w:val="both"/>
        <w:rPr>
          <w:rFonts w:ascii="Times New Roman" w:hAnsi="Times New Roman"/>
          <w:sz w:val="24"/>
          <w:szCs w:val="24"/>
        </w:rPr>
      </w:pPr>
    </w:p>
    <w:p w:rsidR="00DC4CC2" w:rsidRPr="00A270B2" w:rsidRDefault="00DC4CC2" w:rsidP="00DC4CC2">
      <w:pPr>
        <w:spacing w:before="120" w:after="120"/>
        <w:jc w:val="center"/>
        <w:rPr>
          <w:rFonts w:ascii="Times New Roman" w:hAnsi="Times New Roman"/>
          <w:sz w:val="24"/>
          <w:szCs w:val="24"/>
          <w:u w:val="single"/>
        </w:rPr>
      </w:pPr>
      <w:r w:rsidRPr="00A270B2">
        <w:rPr>
          <w:rFonts w:ascii="Times New Roman" w:hAnsi="Times New Roman"/>
          <w:b/>
          <w:sz w:val="24"/>
          <w:szCs w:val="24"/>
          <w:u w:val="single"/>
        </w:rPr>
        <w:t>Migration (IMMI 18/082: Specification of income threshold and annual earnings) Repeal Instrument 2018</w:t>
      </w:r>
    </w:p>
    <w:p w:rsidR="00DC4CC2" w:rsidRPr="00D664E6" w:rsidRDefault="00DC4CC2" w:rsidP="00DC4CC2">
      <w:pPr>
        <w:spacing w:before="120" w:after="120"/>
        <w:jc w:val="both"/>
        <w:rPr>
          <w:rFonts w:ascii="Times New Roman" w:hAnsi="Times New Roman"/>
          <w:sz w:val="24"/>
          <w:szCs w:val="24"/>
        </w:rPr>
      </w:pPr>
      <w:r>
        <w:rPr>
          <w:rFonts w:ascii="Times New Roman" w:hAnsi="Times New Roman"/>
          <w:sz w:val="24"/>
          <w:szCs w:val="24"/>
        </w:rPr>
        <w:t xml:space="preserve">This </w:t>
      </w:r>
      <w:r w:rsidRPr="00D664E6">
        <w:rPr>
          <w:rFonts w:ascii="Times New Roman" w:hAnsi="Times New Roman"/>
          <w:sz w:val="24"/>
          <w:szCs w:val="24"/>
        </w:rPr>
        <w:t xml:space="preserve">Legislative Instrument is compatible with the human rights and freedoms </w:t>
      </w:r>
      <w:proofErr w:type="spellStart"/>
      <w:r w:rsidRPr="00D664E6">
        <w:rPr>
          <w:rFonts w:ascii="Times New Roman" w:hAnsi="Times New Roman"/>
          <w:sz w:val="24"/>
          <w:szCs w:val="24"/>
        </w:rPr>
        <w:t>recognised</w:t>
      </w:r>
      <w:proofErr w:type="spellEnd"/>
      <w:r w:rsidRPr="00D664E6">
        <w:rPr>
          <w:rFonts w:ascii="Times New Roman" w:hAnsi="Times New Roman"/>
          <w:sz w:val="24"/>
          <w:szCs w:val="24"/>
        </w:rPr>
        <w:t xml:space="preserve"> or declared in the international instruments listed in section 3 of the </w:t>
      </w:r>
      <w:r w:rsidRPr="00D664E6">
        <w:rPr>
          <w:rFonts w:ascii="Times New Roman" w:hAnsi="Times New Roman"/>
          <w:i/>
          <w:sz w:val="24"/>
          <w:szCs w:val="24"/>
        </w:rPr>
        <w:t>Human Rights (Parliamentary Scrutiny) Act 2011</w:t>
      </w:r>
      <w:r w:rsidRPr="00D664E6">
        <w:rPr>
          <w:rFonts w:ascii="Times New Roman" w:hAnsi="Times New Roman"/>
          <w:sz w:val="24"/>
          <w:szCs w:val="24"/>
        </w:rPr>
        <w:t>.</w:t>
      </w:r>
    </w:p>
    <w:p w:rsidR="00DC4CC2" w:rsidRPr="00D664E6" w:rsidRDefault="00DC4CC2" w:rsidP="00DC4CC2">
      <w:pPr>
        <w:spacing w:before="120" w:after="120"/>
        <w:jc w:val="both"/>
        <w:rPr>
          <w:rFonts w:ascii="Times New Roman" w:hAnsi="Times New Roman"/>
          <w:sz w:val="24"/>
          <w:szCs w:val="24"/>
        </w:rPr>
      </w:pPr>
    </w:p>
    <w:p w:rsidR="00DC4CC2" w:rsidRPr="00D664E6" w:rsidRDefault="00DC4CC2" w:rsidP="00DC4CC2">
      <w:pPr>
        <w:spacing w:before="120" w:after="120"/>
        <w:jc w:val="both"/>
        <w:rPr>
          <w:rFonts w:ascii="Times New Roman" w:hAnsi="Times New Roman"/>
          <w:b/>
          <w:sz w:val="24"/>
          <w:szCs w:val="24"/>
        </w:rPr>
      </w:pPr>
      <w:r w:rsidRPr="00D664E6">
        <w:rPr>
          <w:rFonts w:ascii="Times New Roman" w:hAnsi="Times New Roman"/>
          <w:b/>
          <w:sz w:val="24"/>
          <w:szCs w:val="24"/>
        </w:rPr>
        <w:t>Overview of the Bill/Legislative Instrument</w:t>
      </w:r>
    </w:p>
    <w:p w:rsidR="00DC4CC2" w:rsidRPr="00D664E6" w:rsidRDefault="00DC4CC2" w:rsidP="00DC4CC2">
      <w:pPr>
        <w:spacing w:before="120" w:after="120"/>
        <w:jc w:val="both"/>
        <w:rPr>
          <w:rFonts w:ascii="Times New Roman" w:hAnsi="Times New Roman"/>
          <w:color w:val="0070C0"/>
          <w:sz w:val="24"/>
          <w:szCs w:val="24"/>
        </w:rPr>
      </w:pPr>
      <w:r>
        <w:rPr>
          <w:rFonts w:ascii="Times New Roman" w:hAnsi="Times New Roman"/>
          <w:sz w:val="24"/>
          <w:szCs w:val="24"/>
        </w:rPr>
        <w:t>This Legislative Instrument repeals IMMI 13/028. IMMI 13/028 operated to specify the temporary skilled migration income threshold for the purposes of paragraph 2.72(10</w:t>
      </w:r>
      <w:proofErr w:type="gramStart"/>
      <w:r>
        <w:rPr>
          <w:rFonts w:ascii="Times New Roman" w:hAnsi="Times New Roman"/>
          <w:sz w:val="24"/>
          <w:szCs w:val="24"/>
        </w:rPr>
        <w:t>)(</w:t>
      </w:r>
      <w:proofErr w:type="gramEnd"/>
      <w:r>
        <w:rPr>
          <w:rFonts w:ascii="Times New Roman" w:hAnsi="Times New Roman"/>
          <w:sz w:val="24"/>
          <w:szCs w:val="24"/>
        </w:rPr>
        <w:t xml:space="preserve">cc) of the </w:t>
      </w:r>
      <w:r w:rsidRPr="002721B4">
        <w:rPr>
          <w:rFonts w:ascii="Times New Roman" w:hAnsi="Times New Roman"/>
          <w:i/>
          <w:sz w:val="24"/>
          <w:szCs w:val="24"/>
        </w:rPr>
        <w:t>Migration Regulations 1994</w:t>
      </w:r>
      <w:r>
        <w:rPr>
          <w:rFonts w:ascii="Times New Roman" w:hAnsi="Times New Roman"/>
          <w:i/>
          <w:sz w:val="24"/>
          <w:szCs w:val="24"/>
        </w:rPr>
        <w:t xml:space="preserve"> </w:t>
      </w:r>
      <w:r w:rsidRPr="002721B4">
        <w:rPr>
          <w:rFonts w:ascii="Times New Roman" w:hAnsi="Times New Roman"/>
          <w:sz w:val="24"/>
          <w:szCs w:val="24"/>
        </w:rPr>
        <w:t>(the Regulations)</w:t>
      </w:r>
      <w:r>
        <w:rPr>
          <w:rFonts w:ascii="Times New Roman" w:hAnsi="Times New Roman"/>
          <w:sz w:val="24"/>
          <w:szCs w:val="24"/>
        </w:rPr>
        <w:t>, and the annual earnings for the purposes of subregulation 2.72(10AB) and paragraph 2.79(1A)(b) of the Regulations. Paragraph 2.72(10</w:t>
      </w:r>
      <w:proofErr w:type="gramStart"/>
      <w:r>
        <w:rPr>
          <w:rFonts w:ascii="Times New Roman" w:hAnsi="Times New Roman"/>
          <w:sz w:val="24"/>
          <w:szCs w:val="24"/>
        </w:rPr>
        <w:t>)(</w:t>
      </w:r>
      <w:proofErr w:type="gramEnd"/>
      <w:r>
        <w:rPr>
          <w:rFonts w:ascii="Times New Roman" w:hAnsi="Times New Roman"/>
          <w:sz w:val="24"/>
          <w:szCs w:val="24"/>
        </w:rPr>
        <w:t xml:space="preserve">cc) and subregulation 2.72(10AB) of the Regulations have been repealed by the </w:t>
      </w:r>
      <w:r w:rsidRPr="00EB2E64">
        <w:rPr>
          <w:rFonts w:ascii="Times New Roman" w:hAnsi="Times New Roman"/>
          <w:i/>
          <w:sz w:val="24"/>
          <w:szCs w:val="24"/>
        </w:rPr>
        <w:t>Migration Legislation Amendment (Temporary Skill Shortage Visa and Complementary Reforms) Regulations 2018</w:t>
      </w:r>
      <w:r>
        <w:rPr>
          <w:rFonts w:ascii="Times New Roman" w:hAnsi="Times New Roman"/>
          <w:sz w:val="24"/>
          <w:szCs w:val="24"/>
        </w:rPr>
        <w:t>. As at 18 March 2018, the annual earnings for the purposes of paragraph 2.79(1A</w:t>
      </w:r>
      <w:proofErr w:type="gramStart"/>
      <w:r>
        <w:rPr>
          <w:rFonts w:ascii="Times New Roman" w:hAnsi="Times New Roman"/>
          <w:sz w:val="24"/>
          <w:szCs w:val="24"/>
        </w:rPr>
        <w:t>)(</w:t>
      </w:r>
      <w:proofErr w:type="gramEnd"/>
      <w:r>
        <w:rPr>
          <w:rFonts w:ascii="Times New Roman" w:hAnsi="Times New Roman"/>
          <w:sz w:val="24"/>
          <w:szCs w:val="24"/>
        </w:rPr>
        <w:t>b) are now specified in the Legislative Instrument IMMI 18/033.</w:t>
      </w:r>
    </w:p>
    <w:p w:rsidR="00DC4CC2" w:rsidRDefault="00DC4CC2" w:rsidP="00DC4CC2">
      <w:pPr>
        <w:spacing w:before="120" w:after="120"/>
        <w:jc w:val="both"/>
        <w:rPr>
          <w:rFonts w:ascii="Times New Roman" w:hAnsi="Times New Roman"/>
          <w:b/>
          <w:sz w:val="24"/>
          <w:szCs w:val="24"/>
        </w:rPr>
      </w:pPr>
    </w:p>
    <w:p w:rsidR="00DC4CC2" w:rsidRPr="00D664E6" w:rsidRDefault="00DC4CC2" w:rsidP="00DC4CC2">
      <w:pPr>
        <w:spacing w:before="120" w:after="120"/>
        <w:jc w:val="both"/>
        <w:rPr>
          <w:rFonts w:ascii="Times New Roman" w:hAnsi="Times New Roman"/>
          <w:b/>
          <w:sz w:val="24"/>
          <w:szCs w:val="24"/>
        </w:rPr>
      </w:pPr>
      <w:r w:rsidRPr="00D664E6">
        <w:rPr>
          <w:rFonts w:ascii="Times New Roman" w:hAnsi="Times New Roman"/>
          <w:b/>
          <w:sz w:val="24"/>
          <w:szCs w:val="24"/>
        </w:rPr>
        <w:t>Human rights implications</w:t>
      </w:r>
    </w:p>
    <w:p w:rsidR="00DC4CC2" w:rsidRPr="00D664E6" w:rsidRDefault="00DC4CC2" w:rsidP="00DC4CC2">
      <w:pPr>
        <w:spacing w:before="120" w:after="120"/>
        <w:jc w:val="both"/>
        <w:rPr>
          <w:rFonts w:ascii="Times New Roman" w:hAnsi="Times New Roman"/>
          <w:sz w:val="24"/>
          <w:szCs w:val="24"/>
        </w:rPr>
      </w:pPr>
      <w:r>
        <w:rPr>
          <w:rFonts w:ascii="Times New Roman" w:hAnsi="Times New Roman"/>
          <w:sz w:val="24"/>
          <w:szCs w:val="24"/>
        </w:rPr>
        <w:t>The proposed amendments do not engage any of the human rights enunciated in the seven core international human rights treaties. This Legislative Instrument is merely repealing IMMI 13/028 to reflect the repeal of the paragraph 2.72(10</w:t>
      </w:r>
      <w:proofErr w:type="gramStart"/>
      <w:r>
        <w:rPr>
          <w:rFonts w:ascii="Times New Roman" w:hAnsi="Times New Roman"/>
          <w:sz w:val="24"/>
          <w:szCs w:val="24"/>
        </w:rPr>
        <w:t>)(</w:t>
      </w:r>
      <w:proofErr w:type="gramEnd"/>
      <w:r>
        <w:rPr>
          <w:rFonts w:ascii="Times New Roman" w:hAnsi="Times New Roman"/>
          <w:sz w:val="24"/>
          <w:szCs w:val="24"/>
        </w:rPr>
        <w:t xml:space="preserve">cc) and subregulation 2.72(10AB), which IMMI 13/028 was made under. The specification of income threshold and annual earnings </w:t>
      </w:r>
      <w:proofErr w:type="gramStart"/>
      <w:r>
        <w:rPr>
          <w:rFonts w:ascii="Times New Roman" w:hAnsi="Times New Roman"/>
          <w:sz w:val="24"/>
          <w:szCs w:val="24"/>
        </w:rPr>
        <w:t>have not been altered</w:t>
      </w:r>
      <w:proofErr w:type="gramEnd"/>
      <w:r>
        <w:rPr>
          <w:rFonts w:ascii="Times New Roman" w:hAnsi="Times New Roman"/>
          <w:sz w:val="24"/>
          <w:szCs w:val="24"/>
        </w:rPr>
        <w:t xml:space="preserve">, and are set out in Legislative Instrument IMMI 18/033. </w:t>
      </w:r>
    </w:p>
    <w:p w:rsidR="00DC4CC2" w:rsidRPr="00D664E6" w:rsidRDefault="00DC4CC2" w:rsidP="00DC4CC2">
      <w:pPr>
        <w:spacing w:before="120" w:after="120"/>
        <w:jc w:val="both"/>
        <w:rPr>
          <w:rFonts w:ascii="Times New Roman" w:hAnsi="Times New Roman"/>
          <w:b/>
          <w:sz w:val="24"/>
          <w:szCs w:val="24"/>
        </w:rPr>
      </w:pPr>
    </w:p>
    <w:p w:rsidR="00DC4CC2" w:rsidRPr="00D664E6" w:rsidRDefault="00DC4CC2" w:rsidP="00DC4CC2">
      <w:pPr>
        <w:spacing w:before="120" w:after="120"/>
        <w:jc w:val="both"/>
        <w:rPr>
          <w:rFonts w:ascii="Times New Roman" w:hAnsi="Times New Roman"/>
          <w:b/>
          <w:sz w:val="24"/>
          <w:szCs w:val="24"/>
        </w:rPr>
      </w:pPr>
      <w:r w:rsidRPr="00D664E6">
        <w:rPr>
          <w:rFonts w:ascii="Times New Roman" w:hAnsi="Times New Roman"/>
          <w:b/>
          <w:sz w:val="24"/>
          <w:szCs w:val="24"/>
        </w:rPr>
        <w:t xml:space="preserve">Conclusion </w:t>
      </w:r>
    </w:p>
    <w:p w:rsidR="00DC4CC2" w:rsidRPr="00D664E6" w:rsidRDefault="00DC4CC2" w:rsidP="00DC4CC2">
      <w:pPr>
        <w:spacing w:before="120" w:after="120"/>
        <w:jc w:val="both"/>
        <w:rPr>
          <w:rFonts w:ascii="Times New Roman" w:hAnsi="Times New Roman"/>
          <w:sz w:val="24"/>
          <w:szCs w:val="24"/>
        </w:rPr>
      </w:pPr>
      <w:r>
        <w:rPr>
          <w:rFonts w:ascii="Times New Roman" w:hAnsi="Times New Roman"/>
          <w:sz w:val="24"/>
          <w:szCs w:val="24"/>
        </w:rPr>
        <w:t xml:space="preserve">This proposed Legislative Instrument is compatible with human </w:t>
      </w:r>
      <w:proofErr w:type="gramStart"/>
      <w:r>
        <w:rPr>
          <w:rFonts w:ascii="Times New Roman" w:hAnsi="Times New Roman"/>
          <w:sz w:val="24"/>
          <w:szCs w:val="24"/>
        </w:rPr>
        <w:t>rights</w:t>
      </w:r>
      <w:proofErr w:type="gramEnd"/>
      <w:r>
        <w:rPr>
          <w:rFonts w:ascii="Times New Roman" w:hAnsi="Times New Roman"/>
          <w:sz w:val="24"/>
          <w:szCs w:val="24"/>
        </w:rPr>
        <w:t xml:space="preserve"> as it does not raise any human rights issues.</w:t>
      </w:r>
    </w:p>
    <w:p w:rsidR="00DC4CC2" w:rsidRPr="00D664E6" w:rsidRDefault="00DC4CC2" w:rsidP="00DC4CC2">
      <w:pPr>
        <w:spacing w:before="120" w:after="120"/>
        <w:jc w:val="both"/>
        <w:rPr>
          <w:rFonts w:ascii="Times New Roman" w:hAnsi="Times New Roman"/>
          <w:sz w:val="24"/>
          <w:szCs w:val="24"/>
        </w:rPr>
      </w:pPr>
    </w:p>
    <w:p w:rsidR="00DC4CC2" w:rsidRPr="00D664E6" w:rsidRDefault="00DC4CC2" w:rsidP="00DC4CC2">
      <w:pPr>
        <w:spacing w:before="120" w:after="120"/>
        <w:jc w:val="center"/>
        <w:rPr>
          <w:rFonts w:ascii="Times New Roman" w:hAnsi="Times New Roman"/>
          <w:b/>
          <w:sz w:val="24"/>
          <w:szCs w:val="24"/>
        </w:rPr>
      </w:pPr>
      <w:r>
        <w:rPr>
          <w:rFonts w:ascii="Times New Roman" w:hAnsi="Times New Roman"/>
          <w:b/>
          <w:bCs/>
          <w:sz w:val="24"/>
          <w:szCs w:val="24"/>
        </w:rPr>
        <w:t>The Hon Alan Tudge MP, Minister for Citizenship and Multicultural Affairs</w:t>
      </w:r>
    </w:p>
    <w:p w:rsidR="00DC4CC2" w:rsidRDefault="00DC4CC2" w:rsidP="00DC4CC2">
      <w:pPr>
        <w:jc w:val="both"/>
      </w:pPr>
    </w:p>
    <w:p w:rsidR="00DC4CC2" w:rsidRPr="000A69D7" w:rsidRDefault="00DC4CC2" w:rsidP="00DC4CC2">
      <w:pPr>
        <w:tabs>
          <w:tab w:val="left" w:pos="686"/>
        </w:tabs>
        <w:spacing w:line="360" w:lineRule="auto"/>
        <w:ind w:right="115"/>
        <w:jc w:val="both"/>
        <w:rPr>
          <w:rFonts w:ascii="Times New Roman" w:eastAsia="Times New Roman" w:hAnsi="Times New Roman" w:cs="Times New Roman"/>
          <w:sz w:val="24"/>
          <w:szCs w:val="24"/>
        </w:rPr>
      </w:pPr>
    </w:p>
    <w:p w:rsidR="002733FA" w:rsidRDefault="002733FA"/>
    <w:sectPr w:rsidR="002733FA">
      <w:pgSz w:w="11910" w:h="16840"/>
      <w:pgMar w:top="660" w:right="1300" w:bottom="280" w:left="1300" w:header="449"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63C" w:rsidRDefault="00DC4CC2">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797C7FA8" wp14:editId="383A4E5C">
              <wp:simplePos x="0" y="0"/>
              <wp:positionH relativeFrom="page">
                <wp:posOffset>5885180</wp:posOffset>
              </wp:positionH>
              <wp:positionV relativeFrom="page">
                <wp:posOffset>272415</wp:posOffset>
              </wp:positionV>
              <wp:extent cx="790575" cy="165735"/>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63C" w:rsidRDefault="00DC4CC2">
                          <w:pPr>
                            <w:spacing w:line="245" w:lineRule="exact"/>
                            <w:ind w:left="20"/>
                            <w:rPr>
                              <w:rFonts w:ascii="Times New Roman" w:eastAsia="Times New Roman" w:hAnsi="Times New Roman" w:cs="Times New Roman"/>
                            </w:rPr>
                          </w:pPr>
                          <w:r>
                            <w:rPr>
                              <w:rFonts w:ascii="Times New Roman"/>
                            </w:rPr>
                            <w:t>IMMI</w:t>
                          </w:r>
                          <w:r>
                            <w:rPr>
                              <w:rFonts w:ascii="Times New Roman"/>
                              <w:spacing w:val="-1"/>
                            </w:rPr>
                            <w:t xml:space="preserve"> </w:t>
                          </w:r>
                          <w:r>
                            <w:rPr>
                              <w:rFonts w:ascii="Times New Roman"/>
                            </w:rPr>
                            <w:t>18/082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7C7FA8" id="_x0000_t202" coordsize="21600,21600" o:spt="202" path="m,l,21600r21600,l21600,xe">
              <v:stroke joinstyle="miter"/>
              <v:path gradientshapeok="t" o:connecttype="rect"/>
            </v:shapetype>
            <v:shape id="Text Box 1" o:spid="_x0000_s1026" type="#_x0000_t202" style="position:absolute;margin-left:463.4pt;margin-top:21.45pt;width:62.2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" filled="f" stroked="f">
              <v:textbox inset="0,0,0,0">
                <w:txbxContent>
                  <w:p w:rsidR="00C5463C" w:rsidRDefault="00DC4CC2">
                    <w:pPr>
                      <w:spacing w:line="245" w:lineRule="exact"/>
                      <w:ind w:left="20"/>
                      <w:rPr>
                        <w:rFonts w:ascii="Times New Roman" w:eastAsia="Times New Roman" w:hAnsi="Times New Roman" w:cs="Times New Roman"/>
                      </w:rPr>
                    </w:pPr>
                    <w:r>
                      <w:rPr>
                        <w:rFonts w:ascii="Times New Roman"/>
                      </w:rPr>
                      <w:t>IMMI</w:t>
                    </w:r>
                    <w:r>
                      <w:rPr>
                        <w:rFonts w:ascii="Times New Roman"/>
                        <w:spacing w:val="-1"/>
                      </w:rPr>
                      <w:t xml:space="preserve"> </w:t>
                    </w:r>
                    <w:r>
                      <w:rPr>
                        <w:rFonts w:ascii="Times New Roman"/>
                      </w:rPr>
                      <w:t>18/082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307BC"/>
    <w:multiLevelType w:val="hybridMultilevel"/>
    <w:tmpl w:val="E69452BE"/>
    <w:lvl w:ilvl="0" w:tplc="95209706">
      <w:start w:val="1"/>
      <w:numFmt w:val="decimal"/>
      <w:lvlText w:val="%1."/>
      <w:lvlJc w:val="left"/>
      <w:pPr>
        <w:ind w:left="705" w:hanging="567"/>
        <w:jc w:val="left"/>
      </w:pPr>
      <w:rPr>
        <w:rFonts w:ascii="Times New Roman" w:eastAsia="Times New Roman" w:hAnsi="Times New Roman" w:hint="default"/>
        <w:spacing w:val="-6"/>
        <w:w w:val="99"/>
        <w:sz w:val="24"/>
        <w:szCs w:val="24"/>
      </w:rPr>
    </w:lvl>
    <w:lvl w:ilvl="1" w:tplc="46429EB4">
      <w:start w:val="1"/>
      <w:numFmt w:val="lowerLetter"/>
      <w:lvlText w:val="%2."/>
      <w:lvlJc w:val="left"/>
      <w:pPr>
        <w:ind w:left="1578" w:hanging="360"/>
        <w:jc w:val="left"/>
      </w:pPr>
      <w:rPr>
        <w:rFonts w:ascii="Times New Roman" w:eastAsia="Times New Roman" w:hAnsi="Times New Roman" w:hint="default"/>
        <w:spacing w:val="-26"/>
        <w:w w:val="99"/>
        <w:sz w:val="24"/>
        <w:szCs w:val="24"/>
      </w:rPr>
    </w:lvl>
    <w:lvl w:ilvl="2" w:tplc="D05850B4">
      <w:start w:val="1"/>
      <w:numFmt w:val="bullet"/>
      <w:lvlText w:val="•"/>
      <w:lvlJc w:val="left"/>
      <w:pPr>
        <w:ind w:left="2440" w:hanging="360"/>
      </w:pPr>
      <w:rPr>
        <w:rFonts w:hint="default"/>
      </w:rPr>
    </w:lvl>
    <w:lvl w:ilvl="3" w:tplc="97CE6170">
      <w:start w:val="1"/>
      <w:numFmt w:val="bullet"/>
      <w:lvlText w:val="•"/>
      <w:lvlJc w:val="left"/>
      <w:pPr>
        <w:ind w:left="3301" w:hanging="360"/>
      </w:pPr>
      <w:rPr>
        <w:rFonts w:hint="default"/>
      </w:rPr>
    </w:lvl>
    <w:lvl w:ilvl="4" w:tplc="6E4E302C">
      <w:start w:val="1"/>
      <w:numFmt w:val="bullet"/>
      <w:lvlText w:val="•"/>
      <w:lvlJc w:val="left"/>
      <w:pPr>
        <w:ind w:left="4162" w:hanging="360"/>
      </w:pPr>
      <w:rPr>
        <w:rFonts w:hint="default"/>
      </w:rPr>
    </w:lvl>
    <w:lvl w:ilvl="5" w:tplc="601A5BCE">
      <w:start w:val="1"/>
      <w:numFmt w:val="bullet"/>
      <w:lvlText w:val="•"/>
      <w:lvlJc w:val="left"/>
      <w:pPr>
        <w:ind w:left="5022" w:hanging="360"/>
      </w:pPr>
      <w:rPr>
        <w:rFonts w:hint="default"/>
      </w:rPr>
    </w:lvl>
    <w:lvl w:ilvl="6" w:tplc="810E7198">
      <w:start w:val="1"/>
      <w:numFmt w:val="bullet"/>
      <w:lvlText w:val="•"/>
      <w:lvlJc w:val="left"/>
      <w:pPr>
        <w:ind w:left="5883" w:hanging="360"/>
      </w:pPr>
      <w:rPr>
        <w:rFonts w:hint="default"/>
      </w:rPr>
    </w:lvl>
    <w:lvl w:ilvl="7" w:tplc="76BEB7CE">
      <w:start w:val="1"/>
      <w:numFmt w:val="bullet"/>
      <w:lvlText w:val="•"/>
      <w:lvlJc w:val="left"/>
      <w:pPr>
        <w:ind w:left="6744" w:hanging="360"/>
      </w:pPr>
      <w:rPr>
        <w:rFonts w:hint="default"/>
      </w:rPr>
    </w:lvl>
    <w:lvl w:ilvl="8" w:tplc="060EB44A">
      <w:start w:val="1"/>
      <w:numFmt w:val="bullet"/>
      <w:lvlText w:val="•"/>
      <w:lvlJc w:val="left"/>
      <w:pPr>
        <w:ind w:left="7604"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CC2"/>
    <w:rsid w:val="002733FA"/>
    <w:rsid w:val="00DC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172A0"/>
  <w15:chartTrackingRefBased/>
  <w15:docId w15:val="{D33F6C5F-872C-4D67-8AE4-623770ED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C4CC2"/>
    <w:pPr>
      <w:widowControl w:val="0"/>
      <w:spacing w:after="0" w:line="240" w:lineRule="auto"/>
    </w:pPr>
  </w:style>
  <w:style w:type="paragraph" w:styleId="Heading1">
    <w:name w:val="heading 1"/>
    <w:basedOn w:val="Normal"/>
    <w:link w:val="Heading1Char"/>
    <w:uiPriority w:val="1"/>
    <w:qFormat/>
    <w:rsid w:val="00DC4CC2"/>
    <w:pPr>
      <w:ind w:left="117"/>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C4CC2"/>
    <w:rPr>
      <w:rFonts w:ascii="Times New Roman" w:eastAsia="Times New Roman" w:hAnsi="Times New Roman"/>
      <w:b/>
      <w:bCs/>
      <w:sz w:val="24"/>
      <w:szCs w:val="24"/>
    </w:rPr>
  </w:style>
  <w:style w:type="paragraph" w:styleId="ListParagraph">
    <w:name w:val="List Paragraph"/>
    <w:basedOn w:val="Normal"/>
    <w:uiPriority w:val="1"/>
    <w:qFormat/>
    <w:rsid w:val="00DC4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TZOTZIS</dc:creator>
  <cp:keywords/>
  <dc:description/>
  <cp:lastModifiedBy>Anastasia TZOTZIS</cp:lastModifiedBy>
  <cp:revision>1</cp:revision>
  <dcterms:created xsi:type="dcterms:W3CDTF">2018-05-16T03:49:00Z</dcterms:created>
  <dcterms:modified xsi:type="dcterms:W3CDTF">2018-05-16T03:50:00Z</dcterms:modified>
</cp:coreProperties>
</file>