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E09E" w14:textId="39854EA3" w:rsidR="00CA7C72" w:rsidRPr="007D698E" w:rsidRDefault="007264B9" w:rsidP="00CA7C72">
      <w:pPr>
        <w:spacing w:before="360" w:after="0" w:line="260" w:lineRule="atLeast"/>
        <w:jc w:val="center"/>
        <w:outlineLvl w:val="0"/>
        <w:rPr>
          <w:rFonts w:ascii="Times New Roman" w:eastAsia="Calibri" w:hAnsi="Times New Roman" w:cs="Times New Roman"/>
          <w:b/>
          <w:sz w:val="24"/>
          <w:szCs w:val="24"/>
        </w:rPr>
      </w:pPr>
      <w:bookmarkStart w:id="0" w:name="_GoBack"/>
      <w:bookmarkEnd w:id="0"/>
      <w:r w:rsidRPr="007D698E">
        <w:rPr>
          <w:rFonts w:ascii="Times New Roman" w:eastAsia="Calibri" w:hAnsi="Times New Roman" w:cs="Times New Roman"/>
          <w:b/>
          <w:sz w:val="24"/>
          <w:szCs w:val="24"/>
        </w:rPr>
        <w:t xml:space="preserve">Legislation (Exemptions and Other Matters) Amendment </w:t>
      </w:r>
      <w:r w:rsidR="00ED6A20" w:rsidRPr="007D698E">
        <w:rPr>
          <w:rFonts w:ascii="Times New Roman" w:eastAsia="Calibri" w:hAnsi="Times New Roman" w:cs="Times New Roman"/>
          <w:b/>
          <w:sz w:val="24"/>
          <w:szCs w:val="24"/>
        </w:rPr>
        <w:br/>
      </w:r>
      <w:r w:rsidR="00B17C31" w:rsidRPr="007D698E">
        <w:rPr>
          <w:rFonts w:ascii="Times New Roman" w:eastAsia="Calibri" w:hAnsi="Times New Roman" w:cs="Times New Roman"/>
          <w:b/>
          <w:sz w:val="24"/>
          <w:szCs w:val="24"/>
        </w:rPr>
        <w:t>(2018 Measures No. 2</w:t>
      </w:r>
      <w:r w:rsidRPr="007D698E">
        <w:rPr>
          <w:rFonts w:ascii="Times New Roman" w:eastAsia="Calibri" w:hAnsi="Times New Roman" w:cs="Times New Roman"/>
          <w:b/>
          <w:sz w:val="24"/>
          <w:szCs w:val="24"/>
        </w:rPr>
        <w:t>) Regulations 2018</w:t>
      </w:r>
    </w:p>
    <w:p w14:paraId="23E2DA34" w14:textId="77777777" w:rsidR="00CA7C72" w:rsidRPr="007D698E" w:rsidRDefault="00CA7C72" w:rsidP="00CA7C72">
      <w:pPr>
        <w:spacing w:before="360" w:after="0" w:line="260" w:lineRule="atLeast"/>
        <w:jc w:val="center"/>
        <w:outlineLvl w:val="0"/>
        <w:rPr>
          <w:rFonts w:ascii="Times New Roman" w:eastAsia="Calibri" w:hAnsi="Times New Roman" w:cs="Times New Roman"/>
          <w:b/>
          <w:sz w:val="24"/>
          <w:szCs w:val="24"/>
        </w:rPr>
      </w:pPr>
      <w:r w:rsidRPr="007D698E">
        <w:rPr>
          <w:rFonts w:ascii="Times New Roman" w:eastAsia="Calibri" w:hAnsi="Times New Roman" w:cs="Times New Roman"/>
          <w:b/>
          <w:sz w:val="24"/>
          <w:szCs w:val="24"/>
        </w:rPr>
        <w:t>EXPLANATORY STATEMENT</w:t>
      </w:r>
    </w:p>
    <w:p w14:paraId="50D9B756" w14:textId="77777777" w:rsidR="00CA7C72" w:rsidRPr="007D698E" w:rsidRDefault="00CA7C72" w:rsidP="00CA7C72">
      <w:pPr>
        <w:spacing w:before="180" w:after="0" w:line="240" w:lineRule="auto"/>
        <w:jc w:val="center"/>
        <w:rPr>
          <w:rFonts w:ascii="Times New Roman" w:eastAsia="Calibri" w:hAnsi="Times New Roman" w:cs="Times New Roman"/>
          <w:i/>
          <w:sz w:val="24"/>
          <w:szCs w:val="24"/>
        </w:rPr>
      </w:pPr>
      <w:r w:rsidRPr="007D698E">
        <w:rPr>
          <w:rFonts w:ascii="Times New Roman" w:eastAsia="Calibri" w:hAnsi="Times New Roman" w:cs="Times New Roman"/>
          <w:sz w:val="24"/>
          <w:szCs w:val="24"/>
        </w:rPr>
        <w:t>Issued under the Authority of the Attorney</w:t>
      </w:r>
      <w:r w:rsidRPr="007D698E">
        <w:rPr>
          <w:rFonts w:ascii="Times New Roman" w:eastAsia="Calibri" w:hAnsi="Times New Roman" w:cs="Times New Roman"/>
          <w:sz w:val="24"/>
          <w:szCs w:val="24"/>
        </w:rPr>
        <w:noBreakHyphen/>
        <w:t>General</w:t>
      </w:r>
    </w:p>
    <w:p w14:paraId="4B5B2BCB" w14:textId="77777777" w:rsidR="00CA7C72" w:rsidRPr="007D698E" w:rsidRDefault="00CA7C72" w:rsidP="00CA7C72">
      <w:pPr>
        <w:pBdr>
          <w:bottom w:val="single" w:sz="4" w:space="1" w:color="auto"/>
        </w:pBdr>
        <w:spacing w:after="240" w:line="260" w:lineRule="atLeast"/>
        <w:jc w:val="center"/>
        <w:rPr>
          <w:rFonts w:ascii="Times New Roman" w:eastAsia="Calibri" w:hAnsi="Times New Roman" w:cs="Times New Roman"/>
          <w:sz w:val="24"/>
          <w:szCs w:val="24"/>
        </w:rPr>
      </w:pPr>
    </w:p>
    <w:p w14:paraId="03ABE484" w14:textId="77777777" w:rsidR="00CA7C72" w:rsidRPr="007D698E" w:rsidRDefault="00CA7C72" w:rsidP="00CA7C72">
      <w:pPr>
        <w:numPr>
          <w:ilvl w:val="12"/>
          <w:numId w:val="0"/>
        </w:numPr>
        <w:spacing w:before="240" w:after="0" w:line="240" w:lineRule="auto"/>
        <w:rPr>
          <w:rFonts w:ascii="Times New Roman" w:eastAsia="Calibri" w:hAnsi="Times New Roman" w:cs="Times New Roman"/>
          <w:b/>
          <w:sz w:val="24"/>
          <w:szCs w:val="24"/>
          <w:lang w:eastAsia="en-AU"/>
        </w:rPr>
      </w:pPr>
      <w:r w:rsidRPr="007D698E">
        <w:rPr>
          <w:rFonts w:ascii="Times New Roman" w:eastAsia="Calibri" w:hAnsi="Times New Roman" w:cs="Times New Roman"/>
          <w:b/>
          <w:sz w:val="24"/>
          <w:szCs w:val="24"/>
          <w:lang w:eastAsia="en-AU"/>
        </w:rPr>
        <w:t>OUTLINE</w:t>
      </w:r>
    </w:p>
    <w:p w14:paraId="746A404A" w14:textId="3151A942" w:rsidR="00CA7C72" w:rsidRPr="007D698E" w:rsidRDefault="00CA7C72" w:rsidP="00CA7C72">
      <w:pPr>
        <w:spacing w:before="240" w:after="0" w:line="240" w:lineRule="auto"/>
        <w:ind w:right="91"/>
        <w:rPr>
          <w:rFonts w:ascii="Times New Roman" w:eastAsia="Times New Roman" w:hAnsi="Times New Roman" w:cs="Times New Roman"/>
          <w:color w:val="000000"/>
          <w:sz w:val="24"/>
          <w:szCs w:val="24"/>
          <w:lang w:eastAsia="en-AU"/>
        </w:rPr>
      </w:pPr>
      <w:r w:rsidRPr="007D698E">
        <w:rPr>
          <w:rFonts w:ascii="Times New Roman" w:eastAsia="Times New Roman" w:hAnsi="Times New Roman" w:cs="Times New Roman"/>
          <w:color w:val="000000"/>
          <w:sz w:val="24"/>
          <w:szCs w:val="24"/>
          <w:lang w:eastAsia="en-AU"/>
        </w:rPr>
        <w:t>The </w:t>
      </w:r>
      <w:r w:rsidRPr="007D698E">
        <w:rPr>
          <w:rFonts w:ascii="Times New Roman" w:eastAsia="Times New Roman" w:hAnsi="Times New Roman" w:cs="Times New Roman"/>
          <w:i/>
          <w:iCs/>
          <w:color w:val="000000"/>
          <w:sz w:val="24"/>
          <w:szCs w:val="24"/>
          <w:lang w:eastAsia="en-AU"/>
        </w:rPr>
        <w:t>Legislation Act 2003</w:t>
      </w:r>
      <w:r w:rsidRPr="007D698E">
        <w:rPr>
          <w:rFonts w:ascii="Times New Roman" w:eastAsia="Times New Roman" w:hAnsi="Times New Roman" w:cs="Times New Roman"/>
          <w:color w:val="000000"/>
          <w:sz w:val="24"/>
          <w:szCs w:val="24"/>
          <w:lang w:eastAsia="en-AU"/>
        </w:rPr>
        <w:t> </w:t>
      </w:r>
      <w:r w:rsidR="00703663" w:rsidRPr="007D698E">
        <w:rPr>
          <w:rFonts w:ascii="Times New Roman" w:eastAsia="Times New Roman" w:hAnsi="Times New Roman" w:cs="Times New Roman"/>
          <w:color w:val="000000"/>
          <w:sz w:val="24"/>
          <w:szCs w:val="24"/>
          <w:lang w:eastAsia="en-AU"/>
        </w:rPr>
        <w:t xml:space="preserve">(the Legislation Act) </w:t>
      </w:r>
      <w:r w:rsidRPr="007D698E">
        <w:rPr>
          <w:rFonts w:ascii="Times New Roman" w:eastAsia="Times New Roman" w:hAnsi="Times New Roman" w:cs="Times New Roman"/>
          <w:color w:val="000000"/>
          <w:sz w:val="24"/>
          <w:szCs w:val="24"/>
          <w:lang w:eastAsia="en-AU"/>
        </w:rPr>
        <w:t>establishes a comprehensive regime for the publication of Commonwealth Acts and instruments. It also provides for the registration, tabling, parliamentary scrutiny and sunsetting (automatic repeal) of Commonwealth legislative instruments, and establishes an authoritative, complete and accessible register of those instruments, including compilations and explanatory statements.</w:t>
      </w:r>
    </w:p>
    <w:p w14:paraId="2B315AC2" w14:textId="77777777" w:rsidR="00CA7C72" w:rsidRPr="007D698E" w:rsidRDefault="00CA7C72" w:rsidP="00CA7C72">
      <w:pPr>
        <w:spacing w:before="240" w:after="0" w:line="240" w:lineRule="auto"/>
        <w:ind w:right="91"/>
        <w:rPr>
          <w:rFonts w:ascii="Times New Roman" w:eastAsia="Times New Roman" w:hAnsi="Times New Roman" w:cs="Times New Roman"/>
          <w:color w:val="000000"/>
          <w:sz w:val="24"/>
          <w:szCs w:val="24"/>
          <w:lang w:eastAsia="en-AU"/>
        </w:rPr>
      </w:pPr>
      <w:r w:rsidRPr="007D698E">
        <w:rPr>
          <w:rFonts w:ascii="Times New Roman" w:eastAsia="Times New Roman" w:hAnsi="Times New Roman" w:cs="Times New Roman"/>
          <w:color w:val="000000"/>
          <w:sz w:val="24"/>
          <w:szCs w:val="24"/>
          <w:lang w:eastAsia="en-AU"/>
        </w:rPr>
        <w:t>Section 62 of the Legislation Act</w:t>
      </w:r>
      <w:r w:rsidRPr="007D698E">
        <w:rPr>
          <w:rFonts w:ascii="Times New Roman" w:eastAsia="Times New Roman" w:hAnsi="Times New Roman" w:cs="Times New Roman"/>
          <w:i/>
          <w:iCs/>
          <w:color w:val="000000"/>
          <w:sz w:val="24"/>
          <w:szCs w:val="24"/>
          <w:lang w:eastAsia="en-AU"/>
        </w:rPr>
        <w:t> </w:t>
      </w:r>
      <w:r w:rsidRPr="007D698E">
        <w:rPr>
          <w:rFonts w:ascii="Times New Roman" w:eastAsia="Times New Roman" w:hAnsi="Times New Roman" w:cs="Times New Roman"/>
          <w:color w:val="000000"/>
          <w:sz w:val="24"/>
          <w:szCs w:val="24"/>
          <w:lang w:eastAsia="en-AU"/>
        </w:rPr>
        <w:t>provides the Governor-General with the power to make regulations prescribing matters required or permitted by that Act to be prescribed, or necessary or convenient to be prescribed, for carrying out or giving effect to that Act.</w:t>
      </w:r>
    </w:p>
    <w:p w14:paraId="1F739254" w14:textId="77777777" w:rsidR="00CA7C72" w:rsidRPr="007D698E" w:rsidRDefault="00CA7C72" w:rsidP="00CA7C72">
      <w:pPr>
        <w:numPr>
          <w:ilvl w:val="12"/>
          <w:numId w:val="0"/>
        </w:numPr>
        <w:spacing w:before="240" w:after="0" w:line="240" w:lineRule="auto"/>
        <w:rPr>
          <w:rFonts w:ascii="Times New Roman" w:eastAsia="Calibri" w:hAnsi="Times New Roman" w:cs="Times New Roman"/>
          <w:sz w:val="24"/>
          <w:szCs w:val="24"/>
          <w:lang w:eastAsia="en-AU"/>
        </w:rPr>
      </w:pPr>
      <w:r w:rsidRPr="007D698E">
        <w:rPr>
          <w:rFonts w:ascii="Times New Roman" w:eastAsia="Calibri" w:hAnsi="Times New Roman" w:cs="Times New Roman"/>
          <w:sz w:val="24"/>
          <w:szCs w:val="24"/>
          <w:lang w:eastAsia="en-AU"/>
        </w:rPr>
        <w:t>Subsections 44(2) and 54(2) of the Legislation Act provide that instruments prescribed by regulation for the purposes of paragraphs 44(2</w:t>
      </w:r>
      <w:proofErr w:type="gramStart"/>
      <w:r w:rsidRPr="007D698E">
        <w:rPr>
          <w:rFonts w:ascii="Times New Roman" w:eastAsia="Calibri" w:hAnsi="Times New Roman" w:cs="Times New Roman"/>
          <w:sz w:val="24"/>
          <w:szCs w:val="24"/>
          <w:lang w:eastAsia="en-AU"/>
        </w:rPr>
        <w:t>)(</w:t>
      </w:r>
      <w:proofErr w:type="gramEnd"/>
      <w:r w:rsidRPr="007D698E">
        <w:rPr>
          <w:rFonts w:ascii="Times New Roman" w:eastAsia="Calibri" w:hAnsi="Times New Roman" w:cs="Times New Roman"/>
          <w:sz w:val="24"/>
          <w:szCs w:val="24"/>
          <w:lang w:eastAsia="en-AU"/>
        </w:rPr>
        <w:t>b) and 54(2)(b) are not subject to disallowance and sunsetting respectively. Paragraph 8(6</w:t>
      </w:r>
      <w:proofErr w:type="gramStart"/>
      <w:r w:rsidRPr="007D698E">
        <w:rPr>
          <w:rFonts w:ascii="Times New Roman" w:eastAsia="Calibri" w:hAnsi="Times New Roman" w:cs="Times New Roman"/>
          <w:sz w:val="24"/>
          <w:szCs w:val="24"/>
          <w:lang w:eastAsia="en-AU"/>
        </w:rPr>
        <w:t>)(</w:t>
      </w:r>
      <w:proofErr w:type="gramEnd"/>
      <w:r w:rsidRPr="007D698E">
        <w:rPr>
          <w:rFonts w:ascii="Times New Roman" w:eastAsia="Calibri" w:hAnsi="Times New Roman" w:cs="Times New Roman"/>
          <w:sz w:val="24"/>
          <w:szCs w:val="24"/>
          <w:lang w:eastAsia="en-AU"/>
        </w:rPr>
        <w:t xml:space="preserve">b) of the Legislation Act provides that instruments prescribed by regulation for the purposes of that paragraph are not legislative instruments. </w:t>
      </w:r>
    </w:p>
    <w:p w14:paraId="158B5096" w14:textId="3AB50744" w:rsidR="007E7D66" w:rsidRPr="007D698E" w:rsidRDefault="00CA7C72" w:rsidP="00BB726B">
      <w:pPr>
        <w:spacing w:before="240" w:after="0" w:line="240" w:lineRule="auto"/>
        <w:rPr>
          <w:rFonts w:ascii="Times New Roman" w:eastAsia="Times New Roman" w:hAnsi="Times New Roman" w:cs="Times New Roman"/>
          <w:sz w:val="24"/>
          <w:szCs w:val="24"/>
          <w:lang w:eastAsia="en-AU"/>
        </w:rPr>
      </w:pPr>
      <w:r w:rsidRPr="007D698E">
        <w:rPr>
          <w:rFonts w:ascii="Times New Roman" w:eastAsia="Calibri" w:hAnsi="Times New Roman" w:cs="Times New Roman"/>
          <w:color w:val="000000"/>
          <w:sz w:val="24"/>
          <w:szCs w:val="24"/>
        </w:rPr>
        <w:t>The </w:t>
      </w:r>
      <w:r w:rsidRPr="007D698E">
        <w:rPr>
          <w:rFonts w:ascii="Times New Roman" w:eastAsia="Calibri" w:hAnsi="Times New Roman" w:cs="Times New Roman"/>
          <w:i/>
          <w:iCs/>
          <w:color w:val="000000"/>
          <w:sz w:val="24"/>
          <w:szCs w:val="24"/>
        </w:rPr>
        <w:t>Legislation (Exemptions and Other Matters) Regulation 2015</w:t>
      </w:r>
      <w:r w:rsidRPr="007D698E">
        <w:rPr>
          <w:rFonts w:ascii="Times New Roman" w:eastAsia="Calibri" w:hAnsi="Times New Roman" w:cs="Times New Roman"/>
          <w:sz w:val="24"/>
          <w:szCs w:val="24"/>
        </w:rPr>
        <w:t xml:space="preserve"> (the Principal Regulation), made under section 62 of the Legislation Act, sets out exemptions from legislative instrument status, disallowance by the Parliament and sunsetting for instrument classes and particular instruments.</w:t>
      </w:r>
      <w:r w:rsidRPr="007D698E">
        <w:rPr>
          <w:rFonts w:ascii="Times New Roman" w:eastAsia="Times New Roman" w:hAnsi="Times New Roman" w:cs="Times New Roman"/>
          <w:sz w:val="24"/>
          <w:szCs w:val="24"/>
          <w:lang w:eastAsia="en-AU"/>
        </w:rPr>
        <w:t xml:space="preserve"> </w:t>
      </w:r>
    </w:p>
    <w:p w14:paraId="2AEA78F8" w14:textId="74F88F69" w:rsidR="00CA7C72" w:rsidRPr="007D698E" w:rsidRDefault="00CA7C72" w:rsidP="003063E0">
      <w:pPr>
        <w:spacing w:before="240" w:after="0" w:line="240" w:lineRule="auto"/>
        <w:ind w:right="-188"/>
        <w:rPr>
          <w:rFonts w:ascii="Times New Roman" w:eastAsia="Calibri" w:hAnsi="Times New Roman" w:cs="Times New Roman"/>
          <w:sz w:val="24"/>
          <w:szCs w:val="24"/>
        </w:rPr>
      </w:pPr>
      <w:r w:rsidRPr="007D698E">
        <w:rPr>
          <w:rFonts w:ascii="Times New Roman" w:eastAsia="Times New Roman" w:hAnsi="Times New Roman" w:cs="Times New Roman"/>
          <w:sz w:val="24"/>
          <w:szCs w:val="24"/>
          <w:lang w:eastAsia="en-AU"/>
        </w:rPr>
        <w:t xml:space="preserve">Schedule 1 </w:t>
      </w:r>
      <w:r w:rsidR="00B8427D" w:rsidRPr="007D698E">
        <w:rPr>
          <w:rFonts w:ascii="Times New Roman" w:eastAsia="Times New Roman" w:hAnsi="Times New Roman" w:cs="Times New Roman"/>
          <w:sz w:val="24"/>
          <w:szCs w:val="24"/>
          <w:lang w:eastAsia="en-AU"/>
        </w:rPr>
        <w:t xml:space="preserve">to </w:t>
      </w:r>
      <w:r w:rsidR="00003FAA" w:rsidRPr="007D698E">
        <w:rPr>
          <w:rFonts w:ascii="Times New Roman" w:eastAsia="Times New Roman" w:hAnsi="Times New Roman" w:cs="Times New Roman"/>
          <w:sz w:val="24"/>
          <w:szCs w:val="24"/>
          <w:lang w:eastAsia="en-AU"/>
        </w:rPr>
        <w:t>these</w:t>
      </w:r>
      <w:r w:rsidRPr="007D698E">
        <w:rPr>
          <w:rFonts w:ascii="Times New Roman" w:eastAsia="Times New Roman" w:hAnsi="Times New Roman" w:cs="Times New Roman"/>
          <w:sz w:val="24"/>
          <w:szCs w:val="24"/>
          <w:lang w:eastAsia="en-AU"/>
        </w:rPr>
        <w:t xml:space="preserve"> Regulation</w:t>
      </w:r>
      <w:r w:rsidR="00003FAA" w:rsidRPr="007D698E">
        <w:rPr>
          <w:rFonts w:ascii="Times New Roman" w:eastAsia="Times New Roman" w:hAnsi="Times New Roman" w:cs="Times New Roman"/>
          <w:sz w:val="24"/>
          <w:szCs w:val="24"/>
          <w:lang w:eastAsia="en-AU"/>
        </w:rPr>
        <w:t>s</w:t>
      </w:r>
      <w:r w:rsidRPr="007D698E">
        <w:rPr>
          <w:rFonts w:ascii="Times New Roman" w:eastAsia="Times New Roman" w:hAnsi="Times New Roman" w:cs="Times New Roman"/>
          <w:sz w:val="24"/>
          <w:szCs w:val="24"/>
          <w:lang w:eastAsia="en-AU"/>
        </w:rPr>
        <w:t xml:space="preserve"> amends the Principal Regulation to </w:t>
      </w:r>
      <w:r w:rsidRPr="007D698E">
        <w:rPr>
          <w:rFonts w:ascii="Times New Roman" w:eastAsia="Calibri" w:hAnsi="Times New Roman" w:cs="Times New Roman"/>
          <w:sz w:val="24"/>
          <w:szCs w:val="24"/>
        </w:rPr>
        <w:t>provide for</w:t>
      </w:r>
      <w:r w:rsidR="003063E0">
        <w:rPr>
          <w:rFonts w:ascii="Times New Roman" w:eastAsia="Calibri" w:hAnsi="Times New Roman" w:cs="Times New Roman"/>
          <w:sz w:val="24"/>
          <w:szCs w:val="24"/>
        </w:rPr>
        <w:t>,</w:t>
      </w:r>
      <w:r w:rsidR="007D2508" w:rsidRPr="007D698E">
        <w:rPr>
          <w:rFonts w:ascii="Times New Roman" w:eastAsia="Calibri" w:hAnsi="Times New Roman" w:cs="Times New Roman"/>
          <w:sz w:val="24"/>
          <w:szCs w:val="24"/>
        </w:rPr>
        <w:t xml:space="preserve"> and clarify</w:t>
      </w:r>
      <w:r w:rsidR="003063E0">
        <w:rPr>
          <w:rFonts w:ascii="Times New Roman" w:eastAsia="Calibri" w:hAnsi="Times New Roman" w:cs="Times New Roman"/>
          <w:sz w:val="24"/>
          <w:szCs w:val="24"/>
        </w:rPr>
        <w:t>,</w:t>
      </w:r>
      <w:r w:rsidR="007D2508" w:rsidRPr="007D698E">
        <w:rPr>
          <w:rFonts w:ascii="Times New Roman" w:eastAsia="Calibri" w:hAnsi="Times New Roman" w:cs="Times New Roman"/>
          <w:sz w:val="24"/>
          <w:szCs w:val="24"/>
        </w:rPr>
        <w:t xml:space="preserve"> </w:t>
      </w:r>
      <w:r w:rsidR="00E54CA7" w:rsidRPr="007D698E">
        <w:rPr>
          <w:rFonts w:ascii="Times New Roman" w:eastAsia="Calibri" w:hAnsi="Times New Roman" w:cs="Times New Roman"/>
          <w:sz w:val="24"/>
          <w:szCs w:val="24"/>
        </w:rPr>
        <w:t>exemption</w:t>
      </w:r>
      <w:r w:rsidR="007D2508" w:rsidRPr="007D698E">
        <w:rPr>
          <w:rFonts w:ascii="Times New Roman" w:eastAsia="Calibri" w:hAnsi="Times New Roman" w:cs="Times New Roman"/>
          <w:sz w:val="24"/>
          <w:szCs w:val="24"/>
        </w:rPr>
        <w:t>s</w:t>
      </w:r>
      <w:r w:rsidRPr="007D698E">
        <w:rPr>
          <w:rFonts w:ascii="Times New Roman" w:eastAsia="Calibri" w:hAnsi="Times New Roman" w:cs="Times New Roman"/>
          <w:sz w:val="24"/>
          <w:szCs w:val="24"/>
        </w:rPr>
        <w:t xml:space="preserve"> from sunse</w:t>
      </w:r>
      <w:r w:rsidR="00E54CA7" w:rsidRPr="007D698E">
        <w:rPr>
          <w:rFonts w:ascii="Times New Roman" w:eastAsia="Calibri" w:hAnsi="Times New Roman" w:cs="Times New Roman"/>
          <w:sz w:val="24"/>
          <w:szCs w:val="24"/>
        </w:rPr>
        <w:t>tting for</w:t>
      </w:r>
      <w:r w:rsidR="00BF54FD" w:rsidRPr="007D698E">
        <w:rPr>
          <w:rFonts w:ascii="Times New Roman" w:eastAsia="Calibri" w:hAnsi="Times New Roman" w:cs="Times New Roman"/>
          <w:sz w:val="24"/>
          <w:szCs w:val="24"/>
        </w:rPr>
        <w:t xml:space="preserve"> </w:t>
      </w:r>
      <w:r w:rsidR="007D2508" w:rsidRPr="007D698E">
        <w:rPr>
          <w:rFonts w:ascii="Times New Roman" w:eastAsia="Calibri" w:hAnsi="Times New Roman" w:cs="Times New Roman"/>
          <w:sz w:val="24"/>
          <w:szCs w:val="24"/>
        </w:rPr>
        <w:t>particular</w:t>
      </w:r>
      <w:r w:rsidR="00847F49" w:rsidRPr="007D698E">
        <w:rPr>
          <w:rFonts w:ascii="Times New Roman" w:eastAsia="Calibri" w:hAnsi="Times New Roman" w:cs="Times New Roman"/>
          <w:sz w:val="24"/>
          <w:szCs w:val="24"/>
        </w:rPr>
        <w:t xml:space="preserve"> instruments. These instruments are </w:t>
      </w:r>
      <w:r w:rsidR="00BB726B" w:rsidRPr="007D698E">
        <w:rPr>
          <w:rFonts w:ascii="Times New Roman" w:eastAsia="Calibri" w:hAnsi="Times New Roman" w:cs="Times New Roman"/>
          <w:sz w:val="24"/>
          <w:szCs w:val="24"/>
        </w:rPr>
        <w:t xml:space="preserve">the </w:t>
      </w:r>
      <w:r w:rsidR="00BB726B" w:rsidRPr="007D698E">
        <w:rPr>
          <w:rFonts w:ascii="Times New Roman" w:eastAsia="Calibri" w:hAnsi="Times New Roman" w:cs="Times New Roman"/>
          <w:i/>
          <w:sz w:val="24"/>
          <w:szCs w:val="24"/>
        </w:rPr>
        <w:t>Retirement Savings Account</w:t>
      </w:r>
      <w:r w:rsidR="00847F49" w:rsidRPr="007D698E">
        <w:rPr>
          <w:rFonts w:ascii="Times New Roman" w:eastAsia="Calibri" w:hAnsi="Times New Roman" w:cs="Times New Roman"/>
          <w:i/>
          <w:sz w:val="24"/>
          <w:szCs w:val="24"/>
        </w:rPr>
        <w:t>s</w:t>
      </w:r>
      <w:r w:rsidR="00BB726B" w:rsidRPr="007D698E">
        <w:rPr>
          <w:rFonts w:ascii="Times New Roman" w:eastAsia="Calibri" w:hAnsi="Times New Roman" w:cs="Times New Roman"/>
          <w:i/>
          <w:sz w:val="24"/>
          <w:szCs w:val="24"/>
        </w:rPr>
        <w:t xml:space="preserve"> Regulations 1997</w:t>
      </w:r>
      <w:r w:rsidR="00BB726B" w:rsidRPr="007D698E">
        <w:rPr>
          <w:rFonts w:ascii="Times New Roman" w:eastAsia="Calibri" w:hAnsi="Times New Roman" w:cs="Times New Roman"/>
          <w:sz w:val="24"/>
          <w:szCs w:val="24"/>
        </w:rPr>
        <w:t xml:space="preserve">, the </w:t>
      </w:r>
      <w:r w:rsidR="00BB726B" w:rsidRPr="007D698E">
        <w:rPr>
          <w:rFonts w:ascii="Times New Roman" w:eastAsia="Calibri" w:hAnsi="Times New Roman" w:cs="Times New Roman"/>
          <w:i/>
          <w:sz w:val="24"/>
          <w:szCs w:val="24"/>
        </w:rPr>
        <w:t>Superannuation Industry (Supervision) Regulations 1994</w:t>
      </w:r>
      <w:r w:rsidR="00BB726B" w:rsidRPr="007D698E">
        <w:rPr>
          <w:rFonts w:ascii="Times New Roman" w:eastAsia="Calibri" w:hAnsi="Times New Roman" w:cs="Times New Roman"/>
          <w:sz w:val="24"/>
          <w:szCs w:val="24"/>
        </w:rPr>
        <w:t xml:space="preserve">, the </w:t>
      </w:r>
      <w:r w:rsidR="00BB726B" w:rsidRPr="007D698E">
        <w:rPr>
          <w:rFonts w:ascii="Times New Roman" w:eastAsia="Calibri" w:hAnsi="Times New Roman" w:cs="Times New Roman"/>
          <w:i/>
          <w:sz w:val="24"/>
          <w:szCs w:val="24"/>
        </w:rPr>
        <w:t>Therapeutic Goods Regulation</w:t>
      </w:r>
      <w:r w:rsidR="00847F49" w:rsidRPr="007D698E">
        <w:rPr>
          <w:rFonts w:ascii="Times New Roman" w:eastAsia="Calibri" w:hAnsi="Times New Roman" w:cs="Times New Roman"/>
          <w:i/>
          <w:sz w:val="24"/>
          <w:szCs w:val="24"/>
        </w:rPr>
        <w:t>s</w:t>
      </w:r>
      <w:r w:rsidR="00BB726B" w:rsidRPr="007D698E">
        <w:rPr>
          <w:rFonts w:ascii="Times New Roman" w:eastAsia="Calibri" w:hAnsi="Times New Roman" w:cs="Times New Roman"/>
          <w:i/>
          <w:sz w:val="24"/>
          <w:szCs w:val="24"/>
        </w:rPr>
        <w:t xml:space="preserve"> 1990</w:t>
      </w:r>
      <w:r w:rsidR="00BB726B" w:rsidRPr="007D698E">
        <w:rPr>
          <w:rFonts w:ascii="Times New Roman" w:eastAsia="Calibri" w:hAnsi="Times New Roman" w:cs="Times New Roman"/>
          <w:sz w:val="24"/>
          <w:szCs w:val="24"/>
        </w:rPr>
        <w:t xml:space="preserve">, the </w:t>
      </w:r>
      <w:r w:rsidR="00BB726B" w:rsidRPr="007D698E">
        <w:rPr>
          <w:rFonts w:ascii="Times New Roman" w:eastAsia="Calibri" w:hAnsi="Times New Roman" w:cs="Times New Roman"/>
          <w:i/>
          <w:sz w:val="24"/>
          <w:szCs w:val="24"/>
        </w:rPr>
        <w:t>Therapeutic Goods (Medical Devices) Regulations 2002</w:t>
      </w:r>
      <w:r w:rsidR="004858F0" w:rsidRPr="007D698E">
        <w:rPr>
          <w:rFonts w:ascii="Times New Roman" w:eastAsia="Calibri" w:hAnsi="Times New Roman" w:cs="Times New Roman"/>
          <w:sz w:val="24"/>
          <w:szCs w:val="24"/>
        </w:rPr>
        <w:t>, and</w:t>
      </w:r>
      <w:r w:rsidR="00847F49" w:rsidRPr="007D698E">
        <w:rPr>
          <w:rFonts w:ascii="Times New Roman" w:eastAsia="Calibri" w:hAnsi="Times New Roman" w:cs="Times New Roman"/>
          <w:sz w:val="24"/>
          <w:szCs w:val="24"/>
        </w:rPr>
        <w:t xml:space="preserve"> </w:t>
      </w:r>
      <w:r w:rsidR="00703663" w:rsidRPr="007D698E">
        <w:rPr>
          <w:rFonts w:ascii="Times New Roman" w:eastAsia="Calibri" w:hAnsi="Times New Roman" w:cs="Times New Roman"/>
          <w:sz w:val="24"/>
          <w:szCs w:val="24"/>
        </w:rPr>
        <w:t>particular</w:t>
      </w:r>
      <w:r w:rsidR="00703663" w:rsidRPr="007D698E">
        <w:rPr>
          <w:rFonts w:ascii="Times New Roman" w:eastAsia="Calibri" w:hAnsi="Times New Roman" w:cs="Times New Roman"/>
          <w:i/>
          <w:sz w:val="24"/>
          <w:szCs w:val="24"/>
        </w:rPr>
        <w:t xml:space="preserve"> </w:t>
      </w:r>
      <w:r w:rsidR="00AC49A6" w:rsidRPr="007D698E">
        <w:rPr>
          <w:rFonts w:ascii="Times New Roman" w:eastAsia="Calibri" w:hAnsi="Times New Roman" w:cs="Times New Roman"/>
          <w:sz w:val="24"/>
          <w:szCs w:val="24"/>
        </w:rPr>
        <w:t xml:space="preserve">instruments made under the </w:t>
      </w:r>
      <w:r w:rsidR="00AC49A6" w:rsidRPr="007D698E">
        <w:rPr>
          <w:rFonts w:ascii="Times New Roman" w:eastAsia="Calibri" w:hAnsi="Times New Roman" w:cs="Times New Roman"/>
          <w:i/>
          <w:sz w:val="24"/>
          <w:szCs w:val="24"/>
        </w:rPr>
        <w:t>Torres</w:t>
      </w:r>
      <w:r w:rsidR="00AC49A6" w:rsidRPr="007D698E">
        <w:rPr>
          <w:rFonts w:ascii="Times New Roman" w:eastAsia="Calibri" w:hAnsi="Times New Roman" w:cs="Times New Roman"/>
          <w:sz w:val="24"/>
          <w:szCs w:val="24"/>
        </w:rPr>
        <w:t xml:space="preserve"> </w:t>
      </w:r>
      <w:r w:rsidR="003063E0">
        <w:rPr>
          <w:rFonts w:ascii="Times New Roman" w:eastAsia="Calibri" w:hAnsi="Times New Roman" w:cs="Times New Roman"/>
          <w:i/>
          <w:sz w:val="24"/>
          <w:szCs w:val="24"/>
        </w:rPr>
        <w:t xml:space="preserve">Strait Fisheries Act </w:t>
      </w:r>
      <w:r w:rsidR="00AC49A6" w:rsidRPr="007D698E">
        <w:rPr>
          <w:rFonts w:ascii="Times New Roman" w:eastAsia="Calibri" w:hAnsi="Times New Roman" w:cs="Times New Roman"/>
          <w:i/>
          <w:sz w:val="24"/>
          <w:szCs w:val="24"/>
        </w:rPr>
        <w:t>1984</w:t>
      </w:r>
      <w:r w:rsidR="00BF54FD" w:rsidRPr="007D698E">
        <w:rPr>
          <w:rFonts w:ascii="Times New Roman" w:eastAsia="Calibri" w:hAnsi="Times New Roman" w:cs="Times New Roman"/>
          <w:i/>
          <w:sz w:val="24"/>
          <w:szCs w:val="24"/>
        </w:rPr>
        <w:t>.</w:t>
      </w:r>
    </w:p>
    <w:p w14:paraId="002F7ABE" w14:textId="213FAC1F" w:rsidR="00CA7C72" w:rsidRPr="007D698E" w:rsidRDefault="00CA7C72" w:rsidP="00CA7C72">
      <w:p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The Legislation Act does not specify any conditions that must be fulfilled before the power to make </w:t>
      </w:r>
      <w:r w:rsidR="00FE5BEC" w:rsidRPr="007D698E">
        <w:rPr>
          <w:rFonts w:ascii="Times New Roman" w:eastAsia="Calibri" w:hAnsi="Times New Roman" w:cs="Times New Roman"/>
          <w:sz w:val="24"/>
          <w:szCs w:val="24"/>
        </w:rPr>
        <w:t>these Regulations</w:t>
      </w:r>
      <w:r w:rsidRPr="007D698E">
        <w:rPr>
          <w:rFonts w:ascii="Times New Roman" w:eastAsia="Calibri" w:hAnsi="Times New Roman" w:cs="Times New Roman"/>
          <w:sz w:val="24"/>
          <w:szCs w:val="24"/>
        </w:rPr>
        <w:t xml:space="preserve"> may be exercised.</w:t>
      </w:r>
    </w:p>
    <w:p w14:paraId="38848ACA" w14:textId="77777777" w:rsidR="00CA7C72" w:rsidRPr="007D698E" w:rsidRDefault="00CA7C72" w:rsidP="009B6D6A">
      <w:pPr>
        <w:spacing w:before="240" w:after="12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However,</w:t>
      </w:r>
      <w:r w:rsidR="0040329F" w:rsidRPr="007D698E">
        <w:rPr>
          <w:rFonts w:ascii="Times New Roman" w:eastAsia="Calibri" w:hAnsi="Times New Roman" w:cs="Times New Roman"/>
          <w:sz w:val="24"/>
          <w:szCs w:val="24"/>
        </w:rPr>
        <w:t xml:space="preserve"> it is well-established practice that an assessment of whether it is appropriate to exemp</w:t>
      </w:r>
      <w:r w:rsidR="00A03CC6" w:rsidRPr="007D698E">
        <w:rPr>
          <w:rFonts w:ascii="Times New Roman" w:eastAsia="Calibri" w:hAnsi="Times New Roman" w:cs="Times New Roman"/>
          <w:sz w:val="24"/>
          <w:szCs w:val="24"/>
        </w:rPr>
        <w:t>t an instrument from sunsetting is conducted on the basis of the following</w:t>
      </w:r>
      <w:r w:rsidR="0001417B" w:rsidRPr="007D698E">
        <w:rPr>
          <w:rFonts w:ascii="Times New Roman" w:eastAsia="Calibri" w:hAnsi="Times New Roman" w:cs="Times New Roman"/>
          <w:sz w:val="24"/>
          <w:szCs w:val="24"/>
        </w:rPr>
        <w:t xml:space="preserve"> </w:t>
      </w:r>
      <w:r w:rsidRPr="007D698E">
        <w:rPr>
          <w:rFonts w:ascii="Times New Roman" w:eastAsia="Calibri" w:hAnsi="Times New Roman" w:cs="Times New Roman"/>
          <w:sz w:val="24"/>
          <w:szCs w:val="24"/>
        </w:rPr>
        <w:t>five criteria:</w:t>
      </w:r>
    </w:p>
    <w:p w14:paraId="4FCD30F7" w14:textId="77777777" w:rsidR="00CA7C72" w:rsidRPr="007D698E" w:rsidRDefault="00CA7C72" w:rsidP="00CA7C72">
      <w:pPr>
        <w:numPr>
          <w:ilvl w:val="0"/>
          <w:numId w:val="1"/>
        </w:numPr>
        <w:spacing w:before="240" w:after="0" w:line="240" w:lineRule="auto"/>
        <w:contextualSpacing/>
        <w:rPr>
          <w:rFonts w:ascii="Times New Roman" w:eastAsia="Calibri" w:hAnsi="Times New Roman" w:cs="Times New Roman"/>
          <w:sz w:val="24"/>
          <w:szCs w:val="24"/>
        </w:rPr>
      </w:pPr>
      <w:r w:rsidRPr="007D698E">
        <w:rPr>
          <w:rFonts w:ascii="Times New Roman" w:eastAsia="Calibri" w:hAnsi="Times New Roman" w:cs="Times New Roman"/>
          <w:sz w:val="24"/>
          <w:szCs w:val="24"/>
        </w:rPr>
        <w:t>the rule-maker has been given a statutory role independent of the Government, or is operating in competition with the private sector;</w:t>
      </w:r>
    </w:p>
    <w:p w14:paraId="0DDC43D5" w14:textId="77777777" w:rsidR="00CA7C72" w:rsidRPr="007D698E" w:rsidRDefault="00CA7C72" w:rsidP="00CA7C72">
      <w:pPr>
        <w:numPr>
          <w:ilvl w:val="0"/>
          <w:numId w:val="1"/>
        </w:numPr>
        <w:spacing w:before="240" w:after="0" w:line="240" w:lineRule="auto"/>
        <w:contextualSpacing/>
        <w:rPr>
          <w:rFonts w:ascii="Times New Roman" w:eastAsia="Calibri" w:hAnsi="Times New Roman" w:cs="Times New Roman"/>
          <w:sz w:val="24"/>
          <w:szCs w:val="24"/>
        </w:rPr>
      </w:pPr>
      <w:r w:rsidRPr="007D698E">
        <w:rPr>
          <w:rFonts w:ascii="Times New Roman" w:eastAsia="Calibri" w:hAnsi="Times New Roman" w:cs="Times New Roman"/>
          <w:sz w:val="24"/>
          <w:szCs w:val="24"/>
        </w:rPr>
        <w:t>the instrument is designed to be enduring and not subject to regular review;</w:t>
      </w:r>
    </w:p>
    <w:p w14:paraId="5622FC86" w14:textId="77777777" w:rsidR="00CA7C72" w:rsidRPr="007D698E" w:rsidRDefault="00CA7C72" w:rsidP="00CA7C72">
      <w:pPr>
        <w:numPr>
          <w:ilvl w:val="0"/>
          <w:numId w:val="1"/>
        </w:numPr>
        <w:spacing w:before="240" w:after="0" w:line="240" w:lineRule="auto"/>
        <w:contextualSpacing/>
        <w:rPr>
          <w:rFonts w:ascii="Times New Roman" w:eastAsia="Calibri" w:hAnsi="Times New Roman" w:cs="Times New Roman"/>
          <w:sz w:val="24"/>
          <w:szCs w:val="24"/>
        </w:rPr>
      </w:pPr>
      <w:r w:rsidRPr="007D698E">
        <w:rPr>
          <w:rFonts w:ascii="Times New Roman" w:eastAsia="Calibri" w:hAnsi="Times New Roman" w:cs="Times New Roman"/>
          <w:sz w:val="24"/>
          <w:szCs w:val="24"/>
        </w:rPr>
        <w:t>commercial certainty would be undermined by sunsetting;</w:t>
      </w:r>
    </w:p>
    <w:p w14:paraId="173E78B9" w14:textId="77777777" w:rsidR="00CA7C72" w:rsidRPr="007D698E" w:rsidRDefault="00CA7C72" w:rsidP="00CA7C72">
      <w:pPr>
        <w:numPr>
          <w:ilvl w:val="0"/>
          <w:numId w:val="1"/>
        </w:numPr>
        <w:spacing w:before="240" w:after="0" w:line="240" w:lineRule="auto"/>
        <w:contextualSpacing/>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the instrument is part of an intergovernmental scheme; </w:t>
      </w:r>
      <w:r w:rsidR="00F81619" w:rsidRPr="007D698E">
        <w:rPr>
          <w:rFonts w:ascii="Times New Roman" w:eastAsia="Calibri" w:hAnsi="Times New Roman" w:cs="Times New Roman"/>
          <w:sz w:val="24"/>
          <w:szCs w:val="24"/>
        </w:rPr>
        <w:t>or</w:t>
      </w:r>
    </w:p>
    <w:p w14:paraId="52AA1517" w14:textId="77777777" w:rsidR="000825FA" w:rsidRPr="007D698E" w:rsidRDefault="00CA7C72" w:rsidP="000825FA">
      <w:pPr>
        <w:numPr>
          <w:ilvl w:val="0"/>
          <w:numId w:val="1"/>
        </w:numPr>
        <w:spacing w:before="240" w:after="0" w:line="240" w:lineRule="auto"/>
        <w:contextualSpacing/>
        <w:rPr>
          <w:rFonts w:ascii="Times New Roman" w:eastAsia="Calibri" w:hAnsi="Times New Roman" w:cs="Times New Roman"/>
          <w:sz w:val="24"/>
          <w:szCs w:val="24"/>
        </w:rPr>
      </w:pPr>
      <w:proofErr w:type="gramStart"/>
      <w:r w:rsidRPr="007D698E">
        <w:rPr>
          <w:rFonts w:ascii="Times New Roman" w:eastAsia="Calibri" w:hAnsi="Times New Roman" w:cs="Times New Roman"/>
          <w:sz w:val="24"/>
          <w:szCs w:val="24"/>
        </w:rPr>
        <w:t>the</w:t>
      </w:r>
      <w:proofErr w:type="gramEnd"/>
      <w:r w:rsidRPr="007D698E">
        <w:rPr>
          <w:rFonts w:ascii="Times New Roman" w:eastAsia="Calibri" w:hAnsi="Times New Roman" w:cs="Times New Roman"/>
          <w:sz w:val="24"/>
          <w:szCs w:val="24"/>
        </w:rPr>
        <w:t xml:space="preserve"> instrument is subject to a more rigorous statutory review process</w:t>
      </w:r>
      <w:r w:rsidR="00F81619" w:rsidRPr="007D698E">
        <w:rPr>
          <w:rFonts w:ascii="Times New Roman" w:eastAsia="Calibri" w:hAnsi="Times New Roman" w:cs="Times New Roman"/>
          <w:sz w:val="24"/>
          <w:szCs w:val="24"/>
        </w:rPr>
        <w:t>.</w:t>
      </w:r>
    </w:p>
    <w:p w14:paraId="346B70EA" w14:textId="19A543BD" w:rsidR="00BF5860" w:rsidRPr="007D698E" w:rsidRDefault="00BF5860" w:rsidP="00BF5860">
      <w:p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lastRenderedPageBreak/>
        <w:t>Additionally, th</w:t>
      </w:r>
      <w:r w:rsidR="00BD2F19" w:rsidRPr="007D698E">
        <w:rPr>
          <w:rFonts w:ascii="Times New Roman" w:eastAsia="Calibri" w:hAnsi="Times New Roman" w:cs="Times New Roman"/>
          <w:sz w:val="24"/>
          <w:szCs w:val="24"/>
        </w:rPr>
        <w:t xml:space="preserve">e 2017 </w:t>
      </w:r>
      <w:r w:rsidRPr="007D698E">
        <w:rPr>
          <w:rFonts w:ascii="Times New Roman" w:eastAsia="Calibri" w:hAnsi="Times New Roman" w:cs="Times New Roman"/>
          <w:i/>
          <w:sz w:val="24"/>
          <w:szCs w:val="24"/>
        </w:rPr>
        <w:t>Report on the Operation of the Sunsetting Provisions in the Legislation Act 2003</w:t>
      </w:r>
      <w:r w:rsidRPr="007D698E">
        <w:rPr>
          <w:rFonts w:ascii="Times New Roman" w:eastAsia="Calibri" w:hAnsi="Times New Roman" w:cs="Times New Roman"/>
          <w:sz w:val="24"/>
          <w:szCs w:val="24"/>
        </w:rPr>
        <w:t xml:space="preserve"> </w:t>
      </w:r>
      <w:r w:rsidR="0069596F" w:rsidRPr="007D698E">
        <w:rPr>
          <w:rFonts w:ascii="Times New Roman" w:eastAsia="Calibri" w:hAnsi="Times New Roman" w:cs="Times New Roman"/>
          <w:sz w:val="24"/>
          <w:szCs w:val="24"/>
        </w:rPr>
        <w:t>recommended</w:t>
      </w:r>
      <w:r w:rsidRPr="007D698E">
        <w:rPr>
          <w:rFonts w:ascii="Times New Roman" w:eastAsia="Calibri" w:hAnsi="Times New Roman" w:cs="Times New Roman"/>
          <w:sz w:val="24"/>
          <w:szCs w:val="24"/>
        </w:rPr>
        <w:t xml:space="preserve"> that the policy criteria justifying </w:t>
      </w:r>
      <w:r w:rsidR="00013665" w:rsidRPr="007D698E">
        <w:rPr>
          <w:rFonts w:ascii="Times New Roman" w:eastAsia="Calibri" w:hAnsi="Times New Roman" w:cs="Times New Roman"/>
          <w:sz w:val="24"/>
          <w:szCs w:val="24"/>
        </w:rPr>
        <w:t>the granting of exemption</w:t>
      </w:r>
      <w:r w:rsidRPr="007D698E">
        <w:rPr>
          <w:rFonts w:ascii="Times New Roman" w:eastAsia="Calibri" w:hAnsi="Times New Roman" w:cs="Times New Roman"/>
          <w:sz w:val="24"/>
          <w:szCs w:val="24"/>
        </w:rPr>
        <w:t>s</w:t>
      </w:r>
      <w:r w:rsidR="00013665" w:rsidRPr="007D698E">
        <w:rPr>
          <w:rFonts w:ascii="Times New Roman" w:eastAsia="Calibri" w:hAnsi="Times New Roman" w:cs="Times New Roman"/>
          <w:sz w:val="24"/>
          <w:szCs w:val="24"/>
        </w:rPr>
        <w:t xml:space="preserve"> from sunsetting </w:t>
      </w:r>
      <w:r w:rsidRPr="007D698E">
        <w:rPr>
          <w:rFonts w:ascii="Times New Roman" w:eastAsia="Calibri" w:hAnsi="Times New Roman" w:cs="Times New Roman"/>
          <w:sz w:val="24"/>
          <w:szCs w:val="24"/>
        </w:rPr>
        <w:t xml:space="preserve">should </w:t>
      </w:r>
      <w:r w:rsidR="00013665" w:rsidRPr="007D698E">
        <w:rPr>
          <w:rFonts w:ascii="Times New Roman" w:eastAsia="Calibri" w:hAnsi="Times New Roman" w:cs="Times New Roman"/>
          <w:sz w:val="24"/>
          <w:szCs w:val="24"/>
        </w:rPr>
        <w:t>be expanded to include circumstances where</w:t>
      </w:r>
      <w:r w:rsidRPr="007D698E">
        <w:rPr>
          <w:rFonts w:ascii="Times New Roman" w:eastAsia="Calibri" w:hAnsi="Times New Roman" w:cs="Times New Roman"/>
          <w:sz w:val="24"/>
          <w:szCs w:val="24"/>
        </w:rPr>
        <w:t xml:space="preserve"> </w:t>
      </w:r>
      <w:r w:rsidR="00013665" w:rsidRPr="007D698E">
        <w:rPr>
          <w:rFonts w:ascii="Times New Roman" w:eastAsia="Calibri" w:hAnsi="Times New Roman" w:cs="Times New Roman"/>
          <w:sz w:val="24"/>
          <w:szCs w:val="24"/>
        </w:rPr>
        <w:t>all the following criteria apply:</w:t>
      </w:r>
    </w:p>
    <w:p w14:paraId="0DC1369E" w14:textId="77777777" w:rsidR="00BF5860" w:rsidRPr="007D698E" w:rsidRDefault="00013665" w:rsidP="00BF5860">
      <w:pPr>
        <w:pStyle w:val="ListParagraph"/>
        <w:numPr>
          <w:ilvl w:val="0"/>
          <w:numId w:val="11"/>
        </w:num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the instrument is sufficiently large and complex that the administrative burden associated with remaking the instrument would outweigh any regulatory benefit,</w:t>
      </w:r>
    </w:p>
    <w:p w14:paraId="54D4083E" w14:textId="77777777" w:rsidR="00BF5860" w:rsidRPr="007D698E" w:rsidRDefault="00013665" w:rsidP="00BF5860">
      <w:pPr>
        <w:pStyle w:val="ListParagraph"/>
        <w:numPr>
          <w:ilvl w:val="0"/>
          <w:numId w:val="11"/>
        </w:num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the instrument is subject to regular review, and</w:t>
      </w:r>
    </w:p>
    <w:p w14:paraId="69DDF9D7" w14:textId="654D259D" w:rsidR="00013665" w:rsidRPr="007D698E" w:rsidRDefault="00013665" w:rsidP="00BF5860">
      <w:pPr>
        <w:pStyle w:val="ListParagraph"/>
        <w:numPr>
          <w:ilvl w:val="0"/>
          <w:numId w:val="11"/>
        </w:numPr>
        <w:spacing w:before="240" w:after="0" w:line="240" w:lineRule="auto"/>
        <w:rPr>
          <w:rFonts w:ascii="Times New Roman" w:eastAsia="Calibri" w:hAnsi="Times New Roman" w:cs="Times New Roman"/>
          <w:sz w:val="24"/>
          <w:szCs w:val="24"/>
        </w:rPr>
      </w:pPr>
      <w:proofErr w:type="gramStart"/>
      <w:r w:rsidRPr="007D698E">
        <w:rPr>
          <w:rFonts w:ascii="Times New Roman" w:eastAsia="Calibri" w:hAnsi="Times New Roman" w:cs="Times New Roman"/>
          <w:sz w:val="24"/>
          <w:szCs w:val="24"/>
        </w:rPr>
        <w:t>the</w:t>
      </w:r>
      <w:proofErr w:type="gramEnd"/>
      <w:r w:rsidRPr="007D698E">
        <w:rPr>
          <w:rFonts w:ascii="Times New Roman" w:eastAsia="Calibri" w:hAnsi="Times New Roman" w:cs="Times New Roman"/>
          <w:sz w:val="24"/>
          <w:szCs w:val="24"/>
        </w:rPr>
        <w:t xml:space="preserve"> instrument is subject to regular amendment. </w:t>
      </w:r>
    </w:p>
    <w:p w14:paraId="7028D8A5" w14:textId="1B1DAB3B" w:rsidR="00C856C5" w:rsidRPr="007D698E" w:rsidRDefault="00C856C5" w:rsidP="00C856C5">
      <w:pPr>
        <w:pStyle w:val="Paragraph"/>
        <w:numPr>
          <w:ilvl w:val="0"/>
          <w:numId w:val="0"/>
        </w:numPr>
        <w:tabs>
          <w:tab w:val="left" w:pos="567"/>
        </w:tabs>
        <w:rPr>
          <w:szCs w:val="24"/>
        </w:rPr>
      </w:pPr>
      <w:r w:rsidRPr="007D698E">
        <w:rPr>
          <w:szCs w:val="24"/>
        </w:rPr>
        <w:t xml:space="preserve">This is consistent with the purpose of sunsetting, which is to ensure that legislative instruments are kept up to </w:t>
      </w:r>
      <w:r w:rsidR="00444BE8" w:rsidRPr="007D698E">
        <w:rPr>
          <w:szCs w:val="24"/>
        </w:rPr>
        <w:t>date and continue to be fit-for-</w:t>
      </w:r>
      <w:r w:rsidRPr="007D698E">
        <w:rPr>
          <w:szCs w:val="24"/>
        </w:rPr>
        <w:t>purpose.</w:t>
      </w:r>
    </w:p>
    <w:p w14:paraId="29ADA76D" w14:textId="3377CEDB" w:rsidR="00373092" w:rsidRPr="007D698E" w:rsidRDefault="00013665" w:rsidP="00E1206A">
      <w:pPr>
        <w:spacing w:before="240" w:line="240" w:lineRule="auto"/>
        <w:ind w:right="-188"/>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Each sunsetting exemption made by </w:t>
      </w:r>
      <w:r w:rsidR="004A0365" w:rsidRPr="007D698E">
        <w:rPr>
          <w:rFonts w:ascii="Times New Roman" w:eastAsia="Calibri" w:hAnsi="Times New Roman" w:cs="Times New Roman"/>
          <w:sz w:val="24"/>
          <w:szCs w:val="24"/>
        </w:rPr>
        <w:t xml:space="preserve">these </w:t>
      </w:r>
      <w:r w:rsidRPr="007D698E">
        <w:rPr>
          <w:rFonts w:ascii="Times New Roman" w:eastAsia="Calibri" w:hAnsi="Times New Roman" w:cs="Times New Roman"/>
          <w:sz w:val="24"/>
          <w:szCs w:val="24"/>
        </w:rPr>
        <w:t>Regulation</w:t>
      </w:r>
      <w:r w:rsidR="004A0365" w:rsidRPr="007D698E">
        <w:rPr>
          <w:rFonts w:ascii="Times New Roman" w:eastAsia="Calibri" w:hAnsi="Times New Roman" w:cs="Times New Roman"/>
          <w:sz w:val="24"/>
          <w:szCs w:val="24"/>
        </w:rPr>
        <w:t>s</w:t>
      </w:r>
      <w:r w:rsidRPr="007D698E">
        <w:rPr>
          <w:rFonts w:ascii="Times New Roman" w:eastAsia="Calibri" w:hAnsi="Times New Roman" w:cs="Times New Roman"/>
          <w:sz w:val="24"/>
          <w:szCs w:val="24"/>
        </w:rPr>
        <w:t xml:space="preserve"> was analysed against the above criteria and found to be not suitable for regular review under Part 4 </w:t>
      </w:r>
      <w:r w:rsidR="00E1206A">
        <w:rPr>
          <w:rFonts w:ascii="Times New Roman" w:eastAsia="Calibri" w:hAnsi="Times New Roman" w:cs="Times New Roman"/>
          <w:sz w:val="24"/>
          <w:szCs w:val="24"/>
        </w:rPr>
        <w:t>of Chapter 3 of the Legislation </w:t>
      </w:r>
      <w:r w:rsidRPr="007D698E">
        <w:rPr>
          <w:rFonts w:ascii="Times New Roman" w:eastAsia="Calibri" w:hAnsi="Times New Roman" w:cs="Times New Roman"/>
          <w:sz w:val="24"/>
          <w:szCs w:val="24"/>
        </w:rPr>
        <w:t xml:space="preserve">Act. </w:t>
      </w:r>
    </w:p>
    <w:p w14:paraId="4DA02288" w14:textId="77777777" w:rsidR="00643F65" w:rsidRPr="007D698E" w:rsidRDefault="00643F65" w:rsidP="006B4473">
      <w:pPr>
        <w:spacing w:before="240" w:after="0" w:line="240" w:lineRule="auto"/>
        <w:contextualSpacing/>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Further information </w:t>
      </w:r>
      <w:r w:rsidR="009436C7" w:rsidRPr="007D698E">
        <w:rPr>
          <w:rFonts w:ascii="Times New Roman" w:eastAsia="Calibri" w:hAnsi="Times New Roman" w:cs="Times New Roman"/>
          <w:sz w:val="24"/>
          <w:szCs w:val="24"/>
        </w:rPr>
        <w:t xml:space="preserve">is provided at </w:t>
      </w:r>
      <w:r w:rsidR="009436C7" w:rsidRPr="007D698E">
        <w:rPr>
          <w:rFonts w:ascii="Times New Roman" w:eastAsia="Calibri" w:hAnsi="Times New Roman" w:cs="Times New Roman"/>
          <w:sz w:val="24"/>
          <w:szCs w:val="24"/>
          <w:u w:val="single"/>
        </w:rPr>
        <w:t>Attachment A</w:t>
      </w:r>
      <w:r w:rsidR="009436C7" w:rsidRPr="007D698E">
        <w:rPr>
          <w:rFonts w:ascii="Times New Roman" w:eastAsia="Calibri" w:hAnsi="Times New Roman" w:cs="Times New Roman"/>
          <w:sz w:val="24"/>
          <w:szCs w:val="24"/>
        </w:rPr>
        <w:t>.</w:t>
      </w:r>
    </w:p>
    <w:p w14:paraId="13598776" w14:textId="313654B5" w:rsidR="00CA7C72" w:rsidRPr="007D698E" w:rsidRDefault="00CA7C72" w:rsidP="00CA7C72">
      <w:pPr>
        <w:spacing w:before="240" w:after="0" w:line="240" w:lineRule="auto"/>
        <w:ind w:left="1452" w:hanging="1452"/>
        <w:outlineLvl w:val="1"/>
        <w:rPr>
          <w:rFonts w:ascii="Times New Roman" w:eastAsia="Calibri" w:hAnsi="Times New Roman" w:cs="Times New Roman"/>
          <w:b/>
          <w:sz w:val="24"/>
          <w:szCs w:val="24"/>
        </w:rPr>
      </w:pPr>
      <w:r w:rsidRPr="007D698E">
        <w:rPr>
          <w:rFonts w:ascii="Times New Roman" w:eastAsia="Calibri" w:hAnsi="Times New Roman" w:cs="Times New Roman"/>
          <w:b/>
          <w:sz w:val="24"/>
          <w:szCs w:val="24"/>
        </w:rPr>
        <w:t xml:space="preserve">PROCESSES FOR REVIEW OF </w:t>
      </w:r>
      <w:r w:rsidR="004A0365" w:rsidRPr="007D698E">
        <w:rPr>
          <w:rFonts w:ascii="Times New Roman" w:eastAsia="Calibri" w:hAnsi="Times New Roman" w:cs="Times New Roman"/>
          <w:b/>
          <w:sz w:val="24"/>
          <w:szCs w:val="24"/>
        </w:rPr>
        <w:t xml:space="preserve">THESE </w:t>
      </w:r>
      <w:r w:rsidRPr="007D698E">
        <w:rPr>
          <w:rFonts w:ascii="Times New Roman" w:eastAsia="Calibri" w:hAnsi="Times New Roman" w:cs="Times New Roman"/>
          <w:b/>
          <w:sz w:val="24"/>
          <w:szCs w:val="24"/>
        </w:rPr>
        <w:t>REGULATION</w:t>
      </w:r>
      <w:r w:rsidR="004A0365" w:rsidRPr="007D698E">
        <w:rPr>
          <w:rFonts w:ascii="Times New Roman" w:eastAsia="Calibri" w:hAnsi="Times New Roman" w:cs="Times New Roman"/>
          <w:b/>
          <w:sz w:val="24"/>
          <w:szCs w:val="24"/>
        </w:rPr>
        <w:t>S</w:t>
      </w:r>
      <w:r w:rsidRPr="007D698E">
        <w:rPr>
          <w:rFonts w:ascii="Times New Roman" w:eastAsia="Calibri" w:hAnsi="Times New Roman" w:cs="Times New Roman"/>
          <w:b/>
          <w:sz w:val="24"/>
          <w:szCs w:val="24"/>
        </w:rPr>
        <w:t xml:space="preserve"> </w:t>
      </w:r>
    </w:p>
    <w:p w14:paraId="6CAE7B5A" w14:textId="73CDBA13" w:rsidR="00CA7C72" w:rsidRPr="007D698E" w:rsidRDefault="00FE5BEC" w:rsidP="00CA7C72">
      <w:p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The</w:t>
      </w:r>
      <w:r w:rsidR="004A0365" w:rsidRPr="007D698E">
        <w:rPr>
          <w:rFonts w:ascii="Times New Roman" w:eastAsia="Calibri" w:hAnsi="Times New Roman" w:cs="Times New Roman"/>
          <w:sz w:val="24"/>
          <w:szCs w:val="24"/>
        </w:rPr>
        <w:t>se</w:t>
      </w:r>
      <w:r w:rsidRPr="007D698E">
        <w:rPr>
          <w:rFonts w:ascii="Times New Roman" w:eastAsia="Calibri" w:hAnsi="Times New Roman" w:cs="Times New Roman"/>
          <w:sz w:val="24"/>
          <w:szCs w:val="24"/>
        </w:rPr>
        <w:t xml:space="preserve"> Regulations are</w:t>
      </w:r>
      <w:r w:rsidR="00CA7C72" w:rsidRPr="007D698E">
        <w:rPr>
          <w:rFonts w:ascii="Times New Roman" w:eastAsia="Calibri" w:hAnsi="Times New Roman" w:cs="Times New Roman"/>
          <w:sz w:val="24"/>
          <w:szCs w:val="24"/>
        </w:rPr>
        <w:t xml:space="preserve"> subject to tabling and disallowance under Part 2 of Chapter 3 of the Legislation Act, and will cease as if repealed on the day after the last of its provisions commence. </w:t>
      </w:r>
    </w:p>
    <w:p w14:paraId="7CBF2274" w14:textId="77777777" w:rsidR="00CA7C72" w:rsidRPr="007D698E" w:rsidRDefault="00CA7C72" w:rsidP="00CA7C72">
      <w:pPr>
        <w:keepNext/>
        <w:spacing w:before="240" w:after="0" w:line="240" w:lineRule="auto"/>
        <w:ind w:left="1452" w:hanging="1452"/>
        <w:outlineLvl w:val="2"/>
        <w:rPr>
          <w:rFonts w:ascii="Times New Roman" w:eastAsia="Calibri" w:hAnsi="Times New Roman" w:cs="Times New Roman"/>
          <w:b/>
          <w:sz w:val="24"/>
          <w:szCs w:val="24"/>
        </w:rPr>
      </w:pPr>
      <w:r w:rsidRPr="007D698E">
        <w:rPr>
          <w:rFonts w:ascii="Times New Roman" w:eastAsia="Calibri" w:hAnsi="Times New Roman" w:cs="Times New Roman"/>
          <w:b/>
          <w:sz w:val="24"/>
          <w:szCs w:val="24"/>
        </w:rPr>
        <w:t>Regulatory impact analysis</w:t>
      </w:r>
    </w:p>
    <w:p w14:paraId="4B99B899" w14:textId="77777777" w:rsidR="00CA7C72" w:rsidRPr="007D698E" w:rsidRDefault="00CA7C72" w:rsidP="00CA7C72">
      <w:p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Before the Principal Regulation was made, its expected impact was assessed using the Preliminary Assessment tool approved by the Office of Best Practice Regulation (OBPR).  That assessment indicated that it will have no or low impact on business, individuals and the economy. This assessment has been confirmed by the OBPR and granted a standing exemption from Regulatory impact analysis requirements (OBPR reference 17635). </w:t>
      </w:r>
    </w:p>
    <w:p w14:paraId="634B942E" w14:textId="77777777" w:rsidR="00CA7C72" w:rsidRPr="007D698E" w:rsidRDefault="00CA7C72" w:rsidP="00CA7C72">
      <w:pPr>
        <w:keepNext/>
        <w:spacing w:before="240" w:after="0" w:line="240" w:lineRule="auto"/>
        <w:ind w:left="1452" w:hanging="1452"/>
        <w:outlineLvl w:val="2"/>
        <w:rPr>
          <w:rFonts w:ascii="Times New Roman" w:eastAsia="Calibri" w:hAnsi="Times New Roman" w:cs="Times New Roman"/>
          <w:b/>
          <w:sz w:val="24"/>
          <w:szCs w:val="24"/>
        </w:rPr>
      </w:pPr>
      <w:r w:rsidRPr="007D698E">
        <w:rPr>
          <w:rFonts w:ascii="Times New Roman" w:eastAsia="Calibri" w:hAnsi="Times New Roman" w:cs="Times New Roman"/>
          <w:b/>
          <w:sz w:val="24"/>
          <w:szCs w:val="24"/>
        </w:rPr>
        <w:t xml:space="preserve">Statement of compatibility with human rights obligations </w:t>
      </w:r>
    </w:p>
    <w:p w14:paraId="6580974E" w14:textId="5C585FE0" w:rsidR="00CA7C72" w:rsidRPr="007D698E" w:rsidRDefault="00CA7C72" w:rsidP="00CA7C72">
      <w:p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Before </w:t>
      </w:r>
      <w:r w:rsidR="00FE5BEC" w:rsidRPr="007D698E">
        <w:rPr>
          <w:rFonts w:ascii="Times New Roman" w:eastAsia="Calibri" w:hAnsi="Times New Roman" w:cs="Times New Roman"/>
          <w:sz w:val="24"/>
          <w:szCs w:val="24"/>
        </w:rPr>
        <w:t>these Regulations</w:t>
      </w:r>
      <w:r w:rsidRPr="007D698E">
        <w:rPr>
          <w:rFonts w:ascii="Times New Roman" w:eastAsia="Calibri" w:hAnsi="Times New Roman" w:cs="Times New Roman"/>
          <w:sz w:val="24"/>
          <w:szCs w:val="24"/>
        </w:rPr>
        <w:t xml:space="preserve"> </w:t>
      </w:r>
      <w:r w:rsidR="00FE5BEC" w:rsidRPr="007D698E">
        <w:rPr>
          <w:rFonts w:ascii="Times New Roman" w:eastAsia="Calibri" w:hAnsi="Times New Roman" w:cs="Times New Roman"/>
          <w:sz w:val="24"/>
          <w:szCs w:val="24"/>
        </w:rPr>
        <w:t xml:space="preserve">were </w:t>
      </w:r>
      <w:r w:rsidRPr="007D698E">
        <w:rPr>
          <w:rFonts w:ascii="Times New Roman" w:eastAsia="Calibri" w:hAnsi="Times New Roman" w:cs="Times New Roman"/>
          <w:sz w:val="24"/>
          <w:szCs w:val="24"/>
        </w:rPr>
        <w:t xml:space="preserve">made, </w:t>
      </w:r>
      <w:r w:rsidR="00FE5BEC" w:rsidRPr="007D698E">
        <w:rPr>
          <w:rFonts w:ascii="Times New Roman" w:eastAsia="Calibri" w:hAnsi="Times New Roman" w:cs="Times New Roman"/>
          <w:sz w:val="24"/>
          <w:szCs w:val="24"/>
        </w:rPr>
        <w:t>their</w:t>
      </w:r>
      <w:r w:rsidRPr="007D698E">
        <w:rPr>
          <w:rFonts w:ascii="Times New Roman" w:eastAsia="Calibri" w:hAnsi="Times New Roman" w:cs="Times New Roman"/>
          <w:sz w:val="24"/>
          <w:szCs w:val="24"/>
        </w:rPr>
        <w:t xml:space="preserve"> impact on human rights was assessed using tools and guidance published by the Attorney</w:t>
      </w:r>
      <w:r w:rsidRPr="007D698E">
        <w:rPr>
          <w:rFonts w:ascii="Times New Roman" w:eastAsia="Calibri" w:hAnsi="Times New Roman" w:cs="Times New Roman"/>
          <w:sz w:val="24"/>
          <w:szCs w:val="24"/>
        </w:rPr>
        <w:noBreakHyphen/>
        <w:t xml:space="preserve">General’s Department. </w:t>
      </w:r>
      <w:r w:rsidR="00FE5BEC" w:rsidRPr="007D698E">
        <w:rPr>
          <w:rFonts w:ascii="Times New Roman" w:eastAsia="Calibri" w:hAnsi="Times New Roman" w:cs="Times New Roman"/>
          <w:sz w:val="24"/>
          <w:szCs w:val="24"/>
        </w:rPr>
        <w:t>These Regulations</w:t>
      </w:r>
      <w:r w:rsidRPr="007D698E">
        <w:rPr>
          <w:rFonts w:ascii="Times New Roman" w:eastAsia="Calibri" w:hAnsi="Times New Roman" w:cs="Times New Roman"/>
          <w:sz w:val="24"/>
          <w:szCs w:val="24"/>
        </w:rPr>
        <w:t xml:space="preserve"> will make technical amendments to the Principal Regulation which will have no impact on the human rights and freedoms recognised or declared in the international instruments listed in section 3 of the </w:t>
      </w:r>
      <w:r w:rsidRPr="007D698E">
        <w:rPr>
          <w:rFonts w:ascii="Times New Roman" w:eastAsia="Calibri" w:hAnsi="Times New Roman" w:cs="Times New Roman"/>
          <w:i/>
          <w:sz w:val="24"/>
          <w:szCs w:val="24"/>
        </w:rPr>
        <w:t>Human Rights (Parliamentary Scrutiny) Act 2011</w:t>
      </w:r>
      <w:r w:rsidRPr="007D698E">
        <w:rPr>
          <w:rFonts w:ascii="Times New Roman" w:eastAsia="Calibri" w:hAnsi="Times New Roman" w:cs="Times New Roman"/>
          <w:sz w:val="24"/>
          <w:szCs w:val="24"/>
        </w:rPr>
        <w:t xml:space="preserve">. </w:t>
      </w:r>
      <w:r w:rsidR="00FE5BEC" w:rsidRPr="007D698E">
        <w:rPr>
          <w:rFonts w:ascii="Times New Roman" w:eastAsia="Calibri" w:hAnsi="Times New Roman" w:cs="Times New Roman"/>
          <w:sz w:val="24"/>
          <w:szCs w:val="24"/>
        </w:rPr>
        <w:t xml:space="preserve">These Regulations are </w:t>
      </w:r>
      <w:r w:rsidRPr="007D698E">
        <w:rPr>
          <w:rFonts w:ascii="Times New Roman" w:eastAsia="Calibri" w:hAnsi="Times New Roman" w:cs="Times New Roman"/>
          <w:sz w:val="24"/>
          <w:szCs w:val="24"/>
        </w:rPr>
        <w:t xml:space="preserve">compatible with human rights as </w:t>
      </w:r>
      <w:r w:rsidR="00B17C31" w:rsidRPr="007D698E">
        <w:rPr>
          <w:rFonts w:ascii="Times New Roman" w:eastAsia="Calibri" w:hAnsi="Times New Roman" w:cs="Times New Roman"/>
          <w:sz w:val="24"/>
          <w:szCs w:val="24"/>
        </w:rPr>
        <w:t>they do</w:t>
      </w:r>
      <w:r w:rsidRPr="007D698E">
        <w:rPr>
          <w:rFonts w:ascii="Times New Roman" w:eastAsia="Calibri" w:hAnsi="Times New Roman" w:cs="Times New Roman"/>
          <w:sz w:val="24"/>
          <w:szCs w:val="24"/>
        </w:rPr>
        <w:t xml:space="preserve"> not raise any human rights issues.</w:t>
      </w:r>
    </w:p>
    <w:p w14:paraId="11396913" w14:textId="77777777" w:rsidR="00CA7C72" w:rsidRPr="007D698E" w:rsidRDefault="00CA7C72" w:rsidP="00CA7C72">
      <w:pPr>
        <w:keepNext/>
        <w:spacing w:before="240" w:after="0" w:line="260" w:lineRule="atLeast"/>
        <w:ind w:left="1452" w:hanging="1452"/>
        <w:outlineLvl w:val="2"/>
        <w:rPr>
          <w:rFonts w:ascii="Times New Roman" w:eastAsia="Calibri" w:hAnsi="Times New Roman" w:cs="Times New Roman"/>
          <w:b/>
          <w:color w:val="000000"/>
          <w:sz w:val="24"/>
          <w:szCs w:val="24"/>
        </w:rPr>
      </w:pPr>
      <w:r w:rsidRPr="007D698E">
        <w:rPr>
          <w:rFonts w:ascii="Times New Roman" w:eastAsia="Calibri" w:hAnsi="Times New Roman" w:cs="Times New Roman"/>
          <w:b/>
          <w:color w:val="000000"/>
          <w:sz w:val="24"/>
          <w:szCs w:val="24"/>
        </w:rPr>
        <w:t>Consultation before making</w:t>
      </w:r>
    </w:p>
    <w:p w14:paraId="6280BA4B" w14:textId="4093D5D3" w:rsidR="004B2ABA" w:rsidRPr="007D698E" w:rsidRDefault="00CA7C72" w:rsidP="00CA7C72">
      <w:pPr>
        <w:spacing w:before="240" w:after="0" w:line="260" w:lineRule="atLeast"/>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Before </w:t>
      </w:r>
      <w:r w:rsidR="0091333B" w:rsidRPr="007D698E">
        <w:rPr>
          <w:rFonts w:ascii="Times New Roman" w:eastAsia="Calibri" w:hAnsi="Times New Roman" w:cs="Times New Roman"/>
          <w:sz w:val="24"/>
          <w:szCs w:val="24"/>
        </w:rPr>
        <w:t xml:space="preserve">these Regulations were </w:t>
      </w:r>
      <w:r w:rsidRPr="007D698E">
        <w:rPr>
          <w:rFonts w:ascii="Times New Roman" w:eastAsia="Calibri" w:hAnsi="Times New Roman" w:cs="Times New Roman"/>
          <w:sz w:val="24"/>
          <w:szCs w:val="24"/>
        </w:rPr>
        <w:t>made, the Attorney-General considered the general obligation to consult imposed by section 17 of the Legislation Act. The Attorney-General was satisfied that consultation was appropriate and reasonably practicable to be undertaken</w:t>
      </w:r>
      <w:r w:rsidRPr="007D698E">
        <w:rPr>
          <w:rFonts w:ascii="Times New Roman" w:eastAsia="Calibri" w:hAnsi="Times New Roman" w:cs="Times New Roman"/>
          <w:i/>
          <w:iCs/>
          <w:sz w:val="24"/>
          <w:szCs w:val="24"/>
        </w:rPr>
        <w:t>.</w:t>
      </w:r>
      <w:r w:rsidRPr="007D698E">
        <w:rPr>
          <w:rFonts w:ascii="Times New Roman" w:eastAsia="Calibri" w:hAnsi="Times New Roman" w:cs="Times New Roman"/>
          <w:sz w:val="24"/>
          <w:szCs w:val="24"/>
        </w:rPr>
        <w:t xml:space="preserve"> </w:t>
      </w:r>
      <w:r w:rsidR="00350F77" w:rsidRPr="007D698E">
        <w:rPr>
          <w:rFonts w:ascii="Times New Roman" w:eastAsia="Calibri" w:hAnsi="Times New Roman" w:cs="Times New Roman"/>
          <w:sz w:val="24"/>
          <w:szCs w:val="24"/>
        </w:rPr>
        <w:t>Th</w:t>
      </w:r>
      <w:r w:rsidR="00455671" w:rsidRPr="007D698E">
        <w:rPr>
          <w:rFonts w:ascii="Times New Roman" w:eastAsia="Calibri" w:hAnsi="Times New Roman" w:cs="Times New Roman"/>
          <w:sz w:val="24"/>
          <w:szCs w:val="24"/>
        </w:rPr>
        <w:t>e</w:t>
      </w:r>
      <w:r w:rsidR="00350F77" w:rsidRPr="007D698E">
        <w:rPr>
          <w:rFonts w:ascii="Times New Roman" w:eastAsia="Calibri" w:hAnsi="Times New Roman" w:cs="Times New Roman"/>
          <w:sz w:val="24"/>
          <w:szCs w:val="24"/>
        </w:rPr>
        <w:t xml:space="preserve"> exemption</w:t>
      </w:r>
      <w:r w:rsidR="00B17C31" w:rsidRPr="007D698E">
        <w:rPr>
          <w:rFonts w:ascii="Times New Roman" w:eastAsia="Calibri" w:hAnsi="Times New Roman" w:cs="Times New Roman"/>
          <w:sz w:val="24"/>
          <w:szCs w:val="24"/>
        </w:rPr>
        <w:t>s</w:t>
      </w:r>
      <w:r w:rsidR="00350F77" w:rsidRPr="007D698E">
        <w:rPr>
          <w:rFonts w:ascii="Times New Roman" w:eastAsia="Calibri" w:hAnsi="Times New Roman" w:cs="Times New Roman"/>
          <w:sz w:val="24"/>
          <w:szCs w:val="24"/>
        </w:rPr>
        <w:t xml:space="preserve"> </w:t>
      </w:r>
      <w:r w:rsidR="00B17C31" w:rsidRPr="007D698E">
        <w:rPr>
          <w:rFonts w:ascii="Times New Roman" w:eastAsia="Calibri" w:hAnsi="Times New Roman" w:cs="Times New Roman"/>
          <w:sz w:val="24"/>
          <w:szCs w:val="24"/>
        </w:rPr>
        <w:t>were requested by the Minister for</w:t>
      </w:r>
      <w:r w:rsidR="00AC49A6" w:rsidRPr="007D698E">
        <w:rPr>
          <w:rFonts w:ascii="Times New Roman" w:eastAsia="Calibri" w:hAnsi="Times New Roman" w:cs="Times New Roman"/>
          <w:sz w:val="24"/>
          <w:szCs w:val="24"/>
        </w:rPr>
        <w:t xml:space="preserve"> </w:t>
      </w:r>
      <w:r w:rsidR="00B17C31" w:rsidRPr="007D698E">
        <w:rPr>
          <w:rFonts w:ascii="Times New Roman" w:eastAsia="Calibri" w:hAnsi="Times New Roman" w:cs="Times New Roman"/>
          <w:sz w:val="24"/>
          <w:szCs w:val="24"/>
        </w:rPr>
        <w:t xml:space="preserve">Revenue and Financial Services, the Minister for Health, and the Assistant Minister for Agriculture and Water Resources. Each of the Ministers provided </w:t>
      </w:r>
      <w:r w:rsidR="0049022A" w:rsidRPr="007D698E">
        <w:rPr>
          <w:rFonts w:ascii="Times New Roman" w:eastAsia="Calibri" w:hAnsi="Times New Roman" w:cs="Times New Roman"/>
          <w:sz w:val="24"/>
          <w:szCs w:val="24"/>
        </w:rPr>
        <w:t>information to</w:t>
      </w:r>
      <w:r w:rsidR="00455671" w:rsidRPr="007D698E">
        <w:rPr>
          <w:rFonts w:ascii="Times New Roman" w:eastAsia="Calibri" w:hAnsi="Times New Roman" w:cs="Times New Roman"/>
          <w:sz w:val="24"/>
          <w:szCs w:val="24"/>
        </w:rPr>
        <w:t xml:space="preserve"> the Attorney-General to</w:t>
      </w:r>
      <w:r w:rsidR="0049022A" w:rsidRPr="007D698E">
        <w:rPr>
          <w:rFonts w:ascii="Times New Roman" w:eastAsia="Calibri" w:hAnsi="Times New Roman" w:cs="Times New Roman"/>
          <w:sz w:val="24"/>
          <w:szCs w:val="24"/>
        </w:rPr>
        <w:t xml:space="preserve"> enable analysis of the</w:t>
      </w:r>
      <w:r w:rsidR="00B17C31" w:rsidRPr="007D698E">
        <w:rPr>
          <w:rFonts w:ascii="Times New Roman" w:eastAsia="Calibri" w:hAnsi="Times New Roman" w:cs="Times New Roman"/>
          <w:sz w:val="24"/>
          <w:szCs w:val="24"/>
        </w:rPr>
        <w:t>ir</w:t>
      </w:r>
      <w:r w:rsidR="0049022A" w:rsidRPr="007D698E">
        <w:rPr>
          <w:rFonts w:ascii="Times New Roman" w:eastAsia="Calibri" w:hAnsi="Times New Roman" w:cs="Times New Roman"/>
          <w:sz w:val="24"/>
          <w:szCs w:val="24"/>
        </w:rPr>
        <w:t xml:space="preserve"> request.</w:t>
      </w:r>
      <w:r w:rsidRPr="007D698E">
        <w:rPr>
          <w:rFonts w:ascii="Times New Roman" w:eastAsia="Calibri" w:hAnsi="Times New Roman" w:cs="Times New Roman"/>
          <w:sz w:val="24"/>
          <w:szCs w:val="24"/>
        </w:rPr>
        <w:t xml:space="preserve"> </w:t>
      </w:r>
    </w:p>
    <w:p w14:paraId="7F77B884" w14:textId="273DA589" w:rsidR="00CA7C72" w:rsidRPr="007D698E" w:rsidRDefault="00B17C31" w:rsidP="00CA7C72">
      <w:pPr>
        <w:spacing w:before="240" w:after="0" w:line="260" w:lineRule="atLeast"/>
        <w:rPr>
          <w:rFonts w:ascii="Times New Roman" w:eastAsia="Calibri" w:hAnsi="Times New Roman" w:cs="Times New Roman"/>
          <w:color w:val="000000"/>
          <w:sz w:val="24"/>
          <w:szCs w:val="24"/>
        </w:rPr>
      </w:pPr>
      <w:r w:rsidRPr="007D698E">
        <w:rPr>
          <w:rFonts w:ascii="Times New Roman" w:eastAsia="Calibri" w:hAnsi="Times New Roman" w:cs="Times New Roman"/>
          <w:sz w:val="24"/>
          <w:szCs w:val="24"/>
        </w:rPr>
        <w:t>The following agencies were consulted</w:t>
      </w:r>
      <w:r w:rsidR="00847F49" w:rsidRPr="007D698E">
        <w:rPr>
          <w:rFonts w:ascii="Times New Roman" w:eastAsia="Calibri" w:hAnsi="Times New Roman" w:cs="Times New Roman"/>
          <w:sz w:val="24"/>
          <w:szCs w:val="24"/>
        </w:rPr>
        <w:t xml:space="preserve"> </w:t>
      </w:r>
      <w:r w:rsidR="00A66A41" w:rsidRPr="007D698E">
        <w:rPr>
          <w:rFonts w:ascii="Times New Roman" w:eastAsia="Calibri" w:hAnsi="Times New Roman" w:cs="Times New Roman"/>
          <w:sz w:val="24"/>
          <w:szCs w:val="24"/>
        </w:rPr>
        <w:t>on</w:t>
      </w:r>
      <w:r w:rsidR="00B5010A" w:rsidRPr="007D698E">
        <w:rPr>
          <w:rFonts w:ascii="Times New Roman" w:eastAsia="Calibri" w:hAnsi="Times New Roman" w:cs="Times New Roman"/>
          <w:sz w:val="24"/>
          <w:szCs w:val="24"/>
        </w:rPr>
        <w:t xml:space="preserve"> the </w:t>
      </w:r>
      <w:r w:rsidR="00DB4291" w:rsidRPr="007D698E">
        <w:rPr>
          <w:rFonts w:ascii="Times New Roman" w:eastAsia="Calibri" w:hAnsi="Times New Roman" w:cs="Times New Roman"/>
          <w:sz w:val="24"/>
          <w:szCs w:val="24"/>
        </w:rPr>
        <w:t>Regulations</w:t>
      </w:r>
      <w:r w:rsidRPr="007D698E">
        <w:rPr>
          <w:rFonts w:ascii="Times New Roman" w:eastAsia="Calibri" w:hAnsi="Times New Roman" w:cs="Times New Roman"/>
          <w:sz w:val="24"/>
          <w:szCs w:val="24"/>
        </w:rPr>
        <w:t>:</w:t>
      </w:r>
      <w:r w:rsidR="00035BB8" w:rsidRPr="007D698E">
        <w:rPr>
          <w:rFonts w:ascii="Times New Roman" w:eastAsia="Calibri" w:hAnsi="Times New Roman" w:cs="Times New Roman"/>
          <w:sz w:val="24"/>
          <w:szCs w:val="24"/>
        </w:rPr>
        <w:t xml:space="preserve"> </w:t>
      </w:r>
      <w:r w:rsidRPr="007D698E">
        <w:rPr>
          <w:rFonts w:ascii="Times New Roman" w:eastAsia="Calibri" w:hAnsi="Times New Roman" w:cs="Times New Roman"/>
          <w:sz w:val="24"/>
          <w:szCs w:val="24"/>
        </w:rPr>
        <w:t xml:space="preserve">the </w:t>
      </w:r>
      <w:r w:rsidR="00035BB8" w:rsidRPr="007D698E">
        <w:rPr>
          <w:rFonts w:ascii="Times New Roman" w:eastAsia="Calibri" w:hAnsi="Times New Roman" w:cs="Times New Roman"/>
          <w:sz w:val="24"/>
          <w:szCs w:val="24"/>
        </w:rPr>
        <w:t>Treasury</w:t>
      </w:r>
      <w:r w:rsidR="007D2508" w:rsidRPr="007D698E">
        <w:rPr>
          <w:rFonts w:ascii="Times New Roman" w:eastAsia="Calibri" w:hAnsi="Times New Roman" w:cs="Times New Roman"/>
          <w:sz w:val="24"/>
          <w:szCs w:val="24"/>
        </w:rPr>
        <w:t>,</w:t>
      </w:r>
      <w:r w:rsidRPr="007D698E">
        <w:rPr>
          <w:rFonts w:ascii="Times New Roman" w:eastAsia="Calibri" w:hAnsi="Times New Roman" w:cs="Times New Roman"/>
          <w:sz w:val="24"/>
          <w:szCs w:val="24"/>
        </w:rPr>
        <w:t xml:space="preserve"> </w:t>
      </w:r>
      <w:r w:rsidR="00DB4291" w:rsidRPr="007D698E">
        <w:rPr>
          <w:rFonts w:ascii="Times New Roman" w:eastAsia="Calibri" w:hAnsi="Times New Roman" w:cs="Times New Roman"/>
          <w:sz w:val="24"/>
          <w:szCs w:val="24"/>
        </w:rPr>
        <w:t xml:space="preserve">the Australian Taxation Office, </w:t>
      </w:r>
      <w:r w:rsidR="00E24F0B" w:rsidRPr="007D698E">
        <w:rPr>
          <w:rFonts w:ascii="Times New Roman" w:eastAsia="Calibri" w:hAnsi="Times New Roman" w:cs="Times New Roman"/>
          <w:sz w:val="24"/>
          <w:szCs w:val="24"/>
        </w:rPr>
        <w:t xml:space="preserve">the Department of Health (including the Therapeutic Goods </w:t>
      </w:r>
      <w:r w:rsidR="00E24F0B" w:rsidRPr="007D698E">
        <w:rPr>
          <w:rFonts w:ascii="Times New Roman" w:eastAsia="Calibri" w:hAnsi="Times New Roman" w:cs="Times New Roman"/>
          <w:sz w:val="24"/>
          <w:szCs w:val="24"/>
        </w:rPr>
        <w:lastRenderedPageBreak/>
        <w:t>Administration)</w:t>
      </w:r>
      <w:r w:rsidR="00DB4291" w:rsidRPr="007D698E">
        <w:rPr>
          <w:rFonts w:ascii="Times New Roman" w:eastAsia="Calibri" w:hAnsi="Times New Roman" w:cs="Times New Roman"/>
          <w:sz w:val="24"/>
          <w:szCs w:val="24"/>
        </w:rPr>
        <w:t xml:space="preserve">, </w:t>
      </w:r>
      <w:r w:rsidR="00035BB8" w:rsidRPr="007D698E">
        <w:rPr>
          <w:rFonts w:ascii="Times New Roman" w:eastAsia="Calibri" w:hAnsi="Times New Roman" w:cs="Times New Roman"/>
          <w:sz w:val="24"/>
          <w:szCs w:val="24"/>
        </w:rPr>
        <w:t>the Department of Agriculture and Water Resources</w:t>
      </w:r>
      <w:r w:rsidR="007D2508" w:rsidRPr="007D698E">
        <w:rPr>
          <w:rFonts w:ascii="Times New Roman" w:eastAsia="Calibri" w:hAnsi="Times New Roman" w:cs="Times New Roman"/>
          <w:sz w:val="24"/>
          <w:szCs w:val="24"/>
        </w:rPr>
        <w:t xml:space="preserve"> and the Australian Fisheries Management Authority</w:t>
      </w:r>
      <w:r w:rsidR="00CA7C72" w:rsidRPr="007D698E">
        <w:rPr>
          <w:rFonts w:ascii="Times New Roman" w:eastAsia="Calibri" w:hAnsi="Times New Roman" w:cs="Times New Roman"/>
          <w:color w:val="000000"/>
          <w:sz w:val="24"/>
          <w:szCs w:val="24"/>
        </w:rPr>
        <w:t>.</w:t>
      </w:r>
    </w:p>
    <w:p w14:paraId="2EEEA806" w14:textId="77777777" w:rsidR="00CA7C72" w:rsidRPr="007D698E" w:rsidRDefault="00CA7C72" w:rsidP="00CA7C72">
      <w:pPr>
        <w:spacing w:before="240" w:after="0" w:line="240" w:lineRule="auto"/>
        <w:ind w:left="1452" w:hanging="1452"/>
        <w:outlineLvl w:val="1"/>
        <w:rPr>
          <w:rFonts w:ascii="Times New Roman" w:eastAsia="Calibri" w:hAnsi="Times New Roman" w:cs="Times New Roman"/>
          <w:b/>
          <w:sz w:val="24"/>
          <w:szCs w:val="24"/>
        </w:rPr>
      </w:pPr>
      <w:r w:rsidRPr="007D698E">
        <w:rPr>
          <w:rFonts w:ascii="Times New Roman" w:eastAsia="Calibri" w:hAnsi="Times New Roman" w:cs="Times New Roman"/>
          <w:b/>
          <w:sz w:val="24"/>
          <w:szCs w:val="24"/>
        </w:rPr>
        <w:t xml:space="preserve">OTHER ISSUES </w:t>
      </w:r>
    </w:p>
    <w:p w14:paraId="14B0C2A0" w14:textId="77777777" w:rsidR="00CA7C72" w:rsidRPr="007D698E" w:rsidRDefault="00CA7C72" w:rsidP="00CA7C72">
      <w:pPr>
        <w:keepNext/>
        <w:spacing w:before="240" w:after="0" w:line="240" w:lineRule="auto"/>
        <w:ind w:left="1452" w:hanging="1452"/>
        <w:outlineLvl w:val="2"/>
        <w:rPr>
          <w:rFonts w:ascii="Times New Roman" w:eastAsia="Calibri" w:hAnsi="Times New Roman" w:cs="Times New Roman"/>
          <w:b/>
          <w:sz w:val="24"/>
          <w:szCs w:val="24"/>
        </w:rPr>
      </w:pPr>
      <w:r w:rsidRPr="007D698E">
        <w:rPr>
          <w:rFonts w:ascii="Times New Roman" w:eastAsia="Calibri" w:hAnsi="Times New Roman" w:cs="Times New Roman"/>
          <w:b/>
          <w:sz w:val="24"/>
          <w:szCs w:val="24"/>
        </w:rPr>
        <w:t>Matter incorporated by reference</w:t>
      </w:r>
    </w:p>
    <w:p w14:paraId="5C2742CC" w14:textId="367579A0" w:rsidR="00CA7C72" w:rsidRPr="007D698E" w:rsidRDefault="0091333B" w:rsidP="00CA7C72">
      <w:p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These Regulations do </w:t>
      </w:r>
      <w:r w:rsidR="00CA7C72" w:rsidRPr="007D698E">
        <w:rPr>
          <w:rFonts w:ascii="Times New Roman" w:eastAsia="Calibri" w:hAnsi="Times New Roman" w:cs="Times New Roman"/>
          <w:sz w:val="24"/>
          <w:szCs w:val="24"/>
        </w:rPr>
        <w:t xml:space="preserve">not apply, adopt or incorporate other matters by reference. </w:t>
      </w:r>
    </w:p>
    <w:p w14:paraId="693A81AB" w14:textId="77777777" w:rsidR="00CA7C72" w:rsidRPr="007D698E" w:rsidRDefault="00CA7C72" w:rsidP="00CA7C72">
      <w:pPr>
        <w:keepNext/>
        <w:spacing w:before="240" w:after="0" w:line="240" w:lineRule="auto"/>
        <w:ind w:left="1452" w:hanging="1452"/>
        <w:outlineLvl w:val="2"/>
        <w:rPr>
          <w:rFonts w:ascii="Times New Roman" w:eastAsia="Calibri" w:hAnsi="Times New Roman" w:cs="Times New Roman"/>
          <w:b/>
          <w:sz w:val="24"/>
          <w:szCs w:val="24"/>
        </w:rPr>
      </w:pPr>
      <w:r w:rsidRPr="007D698E">
        <w:rPr>
          <w:rFonts w:ascii="Times New Roman" w:eastAsia="Calibri" w:hAnsi="Times New Roman" w:cs="Times New Roman"/>
          <w:b/>
          <w:sz w:val="24"/>
          <w:szCs w:val="24"/>
        </w:rPr>
        <w:t xml:space="preserve">More information </w:t>
      </w:r>
    </w:p>
    <w:p w14:paraId="048D7D1A" w14:textId="40140E18" w:rsidR="00CA7C72" w:rsidRPr="007D698E" w:rsidRDefault="00CA7C72" w:rsidP="00CA7C72">
      <w:pPr>
        <w:spacing w:before="240" w:after="0" w:line="240" w:lineRule="auto"/>
        <w:rPr>
          <w:rFonts w:ascii="Times New Roman" w:eastAsia="Calibri" w:hAnsi="Times New Roman" w:cs="Times New Roman"/>
          <w:b/>
          <w:sz w:val="24"/>
          <w:szCs w:val="24"/>
        </w:rPr>
      </w:pPr>
      <w:r w:rsidRPr="007D698E">
        <w:rPr>
          <w:rFonts w:ascii="Times New Roman" w:eastAsia="Calibri" w:hAnsi="Times New Roman" w:cs="Times New Roman"/>
          <w:sz w:val="24"/>
          <w:szCs w:val="24"/>
        </w:rPr>
        <w:t xml:space="preserve">An explanation of the provisions </w:t>
      </w:r>
      <w:r w:rsidR="00590A9B" w:rsidRPr="007D698E">
        <w:rPr>
          <w:rFonts w:ascii="Times New Roman" w:eastAsia="Calibri" w:hAnsi="Times New Roman" w:cs="Times New Roman"/>
          <w:sz w:val="24"/>
          <w:szCs w:val="24"/>
        </w:rPr>
        <w:t>of</w:t>
      </w:r>
      <w:r w:rsidR="00E1206A">
        <w:rPr>
          <w:rFonts w:ascii="Times New Roman" w:eastAsia="Calibri" w:hAnsi="Times New Roman" w:cs="Times New Roman"/>
          <w:sz w:val="24"/>
          <w:szCs w:val="24"/>
        </w:rPr>
        <w:t>,</w:t>
      </w:r>
      <w:r w:rsidR="00590A9B" w:rsidRPr="007D698E">
        <w:rPr>
          <w:rFonts w:ascii="Times New Roman" w:eastAsia="Calibri" w:hAnsi="Times New Roman" w:cs="Times New Roman"/>
          <w:sz w:val="24"/>
          <w:szCs w:val="24"/>
        </w:rPr>
        <w:t xml:space="preserve"> </w:t>
      </w:r>
      <w:r w:rsidRPr="007D698E">
        <w:rPr>
          <w:rFonts w:ascii="Times New Roman" w:eastAsia="Calibri" w:hAnsi="Times New Roman" w:cs="Times New Roman"/>
          <w:sz w:val="24"/>
          <w:szCs w:val="24"/>
        </w:rPr>
        <w:t>and the Schedule to</w:t>
      </w:r>
      <w:r w:rsidR="00E1206A">
        <w:rPr>
          <w:rFonts w:ascii="Times New Roman" w:eastAsia="Calibri" w:hAnsi="Times New Roman" w:cs="Times New Roman"/>
          <w:sz w:val="24"/>
          <w:szCs w:val="24"/>
        </w:rPr>
        <w:t>,</w:t>
      </w:r>
      <w:r w:rsidRPr="007D698E">
        <w:rPr>
          <w:rFonts w:ascii="Times New Roman" w:eastAsia="Calibri" w:hAnsi="Times New Roman" w:cs="Times New Roman"/>
          <w:sz w:val="24"/>
          <w:szCs w:val="24"/>
        </w:rPr>
        <w:t xml:space="preserve"> </w:t>
      </w:r>
      <w:r w:rsidR="00CD52EA" w:rsidRPr="007D698E">
        <w:rPr>
          <w:rFonts w:ascii="Times New Roman" w:eastAsia="Calibri" w:hAnsi="Times New Roman" w:cs="Times New Roman"/>
          <w:sz w:val="24"/>
          <w:szCs w:val="24"/>
        </w:rPr>
        <w:t>these Regulations</w:t>
      </w:r>
      <w:r w:rsidRPr="007D698E">
        <w:rPr>
          <w:rFonts w:ascii="Times New Roman" w:eastAsia="Calibri" w:hAnsi="Times New Roman" w:cs="Times New Roman"/>
          <w:sz w:val="24"/>
          <w:szCs w:val="24"/>
        </w:rPr>
        <w:t xml:space="preserve"> is provided in </w:t>
      </w:r>
      <w:r w:rsidRPr="007D698E">
        <w:rPr>
          <w:rFonts w:ascii="Times New Roman" w:eastAsia="Calibri" w:hAnsi="Times New Roman" w:cs="Times New Roman"/>
          <w:sz w:val="24"/>
          <w:szCs w:val="24"/>
          <w:u w:val="single"/>
        </w:rPr>
        <w:t>Attachment A</w:t>
      </w:r>
      <w:r w:rsidRPr="007D698E">
        <w:rPr>
          <w:rFonts w:ascii="Times New Roman" w:eastAsia="Calibri" w:hAnsi="Times New Roman" w:cs="Times New Roman"/>
          <w:sz w:val="24"/>
          <w:szCs w:val="24"/>
        </w:rPr>
        <w:t>.</w:t>
      </w:r>
      <w:r w:rsidRPr="007D698E">
        <w:rPr>
          <w:rFonts w:ascii="Times New Roman" w:eastAsia="Calibri" w:hAnsi="Times New Roman" w:cs="Times New Roman"/>
          <w:b/>
          <w:sz w:val="24"/>
          <w:szCs w:val="24"/>
        </w:rPr>
        <w:br w:type="page"/>
      </w:r>
    </w:p>
    <w:p w14:paraId="43050B36" w14:textId="77777777" w:rsidR="00CA7C72" w:rsidRPr="007D698E" w:rsidRDefault="00CA7C72" w:rsidP="00CA7C72">
      <w:pPr>
        <w:spacing w:before="240" w:after="0" w:line="240" w:lineRule="auto"/>
        <w:ind w:left="7932" w:hanging="1452"/>
        <w:outlineLvl w:val="1"/>
        <w:rPr>
          <w:rFonts w:ascii="Times New Roman" w:eastAsia="Calibri" w:hAnsi="Times New Roman" w:cs="Times New Roman"/>
          <w:b/>
          <w:sz w:val="24"/>
          <w:szCs w:val="24"/>
        </w:rPr>
      </w:pPr>
      <w:r w:rsidRPr="007D698E">
        <w:rPr>
          <w:rFonts w:ascii="Times New Roman" w:eastAsia="Calibri" w:hAnsi="Times New Roman" w:cs="Times New Roman"/>
          <w:b/>
          <w:sz w:val="24"/>
          <w:szCs w:val="24"/>
          <w:u w:val="single"/>
        </w:rPr>
        <w:lastRenderedPageBreak/>
        <w:t>ATTACHMENT A</w:t>
      </w:r>
    </w:p>
    <w:p w14:paraId="338BFC5F" w14:textId="77777777" w:rsidR="00CA7C72" w:rsidRPr="007D698E" w:rsidRDefault="00CA7C72" w:rsidP="00CA7C72">
      <w:pPr>
        <w:spacing w:before="240" w:after="0" w:line="240" w:lineRule="auto"/>
        <w:ind w:left="1452" w:hanging="1452"/>
        <w:outlineLvl w:val="1"/>
        <w:rPr>
          <w:rFonts w:ascii="Times New Roman" w:eastAsia="Calibri" w:hAnsi="Times New Roman" w:cs="Times New Roman"/>
          <w:b/>
          <w:sz w:val="24"/>
          <w:szCs w:val="24"/>
        </w:rPr>
      </w:pPr>
      <w:r w:rsidRPr="007D698E">
        <w:rPr>
          <w:rFonts w:ascii="Times New Roman" w:eastAsia="Calibri" w:hAnsi="Times New Roman" w:cs="Times New Roman"/>
          <w:b/>
          <w:sz w:val="24"/>
          <w:szCs w:val="24"/>
        </w:rPr>
        <w:t>NOTES ON PROVISIONS AND SCHEDULES</w:t>
      </w:r>
    </w:p>
    <w:p w14:paraId="1C5D959E" w14:textId="77777777" w:rsidR="00CA7C72" w:rsidRPr="007D698E" w:rsidRDefault="00CA7C72" w:rsidP="00CA7C72">
      <w:pPr>
        <w:spacing w:before="240" w:after="0" w:line="240" w:lineRule="auto"/>
        <w:rPr>
          <w:rFonts w:ascii="Times New Roman" w:eastAsia="Calibri" w:hAnsi="Times New Roman" w:cs="Times New Roman"/>
          <w:b/>
          <w:sz w:val="24"/>
          <w:szCs w:val="24"/>
        </w:rPr>
      </w:pPr>
      <w:r w:rsidRPr="007D698E">
        <w:rPr>
          <w:rFonts w:ascii="Times New Roman" w:eastAsia="Calibri" w:hAnsi="Times New Roman" w:cs="Times New Roman"/>
          <w:b/>
          <w:sz w:val="24"/>
          <w:szCs w:val="24"/>
        </w:rPr>
        <w:t>Section 1</w:t>
      </w:r>
      <w:r w:rsidRPr="007D698E">
        <w:rPr>
          <w:rFonts w:ascii="Times New Roman" w:eastAsia="Calibri" w:hAnsi="Times New Roman" w:cs="Times New Roman"/>
          <w:b/>
          <w:sz w:val="24"/>
          <w:szCs w:val="24"/>
        </w:rPr>
        <w:tab/>
        <w:t xml:space="preserve">Name </w:t>
      </w:r>
    </w:p>
    <w:p w14:paraId="4D417E5A" w14:textId="786995DD" w:rsidR="00CA7C72" w:rsidRPr="007D698E" w:rsidRDefault="00CA7C72" w:rsidP="00CA7C72">
      <w:p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This section provides that the title of </w:t>
      </w:r>
      <w:r w:rsidR="006C32D5" w:rsidRPr="007D698E">
        <w:rPr>
          <w:rFonts w:ascii="Times New Roman" w:eastAsia="Calibri" w:hAnsi="Times New Roman" w:cs="Times New Roman"/>
          <w:sz w:val="24"/>
          <w:szCs w:val="24"/>
        </w:rPr>
        <w:t>these Regulations</w:t>
      </w:r>
      <w:r w:rsidRPr="007D698E">
        <w:rPr>
          <w:rFonts w:ascii="Times New Roman" w:eastAsia="Calibri" w:hAnsi="Times New Roman" w:cs="Times New Roman"/>
          <w:sz w:val="24"/>
          <w:szCs w:val="24"/>
        </w:rPr>
        <w:t xml:space="preserve"> is the </w:t>
      </w:r>
      <w:r w:rsidR="006C32D5" w:rsidRPr="007D698E">
        <w:rPr>
          <w:rFonts w:ascii="Times New Roman" w:eastAsia="Calibri" w:hAnsi="Times New Roman" w:cs="Times New Roman"/>
          <w:i/>
          <w:sz w:val="24"/>
          <w:szCs w:val="24"/>
        </w:rPr>
        <w:t>Legislation (Exemptions and Other Matters</w:t>
      </w:r>
      <w:r w:rsidR="00B17C31" w:rsidRPr="007D698E">
        <w:rPr>
          <w:rFonts w:ascii="Times New Roman" w:eastAsia="Calibri" w:hAnsi="Times New Roman" w:cs="Times New Roman"/>
          <w:i/>
          <w:sz w:val="24"/>
          <w:szCs w:val="24"/>
        </w:rPr>
        <w:t>) Amendment (2018 Measures No. 2</w:t>
      </w:r>
      <w:r w:rsidR="006C32D5" w:rsidRPr="007D698E">
        <w:rPr>
          <w:rFonts w:ascii="Times New Roman" w:eastAsia="Calibri" w:hAnsi="Times New Roman" w:cs="Times New Roman"/>
          <w:i/>
          <w:sz w:val="24"/>
          <w:szCs w:val="24"/>
        </w:rPr>
        <w:t>) Regulations 2018</w:t>
      </w:r>
      <w:r w:rsidR="001E580E" w:rsidRPr="007D698E">
        <w:rPr>
          <w:rFonts w:ascii="Times New Roman" w:eastAsia="Calibri" w:hAnsi="Times New Roman" w:cs="Times New Roman"/>
          <w:sz w:val="24"/>
          <w:szCs w:val="24"/>
        </w:rPr>
        <w:t>.</w:t>
      </w:r>
    </w:p>
    <w:p w14:paraId="64992620" w14:textId="77777777" w:rsidR="00CA7C72" w:rsidRPr="007D698E" w:rsidRDefault="00CA7C72" w:rsidP="00CA7C72">
      <w:pPr>
        <w:spacing w:before="240" w:after="0" w:line="240" w:lineRule="auto"/>
        <w:rPr>
          <w:rFonts w:ascii="Times New Roman" w:eastAsia="Calibri" w:hAnsi="Times New Roman" w:cs="Times New Roman"/>
          <w:b/>
          <w:sz w:val="24"/>
          <w:szCs w:val="24"/>
        </w:rPr>
      </w:pPr>
      <w:r w:rsidRPr="007D698E">
        <w:rPr>
          <w:rFonts w:ascii="Times New Roman" w:eastAsia="Calibri" w:hAnsi="Times New Roman" w:cs="Times New Roman"/>
          <w:b/>
          <w:sz w:val="24"/>
          <w:szCs w:val="24"/>
        </w:rPr>
        <w:t xml:space="preserve">Section 2 </w:t>
      </w:r>
      <w:r w:rsidRPr="007D698E">
        <w:rPr>
          <w:rFonts w:ascii="Times New Roman" w:eastAsia="Calibri" w:hAnsi="Times New Roman" w:cs="Times New Roman"/>
          <w:b/>
          <w:sz w:val="24"/>
          <w:szCs w:val="24"/>
        </w:rPr>
        <w:tab/>
        <w:t>Commencement</w:t>
      </w:r>
    </w:p>
    <w:p w14:paraId="625874E3" w14:textId="696AB00F" w:rsidR="00CA7C72" w:rsidRPr="007D698E" w:rsidRDefault="00CA7C72" w:rsidP="00CA7C72">
      <w:p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This section provides for the whole of the Regulation</w:t>
      </w:r>
      <w:r w:rsidR="00A70045" w:rsidRPr="007D698E">
        <w:rPr>
          <w:rFonts w:ascii="Times New Roman" w:eastAsia="Calibri" w:hAnsi="Times New Roman" w:cs="Times New Roman"/>
          <w:sz w:val="24"/>
          <w:szCs w:val="24"/>
        </w:rPr>
        <w:t>s</w:t>
      </w:r>
      <w:r w:rsidRPr="007D698E">
        <w:rPr>
          <w:rFonts w:ascii="Times New Roman" w:eastAsia="Calibri" w:hAnsi="Times New Roman" w:cs="Times New Roman"/>
          <w:sz w:val="24"/>
          <w:szCs w:val="24"/>
        </w:rPr>
        <w:t xml:space="preserve"> to commence on the day after it is registered on the Federal Register of Legislation. </w:t>
      </w:r>
    </w:p>
    <w:p w14:paraId="76890B71" w14:textId="77777777" w:rsidR="00CA7C72" w:rsidRPr="007D698E" w:rsidRDefault="00CA7C72" w:rsidP="00CA7C72">
      <w:pPr>
        <w:spacing w:before="240" w:after="0" w:line="240" w:lineRule="auto"/>
        <w:ind w:left="720" w:hanging="720"/>
        <w:rPr>
          <w:rFonts w:ascii="Times New Roman" w:eastAsia="Calibri" w:hAnsi="Times New Roman" w:cs="Times New Roman"/>
          <w:b/>
          <w:sz w:val="24"/>
          <w:szCs w:val="24"/>
        </w:rPr>
      </w:pPr>
      <w:r w:rsidRPr="007D698E">
        <w:rPr>
          <w:rFonts w:ascii="Times New Roman" w:eastAsia="Calibri" w:hAnsi="Times New Roman" w:cs="Times New Roman"/>
          <w:b/>
          <w:sz w:val="24"/>
          <w:szCs w:val="24"/>
        </w:rPr>
        <w:t>Section 3</w:t>
      </w:r>
      <w:r w:rsidRPr="007D698E">
        <w:rPr>
          <w:rFonts w:ascii="Times New Roman" w:eastAsia="Calibri" w:hAnsi="Times New Roman" w:cs="Times New Roman"/>
          <w:b/>
          <w:sz w:val="24"/>
          <w:szCs w:val="24"/>
        </w:rPr>
        <w:tab/>
        <w:t>Authority</w:t>
      </w:r>
    </w:p>
    <w:p w14:paraId="0288EC3C" w14:textId="15ACCBC1" w:rsidR="00CA7C72" w:rsidRPr="007D698E" w:rsidRDefault="00CA7C72" w:rsidP="00CA7C72">
      <w:p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This section provides that the </w:t>
      </w:r>
      <w:r w:rsidR="00A70045" w:rsidRPr="007D698E">
        <w:rPr>
          <w:rFonts w:ascii="Times New Roman" w:eastAsia="Calibri" w:hAnsi="Times New Roman" w:cs="Times New Roman"/>
          <w:sz w:val="24"/>
          <w:szCs w:val="24"/>
        </w:rPr>
        <w:t>Regulations</w:t>
      </w:r>
      <w:r w:rsidRPr="007D698E">
        <w:rPr>
          <w:rFonts w:ascii="Times New Roman" w:eastAsia="Calibri" w:hAnsi="Times New Roman" w:cs="Times New Roman"/>
          <w:sz w:val="24"/>
          <w:szCs w:val="24"/>
        </w:rPr>
        <w:t xml:space="preserve"> </w:t>
      </w:r>
      <w:r w:rsidR="00A70045" w:rsidRPr="007D698E">
        <w:rPr>
          <w:rFonts w:ascii="Times New Roman" w:eastAsia="Calibri" w:hAnsi="Times New Roman" w:cs="Times New Roman"/>
          <w:sz w:val="24"/>
          <w:szCs w:val="24"/>
        </w:rPr>
        <w:t>are</w:t>
      </w:r>
      <w:r w:rsidRPr="007D698E">
        <w:rPr>
          <w:rFonts w:ascii="Times New Roman" w:eastAsia="Calibri" w:hAnsi="Times New Roman" w:cs="Times New Roman"/>
          <w:sz w:val="24"/>
          <w:szCs w:val="24"/>
        </w:rPr>
        <w:t xml:space="preserve"> made under the </w:t>
      </w:r>
      <w:r w:rsidRPr="007D698E">
        <w:rPr>
          <w:rFonts w:ascii="Times New Roman" w:eastAsia="Calibri" w:hAnsi="Times New Roman" w:cs="Times New Roman"/>
          <w:i/>
          <w:sz w:val="24"/>
          <w:szCs w:val="24"/>
        </w:rPr>
        <w:t>Legislation</w:t>
      </w:r>
      <w:r w:rsidRPr="007D698E">
        <w:rPr>
          <w:rFonts w:ascii="Times New Roman" w:eastAsia="Calibri" w:hAnsi="Times New Roman" w:cs="Times New Roman"/>
          <w:sz w:val="24"/>
          <w:szCs w:val="24"/>
        </w:rPr>
        <w:t> </w:t>
      </w:r>
      <w:r w:rsidRPr="007D698E">
        <w:rPr>
          <w:rFonts w:ascii="Times New Roman" w:eastAsia="Calibri" w:hAnsi="Times New Roman" w:cs="Times New Roman"/>
          <w:i/>
          <w:sz w:val="24"/>
          <w:szCs w:val="24"/>
        </w:rPr>
        <w:t>Act 2003</w:t>
      </w:r>
      <w:r w:rsidRPr="007D698E">
        <w:rPr>
          <w:rFonts w:ascii="Times New Roman" w:eastAsia="Calibri" w:hAnsi="Times New Roman" w:cs="Times New Roman"/>
          <w:sz w:val="24"/>
          <w:szCs w:val="24"/>
        </w:rPr>
        <w:t xml:space="preserve">.  </w:t>
      </w:r>
    </w:p>
    <w:p w14:paraId="59DB68C7" w14:textId="77777777" w:rsidR="00CA7C72" w:rsidRPr="007D698E" w:rsidRDefault="00CA7C72" w:rsidP="00CA7C72">
      <w:pPr>
        <w:spacing w:before="240" w:after="0" w:line="240" w:lineRule="auto"/>
        <w:rPr>
          <w:rFonts w:ascii="Times New Roman" w:eastAsia="Calibri" w:hAnsi="Times New Roman" w:cs="Times New Roman"/>
          <w:b/>
          <w:sz w:val="24"/>
          <w:szCs w:val="24"/>
        </w:rPr>
      </w:pPr>
      <w:r w:rsidRPr="007D698E">
        <w:rPr>
          <w:rFonts w:ascii="Times New Roman" w:eastAsia="Calibri" w:hAnsi="Times New Roman" w:cs="Times New Roman"/>
          <w:b/>
          <w:sz w:val="24"/>
          <w:szCs w:val="24"/>
        </w:rPr>
        <w:t>Section 4</w:t>
      </w:r>
      <w:r w:rsidRPr="007D698E">
        <w:rPr>
          <w:rFonts w:ascii="Times New Roman" w:eastAsia="Calibri" w:hAnsi="Times New Roman" w:cs="Times New Roman"/>
          <w:b/>
          <w:sz w:val="24"/>
          <w:szCs w:val="24"/>
        </w:rPr>
        <w:tab/>
        <w:t>Schedules</w:t>
      </w:r>
    </w:p>
    <w:p w14:paraId="514F6FDD" w14:textId="0D538EB4" w:rsidR="00CA7C72" w:rsidRPr="007D698E" w:rsidRDefault="00CA7C72" w:rsidP="00CA7C72">
      <w:p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This section provides that each instrument that is specified in a Schedule to the </w:t>
      </w:r>
      <w:r w:rsidR="00A70045" w:rsidRPr="007D698E">
        <w:rPr>
          <w:rFonts w:ascii="Times New Roman" w:eastAsia="Calibri" w:hAnsi="Times New Roman" w:cs="Times New Roman"/>
          <w:sz w:val="24"/>
          <w:szCs w:val="24"/>
        </w:rPr>
        <w:t>Regulations</w:t>
      </w:r>
      <w:r w:rsidRPr="007D698E">
        <w:rPr>
          <w:rFonts w:ascii="Times New Roman" w:eastAsia="Calibri" w:hAnsi="Times New Roman" w:cs="Times New Roman"/>
          <w:sz w:val="24"/>
          <w:szCs w:val="24"/>
        </w:rPr>
        <w:t xml:space="preserve"> is amended or repealed as set out in the applicable items in the Schedule concerned, and any other item in a Schedule to the </w:t>
      </w:r>
      <w:r w:rsidR="00A70045" w:rsidRPr="007D698E">
        <w:rPr>
          <w:rFonts w:ascii="Times New Roman" w:eastAsia="Calibri" w:hAnsi="Times New Roman" w:cs="Times New Roman"/>
          <w:sz w:val="24"/>
          <w:szCs w:val="24"/>
        </w:rPr>
        <w:t>Regulations</w:t>
      </w:r>
      <w:r w:rsidRPr="007D698E">
        <w:rPr>
          <w:rFonts w:ascii="Times New Roman" w:eastAsia="Calibri" w:hAnsi="Times New Roman" w:cs="Times New Roman"/>
          <w:sz w:val="24"/>
          <w:szCs w:val="24"/>
        </w:rPr>
        <w:t xml:space="preserve"> has effect according to its terms. </w:t>
      </w:r>
    </w:p>
    <w:p w14:paraId="6F834C65" w14:textId="77777777" w:rsidR="00CA7C72" w:rsidRPr="007D698E" w:rsidRDefault="00CA7C72" w:rsidP="00CA7C72">
      <w:pPr>
        <w:spacing w:before="240" w:after="0" w:line="240" w:lineRule="auto"/>
        <w:rPr>
          <w:rFonts w:ascii="Times New Roman" w:eastAsia="Calibri" w:hAnsi="Times New Roman" w:cs="Times New Roman"/>
          <w:b/>
          <w:sz w:val="24"/>
          <w:szCs w:val="24"/>
        </w:rPr>
      </w:pPr>
      <w:r w:rsidRPr="007D698E">
        <w:rPr>
          <w:rFonts w:ascii="Times New Roman" w:eastAsia="Calibri" w:hAnsi="Times New Roman" w:cs="Times New Roman"/>
          <w:b/>
          <w:sz w:val="24"/>
          <w:szCs w:val="24"/>
        </w:rPr>
        <w:t>Schedule 1</w:t>
      </w:r>
      <w:r w:rsidRPr="007D698E">
        <w:rPr>
          <w:rFonts w:ascii="Times New Roman" w:eastAsia="Calibri" w:hAnsi="Times New Roman" w:cs="Times New Roman"/>
          <w:b/>
          <w:sz w:val="24"/>
          <w:szCs w:val="24"/>
        </w:rPr>
        <w:tab/>
        <w:t xml:space="preserve">Amendments </w:t>
      </w:r>
    </w:p>
    <w:p w14:paraId="1B16BA1A" w14:textId="607C3A2A" w:rsidR="00CA7C72" w:rsidRPr="007D698E" w:rsidRDefault="00CA7C72" w:rsidP="00CA7C72">
      <w:p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Schedule 1 </w:t>
      </w:r>
      <w:r w:rsidR="00B8427D" w:rsidRPr="007D698E">
        <w:rPr>
          <w:rFonts w:ascii="Times New Roman" w:eastAsia="Calibri" w:hAnsi="Times New Roman" w:cs="Times New Roman"/>
          <w:sz w:val="24"/>
          <w:szCs w:val="24"/>
        </w:rPr>
        <w:t xml:space="preserve">to </w:t>
      </w:r>
      <w:r w:rsidRPr="007D698E">
        <w:rPr>
          <w:rFonts w:ascii="Times New Roman" w:eastAsia="Calibri" w:hAnsi="Times New Roman" w:cs="Times New Roman"/>
          <w:sz w:val="24"/>
          <w:szCs w:val="24"/>
        </w:rPr>
        <w:t xml:space="preserve">the </w:t>
      </w:r>
      <w:r w:rsidR="00A70045" w:rsidRPr="007D698E">
        <w:rPr>
          <w:rFonts w:ascii="Times New Roman" w:eastAsia="Calibri" w:hAnsi="Times New Roman" w:cs="Times New Roman"/>
          <w:sz w:val="24"/>
          <w:szCs w:val="24"/>
        </w:rPr>
        <w:t>Regulations</w:t>
      </w:r>
      <w:r w:rsidRPr="007D698E">
        <w:rPr>
          <w:rFonts w:ascii="Times New Roman" w:eastAsia="Calibri" w:hAnsi="Times New Roman" w:cs="Times New Roman"/>
          <w:sz w:val="24"/>
          <w:szCs w:val="24"/>
        </w:rPr>
        <w:t xml:space="preserve"> amends section 12 of the </w:t>
      </w:r>
      <w:r w:rsidR="008C63DA" w:rsidRPr="007D698E">
        <w:rPr>
          <w:rFonts w:ascii="Times New Roman" w:eastAsia="Calibri" w:hAnsi="Times New Roman" w:cs="Times New Roman"/>
          <w:i/>
          <w:iCs/>
          <w:sz w:val="24"/>
          <w:szCs w:val="24"/>
        </w:rPr>
        <w:t>Legislation (Exemptions and Other Matters) Regulation 2015</w:t>
      </w:r>
      <w:r w:rsidR="008C63DA" w:rsidRPr="007D698E">
        <w:rPr>
          <w:rFonts w:ascii="Times New Roman" w:eastAsia="Calibri" w:hAnsi="Times New Roman" w:cs="Times New Roman"/>
          <w:iCs/>
          <w:sz w:val="24"/>
          <w:szCs w:val="24"/>
        </w:rPr>
        <w:t xml:space="preserve"> (the </w:t>
      </w:r>
      <w:r w:rsidR="008C63DA" w:rsidRPr="007D698E">
        <w:rPr>
          <w:rFonts w:ascii="Times New Roman" w:eastAsia="Calibri" w:hAnsi="Times New Roman" w:cs="Times New Roman"/>
          <w:sz w:val="24"/>
          <w:szCs w:val="24"/>
        </w:rPr>
        <w:t xml:space="preserve">Principal Regulation) </w:t>
      </w:r>
      <w:r w:rsidR="00B17C31" w:rsidRPr="007D698E">
        <w:rPr>
          <w:rFonts w:ascii="Times New Roman" w:eastAsia="Calibri" w:hAnsi="Times New Roman" w:cs="Times New Roman"/>
          <w:sz w:val="24"/>
          <w:szCs w:val="24"/>
        </w:rPr>
        <w:t>to insert</w:t>
      </w:r>
      <w:r w:rsidR="001F5C75" w:rsidRPr="007D698E">
        <w:rPr>
          <w:rFonts w:ascii="Times New Roman" w:eastAsia="Calibri" w:hAnsi="Times New Roman" w:cs="Times New Roman"/>
          <w:sz w:val="24"/>
          <w:szCs w:val="24"/>
        </w:rPr>
        <w:t xml:space="preserve"> new exemption</w:t>
      </w:r>
      <w:r w:rsidR="00B17C31" w:rsidRPr="007D698E">
        <w:rPr>
          <w:rFonts w:ascii="Times New Roman" w:eastAsia="Calibri" w:hAnsi="Times New Roman" w:cs="Times New Roman"/>
          <w:sz w:val="24"/>
          <w:szCs w:val="24"/>
        </w:rPr>
        <w:t>s from sunsetting</w:t>
      </w:r>
      <w:r w:rsidRPr="007D698E">
        <w:rPr>
          <w:rFonts w:ascii="Times New Roman" w:eastAsia="Calibri" w:hAnsi="Times New Roman" w:cs="Times New Roman"/>
          <w:sz w:val="24"/>
          <w:szCs w:val="24"/>
        </w:rPr>
        <w:t xml:space="preserve">. Section 12 provides for particular instruments that are not subject to sunsetting. </w:t>
      </w:r>
    </w:p>
    <w:p w14:paraId="3641AB95" w14:textId="417E945B" w:rsidR="004A0E9D" w:rsidRPr="007D698E" w:rsidRDefault="004A0E9D" w:rsidP="00CA7C72">
      <w:pPr>
        <w:spacing w:before="240" w:after="0" w:line="240" w:lineRule="auto"/>
        <w:rPr>
          <w:rFonts w:ascii="Times New Roman" w:eastAsia="Times New Roman" w:hAnsi="Times New Roman" w:cs="Times New Roman"/>
          <w:sz w:val="24"/>
          <w:szCs w:val="24"/>
          <w:lang w:eastAsia="en-AU"/>
        </w:rPr>
      </w:pPr>
      <w:r w:rsidRPr="007D698E">
        <w:rPr>
          <w:rFonts w:ascii="Times New Roman" w:eastAsia="Times New Roman" w:hAnsi="Times New Roman" w:cs="Times New Roman"/>
          <w:b/>
          <w:sz w:val="24"/>
          <w:szCs w:val="24"/>
          <w:lang w:eastAsia="en-AU"/>
        </w:rPr>
        <w:t>Items 1 and 2</w:t>
      </w:r>
      <w:r w:rsidRPr="007D698E">
        <w:rPr>
          <w:rFonts w:ascii="Times New Roman" w:eastAsia="Times New Roman" w:hAnsi="Times New Roman" w:cs="Times New Roman"/>
          <w:sz w:val="24"/>
          <w:szCs w:val="24"/>
          <w:lang w:eastAsia="en-AU"/>
        </w:rPr>
        <w:t xml:space="preserve"> insert new items 56B and 59A into the table under section 12 of the Principal Regulation.</w:t>
      </w:r>
    </w:p>
    <w:p w14:paraId="64C9C66D" w14:textId="1D930EB6" w:rsidR="00AB6E8D" w:rsidRPr="007D698E" w:rsidRDefault="00431A61" w:rsidP="00C91343">
      <w:pPr>
        <w:pStyle w:val="Paragraph"/>
        <w:numPr>
          <w:ilvl w:val="0"/>
          <w:numId w:val="0"/>
        </w:numPr>
        <w:tabs>
          <w:tab w:val="left" w:pos="567"/>
        </w:tabs>
        <w:rPr>
          <w:i/>
          <w:szCs w:val="24"/>
        </w:rPr>
      </w:pPr>
      <w:r w:rsidRPr="007D698E">
        <w:rPr>
          <w:szCs w:val="24"/>
        </w:rPr>
        <w:t xml:space="preserve">New item 56B provides an exemption from sunsetting for the </w:t>
      </w:r>
      <w:r w:rsidRPr="007D698E">
        <w:rPr>
          <w:i/>
          <w:szCs w:val="24"/>
        </w:rPr>
        <w:t>Retirement Savings Accounts Regulations 1997</w:t>
      </w:r>
      <w:r w:rsidR="00BB726B" w:rsidRPr="007D698E">
        <w:rPr>
          <w:i/>
          <w:szCs w:val="24"/>
        </w:rPr>
        <w:t xml:space="preserve"> </w:t>
      </w:r>
      <w:r w:rsidR="00BB726B" w:rsidRPr="007D698E">
        <w:rPr>
          <w:szCs w:val="24"/>
        </w:rPr>
        <w:t>(</w:t>
      </w:r>
      <w:r w:rsidR="0033496E" w:rsidRPr="007D698E">
        <w:rPr>
          <w:szCs w:val="24"/>
        </w:rPr>
        <w:t xml:space="preserve">the </w:t>
      </w:r>
      <w:r w:rsidR="00BB726B" w:rsidRPr="007D698E">
        <w:rPr>
          <w:szCs w:val="24"/>
        </w:rPr>
        <w:t>RSA Regulations)</w:t>
      </w:r>
      <w:r w:rsidR="0069596F" w:rsidRPr="007D698E">
        <w:rPr>
          <w:szCs w:val="24"/>
        </w:rPr>
        <w:t xml:space="preserve">. </w:t>
      </w:r>
      <w:r w:rsidR="00F708FA" w:rsidRPr="007D698E">
        <w:rPr>
          <w:szCs w:val="24"/>
        </w:rPr>
        <w:t xml:space="preserve">The RSA Regulations are made under section 200 of the </w:t>
      </w:r>
      <w:r w:rsidR="00F708FA" w:rsidRPr="007D698E">
        <w:rPr>
          <w:i/>
          <w:szCs w:val="24"/>
        </w:rPr>
        <w:t>Retirement Savings Account</w:t>
      </w:r>
      <w:r w:rsidR="00E94415" w:rsidRPr="007D698E">
        <w:rPr>
          <w:i/>
          <w:szCs w:val="24"/>
        </w:rPr>
        <w:t>s</w:t>
      </w:r>
      <w:r w:rsidR="00F708FA" w:rsidRPr="007D698E">
        <w:rPr>
          <w:i/>
          <w:szCs w:val="24"/>
        </w:rPr>
        <w:t xml:space="preserve"> Act 1997</w:t>
      </w:r>
      <w:r w:rsidR="0069596F" w:rsidRPr="007D698E">
        <w:rPr>
          <w:i/>
          <w:szCs w:val="24"/>
        </w:rPr>
        <w:t xml:space="preserve"> </w:t>
      </w:r>
      <w:r w:rsidR="0069596F" w:rsidRPr="007D698E">
        <w:rPr>
          <w:szCs w:val="24"/>
        </w:rPr>
        <w:t>(the RSA Act). The RSA Act</w:t>
      </w:r>
      <w:r w:rsidR="00F708FA" w:rsidRPr="007D698E">
        <w:rPr>
          <w:szCs w:val="24"/>
        </w:rPr>
        <w:t xml:space="preserve"> provides for retirement savings accounts to be offered by certain financial institutions, the approval process for entities that can offer such accounts and the supervision of these entities</w:t>
      </w:r>
      <w:r w:rsidR="0069596F" w:rsidRPr="007D698E">
        <w:rPr>
          <w:i/>
          <w:szCs w:val="24"/>
        </w:rPr>
        <w:t>.</w:t>
      </w:r>
      <w:r w:rsidR="00AB6E8D" w:rsidRPr="007D698E">
        <w:rPr>
          <w:i/>
          <w:szCs w:val="24"/>
        </w:rPr>
        <w:t xml:space="preserve"> </w:t>
      </w:r>
      <w:r w:rsidR="00AB6E8D" w:rsidRPr="007D698E">
        <w:rPr>
          <w:szCs w:val="24"/>
        </w:rPr>
        <w:t>The RSA Regulations prescribe the operation of a number of the fundamental building blocks essential to the effective operation of the retirement savings accounts superannuation structure.</w:t>
      </w:r>
    </w:p>
    <w:p w14:paraId="0CEE65AF" w14:textId="1260AA5D" w:rsidR="00AB6E8D" w:rsidRPr="007D698E" w:rsidRDefault="00FB7D2C" w:rsidP="00C91343">
      <w:pPr>
        <w:pStyle w:val="Paragraph"/>
        <w:numPr>
          <w:ilvl w:val="0"/>
          <w:numId w:val="0"/>
        </w:numPr>
        <w:tabs>
          <w:tab w:val="left" w:pos="567"/>
        </w:tabs>
        <w:rPr>
          <w:szCs w:val="24"/>
        </w:rPr>
      </w:pPr>
      <w:r w:rsidRPr="007D698E">
        <w:rPr>
          <w:szCs w:val="24"/>
        </w:rPr>
        <w:t>New item 59A provides an</w:t>
      </w:r>
      <w:r w:rsidR="00AF543E" w:rsidRPr="007D698E">
        <w:rPr>
          <w:szCs w:val="24"/>
        </w:rPr>
        <w:t xml:space="preserve"> exemption from sunsetting for the </w:t>
      </w:r>
      <w:r w:rsidR="00AF543E" w:rsidRPr="007D698E">
        <w:rPr>
          <w:i/>
          <w:szCs w:val="24"/>
        </w:rPr>
        <w:t xml:space="preserve">Superannuation Industry (Supervision) Regulations 1994 </w:t>
      </w:r>
      <w:r w:rsidR="00AF543E" w:rsidRPr="007D698E">
        <w:rPr>
          <w:szCs w:val="24"/>
        </w:rPr>
        <w:t xml:space="preserve">(the SIS Regulations). The SIS Regulations are made under section 353 of the </w:t>
      </w:r>
      <w:r w:rsidR="00AF543E" w:rsidRPr="007D698E">
        <w:rPr>
          <w:i/>
          <w:szCs w:val="24"/>
        </w:rPr>
        <w:t xml:space="preserve">Superannuation Industry (Supervision) Act 1993 </w:t>
      </w:r>
      <w:r w:rsidR="005700B6">
        <w:rPr>
          <w:szCs w:val="24"/>
        </w:rPr>
        <w:t>(the SIS Act). The SIS </w:t>
      </w:r>
      <w:r w:rsidR="00AF543E" w:rsidRPr="007D698E">
        <w:rPr>
          <w:szCs w:val="24"/>
        </w:rPr>
        <w:t>Act provides for the prudent management of certain superannuation funds, approved deposit funds and pooled superannuation trusts, and for their supervision by the Australian Prudential Regulation Authority (APRA), the Australian Securities and Investment Commission (ASIC) and the Commissioner of Taxation</w:t>
      </w:r>
      <w:r w:rsidR="00AB6E8D" w:rsidRPr="007D698E">
        <w:rPr>
          <w:i/>
          <w:szCs w:val="24"/>
        </w:rPr>
        <w:t xml:space="preserve">. </w:t>
      </w:r>
      <w:r w:rsidR="00AF543E" w:rsidRPr="007D698E">
        <w:rPr>
          <w:szCs w:val="24"/>
        </w:rPr>
        <w:t>The SIS Regulations prescribe the operation of the fundamental building blocks essential to the effective operation of the superannuation system.</w:t>
      </w:r>
      <w:r w:rsidR="003E0A6F" w:rsidRPr="007D698E">
        <w:rPr>
          <w:szCs w:val="24"/>
        </w:rPr>
        <w:t xml:space="preserve"> </w:t>
      </w:r>
    </w:p>
    <w:p w14:paraId="11F72F9E" w14:textId="29163EB7" w:rsidR="00A4214C" w:rsidRPr="007D698E" w:rsidRDefault="00AB6E8D" w:rsidP="00732735">
      <w:pPr>
        <w:pStyle w:val="Paragraph"/>
        <w:numPr>
          <w:ilvl w:val="0"/>
          <w:numId w:val="0"/>
        </w:numPr>
        <w:tabs>
          <w:tab w:val="left" w:pos="567"/>
        </w:tabs>
        <w:rPr>
          <w:szCs w:val="24"/>
        </w:rPr>
      </w:pPr>
      <w:r w:rsidRPr="007D698E">
        <w:rPr>
          <w:szCs w:val="24"/>
        </w:rPr>
        <w:lastRenderedPageBreak/>
        <w:t xml:space="preserve">The RSA Regulations and the SIS Regulations </w:t>
      </w:r>
      <w:r w:rsidR="003E0A6F" w:rsidRPr="007D698E">
        <w:rPr>
          <w:szCs w:val="24"/>
        </w:rPr>
        <w:t>are substantial, at 143 pages and 398 pages respectively</w:t>
      </w:r>
      <w:r w:rsidR="00F369EE" w:rsidRPr="007D698E">
        <w:rPr>
          <w:szCs w:val="24"/>
        </w:rPr>
        <w:t xml:space="preserve">, as of </w:t>
      </w:r>
      <w:r w:rsidR="009904C4" w:rsidRPr="007D698E">
        <w:rPr>
          <w:szCs w:val="24"/>
        </w:rPr>
        <w:t>June</w:t>
      </w:r>
      <w:r w:rsidR="00F369EE" w:rsidRPr="007D698E">
        <w:rPr>
          <w:szCs w:val="24"/>
        </w:rPr>
        <w:t xml:space="preserve"> 2018</w:t>
      </w:r>
      <w:r w:rsidR="003E0A6F" w:rsidRPr="007D698E">
        <w:rPr>
          <w:szCs w:val="24"/>
        </w:rPr>
        <w:t>.</w:t>
      </w:r>
      <w:r w:rsidR="00A4214C" w:rsidRPr="007D698E">
        <w:rPr>
          <w:szCs w:val="24"/>
        </w:rPr>
        <w:t xml:space="preserve"> </w:t>
      </w:r>
      <w:r w:rsidR="00C91343" w:rsidRPr="007D698E">
        <w:rPr>
          <w:szCs w:val="24"/>
        </w:rPr>
        <w:t>They are</w:t>
      </w:r>
      <w:r w:rsidR="00A4214C" w:rsidRPr="007D698E">
        <w:rPr>
          <w:szCs w:val="24"/>
        </w:rPr>
        <w:t xml:space="preserve"> also</w:t>
      </w:r>
      <w:r w:rsidR="00C91343" w:rsidRPr="007D698E">
        <w:rPr>
          <w:szCs w:val="24"/>
        </w:rPr>
        <w:t xml:space="preserve"> complex,</w:t>
      </w:r>
      <w:r w:rsidR="009E3935" w:rsidRPr="007D698E">
        <w:rPr>
          <w:szCs w:val="24"/>
        </w:rPr>
        <w:t xml:space="preserve"> with both instruments</w:t>
      </w:r>
      <w:r w:rsidR="00C91343" w:rsidRPr="007D698E">
        <w:rPr>
          <w:szCs w:val="24"/>
        </w:rPr>
        <w:t xml:space="preserve"> having </w:t>
      </w:r>
      <w:r w:rsidR="00732735" w:rsidRPr="007D698E">
        <w:rPr>
          <w:szCs w:val="24"/>
        </w:rPr>
        <w:t>considerable interactions with numerous other legislative instruments</w:t>
      </w:r>
      <w:r w:rsidR="00D9230A" w:rsidRPr="007D698E">
        <w:rPr>
          <w:szCs w:val="24"/>
        </w:rPr>
        <w:t>,</w:t>
      </w:r>
      <w:r w:rsidR="00732735" w:rsidRPr="007D698E">
        <w:rPr>
          <w:szCs w:val="24"/>
        </w:rPr>
        <w:t xml:space="preserve"> including instruments</w:t>
      </w:r>
      <w:r w:rsidR="00E24BD7" w:rsidRPr="007D698E">
        <w:rPr>
          <w:szCs w:val="24"/>
        </w:rPr>
        <w:t xml:space="preserve"> directly</w:t>
      </w:r>
      <w:r w:rsidR="00732735" w:rsidRPr="007D698E">
        <w:rPr>
          <w:szCs w:val="24"/>
        </w:rPr>
        <w:t xml:space="preserve"> regulating the superannuation industry and </w:t>
      </w:r>
      <w:r w:rsidR="00E24BD7" w:rsidRPr="007D698E">
        <w:rPr>
          <w:szCs w:val="24"/>
        </w:rPr>
        <w:t>instruments in</w:t>
      </w:r>
      <w:r w:rsidR="00732735" w:rsidRPr="007D698E">
        <w:rPr>
          <w:szCs w:val="24"/>
        </w:rPr>
        <w:t xml:space="preserve"> areas such as social security and family law. The RSA</w:t>
      </w:r>
      <w:r w:rsidR="00D45ACA" w:rsidRPr="007D698E">
        <w:rPr>
          <w:szCs w:val="24"/>
        </w:rPr>
        <w:t xml:space="preserve"> Regulations are referenced in four primary Acts and eight</w:t>
      </w:r>
      <w:r w:rsidR="00732735" w:rsidRPr="007D698E">
        <w:rPr>
          <w:szCs w:val="24"/>
        </w:rPr>
        <w:t xml:space="preserve"> Regulations. </w:t>
      </w:r>
      <w:r w:rsidR="00A4214C" w:rsidRPr="007D698E">
        <w:rPr>
          <w:szCs w:val="24"/>
        </w:rPr>
        <w:t xml:space="preserve">The SIS Regulations are referenced in eight primary Acts and 81 Regulations. </w:t>
      </w:r>
    </w:p>
    <w:p w14:paraId="58E8E741" w14:textId="3642D078" w:rsidR="00646AED" w:rsidRPr="007D698E" w:rsidRDefault="00732735" w:rsidP="00646AED">
      <w:pPr>
        <w:pStyle w:val="Paragraph"/>
        <w:numPr>
          <w:ilvl w:val="0"/>
          <w:numId w:val="0"/>
        </w:numPr>
        <w:tabs>
          <w:tab w:val="left" w:pos="567"/>
        </w:tabs>
        <w:rPr>
          <w:szCs w:val="24"/>
        </w:rPr>
      </w:pPr>
      <w:r w:rsidRPr="007D698E">
        <w:rPr>
          <w:szCs w:val="24"/>
        </w:rPr>
        <w:t xml:space="preserve">The process of remaking the </w:t>
      </w:r>
      <w:r w:rsidR="00427CEF" w:rsidRPr="007D698E">
        <w:rPr>
          <w:szCs w:val="24"/>
        </w:rPr>
        <w:t>RSA</w:t>
      </w:r>
      <w:r w:rsidRPr="007D698E">
        <w:rPr>
          <w:szCs w:val="24"/>
        </w:rPr>
        <w:t xml:space="preserve"> Regulations</w:t>
      </w:r>
      <w:r w:rsidR="002E37C3" w:rsidRPr="007D698E">
        <w:rPr>
          <w:szCs w:val="24"/>
        </w:rPr>
        <w:t xml:space="preserve"> and the SIS Regulations</w:t>
      </w:r>
      <w:r w:rsidRPr="007D698E">
        <w:rPr>
          <w:szCs w:val="24"/>
        </w:rPr>
        <w:t xml:space="preserve"> would impose a considerable demand on the resources of </w:t>
      </w:r>
      <w:r w:rsidR="00E24BD7" w:rsidRPr="007D698E">
        <w:rPr>
          <w:szCs w:val="24"/>
        </w:rPr>
        <w:t xml:space="preserve">the </w:t>
      </w:r>
      <w:r w:rsidRPr="007D698E">
        <w:rPr>
          <w:szCs w:val="24"/>
        </w:rPr>
        <w:t>Treasury and the Office of Parliamentary Counsel</w:t>
      </w:r>
      <w:r w:rsidR="00427CEF" w:rsidRPr="007D698E">
        <w:rPr>
          <w:szCs w:val="24"/>
        </w:rPr>
        <w:t xml:space="preserve"> </w:t>
      </w:r>
      <w:r w:rsidR="00CF4853" w:rsidRPr="007D698E">
        <w:rPr>
          <w:szCs w:val="24"/>
        </w:rPr>
        <w:t>over an extended period. To i</w:t>
      </w:r>
      <w:r w:rsidRPr="007D698E">
        <w:rPr>
          <w:szCs w:val="24"/>
        </w:rPr>
        <w:t>dentify</w:t>
      </w:r>
      <w:r w:rsidR="00CF4853" w:rsidRPr="007D698E">
        <w:rPr>
          <w:szCs w:val="24"/>
        </w:rPr>
        <w:t xml:space="preserve"> and amend </w:t>
      </w:r>
      <w:r w:rsidRPr="007D698E">
        <w:rPr>
          <w:szCs w:val="24"/>
        </w:rPr>
        <w:t>all the consequential intera</w:t>
      </w:r>
      <w:r w:rsidR="00CF4853" w:rsidRPr="007D698E">
        <w:rPr>
          <w:szCs w:val="24"/>
        </w:rPr>
        <w:t>ctions and cross-references would add</w:t>
      </w:r>
      <w:r w:rsidRPr="007D698E">
        <w:rPr>
          <w:szCs w:val="24"/>
        </w:rPr>
        <w:t xml:space="preserve"> significantly to the </w:t>
      </w:r>
      <w:r w:rsidR="00646AED" w:rsidRPr="007D698E">
        <w:rPr>
          <w:szCs w:val="24"/>
        </w:rPr>
        <w:t xml:space="preserve">complexity of such a project. </w:t>
      </w:r>
      <w:r w:rsidR="00F674C0" w:rsidRPr="007D698E">
        <w:rPr>
          <w:szCs w:val="24"/>
        </w:rPr>
        <w:t xml:space="preserve">Such a volume of work would have to be split into multiple parts and occur over the course of a number of years, and would necessitate extensive stakeholder input and consultation. </w:t>
      </w:r>
      <w:r w:rsidR="00646AED" w:rsidRPr="007D698E">
        <w:rPr>
          <w:rFonts w:eastAsia="Calibri"/>
          <w:szCs w:val="24"/>
        </w:rPr>
        <w:t xml:space="preserve">The administrative burden associated with </w:t>
      </w:r>
      <w:r w:rsidR="00F674C0" w:rsidRPr="007D698E">
        <w:rPr>
          <w:rFonts w:eastAsia="Calibri"/>
          <w:szCs w:val="24"/>
        </w:rPr>
        <w:t>such a project</w:t>
      </w:r>
      <w:r w:rsidR="00646AED" w:rsidRPr="007D698E">
        <w:rPr>
          <w:rFonts w:eastAsia="Calibri"/>
          <w:szCs w:val="24"/>
        </w:rPr>
        <w:t xml:space="preserve"> would outweigh any regulatory benefit.</w:t>
      </w:r>
    </w:p>
    <w:p w14:paraId="27C7A1E2" w14:textId="00891A88" w:rsidR="00C4552F" w:rsidRPr="007D698E" w:rsidRDefault="009E3935" w:rsidP="00732735">
      <w:pPr>
        <w:pStyle w:val="Paragraph"/>
        <w:numPr>
          <w:ilvl w:val="0"/>
          <w:numId w:val="0"/>
        </w:numPr>
        <w:tabs>
          <w:tab w:val="left" w:pos="567"/>
        </w:tabs>
        <w:rPr>
          <w:szCs w:val="24"/>
        </w:rPr>
      </w:pPr>
      <w:r w:rsidRPr="007D698E">
        <w:rPr>
          <w:szCs w:val="24"/>
        </w:rPr>
        <w:t>Further</w:t>
      </w:r>
      <w:r w:rsidR="00732735" w:rsidRPr="007D698E">
        <w:rPr>
          <w:szCs w:val="24"/>
        </w:rPr>
        <w:t xml:space="preserve">, </w:t>
      </w:r>
      <w:r w:rsidR="00E24BD7" w:rsidRPr="007D698E">
        <w:rPr>
          <w:szCs w:val="24"/>
        </w:rPr>
        <w:t>the regulation of superannuation</w:t>
      </w:r>
      <w:r w:rsidR="00732735" w:rsidRPr="007D698E">
        <w:rPr>
          <w:szCs w:val="24"/>
        </w:rPr>
        <w:t xml:space="preserve"> </w:t>
      </w:r>
      <w:r w:rsidR="00C91343" w:rsidRPr="007D698E">
        <w:rPr>
          <w:szCs w:val="24"/>
        </w:rPr>
        <w:t>is</w:t>
      </w:r>
      <w:r w:rsidR="00F674C0" w:rsidRPr="007D698E">
        <w:rPr>
          <w:szCs w:val="24"/>
        </w:rPr>
        <w:t xml:space="preserve"> already</w:t>
      </w:r>
      <w:r w:rsidR="00732735" w:rsidRPr="007D698E">
        <w:rPr>
          <w:szCs w:val="24"/>
        </w:rPr>
        <w:t xml:space="preserve"> subject to ongoing</w:t>
      </w:r>
      <w:r w:rsidR="00E24BD7" w:rsidRPr="007D698E">
        <w:rPr>
          <w:szCs w:val="24"/>
        </w:rPr>
        <w:t xml:space="preserve"> </w:t>
      </w:r>
      <w:r w:rsidR="00732735" w:rsidRPr="007D698E">
        <w:rPr>
          <w:szCs w:val="24"/>
        </w:rPr>
        <w:t xml:space="preserve">review and amendment. </w:t>
      </w:r>
      <w:r w:rsidR="00C4552F" w:rsidRPr="007D698E">
        <w:rPr>
          <w:szCs w:val="24"/>
        </w:rPr>
        <w:t>The need to balance a stable framework of superannuation regulation and the need to update the RSA Regulations</w:t>
      </w:r>
      <w:r w:rsidR="002E37C3" w:rsidRPr="007D698E">
        <w:rPr>
          <w:szCs w:val="24"/>
        </w:rPr>
        <w:t xml:space="preserve"> and the SIS Regulations</w:t>
      </w:r>
      <w:r w:rsidR="00C4552F" w:rsidRPr="007D698E">
        <w:rPr>
          <w:szCs w:val="24"/>
        </w:rPr>
        <w:t xml:space="preserve"> has been struck by refo</w:t>
      </w:r>
      <w:r w:rsidR="002E37C3" w:rsidRPr="007D698E">
        <w:rPr>
          <w:szCs w:val="24"/>
        </w:rPr>
        <w:t>rming discrete sections of the r</w:t>
      </w:r>
      <w:r w:rsidR="00C4552F" w:rsidRPr="007D698E">
        <w:rPr>
          <w:szCs w:val="24"/>
        </w:rPr>
        <w:t xml:space="preserve">egulations on a thematic basis. These amendments </w:t>
      </w:r>
      <w:r w:rsidR="00E24BD7" w:rsidRPr="007D698E">
        <w:rPr>
          <w:szCs w:val="24"/>
        </w:rPr>
        <w:t>have been</w:t>
      </w:r>
      <w:r w:rsidR="00C4552F" w:rsidRPr="007D698E">
        <w:rPr>
          <w:szCs w:val="24"/>
        </w:rPr>
        <w:t xml:space="preserve"> supported by extensive consultation and</w:t>
      </w:r>
      <w:r w:rsidR="00C91343" w:rsidRPr="007D698E">
        <w:rPr>
          <w:szCs w:val="24"/>
        </w:rPr>
        <w:t xml:space="preserve"> often have followed a</w:t>
      </w:r>
      <w:r w:rsidR="00C4552F" w:rsidRPr="007D698E">
        <w:rPr>
          <w:szCs w:val="24"/>
        </w:rPr>
        <w:t xml:space="preserve"> public review. This approach ensures that there is strong stakeholder engagement in the process and enables stakeholders to more easily adapt to the change as the reforms are limited to a particular set of issues each time. </w:t>
      </w:r>
    </w:p>
    <w:p w14:paraId="3A1DA924" w14:textId="6288990D" w:rsidR="002E37C3" w:rsidRPr="007D698E" w:rsidRDefault="00C4552F" w:rsidP="00732735">
      <w:pPr>
        <w:pStyle w:val="Paragraph"/>
        <w:numPr>
          <w:ilvl w:val="0"/>
          <w:numId w:val="0"/>
        </w:numPr>
        <w:tabs>
          <w:tab w:val="left" w:pos="567"/>
        </w:tabs>
        <w:rPr>
          <w:szCs w:val="24"/>
        </w:rPr>
      </w:pPr>
      <w:r w:rsidRPr="007D698E">
        <w:rPr>
          <w:szCs w:val="24"/>
        </w:rPr>
        <w:t>The various reviews undertaken and new initiatives in superannuation have resulted in numerous amendments to the RSA Regulations</w:t>
      </w:r>
      <w:r w:rsidR="002E37C3" w:rsidRPr="007D698E">
        <w:rPr>
          <w:szCs w:val="24"/>
        </w:rPr>
        <w:t xml:space="preserve"> and the SIS Regulations</w:t>
      </w:r>
      <w:r w:rsidRPr="007D698E">
        <w:rPr>
          <w:szCs w:val="24"/>
        </w:rPr>
        <w:t xml:space="preserve"> sinc</w:t>
      </w:r>
      <w:r w:rsidR="002E37C3" w:rsidRPr="007D698E">
        <w:rPr>
          <w:szCs w:val="24"/>
        </w:rPr>
        <w:t xml:space="preserve">e their commencement. </w:t>
      </w:r>
      <w:r w:rsidR="00E24BD7" w:rsidRPr="007D698E">
        <w:rPr>
          <w:szCs w:val="24"/>
        </w:rPr>
        <w:t>T</w:t>
      </w:r>
      <w:r w:rsidRPr="007D698E">
        <w:rPr>
          <w:szCs w:val="24"/>
        </w:rPr>
        <w:t>he RSA Regulations have been amended all but one year since 1997</w:t>
      </w:r>
      <w:r w:rsidR="00CF4853" w:rsidRPr="007D698E">
        <w:rPr>
          <w:szCs w:val="24"/>
        </w:rPr>
        <w:t xml:space="preserve"> </w:t>
      </w:r>
      <w:r w:rsidR="009456A1" w:rsidRPr="007D698E">
        <w:rPr>
          <w:szCs w:val="24"/>
        </w:rPr>
        <w:t>by 62 </w:t>
      </w:r>
      <w:r w:rsidRPr="007D698E">
        <w:rPr>
          <w:szCs w:val="24"/>
        </w:rPr>
        <w:t xml:space="preserve">amending instruments. </w:t>
      </w:r>
      <w:r w:rsidR="002E37C3" w:rsidRPr="007D698E">
        <w:rPr>
          <w:szCs w:val="24"/>
        </w:rPr>
        <w:t>The SIS Regulations have been amended every year since 1994 by 1</w:t>
      </w:r>
      <w:r w:rsidR="009456A1" w:rsidRPr="007D698E">
        <w:rPr>
          <w:szCs w:val="24"/>
        </w:rPr>
        <w:t>33 </w:t>
      </w:r>
      <w:r w:rsidR="002E37C3" w:rsidRPr="007D698E">
        <w:rPr>
          <w:szCs w:val="24"/>
        </w:rPr>
        <w:t xml:space="preserve">amending instruments. These amendments </w:t>
      </w:r>
      <w:r w:rsidR="00F674C0" w:rsidRPr="007D698E">
        <w:rPr>
          <w:szCs w:val="24"/>
        </w:rPr>
        <w:t>have been</w:t>
      </w:r>
      <w:r w:rsidR="002E37C3" w:rsidRPr="007D698E">
        <w:rPr>
          <w:szCs w:val="24"/>
        </w:rPr>
        <w:t xml:space="preserve"> subject to parliamentary scrutiny. </w:t>
      </w:r>
    </w:p>
    <w:p w14:paraId="7C9A7232" w14:textId="52CA5F44" w:rsidR="00732735" w:rsidRPr="007D698E" w:rsidRDefault="00E24BD7" w:rsidP="00732735">
      <w:pPr>
        <w:pStyle w:val="Paragraph"/>
        <w:numPr>
          <w:ilvl w:val="0"/>
          <w:numId w:val="0"/>
        </w:numPr>
        <w:tabs>
          <w:tab w:val="left" w:pos="567"/>
        </w:tabs>
        <w:rPr>
          <w:szCs w:val="24"/>
        </w:rPr>
      </w:pPr>
      <w:r w:rsidRPr="007D698E">
        <w:rPr>
          <w:szCs w:val="24"/>
        </w:rPr>
        <w:t xml:space="preserve">The complex and evolving nature of the financial services industry, combined with the size and significance of the superannuation industry, indicates that the RSA Regulations </w:t>
      </w:r>
      <w:r w:rsidR="009E3935" w:rsidRPr="007D698E">
        <w:rPr>
          <w:szCs w:val="24"/>
        </w:rPr>
        <w:t xml:space="preserve">and the SIS Regulations </w:t>
      </w:r>
      <w:r w:rsidRPr="007D698E">
        <w:rPr>
          <w:szCs w:val="24"/>
        </w:rPr>
        <w:t>will continue to be the subject of regular review and amendment into the future.</w:t>
      </w:r>
      <w:r w:rsidR="00C91343" w:rsidRPr="007D698E">
        <w:rPr>
          <w:szCs w:val="24"/>
        </w:rPr>
        <w:t xml:space="preserve"> </w:t>
      </w:r>
      <w:r w:rsidR="00FE7A39" w:rsidRPr="007D698E">
        <w:rPr>
          <w:szCs w:val="24"/>
        </w:rPr>
        <w:t xml:space="preserve">This will ensure that the RSA Regulations </w:t>
      </w:r>
      <w:r w:rsidR="009E3935" w:rsidRPr="007D698E">
        <w:rPr>
          <w:szCs w:val="24"/>
        </w:rPr>
        <w:t xml:space="preserve">and the SIS Regulations </w:t>
      </w:r>
      <w:r w:rsidR="00FE7A39" w:rsidRPr="007D698E">
        <w:rPr>
          <w:szCs w:val="24"/>
        </w:rPr>
        <w:t>remain up to date and continue to be fit-for-purpose.</w:t>
      </w:r>
    </w:p>
    <w:p w14:paraId="6A41D660" w14:textId="60DF22FC" w:rsidR="00D9230A" w:rsidRPr="007D698E" w:rsidRDefault="00303411" w:rsidP="00D9230A">
      <w:pPr>
        <w:pStyle w:val="Paragraph"/>
        <w:numPr>
          <w:ilvl w:val="0"/>
          <w:numId w:val="0"/>
        </w:numPr>
        <w:tabs>
          <w:tab w:val="left" w:pos="567"/>
        </w:tabs>
        <w:rPr>
          <w:szCs w:val="24"/>
        </w:rPr>
      </w:pPr>
      <w:r w:rsidRPr="007D698E">
        <w:rPr>
          <w:szCs w:val="24"/>
        </w:rPr>
        <w:t>Accordingly</w:t>
      </w:r>
      <w:r w:rsidR="00206E8D" w:rsidRPr="007D698E">
        <w:rPr>
          <w:szCs w:val="24"/>
        </w:rPr>
        <w:t>,</w:t>
      </w:r>
      <w:r w:rsidRPr="007D698E">
        <w:rPr>
          <w:szCs w:val="24"/>
        </w:rPr>
        <w:t xml:space="preserve"> it is appropriate to exempt the RSA Regulations</w:t>
      </w:r>
      <w:r w:rsidR="002E37C3" w:rsidRPr="007D698E">
        <w:rPr>
          <w:szCs w:val="24"/>
        </w:rPr>
        <w:t xml:space="preserve"> and the SIS Regulations</w:t>
      </w:r>
      <w:r w:rsidRPr="007D698E">
        <w:rPr>
          <w:szCs w:val="24"/>
        </w:rPr>
        <w:t xml:space="preserve"> from sunsetting as they are subject to regular review and amendment</w:t>
      </w:r>
      <w:r w:rsidR="00D9230A" w:rsidRPr="007D698E">
        <w:rPr>
          <w:szCs w:val="24"/>
        </w:rPr>
        <w:t xml:space="preserve">, and are sufficiently large and complex such that the administrative burden associated with remaking them would outweigh any regulatory benefit. </w:t>
      </w:r>
    </w:p>
    <w:p w14:paraId="40072025" w14:textId="625B8F61" w:rsidR="00AC49A6" w:rsidRPr="007D698E" w:rsidRDefault="001470B3" w:rsidP="001470B3">
      <w:pPr>
        <w:pStyle w:val="Paragraph"/>
        <w:numPr>
          <w:ilvl w:val="0"/>
          <w:numId w:val="0"/>
        </w:numPr>
        <w:tabs>
          <w:tab w:val="left" w:pos="567"/>
        </w:tabs>
        <w:rPr>
          <w:szCs w:val="24"/>
        </w:rPr>
      </w:pPr>
      <w:r w:rsidRPr="007D698E">
        <w:rPr>
          <w:b/>
          <w:szCs w:val="24"/>
        </w:rPr>
        <w:t xml:space="preserve">Item </w:t>
      </w:r>
      <w:r w:rsidR="00431A61" w:rsidRPr="007D698E">
        <w:rPr>
          <w:b/>
          <w:szCs w:val="24"/>
        </w:rPr>
        <w:t>3</w:t>
      </w:r>
      <w:r w:rsidRPr="007D698E">
        <w:rPr>
          <w:szCs w:val="24"/>
        </w:rPr>
        <w:t xml:space="preserve"> inserts new </w:t>
      </w:r>
      <w:r w:rsidR="00A70045" w:rsidRPr="007D698E">
        <w:rPr>
          <w:szCs w:val="24"/>
        </w:rPr>
        <w:t>item</w:t>
      </w:r>
      <w:r w:rsidR="00AC49A6" w:rsidRPr="007D698E">
        <w:rPr>
          <w:szCs w:val="24"/>
        </w:rPr>
        <w:t xml:space="preserve">s 63AA and 63AB </w:t>
      </w:r>
      <w:r w:rsidRPr="007D698E">
        <w:rPr>
          <w:szCs w:val="24"/>
        </w:rPr>
        <w:t>into the table under section 12 of the</w:t>
      </w:r>
      <w:r w:rsidR="008C63DA" w:rsidRPr="007D698E">
        <w:rPr>
          <w:szCs w:val="24"/>
        </w:rPr>
        <w:t xml:space="preserve"> Principal Regulation</w:t>
      </w:r>
      <w:r w:rsidRPr="007D698E">
        <w:rPr>
          <w:szCs w:val="24"/>
        </w:rPr>
        <w:t xml:space="preserve">. </w:t>
      </w:r>
    </w:p>
    <w:p w14:paraId="155DFCED" w14:textId="05D52E5C" w:rsidR="00AC49A6" w:rsidRPr="007D698E" w:rsidRDefault="00AC49A6" w:rsidP="001470B3">
      <w:pPr>
        <w:pStyle w:val="Paragraph"/>
        <w:numPr>
          <w:ilvl w:val="0"/>
          <w:numId w:val="0"/>
        </w:numPr>
        <w:tabs>
          <w:tab w:val="left" w:pos="567"/>
        </w:tabs>
        <w:rPr>
          <w:szCs w:val="24"/>
          <w:u w:val="single"/>
        </w:rPr>
      </w:pPr>
      <w:r w:rsidRPr="007D698E">
        <w:rPr>
          <w:szCs w:val="24"/>
          <w:u w:val="single"/>
        </w:rPr>
        <w:t>Item 63AA</w:t>
      </w:r>
    </w:p>
    <w:p w14:paraId="632A1CED" w14:textId="7E0DEEF1" w:rsidR="00FC7875" w:rsidRPr="007D698E" w:rsidRDefault="00431A61" w:rsidP="00FC7875">
      <w:pPr>
        <w:pStyle w:val="Paragraph"/>
        <w:numPr>
          <w:ilvl w:val="0"/>
          <w:numId w:val="0"/>
        </w:numPr>
        <w:tabs>
          <w:tab w:val="left" w:pos="567"/>
        </w:tabs>
        <w:rPr>
          <w:szCs w:val="24"/>
        </w:rPr>
      </w:pPr>
      <w:r w:rsidRPr="007D698E">
        <w:rPr>
          <w:szCs w:val="24"/>
        </w:rPr>
        <w:t>New item</w:t>
      </w:r>
      <w:r w:rsidR="00073C36" w:rsidRPr="007D698E">
        <w:rPr>
          <w:szCs w:val="24"/>
        </w:rPr>
        <w:t>s</w:t>
      </w:r>
      <w:r w:rsidRPr="007D698E">
        <w:rPr>
          <w:szCs w:val="24"/>
        </w:rPr>
        <w:t xml:space="preserve"> </w:t>
      </w:r>
      <w:proofErr w:type="gramStart"/>
      <w:r w:rsidRPr="007D698E">
        <w:rPr>
          <w:szCs w:val="24"/>
        </w:rPr>
        <w:t>63AA(</w:t>
      </w:r>
      <w:proofErr w:type="gramEnd"/>
      <w:r w:rsidRPr="007D698E">
        <w:rPr>
          <w:szCs w:val="24"/>
        </w:rPr>
        <w:t>a)</w:t>
      </w:r>
      <w:r w:rsidR="00073C36" w:rsidRPr="007D698E">
        <w:rPr>
          <w:szCs w:val="24"/>
        </w:rPr>
        <w:t xml:space="preserve"> and</w:t>
      </w:r>
      <w:r w:rsidRPr="007D698E">
        <w:rPr>
          <w:szCs w:val="24"/>
        </w:rPr>
        <w:t xml:space="preserve"> </w:t>
      </w:r>
      <w:r w:rsidR="00073C36" w:rsidRPr="007D698E">
        <w:rPr>
          <w:szCs w:val="24"/>
        </w:rPr>
        <w:t xml:space="preserve">(b) </w:t>
      </w:r>
      <w:r w:rsidR="003E0A6F" w:rsidRPr="007D698E">
        <w:rPr>
          <w:szCs w:val="24"/>
        </w:rPr>
        <w:t xml:space="preserve">provide </w:t>
      </w:r>
      <w:r w:rsidRPr="007D698E">
        <w:rPr>
          <w:szCs w:val="24"/>
        </w:rPr>
        <w:t>exemption</w:t>
      </w:r>
      <w:r w:rsidR="00FB7D2C" w:rsidRPr="007D698E">
        <w:rPr>
          <w:szCs w:val="24"/>
        </w:rPr>
        <w:t>s</w:t>
      </w:r>
      <w:r w:rsidRPr="007D698E">
        <w:rPr>
          <w:szCs w:val="24"/>
        </w:rPr>
        <w:t xml:space="preserve"> from sunsetting for the </w:t>
      </w:r>
      <w:r w:rsidRPr="007D698E">
        <w:rPr>
          <w:i/>
          <w:szCs w:val="24"/>
        </w:rPr>
        <w:t>Therapeutic</w:t>
      </w:r>
      <w:r w:rsidR="002D117E" w:rsidRPr="007D698E">
        <w:rPr>
          <w:i/>
          <w:szCs w:val="24"/>
        </w:rPr>
        <w:t> </w:t>
      </w:r>
      <w:r w:rsidRPr="007D698E">
        <w:rPr>
          <w:i/>
          <w:szCs w:val="24"/>
        </w:rPr>
        <w:t>Goods Regulations 1990</w:t>
      </w:r>
      <w:r w:rsidR="00073C36" w:rsidRPr="007D698E">
        <w:rPr>
          <w:i/>
          <w:szCs w:val="24"/>
        </w:rPr>
        <w:t xml:space="preserve"> </w:t>
      </w:r>
      <w:r w:rsidR="00073C36" w:rsidRPr="007D698E">
        <w:rPr>
          <w:szCs w:val="24"/>
        </w:rPr>
        <w:t>(</w:t>
      </w:r>
      <w:r w:rsidR="00FB7D2C" w:rsidRPr="007D698E">
        <w:rPr>
          <w:szCs w:val="24"/>
        </w:rPr>
        <w:t xml:space="preserve">the </w:t>
      </w:r>
      <w:r w:rsidR="009A704A" w:rsidRPr="007D698E">
        <w:rPr>
          <w:szCs w:val="24"/>
        </w:rPr>
        <w:t>Therapeutic Goods Regulations</w:t>
      </w:r>
      <w:r w:rsidR="00073C36" w:rsidRPr="007D698E">
        <w:rPr>
          <w:szCs w:val="24"/>
        </w:rPr>
        <w:t>) and</w:t>
      </w:r>
      <w:r w:rsidRPr="007D698E">
        <w:rPr>
          <w:szCs w:val="24"/>
        </w:rPr>
        <w:t xml:space="preserve"> </w:t>
      </w:r>
      <w:r w:rsidR="00073C36" w:rsidRPr="007D698E">
        <w:rPr>
          <w:szCs w:val="24"/>
        </w:rPr>
        <w:t xml:space="preserve">the </w:t>
      </w:r>
      <w:r w:rsidR="00073C36" w:rsidRPr="007D698E">
        <w:rPr>
          <w:i/>
          <w:szCs w:val="24"/>
        </w:rPr>
        <w:t>Therapeutic Goods (Medical Devices) Regulations 2002</w:t>
      </w:r>
      <w:r w:rsidR="00073C36" w:rsidRPr="007D698E">
        <w:rPr>
          <w:szCs w:val="24"/>
        </w:rPr>
        <w:t xml:space="preserve"> (</w:t>
      </w:r>
      <w:r w:rsidR="00FB7D2C" w:rsidRPr="007D698E">
        <w:rPr>
          <w:szCs w:val="24"/>
        </w:rPr>
        <w:t xml:space="preserve">the </w:t>
      </w:r>
      <w:r w:rsidR="009A704A" w:rsidRPr="007D698E">
        <w:rPr>
          <w:szCs w:val="24"/>
        </w:rPr>
        <w:t>Medical Devices Regulations</w:t>
      </w:r>
      <w:r w:rsidR="00073C36" w:rsidRPr="007D698E">
        <w:rPr>
          <w:szCs w:val="24"/>
        </w:rPr>
        <w:t>)</w:t>
      </w:r>
      <w:r w:rsidR="00432AFA" w:rsidRPr="007D698E">
        <w:rPr>
          <w:szCs w:val="24"/>
        </w:rPr>
        <w:t>, respectively</w:t>
      </w:r>
      <w:r w:rsidR="00073C36" w:rsidRPr="007D698E">
        <w:rPr>
          <w:szCs w:val="24"/>
        </w:rPr>
        <w:t>.</w:t>
      </w:r>
      <w:r w:rsidR="00F708FA" w:rsidRPr="007D698E">
        <w:rPr>
          <w:szCs w:val="24"/>
        </w:rPr>
        <w:t xml:space="preserve"> </w:t>
      </w:r>
      <w:r w:rsidR="00B50138" w:rsidRPr="007D698E">
        <w:rPr>
          <w:szCs w:val="24"/>
        </w:rPr>
        <w:t>T</w:t>
      </w:r>
      <w:r w:rsidR="00073C36" w:rsidRPr="007D698E">
        <w:rPr>
          <w:szCs w:val="24"/>
        </w:rPr>
        <w:t xml:space="preserve">he </w:t>
      </w:r>
      <w:r w:rsidR="009A704A" w:rsidRPr="007D698E">
        <w:rPr>
          <w:szCs w:val="24"/>
        </w:rPr>
        <w:t xml:space="preserve">Therapeutic Goods </w:t>
      </w:r>
      <w:r w:rsidR="007164B8" w:rsidRPr="007D698E">
        <w:rPr>
          <w:szCs w:val="24"/>
        </w:rPr>
        <w:t xml:space="preserve">Regulations and </w:t>
      </w:r>
      <w:r w:rsidR="009A704A" w:rsidRPr="007D698E">
        <w:rPr>
          <w:szCs w:val="24"/>
        </w:rPr>
        <w:t>the Medical Devices</w:t>
      </w:r>
      <w:r w:rsidR="007164B8" w:rsidRPr="007D698E">
        <w:rPr>
          <w:szCs w:val="24"/>
        </w:rPr>
        <w:t xml:space="preserve"> Regulations</w:t>
      </w:r>
      <w:r w:rsidR="002D117E" w:rsidRPr="007D698E">
        <w:rPr>
          <w:szCs w:val="24"/>
        </w:rPr>
        <w:t xml:space="preserve"> </w:t>
      </w:r>
      <w:r w:rsidR="00073C36" w:rsidRPr="007D698E">
        <w:rPr>
          <w:szCs w:val="24"/>
        </w:rPr>
        <w:t>are</w:t>
      </w:r>
      <w:r w:rsidR="00B50138" w:rsidRPr="007D698E">
        <w:rPr>
          <w:szCs w:val="24"/>
        </w:rPr>
        <w:t xml:space="preserve"> both</w:t>
      </w:r>
      <w:r w:rsidR="00073C36" w:rsidRPr="007D698E">
        <w:rPr>
          <w:szCs w:val="24"/>
        </w:rPr>
        <w:t xml:space="preserve"> made under section 63 of </w:t>
      </w:r>
      <w:r w:rsidR="00073C36" w:rsidRPr="007D698E">
        <w:rPr>
          <w:szCs w:val="24"/>
        </w:rPr>
        <w:lastRenderedPageBreak/>
        <w:t xml:space="preserve">the </w:t>
      </w:r>
      <w:r w:rsidR="00073C36" w:rsidRPr="007D698E">
        <w:rPr>
          <w:i/>
          <w:szCs w:val="24"/>
        </w:rPr>
        <w:t>Therapeutic Goods Act 1989</w:t>
      </w:r>
      <w:r w:rsidR="00FC7875" w:rsidRPr="007D698E">
        <w:rPr>
          <w:i/>
          <w:szCs w:val="24"/>
        </w:rPr>
        <w:t xml:space="preserve"> </w:t>
      </w:r>
      <w:r w:rsidR="00FC7875" w:rsidRPr="007D698E">
        <w:rPr>
          <w:szCs w:val="24"/>
        </w:rPr>
        <w:t>(the Therapeutic Goods Act)</w:t>
      </w:r>
      <w:r w:rsidR="00073C36" w:rsidRPr="007D698E">
        <w:rPr>
          <w:szCs w:val="24"/>
        </w:rPr>
        <w:t xml:space="preserve">. </w:t>
      </w:r>
      <w:r w:rsidR="002D117E" w:rsidRPr="007D698E">
        <w:rPr>
          <w:szCs w:val="24"/>
        </w:rPr>
        <w:t>The objects of the Therapeutic</w:t>
      </w:r>
      <w:r w:rsidR="00C7707D" w:rsidRPr="007D698E">
        <w:rPr>
          <w:szCs w:val="24"/>
        </w:rPr>
        <w:t> </w:t>
      </w:r>
      <w:r w:rsidR="002D117E" w:rsidRPr="007D698E">
        <w:rPr>
          <w:szCs w:val="24"/>
        </w:rPr>
        <w:t>Goods</w:t>
      </w:r>
      <w:r w:rsidR="00C7707D" w:rsidRPr="007D698E">
        <w:rPr>
          <w:szCs w:val="24"/>
        </w:rPr>
        <w:t> </w:t>
      </w:r>
      <w:r w:rsidR="002D117E" w:rsidRPr="007D698E">
        <w:rPr>
          <w:szCs w:val="24"/>
        </w:rPr>
        <w:t>Act are to:</w:t>
      </w:r>
    </w:p>
    <w:p w14:paraId="43BDFB15" w14:textId="244264AA" w:rsidR="002D117E" w:rsidRPr="007D698E" w:rsidRDefault="002D117E" w:rsidP="009A704A">
      <w:pPr>
        <w:pStyle w:val="Paragraph"/>
        <w:numPr>
          <w:ilvl w:val="0"/>
          <w:numId w:val="13"/>
        </w:numPr>
        <w:tabs>
          <w:tab w:val="left" w:pos="567"/>
        </w:tabs>
        <w:ind w:left="567" w:hanging="207"/>
        <w:rPr>
          <w:szCs w:val="24"/>
        </w:rPr>
      </w:pPr>
      <w:r w:rsidRPr="007D698E">
        <w:rPr>
          <w:szCs w:val="24"/>
        </w:rPr>
        <w:t xml:space="preserve">establish and maintain a national system of controls for the quality, safety, efficacy/performance and timely availability of therapeutic goods used </w:t>
      </w:r>
      <w:r w:rsidR="009A704A" w:rsidRPr="007D698E">
        <w:rPr>
          <w:szCs w:val="24"/>
        </w:rPr>
        <w:t xml:space="preserve">in, </w:t>
      </w:r>
      <w:r w:rsidRPr="007D698E">
        <w:rPr>
          <w:szCs w:val="24"/>
        </w:rPr>
        <w:t>or exported from</w:t>
      </w:r>
      <w:r w:rsidR="009A704A" w:rsidRPr="007D698E">
        <w:rPr>
          <w:szCs w:val="24"/>
        </w:rPr>
        <w:t>,</w:t>
      </w:r>
      <w:r w:rsidRPr="007D698E">
        <w:rPr>
          <w:szCs w:val="24"/>
        </w:rPr>
        <w:t xml:space="preserve"> Australia, and</w:t>
      </w:r>
    </w:p>
    <w:p w14:paraId="5D30DBFE" w14:textId="77777777" w:rsidR="002D117E" w:rsidRPr="007D698E" w:rsidRDefault="002D117E" w:rsidP="00DA0891">
      <w:pPr>
        <w:pStyle w:val="Paragraph"/>
        <w:numPr>
          <w:ilvl w:val="0"/>
          <w:numId w:val="8"/>
        </w:numPr>
        <w:tabs>
          <w:tab w:val="left" w:pos="567"/>
        </w:tabs>
        <w:spacing w:before="0"/>
        <w:ind w:left="567" w:hanging="210"/>
        <w:rPr>
          <w:szCs w:val="24"/>
        </w:rPr>
      </w:pPr>
      <w:proofErr w:type="gramStart"/>
      <w:r w:rsidRPr="007D698E">
        <w:rPr>
          <w:szCs w:val="24"/>
        </w:rPr>
        <w:t>provide</w:t>
      </w:r>
      <w:proofErr w:type="gramEnd"/>
      <w:r w:rsidRPr="007D698E">
        <w:rPr>
          <w:szCs w:val="24"/>
        </w:rPr>
        <w:t xml:space="preserve"> a framework for the States and Territories to adapt a uniform approach to control the availability and accessibility, and ensure the safe handling, of poisons in Australia. </w:t>
      </w:r>
    </w:p>
    <w:p w14:paraId="503F19EB" w14:textId="6DA31B32" w:rsidR="00424679" w:rsidRPr="007D698E" w:rsidRDefault="002D117E" w:rsidP="001470B3">
      <w:pPr>
        <w:pStyle w:val="Paragraph"/>
        <w:numPr>
          <w:ilvl w:val="0"/>
          <w:numId w:val="0"/>
        </w:numPr>
        <w:tabs>
          <w:tab w:val="left" w:pos="567"/>
        </w:tabs>
        <w:rPr>
          <w:szCs w:val="24"/>
        </w:rPr>
      </w:pPr>
      <w:r w:rsidRPr="007D698E">
        <w:rPr>
          <w:szCs w:val="24"/>
        </w:rPr>
        <w:t xml:space="preserve">The </w:t>
      </w:r>
      <w:r w:rsidR="009A704A" w:rsidRPr="007D698E">
        <w:rPr>
          <w:szCs w:val="24"/>
        </w:rPr>
        <w:t xml:space="preserve">Therapeutic Goods Regulations and the Medical Devices Regulations </w:t>
      </w:r>
      <w:r w:rsidRPr="007D698E">
        <w:rPr>
          <w:szCs w:val="24"/>
        </w:rPr>
        <w:t>expand or qualify specific measures</w:t>
      </w:r>
      <w:r w:rsidR="00424679" w:rsidRPr="007D698E">
        <w:rPr>
          <w:szCs w:val="24"/>
        </w:rPr>
        <w:t xml:space="preserve"> contained i</w:t>
      </w:r>
      <w:r w:rsidRPr="007D698E">
        <w:rPr>
          <w:szCs w:val="24"/>
        </w:rPr>
        <w:t xml:space="preserve">n the Therapeutic Goods Act </w:t>
      </w:r>
      <w:r w:rsidR="00424679" w:rsidRPr="007D698E">
        <w:rPr>
          <w:szCs w:val="24"/>
        </w:rPr>
        <w:t xml:space="preserve">and </w:t>
      </w:r>
      <w:r w:rsidRPr="007D698E">
        <w:rPr>
          <w:szCs w:val="24"/>
        </w:rPr>
        <w:t>within the parameters set by that Act</w:t>
      </w:r>
      <w:r w:rsidR="00424679" w:rsidRPr="007D698E">
        <w:rPr>
          <w:szCs w:val="24"/>
        </w:rPr>
        <w:t xml:space="preserve">. This allows more flexibility and specificity in the regulatory scheme for therapeutic goods to ensure that the objects of the Act </w:t>
      </w:r>
      <w:r w:rsidR="003A7A4D" w:rsidRPr="007D698E">
        <w:rPr>
          <w:szCs w:val="24"/>
        </w:rPr>
        <w:t>are</w:t>
      </w:r>
      <w:r w:rsidR="00424679" w:rsidRPr="007D698E">
        <w:rPr>
          <w:szCs w:val="24"/>
        </w:rPr>
        <w:t xml:space="preserve"> practically achievable</w:t>
      </w:r>
      <w:r w:rsidRPr="007D698E">
        <w:rPr>
          <w:szCs w:val="24"/>
        </w:rPr>
        <w:t xml:space="preserve">. </w:t>
      </w:r>
    </w:p>
    <w:p w14:paraId="0BC03875" w14:textId="1DFF9821" w:rsidR="000A400C" w:rsidRPr="007D698E" w:rsidRDefault="00424679" w:rsidP="001470B3">
      <w:pPr>
        <w:pStyle w:val="Paragraph"/>
        <w:numPr>
          <w:ilvl w:val="0"/>
          <w:numId w:val="0"/>
        </w:numPr>
        <w:tabs>
          <w:tab w:val="left" w:pos="567"/>
        </w:tabs>
        <w:rPr>
          <w:szCs w:val="24"/>
        </w:rPr>
      </w:pPr>
      <w:r w:rsidRPr="007D698E">
        <w:rPr>
          <w:szCs w:val="24"/>
        </w:rPr>
        <w:t>The Therapeutic Goods Ac</w:t>
      </w:r>
      <w:r w:rsidR="003A7A4D" w:rsidRPr="007D698E">
        <w:rPr>
          <w:szCs w:val="24"/>
        </w:rPr>
        <w:t xml:space="preserve">t, the Therapeutic Goods Regulations and the Medical Devices Regulations </w:t>
      </w:r>
      <w:r w:rsidRPr="007D698E">
        <w:rPr>
          <w:szCs w:val="24"/>
        </w:rPr>
        <w:t>are</w:t>
      </w:r>
      <w:r w:rsidR="00432B7E" w:rsidRPr="007D698E">
        <w:rPr>
          <w:szCs w:val="24"/>
        </w:rPr>
        <w:t xml:space="preserve"> part of</w:t>
      </w:r>
      <w:r w:rsidRPr="007D698E">
        <w:rPr>
          <w:szCs w:val="24"/>
        </w:rPr>
        <w:t xml:space="preserve"> </w:t>
      </w:r>
      <w:r w:rsidR="00432B7E" w:rsidRPr="007D698E">
        <w:rPr>
          <w:szCs w:val="24"/>
        </w:rPr>
        <w:t xml:space="preserve">a </w:t>
      </w:r>
      <w:r w:rsidRPr="007D698E">
        <w:rPr>
          <w:szCs w:val="24"/>
        </w:rPr>
        <w:t>uniform national</w:t>
      </w:r>
      <w:r w:rsidR="00432B7E" w:rsidRPr="007D698E">
        <w:rPr>
          <w:szCs w:val="24"/>
        </w:rPr>
        <w:t xml:space="preserve"> regulatory</w:t>
      </w:r>
      <w:r w:rsidRPr="007D698E">
        <w:rPr>
          <w:szCs w:val="24"/>
        </w:rPr>
        <w:t xml:space="preserve"> scheme</w:t>
      </w:r>
      <w:r w:rsidR="00432B7E" w:rsidRPr="007D698E">
        <w:rPr>
          <w:szCs w:val="24"/>
        </w:rPr>
        <w:t xml:space="preserve"> for therapeutic goods. </w:t>
      </w:r>
      <w:r w:rsidR="00A43188" w:rsidRPr="007D698E">
        <w:rPr>
          <w:szCs w:val="24"/>
        </w:rPr>
        <w:t>T</w:t>
      </w:r>
      <w:r w:rsidR="00AC584B" w:rsidRPr="007D698E">
        <w:rPr>
          <w:szCs w:val="24"/>
        </w:rPr>
        <w:t>his cooperative</w:t>
      </w:r>
      <w:r w:rsidR="00A43188" w:rsidRPr="007D698E">
        <w:rPr>
          <w:szCs w:val="24"/>
        </w:rPr>
        <w:t xml:space="preserve"> scheme was developed following agreement </w:t>
      </w:r>
      <w:r w:rsidR="00811708" w:rsidRPr="007D698E">
        <w:rPr>
          <w:szCs w:val="24"/>
        </w:rPr>
        <w:t>in</w:t>
      </w:r>
      <w:r w:rsidR="00F41E3A" w:rsidRPr="007D698E">
        <w:rPr>
          <w:szCs w:val="24"/>
        </w:rPr>
        <w:t xml:space="preserve"> </w:t>
      </w:r>
      <w:r w:rsidR="00811708" w:rsidRPr="007D698E">
        <w:rPr>
          <w:szCs w:val="24"/>
        </w:rPr>
        <w:t xml:space="preserve">1991 by the </w:t>
      </w:r>
      <w:r w:rsidR="00A43188" w:rsidRPr="007D698E">
        <w:rPr>
          <w:szCs w:val="24"/>
        </w:rPr>
        <w:t>Australian Health Ministers Advisory Council to develop a comprehensive national system to regulate therapeutic goods.</w:t>
      </w:r>
      <w:r w:rsidR="001954C2" w:rsidRPr="007D698E">
        <w:rPr>
          <w:szCs w:val="24"/>
        </w:rPr>
        <w:t xml:space="preserve"> </w:t>
      </w:r>
      <w:r w:rsidR="00443C3E" w:rsidRPr="007D698E">
        <w:rPr>
          <w:szCs w:val="24"/>
        </w:rPr>
        <w:t>This agreement was developed to address the regulatory gap with respect to sole traders engaged in intrastate trade and commerce.</w:t>
      </w:r>
    </w:p>
    <w:p w14:paraId="3337CA5C" w14:textId="0F07D9D8" w:rsidR="009163A3" w:rsidRPr="007D698E" w:rsidRDefault="00F41E3A" w:rsidP="0018013E">
      <w:pPr>
        <w:pStyle w:val="Paragraph"/>
        <w:numPr>
          <w:ilvl w:val="0"/>
          <w:numId w:val="0"/>
        </w:numPr>
        <w:tabs>
          <w:tab w:val="left" w:pos="567"/>
        </w:tabs>
        <w:rPr>
          <w:szCs w:val="24"/>
        </w:rPr>
      </w:pPr>
      <w:r w:rsidRPr="007D698E">
        <w:rPr>
          <w:szCs w:val="24"/>
        </w:rPr>
        <w:t>The uniform national regulatory scheme is an applied law scheme in which the Commonwealth is the host jurisdiction.</w:t>
      </w:r>
      <w:r w:rsidR="0030761E" w:rsidRPr="007D698E">
        <w:rPr>
          <w:szCs w:val="24"/>
        </w:rPr>
        <w:t xml:space="preserve"> </w:t>
      </w:r>
      <w:r w:rsidR="0018013E" w:rsidRPr="007D698E">
        <w:rPr>
          <w:szCs w:val="24"/>
        </w:rPr>
        <w:t>The Therapeutic Goods Act, the Therapeutic Goods Regulations and the Medical Devices Regulations are applied, as amended from time to time, in each State and Territory</w:t>
      </w:r>
      <w:r w:rsidR="00443C3E" w:rsidRPr="007D698E">
        <w:rPr>
          <w:szCs w:val="24"/>
        </w:rPr>
        <w:t>,</w:t>
      </w:r>
      <w:r w:rsidR="0018013E" w:rsidRPr="007D698E">
        <w:rPr>
          <w:szCs w:val="24"/>
        </w:rPr>
        <w:t xml:space="preserve"> with the exception of Western Australia and Queensland</w:t>
      </w:r>
      <w:r w:rsidR="00443C3E" w:rsidRPr="007D698E">
        <w:rPr>
          <w:szCs w:val="24"/>
        </w:rPr>
        <w:t>, as law of that jurisdiction</w:t>
      </w:r>
      <w:r w:rsidR="0018013E" w:rsidRPr="007D698E">
        <w:rPr>
          <w:szCs w:val="24"/>
        </w:rPr>
        <w:t>.</w:t>
      </w:r>
      <w:r w:rsidR="0030761E" w:rsidRPr="007D698E">
        <w:rPr>
          <w:szCs w:val="24"/>
        </w:rPr>
        <w:t xml:space="preserve"> </w:t>
      </w:r>
      <w:r w:rsidR="0018013E" w:rsidRPr="007D698E">
        <w:rPr>
          <w:szCs w:val="24"/>
        </w:rPr>
        <w:t>This occurs</w:t>
      </w:r>
      <w:r w:rsidR="009163A3" w:rsidRPr="007D698E">
        <w:rPr>
          <w:szCs w:val="24"/>
        </w:rPr>
        <w:t xml:space="preserve"> under the following provisions:</w:t>
      </w:r>
    </w:p>
    <w:p w14:paraId="3DFB7FBF" w14:textId="20B62483" w:rsidR="009163A3" w:rsidRPr="007D698E" w:rsidRDefault="007A467B" w:rsidP="007631C5">
      <w:pPr>
        <w:pStyle w:val="Paragraph"/>
        <w:numPr>
          <w:ilvl w:val="0"/>
          <w:numId w:val="9"/>
        </w:numPr>
        <w:tabs>
          <w:tab w:val="left" w:pos="567"/>
        </w:tabs>
        <w:ind w:left="714" w:hanging="357"/>
        <w:rPr>
          <w:szCs w:val="24"/>
        </w:rPr>
      </w:pPr>
      <w:r w:rsidRPr="007D698E">
        <w:rPr>
          <w:szCs w:val="24"/>
        </w:rPr>
        <w:t>s</w:t>
      </w:r>
      <w:r w:rsidR="009163A3" w:rsidRPr="007D698E">
        <w:rPr>
          <w:szCs w:val="24"/>
        </w:rPr>
        <w:t>ections 4 and 31</w:t>
      </w:r>
      <w:r w:rsidR="0018013E" w:rsidRPr="007D698E">
        <w:rPr>
          <w:szCs w:val="24"/>
        </w:rPr>
        <w:t xml:space="preserve"> </w:t>
      </w:r>
      <w:r w:rsidR="009163A3" w:rsidRPr="007D698E">
        <w:rPr>
          <w:szCs w:val="24"/>
        </w:rPr>
        <w:t xml:space="preserve">of the </w:t>
      </w:r>
      <w:r w:rsidR="009163A3" w:rsidRPr="007D698E">
        <w:rPr>
          <w:i/>
          <w:szCs w:val="24"/>
        </w:rPr>
        <w:t>Poisons and Therapeutic Goods Act 1966</w:t>
      </w:r>
      <w:r w:rsidR="009163A3" w:rsidRPr="007D698E">
        <w:rPr>
          <w:szCs w:val="24"/>
        </w:rPr>
        <w:t xml:space="preserve"> (NSW) </w:t>
      </w:r>
    </w:p>
    <w:p w14:paraId="1AC35ADE" w14:textId="137C9915" w:rsidR="009163A3" w:rsidRPr="007D698E" w:rsidRDefault="007A467B" w:rsidP="009163A3">
      <w:pPr>
        <w:pStyle w:val="Paragraph"/>
        <w:numPr>
          <w:ilvl w:val="0"/>
          <w:numId w:val="9"/>
        </w:numPr>
        <w:tabs>
          <w:tab w:val="left" w:pos="567"/>
        </w:tabs>
        <w:spacing w:before="0"/>
        <w:rPr>
          <w:szCs w:val="24"/>
        </w:rPr>
      </w:pPr>
      <w:r w:rsidRPr="007D698E">
        <w:rPr>
          <w:szCs w:val="24"/>
        </w:rPr>
        <w:t>s</w:t>
      </w:r>
      <w:r w:rsidR="009163A3" w:rsidRPr="007D698E">
        <w:rPr>
          <w:szCs w:val="24"/>
        </w:rPr>
        <w:t>ections 3 and 6</w:t>
      </w:r>
      <w:r w:rsidR="0018013E" w:rsidRPr="007D698E">
        <w:rPr>
          <w:szCs w:val="24"/>
        </w:rPr>
        <w:t xml:space="preserve"> </w:t>
      </w:r>
      <w:r w:rsidR="009163A3" w:rsidRPr="007D698E">
        <w:rPr>
          <w:szCs w:val="24"/>
        </w:rPr>
        <w:t xml:space="preserve">of the </w:t>
      </w:r>
      <w:r w:rsidR="009163A3" w:rsidRPr="007D698E">
        <w:rPr>
          <w:i/>
          <w:szCs w:val="24"/>
        </w:rPr>
        <w:t>Therapeutic Goods (Victoria) Act 2010</w:t>
      </w:r>
      <w:r w:rsidR="009163A3" w:rsidRPr="007D698E">
        <w:rPr>
          <w:szCs w:val="24"/>
        </w:rPr>
        <w:t xml:space="preserve"> (VIC) </w:t>
      </w:r>
    </w:p>
    <w:p w14:paraId="64A54C1F" w14:textId="2263C994" w:rsidR="009163A3" w:rsidRPr="007D698E" w:rsidRDefault="007A467B" w:rsidP="009163A3">
      <w:pPr>
        <w:pStyle w:val="Paragraph"/>
        <w:numPr>
          <w:ilvl w:val="0"/>
          <w:numId w:val="9"/>
        </w:numPr>
        <w:tabs>
          <w:tab w:val="left" w:pos="567"/>
        </w:tabs>
        <w:spacing w:before="0"/>
        <w:rPr>
          <w:szCs w:val="24"/>
        </w:rPr>
      </w:pPr>
      <w:r w:rsidRPr="007D698E">
        <w:rPr>
          <w:szCs w:val="24"/>
        </w:rPr>
        <w:t>s</w:t>
      </w:r>
      <w:r w:rsidR="009163A3" w:rsidRPr="007D698E">
        <w:rPr>
          <w:szCs w:val="24"/>
        </w:rPr>
        <w:t>ections 4 and 11A</w:t>
      </w:r>
      <w:r w:rsidR="009163A3" w:rsidRPr="007D698E">
        <w:rPr>
          <w:i/>
          <w:szCs w:val="24"/>
        </w:rPr>
        <w:t xml:space="preserve"> </w:t>
      </w:r>
      <w:r w:rsidR="009163A3" w:rsidRPr="007D698E">
        <w:rPr>
          <w:szCs w:val="24"/>
        </w:rPr>
        <w:t xml:space="preserve">of the </w:t>
      </w:r>
      <w:r w:rsidR="009163A3" w:rsidRPr="007D698E">
        <w:rPr>
          <w:i/>
          <w:szCs w:val="24"/>
        </w:rPr>
        <w:t>Controlled Substances Act 1984</w:t>
      </w:r>
      <w:r w:rsidR="009163A3" w:rsidRPr="007D698E">
        <w:rPr>
          <w:szCs w:val="24"/>
        </w:rPr>
        <w:t xml:space="preserve"> (SA) </w:t>
      </w:r>
    </w:p>
    <w:p w14:paraId="51F2CF46" w14:textId="77777777" w:rsidR="005700B6" w:rsidRDefault="007A467B" w:rsidP="005700B6">
      <w:pPr>
        <w:pStyle w:val="Paragraph"/>
        <w:numPr>
          <w:ilvl w:val="0"/>
          <w:numId w:val="9"/>
        </w:numPr>
        <w:tabs>
          <w:tab w:val="left" w:pos="567"/>
        </w:tabs>
        <w:spacing w:before="0"/>
        <w:rPr>
          <w:szCs w:val="24"/>
        </w:rPr>
      </w:pPr>
      <w:r w:rsidRPr="007D698E">
        <w:rPr>
          <w:szCs w:val="24"/>
        </w:rPr>
        <w:t>s</w:t>
      </w:r>
      <w:r w:rsidR="009163A3" w:rsidRPr="007D698E">
        <w:rPr>
          <w:szCs w:val="24"/>
        </w:rPr>
        <w:t xml:space="preserve">ections 3 and 6 of the </w:t>
      </w:r>
      <w:r w:rsidR="009163A3" w:rsidRPr="007D698E">
        <w:rPr>
          <w:i/>
          <w:szCs w:val="24"/>
        </w:rPr>
        <w:t>Therapeutic Goods Act 2001</w:t>
      </w:r>
      <w:r w:rsidR="009163A3" w:rsidRPr="007D698E">
        <w:rPr>
          <w:szCs w:val="24"/>
        </w:rPr>
        <w:t xml:space="preserve"> (TAS) </w:t>
      </w:r>
    </w:p>
    <w:p w14:paraId="18322683" w14:textId="6B06A4CB" w:rsidR="009163A3" w:rsidRPr="005700B6" w:rsidRDefault="007A467B" w:rsidP="005700B6">
      <w:pPr>
        <w:pStyle w:val="Paragraph"/>
        <w:numPr>
          <w:ilvl w:val="0"/>
          <w:numId w:val="9"/>
        </w:numPr>
        <w:tabs>
          <w:tab w:val="left" w:pos="567"/>
        </w:tabs>
        <w:spacing w:before="0"/>
        <w:ind w:left="567" w:hanging="207"/>
        <w:rPr>
          <w:szCs w:val="24"/>
        </w:rPr>
      </w:pPr>
      <w:r w:rsidRPr="005700B6">
        <w:rPr>
          <w:szCs w:val="24"/>
        </w:rPr>
        <w:t>s</w:t>
      </w:r>
      <w:r w:rsidR="009163A3" w:rsidRPr="005700B6">
        <w:rPr>
          <w:szCs w:val="24"/>
        </w:rPr>
        <w:t>ections 156 and 157</w:t>
      </w:r>
      <w:r w:rsidR="0018013E" w:rsidRPr="005700B6">
        <w:rPr>
          <w:szCs w:val="24"/>
        </w:rPr>
        <w:t xml:space="preserve"> </w:t>
      </w:r>
      <w:r w:rsidR="009163A3" w:rsidRPr="005700B6">
        <w:rPr>
          <w:szCs w:val="24"/>
        </w:rPr>
        <w:t xml:space="preserve">of the </w:t>
      </w:r>
      <w:r w:rsidR="009163A3" w:rsidRPr="005700B6">
        <w:rPr>
          <w:i/>
          <w:szCs w:val="24"/>
        </w:rPr>
        <w:t>Medicines, Poisons and Therapeutic Goods Act 2008</w:t>
      </w:r>
      <w:r w:rsidR="005700B6" w:rsidRPr="005700B6">
        <w:rPr>
          <w:i/>
          <w:szCs w:val="24"/>
        </w:rPr>
        <w:t xml:space="preserve"> </w:t>
      </w:r>
      <w:r w:rsidR="009163A3" w:rsidRPr="005700B6">
        <w:rPr>
          <w:szCs w:val="24"/>
        </w:rPr>
        <w:t xml:space="preserve">(ACT), and </w:t>
      </w:r>
    </w:p>
    <w:p w14:paraId="5C5B73ED" w14:textId="644B84F3" w:rsidR="00424679" w:rsidRPr="007D698E" w:rsidRDefault="007A467B" w:rsidP="005700B6">
      <w:pPr>
        <w:pStyle w:val="Paragraph"/>
        <w:numPr>
          <w:ilvl w:val="0"/>
          <w:numId w:val="9"/>
        </w:numPr>
        <w:tabs>
          <w:tab w:val="left" w:pos="567"/>
        </w:tabs>
        <w:spacing w:before="0"/>
        <w:ind w:left="567" w:hanging="207"/>
        <w:rPr>
          <w:szCs w:val="24"/>
        </w:rPr>
      </w:pPr>
      <w:proofErr w:type="gramStart"/>
      <w:r w:rsidRPr="007D698E">
        <w:rPr>
          <w:szCs w:val="24"/>
        </w:rPr>
        <w:t>s</w:t>
      </w:r>
      <w:r w:rsidR="009163A3" w:rsidRPr="007D698E">
        <w:rPr>
          <w:szCs w:val="24"/>
        </w:rPr>
        <w:t>ections</w:t>
      </w:r>
      <w:proofErr w:type="gramEnd"/>
      <w:r w:rsidR="009163A3" w:rsidRPr="007D698E">
        <w:rPr>
          <w:szCs w:val="24"/>
        </w:rPr>
        <w:t xml:space="preserve"> 5, 228, 230 and 231 of the </w:t>
      </w:r>
      <w:r w:rsidR="009163A3" w:rsidRPr="007D698E">
        <w:rPr>
          <w:i/>
          <w:szCs w:val="24"/>
        </w:rPr>
        <w:t xml:space="preserve">Medicines, Poisons and Therapeutic Goods Act </w:t>
      </w:r>
      <w:r w:rsidR="009163A3" w:rsidRPr="007D698E">
        <w:rPr>
          <w:szCs w:val="24"/>
        </w:rPr>
        <w:t>(NT).</w:t>
      </w:r>
    </w:p>
    <w:p w14:paraId="6AE330E6" w14:textId="65E2826F" w:rsidR="006A5E04" w:rsidRPr="007D698E" w:rsidRDefault="006A5E04" w:rsidP="006A5E04">
      <w:pPr>
        <w:pStyle w:val="Paragraph"/>
        <w:numPr>
          <w:ilvl w:val="0"/>
          <w:numId w:val="0"/>
        </w:numPr>
        <w:tabs>
          <w:tab w:val="left" w:pos="567"/>
        </w:tabs>
        <w:rPr>
          <w:szCs w:val="24"/>
        </w:rPr>
      </w:pPr>
      <w:r w:rsidRPr="007D698E">
        <w:rPr>
          <w:szCs w:val="24"/>
        </w:rPr>
        <w:t xml:space="preserve">The scheme is designed such that each time the Therapeutic Goods Act, the Therapeutic Goods Regulations or the Medical Devices Regulations are </w:t>
      </w:r>
      <w:proofErr w:type="gramStart"/>
      <w:r w:rsidRPr="007D698E">
        <w:rPr>
          <w:szCs w:val="24"/>
        </w:rPr>
        <w:t>amended,</w:t>
      </w:r>
      <w:proofErr w:type="gramEnd"/>
      <w:r w:rsidRPr="007D698E">
        <w:rPr>
          <w:szCs w:val="24"/>
        </w:rPr>
        <w:t xml:space="preserve"> the amendments apply automatically in the participating States and Territories. This ensures that there is no regulatory gap in relation to non-constitutional corporations engaged in intrastate trade and commerce related to therapeutic goods</w:t>
      </w:r>
      <w:r w:rsidR="00F27820" w:rsidRPr="007D698E">
        <w:rPr>
          <w:szCs w:val="24"/>
        </w:rPr>
        <w:t xml:space="preserve"> and that there is uniformity of regulation among the participating States and Territories. </w:t>
      </w:r>
    </w:p>
    <w:p w14:paraId="28D7D733" w14:textId="5E7EB1B6" w:rsidR="006A5E04" w:rsidRPr="007D698E" w:rsidRDefault="006A5E04" w:rsidP="006A5E04">
      <w:pPr>
        <w:pStyle w:val="Paragraph"/>
        <w:numPr>
          <w:ilvl w:val="0"/>
          <w:numId w:val="0"/>
        </w:numPr>
        <w:tabs>
          <w:tab w:val="left" w:pos="567"/>
        </w:tabs>
        <w:rPr>
          <w:szCs w:val="24"/>
        </w:rPr>
      </w:pPr>
      <w:r w:rsidRPr="007D698E">
        <w:rPr>
          <w:szCs w:val="24"/>
        </w:rPr>
        <w:t xml:space="preserve">The Therapeutic Goods Administration, which is part of the Commonwealth Department of Health, engages </w:t>
      </w:r>
      <w:r w:rsidR="00E7099B" w:rsidRPr="007D698E">
        <w:rPr>
          <w:szCs w:val="24"/>
        </w:rPr>
        <w:t xml:space="preserve">as appropriate </w:t>
      </w:r>
      <w:r w:rsidRPr="007D698E">
        <w:rPr>
          <w:szCs w:val="24"/>
        </w:rPr>
        <w:t xml:space="preserve">with State and Territory Health bodies in relation to proposed amendments to the Therapeutic Goods Act, the Therapeutic Goods Regulations and the Medical Devices Regulations. For example, this may include engaging with State and Territory Health Departments, </w:t>
      </w:r>
      <w:r w:rsidR="00E7099B" w:rsidRPr="007D698E">
        <w:rPr>
          <w:szCs w:val="24"/>
        </w:rPr>
        <w:t>State and Territory public hospitals, or</w:t>
      </w:r>
      <w:r w:rsidRPr="007D698E">
        <w:rPr>
          <w:szCs w:val="24"/>
        </w:rPr>
        <w:t xml:space="preserve"> State and Territory members of the Inter-Jurisdictional Committee of the Australian Commission on Safety and </w:t>
      </w:r>
      <w:r w:rsidRPr="007D698E">
        <w:rPr>
          <w:szCs w:val="24"/>
        </w:rPr>
        <w:lastRenderedPageBreak/>
        <w:t xml:space="preserve">Quality in Health Care. Such collaboration </w:t>
      </w:r>
      <w:r w:rsidR="00606101" w:rsidRPr="007D698E">
        <w:rPr>
          <w:szCs w:val="24"/>
        </w:rPr>
        <w:t>enhances</w:t>
      </w:r>
      <w:r w:rsidRPr="007D698E">
        <w:rPr>
          <w:szCs w:val="24"/>
        </w:rPr>
        <w:t xml:space="preserve"> the effective operation of the uniform national regulatory scheme.</w:t>
      </w:r>
    </w:p>
    <w:p w14:paraId="7B678BBA" w14:textId="77FB674B" w:rsidR="006A5E04" w:rsidRPr="007D698E" w:rsidRDefault="006A5E04" w:rsidP="006A5E04">
      <w:pPr>
        <w:pStyle w:val="Paragraph"/>
        <w:numPr>
          <w:ilvl w:val="0"/>
          <w:numId w:val="0"/>
        </w:numPr>
        <w:tabs>
          <w:tab w:val="left" w:pos="567"/>
        </w:tabs>
        <w:rPr>
          <w:szCs w:val="24"/>
        </w:rPr>
      </w:pPr>
      <w:r w:rsidRPr="007D698E">
        <w:rPr>
          <w:szCs w:val="24"/>
        </w:rPr>
        <w:t>Accordingly, as the Therapeutic Goods Regulations and the Medical Devices Regulations are part of an intergovernmental scheme, under which it was agreed that the instruments would apply automatically in participating States and Territories to address a regulatory gap, it would be inappropriate for the Commonwealth to unilaterally sunset the instruments</w:t>
      </w:r>
      <w:r w:rsidR="0003395E" w:rsidRPr="007D698E">
        <w:rPr>
          <w:szCs w:val="24"/>
        </w:rPr>
        <w:t xml:space="preserve"> and </w:t>
      </w:r>
      <w:r w:rsidR="001A5954" w:rsidRPr="007D698E">
        <w:rPr>
          <w:szCs w:val="24"/>
        </w:rPr>
        <w:t xml:space="preserve">an exemption from sunsetting is appropriate. </w:t>
      </w:r>
    </w:p>
    <w:p w14:paraId="63ED5074" w14:textId="4E8C222D" w:rsidR="00FD7C7B" w:rsidRPr="007D698E" w:rsidRDefault="00FD7C7B" w:rsidP="00FD7C7B">
      <w:pPr>
        <w:pStyle w:val="Paragraph"/>
        <w:numPr>
          <w:ilvl w:val="0"/>
          <w:numId w:val="0"/>
        </w:numPr>
        <w:tabs>
          <w:tab w:val="left" w:pos="567"/>
        </w:tabs>
        <w:rPr>
          <w:szCs w:val="24"/>
          <w:u w:val="single"/>
        </w:rPr>
      </w:pPr>
      <w:r w:rsidRPr="007D698E">
        <w:rPr>
          <w:szCs w:val="24"/>
          <w:u w:val="single"/>
        </w:rPr>
        <w:t>Item 63AB</w:t>
      </w:r>
    </w:p>
    <w:p w14:paraId="4DC19363" w14:textId="38E16A4D" w:rsidR="00FD7C7B" w:rsidRPr="007D698E" w:rsidRDefault="00FD7C7B" w:rsidP="001C1116">
      <w:pPr>
        <w:pStyle w:val="Paragraph"/>
        <w:numPr>
          <w:ilvl w:val="0"/>
          <w:numId w:val="0"/>
        </w:numPr>
        <w:tabs>
          <w:tab w:val="left" w:pos="567"/>
        </w:tabs>
        <w:rPr>
          <w:szCs w:val="24"/>
          <w:u w:val="single"/>
        </w:rPr>
      </w:pPr>
      <w:r w:rsidRPr="007D698E">
        <w:rPr>
          <w:szCs w:val="24"/>
        </w:rPr>
        <w:t xml:space="preserve">Item 63AB provides exemptions from sunsetting for particular instruments made under the </w:t>
      </w:r>
      <w:r w:rsidRPr="007D698E">
        <w:rPr>
          <w:i/>
          <w:szCs w:val="24"/>
        </w:rPr>
        <w:t xml:space="preserve">Torres Strait Fisheries Act 1984 </w:t>
      </w:r>
      <w:r w:rsidRPr="007D698E">
        <w:rPr>
          <w:szCs w:val="24"/>
        </w:rPr>
        <w:t>(the Torres Strait Act). The exemptions are justified on the basis that the instruments are part of intergovernmental scheme</w:t>
      </w:r>
      <w:r w:rsidR="009E63F6" w:rsidRPr="007D698E">
        <w:rPr>
          <w:szCs w:val="24"/>
        </w:rPr>
        <w:t>s</w:t>
      </w:r>
      <w:r w:rsidRPr="007D698E">
        <w:rPr>
          <w:szCs w:val="24"/>
        </w:rPr>
        <w:t>, being</w:t>
      </w:r>
      <w:r w:rsidR="008D55D9" w:rsidRPr="007D698E">
        <w:rPr>
          <w:szCs w:val="24"/>
        </w:rPr>
        <w:t xml:space="preserve"> either</w:t>
      </w:r>
      <w:r w:rsidRPr="007D698E">
        <w:rPr>
          <w:szCs w:val="24"/>
        </w:rPr>
        <w:t xml:space="preserve"> the Protected Zone Joint Authority established under the Torres Strait Act, </w:t>
      </w:r>
      <w:r w:rsidR="008D55D9" w:rsidRPr="007D698E">
        <w:rPr>
          <w:szCs w:val="24"/>
        </w:rPr>
        <w:t>or</w:t>
      </w:r>
      <w:r w:rsidRPr="007D698E">
        <w:rPr>
          <w:szCs w:val="24"/>
        </w:rPr>
        <w:t xml:space="preserve"> the </w:t>
      </w:r>
      <w:r w:rsidRPr="007D698E">
        <w:rPr>
          <w:i/>
          <w:iCs/>
          <w:color w:val="000000" w:themeColor="text1"/>
          <w:szCs w:val="24"/>
        </w:rPr>
        <w:t>Treaty between Australia and the Independent State of Papua New Guinea concerning sovereignty and maritime boundaries in the area between the two countries, including the area known as the Torres Strait, and related matters</w:t>
      </w:r>
      <w:r w:rsidRPr="007D698E">
        <w:rPr>
          <w:color w:val="000000" w:themeColor="text1"/>
          <w:szCs w:val="24"/>
        </w:rPr>
        <w:t xml:space="preserve"> (the Torres Strait Treaty), which is </w:t>
      </w:r>
      <w:r w:rsidR="00F34EEA" w:rsidRPr="007D698E">
        <w:rPr>
          <w:color w:val="000000" w:themeColor="text1"/>
          <w:szCs w:val="24"/>
        </w:rPr>
        <w:t xml:space="preserve">given effect under Australian domestic law </w:t>
      </w:r>
      <w:r w:rsidRPr="007D698E">
        <w:rPr>
          <w:color w:val="000000" w:themeColor="text1"/>
          <w:szCs w:val="24"/>
        </w:rPr>
        <w:t xml:space="preserve">by way of the Torres Strait Act. </w:t>
      </w:r>
      <w:r w:rsidRPr="007D698E">
        <w:rPr>
          <w:szCs w:val="24"/>
        </w:rPr>
        <w:t>Further detail in relation to each exemption is provided below.</w:t>
      </w:r>
    </w:p>
    <w:p w14:paraId="403648A4" w14:textId="3303E284" w:rsidR="001C1116" w:rsidRPr="007D698E" w:rsidRDefault="003249DF" w:rsidP="001C1116">
      <w:pPr>
        <w:pStyle w:val="Paragraph"/>
        <w:numPr>
          <w:ilvl w:val="0"/>
          <w:numId w:val="0"/>
        </w:numPr>
        <w:tabs>
          <w:tab w:val="left" w:pos="567"/>
        </w:tabs>
        <w:rPr>
          <w:szCs w:val="24"/>
        </w:rPr>
      </w:pPr>
      <w:r w:rsidRPr="007D698E">
        <w:rPr>
          <w:szCs w:val="24"/>
          <w:u w:val="single"/>
        </w:rPr>
        <w:t>Paragraph</w:t>
      </w:r>
      <w:r w:rsidR="00FD7C7B" w:rsidRPr="007D698E">
        <w:rPr>
          <w:szCs w:val="24"/>
          <w:u w:val="single"/>
        </w:rPr>
        <w:t xml:space="preserve"> </w:t>
      </w:r>
      <w:proofErr w:type="gramStart"/>
      <w:r w:rsidR="00AC49A6" w:rsidRPr="007D698E">
        <w:rPr>
          <w:szCs w:val="24"/>
          <w:u w:val="single"/>
        </w:rPr>
        <w:t>63AB</w:t>
      </w:r>
      <w:r w:rsidR="00B440EE" w:rsidRPr="007D698E">
        <w:rPr>
          <w:szCs w:val="24"/>
          <w:u w:val="single"/>
        </w:rPr>
        <w:t>(</w:t>
      </w:r>
      <w:proofErr w:type="gramEnd"/>
      <w:r w:rsidR="00B440EE" w:rsidRPr="007D698E">
        <w:rPr>
          <w:szCs w:val="24"/>
          <w:u w:val="single"/>
        </w:rPr>
        <w:t>a)</w:t>
      </w:r>
    </w:p>
    <w:p w14:paraId="0C8656F5" w14:textId="2D4D4F1B" w:rsidR="00E24F0B" w:rsidRPr="007D698E" w:rsidRDefault="00AC49A6" w:rsidP="00CD64DD">
      <w:pPr>
        <w:pStyle w:val="Paragraph"/>
        <w:numPr>
          <w:ilvl w:val="0"/>
          <w:numId w:val="0"/>
        </w:numPr>
        <w:tabs>
          <w:tab w:val="left" w:pos="567"/>
        </w:tabs>
        <w:rPr>
          <w:szCs w:val="24"/>
        </w:rPr>
      </w:pPr>
      <w:r w:rsidRPr="007D698E">
        <w:rPr>
          <w:szCs w:val="24"/>
        </w:rPr>
        <w:t xml:space="preserve">New </w:t>
      </w:r>
      <w:r w:rsidR="00621AF0" w:rsidRPr="007D698E">
        <w:rPr>
          <w:szCs w:val="24"/>
        </w:rPr>
        <w:t>paragraph</w:t>
      </w:r>
      <w:r w:rsidRPr="007D698E">
        <w:rPr>
          <w:szCs w:val="24"/>
        </w:rPr>
        <w:t xml:space="preserve"> </w:t>
      </w:r>
      <w:proofErr w:type="gramStart"/>
      <w:r w:rsidRPr="007D698E">
        <w:rPr>
          <w:szCs w:val="24"/>
        </w:rPr>
        <w:t>63AB(</w:t>
      </w:r>
      <w:proofErr w:type="gramEnd"/>
      <w:r w:rsidRPr="007D698E">
        <w:rPr>
          <w:szCs w:val="24"/>
        </w:rPr>
        <w:t xml:space="preserve">a) </w:t>
      </w:r>
      <w:r w:rsidR="00B440EE" w:rsidRPr="007D698E">
        <w:rPr>
          <w:szCs w:val="24"/>
        </w:rPr>
        <w:t>provide</w:t>
      </w:r>
      <w:r w:rsidR="00727595" w:rsidRPr="007D698E">
        <w:rPr>
          <w:szCs w:val="24"/>
        </w:rPr>
        <w:t>s an</w:t>
      </w:r>
      <w:r w:rsidRPr="007D698E">
        <w:rPr>
          <w:szCs w:val="24"/>
        </w:rPr>
        <w:t xml:space="preserve"> exemption from sunsetting for </w:t>
      </w:r>
      <w:r w:rsidR="00E24F0B" w:rsidRPr="007D698E">
        <w:rPr>
          <w:szCs w:val="24"/>
        </w:rPr>
        <w:t xml:space="preserve">declarations </w:t>
      </w:r>
      <w:r w:rsidRPr="007D698E">
        <w:rPr>
          <w:szCs w:val="24"/>
        </w:rPr>
        <w:t>made under s</w:t>
      </w:r>
      <w:r w:rsidR="00842788" w:rsidRPr="007D698E">
        <w:rPr>
          <w:szCs w:val="24"/>
        </w:rPr>
        <w:t>ubsection</w:t>
      </w:r>
      <w:r w:rsidR="00727595" w:rsidRPr="007D698E">
        <w:rPr>
          <w:szCs w:val="24"/>
        </w:rPr>
        <w:t xml:space="preserve"> 3(3)</w:t>
      </w:r>
      <w:r w:rsidRPr="007D698E">
        <w:rPr>
          <w:szCs w:val="24"/>
        </w:rPr>
        <w:t xml:space="preserve"> of the </w:t>
      </w:r>
      <w:r w:rsidR="004D3170" w:rsidRPr="007D698E">
        <w:rPr>
          <w:szCs w:val="24"/>
        </w:rPr>
        <w:t>Torres Strait</w:t>
      </w:r>
      <w:r w:rsidR="00B440EE" w:rsidRPr="007D698E">
        <w:rPr>
          <w:szCs w:val="24"/>
        </w:rPr>
        <w:t xml:space="preserve"> Act</w:t>
      </w:r>
      <w:r w:rsidRPr="007D698E">
        <w:rPr>
          <w:szCs w:val="24"/>
        </w:rPr>
        <w:t xml:space="preserve">. </w:t>
      </w:r>
      <w:r w:rsidR="00E24F0B" w:rsidRPr="007D698E">
        <w:rPr>
          <w:szCs w:val="24"/>
        </w:rPr>
        <w:t>There are currently two declarations made under this provision:</w:t>
      </w:r>
    </w:p>
    <w:p w14:paraId="01332C6D" w14:textId="0CB294AC" w:rsidR="00E24F0B" w:rsidRPr="007D698E" w:rsidRDefault="00E24F0B" w:rsidP="00E24F0B">
      <w:pPr>
        <w:pStyle w:val="Paragraph"/>
        <w:numPr>
          <w:ilvl w:val="0"/>
          <w:numId w:val="15"/>
        </w:numPr>
        <w:tabs>
          <w:tab w:val="left" w:pos="567"/>
        </w:tabs>
        <w:rPr>
          <w:szCs w:val="24"/>
        </w:rPr>
      </w:pPr>
      <w:r w:rsidRPr="007D698E">
        <w:rPr>
          <w:i/>
          <w:szCs w:val="24"/>
        </w:rPr>
        <w:t>Declaration of adjacent coastal area of Papua New Guinea</w:t>
      </w:r>
      <w:r w:rsidR="00D458DD" w:rsidRPr="007D698E">
        <w:rPr>
          <w:szCs w:val="24"/>
        </w:rPr>
        <w:t>, and</w:t>
      </w:r>
    </w:p>
    <w:p w14:paraId="445C7BC6" w14:textId="39FE52DE" w:rsidR="00E24F0B" w:rsidRPr="007D698E" w:rsidRDefault="00E24F0B" w:rsidP="00E24F0B">
      <w:pPr>
        <w:pStyle w:val="Paragraph"/>
        <w:numPr>
          <w:ilvl w:val="0"/>
          <w:numId w:val="15"/>
        </w:numPr>
        <w:tabs>
          <w:tab w:val="left" w:pos="567"/>
        </w:tabs>
        <w:spacing w:before="0"/>
        <w:ind w:left="714" w:hanging="357"/>
        <w:rPr>
          <w:szCs w:val="24"/>
        </w:rPr>
      </w:pPr>
      <w:r w:rsidRPr="007D698E">
        <w:rPr>
          <w:i/>
          <w:szCs w:val="24"/>
        </w:rPr>
        <w:t>Declaration of adjacent coastal area of Australia</w:t>
      </w:r>
      <w:r w:rsidR="00D458DD" w:rsidRPr="007D698E">
        <w:rPr>
          <w:szCs w:val="24"/>
        </w:rPr>
        <w:t>.</w:t>
      </w:r>
    </w:p>
    <w:p w14:paraId="55BA41D8" w14:textId="1E5DB372" w:rsidR="00CB4D2C" w:rsidRPr="007D698E" w:rsidRDefault="00E24F0B" w:rsidP="00087B90">
      <w:pPr>
        <w:pStyle w:val="Paragraph"/>
        <w:numPr>
          <w:ilvl w:val="0"/>
          <w:numId w:val="0"/>
        </w:numPr>
        <w:tabs>
          <w:tab w:val="left" w:pos="567"/>
        </w:tabs>
        <w:rPr>
          <w:color w:val="000000" w:themeColor="text1"/>
          <w:szCs w:val="24"/>
        </w:rPr>
      </w:pPr>
      <w:r w:rsidRPr="007D698E">
        <w:rPr>
          <w:color w:val="000000" w:themeColor="text1"/>
          <w:szCs w:val="24"/>
        </w:rPr>
        <w:t xml:space="preserve">Declarations </w:t>
      </w:r>
      <w:r w:rsidR="00AC49A6" w:rsidRPr="007D698E">
        <w:rPr>
          <w:color w:val="000000" w:themeColor="text1"/>
          <w:szCs w:val="24"/>
        </w:rPr>
        <w:t xml:space="preserve">made by the Minister under </w:t>
      </w:r>
      <w:r w:rsidR="00274440" w:rsidRPr="007D698E">
        <w:rPr>
          <w:color w:val="000000" w:themeColor="text1"/>
          <w:szCs w:val="24"/>
        </w:rPr>
        <w:t xml:space="preserve">paragraphs </w:t>
      </w:r>
      <w:r w:rsidR="00AC49A6" w:rsidRPr="007D698E">
        <w:rPr>
          <w:color w:val="000000" w:themeColor="text1"/>
          <w:szCs w:val="24"/>
        </w:rPr>
        <w:t>3(3</w:t>
      </w:r>
      <w:proofErr w:type="gramStart"/>
      <w:r w:rsidR="00AC49A6" w:rsidRPr="007D698E">
        <w:rPr>
          <w:color w:val="000000" w:themeColor="text1"/>
          <w:szCs w:val="24"/>
        </w:rPr>
        <w:t>)(</w:t>
      </w:r>
      <w:proofErr w:type="gramEnd"/>
      <w:r w:rsidR="00AC49A6" w:rsidRPr="007D698E">
        <w:rPr>
          <w:color w:val="000000" w:themeColor="text1"/>
          <w:szCs w:val="24"/>
        </w:rPr>
        <w:t>a) and (b)</w:t>
      </w:r>
      <w:r w:rsidRPr="007D698E">
        <w:rPr>
          <w:color w:val="000000" w:themeColor="text1"/>
          <w:szCs w:val="24"/>
        </w:rPr>
        <w:t xml:space="preserve"> of the Torres Strait Act</w:t>
      </w:r>
      <w:r w:rsidR="00AC49A6" w:rsidRPr="007D698E">
        <w:rPr>
          <w:color w:val="000000" w:themeColor="text1"/>
          <w:szCs w:val="24"/>
        </w:rPr>
        <w:t xml:space="preserve"> provide, for the purposes of </w:t>
      </w:r>
      <w:r w:rsidRPr="007D698E">
        <w:rPr>
          <w:color w:val="000000" w:themeColor="text1"/>
          <w:szCs w:val="24"/>
        </w:rPr>
        <w:t>that Act</w:t>
      </w:r>
      <w:r w:rsidR="00AC49A6" w:rsidRPr="007D698E">
        <w:rPr>
          <w:color w:val="000000" w:themeColor="text1"/>
          <w:szCs w:val="24"/>
        </w:rPr>
        <w:t xml:space="preserve">, a consistent interpretation of </w:t>
      </w:r>
      <w:r w:rsidR="00F01BCF" w:rsidRPr="007D698E">
        <w:rPr>
          <w:color w:val="000000" w:themeColor="text1"/>
          <w:szCs w:val="24"/>
        </w:rPr>
        <w:t xml:space="preserve">the </w:t>
      </w:r>
      <w:r w:rsidR="009E63F6" w:rsidRPr="007D698E">
        <w:rPr>
          <w:color w:val="000000" w:themeColor="text1"/>
          <w:szCs w:val="24"/>
        </w:rPr>
        <w:t xml:space="preserve">phrase </w:t>
      </w:r>
      <w:r w:rsidR="00AC49A6" w:rsidRPr="007D698E">
        <w:rPr>
          <w:color w:val="000000" w:themeColor="text1"/>
          <w:szCs w:val="24"/>
        </w:rPr>
        <w:t>‘</w:t>
      </w:r>
      <w:r w:rsidR="00CB4D2C" w:rsidRPr="007D698E">
        <w:rPr>
          <w:color w:val="000000" w:themeColor="text1"/>
          <w:szCs w:val="24"/>
        </w:rPr>
        <w:t>traditional inhabitants</w:t>
      </w:r>
      <w:r w:rsidR="00AC49A6" w:rsidRPr="007D698E">
        <w:rPr>
          <w:color w:val="000000" w:themeColor="text1"/>
          <w:szCs w:val="24"/>
        </w:rPr>
        <w:t>’</w:t>
      </w:r>
      <w:r w:rsidR="008D55D9" w:rsidRPr="007D698E">
        <w:rPr>
          <w:color w:val="000000" w:themeColor="text1"/>
          <w:szCs w:val="24"/>
        </w:rPr>
        <w:t xml:space="preserve"> </w:t>
      </w:r>
      <w:r w:rsidR="00662780" w:rsidRPr="007D698E">
        <w:rPr>
          <w:color w:val="000000" w:themeColor="text1"/>
          <w:szCs w:val="24"/>
        </w:rPr>
        <w:t xml:space="preserve">as used in the Torres Strait Treaty. </w:t>
      </w:r>
      <w:r w:rsidR="00CB4D2C" w:rsidRPr="007D698E">
        <w:rPr>
          <w:color w:val="000000" w:themeColor="text1"/>
          <w:szCs w:val="24"/>
        </w:rPr>
        <w:t xml:space="preserve">Article 1.1(m) of the Torres Strait Treaty defines ‘traditional inhabitant’ in relation to Australia as ‘persons who… live in the Protected Zone or the adjacent coastal area of Australia’. The article further defines ‘traditional inhabitant’ in relation to Papua New Guinea as </w:t>
      </w:r>
      <w:r w:rsidR="007E001A" w:rsidRPr="007D698E">
        <w:rPr>
          <w:color w:val="000000" w:themeColor="text1"/>
          <w:szCs w:val="24"/>
        </w:rPr>
        <w:t>‘</w:t>
      </w:r>
      <w:r w:rsidR="00CB4D2C" w:rsidRPr="007D698E">
        <w:rPr>
          <w:color w:val="000000" w:themeColor="text1"/>
          <w:szCs w:val="24"/>
        </w:rPr>
        <w:t>person</w:t>
      </w:r>
      <w:r w:rsidR="007E001A" w:rsidRPr="007D698E">
        <w:rPr>
          <w:color w:val="000000" w:themeColor="text1"/>
          <w:szCs w:val="24"/>
        </w:rPr>
        <w:t>s who</w:t>
      </w:r>
      <w:r w:rsidR="00CB4D2C" w:rsidRPr="007D698E">
        <w:rPr>
          <w:color w:val="000000" w:themeColor="text1"/>
          <w:szCs w:val="24"/>
        </w:rPr>
        <w:t>… live in the Protected Zone or the adjacent coastal area of Papua New Guinea</w:t>
      </w:r>
      <w:r w:rsidR="007E001A" w:rsidRPr="007D698E">
        <w:rPr>
          <w:color w:val="000000" w:themeColor="text1"/>
          <w:szCs w:val="24"/>
        </w:rPr>
        <w:t>’</w:t>
      </w:r>
      <w:r w:rsidR="00CB4D2C" w:rsidRPr="007D698E">
        <w:rPr>
          <w:color w:val="000000" w:themeColor="text1"/>
          <w:szCs w:val="24"/>
        </w:rPr>
        <w:t xml:space="preserve">. </w:t>
      </w:r>
      <w:r w:rsidR="001473A5" w:rsidRPr="007D698E">
        <w:rPr>
          <w:color w:val="000000" w:themeColor="text1"/>
          <w:szCs w:val="24"/>
        </w:rPr>
        <w:t xml:space="preserve">Section 3 of the Torres Strait Act provides that </w:t>
      </w:r>
      <w:r w:rsidR="007E001A" w:rsidRPr="007D698E">
        <w:rPr>
          <w:color w:val="000000" w:themeColor="text1"/>
          <w:szCs w:val="24"/>
        </w:rPr>
        <w:t>‘traditional inhabitant’ in that Act means ‘</w:t>
      </w:r>
      <w:r w:rsidR="007E001A" w:rsidRPr="007D698E">
        <w:rPr>
          <w:color w:val="000000"/>
          <w:szCs w:val="24"/>
          <w:shd w:val="clear" w:color="auto" w:fill="FFFFFF"/>
        </w:rPr>
        <w:t>a person covered by the definition of</w:t>
      </w:r>
      <w:r w:rsidR="007E001A" w:rsidRPr="007D698E">
        <w:rPr>
          <w:rStyle w:val="apple-converted-space"/>
          <w:color w:val="000000"/>
          <w:szCs w:val="24"/>
          <w:shd w:val="clear" w:color="auto" w:fill="FFFFFF"/>
        </w:rPr>
        <w:t> </w:t>
      </w:r>
      <w:r w:rsidR="007E001A" w:rsidRPr="007D698E">
        <w:rPr>
          <w:b/>
          <w:i/>
          <w:color w:val="000000"/>
          <w:szCs w:val="24"/>
          <w:shd w:val="clear" w:color="auto" w:fill="FFFFFF"/>
        </w:rPr>
        <w:t>traditional inhabitants</w:t>
      </w:r>
      <w:r w:rsidR="007E001A" w:rsidRPr="007D698E">
        <w:rPr>
          <w:rStyle w:val="apple-converted-space"/>
          <w:color w:val="000000"/>
          <w:szCs w:val="24"/>
          <w:shd w:val="clear" w:color="auto" w:fill="FFFFFF"/>
        </w:rPr>
        <w:t> </w:t>
      </w:r>
      <w:r w:rsidR="007E001A" w:rsidRPr="007D698E">
        <w:rPr>
          <w:color w:val="000000"/>
          <w:szCs w:val="24"/>
          <w:shd w:val="clear" w:color="auto" w:fill="FFFFFF"/>
        </w:rPr>
        <w:t xml:space="preserve">in Article 1 of the Torres Strait Treaty’ (emphasis original). </w:t>
      </w:r>
      <w:r w:rsidR="00B851E6" w:rsidRPr="007D698E">
        <w:rPr>
          <w:color w:val="000000" w:themeColor="text1"/>
          <w:szCs w:val="24"/>
        </w:rPr>
        <w:t>D</w:t>
      </w:r>
      <w:r w:rsidR="00CB4D2C" w:rsidRPr="007D698E">
        <w:rPr>
          <w:color w:val="000000" w:themeColor="text1"/>
          <w:szCs w:val="24"/>
        </w:rPr>
        <w:t>eclarations made by the Minister under paragraphs 3(3</w:t>
      </w:r>
      <w:proofErr w:type="gramStart"/>
      <w:r w:rsidR="00CB4D2C" w:rsidRPr="007D698E">
        <w:rPr>
          <w:color w:val="000000" w:themeColor="text1"/>
          <w:szCs w:val="24"/>
        </w:rPr>
        <w:t>)(</w:t>
      </w:r>
      <w:proofErr w:type="gramEnd"/>
      <w:r w:rsidR="00CB4D2C" w:rsidRPr="007D698E">
        <w:rPr>
          <w:color w:val="000000" w:themeColor="text1"/>
          <w:szCs w:val="24"/>
        </w:rPr>
        <w:t xml:space="preserve">a) and (b) </w:t>
      </w:r>
      <w:r w:rsidR="00087B90" w:rsidRPr="007D698E">
        <w:rPr>
          <w:color w:val="000000" w:themeColor="text1"/>
          <w:szCs w:val="24"/>
        </w:rPr>
        <w:t xml:space="preserve">of the Torres Strait Act declare </w:t>
      </w:r>
      <w:r w:rsidR="00B851E6" w:rsidRPr="007D698E">
        <w:rPr>
          <w:color w:val="000000" w:themeColor="text1"/>
          <w:szCs w:val="24"/>
        </w:rPr>
        <w:t>a particular area</w:t>
      </w:r>
      <w:r w:rsidR="00087B90" w:rsidRPr="007D698E">
        <w:rPr>
          <w:color w:val="000000" w:themeColor="text1"/>
          <w:szCs w:val="24"/>
        </w:rPr>
        <w:t xml:space="preserve"> to be the </w:t>
      </w:r>
      <w:r w:rsidR="00CB4D2C" w:rsidRPr="007D698E">
        <w:rPr>
          <w:color w:val="000000" w:themeColor="text1"/>
          <w:szCs w:val="24"/>
        </w:rPr>
        <w:t xml:space="preserve">‘adjacent coastal area’ of Papua New Guinea </w:t>
      </w:r>
      <w:r w:rsidR="00B851E6" w:rsidRPr="007D698E">
        <w:rPr>
          <w:color w:val="000000" w:themeColor="text1"/>
          <w:szCs w:val="24"/>
        </w:rPr>
        <w:t xml:space="preserve">or </w:t>
      </w:r>
      <w:r w:rsidR="00CB4D2C" w:rsidRPr="007D698E">
        <w:rPr>
          <w:color w:val="000000" w:themeColor="text1"/>
          <w:szCs w:val="24"/>
        </w:rPr>
        <w:t>Australia</w:t>
      </w:r>
      <w:r w:rsidR="00087B90" w:rsidRPr="007D698E">
        <w:rPr>
          <w:color w:val="000000" w:themeColor="text1"/>
          <w:szCs w:val="24"/>
        </w:rPr>
        <w:t>,</w:t>
      </w:r>
      <w:r w:rsidR="00CB4D2C" w:rsidRPr="007D698E">
        <w:rPr>
          <w:color w:val="000000" w:themeColor="text1"/>
          <w:szCs w:val="24"/>
        </w:rPr>
        <w:t xml:space="preserve"> respectively, for the purpose of </w:t>
      </w:r>
      <w:r w:rsidR="007720B3" w:rsidRPr="007D698E">
        <w:rPr>
          <w:color w:val="000000" w:themeColor="text1"/>
          <w:szCs w:val="24"/>
        </w:rPr>
        <w:t>defining ‘traditional inhabitant’</w:t>
      </w:r>
      <w:r w:rsidR="005B6BB8" w:rsidRPr="007D698E">
        <w:rPr>
          <w:color w:val="000000" w:themeColor="text1"/>
          <w:szCs w:val="24"/>
        </w:rPr>
        <w:t xml:space="preserve"> </w:t>
      </w:r>
      <w:r w:rsidR="00B851E6" w:rsidRPr="007D698E">
        <w:rPr>
          <w:color w:val="000000" w:themeColor="text1"/>
          <w:szCs w:val="24"/>
        </w:rPr>
        <w:t>in the</w:t>
      </w:r>
      <w:r w:rsidR="005B6BB8" w:rsidRPr="007D698E">
        <w:rPr>
          <w:color w:val="000000" w:themeColor="text1"/>
          <w:szCs w:val="24"/>
        </w:rPr>
        <w:t xml:space="preserve"> Torres Strait Act</w:t>
      </w:r>
      <w:r w:rsidR="007720B3" w:rsidRPr="007D698E">
        <w:rPr>
          <w:color w:val="000000" w:themeColor="text1"/>
          <w:szCs w:val="24"/>
        </w:rPr>
        <w:t xml:space="preserve">. </w:t>
      </w:r>
      <w:r w:rsidR="00CB4D2C" w:rsidRPr="007D698E">
        <w:rPr>
          <w:color w:val="000000" w:themeColor="text1"/>
          <w:szCs w:val="24"/>
        </w:rPr>
        <w:t xml:space="preserve"> </w:t>
      </w:r>
    </w:p>
    <w:p w14:paraId="38C117CD" w14:textId="390F4A9D" w:rsidR="00D06526" w:rsidRPr="007D698E" w:rsidRDefault="00B851E6" w:rsidP="00CD64DD">
      <w:pPr>
        <w:pStyle w:val="Paragraph"/>
        <w:numPr>
          <w:ilvl w:val="0"/>
          <w:numId w:val="0"/>
        </w:numPr>
        <w:tabs>
          <w:tab w:val="left" w:pos="567"/>
        </w:tabs>
        <w:rPr>
          <w:color w:val="000000" w:themeColor="text1"/>
          <w:szCs w:val="24"/>
        </w:rPr>
      </w:pPr>
      <w:r w:rsidRPr="007D698E">
        <w:rPr>
          <w:color w:val="000000" w:themeColor="text1"/>
          <w:szCs w:val="24"/>
        </w:rPr>
        <w:t xml:space="preserve">The Torres Strait Treaty was developed by Papua New Guinea and Australia to provide a framework for the management of the border area between the two countries. </w:t>
      </w:r>
      <w:r w:rsidR="00E372E9" w:rsidRPr="007D698E">
        <w:rPr>
          <w:szCs w:val="24"/>
        </w:rPr>
        <w:t>It</w:t>
      </w:r>
      <w:r w:rsidR="00D06526" w:rsidRPr="007D698E">
        <w:rPr>
          <w:szCs w:val="24"/>
        </w:rPr>
        <w:t xml:space="preserve"> obliges </w:t>
      </w:r>
      <w:r w:rsidR="00E372E9" w:rsidRPr="007D698E">
        <w:rPr>
          <w:color w:val="000000" w:themeColor="text1"/>
          <w:szCs w:val="24"/>
        </w:rPr>
        <w:t xml:space="preserve">Papua New Guinea and Australia </w:t>
      </w:r>
      <w:r w:rsidR="00D06526" w:rsidRPr="007D698E">
        <w:rPr>
          <w:szCs w:val="24"/>
        </w:rPr>
        <w:t xml:space="preserve">to permit traditional inhabitants of the </w:t>
      </w:r>
      <w:r w:rsidR="00E372E9" w:rsidRPr="007D698E">
        <w:rPr>
          <w:szCs w:val="24"/>
        </w:rPr>
        <w:t>other country</w:t>
      </w:r>
      <w:r w:rsidR="00D06526" w:rsidRPr="007D698E">
        <w:rPr>
          <w:szCs w:val="24"/>
        </w:rPr>
        <w:t xml:space="preserve"> ‘free movement and the performance of lawful traditional activities in, and in the vicinity of, the Protected Zone’.</w:t>
      </w:r>
      <w:r w:rsidR="008F49C8" w:rsidRPr="007D698E">
        <w:rPr>
          <w:szCs w:val="24"/>
        </w:rPr>
        <w:t xml:space="preserve"> </w:t>
      </w:r>
      <w:r w:rsidR="00303834" w:rsidRPr="007D698E">
        <w:rPr>
          <w:szCs w:val="24"/>
        </w:rPr>
        <w:t>Declarations made</w:t>
      </w:r>
      <w:r w:rsidR="00D06526" w:rsidRPr="007D698E">
        <w:rPr>
          <w:szCs w:val="24"/>
        </w:rPr>
        <w:t xml:space="preserve"> </w:t>
      </w:r>
      <w:r w:rsidR="00303834" w:rsidRPr="007D698E">
        <w:rPr>
          <w:color w:val="000000" w:themeColor="text1"/>
          <w:szCs w:val="24"/>
        </w:rPr>
        <w:t>under paragraphs 3(3</w:t>
      </w:r>
      <w:proofErr w:type="gramStart"/>
      <w:r w:rsidR="00303834" w:rsidRPr="007D698E">
        <w:rPr>
          <w:color w:val="000000" w:themeColor="text1"/>
          <w:szCs w:val="24"/>
        </w:rPr>
        <w:t>)(</w:t>
      </w:r>
      <w:proofErr w:type="gramEnd"/>
      <w:r w:rsidR="00303834" w:rsidRPr="007D698E">
        <w:rPr>
          <w:color w:val="000000" w:themeColor="text1"/>
          <w:szCs w:val="24"/>
        </w:rPr>
        <w:t xml:space="preserve">a) and (b) of the Torres Strait Act give effect to Australia’s obligations under the Torres Strait Treaty. </w:t>
      </w:r>
    </w:p>
    <w:p w14:paraId="3B3E8A29" w14:textId="4E66AD32" w:rsidR="00303834" w:rsidRPr="007D698E" w:rsidRDefault="00303834" w:rsidP="00303834">
      <w:pPr>
        <w:pStyle w:val="Paragraph"/>
        <w:numPr>
          <w:ilvl w:val="0"/>
          <w:numId w:val="0"/>
        </w:numPr>
        <w:tabs>
          <w:tab w:val="left" w:pos="567"/>
        </w:tabs>
        <w:rPr>
          <w:color w:val="000000" w:themeColor="text1"/>
          <w:szCs w:val="24"/>
        </w:rPr>
      </w:pPr>
      <w:r w:rsidRPr="007D698E">
        <w:rPr>
          <w:color w:val="000000" w:themeColor="text1"/>
          <w:szCs w:val="24"/>
        </w:rPr>
        <w:lastRenderedPageBreak/>
        <w:t xml:space="preserve">As such, instruments made under this power are part of the intergovernmental scheme between Australia and Papua New Guinea, as established by </w:t>
      </w:r>
      <w:r w:rsidR="0018758C" w:rsidRPr="007D698E">
        <w:rPr>
          <w:color w:val="000000" w:themeColor="text1"/>
          <w:szCs w:val="24"/>
        </w:rPr>
        <w:t>the Torres Strait</w:t>
      </w:r>
      <w:r w:rsidRPr="007D698E">
        <w:rPr>
          <w:color w:val="000000" w:themeColor="text1"/>
          <w:szCs w:val="24"/>
        </w:rPr>
        <w:t xml:space="preserve"> Treaty, and it would be inappropriate for the Commonwealth to unilaterally sunset the instruments. </w:t>
      </w:r>
      <w:r w:rsidRPr="007D698E">
        <w:rPr>
          <w:szCs w:val="24"/>
        </w:rPr>
        <w:t xml:space="preserve">Accordingly, it is appropriate </w:t>
      </w:r>
      <w:r w:rsidR="00A277E5" w:rsidRPr="007D698E">
        <w:rPr>
          <w:szCs w:val="24"/>
        </w:rPr>
        <w:t>for</w:t>
      </w:r>
      <w:r w:rsidR="00580CF9" w:rsidRPr="007D698E">
        <w:rPr>
          <w:szCs w:val="24"/>
        </w:rPr>
        <w:t xml:space="preserve"> the</w:t>
      </w:r>
      <w:r w:rsidRPr="007D698E">
        <w:rPr>
          <w:szCs w:val="24"/>
        </w:rPr>
        <w:t xml:space="preserve"> </w:t>
      </w:r>
      <w:r w:rsidRPr="007D698E">
        <w:rPr>
          <w:color w:val="000000" w:themeColor="text1"/>
          <w:szCs w:val="24"/>
        </w:rPr>
        <w:t xml:space="preserve">instruments </w:t>
      </w:r>
      <w:r w:rsidR="00A277E5" w:rsidRPr="007D698E">
        <w:rPr>
          <w:color w:val="000000" w:themeColor="text1"/>
          <w:szCs w:val="24"/>
        </w:rPr>
        <w:t>to be exempt</w:t>
      </w:r>
      <w:r w:rsidRPr="007D698E">
        <w:rPr>
          <w:color w:val="000000" w:themeColor="text1"/>
          <w:szCs w:val="24"/>
        </w:rPr>
        <w:t xml:space="preserve"> sunsetting.</w:t>
      </w:r>
    </w:p>
    <w:p w14:paraId="26FE32A7" w14:textId="04B722FD" w:rsidR="00B440EE" w:rsidRPr="007D698E" w:rsidRDefault="00605EB9" w:rsidP="00CD64DD">
      <w:pPr>
        <w:pStyle w:val="Paragraph"/>
        <w:numPr>
          <w:ilvl w:val="0"/>
          <w:numId w:val="0"/>
        </w:numPr>
        <w:tabs>
          <w:tab w:val="left" w:pos="567"/>
        </w:tabs>
        <w:rPr>
          <w:szCs w:val="24"/>
        </w:rPr>
      </w:pPr>
      <w:r w:rsidRPr="007D698E">
        <w:rPr>
          <w:szCs w:val="24"/>
          <w:u w:val="single"/>
        </w:rPr>
        <w:t xml:space="preserve">Paragraph </w:t>
      </w:r>
      <w:proofErr w:type="gramStart"/>
      <w:r w:rsidR="00B440EE" w:rsidRPr="007D698E">
        <w:rPr>
          <w:szCs w:val="24"/>
          <w:u w:val="single"/>
        </w:rPr>
        <w:t>63AB</w:t>
      </w:r>
      <w:r w:rsidR="00727595" w:rsidRPr="007D698E">
        <w:rPr>
          <w:szCs w:val="24"/>
          <w:u w:val="single"/>
        </w:rPr>
        <w:t>(</w:t>
      </w:r>
      <w:proofErr w:type="gramEnd"/>
      <w:r w:rsidR="00727595" w:rsidRPr="007D698E">
        <w:rPr>
          <w:szCs w:val="24"/>
          <w:u w:val="single"/>
        </w:rPr>
        <w:t>b</w:t>
      </w:r>
      <w:r w:rsidR="00B440EE" w:rsidRPr="007D698E">
        <w:rPr>
          <w:szCs w:val="24"/>
          <w:u w:val="single"/>
        </w:rPr>
        <w:t>)</w:t>
      </w:r>
    </w:p>
    <w:p w14:paraId="246382B7" w14:textId="69850383" w:rsidR="00E06BDF" w:rsidRPr="007D698E" w:rsidRDefault="007A4A91" w:rsidP="007A4A91">
      <w:pPr>
        <w:pStyle w:val="Paragraph"/>
        <w:numPr>
          <w:ilvl w:val="0"/>
          <w:numId w:val="0"/>
        </w:numPr>
        <w:tabs>
          <w:tab w:val="left" w:pos="567"/>
        </w:tabs>
        <w:rPr>
          <w:color w:val="000000" w:themeColor="text1"/>
          <w:szCs w:val="24"/>
        </w:rPr>
      </w:pPr>
      <w:r w:rsidRPr="007D698E">
        <w:rPr>
          <w:color w:val="000000" w:themeColor="text1"/>
          <w:szCs w:val="24"/>
        </w:rPr>
        <w:t xml:space="preserve">New </w:t>
      </w:r>
      <w:r w:rsidR="00540A0A" w:rsidRPr="007D698E">
        <w:rPr>
          <w:szCs w:val="24"/>
        </w:rPr>
        <w:t xml:space="preserve">paragraph </w:t>
      </w:r>
      <w:proofErr w:type="gramStart"/>
      <w:r w:rsidRPr="007D698E">
        <w:rPr>
          <w:color w:val="000000" w:themeColor="text1"/>
          <w:szCs w:val="24"/>
        </w:rPr>
        <w:t>63AB(</w:t>
      </w:r>
      <w:proofErr w:type="gramEnd"/>
      <w:r w:rsidR="00727595" w:rsidRPr="007D698E">
        <w:rPr>
          <w:color w:val="000000" w:themeColor="text1"/>
          <w:szCs w:val="24"/>
        </w:rPr>
        <w:t>b</w:t>
      </w:r>
      <w:r w:rsidRPr="007D698E">
        <w:rPr>
          <w:color w:val="000000" w:themeColor="text1"/>
          <w:szCs w:val="24"/>
        </w:rPr>
        <w:t xml:space="preserve">) provides an exemption from sunsetting for proclamations made under section 15 of the </w:t>
      </w:r>
      <w:r w:rsidR="004D3170" w:rsidRPr="007D698E">
        <w:rPr>
          <w:color w:val="000000" w:themeColor="text1"/>
          <w:szCs w:val="24"/>
        </w:rPr>
        <w:t>Torres Strait</w:t>
      </w:r>
      <w:r w:rsidRPr="007D698E">
        <w:rPr>
          <w:color w:val="000000" w:themeColor="text1"/>
          <w:szCs w:val="24"/>
        </w:rPr>
        <w:t xml:space="preserve"> Act. </w:t>
      </w:r>
      <w:r w:rsidR="00CB6571" w:rsidRPr="007D698E">
        <w:rPr>
          <w:color w:val="000000" w:themeColor="text1"/>
          <w:szCs w:val="24"/>
        </w:rPr>
        <w:t>There are currently two proclamations made under this provision:</w:t>
      </w:r>
    </w:p>
    <w:p w14:paraId="597D520A" w14:textId="77777777" w:rsidR="00BC5F35" w:rsidRDefault="00BC5F35" w:rsidP="00533124">
      <w:pPr>
        <w:pStyle w:val="Paragraph"/>
        <w:numPr>
          <w:ilvl w:val="0"/>
          <w:numId w:val="17"/>
        </w:numPr>
        <w:tabs>
          <w:tab w:val="left" w:pos="567"/>
        </w:tabs>
        <w:rPr>
          <w:color w:val="000000" w:themeColor="text1"/>
          <w:szCs w:val="24"/>
        </w:rPr>
      </w:pPr>
      <w:r w:rsidRPr="007D698E">
        <w:rPr>
          <w:i/>
          <w:color w:val="000000" w:themeColor="text1"/>
          <w:szCs w:val="24"/>
        </w:rPr>
        <w:t>Torres Strait Fisheries Act 1984 – Proclamation (07/02/1985)</w:t>
      </w:r>
      <w:r>
        <w:rPr>
          <w:color w:val="000000" w:themeColor="text1"/>
          <w:szCs w:val="24"/>
        </w:rPr>
        <w:t>, and</w:t>
      </w:r>
    </w:p>
    <w:p w14:paraId="180BDF68" w14:textId="0AE1820D" w:rsidR="00533124" w:rsidRPr="00BC5F35" w:rsidRDefault="00B37F6D" w:rsidP="00BC5F35">
      <w:pPr>
        <w:pStyle w:val="Paragraph"/>
        <w:numPr>
          <w:ilvl w:val="0"/>
          <w:numId w:val="17"/>
        </w:numPr>
        <w:tabs>
          <w:tab w:val="left" w:pos="567"/>
        </w:tabs>
        <w:spacing w:before="0"/>
        <w:ind w:left="714" w:hanging="357"/>
        <w:rPr>
          <w:color w:val="000000" w:themeColor="text1"/>
          <w:szCs w:val="24"/>
        </w:rPr>
      </w:pPr>
      <w:r w:rsidRPr="007D698E">
        <w:rPr>
          <w:i/>
          <w:color w:val="000000" w:themeColor="text1"/>
          <w:szCs w:val="24"/>
        </w:rPr>
        <w:t>Torres Strait Fisheries Act 1984 – Proclamation (17/03/1999)</w:t>
      </w:r>
      <w:r w:rsidR="00BC5F35">
        <w:rPr>
          <w:color w:val="000000" w:themeColor="text1"/>
          <w:szCs w:val="24"/>
        </w:rPr>
        <w:t>.</w:t>
      </w:r>
    </w:p>
    <w:p w14:paraId="6AAB5A5C" w14:textId="08F6775A" w:rsidR="007F21A7" w:rsidRPr="007D698E" w:rsidRDefault="007A4A91" w:rsidP="007F21A7">
      <w:pPr>
        <w:pStyle w:val="Paragraph"/>
        <w:numPr>
          <w:ilvl w:val="0"/>
          <w:numId w:val="0"/>
        </w:numPr>
        <w:tabs>
          <w:tab w:val="left" w:pos="567"/>
        </w:tabs>
        <w:rPr>
          <w:color w:val="000000" w:themeColor="text1"/>
          <w:szCs w:val="24"/>
        </w:rPr>
      </w:pPr>
      <w:r w:rsidRPr="007D698E">
        <w:rPr>
          <w:color w:val="000000" w:themeColor="text1"/>
          <w:szCs w:val="24"/>
        </w:rPr>
        <w:t xml:space="preserve">Proclamations made under </w:t>
      </w:r>
      <w:r w:rsidR="000B21EE" w:rsidRPr="007D698E">
        <w:rPr>
          <w:color w:val="000000" w:themeColor="text1"/>
          <w:szCs w:val="24"/>
        </w:rPr>
        <w:t xml:space="preserve">subsection </w:t>
      </w:r>
      <w:r w:rsidRPr="007D698E">
        <w:rPr>
          <w:color w:val="000000" w:themeColor="text1"/>
          <w:szCs w:val="24"/>
        </w:rPr>
        <w:t xml:space="preserve">15(1) declare an area of water to be ‘an area outside but near the Protected Zone’ for the purposes </w:t>
      </w:r>
      <w:r w:rsidR="006E7A99" w:rsidRPr="007D698E">
        <w:rPr>
          <w:color w:val="000000" w:themeColor="text1"/>
          <w:szCs w:val="24"/>
        </w:rPr>
        <w:t xml:space="preserve">of </w:t>
      </w:r>
      <w:r w:rsidR="0020222B">
        <w:rPr>
          <w:color w:val="000000" w:themeColor="text1"/>
          <w:szCs w:val="24"/>
        </w:rPr>
        <w:t xml:space="preserve">the performance of </w:t>
      </w:r>
      <w:r w:rsidR="006E7A99" w:rsidRPr="007D698E">
        <w:rPr>
          <w:color w:val="000000" w:themeColor="text1"/>
          <w:szCs w:val="24"/>
        </w:rPr>
        <w:t xml:space="preserve">particular activities in the </w:t>
      </w:r>
      <w:r w:rsidR="00AC29EE">
        <w:rPr>
          <w:color w:val="000000" w:themeColor="text1"/>
          <w:szCs w:val="24"/>
        </w:rPr>
        <w:t>course</w:t>
      </w:r>
      <w:r w:rsidR="006E7A99" w:rsidRPr="007D698E">
        <w:rPr>
          <w:color w:val="000000" w:themeColor="text1"/>
          <w:szCs w:val="24"/>
        </w:rPr>
        <w:t xml:space="preserve"> </w:t>
      </w:r>
      <w:r w:rsidRPr="007D698E">
        <w:rPr>
          <w:szCs w:val="24"/>
        </w:rPr>
        <w:t>of commercial fishing</w:t>
      </w:r>
      <w:r w:rsidR="00B55AAE" w:rsidRPr="007D698E">
        <w:rPr>
          <w:szCs w:val="24"/>
        </w:rPr>
        <w:t>.</w:t>
      </w:r>
      <w:r w:rsidR="00B55AAE" w:rsidRPr="007D698E">
        <w:rPr>
          <w:color w:val="FF0000"/>
          <w:szCs w:val="24"/>
        </w:rPr>
        <w:t xml:space="preserve"> </w:t>
      </w:r>
      <w:r w:rsidR="00B55AAE" w:rsidRPr="007D698E">
        <w:rPr>
          <w:szCs w:val="24"/>
        </w:rPr>
        <w:t>Proclamations made under</w:t>
      </w:r>
      <w:r w:rsidRPr="007D698E">
        <w:rPr>
          <w:szCs w:val="24"/>
        </w:rPr>
        <w:t xml:space="preserve"> </w:t>
      </w:r>
      <w:r w:rsidR="000B21EE" w:rsidRPr="007D698E">
        <w:rPr>
          <w:szCs w:val="24"/>
        </w:rPr>
        <w:t>sub</w:t>
      </w:r>
      <w:r w:rsidR="00B55AAE" w:rsidRPr="007D698E">
        <w:rPr>
          <w:szCs w:val="24"/>
        </w:rPr>
        <w:t xml:space="preserve">section 15(2) declare an area to be ‘in the vicinity of the </w:t>
      </w:r>
      <w:r w:rsidR="00E525BE" w:rsidRPr="007D698E">
        <w:rPr>
          <w:szCs w:val="24"/>
        </w:rPr>
        <w:t>P</w:t>
      </w:r>
      <w:r w:rsidR="00B55AAE" w:rsidRPr="007D698E">
        <w:rPr>
          <w:szCs w:val="24"/>
        </w:rPr>
        <w:t xml:space="preserve">rotected </w:t>
      </w:r>
      <w:r w:rsidR="00E525BE" w:rsidRPr="007D698E">
        <w:rPr>
          <w:szCs w:val="24"/>
        </w:rPr>
        <w:t>Z</w:t>
      </w:r>
      <w:r w:rsidR="00B55AAE" w:rsidRPr="007D698E">
        <w:rPr>
          <w:szCs w:val="24"/>
        </w:rPr>
        <w:t>one’</w:t>
      </w:r>
      <w:r w:rsidR="006E6C63" w:rsidRPr="007D698E">
        <w:rPr>
          <w:szCs w:val="24"/>
        </w:rPr>
        <w:t>.</w:t>
      </w:r>
      <w:r w:rsidR="005F4D3D" w:rsidRPr="007D698E">
        <w:rPr>
          <w:szCs w:val="24"/>
        </w:rPr>
        <w:t xml:space="preserve"> </w:t>
      </w:r>
      <w:r w:rsidRPr="007D698E">
        <w:rPr>
          <w:szCs w:val="24"/>
        </w:rPr>
        <w:t xml:space="preserve">Under </w:t>
      </w:r>
      <w:r w:rsidR="000B21EE" w:rsidRPr="007D698E">
        <w:rPr>
          <w:szCs w:val="24"/>
        </w:rPr>
        <w:t>paragraph</w:t>
      </w:r>
      <w:r w:rsidRPr="007D698E">
        <w:rPr>
          <w:szCs w:val="24"/>
        </w:rPr>
        <w:t xml:space="preserve"> 28(2)(c) of the</w:t>
      </w:r>
      <w:r w:rsidR="00F07EA1" w:rsidRPr="007D698E">
        <w:rPr>
          <w:szCs w:val="24"/>
        </w:rPr>
        <w:t xml:space="preserve"> </w:t>
      </w:r>
      <w:r w:rsidR="004D3170" w:rsidRPr="007D698E">
        <w:rPr>
          <w:color w:val="000000" w:themeColor="text1"/>
          <w:szCs w:val="24"/>
        </w:rPr>
        <w:t xml:space="preserve">Torres Strait </w:t>
      </w:r>
      <w:r w:rsidRPr="007D698E">
        <w:rPr>
          <w:szCs w:val="24"/>
        </w:rPr>
        <w:t xml:space="preserve">Act, proclamations </w:t>
      </w:r>
      <w:r w:rsidR="00B55AAE" w:rsidRPr="007D698E">
        <w:rPr>
          <w:szCs w:val="24"/>
        </w:rPr>
        <w:t xml:space="preserve">made under </w:t>
      </w:r>
      <w:r w:rsidR="000B21EE" w:rsidRPr="007D698E">
        <w:rPr>
          <w:szCs w:val="24"/>
        </w:rPr>
        <w:t>sub</w:t>
      </w:r>
      <w:r w:rsidR="00B55AAE" w:rsidRPr="007D698E">
        <w:rPr>
          <w:szCs w:val="24"/>
        </w:rPr>
        <w:t>section</w:t>
      </w:r>
      <w:r w:rsidR="000B21EE" w:rsidRPr="007D698E">
        <w:rPr>
          <w:szCs w:val="24"/>
        </w:rPr>
        <w:t>s</w:t>
      </w:r>
      <w:r w:rsidR="00B55AAE" w:rsidRPr="007D698E">
        <w:rPr>
          <w:szCs w:val="24"/>
        </w:rPr>
        <w:t xml:space="preserve"> 15(1) and (2)</w:t>
      </w:r>
      <w:r w:rsidRPr="007D698E">
        <w:rPr>
          <w:szCs w:val="24"/>
        </w:rPr>
        <w:t xml:space="preserve"> define the ‘waters adjacent to Queensland’ for the purposes of the </w:t>
      </w:r>
      <w:r w:rsidR="0015255F" w:rsidRPr="007D698E">
        <w:rPr>
          <w:szCs w:val="24"/>
        </w:rPr>
        <w:t xml:space="preserve">Protected Zone Joint Authority (the </w:t>
      </w:r>
      <w:r w:rsidRPr="007D698E">
        <w:rPr>
          <w:szCs w:val="24"/>
        </w:rPr>
        <w:t>PZJA</w:t>
      </w:r>
      <w:r w:rsidR="0015255F" w:rsidRPr="007D698E">
        <w:rPr>
          <w:szCs w:val="24"/>
        </w:rPr>
        <w:t>)</w:t>
      </w:r>
      <w:r w:rsidRPr="007D698E">
        <w:rPr>
          <w:szCs w:val="24"/>
        </w:rPr>
        <w:t xml:space="preserve">. In effect, </w:t>
      </w:r>
      <w:r w:rsidR="00B55AAE" w:rsidRPr="007D698E">
        <w:rPr>
          <w:szCs w:val="24"/>
        </w:rPr>
        <w:t xml:space="preserve">proclamations made under </w:t>
      </w:r>
      <w:r w:rsidRPr="007D698E">
        <w:rPr>
          <w:szCs w:val="24"/>
        </w:rPr>
        <w:t>section</w:t>
      </w:r>
      <w:r w:rsidR="00E33011" w:rsidRPr="007D698E">
        <w:rPr>
          <w:szCs w:val="24"/>
        </w:rPr>
        <w:t> </w:t>
      </w:r>
      <w:r w:rsidRPr="007D698E">
        <w:rPr>
          <w:szCs w:val="24"/>
        </w:rPr>
        <w:t xml:space="preserve">15 facilitate the establishment of the PZJA as it defines the area of water that the </w:t>
      </w:r>
      <w:r w:rsidR="00503BBB" w:rsidRPr="007D698E">
        <w:rPr>
          <w:szCs w:val="24"/>
        </w:rPr>
        <w:t xml:space="preserve">PZJA </w:t>
      </w:r>
      <w:r w:rsidRPr="007D698E">
        <w:rPr>
          <w:szCs w:val="24"/>
        </w:rPr>
        <w:t>has</w:t>
      </w:r>
      <w:r w:rsidR="004101EA" w:rsidRPr="007D698E">
        <w:rPr>
          <w:szCs w:val="24"/>
        </w:rPr>
        <w:t xml:space="preserve"> the</w:t>
      </w:r>
      <w:r w:rsidRPr="007D698E">
        <w:rPr>
          <w:szCs w:val="24"/>
        </w:rPr>
        <w:t xml:space="preserve"> power to regulate. For example, the </w:t>
      </w:r>
      <w:r w:rsidR="005B2AD0" w:rsidRPr="007D698E">
        <w:rPr>
          <w:szCs w:val="24"/>
        </w:rPr>
        <w:t xml:space="preserve">Commonwealth’s </w:t>
      </w:r>
      <w:r w:rsidRPr="007D698E">
        <w:rPr>
          <w:szCs w:val="24"/>
        </w:rPr>
        <w:t xml:space="preserve">power to </w:t>
      </w:r>
      <w:r w:rsidRPr="007D698E">
        <w:rPr>
          <w:color w:val="000000" w:themeColor="text1"/>
          <w:szCs w:val="24"/>
        </w:rPr>
        <w:t>make an arrangement</w:t>
      </w:r>
      <w:r w:rsidR="005B2AD0" w:rsidRPr="007D698E">
        <w:rPr>
          <w:color w:val="000000" w:themeColor="text1"/>
          <w:szCs w:val="24"/>
        </w:rPr>
        <w:t xml:space="preserve"> with Queensland</w:t>
      </w:r>
      <w:r w:rsidRPr="007D698E">
        <w:rPr>
          <w:color w:val="000000" w:themeColor="text1"/>
          <w:szCs w:val="24"/>
        </w:rPr>
        <w:t xml:space="preserve"> under </w:t>
      </w:r>
      <w:r w:rsidR="000B21EE" w:rsidRPr="007D698E">
        <w:rPr>
          <w:color w:val="000000" w:themeColor="text1"/>
          <w:szCs w:val="24"/>
        </w:rPr>
        <w:t>sub</w:t>
      </w:r>
      <w:r w:rsidRPr="007D698E">
        <w:rPr>
          <w:color w:val="000000" w:themeColor="text1"/>
          <w:szCs w:val="24"/>
        </w:rPr>
        <w:t>section 31(1)</w:t>
      </w:r>
      <w:r w:rsidR="00CF2253" w:rsidRPr="007D698E">
        <w:rPr>
          <w:color w:val="000000" w:themeColor="text1"/>
          <w:szCs w:val="24"/>
        </w:rPr>
        <w:t xml:space="preserve"> of the Torres Strait Act</w:t>
      </w:r>
      <w:r w:rsidRPr="007D698E">
        <w:rPr>
          <w:color w:val="000000" w:themeColor="text1"/>
          <w:szCs w:val="24"/>
        </w:rPr>
        <w:t xml:space="preserve"> </w:t>
      </w:r>
      <w:r w:rsidR="00C32302" w:rsidRPr="007D698E">
        <w:rPr>
          <w:color w:val="000000" w:themeColor="text1"/>
          <w:szCs w:val="24"/>
        </w:rPr>
        <w:t>may be</w:t>
      </w:r>
      <w:r w:rsidR="005B2AD0" w:rsidRPr="007D698E">
        <w:rPr>
          <w:color w:val="000000" w:themeColor="text1"/>
          <w:szCs w:val="24"/>
        </w:rPr>
        <w:t xml:space="preserve"> exercised in respect </w:t>
      </w:r>
      <w:r w:rsidR="005871BF" w:rsidRPr="007D698E">
        <w:rPr>
          <w:color w:val="000000" w:themeColor="text1"/>
          <w:szCs w:val="24"/>
        </w:rPr>
        <w:t>of</w:t>
      </w:r>
      <w:r w:rsidR="005B2AD0" w:rsidRPr="007D698E">
        <w:rPr>
          <w:color w:val="000000" w:themeColor="text1"/>
          <w:szCs w:val="24"/>
        </w:rPr>
        <w:t xml:space="preserve"> the ‘waters adjacent to Queensland’. </w:t>
      </w:r>
    </w:p>
    <w:p w14:paraId="6A0FEF9A" w14:textId="5D280D48" w:rsidR="00B9295C" w:rsidRPr="007D698E" w:rsidRDefault="00CD7EF0" w:rsidP="007F21A7">
      <w:pPr>
        <w:pStyle w:val="Paragraph"/>
        <w:numPr>
          <w:ilvl w:val="0"/>
          <w:numId w:val="0"/>
        </w:numPr>
        <w:tabs>
          <w:tab w:val="left" w:pos="567"/>
        </w:tabs>
        <w:rPr>
          <w:szCs w:val="24"/>
        </w:rPr>
      </w:pPr>
      <w:r w:rsidRPr="007D698E">
        <w:rPr>
          <w:szCs w:val="24"/>
        </w:rPr>
        <w:t>Additionally, t</w:t>
      </w:r>
      <w:r w:rsidR="00B9295C" w:rsidRPr="007D698E">
        <w:rPr>
          <w:szCs w:val="24"/>
        </w:rPr>
        <w:t>he</w:t>
      </w:r>
      <w:r w:rsidR="007F21A7" w:rsidRPr="007D698E">
        <w:rPr>
          <w:szCs w:val="24"/>
        </w:rPr>
        <w:t xml:space="preserve"> </w:t>
      </w:r>
      <w:r w:rsidR="00B9295C" w:rsidRPr="007D698E">
        <w:rPr>
          <w:i/>
          <w:szCs w:val="24"/>
        </w:rPr>
        <w:t>Torres Strait Fisheries Act 1984 (Qld)</w:t>
      </w:r>
      <w:r w:rsidR="00515318" w:rsidRPr="007D698E">
        <w:rPr>
          <w:i/>
          <w:szCs w:val="24"/>
        </w:rPr>
        <w:t xml:space="preserve">, </w:t>
      </w:r>
      <w:r w:rsidR="00B9295C" w:rsidRPr="007D698E">
        <w:rPr>
          <w:szCs w:val="24"/>
        </w:rPr>
        <w:t xml:space="preserve">which establishes </w:t>
      </w:r>
      <w:r w:rsidR="00C847EE" w:rsidRPr="007D698E">
        <w:rPr>
          <w:szCs w:val="24"/>
        </w:rPr>
        <w:t xml:space="preserve">the powers of </w:t>
      </w:r>
      <w:r w:rsidR="005C6BC5" w:rsidRPr="007D698E">
        <w:rPr>
          <w:szCs w:val="24"/>
        </w:rPr>
        <w:t xml:space="preserve">Queensland </w:t>
      </w:r>
      <w:r w:rsidR="00C847EE" w:rsidRPr="007D698E">
        <w:rPr>
          <w:szCs w:val="24"/>
        </w:rPr>
        <w:t xml:space="preserve">to make an arrangement with the Commonwealth in relation to a </w:t>
      </w:r>
      <w:r w:rsidR="005C6BC5" w:rsidRPr="007D698E">
        <w:rPr>
          <w:szCs w:val="24"/>
        </w:rPr>
        <w:t xml:space="preserve">particular </w:t>
      </w:r>
      <w:r w:rsidR="00C847EE" w:rsidRPr="007D698E">
        <w:rPr>
          <w:szCs w:val="24"/>
        </w:rPr>
        <w:t xml:space="preserve">fishery </w:t>
      </w:r>
      <w:r w:rsidR="005C6BC5" w:rsidRPr="007D698E">
        <w:rPr>
          <w:szCs w:val="24"/>
        </w:rPr>
        <w:t>and</w:t>
      </w:r>
      <w:r w:rsidR="00C847EE" w:rsidRPr="007D698E">
        <w:rPr>
          <w:szCs w:val="24"/>
        </w:rPr>
        <w:t xml:space="preserve"> the powers of the Queensland M</w:t>
      </w:r>
      <w:r w:rsidR="00515318" w:rsidRPr="007D698E">
        <w:rPr>
          <w:szCs w:val="24"/>
        </w:rPr>
        <w:t xml:space="preserve">inister in relation to the PZJA, </w:t>
      </w:r>
      <w:r w:rsidR="00B9295C" w:rsidRPr="007D698E">
        <w:rPr>
          <w:szCs w:val="24"/>
        </w:rPr>
        <w:t>relies on proclamations made under section 15</w:t>
      </w:r>
      <w:r w:rsidR="00C847EE" w:rsidRPr="007D698E">
        <w:rPr>
          <w:szCs w:val="24"/>
        </w:rPr>
        <w:t xml:space="preserve"> of the </w:t>
      </w:r>
      <w:r w:rsidR="004D3170" w:rsidRPr="007D698E">
        <w:rPr>
          <w:color w:val="000000" w:themeColor="text1"/>
          <w:szCs w:val="24"/>
        </w:rPr>
        <w:t xml:space="preserve">Torres Strait </w:t>
      </w:r>
      <w:r w:rsidR="00C847EE" w:rsidRPr="007D698E">
        <w:rPr>
          <w:szCs w:val="24"/>
        </w:rPr>
        <w:t>Act to define the Act’s areas of application</w:t>
      </w:r>
      <w:r w:rsidRPr="007D698E">
        <w:rPr>
          <w:szCs w:val="24"/>
        </w:rPr>
        <w:t xml:space="preserve"> under </w:t>
      </w:r>
      <w:r w:rsidR="000B21EE" w:rsidRPr="007D698E">
        <w:rPr>
          <w:szCs w:val="24"/>
        </w:rPr>
        <w:t>paragraph</w:t>
      </w:r>
      <w:r w:rsidRPr="007D698E">
        <w:rPr>
          <w:szCs w:val="24"/>
        </w:rPr>
        <w:t xml:space="preserve"> 4(1</w:t>
      </w:r>
      <w:proofErr w:type="gramStart"/>
      <w:r w:rsidRPr="007D698E">
        <w:rPr>
          <w:szCs w:val="24"/>
        </w:rPr>
        <w:t>)(</w:t>
      </w:r>
      <w:proofErr w:type="gramEnd"/>
      <w:r w:rsidRPr="007D698E">
        <w:rPr>
          <w:szCs w:val="24"/>
        </w:rPr>
        <w:t>b)</w:t>
      </w:r>
      <w:r w:rsidR="006B46D0" w:rsidRPr="007D698E">
        <w:rPr>
          <w:szCs w:val="24"/>
        </w:rPr>
        <w:t xml:space="preserve"> of the Queensland Act</w:t>
      </w:r>
      <w:r w:rsidR="007B55E5" w:rsidRPr="007D698E">
        <w:rPr>
          <w:szCs w:val="24"/>
        </w:rPr>
        <w:t>.</w:t>
      </w:r>
      <w:r w:rsidR="00C847EE" w:rsidRPr="007D698E">
        <w:rPr>
          <w:szCs w:val="24"/>
        </w:rPr>
        <w:t xml:space="preserve"> </w:t>
      </w:r>
    </w:p>
    <w:p w14:paraId="69237080" w14:textId="4E0CA77E" w:rsidR="00C8673D" w:rsidRPr="007D698E" w:rsidRDefault="00CD64DD" w:rsidP="00796B61">
      <w:pPr>
        <w:pStyle w:val="Paragraph"/>
        <w:numPr>
          <w:ilvl w:val="0"/>
          <w:numId w:val="0"/>
        </w:numPr>
        <w:tabs>
          <w:tab w:val="left" w:pos="567"/>
        </w:tabs>
        <w:rPr>
          <w:color w:val="000000" w:themeColor="text1"/>
          <w:szCs w:val="24"/>
        </w:rPr>
      </w:pPr>
      <w:r w:rsidRPr="007D698E">
        <w:rPr>
          <w:color w:val="000000" w:themeColor="text1"/>
          <w:szCs w:val="24"/>
        </w:rPr>
        <w:t xml:space="preserve">The PZJA is </w:t>
      </w:r>
      <w:r w:rsidR="00893AE7" w:rsidRPr="007D698E">
        <w:rPr>
          <w:color w:val="000000" w:themeColor="text1"/>
          <w:szCs w:val="24"/>
        </w:rPr>
        <w:t xml:space="preserve">established under section 30 of the Torres Strait Act, and is </w:t>
      </w:r>
      <w:r w:rsidRPr="007D698E">
        <w:rPr>
          <w:color w:val="000000" w:themeColor="text1"/>
          <w:szCs w:val="24"/>
        </w:rPr>
        <w:t>an intergovernmental scheme with t</w:t>
      </w:r>
      <w:r w:rsidR="00C8673D" w:rsidRPr="007D698E">
        <w:rPr>
          <w:color w:val="000000" w:themeColor="text1"/>
          <w:szCs w:val="24"/>
        </w:rPr>
        <w:t>he Queensland G</w:t>
      </w:r>
      <w:r w:rsidRPr="007D698E">
        <w:rPr>
          <w:color w:val="000000" w:themeColor="text1"/>
          <w:szCs w:val="24"/>
        </w:rPr>
        <w:t xml:space="preserve">overnment providing </w:t>
      </w:r>
      <w:r w:rsidR="00C8673D" w:rsidRPr="007D698E">
        <w:rPr>
          <w:color w:val="000000" w:themeColor="text1"/>
          <w:szCs w:val="24"/>
        </w:rPr>
        <w:t xml:space="preserve">for the management of </w:t>
      </w:r>
      <w:r w:rsidR="002A05F8" w:rsidRPr="007D698E">
        <w:rPr>
          <w:color w:val="000000" w:themeColor="text1"/>
          <w:szCs w:val="24"/>
        </w:rPr>
        <w:t>fisheries</w:t>
      </w:r>
      <w:r w:rsidR="00893AE7" w:rsidRPr="007D698E">
        <w:rPr>
          <w:color w:val="000000" w:themeColor="text1"/>
          <w:szCs w:val="24"/>
        </w:rPr>
        <w:t xml:space="preserve"> in the Australian area of the Torres Strait Protected Zone</w:t>
      </w:r>
      <w:r w:rsidR="00CE4FB1" w:rsidRPr="007D698E">
        <w:rPr>
          <w:color w:val="000000" w:themeColor="text1"/>
          <w:szCs w:val="24"/>
        </w:rPr>
        <w:t xml:space="preserve"> and in adjacent coastal waters</w:t>
      </w:r>
      <w:r w:rsidR="007B3ED5" w:rsidRPr="007D698E">
        <w:rPr>
          <w:color w:val="000000" w:themeColor="text1"/>
          <w:szCs w:val="24"/>
        </w:rPr>
        <w:t xml:space="preserve">. </w:t>
      </w:r>
      <w:r w:rsidR="00EA7883" w:rsidRPr="007D698E">
        <w:rPr>
          <w:color w:val="000000" w:themeColor="text1"/>
          <w:szCs w:val="24"/>
        </w:rPr>
        <w:t>Pursuant to</w:t>
      </w:r>
      <w:r w:rsidR="00C8673D" w:rsidRPr="007D698E">
        <w:rPr>
          <w:color w:val="000000" w:themeColor="text1"/>
          <w:szCs w:val="24"/>
        </w:rPr>
        <w:t xml:space="preserve"> subsection 30(2) of the </w:t>
      </w:r>
      <w:r w:rsidR="004D3170" w:rsidRPr="007D698E">
        <w:rPr>
          <w:color w:val="000000" w:themeColor="text1"/>
          <w:szCs w:val="24"/>
        </w:rPr>
        <w:t xml:space="preserve">Torres Strait </w:t>
      </w:r>
      <w:r w:rsidR="00C8673D" w:rsidRPr="007D698E">
        <w:rPr>
          <w:color w:val="000000" w:themeColor="text1"/>
          <w:szCs w:val="24"/>
        </w:rPr>
        <w:t>Act, the PZJA consists of the Commonwealth Minister, the Queensland Minister and the Chair</w:t>
      </w:r>
      <w:r w:rsidR="008D3E8D" w:rsidRPr="007D698E">
        <w:rPr>
          <w:color w:val="000000" w:themeColor="text1"/>
          <w:szCs w:val="24"/>
        </w:rPr>
        <w:t>person</w:t>
      </w:r>
      <w:r w:rsidR="00C8673D" w:rsidRPr="007D698E">
        <w:rPr>
          <w:color w:val="000000" w:themeColor="text1"/>
          <w:szCs w:val="24"/>
        </w:rPr>
        <w:t xml:space="preserve"> of the Torres Strait Regional Authority. The PZJA exercises powers and performs functions by way of meetings that follow procedure</w:t>
      </w:r>
      <w:r w:rsidR="00515318" w:rsidRPr="007D698E">
        <w:rPr>
          <w:color w:val="000000" w:themeColor="text1"/>
          <w:szCs w:val="24"/>
        </w:rPr>
        <w:t>s</w:t>
      </w:r>
      <w:r w:rsidR="00C8673D" w:rsidRPr="007D698E">
        <w:rPr>
          <w:color w:val="000000" w:themeColor="text1"/>
          <w:szCs w:val="24"/>
        </w:rPr>
        <w:t xml:space="preserve"> prescribed in section 40 of the </w:t>
      </w:r>
      <w:r w:rsidR="004D3170" w:rsidRPr="007D698E">
        <w:rPr>
          <w:color w:val="000000" w:themeColor="text1"/>
          <w:szCs w:val="24"/>
        </w:rPr>
        <w:t xml:space="preserve">Torres Strait </w:t>
      </w:r>
      <w:r w:rsidR="00C8673D" w:rsidRPr="007D698E">
        <w:rPr>
          <w:color w:val="000000" w:themeColor="text1"/>
          <w:szCs w:val="24"/>
        </w:rPr>
        <w:t>Act. Such procedures include:</w:t>
      </w:r>
    </w:p>
    <w:p w14:paraId="53DC73FF" w14:textId="180D002D" w:rsidR="00C8673D" w:rsidRPr="007D698E" w:rsidRDefault="00C8673D" w:rsidP="00902C85">
      <w:pPr>
        <w:pStyle w:val="Paragraph"/>
        <w:numPr>
          <w:ilvl w:val="0"/>
          <w:numId w:val="14"/>
        </w:numPr>
        <w:tabs>
          <w:tab w:val="left" w:pos="567"/>
        </w:tabs>
        <w:ind w:left="567" w:hanging="357"/>
        <w:rPr>
          <w:color w:val="000000" w:themeColor="text1"/>
          <w:szCs w:val="24"/>
        </w:rPr>
      </w:pPr>
      <w:r w:rsidRPr="007D698E">
        <w:rPr>
          <w:color w:val="000000" w:themeColor="text1"/>
          <w:szCs w:val="24"/>
        </w:rPr>
        <w:t xml:space="preserve">the quorum of a meeting is two members, one of which is the Commonwealth </w:t>
      </w:r>
      <w:r w:rsidR="00076677" w:rsidRPr="007D698E">
        <w:rPr>
          <w:color w:val="000000" w:themeColor="text1"/>
          <w:szCs w:val="24"/>
        </w:rPr>
        <w:t>M</w:t>
      </w:r>
      <w:r w:rsidRPr="007D698E">
        <w:rPr>
          <w:color w:val="000000" w:themeColor="text1"/>
          <w:szCs w:val="24"/>
        </w:rPr>
        <w:t>inister</w:t>
      </w:r>
      <w:r w:rsidR="00076677" w:rsidRPr="007D698E">
        <w:rPr>
          <w:color w:val="000000" w:themeColor="text1"/>
          <w:szCs w:val="24"/>
        </w:rPr>
        <w:t xml:space="preserve"> or her or his deputy</w:t>
      </w:r>
      <w:r w:rsidRPr="007D698E">
        <w:rPr>
          <w:color w:val="000000" w:themeColor="text1"/>
          <w:szCs w:val="24"/>
        </w:rPr>
        <w:t xml:space="preserve">, and </w:t>
      </w:r>
    </w:p>
    <w:p w14:paraId="54E92F8D" w14:textId="22D5BC45" w:rsidR="00C8673D" w:rsidRPr="007D698E" w:rsidRDefault="00C8673D" w:rsidP="00902C85">
      <w:pPr>
        <w:pStyle w:val="Paragraph"/>
        <w:numPr>
          <w:ilvl w:val="0"/>
          <w:numId w:val="14"/>
        </w:numPr>
        <w:tabs>
          <w:tab w:val="left" w:pos="567"/>
        </w:tabs>
        <w:spacing w:before="0"/>
        <w:ind w:left="567" w:hanging="357"/>
        <w:rPr>
          <w:color w:val="000000" w:themeColor="text1"/>
          <w:szCs w:val="24"/>
        </w:rPr>
      </w:pPr>
      <w:proofErr w:type="gramStart"/>
      <w:r w:rsidRPr="007D698E">
        <w:rPr>
          <w:color w:val="000000" w:themeColor="text1"/>
          <w:szCs w:val="24"/>
        </w:rPr>
        <w:t>decisions</w:t>
      </w:r>
      <w:proofErr w:type="gramEnd"/>
      <w:r w:rsidRPr="007D698E">
        <w:rPr>
          <w:color w:val="000000" w:themeColor="text1"/>
          <w:szCs w:val="24"/>
        </w:rPr>
        <w:t xml:space="preserve"> of the PZJA are subject to requests from the Queensland Minister </w:t>
      </w:r>
      <w:r w:rsidR="00076677" w:rsidRPr="007D698E">
        <w:rPr>
          <w:color w:val="000000" w:themeColor="text1"/>
          <w:szCs w:val="24"/>
        </w:rPr>
        <w:t xml:space="preserve">and the Minister for the Torres Strait Regional Authority </w:t>
      </w:r>
      <w:r w:rsidRPr="007D698E">
        <w:rPr>
          <w:color w:val="000000" w:themeColor="text1"/>
          <w:szCs w:val="24"/>
        </w:rPr>
        <w:t>to</w:t>
      </w:r>
      <w:r w:rsidR="00076677" w:rsidRPr="007D698E">
        <w:rPr>
          <w:color w:val="000000" w:themeColor="text1"/>
          <w:szCs w:val="24"/>
        </w:rPr>
        <w:t xml:space="preserve"> delay the making of the decision </w:t>
      </w:r>
      <w:r w:rsidRPr="007D698E">
        <w:rPr>
          <w:color w:val="000000" w:themeColor="text1"/>
          <w:szCs w:val="24"/>
        </w:rPr>
        <w:t>to permit consultation</w:t>
      </w:r>
      <w:r w:rsidR="00076677" w:rsidRPr="007D698E">
        <w:rPr>
          <w:color w:val="000000" w:themeColor="text1"/>
          <w:szCs w:val="24"/>
        </w:rPr>
        <w:t>s to</w:t>
      </w:r>
      <w:r w:rsidRPr="007D698E">
        <w:rPr>
          <w:color w:val="000000" w:themeColor="text1"/>
          <w:szCs w:val="24"/>
        </w:rPr>
        <w:t xml:space="preserve"> tak</w:t>
      </w:r>
      <w:r w:rsidR="00076677" w:rsidRPr="007D698E">
        <w:rPr>
          <w:color w:val="000000" w:themeColor="text1"/>
          <w:szCs w:val="24"/>
        </w:rPr>
        <w:t>e</w:t>
      </w:r>
      <w:r w:rsidRPr="007D698E">
        <w:rPr>
          <w:color w:val="000000" w:themeColor="text1"/>
          <w:szCs w:val="24"/>
        </w:rPr>
        <w:t xml:space="preserve"> place. </w:t>
      </w:r>
    </w:p>
    <w:p w14:paraId="2760A0D2" w14:textId="1BAFE594" w:rsidR="001D2334" w:rsidRPr="007D698E" w:rsidRDefault="00CD64DD" w:rsidP="001D2334">
      <w:pPr>
        <w:spacing w:before="240" w:line="240" w:lineRule="auto"/>
        <w:rPr>
          <w:rFonts w:ascii="Times New Roman" w:hAnsi="Times New Roman" w:cs="Times New Roman"/>
          <w:color w:val="000000" w:themeColor="text1"/>
          <w:sz w:val="24"/>
          <w:szCs w:val="24"/>
        </w:rPr>
      </w:pPr>
      <w:r w:rsidRPr="007D698E">
        <w:rPr>
          <w:rFonts w:ascii="Times New Roman" w:eastAsia="Times New Roman" w:hAnsi="Times New Roman" w:cs="Times New Roman"/>
          <w:color w:val="000000" w:themeColor="text1"/>
          <w:sz w:val="24"/>
          <w:szCs w:val="24"/>
          <w:lang w:eastAsia="en-AU"/>
        </w:rPr>
        <w:t xml:space="preserve">As the PZJA is an </w:t>
      </w:r>
      <w:r w:rsidR="002E6857" w:rsidRPr="007D698E">
        <w:rPr>
          <w:rFonts w:ascii="Times New Roman" w:eastAsia="Times New Roman" w:hAnsi="Times New Roman" w:cs="Times New Roman"/>
          <w:color w:val="000000" w:themeColor="text1"/>
          <w:sz w:val="24"/>
          <w:szCs w:val="24"/>
          <w:lang w:eastAsia="en-AU"/>
        </w:rPr>
        <w:t>inter</w:t>
      </w:r>
      <w:r w:rsidRPr="007D698E">
        <w:rPr>
          <w:rFonts w:ascii="Times New Roman" w:eastAsia="Times New Roman" w:hAnsi="Times New Roman" w:cs="Times New Roman"/>
          <w:color w:val="000000" w:themeColor="text1"/>
          <w:sz w:val="24"/>
          <w:szCs w:val="24"/>
          <w:lang w:eastAsia="en-AU"/>
        </w:rPr>
        <w:t>governmental body</w:t>
      </w:r>
      <w:r w:rsidR="002E6857" w:rsidRPr="007D698E">
        <w:rPr>
          <w:rFonts w:ascii="Times New Roman" w:eastAsia="Times New Roman" w:hAnsi="Times New Roman" w:cs="Times New Roman"/>
          <w:color w:val="000000" w:themeColor="text1"/>
          <w:sz w:val="24"/>
          <w:szCs w:val="24"/>
          <w:lang w:eastAsia="en-AU"/>
        </w:rPr>
        <w:t>,</w:t>
      </w:r>
      <w:r w:rsidRPr="007D698E">
        <w:rPr>
          <w:rFonts w:ascii="Times New Roman" w:eastAsia="Times New Roman" w:hAnsi="Times New Roman" w:cs="Times New Roman"/>
          <w:color w:val="000000" w:themeColor="text1"/>
          <w:sz w:val="24"/>
          <w:szCs w:val="24"/>
          <w:lang w:eastAsia="en-AU"/>
        </w:rPr>
        <w:t xml:space="preserve"> the </w:t>
      </w:r>
      <w:r w:rsidR="004626DF" w:rsidRPr="007D698E">
        <w:rPr>
          <w:rFonts w:ascii="Times New Roman" w:eastAsia="Times New Roman" w:hAnsi="Times New Roman" w:cs="Times New Roman"/>
          <w:color w:val="000000" w:themeColor="text1"/>
          <w:sz w:val="24"/>
          <w:szCs w:val="24"/>
          <w:lang w:eastAsia="en-AU"/>
        </w:rPr>
        <w:t xml:space="preserve">unilateral </w:t>
      </w:r>
      <w:r w:rsidRPr="007D698E">
        <w:rPr>
          <w:rFonts w:ascii="Times New Roman" w:eastAsia="Times New Roman" w:hAnsi="Times New Roman" w:cs="Times New Roman"/>
          <w:color w:val="000000" w:themeColor="text1"/>
          <w:sz w:val="24"/>
          <w:szCs w:val="24"/>
          <w:lang w:eastAsia="en-AU"/>
        </w:rPr>
        <w:t xml:space="preserve">sunsetting </w:t>
      </w:r>
      <w:r w:rsidR="004626DF" w:rsidRPr="007D698E">
        <w:rPr>
          <w:rFonts w:ascii="Times New Roman" w:eastAsia="Times New Roman" w:hAnsi="Times New Roman" w:cs="Times New Roman"/>
          <w:color w:val="000000" w:themeColor="text1"/>
          <w:sz w:val="24"/>
          <w:szCs w:val="24"/>
          <w:lang w:eastAsia="en-AU"/>
        </w:rPr>
        <w:t xml:space="preserve">by the Commonwealth </w:t>
      </w:r>
      <w:r w:rsidRPr="007D698E">
        <w:rPr>
          <w:rFonts w:ascii="Times New Roman" w:eastAsia="Times New Roman" w:hAnsi="Times New Roman" w:cs="Times New Roman"/>
          <w:color w:val="000000" w:themeColor="text1"/>
          <w:sz w:val="24"/>
          <w:szCs w:val="24"/>
          <w:lang w:eastAsia="en-AU"/>
        </w:rPr>
        <w:t xml:space="preserve">of </w:t>
      </w:r>
      <w:r w:rsidR="002E6857" w:rsidRPr="007D698E">
        <w:rPr>
          <w:rFonts w:ascii="Times New Roman" w:eastAsia="Times New Roman" w:hAnsi="Times New Roman" w:cs="Times New Roman"/>
          <w:color w:val="000000" w:themeColor="text1"/>
          <w:sz w:val="24"/>
          <w:szCs w:val="24"/>
          <w:lang w:eastAsia="en-AU"/>
        </w:rPr>
        <w:t>proclamations</w:t>
      </w:r>
      <w:r w:rsidRPr="007D698E">
        <w:rPr>
          <w:rFonts w:ascii="Times New Roman" w:eastAsia="Times New Roman" w:hAnsi="Times New Roman" w:cs="Times New Roman"/>
          <w:color w:val="000000" w:themeColor="text1"/>
          <w:sz w:val="24"/>
          <w:szCs w:val="24"/>
          <w:lang w:eastAsia="en-AU"/>
        </w:rPr>
        <w:t xml:space="preserve"> made </w:t>
      </w:r>
      <w:r w:rsidR="002E6857" w:rsidRPr="007D698E">
        <w:rPr>
          <w:rFonts w:ascii="Times New Roman" w:eastAsia="Times New Roman" w:hAnsi="Times New Roman" w:cs="Times New Roman"/>
          <w:color w:val="000000" w:themeColor="text1"/>
          <w:sz w:val="24"/>
          <w:szCs w:val="24"/>
          <w:lang w:eastAsia="en-AU"/>
        </w:rPr>
        <w:t xml:space="preserve">under section 15 of the </w:t>
      </w:r>
      <w:r w:rsidR="004D3170" w:rsidRPr="007D698E">
        <w:rPr>
          <w:rFonts w:ascii="Times New Roman" w:hAnsi="Times New Roman" w:cs="Times New Roman"/>
          <w:color w:val="000000" w:themeColor="text1"/>
          <w:sz w:val="24"/>
          <w:szCs w:val="24"/>
        </w:rPr>
        <w:t xml:space="preserve">Torres Strait </w:t>
      </w:r>
      <w:r w:rsidR="002E6857" w:rsidRPr="007D698E">
        <w:rPr>
          <w:rFonts w:ascii="Times New Roman" w:eastAsia="Times New Roman" w:hAnsi="Times New Roman" w:cs="Times New Roman"/>
          <w:color w:val="000000" w:themeColor="text1"/>
          <w:sz w:val="24"/>
          <w:szCs w:val="24"/>
          <w:lang w:eastAsia="en-AU"/>
        </w:rPr>
        <w:t xml:space="preserve">Act </w:t>
      </w:r>
      <w:r w:rsidR="000F1BFD" w:rsidRPr="007D698E">
        <w:rPr>
          <w:rFonts w:ascii="Times New Roman" w:eastAsia="Times New Roman" w:hAnsi="Times New Roman" w:cs="Times New Roman"/>
          <w:color w:val="000000" w:themeColor="text1"/>
          <w:sz w:val="24"/>
          <w:szCs w:val="24"/>
          <w:lang w:eastAsia="en-AU"/>
        </w:rPr>
        <w:t>would be</w:t>
      </w:r>
      <w:r w:rsidRPr="007D698E">
        <w:rPr>
          <w:rFonts w:ascii="Times New Roman" w:eastAsia="Times New Roman" w:hAnsi="Times New Roman" w:cs="Times New Roman"/>
          <w:color w:val="000000" w:themeColor="text1"/>
          <w:sz w:val="24"/>
          <w:szCs w:val="24"/>
          <w:lang w:eastAsia="en-AU"/>
        </w:rPr>
        <w:t xml:space="preserve"> inappropriate</w:t>
      </w:r>
      <w:r w:rsidR="00DB38E7" w:rsidRPr="007D698E">
        <w:rPr>
          <w:rFonts w:ascii="Times New Roman" w:eastAsia="Times New Roman" w:hAnsi="Times New Roman" w:cs="Times New Roman"/>
          <w:color w:val="000000" w:themeColor="text1"/>
          <w:sz w:val="24"/>
          <w:szCs w:val="24"/>
          <w:lang w:eastAsia="en-AU"/>
        </w:rPr>
        <w:t xml:space="preserve">. </w:t>
      </w:r>
      <w:r w:rsidR="00DB38E7" w:rsidRPr="007D698E">
        <w:rPr>
          <w:rFonts w:ascii="Times New Roman" w:hAnsi="Times New Roman" w:cs="Times New Roman"/>
          <w:sz w:val="24"/>
          <w:szCs w:val="24"/>
        </w:rPr>
        <w:t xml:space="preserve">Accordingly, it is appropriate to exempt the </w:t>
      </w:r>
      <w:r w:rsidR="00DB38E7" w:rsidRPr="007D698E">
        <w:rPr>
          <w:rFonts w:ascii="Times New Roman" w:hAnsi="Times New Roman" w:cs="Times New Roman"/>
          <w:color w:val="000000" w:themeColor="text1"/>
          <w:sz w:val="24"/>
          <w:szCs w:val="24"/>
        </w:rPr>
        <w:t>instruments from sunsetting</w:t>
      </w:r>
      <w:r w:rsidR="00836526" w:rsidRPr="007D698E">
        <w:rPr>
          <w:rFonts w:ascii="Times New Roman" w:hAnsi="Times New Roman" w:cs="Times New Roman"/>
          <w:color w:val="000000" w:themeColor="text1"/>
          <w:sz w:val="24"/>
          <w:szCs w:val="24"/>
        </w:rPr>
        <w:t xml:space="preserve">. </w:t>
      </w:r>
    </w:p>
    <w:p w14:paraId="4C52A7CB" w14:textId="41065A60" w:rsidR="007F21A7" w:rsidRPr="007D698E" w:rsidRDefault="007F21A7" w:rsidP="001D2334">
      <w:pPr>
        <w:spacing w:before="240" w:line="240" w:lineRule="auto"/>
        <w:rPr>
          <w:rFonts w:ascii="Times New Roman" w:hAnsi="Times New Roman" w:cs="Times New Roman"/>
          <w:color w:val="000000" w:themeColor="text1"/>
          <w:sz w:val="24"/>
          <w:szCs w:val="24"/>
        </w:rPr>
      </w:pPr>
      <w:r w:rsidRPr="007D698E">
        <w:rPr>
          <w:rFonts w:ascii="Times New Roman" w:hAnsi="Times New Roman" w:cs="Times New Roman"/>
          <w:color w:val="000000" w:themeColor="text1"/>
          <w:sz w:val="24"/>
          <w:szCs w:val="24"/>
        </w:rPr>
        <w:lastRenderedPageBreak/>
        <w:t>While it is likely that</w:t>
      </w:r>
      <w:r w:rsidR="00264811" w:rsidRPr="007D698E">
        <w:rPr>
          <w:rFonts w:ascii="Times New Roman" w:hAnsi="Times New Roman" w:cs="Times New Roman"/>
          <w:color w:val="000000" w:themeColor="text1"/>
          <w:sz w:val="24"/>
          <w:szCs w:val="24"/>
        </w:rPr>
        <w:t xml:space="preserve"> proclamations made under section 15 of the Torres Strait Act are exempt from sunsetting under </w:t>
      </w:r>
      <w:r w:rsidR="000B21EE" w:rsidRPr="007D698E">
        <w:rPr>
          <w:rFonts w:ascii="Times New Roman" w:hAnsi="Times New Roman" w:cs="Times New Roman"/>
          <w:color w:val="000000" w:themeColor="text1"/>
          <w:sz w:val="24"/>
          <w:szCs w:val="24"/>
        </w:rPr>
        <w:t>sub</w:t>
      </w:r>
      <w:r w:rsidRPr="007D698E">
        <w:rPr>
          <w:rFonts w:ascii="Times New Roman" w:hAnsi="Times New Roman" w:cs="Times New Roman"/>
          <w:color w:val="000000" w:themeColor="text1"/>
          <w:sz w:val="24"/>
          <w:szCs w:val="24"/>
        </w:rPr>
        <w:t>section 54(1) of the Legislation Act</w:t>
      </w:r>
      <w:r w:rsidR="00264811" w:rsidRPr="007D698E">
        <w:rPr>
          <w:rFonts w:ascii="Times New Roman" w:hAnsi="Times New Roman" w:cs="Times New Roman"/>
          <w:color w:val="000000" w:themeColor="text1"/>
          <w:sz w:val="24"/>
          <w:szCs w:val="24"/>
        </w:rPr>
        <w:t>, it is appropriate to provide a specific exemption in the Principal Regulation to put the exemption beyond doubt.</w:t>
      </w:r>
      <w:r w:rsidRPr="007D698E">
        <w:rPr>
          <w:rFonts w:ascii="Times New Roman" w:hAnsi="Times New Roman" w:cs="Times New Roman"/>
          <w:color w:val="000000" w:themeColor="text1"/>
          <w:sz w:val="24"/>
          <w:szCs w:val="24"/>
        </w:rPr>
        <w:t xml:space="preserve"> </w:t>
      </w:r>
    </w:p>
    <w:p w14:paraId="51BBE009" w14:textId="1FAAE4FA" w:rsidR="007B3ED5" w:rsidRPr="007D698E" w:rsidRDefault="00605EB9" w:rsidP="007B3ED5">
      <w:pPr>
        <w:pStyle w:val="Paragraph"/>
        <w:numPr>
          <w:ilvl w:val="0"/>
          <w:numId w:val="0"/>
        </w:numPr>
        <w:tabs>
          <w:tab w:val="left" w:pos="567"/>
        </w:tabs>
        <w:rPr>
          <w:szCs w:val="24"/>
        </w:rPr>
      </w:pPr>
      <w:r w:rsidRPr="007D698E">
        <w:rPr>
          <w:szCs w:val="24"/>
          <w:u w:val="single"/>
        </w:rPr>
        <w:t xml:space="preserve">Paragraph </w:t>
      </w:r>
      <w:r w:rsidR="007B3ED5" w:rsidRPr="007D698E">
        <w:rPr>
          <w:szCs w:val="24"/>
          <w:u w:val="single"/>
        </w:rPr>
        <w:t>63AB</w:t>
      </w:r>
      <w:r w:rsidR="00727595" w:rsidRPr="007D698E">
        <w:rPr>
          <w:szCs w:val="24"/>
          <w:u w:val="single"/>
        </w:rPr>
        <w:t>(c</w:t>
      </w:r>
      <w:r w:rsidR="007B3ED5" w:rsidRPr="007D698E">
        <w:rPr>
          <w:szCs w:val="24"/>
          <w:u w:val="single"/>
        </w:rPr>
        <w:t>)</w:t>
      </w:r>
    </w:p>
    <w:p w14:paraId="317BC0E2" w14:textId="69942196" w:rsidR="00A80190" w:rsidRPr="007D698E" w:rsidRDefault="00727595" w:rsidP="00B038F7">
      <w:pPr>
        <w:spacing w:before="240" w:line="240" w:lineRule="auto"/>
        <w:rPr>
          <w:rFonts w:ascii="Times New Roman" w:eastAsia="Times New Roman" w:hAnsi="Times New Roman" w:cs="Times New Roman"/>
          <w:color w:val="000000" w:themeColor="text1"/>
          <w:sz w:val="24"/>
          <w:szCs w:val="24"/>
          <w:lang w:eastAsia="en-AU"/>
        </w:rPr>
      </w:pPr>
      <w:r w:rsidRPr="007D698E">
        <w:rPr>
          <w:rFonts w:ascii="Times New Roman" w:eastAsia="Times New Roman" w:hAnsi="Times New Roman" w:cs="Times New Roman"/>
          <w:color w:val="000000" w:themeColor="text1"/>
          <w:sz w:val="24"/>
          <w:szCs w:val="24"/>
          <w:lang w:eastAsia="en-AU"/>
        </w:rPr>
        <w:t>New</w:t>
      </w:r>
      <w:r w:rsidR="00FD7C7B" w:rsidRPr="007D698E">
        <w:rPr>
          <w:rFonts w:ascii="Times New Roman" w:eastAsia="Times New Roman" w:hAnsi="Times New Roman" w:cs="Times New Roman"/>
          <w:color w:val="000000" w:themeColor="text1"/>
          <w:sz w:val="24"/>
          <w:szCs w:val="24"/>
          <w:lang w:eastAsia="en-AU"/>
        </w:rPr>
        <w:t xml:space="preserve"> </w:t>
      </w:r>
      <w:r w:rsidR="00540A0A" w:rsidRPr="007D698E">
        <w:rPr>
          <w:rFonts w:ascii="Times New Roman" w:hAnsi="Times New Roman" w:cs="Times New Roman"/>
          <w:sz w:val="24"/>
          <w:szCs w:val="24"/>
        </w:rPr>
        <w:t>paragraph</w:t>
      </w:r>
      <w:r w:rsidR="00E62350" w:rsidRPr="007D698E">
        <w:rPr>
          <w:rFonts w:ascii="Times New Roman" w:hAnsi="Times New Roman" w:cs="Times New Roman"/>
          <w:sz w:val="24"/>
          <w:szCs w:val="24"/>
        </w:rPr>
        <w:t xml:space="preserve"> </w:t>
      </w:r>
      <w:r w:rsidRPr="007D698E">
        <w:rPr>
          <w:rFonts w:ascii="Times New Roman" w:eastAsia="Times New Roman" w:hAnsi="Times New Roman" w:cs="Times New Roman"/>
          <w:color w:val="000000" w:themeColor="text1"/>
          <w:sz w:val="24"/>
          <w:szCs w:val="24"/>
          <w:lang w:eastAsia="en-AU"/>
        </w:rPr>
        <w:t>63AB(c</w:t>
      </w:r>
      <w:r w:rsidR="00C2301F" w:rsidRPr="007D698E">
        <w:rPr>
          <w:rFonts w:ascii="Times New Roman" w:eastAsia="Times New Roman" w:hAnsi="Times New Roman" w:cs="Times New Roman"/>
          <w:color w:val="000000" w:themeColor="text1"/>
          <w:sz w:val="24"/>
          <w:szCs w:val="24"/>
          <w:lang w:eastAsia="en-AU"/>
        </w:rPr>
        <w:t xml:space="preserve">) provides an exemption from sunsetting for arrangements made under section 31 of the </w:t>
      </w:r>
      <w:r w:rsidR="002417B8" w:rsidRPr="007D698E">
        <w:rPr>
          <w:rFonts w:ascii="Times New Roman" w:hAnsi="Times New Roman" w:cs="Times New Roman"/>
          <w:color w:val="000000" w:themeColor="text1"/>
          <w:sz w:val="24"/>
          <w:szCs w:val="24"/>
        </w:rPr>
        <w:t xml:space="preserve">Torres Strait </w:t>
      </w:r>
      <w:r w:rsidR="00C2301F" w:rsidRPr="007D698E">
        <w:rPr>
          <w:rFonts w:ascii="Times New Roman" w:eastAsia="Times New Roman" w:hAnsi="Times New Roman" w:cs="Times New Roman"/>
          <w:color w:val="000000" w:themeColor="text1"/>
          <w:sz w:val="24"/>
          <w:szCs w:val="24"/>
          <w:lang w:eastAsia="en-AU"/>
        </w:rPr>
        <w:t xml:space="preserve">Act. </w:t>
      </w:r>
      <w:r w:rsidR="003230E2" w:rsidRPr="007D698E">
        <w:rPr>
          <w:rFonts w:ascii="Times New Roman" w:eastAsia="Times New Roman" w:hAnsi="Times New Roman" w:cs="Times New Roman"/>
          <w:color w:val="000000" w:themeColor="text1"/>
          <w:sz w:val="24"/>
          <w:szCs w:val="24"/>
          <w:lang w:eastAsia="en-AU"/>
        </w:rPr>
        <w:t>There is currently one arrangement made under this provision</w:t>
      </w:r>
      <w:r w:rsidR="00B038F7" w:rsidRPr="007D698E">
        <w:rPr>
          <w:rFonts w:ascii="Times New Roman" w:eastAsia="Times New Roman" w:hAnsi="Times New Roman" w:cs="Times New Roman"/>
          <w:color w:val="000000" w:themeColor="text1"/>
          <w:sz w:val="24"/>
          <w:szCs w:val="24"/>
          <w:lang w:eastAsia="en-AU"/>
        </w:rPr>
        <w:t xml:space="preserve">, the </w:t>
      </w:r>
      <w:r w:rsidR="00B038F7" w:rsidRPr="007D698E">
        <w:rPr>
          <w:rFonts w:ascii="Times New Roman" w:eastAsia="Times New Roman" w:hAnsi="Times New Roman" w:cs="Times New Roman"/>
          <w:i/>
          <w:color w:val="000000" w:themeColor="text1"/>
          <w:sz w:val="24"/>
          <w:szCs w:val="24"/>
          <w:lang w:eastAsia="en-AU"/>
        </w:rPr>
        <w:t>Arrangement between the Commonwealth and State of Queensland under section 31 of the Torres Strait Fisheries Act 1984</w:t>
      </w:r>
      <w:r w:rsidR="00B038F7" w:rsidRPr="007D698E">
        <w:rPr>
          <w:rFonts w:ascii="Times New Roman" w:eastAsia="Times New Roman" w:hAnsi="Times New Roman" w:cs="Times New Roman"/>
          <w:color w:val="000000" w:themeColor="text1"/>
          <w:sz w:val="24"/>
          <w:szCs w:val="24"/>
          <w:lang w:eastAsia="en-AU"/>
        </w:rPr>
        <w:t>.</w:t>
      </w:r>
    </w:p>
    <w:p w14:paraId="399E70D0" w14:textId="7C6B6FC2" w:rsidR="00A55F71" w:rsidRPr="007D698E" w:rsidRDefault="00E33011" w:rsidP="00486088">
      <w:pPr>
        <w:spacing w:before="240" w:line="240" w:lineRule="auto"/>
        <w:rPr>
          <w:rFonts w:ascii="Times New Roman" w:eastAsia="Times New Roman" w:hAnsi="Times New Roman" w:cs="Times New Roman"/>
          <w:color w:val="000000" w:themeColor="text1"/>
          <w:sz w:val="24"/>
          <w:szCs w:val="24"/>
          <w:lang w:eastAsia="en-AU"/>
        </w:rPr>
      </w:pPr>
      <w:r w:rsidRPr="007D698E">
        <w:rPr>
          <w:rFonts w:ascii="Times New Roman" w:eastAsia="Times New Roman" w:hAnsi="Times New Roman" w:cs="Times New Roman"/>
          <w:color w:val="000000" w:themeColor="text1"/>
          <w:sz w:val="24"/>
          <w:szCs w:val="24"/>
          <w:lang w:eastAsia="en-AU"/>
        </w:rPr>
        <w:t>S</w:t>
      </w:r>
      <w:r w:rsidR="00C2301F" w:rsidRPr="007D698E">
        <w:rPr>
          <w:rFonts w:ascii="Times New Roman" w:eastAsia="Times New Roman" w:hAnsi="Times New Roman" w:cs="Times New Roman"/>
          <w:color w:val="000000" w:themeColor="text1"/>
          <w:sz w:val="24"/>
          <w:szCs w:val="24"/>
          <w:lang w:eastAsia="en-AU"/>
        </w:rPr>
        <w:t>ection 31 </w:t>
      </w:r>
      <w:r w:rsidR="005B2AD0" w:rsidRPr="007D698E">
        <w:rPr>
          <w:rFonts w:ascii="Times New Roman" w:eastAsia="Times New Roman" w:hAnsi="Times New Roman" w:cs="Times New Roman"/>
          <w:color w:val="000000" w:themeColor="text1"/>
          <w:sz w:val="24"/>
          <w:szCs w:val="24"/>
          <w:lang w:eastAsia="en-AU"/>
        </w:rPr>
        <w:t>provides the Commonwealth</w:t>
      </w:r>
      <w:r w:rsidR="00976C07" w:rsidRPr="007D698E">
        <w:rPr>
          <w:rFonts w:ascii="Times New Roman" w:eastAsia="Times New Roman" w:hAnsi="Times New Roman" w:cs="Times New Roman"/>
          <w:color w:val="000000" w:themeColor="text1"/>
          <w:sz w:val="24"/>
          <w:szCs w:val="24"/>
          <w:lang w:eastAsia="en-AU"/>
        </w:rPr>
        <w:t xml:space="preserve"> with the</w:t>
      </w:r>
      <w:r w:rsidR="005B2AD0" w:rsidRPr="007D698E">
        <w:rPr>
          <w:rFonts w:ascii="Times New Roman" w:eastAsia="Times New Roman" w:hAnsi="Times New Roman" w:cs="Times New Roman"/>
          <w:color w:val="000000" w:themeColor="text1"/>
          <w:sz w:val="24"/>
          <w:szCs w:val="24"/>
          <w:lang w:eastAsia="en-AU"/>
        </w:rPr>
        <w:t xml:space="preserve"> power to make an arrangement with Queensland that the PZJA is to have the </w:t>
      </w:r>
      <w:r w:rsidR="005B2AD0" w:rsidRPr="007D698E">
        <w:rPr>
          <w:rStyle w:val="CelltextChar"/>
          <w:rFonts w:eastAsiaTheme="minorHAnsi"/>
          <w:szCs w:val="24"/>
        </w:rPr>
        <w:t>management of a particular fishery</w:t>
      </w:r>
      <w:r w:rsidR="00976C07" w:rsidRPr="007D698E">
        <w:rPr>
          <w:rStyle w:val="CelltextChar"/>
          <w:rFonts w:eastAsiaTheme="minorHAnsi"/>
          <w:szCs w:val="24"/>
        </w:rPr>
        <w:t xml:space="preserve"> in waters adjacent to Queensland</w:t>
      </w:r>
      <w:r w:rsidR="005B2AD0" w:rsidRPr="007D698E">
        <w:rPr>
          <w:rStyle w:val="CelltextChar"/>
          <w:rFonts w:eastAsiaTheme="minorHAnsi"/>
          <w:szCs w:val="24"/>
        </w:rPr>
        <w:t xml:space="preserve">. </w:t>
      </w:r>
      <w:r w:rsidR="00F07EA1" w:rsidRPr="007D698E">
        <w:rPr>
          <w:rStyle w:val="CelltextChar"/>
          <w:rFonts w:eastAsiaTheme="minorHAnsi"/>
          <w:szCs w:val="24"/>
        </w:rPr>
        <w:t xml:space="preserve">Under </w:t>
      </w:r>
      <w:r w:rsidR="006A294F" w:rsidRPr="007D698E">
        <w:rPr>
          <w:rStyle w:val="CelltextChar"/>
          <w:rFonts w:eastAsiaTheme="minorHAnsi"/>
          <w:szCs w:val="24"/>
        </w:rPr>
        <w:t>sub</w:t>
      </w:r>
      <w:r w:rsidR="00F07EA1" w:rsidRPr="007D698E">
        <w:rPr>
          <w:rStyle w:val="CelltextChar"/>
          <w:rFonts w:eastAsiaTheme="minorHAnsi"/>
          <w:szCs w:val="24"/>
        </w:rPr>
        <w:t xml:space="preserve">section 28(1) of the </w:t>
      </w:r>
      <w:r w:rsidR="002417B8" w:rsidRPr="007D698E">
        <w:rPr>
          <w:rFonts w:ascii="Times New Roman" w:hAnsi="Times New Roman" w:cs="Times New Roman"/>
          <w:color w:val="000000" w:themeColor="text1"/>
          <w:sz w:val="24"/>
          <w:szCs w:val="24"/>
        </w:rPr>
        <w:t xml:space="preserve">Torres Strait </w:t>
      </w:r>
      <w:r w:rsidR="00F07EA1" w:rsidRPr="007D698E">
        <w:rPr>
          <w:rStyle w:val="CelltextChar"/>
          <w:rFonts w:eastAsiaTheme="minorHAnsi"/>
          <w:szCs w:val="24"/>
        </w:rPr>
        <w:t>Act, particular fisheries described in arrangements made under section 31 become ‘Protec</w:t>
      </w:r>
      <w:r w:rsidR="00486088" w:rsidRPr="007D698E">
        <w:rPr>
          <w:rStyle w:val="CelltextChar"/>
          <w:rFonts w:eastAsiaTheme="minorHAnsi"/>
          <w:szCs w:val="24"/>
        </w:rPr>
        <w:t>ted Zone Joint Authority fisheries</w:t>
      </w:r>
      <w:r w:rsidR="00F07EA1" w:rsidRPr="007D698E">
        <w:rPr>
          <w:rStyle w:val="CelltextChar"/>
          <w:rFonts w:eastAsiaTheme="minorHAnsi"/>
          <w:szCs w:val="24"/>
        </w:rPr>
        <w:t xml:space="preserve">’ and the PZJA </w:t>
      </w:r>
      <w:proofErr w:type="gramStart"/>
      <w:r w:rsidR="00F07EA1" w:rsidRPr="007D698E">
        <w:rPr>
          <w:rStyle w:val="CelltextChar"/>
          <w:rFonts w:eastAsiaTheme="minorHAnsi"/>
          <w:szCs w:val="24"/>
        </w:rPr>
        <w:t>is</w:t>
      </w:r>
      <w:proofErr w:type="gramEnd"/>
      <w:r w:rsidR="00F07EA1" w:rsidRPr="007D698E">
        <w:rPr>
          <w:rStyle w:val="CelltextChar"/>
          <w:rFonts w:eastAsiaTheme="minorHAnsi"/>
          <w:szCs w:val="24"/>
        </w:rPr>
        <w:t xml:space="preserve"> given powers to manage </w:t>
      </w:r>
      <w:r w:rsidR="00FE6184" w:rsidRPr="007D698E">
        <w:rPr>
          <w:rStyle w:val="CelltextChar"/>
          <w:rFonts w:eastAsiaTheme="minorHAnsi"/>
          <w:szCs w:val="24"/>
        </w:rPr>
        <w:t>such fisheries</w:t>
      </w:r>
      <w:r w:rsidR="00F07EA1" w:rsidRPr="007D698E">
        <w:rPr>
          <w:rStyle w:val="CelltextChar"/>
          <w:rFonts w:eastAsiaTheme="minorHAnsi"/>
          <w:szCs w:val="24"/>
        </w:rPr>
        <w:t xml:space="preserve"> under </w:t>
      </w:r>
      <w:r w:rsidR="000B21EE" w:rsidRPr="007D698E">
        <w:rPr>
          <w:rStyle w:val="CelltextChar"/>
          <w:rFonts w:eastAsiaTheme="minorHAnsi"/>
          <w:szCs w:val="24"/>
        </w:rPr>
        <w:t>sub</w:t>
      </w:r>
      <w:r w:rsidR="00F07EA1" w:rsidRPr="007D698E">
        <w:rPr>
          <w:rStyle w:val="CelltextChar"/>
          <w:rFonts w:eastAsiaTheme="minorHAnsi"/>
          <w:szCs w:val="24"/>
        </w:rPr>
        <w:t xml:space="preserve">section 36(1). Additionally, where a particular fishery becomes a ‘Protected Zone Joint Authority fishery’ various instruments made by the Commonwealth Minister cease to apply and permits granted by the Commonwealth Minister under section 12 have no application under </w:t>
      </w:r>
      <w:r w:rsidR="000B21EE" w:rsidRPr="007D698E">
        <w:rPr>
          <w:rStyle w:val="CelltextChar"/>
          <w:rFonts w:eastAsiaTheme="minorHAnsi"/>
          <w:szCs w:val="24"/>
        </w:rPr>
        <w:t xml:space="preserve">subsection </w:t>
      </w:r>
      <w:r w:rsidR="00F07EA1" w:rsidRPr="007D698E">
        <w:rPr>
          <w:rStyle w:val="CelltextChar"/>
          <w:rFonts w:eastAsiaTheme="minorHAnsi"/>
          <w:szCs w:val="24"/>
        </w:rPr>
        <w:t xml:space="preserve">35(2) of the </w:t>
      </w:r>
      <w:r w:rsidR="002417B8" w:rsidRPr="007D698E">
        <w:rPr>
          <w:rFonts w:ascii="Times New Roman" w:hAnsi="Times New Roman" w:cs="Times New Roman"/>
          <w:color w:val="000000" w:themeColor="text1"/>
          <w:sz w:val="24"/>
          <w:szCs w:val="24"/>
        </w:rPr>
        <w:t xml:space="preserve">Torres Strait </w:t>
      </w:r>
      <w:r w:rsidR="00F07EA1" w:rsidRPr="007D698E">
        <w:rPr>
          <w:rStyle w:val="CelltextChar"/>
          <w:rFonts w:eastAsiaTheme="minorHAnsi"/>
          <w:szCs w:val="24"/>
        </w:rPr>
        <w:t xml:space="preserve">Act. </w:t>
      </w:r>
      <w:r w:rsidR="00A55F71" w:rsidRPr="007D698E">
        <w:rPr>
          <w:rStyle w:val="CelltextChar"/>
          <w:rFonts w:eastAsiaTheme="minorHAnsi"/>
          <w:szCs w:val="24"/>
        </w:rPr>
        <w:t xml:space="preserve">In effect, </w:t>
      </w:r>
      <w:r w:rsidR="00711320" w:rsidRPr="007D698E">
        <w:rPr>
          <w:rStyle w:val="CelltextChar"/>
          <w:rFonts w:eastAsiaTheme="minorHAnsi"/>
          <w:szCs w:val="24"/>
        </w:rPr>
        <w:t xml:space="preserve">an </w:t>
      </w:r>
      <w:r w:rsidR="00A55F71" w:rsidRPr="007D698E">
        <w:rPr>
          <w:rStyle w:val="CelltextChar"/>
          <w:rFonts w:eastAsiaTheme="minorHAnsi"/>
          <w:szCs w:val="24"/>
        </w:rPr>
        <w:t>arrangement made under section 31 facilitate</w:t>
      </w:r>
      <w:r w:rsidR="00711320" w:rsidRPr="007D698E">
        <w:rPr>
          <w:rStyle w:val="CelltextChar"/>
          <w:rFonts w:eastAsiaTheme="minorHAnsi"/>
          <w:szCs w:val="24"/>
        </w:rPr>
        <w:t>s</w:t>
      </w:r>
      <w:r w:rsidR="00A55F71" w:rsidRPr="007D698E">
        <w:rPr>
          <w:rStyle w:val="CelltextChar"/>
          <w:rFonts w:eastAsiaTheme="minorHAnsi"/>
          <w:szCs w:val="24"/>
        </w:rPr>
        <w:t xml:space="preserve"> the establishment of the PZ</w:t>
      </w:r>
      <w:r w:rsidR="00D643D5" w:rsidRPr="007D698E">
        <w:rPr>
          <w:rStyle w:val="CelltextChar"/>
          <w:rFonts w:eastAsiaTheme="minorHAnsi"/>
          <w:szCs w:val="24"/>
        </w:rPr>
        <w:t>J</w:t>
      </w:r>
      <w:r w:rsidR="00A55F71" w:rsidRPr="007D698E">
        <w:rPr>
          <w:rStyle w:val="CelltextChar"/>
          <w:rFonts w:eastAsiaTheme="minorHAnsi"/>
          <w:szCs w:val="24"/>
        </w:rPr>
        <w:t xml:space="preserve">A as an intergovernmental scheme by defining the fisheries that the </w:t>
      </w:r>
      <w:r w:rsidR="00F05DA8" w:rsidRPr="007D698E">
        <w:rPr>
          <w:rStyle w:val="CelltextChar"/>
          <w:rFonts w:eastAsiaTheme="minorHAnsi"/>
          <w:szCs w:val="24"/>
        </w:rPr>
        <w:t>PZJA</w:t>
      </w:r>
      <w:r w:rsidR="00A55F71" w:rsidRPr="007D698E">
        <w:rPr>
          <w:rStyle w:val="CelltextChar"/>
          <w:rFonts w:eastAsiaTheme="minorHAnsi"/>
          <w:szCs w:val="24"/>
        </w:rPr>
        <w:t xml:space="preserve"> has power to regulate.</w:t>
      </w:r>
    </w:p>
    <w:p w14:paraId="31046EAF" w14:textId="42A86F5B" w:rsidR="00960192" w:rsidRPr="007D698E" w:rsidRDefault="00486088" w:rsidP="00960192">
      <w:pPr>
        <w:pStyle w:val="Paragraph"/>
        <w:numPr>
          <w:ilvl w:val="0"/>
          <w:numId w:val="0"/>
        </w:numPr>
        <w:tabs>
          <w:tab w:val="left" w:pos="567"/>
        </w:tabs>
        <w:rPr>
          <w:color w:val="000000" w:themeColor="text1"/>
          <w:szCs w:val="24"/>
        </w:rPr>
      </w:pPr>
      <w:r w:rsidRPr="007D698E">
        <w:rPr>
          <w:color w:val="000000" w:themeColor="text1"/>
          <w:szCs w:val="24"/>
        </w:rPr>
        <w:t>Moreover, u</w:t>
      </w:r>
      <w:r w:rsidR="00F07EA1" w:rsidRPr="007D698E">
        <w:rPr>
          <w:color w:val="000000" w:themeColor="text1"/>
          <w:szCs w:val="24"/>
        </w:rPr>
        <w:t xml:space="preserve">nder section 32 of the </w:t>
      </w:r>
      <w:r w:rsidR="002417B8" w:rsidRPr="007D698E">
        <w:rPr>
          <w:color w:val="000000" w:themeColor="text1"/>
          <w:szCs w:val="24"/>
        </w:rPr>
        <w:t xml:space="preserve">Torres Strait </w:t>
      </w:r>
      <w:r w:rsidR="00F07EA1" w:rsidRPr="007D698E">
        <w:rPr>
          <w:color w:val="000000" w:themeColor="text1"/>
          <w:szCs w:val="24"/>
        </w:rPr>
        <w:t xml:space="preserve">Act </w:t>
      </w:r>
      <w:r w:rsidR="00430854" w:rsidRPr="007D698E">
        <w:rPr>
          <w:color w:val="000000" w:themeColor="text1"/>
          <w:szCs w:val="24"/>
        </w:rPr>
        <w:t xml:space="preserve">an </w:t>
      </w:r>
      <w:r w:rsidR="00F07EA1" w:rsidRPr="007D698E">
        <w:rPr>
          <w:color w:val="000000" w:themeColor="text1"/>
          <w:szCs w:val="24"/>
        </w:rPr>
        <w:t xml:space="preserve">arrangement </w:t>
      </w:r>
      <w:r w:rsidR="00976C07" w:rsidRPr="007D698E">
        <w:rPr>
          <w:color w:val="000000" w:themeColor="text1"/>
          <w:szCs w:val="24"/>
        </w:rPr>
        <w:t xml:space="preserve">made under section 31 </w:t>
      </w:r>
      <w:r w:rsidR="00711320" w:rsidRPr="007D698E">
        <w:rPr>
          <w:color w:val="000000" w:themeColor="text1"/>
          <w:szCs w:val="24"/>
        </w:rPr>
        <w:t xml:space="preserve">may be </w:t>
      </w:r>
      <w:r w:rsidR="00F07EA1" w:rsidRPr="007D698E">
        <w:rPr>
          <w:color w:val="000000" w:themeColor="text1"/>
          <w:szCs w:val="24"/>
        </w:rPr>
        <w:t xml:space="preserve">terminated </w:t>
      </w:r>
      <w:r w:rsidR="00976C07" w:rsidRPr="007D698E">
        <w:rPr>
          <w:color w:val="000000" w:themeColor="text1"/>
          <w:szCs w:val="24"/>
        </w:rPr>
        <w:t>by instrument</w:t>
      </w:r>
      <w:r w:rsidR="00430854" w:rsidRPr="007D698E">
        <w:rPr>
          <w:color w:val="000000" w:themeColor="text1"/>
          <w:szCs w:val="24"/>
        </w:rPr>
        <w:t xml:space="preserve"> in writing </w:t>
      </w:r>
      <w:r w:rsidR="00F07EA1" w:rsidRPr="007D698E">
        <w:rPr>
          <w:color w:val="000000" w:themeColor="text1"/>
          <w:szCs w:val="24"/>
        </w:rPr>
        <w:t>by the Governor-General and the Governor of Queensland.</w:t>
      </w:r>
      <w:r w:rsidR="00976C07" w:rsidRPr="007D698E">
        <w:rPr>
          <w:color w:val="000000" w:themeColor="text1"/>
          <w:szCs w:val="24"/>
        </w:rPr>
        <w:t xml:space="preserve"> </w:t>
      </w:r>
      <w:r w:rsidR="00960192" w:rsidRPr="007D698E">
        <w:rPr>
          <w:color w:val="000000" w:themeColor="text1"/>
          <w:szCs w:val="24"/>
        </w:rPr>
        <w:t xml:space="preserve">This is consistent with the PZJA being an intergovernmental scheme. As such, it would be inappropriate for the Commonwealth to unilaterally sunset arrangements made under section 31 of the Torres Strait Act, and it is appropriate </w:t>
      </w:r>
      <w:r w:rsidR="0023401E" w:rsidRPr="007D698E">
        <w:rPr>
          <w:szCs w:val="24"/>
        </w:rPr>
        <w:t>to exempt the</w:t>
      </w:r>
      <w:r w:rsidR="00960192" w:rsidRPr="007D698E">
        <w:rPr>
          <w:szCs w:val="24"/>
        </w:rPr>
        <w:t xml:space="preserve"> </w:t>
      </w:r>
      <w:r w:rsidR="00960192" w:rsidRPr="007D698E">
        <w:rPr>
          <w:color w:val="000000" w:themeColor="text1"/>
          <w:szCs w:val="24"/>
        </w:rPr>
        <w:t>instruments from sunsetting.</w:t>
      </w:r>
    </w:p>
    <w:p w14:paraId="08980B9E" w14:textId="6C0B9967" w:rsidR="002F6BA5" w:rsidRPr="007D698E" w:rsidRDefault="00796B61" w:rsidP="002F6BA5">
      <w:pPr>
        <w:spacing w:before="240" w:line="240" w:lineRule="auto"/>
        <w:rPr>
          <w:rFonts w:ascii="Times New Roman" w:hAnsi="Times New Roman" w:cs="Times New Roman"/>
          <w:color w:val="000000" w:themeColor="text1"/>
          <w:sz w:val="24"/>
          <w:szCs w:val="24"/>
        </w:rPr>
      </w:pPr>
      <w:r w:rsidRPr="007D698E">
        <w:rPr>
          <w:rFonts w:ascii="Times New Roman" w:hAnsi="Times New Roman" w:cs="Times New Roman"/>
          <w:color w:val="000000" w:themeColor="text1"/>
          <w:sz w:val="24"/>
          <w:szCs w:val="24"/>
        </w:rPr>
        <w:t>While it is likely that</w:t>
      </w:r>
      <w:r w:rsidR="002F6BA5" w:rsidRPr="007D698E">
        <w:rPr>
          <w:rFonts w:ascii="Times New Roman" w:hAnsi="Times New Roman" w:cs="Times New Roman"/>
          <w:color w:val="000000" w:themeColor="text1"/>
          <w:sz w:val="24"/>
          <w:szCs w:val="24"/>
        </w:rPr>
        <w:t xml:space="preserve"> arrangements made under section 31 of the Torres Strait Act are exempt from sunsetting under s</w:t>
      </w:r>
      <w:r w:rsidR="000B21EE" w:rsidRPr="007D698E">
        <w:rPr>
          <w:rFonts w:ascii="Times New Roman" w:hAnsi="Times New Roman" w:cs="Times New Roman"/>
          <w:color w:val="000000" w:themeColor="text1"/>
          <w:sz w:val="24"/>
          <w:szCs w:val="24"/>
        </w:rPr>
        <w:t>ub</w:t>
      </w:r>
      <w:r w:rsidRPr="007D698E">
        <w:rPr>
          <w:rFonts w:ascii="Times New Roman" w:hAnsi="Times New Roman" w:cs="Times New Roman"/>
          <w:color w:val="000000" w:themeColor="text1"/>
          <w:sz w:val="24"/>
          <w:szCs w:val="24"/>
        </w:rPr>
        <w:t xml:space="preserve">section 54(1) of the Legislation Act, </w:t>
      </w:r>
      <w:r w:rsidR="002F6BA5" w:rsidRPr="007D698E">
        <w:rPr>
          <w:rFonts w:ascii="Times New Roman" w:hAnsi="Times New Roman" w:cs="Times New Roman"/>
          <w:color w:val="000000" w:themeColor="text1"/>
          <w:sz w:val="24"/>
          <w:szCs w:val="24"/>
        </w:rPr>
        <w:t xml:space="preserve">it is appropriate to provide a specific exemption in the Principal Regulation to put the exemption beyond doubt. </w:t>
      </w:r>
    </w:p>
    <w:p w14:paraId="396F0A09" w14:textId="0242867B" w:rsidR="00E33011" w:rsidRPr="007D698E" w:rsidRDefault="00540A0A" w:rsidP="007B3ED5">
      <w:pPr>
        <w:pStyle w:val="Paragraph"/>
        <w:numPr>
          <w:ilvl w:val="0"/>
          <w:numId w:val="0"/>
        </w:numPr>
        <w:tabs>
          <w:tab w:val="left" w:pos="567"/>
        </w:tabs>
        <w:rPr>
          <w:szCs w:val="24"/>
        </w:rPr>
      </w:pPr>
      <w:r w:rsidRPr="007D698E">
        <w:rPr>
          <w:szCs w:val="24"/>
          <w:u w:val="single"/>
        </w:rPr>
        <w:t xml:space="preserve">Paragraph </w:t>
      </w:r>
      <w:proofErr w:type="gramStart"/>
      <w:r w:rsidR="00E33011" w:rsidRPr="007D698E">
        <w:rPr>
          <w:szCs w:val="24"/>
          <w:u w:val="single"/>
        </w:rPr>
        <w:t>63AB</w:t>
      </w:r>
      <w:r w:rsidR="00727595" w:rsidRPr="007D698E">
        <w:rPr>
          <w:szCs w:val="24"/>
          <w:u w:val="single"/>
        </w:rPr>
        <w:t>(</w:t>
      </w:r>
      <w:proofErr w:type="gramEnd"/>
      <w:r w:rsidR="00727595" w:rsidRPr="007D698E">
        <w:rPr>
          <w:szCs w:val="24"/>
          <w:u w:val="single"/>
        </w:rPr>
        <w:t>d</w:t>
      </w:r>
      <w:r w:rsidR="00E33011" w:rsidRPr="007D698E">
        <w:rPr>
          <w:szCs w:val="24"/>
          <w:u w:val="single"/>
        </w:rPr>
        <w:t>)</w:t>
      </w:r>
    </w:p>
    <w:p w14:paraId="215B3C5E" w14:textId="26255C33" w:rsidR="00026764" w:rsidRPr="007D698E" w:rsidRDefault="00C2301F" w:rsidP="007F21A7">
      <w:pPr>
        <w:spacing w:before="240" w:line="240" w:lineRule="auto"/>
        <w:rPr>
          <w:rFonts w:ascii="Times New Roman" w:eastAsia="Times New Roman" w:hAnsi="Times New Roman" w:cs="Times New Roman"/>
          <w:color w:val="FF0000"/>
          <w:sz w:val="24"/>
          <w:szCs w:val="24"/>
          <w:lang w:eastAsia="en-AU"/>
        </w:rPr>
      </w:pPr>
      <w:r w:rsidRPr="007D698E">
        <w:rPr>
          <w:rFonts w:ascii="Times New Roman" w:eastAsia="Times New Roman" w:hAnsi="Times New Roman" w:cs="Times New Roman"/>
          <w:color w:val="000000" w:themeColor="text1"/>
          <w:sz w:val="24"/>
          <w:szCs w:val="24"/>
          <w:lang w:eastAsia="en-AU"/>
        </w:rPr>
        <w:t xml:space="preserve">New </w:t>
      </w:r>
      <w:r w:rsidR="00540A0A" w:rsidRPr="007D698E">
        <w:rPr>
          <w:rFonts w:ascii="Times New Roman" w:hAnsi="Times New Roman" w:cs="Times New Roman"/>
          <w:sz w:val="24"/>
          <w:szCs w:val="24"/>
        </w:rPr>
        <w:t xml:space="preserve">paragraph </w:t>
      </w:r>
      <w:proofErr w:type="gramStart"/>
      <w:r w:rsidRPr="007D698E">
        <w:rPr>
          <w:rFonts w:ascii="Times New Roman" w:eastAsia="Times New Roman" w:hAnsi="Times New Roman" w:cs="Times New Roman"/>
          <w:color w:val="000000" w:themeColor="text1"/>
          <w:sz w:val="24"/>
          <w:szCs w:val="24"/>
          <w:lang w:eastAsia="en-AU"/>
        </w:rPr>
        <w:t>63AB</w:t>
      </w:r>
      <w:r w:rsidR="00727595" w:rsidRPr="007D698E">
        <w:rPr>
          <w:rFonts w:ascii="Times New Roman" w:eastAsia="Times New Roman" w:hAnsi="Times New Roman" w:cs="Times New Roman"/>
          <w:color w:val="000000" w:themeColor="text1"/>
          <w:sz w:val="24"/>
          <w:szCs w:val="24"/>
          <w:lang w:eastAsia="en-AU"/>
        </w:rPr>
        <w:t>(</w:t>
      </w:r>
      <w:proofErr w:type="gramEnd"/>
      <w:r w:rsidR="00727595" w:rsidRPr="007D698E">
        <w:rPr>
          <w:rFonts w:ascii="Times New Roman" w:eastAsia="Times New Roman" w:hAnsi="Times New Roman" w:cs="Times New Roman"/>
          <w:color w:val="000000" w:themeColor="text1"/>
          <w:sz w:val="24"/>
          <w:szCs w:val="24"/>
          <w:lang w:eastAsia="en-AU"/>
        </w:rPr>
        <w:t>d</w:t>
      </w:r>
      <w:r w:rsidRPr="007D698E">
        <w:rPr>
          <w:rFonts w:ascii="Times New Roman" w:eastAsia="Times New Roman" w:hAnsi="Times New Roman" w:cs="Times New Roman"/>
          <w:color w:val="000000" w:themeColor="text1"/>
          <w:sz w:val="24"/>
          <w:szCs w:val="24"/>
          <w:lang w:eastAsia="en-AU"/>
        </w:rPr>
        <w:t xml:space="preserve">) provides an exemption from sunsetting for instruments made by or on behalf of the PZJA in the exercise of a power under subsection 35(1) of the </w:t>
      </w:r>
      <w:r w:rsidR="002417B8" w:rsidRPr="007D698E">
        <w:rPr>
          <w:rFonts w:ascii="Times New Roman" w:hAnsi="Times New Roman" w:cs="Times New Roman"/>
          <w:color w:val="000000" w:themeColor="text1"/>
          <w:sz w:val="24"/>
          <w:szCs w:val="24"/>
        </w:rPr>
        <w:t xml:space="preserve">Torres Strait </w:t>
      </w:r>
      <w:r w:rsidRPr="007D698E">
        <w:rPr>
          <w:rFonts w:ascii="Times New Roman" w:eastAsia="Times New Roman" w:hAnsi="Times New Roman" w:cs="Times New Roman"/>
          <w:color w:val="000000" w:themeColor="text1"/>
          <w:sz w:val="24"/>
          <w:szCs w:val="24"/>
          <w:lang w:eastAsia="en-AU"/>
        </w:rPr>
        <w:t xml:space="preserve">Act. </w:t>
      </w:r>
      <w:r w:rsidR="000B21EE" w:rsidRPr="007D698E">
        <w:rPr>
          <w:rStyle w:val="CelltextChar"/>
          <w:rFonts w:eastAsiaTheme="minorHAnsi"/>
          <w:szCs w:val="24"/>
        </w:rPr>
        <w:t>Paragraph </w:t>
      </w:r>
      <w:r w:rsidR="007F21A7" w:rsidRPr="007D698E">
        <w:rPr>
          <w:rStyle w:val="CelltextChar"/>
          <w:rFonts w:eastAsiaTheme="minorHAnsi"/>
          <w:szCs w:val="24"/>
        </w:rPr>
        <w:t>35(1</w:t>
      </w:r>
      <w:proofErr w:type="gramStart"/>
      <w:r w:rsidR="007F21A7" w:rsidRPr="007D698E">
        <w:rPr>
          <w:rStyle w:val="CelltextChar"/>
          <w:rFonts w:eastAsiaTheme="minorHAnsi"/>
          <w:szCs w:val="24"/>
        </w:rPr>
        <w:t>)</w:t>
      </w:r>
      <w:r w:rsidR="000B21EE" w:rsidRPr="007D698E">
        <w:rPr>
          <w:rStyle w:val="CelltextChar"/>
          <w:rFonts w:eastAsiaTheme="minorHAnsi"/>
          <w:szCs w:val="24"/>
        </w:rPr>
        <w:t>(</w:t>
      </w:r>
      <w:proofErr w:type="gramEnd"/>
      <w:r w:rsidR="000B21EE" w:rsidRPr="007D698E">
        <w:rPr>
          <w:rStyle w:val="CelltextChar"/>
          <w:rFonts w:eastAsiaTheme="minorHAnsi"/>
          <w:szCs w:val="24"/>
        </w:rPr>
        <w:t>a)</w:t>
      </w:r>
      <w:r w:rsidR="007F21A7" w:rsidRPr="007D698E">
        <w:rPr>
          <w:rStyle w:val="CelltextChar"/>
          <w:rFonts w:eastAsiaTheme="minorHAnsi"/>
          <w:szCs w:val="24"/>
        </w:rPr>
        <w:t xml:space="preserve"> provides that, for a </w:t>
      </w:r>
      <w:r w:rsidR="00FC5E72" w:rsidRPr="007D698E">
        <w:rPr>
          <w:rStyle w:val="CelltextChar"/>
          <w:rFonts w:eastAsiaTheme="minorHAnsi"/>
          <w:szCs w:val="24"/>
        </w:rPr>
        <w:t>PZJA</w:t>
      </w:r>
      <w:r w:rsidR="007F21A7" w:rsidRPr="007D698E">
        <w:rPr>
          <w:rStyle w:val="CelltextChar"/>
          <w:rFonts w:eastAsiaTheme="minorHAnsi"/>
          <w:szCs w:val="24"/>
        </w:rPr>
        <w:t xml:space="preserve"> fishery, </w:t>
      </w:r>
      <w:r w:rsidR="000B21EE" w:rsidRPr="007D698E">
        <w:rPr>
          <w:rStyle w:val="CelltextChar"/>
          <w:rFonts w:eastAsiaTheme="minorHAnsi"/>
          <w:szCs w:val="24"/>
        </w:rPr>
        <w:t>specific</w:t>
      </w:r>
      <w:r w:rsidR="007F21A7" w:rsidRPr="007D698E">
        <w:rPr>
          <w:rStyle w:val="CelltextChar"/>
          <w:rFonts w:eastAsiaTheme="minorHAnsi"/>
          <w:szCs w:val="24"/>
        </w:rPr>
        <w:t xml:space="preserve"> powers of the </w:t>
      </w:r>
      <w:r w:rsidR="00047DF9" w:rsidRPr="007D698E">
        <w:rPr>
          <w:rStyle w:val="CelltextChar"/>
          <w:rFonts w:eastAsiaTheme="minorHAnsi"/>
          <w:szCs w:val="24"/>
        </w:rPr>
        <w:t xml:space="preserve">Commonwealth </w:t>
      </w:r>
      <w:r w:rsidR="007F21A7" w:rsidRPr="007D698E">
        <w:rPr>
          <w:rStyle w:val="CelltextChar"/>
          <w:rFonts w:eastAsiaTheme="minorHAnsi"/>
          <w:szCs w:val="24"/>
        </w:rPr>
        <w:t>Minister are exercisable by the PZJA</w:t>
      </w:r>
      <w:r w:rsidR="00026764" w:rsidRPr="007D698E">
        <w:rPr>
          <w:rStyle w:val="CelltextChar"/>
          <w:rFonts w:eastAsiaTheme="minorHAnsi"/>
          <w:szCs w:val="24"/>
        </w:rPr>
        <w:t>.</w:t>
      </w:r>
      <w:r w:rsidR="007F21A7" w:rsidRPr="007D698E">
        <w:rPr>
          <w:rStyle w:val="CelltextChar"/>
          <w:rFonts w:eastAsiaTheme="minorHAnsi"/>
          <w:szCs w:val="24"/>
        </w:rPr>
        <w:t xml:space="preserve"> </w:t>
      </w:r>
      <w:r w:rsidR="001A026E" w:rsidRPr="007D698E">
        <w:rPr>
          <w:rStyle w:val="CelltextChar"/>
          <w:rFonts w:eastAsiaTheme="minorHAnsi"/>
          <w:szCs w:val="24"/>
        </w:rPr>
        <w:t>I</w:t>
      </w:r>
      <w:r w:rsidR="007F2670" w:rsidRPr="007D698E">
        <w:rPr>
          <w:rStyle w:val="CelltextChar"/>
          <w:rFonts w:eastAsiaTheme="minorHAnsi"/>
          <w:szCs w:val="24"/>
        </w:rPr>
        <w:t>nstruments</w:t>
      </w:r>
      <w:r w:rsidR="00026764" w:rsidRPr="007D698E">
        <w:rPr>
          <w:rStyle w:val="CelltextChar"/>
          <w:rFonts w:eastAsiaTheme="minorHAnsi"/>
          <w:szCs w:val="24"/>
        </w:rPr>
        <w:t xml:space="preserve"> made under</w:t>
      </w:r>
      <w:r w:rsidR="007F21A7" w:rsidRPr="007D698E">
        <w:rPr>
          <w:rStyle w:val="CelltextChar"/>
          <w:rFonts w:eastAsiaTheme="minorHAnsi"/>
          <w:szCs w:val="24"/>
        </w:rPr>
        <w:t xml:space="preserve"> </w:t>
      </w:r>
      <w:r w:rsidR="00026764" w:rsidRPr="007D698E">
        <w:rPr>
          <w:rStyle w:val="CelltextChar"/>
          <w:rFonts w:eastAsiaTheme="minorHAnsi"/>
          <w:szCs w:val="24"/>
        </w:rPr>
        <w:t>this power</w:t>
      </w:r>
      <w:r w:rsidR="001A026E" w:rsidRPr="007D698E">
        <w:rPr>
          <w:rStyle w:val="CelltextChar"/>
          <w:rFonts w:eastAsiaTheme="minorHAnsi"/>
          <w:szCs w:val="24"/>
        </w:rPr>
        <w:t xml:space="preserve"> currently</w:t>
      </w:r>
      <w:r w:rsidR="00026764" w:rsidRPr="007D698E">
        <w:rPr>
          <w:rStyle w:val="CelltextChar"/>
          <w:rFonts w:eastAsiaTheme="minorHAnsi"/>
          <w:szCs w:val="24"/>
        </w:rPr>
        <w:t xml:space="preserve"> include:</w:t>
      </w:r>
    </w:p>
    <w:p w14:paraId="45E1D377" w14:textId="77777777" w:rsidR="008D3E8D" w:rsidRPr="007D698E" w:rsidRDefault="008D3E8D" w:rsidP="008D3E8D">
      <w:pPr>
        <w:pStyle w:val="CommentText"/>
        <w:numPr>
          <w:ilvl w:val="0"/>
          <w:numId w:val="12"/>
        </w:numPr>
        <w:rPr>
          <w:rFonts w:eastAsiaTheme="minorHAnsi"/>
          <w:i/>
          <w:sz w:val="24"/>
          <w:szCs w:val="24"/>
        </w:rPr>
      </w:pPr>
      <w:r w:rsidRPr="007D698E">
        <w:rPr>
          <w:rFonts w:eastAsiaTheme="minorHAnsi"/>
          <w:i/>
          <w:sz w:val="24"/>
          <w:szCs w:val="24"/>
        </w:rPr>
        <w:t>Torres Strait Prawn Fishery Management Plan 2009</w:t>
      </w:r>
    </w:p>
    <w:p w14:paraId="037A5480" w14:textId="77777777" w:rsidR="008D3E8D" w:rsidRPr="007D698E" w:rsidRDefault="008D3E8D" w:rsidP="008D3E8D">
      <w:pPr>
        <w:pStyle w:val="CommentText"/>
        <w:numPr>
          <w:ilvl w:val="0"/>
          <w:numId w:val="12"/>
        </w:numPr>
        <w:rPr>
          <w:rFonts w:eastAsiaTheme="minorHAnsi"/>
          <w:i/>
          <w:sz w:val="24"/>
          <w:szCs w:val="24"/>
        </w:rPr>
      </w:pPr>
      <w:r w:rsidRPr="007D698E">
        <w:rPr>
          <w:rFonts w:eastAsiaTheme="minorHAnsi"/>
          <w:i/>
          <w:sz w:val="24"/>
          <w:szCs w:val="24"/>
        </w:rPr>
        <w:t xml:space="preserve">Community Fishing Notice No.1 – Community fishing in the Torres Strait - prohibition on taking fish without a licence </w:t>
      </w:r>
    </w:p>
    <w:p w14:paraId="070864EE" w14:textId="76324259" w:rsidR="008D3E8D" w:rsidRPr="007D698E" w:rsidRDefault="008D3E8D" w:rsidP="008D3E8D">
      <w:pPr>
        <w:pStyle w:val="CommentText"/>
        <w:numPr>
          <w:ilvl w:val="0"/>
          <w:numId w:val="12"/>
        </w:numPr>
        <w:rPr>
          <w:rFonts w:eastAsiaTheme="minorHAnsi"/>
          <w:i/>
          <w:sz w:val="24"/>
          <w:szCs w:val="24"/>
        </w:rPr>
      </w:pPr>
      <w:r w:rsidRPr="007D698E">
        <w:rPr>
          <w:rFonts w:eastAsiaTheme="minorHAnsi"/>
          <w:i/>
          <w:sz w:val="24"/>
          <w:szCs w:val="24"/>
        </w:rPr>
        <w:t xml:space="preserve">Torres Strait </w:t>
      </w:r>
      <w:r w:rsidR="00026764" w:rsidRPr="007D698E">
        <w:rPr>
          <w:rFonts w:eastAsiaTheme="minorHAnsi"/>
          <w:i/>
          <w:sz w:val="24"/>
          <w:szCs w:val="24"/>
        </w:rPr>
        <w:t>Fisheries Management Notice No.</w:t>
      </w:r>
      <w:r w:rsidRPr="007D698E">
        <w:rPr>
          <w:rFonts w:eastAsiaTheme="minorHAnsi"/>
          <w:i/>
          <w:sz w:val="24"/>
          <w:szCs w:val="24"/>
        </w:rPr>
        <w:t xml:space="preserve"> 50</w:t>
      </w:r>
      <w:r w:rsidR="00336401" w:rsidRPr="007D698E">
        <w:rPr>
          <w:rFonts w:eastAsiaTheme="minorHAnsi"/>
          <w:sz w:val="24"/>
          <w:szCs w:val="24"/>
        </w:rPr>
        <w:t>, and</w:t>
      </w:r>
    </w:p>
    <w:p w14:paraId="41BE884B" w14:textId="365D9974" w:rsidR="007F21A7" w:rsidRPr="007D698E" w:rsidRDefault="00BC5F35" w:rsidP="008D3E8D">
      <w:pPr>
        <w:pStyle w:val="ListParagraph"/>
        <w:numPr>
          <w:ilvl w:val="0"/>
          <w:numId w:val="12"/>
        </w:numPr>
        <w:spacing w:line="240" w:lineRule="auto"/>
        <w:rPr>
          <w:rFonts w:ascii="Times New Roman" w:eastAsia="Times New Roman" w:hAnsi="Times New Roman" w:cs="Times New Roman"/>
          <w:sz w:val="24"/>
          <w:szCs w:val="24"/>
          <w:lang w:eastAsia="en-AU"/>
        </w:rPr>
      </w:pPr>
      <w:r>
        <w:rPr>
          <w:rFonts w:ascii="Times New Roman" w:hAnsi="Times New Roman" w:cs="Times New Roman"/>
          <w:i/>
          <w:sz w:val="24"/>
          <w:szCs w:val="24"/>
        </w:rPr>
        <w:t xml:space="preserve">Torres Strait </w:t>
      </w:r>
      <w:r w:rsidR="00026764" w:rsidRPr="007D698E">
        <w:rPr>
          <w:rFonts w:ascii="Times New Roman" w:hAnsi="Times New Roman" w:cs="Times New Roman"/>
          <w:i/>
          <w:sz w:val="24"/>
          <w:szCs w:val="24"/>
        </w:rPr>
        <w:t>Fisheries Management Notice No. 82</w:t>
      </w:r>
      <w:r w:rsidR="00300878" w:rsidRPr="007D698E">
        <w:rPr>
          <w:rFonts w:ascii="Times New Roman" w:hAnsi="Times New Roman" w:cs="Times New Roman"/>
          <w:sz w:val="24"/>
          <w:szCs w:val="24"/>
        </w:rPr>
        <w:t xml:space="preserve">. </w:t>
      </w:r>
    </w:p>
    <w:p w14:paraId="0AE0C1BE" w14:textId="4628BC67" w:rsidR="006A2E6F" w:rsidRPr="007D698E" w:rsidRDefault="00B040B8" w:rsidP="004D1C67">
      <w:pPr>
        <w:spacing w:before="240" w:line="240" w:lineRule="auto"/>
        <w:rPr>
          <w:rFonts w:ascii="Times New Roman" w:eastAsia="Times New Roman" w:hAnsi="Times New Roman" w:cs="Times New Roman"/>
          <w:color w:val="000000" w:themeColor="text1"/>
          <w:sz w:val="24"/>
          <w:szCs w:val="24"/>
          <w:lang w:eastAsia="en-AU"/>
        </w:rPr>
      </w:pPr>
      <w:r w:rsidRPr="007D698E">
        <w:rPr>
          <w:rFonts w:ascii="Times New Roman" w:eastAsia="Times New Roman" w:hAnsi="Times New Roman" w:cs="Times New Roman"/>
          <w:color w:val="000000" w:themeColor="text1"/>
          <w:sz w:val="24"/>
          <w:szCs w:val="24"/>
          <w:lang w:eastAsia="en-AU"/>
        </w:rPr>
        <w:t xml:space="preserve">The PZJA exercises powers and performs functions by way of meetings that follow the procedures prescribed in section 40 of the Torres Strait Act, as described above. </w:t>
      </w:r>
      <w:r w:rsidRPr="007D698E">
        <w:rPr>
          <w:rStyle w:val="CelltextChar"/>
          <w:rFonts w:eastAsiaTheme="minorHAnsi"/>
          <w:szCs w:val="24"/>
        </w:rPr>
        <w:t xml:space="preserve">Pursuant to subsection 38(1) of the Torres Strait Act, the PZJA cannot delegate any of the powers that it </w:t>
      </w:r>
      <w:r w:rsidRPr="007D698E">
        <w:rPr>
          <w:rStyle w:val="CelltextChar"/>
          <w:rFonts w:eastAsiaTheme="minorHAnsi"/>
          <w:szCs w:val="24"/>
        </w:rPr>
        <w:lastRenderedPageBreak/>
        <w:t xml:space="preserve">may exercise </w:t>
      </w:r>
      <w:r w:rsidR="0079615D" w:rsidRPr="007D698E">
        <w:rPr>
          <w:rFonts w:ascii="Times New Roman" w:eastAsia="Times New Roman" w:hAnsi="Times New Roman" w:cs="Times New Roman"/>
          <w:color w:val="000000" w:themeColor="text1"/>
          <w:sz w:val="24"/>
          <w:szCs w:val="24"/>
          <w:lang w:eastAsia="en-AU"/>
        </w:rPr>
        <w:t>by way of</w:t>
      </w:r>
      <w:r w:rsidRPr="007D698E">
        <w:rPr>
          <w:rFonts w:ascii="Times New Roman" w:eastAsia="Times New Roman" w:hAnsi="Times New Roman" w:cs="Times New Roman"/>
          <w:color w:val="000000" w:themeColor="text1"/>
          <w:sz w:val="24"/>
          <w:szCs w:val="24"/>
          <w:lang w:eastAsia="en-AU"/>
        </w:rPr>
        <w:t xml:space="preserve"> subsection 35(1) of the Torres Strait Act.</w:t>
      </w:r>
      <w:r w:rsidR="0079615D" w:rsidRPr="007D698E">
        <w:rPr>
          <w:rFonts w:ascii="Times New Roman" w:eastAsia="Times New Roman" w:hAnsi="Times New Roman" w:cs="Times New Roman"/>
          <w:color w:val="000000" w:themeColor="text1"/>
          <w:sz w:val="24"/>
          <w:szCs w:val="24"/>
          <w:lang w:eastAsia="en-AU"/>
        </w:rPr>
        <w:t xml:space="preserve"> Further, subsection 35(2) provides that where a fishery becomes a PZJA fishery, instruments made by the Minister under the powers </w:t>
      </w:r>
      <w:r w:rsidR="00AA316C" w:rsidRPr="007D698E">
        <w:rPr>
          <w:rFonts w:ascii="Times New Roman" w:eastAsia="Times New Roman" w:hAnsi="Times New Roman" w:cs="Times New Roman"/>
          <w:color w:val="000000" w:themeColor="text1"/>
          <w:sz w:val="24"/>
          <w:szCs w:val="24"/>
          <w:lang w:eastAsia="en-AU"/>
        </w:rPr>
        <w:t xml:space="preserve">that are </w:t>
      </w:r>
      <w:r w:rsidR="0079615D" w:rsidRPr="007D698E">
        <w:rPr>
          <w:rFonts w:ascii="Times New Roman" w:eastAsia="Times New Roman" w:hAnsi="Times New Roman" w:cs="Times New Roman"/>
          <w:color w:val="000000" w:themeColor="text1"/>
          <w:sz w:val="24"/>
          <w:szCs w:val="24"/>
          <w:lang w:eastAsia="en-AU"/>
        </w:rPr>
        <w:t xml:space="preserve">exercisable by the PZJA under subsection 35(1), cease to apply to that fishery. </w:t>
      </w:r>
    </w:p>
    <w:p w14:paraId="61265902" w14:textId="74175C18" w:rsidR="006A2E6F" w:rsidRPr="007D698E" w:rsidRDefault="006A2E6F" w:rsidP="006A2E6F">
      <w:pPr>
        <w:pStyle w:val="Paragraph"/>
        <w:numPr>
          <w:ilvl w:val="0"/>
          <w:numId w:val="0"/>
        </w:numPr>
        <w:tabs>
          <w:tab w:val="left" w:pos="567"/>
        </w:tabs>
        <w:rPr>
          <w:color w:val="000000" w:themeColor="text1"/>
          <w:szCs w:val="24"/>
        </w:rPr>
      </w:pPr>
      <w:r w:rsidRPr="007D698E">
        <w:rPr>
          <w:color w:val="000000" w:themeColor="text1"/>
          <w:szCs w:val="24"/>
        </w:rPr>
        <w:t>As such</w:t>
      </w:r>
      <w:r w:rsidR="008C0F64" w:rsidRPr="007D698E">
        <w:rPr>
          <w:color w:val="000000" w:themeColor="text1"/>
          <w:szCs w:val="24"/>
        </w:rPr>
        <w:t>,</w:t>
      </w:r>
      <w:r w:rsidRPr="007D698E">
        <w:rPr>
          <w:color w:val="000000" w:themeColor="text1"/>
          <w:szCs w:val="24"/>
        </w:rPr>
        <w:t xml:space="preserve"> instruments made by or on behalf of the PZJA in the exercise of a power under subsection 35(1) of the Torres Strait Act are part of the intergovernmental scheme between the Commonwealth and Queensland, and it would be inappropriate for the Commonwealth to unilaterally sunset the instruments. </w:t>
      </w:r>
      <w:r w:rsidRPr="007D698E">
        <w:rPr>
          <w:szCs w:val="24"/>
        </w:rPr>
        <w:t xml:space="preserve">Accordingly, it is appropriate for these </w:t>
      </w:r>
      <w:r w:rsidRPr="007D698E">
        <w:rPr>
          <w:color w:val="000000" w:themeColor="text1"/>
          <w:szCs w:val="24"/>
        </w:rPr>
        <w:t xml:space="preserve">instruments to be exempt </w:t>
      </w:r>
      <w:r w:rsidR="00BC5F35">
        <w:rPr>
          <w:color w:val="000000" w:themeColor="text1"/>
          <w:szCs w:val="24"/>
        </w:rPr>
        <w:t xml:space="preserve">from </w:t>
      </w:r>
      <w:r w:rsidRPr="007D698E">
        <w:rPr>
          <w:color w:val="000000" w:themeColor="text1"/>
          <w:szCs w:val="24"/>
        </w:rPr>
        <w:t>sunsetting.</w:t>
      </w:r>
    </w:p>
    <w:p w14:paraId="2A78023C" w14:textId="45B032A9" w:rsidR="007E001A" w:rsidRPr="007D698E" w:rsidRDefault="00796B61" w:rsidP="007E001A">
      <w:pPr>
        <w:pStyle w:val="Paragraph"/>
        <w:numPr>
          <w:ilvl w:val="0"/>
          <w:numId w:val="0"/>
        </w:numPr>
        <w:tabs>
          <w:tab w:val="left" w:pos="567"/>
        </w:tabs>
        <w:rPr>
          <w:color w:val="000000" w:themeColor="text1"/>
          <w:szCs w:val="24"/>
        </w:rPr>
      </w:pPr>
      <w:r w:rsidRPr="007D698E">
        <w:rPr>
          <w:color w:val="000000" w:themeColor="text1"/>
          <w:szCs w:val="24"/>
        </w:rPr>
        <w:t xml:space="preserve">While it is likely that </w:t>
      </w:r>
      <w:r w:rsidR="007E001A" w:rsidRPr="007D698E">
        <w:rPr>
          <w:color w:val="000000" w:themeColor="text1"/>
          <w:szCs w:val="24"/>
        </w:rPr>
        <w:t xml:space="preserve">instruments made by or on behalf of the </w:t>
      </w:r>
      <w:r w:rsidR="00E6428D" w:rsidRPr="007D698E">
        <w:rPr>
          <w:color w:val="000000" w:themeColor="text1"/>
          <w:szCs w:val="24"/>
        </w:rPr>
        <w:t xml:space="preserve">PZJA </w:t>
      </w:r>
      <w:r w:rsidR="007E001A" w:rsidRPr="007D698E">
        <w:rPr>
          <w:color w:val="000000" w:themeColor="text1"/>
          <w:szCs w:val="24"/>
        </w:rPr>
        <w:t xml:space="preserve">in an exercise of a power under subsection 35(1) of the Torres Strait Act are exempt from sunsetting under subsection 54(1) of the Legislation Act, it is appropriate to provide a specific exemption in the Principal Regulation to put the exemption beyond doubt. </w:t>
      </w:r>
    </w:p>
    <w:p w14:paraId="53F9304C" w14:textId="45183023" w:rsidR="00C2301F" w:rsidRPr="007D698E" w:rsidRDefault="00C2301F" w:rsidP="00E7740E">
      <w:pPr>
        <w:pStyle w:val="Paragraph"/>
        <w:numPr>
          <w:ilvl w:val="0"/>
          <w:numId w:val="0"/>
        </w:numPr>
        <w:tabs>
          <w:tab w:val="left" w:pos="567"/>
        </w:tabs>
        <w:rPr>
          <w:color w:val="FF0000"/>
          <w:szCs w:val="24"/>
        </w:rPr>
      </w:pPr>
    </w:p>
    <w:sectPr w:rsidR="00C2301F" w:rsidRPr="007D698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D7EE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BBC"/>
    <w:multiLevelType w:val="hybridMultilevel"/>
    <w:tmpl w:val="48E26B90"/>
    <w:lvl w:ilvl="0" w:tplc="95AA1F46">
      <w:numFmt w:val="bullet"/>
      <w:lvlText w:val=""/>
      <w:lvlJc w:val="left"/>
      <w:pPr>
        <w:ind w:left="720" w:hanging="360"/>
      </w:pPr>
      <w:rPr>
        <w:rFonts w:ascii="Symbol" w:eastAsia="Times New Roman" w:hAnsi="Symbol" w:cs="Times New Roman" w:hint="default"/>
      </w:rPr>
    </w:lvl>
    <w:lvl w:ilvl="1" w:tplc="2F1240C2" w:tentative="1">
      <w:start w:val="1"/>
      <w:numFmt w:val="bullet"/>
      <w:lvlText w:val="o"/>
      <w:lvlJc w:val="left"/>
      <w:pPr>
        <w:ind w:left="1440" w:hanging="360"/>
      </w:pPr>
      <w:rPr>
        <w:rFonts w:ascii="Courier New" w:hAnsi="Courier New" w:cs="Courier New" w:hint="default"/>
      </w:rPr>
    </w:lvl>
    <w:lvl w:ilvl="2" w:tplc="B13A7C80" w:tentative="1">
      <w:start w:val="1"/>
      <w:numFmt w:val="bullet"/>
      <w:lvlText w:val=""/>
      <w:lvlJc w:val="left"/>
      <w:pPr>
        <w:ind w:left="2160" w:hanging="360"/>
      </w:pPr>
      <w:rPr>
        <w:rFonts w:ascii="Wingdings" w:hAnsi="Wingdings" w:hint="default"/>
      </w:rPr>
    </w:lvl>
    <w:lvl w:ilvl="3" w:tplc="B4444D4C" w:tentative="1">
      <w:start w:val="1"/>
      <w:numFmt w:val="bullet"/>
      <w:lvlText w:val=""/>
      <w:lvlJc w:val="left"/>
      <w:pPr>
        <w:ind w:left="2880" w:hanging="360"/>
      </w:pPr>
      <w:rPr>
        <w:rFonts w:ascii="Symbol" w:hAnsi="Symbol" w:hint="default"/>
      </w:rPr>
    </w:lvl>
    <w:lvl w:ilvl="4" w:tplc="D286080C" w:tentative="1">
      <w:start w:val="1"/>
      <w:numFmt w:val="bullet"/>
      <w:lvlText w:val="o"/>
      <w:lvlJc w:val="left"/>
      <w:pPr>
        <w:ind w:left="3600" w:hanging="360"/>
      </w:pPr>
      <w:rPr>
        <w:rFonts w:ascii="Courier New" w:hAnsi="Courier New" w:cs="Courier New" w:hint="default"/>
      </w:rPr>
    </w:lvl>
    <w:lvl w:ilvl="5" w:tplc="2AEA98AE" w:tentative="1">
      <w:start w:val="1"/>
      <w:numFmt w:val="bullet"/>
      <w:lvlText w:val=""/>
      <w:lvlJc w:val="left"/>
      <w:pPr>
        <w:ind w:left="4320" w:hanging="360"/>
      </w:pPr>
      <w:rPr>
        <w:rFonts w:ascii="Wingdings" w:hAnsi="Wingdings" w:hint="default"/>
      </w:rPr>
    </w:lvl>
    <w:lvl w:ilvl="6" w:tplc="E520AC3A" w:tentative="1">
      <w:start w:val="1"/>
      <w:numFmt w:val="bullet"/>
      <w:lvlText w:val=""/>
      <w:lvlJc w:val="left"/>
      <w:pPr>
        <w:ind w:left="5040" w:hanging="360"/>
      </w:pPr>
      <w:rPr>
        <w:rFonts w:ascii="Symbol" w:hAnsi="Symbol" w:hint="default"/>
      </w:rPr>
    </w:lvl>
    <w:lvl w:ilvl="7" w:tplc="A192FFEA" w:tentative="1">
      <w:start w:val="1"/>
      <w:numFmt w:val="bullet"/>
      <w:lvlText w:val="o"/>
      <w:lvlJc w:val="left"/>
      <w:pPr>
        <w:ind w:left="5760" w:hanging="360"/>
      </w:pPr>
      <w:rPr>
        <w:rFonts w:ascii="Courier New" w:hAnsi="Courier New" w:cs="Courier New" w:hint="default"/>
      </w:rPr>
    </w:lvl>
    <w:lvl w:ilvl="8" w:tplc="69BE34E2" w:tentative="1">
      <w:start w:val="1"/>
      <w:numFmt w:val="bullet"/>
      <w:lvlText w:val=""/>
      <w:lvlJc w:val="left"/>
      <w:pPr>
        <w:ind w:left="6480" w:hanging="360"/>
      </w:pPr>
      <w:rPr>
        <w:rFonts w:ascii="Wingdings" w:hAnsi="Wingdings" w:hint="default"/>
      </w:rPr>
    </w:lvl>
  </w:abstractNum>
  <w:abstractNum w:abstractNumId="1">
    <w:nsid w:val="039B7088"/>
    <w:multiLevelType w:val="hybridMultilevel"/>
    <w:tmpl w:val="D206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13322E"/>
    <w:multiLevelType w:val="hybridMultilevel"/>
    <w:tmpl w:val="915852F4"/>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nsid w:val="15BF71AB"/>
    <w:multiLevelType w:val="hybridMultilevel"/>
    <w:tmpl w:val="F92A5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B24793D"/>
    <w:multiLevelType w:val="hybridMultilevel"/>
    <w:tmpl w:val="D73C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537B11"/>
    <w:multiLevelType w:val="hybridMultilevel"/>
    <w:tmpl w:val="E948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D0316E"/>
    <w:multiLevelType w:val="hybridMultilevel"/>
    <w:tmpl w:val="F3ACB470"/>
    <w:lvl w:ilvl="0" w:tplc="16180626">
      <w:start w:val="1"/>
      <w:numFmt w:val="decimal"/>
      <w:lvlText w:val="%1."/>
      <w:lvlJc w:val="left"/>
      <w:pPr>
        <w:ind w:left="720" w:hanging="360"/>
      </w:pPr>
      <w:rPr>
        <w:rFonts w:hint="default"/>
        <w:b w:val="0"/>
      </w:rPr>
    </w:lvl>
    <w:lvl w:ilvl="1" w:tplc="0C090001">
      <w:start w:val="1"/>
      <w:numFmt w:val="bullet"/>
      <w:lvlText w:val=""/>
      <w:lvlJc w:val="left"/>
      <w:pPr>
        <w:ind w:left="36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B4F5E"/>
    <w:multiLevelType w:val="hybridMultilevel"/>
    <w:tmpl w:val="2B3C2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236E66"/>
    <w:multiLevelType w:val="hybridMultilevel"/>
    <w:tmpl w:val="17C89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662925"/>
    <w:multiLevelType w:val="hybridMultilevel"/>
    <w:tmpl w:val="619E8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937C7F"/>
    <w:multiLevelType w:val="hybridMultilevel"/>
    <w:tmpl w:val="EAC2D8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DB6250"/>
    <w:multiLevelType w:val="hybridMultilevel"/>
    <w:tmpl w:val="A8E29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854B11"/>
    <w:multiLevelType w:val="hybridMultilevel"/>
    <w:tmpl w:val="11123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F36472"/>
    <w:multiLevelType w:val="hybridMultilevel"/>
    <w:tmpl w:val="8E20DED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4">
    <w:nsid w:val="56C32C91"/>
    <w:multiLevelType w:val="hybridMultilevel"/>
    <w:tmpl w:val="E37CC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F5408D"/>
    <w:multiLevelType w:val="hybridMultilevel"/>
    <w:tmpl w:val="2B641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AC37D6"/>
    <w:multiLevelType w:val="hybridMultilevel"/>
    <w:tmpl w:val="76088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740C3C4C"/>
    <w:multiLevelType w:val="hybridMultilevel"/>
    <w:tmpl w:val="C17E7DE4"/>
    <w:lvl w:ilvl="0" w:tplc="16180626">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17"/>
  </w:num>
  <w:num w:numId="4">
    <w:abstractNumId w:val="6"/>
  </w:num>
  <w:num w:numId="5">
    <w:abstractNumId w:val="0"/>
  </w:num>
  <w:num w:numId="6">
    <w:abstractNumId w:val="2"/>
  </w:num>
  <w:num w:numId="7">
    <w:abstractNumId w:val="3"/>
  </w:num>
  <w:num w:numId="8">
    <w:abstractNumId w:val="14"/>
  </w:num>
  <w:num w:numId="9">
    <w:abstractNumId w:val="1"/>
  </w:num>
  <w:num w:numId="10">
    <w:abstractNumId w:val="10"/>
  </w:num>
  <w:num w:numId="11">
    <w:abstractNumId w:val="5"/>
  </w:num>
  <w:num w:numId="12">
    <w:abstractNumId w:val="13"/>
  </w:num>
  <w:num w:numId="13">
    <w:abstractNumId w:val="9"/>
  </w:num>
  <w:num w:numId="14">
    <w:abstractNumId w:val="15"/>
  </w:num>
  <w:num w:numId="15">
    <w:abstractNumId w:val="7"/>
  </w:num>
  <w:num w:numId="16">
    <w:abstractNumId w:val="16"/>
  </w:num>
  <w:num w:numId="17">
    <w:abstractNumId w:val="12"/>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m, Marina">
    <w15:presenceInfo w15:providerId="AD" w15:userId="S-1-5-21-3116327230-3747694248-558935996-51267"/>
  </w15:person>
  <w15:person w15:author="Suur, Lembit">
    <w15:presenceInfo w15:providerId="AD" w15:userId="S-1-5-21-3116327230-3747694248-558935996-24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72"/>
    <w:rsid w:val="00000AF0"/>
    <w:rsid w:val="00003FAA"/>
    <w:rsid w:val="00013665"/>
    <w:rsid w:val="00013CB3"/>
    <w:rsid w:val="0001417B"/>
    <w:rsid w:val="00014916"/>
    <w:rsid w:val="00025432"/>
    <w:rsid w:val="00026764"/>
    <w:rsid w:val="0003395E"/>
    <w:rsid w:val="00035BB8"/>
    <w:rsid w:val="0003646C"/>
    <w:rsid w:val="00040DFF"/>
    <w:rsid w:val="00043584"/>
    <w:rsid w:val="000448A9"/>
    <w:rsid w:val="00047DF9"/>
    <w:rsid w:val="000570B7"/>
    <w:rsid w:val="00061969"/>
    <w:rsid w:val="00070727"/>
    <w:rsid w:val="00073C36"/>
    <w:rsid w:val="00076677"/>
    <w:rsid w:val="000825FA"/>
    <w:rsid w:val="00082DFB"/>
    <w:rsid w:val="0008753A"/>
    <w:rsid w:val="00087B90"/>
    <w:rsid w:val="000921ED"/>
    <w:rsid w:val="000A0D77"/>
    <w:rsid w:val="000A12CA"/>
    <w:rsid w:val="000A215E"/>
    <w:rsid w:val="000A400C"/>
    <w:rsid w:val="000A7F61"/>
    <w:rsid w:val="000B219E"/>
    <w:rsid w:val="000B21EE"/>
    <w:rsid w:val="000B635B"/>
    <w:rsid w:val="000B6D2D"/>
    <w:rsid w:val="000C0804"/>
    <w:rsid w:val="000C1809"/>
    <w:rsid w:val="000C2F85"/>
    <w:rsid w:val="000C592D"/>
    <w:rsid w:val="000D0AB5"/>
    <w:rsid w:val="000D3076"/>
    <w:rsid w:val="000D6545"/>
    <w:rsid w:val="000E02EF"/>
    <w:rsid w:val="000E242C"/>
    <w:rsid w:val="000E2D8A"/>
    <w:rsid w:val="000F1BFD"/>
    <w:rsid w:val="001114EB"/>
    <w:rsid w:val="00120984"/>
    <w:rsid w:val="0013169B"/>
    <w:rsid w:val="001347B6"/>
    <w:rsid w:val="001470B3"/>
    <w:rsid w:val="001473A5"/>
    <w:rsid w:val="0015255F"/>
    <w:rsid w:val="00157661"/>
    <w:rsid w:val="00166CE1"/>
    <w:rsid w:val="001741B3"/>
    <w:rsid w:val="00174678"/>
    <w:rsid w:val="00177684"/>
    <w:rsid w:val="0018013E"/>
    <w:rsid w:val="00184D82"/>
    <w:rsid w:val="0018758C"/>
    <w:rsid w:val="001954C2"/>
    <w:rsid w:val="001A026E"/>
    <w:rsid w:val="001A5954"/>
    <w:rsid w:val="001B3CA8"/>
    <w:rsid w:val="001B5A20"/>
    <w:rsid w:val="001C0690"/>
    <w:rsid w:val="001C1116"/>
    <w:rsid w:val="001D0C6C"/>
    <w:rsid w:val="001D2334"/>
    <w:rsid w:val="001D61DF"/>
    <w:rsid w:val="001E4A7B"/>
    <w:rsid w:val="001E580E"/>
    <w:rsid w:val="001F0292"/>
    <w:rsid w:val="001F16D5"/>
    <w:rsid w:val="001F2315"/>
    <w:rsid w:val="001F5C75"/>
    <w:rsid w:val="001F77A0"/>
    <w:rsid w:val="0020222B"/>
    <w:rsid w:val="00206E8D"/>
    <w:rsid w:val="002106C2"/>
    <w:rsid w:val="00211EF3"/>
    <w:rsid w:val="0021237F"/>
    <w:rsid w:val="002178ED"/>
    <w:rsid w:val="00217FC3"/>
    <w:rsid w:val="00233946"/>
    <w:rsid w:val="0023401E"/>
    <w:rsid w:val="002417B8"/>
    <w:rsid w:val="002511C5"/>
    <w:rsid w:val="00255969"/>
    <w:rsid w:val="0026423B"/>
    <w:rsid w:val="002643BA"/>
    <w:rsid w:val="00264811"/>
    <w:rsid w:val="0026483A"/>
    <w:rsid w:val="00266E00"/>
    <w:rsid w:val="00270F50"/>
    <w:rsid w:val="00274440"/>
    <w:rsid w:val="00281033"/>
    <w:rsid w:val="00290E2B"/>
    <w:rsid w:val="0029511B"/>
    <w:rsid w:val="002A05F8"/>
    <w:rsid w:val="002A0F36"/>
    <w:rsid w:val="002B7AAF"/>
    <w:rsid w:val="002C20E2"/>
    <w:rsid w:val="002C4539"/>
    <w:rsid w:val="002C5F84"/>
    <w:rsid w:val="002D0577"/>
    <w:rsid w:val="002D117E"/>
    <w:rsid w:val="002D2F99"/>
    <w:rsid w:val="002D2FA5"/>
    <w:rsid w:val="002D55B3"/>
    <w:rsid w:val="002E0E9F"/>
    <w:rsid w:val="002E37C3"/>
    <w:rsid w:val="002E6857"/>
    <w:rsid w:val="002E7609"/>
    <w:rsid w:val="002F1FAF"/>
    <w:rsid w:val="002F2BE3"/>
    <w:rsid w:val="002F6371"/>
    <w:rsid w:val="002F6BA5"/>
    <w:rsid w:val="002F6EBE"/>
    <w:rsid w:val="002F7003"/>
    <w:rsid w:val="00300878"/>
    <w:rsid w:val="00300A4C"/>
    <w:rsid w:val="00303411"/>
    <w:rsid w:val="00303834"/>
    <w:rsid w:val="0030585F"/>
    <w:rsid w:val="003063E0"/>
    <w:rsid w:val="003072C9"/>
    <w:rsid w:val="0030761E"/>
    <w:rsid w:val="00311D56"/>
    <w:rsid w:val="00317138"/>
    <w:rsid w:val="003230E2"/>
    <w:rsid w:val="00323504"/>
    <w:rsid w:val="003249DF"/>
    <w:rsid w:val="00334871"/>
    <w:rsid w:val="0033496E"/>
    <w:rsid w:val="00336401"/>
    <w:rsid w:val="003432A6"/>
    <w:rsid w:val="0034349F"/>
    <w:rsid w:val="00346079"/>
    <w:rsid w:val="00350F77"/>
    <w:rsid w:val="003539E7"/>
    <w:rsid w:val="00354946"/>
    <w:rsid w:val="00355D35"/>
    <w:rsid w:val="00357654"/>
    <w:rsid w:val="003628F8"/>
    <w:rsid w:val="003665C2"/>
    <w:rsid w:val="003670B5"/>
    <w:rsid w:val="00373092"/>
    <w:rsid w:val="00374EE9"/>
    <w:rsid w:val="003800C9"/>
    <w:rsid w:val="003806F4"/>
    <w:rsid w:val="00380E46"/>
    <w:rsid w:val="00381DDE"/>
    <w:rsid w:val="003864FB"/>
    <w:rsid w:val="003873C7"/>
    <w:rsid w:val="00387BE9"/>
    <w:rsid w:val="003A7A4D"/>
    <w:rsid w:val="003B0C12"/>
    <w:rsid w:val="003B0E7B"/>
    <w:rsid w:val="003B25E9"/>
    <w:rsid w:val="003B3F6D"/>
    <w:rsid w:val="003B5823"/>
    <w:rsid w:val="003B6111"/>
    <w:rsid w:val="003C6DF1"/>
    <w:rsid w:val="003D118D"/>
    <w:rsid w:val="003D7FBE"/>
    <w:rsid w:val="003E0A6F"/>
    <w:rsid w:val="003E2F21"/>
    <w:rsid w:val="003F593F"/>
    <w:rsid w:val="003F7D95"/>
    <w:rsid w:val="004026BB"/>
    <w:rsid w:val="0040329F"/>
    <w:rsid w:val="004049A8"/>
    <w:rsid w:val="004101EA"/>
    <w:rsid w:val="004132CD"/>
    <w:rsid w:val="00414136"/>
    <w:rsid w:val="0041566D"/>
    <w:rsid w:val="00417F4E"/>
    <w:rsid w:val="00424679"/>
    <w:rsid w:val="00426E55"/>
    <w:rsid w:val="00427CEF"/>
    <w:rsid w:val="00430854"/>
    <w:rsid w:val="00430AC0"/>
    <w:rsid w:val="00431A61"/>
    <w:rsid w:val="00432AFA"/>
    <w:rsid w:val="00432B7E"/>
    <w:rsid w:val="00433E96"/>
    <w:rsid w:val="00443C3E"/>
    <w:rsid w:val="00444BE8"/>
    <w:rsid w:val="004515AE"/>
    <w:rsid w:val="00455671"/>
    <w:rsid w:val="004626DF"/>
    <w:rsid w:val="00465136"/>
    <w:rsid w:val="004858F0"/>
    <w:rsid w:val="00485ACF"/>
    <w:rsid w:val="00485EDB"/>
    <w:rsid w:val="00486088"/>
    <w:rsid w:val="0049022A"/>
    <w:rsid w:val="00490B9A"/>
    <w:rsid w:val="00492A1C"/>
    <w:rsid w:val="00494AF8"/>
    <w:rsid w:val="00497683"/>
    <w:rsid w:val="004A0365"/>
    <w:rsid w:val="004A0E9D"/>
    <w:rsid w:val="004B11B5"/>
    <w:rsid w:val="004B15B6"/>
    <w:rsid w:val="004B2ABA"/>
    <w:rsid w:val="004B4552"/>
    <w:rsid w:val="004B6370"/>
    <w:rsid w:val="004C236C"/>
    <w:rsid w:val="004C59EB"/>
    <w:rsid w:val="004C65CE"/>
    <w:rsid w:val="004D1C67"/>
    <w:rsid w:val="004D2911"/>
    <w:rsid w:val="004D3170"/>
    <w:rsid w:val="004D5090"/>
    <w:rsid w:val="004D68E1"/>
    <w:rsid w:val="004E13A8"/>
    <w:rsid w:val="004E51D0"/>
    <w:rsid w:val="004F61A1"/>
    <w:rsid w:val="00501B7E"/>
    <w:rsid w:val="005021A0"/>
    <w:rsid w:val="005036FF"/>
    <w:rsid w:val="00503BBB"/>
    <w:rsid w:val="00504E7F"/>
    <w:rsid w:val="00513FC1"/>
    <w:rsid w:val="00515318"/>
    <w:rsid w:val="00525DE7"/>
    <w:rsid w:val="00530BC2"/>
    <w:rsid w:val="00533124"/>
    <w:rsid w:val="00540A0A"/>
    <w:rsid w:val="005469E8"/>
    <w:rsid w:val="0055029F"/>
    <w:rsid w:val="0056460A"/>
    <w:rsid w:val="005700B6"/>
    <w:rsid w:val="00580CF9"/>
    <w:rsid w:val="005871BF"/>
    <w:rsid w:val="005875B9"/>
    <w:rsid w:val="00590A9B"/>
    <w:rsid w:val="00592550"/>
    <w:rsid w:val="00593FB7"/>
    <w:rsid w:val="005B2AD0"/>
    <w:rsid w:val="005B3D59"/>
    <w:rsid w:val="005B6603"/>
    <w:rsid w:val="005B6BB8"/>
    <w:rsid w:val="005C6BC5"/>
    <w:rsid w:val="005F3D57"/>
    <w:rsid w:val="005F4D3D"/>
    <w:rsid w:val="00605EB9"/>
    <w:rsid w:val="00606101"/>
    <w:rsid w:val="006130AF"/>
    <w:rsid w:val="006153C0"/>
    <w:rsid w:val="00620325"/>
    <w:rsid w:val="00621AF0"/>
    <w:rsid w:val="00622201"/>
    <w:rsid w:val="00622420"/>
    <w:rsid w:val="00635378"/>
    <w:rsid w:val="00636AAF"/>
    <w:rsid w:val="00637251"/>
    <w:rsid w:val="00643F65"/>
    <w:rsid w:val="00646AED"/>
    <w:rsid w:val="00646E58"/>
    <w:rsid w:val="00654DEF"/>
    <w:rsid w:val="00661D94"/>
    <w:rsid w:val="00662780"/>
    <w:rsid w:val="00671388"/>
    <w:rsid w:val="006777F8"/>
    <w:rsid w:val="00680F11"/>
    <w:rsid w:val="00681198"/>
    <w:rsid w:val="0069596F"/>
    <w:rsid w:val="00696BC1"/>
    <w:rsid w:val="006970E6"/>
    <w:rsid w:val="006A2882"/>
    <w:rsid w:val="006A294F"/>
    <w:rsid w:val="006A2E6F"/>
    <w:rsid w:val="006A5E04"/>
    <w:rsid w:val="006A619C"/>
    <w:rsid w:val="006B4473"/>
    <w:rsid w:val="006B46D0"/>
    <w:rsid w:val="006B5115"/>
    <w:rsid w:val="006B777B"/>
    <w:rsid w:val="006C32D5"/>
    <w:rsid w:val="006C3761"/>
    <w:rsid w:val="006D0C86"/>
    <w:rsid w:val="006D44A2"/>
    <w:rsid w:val="006D48D2"/>
    <w:rsid w:val="006D59B3"/>
    <w:rsid w:val="006D6BD0"/>
    <w:rsid w:val="006E0E58"/>
    <w:rsid w:val="006E0FAC"/>
    <w:rsid w:val="006E1586"/>
    <w:rsid w:val="006E6143"/>
    <w:rsid w:val="006E6C63"/>
    <w:rsid w:val="006E7A81"/>
    <w:rsid w:val="006E7A99"/>
    <w:rsid w:val="006F127C"/>
    <w:rsid w:val="006F5B5E"/>
    <w:rsid w:val="00702CFD"/>
    <w:rsid w:val="00703663"/>
    <w:rsid w:val="00706B77"/>
    <w:rsid w:val="00711320"/>
    <w:rsid w:val="0071246A"/>
    <w:rsid w:val="00712D55"/>
    <w:rsid w:val="007149BE"/>
    <w:rsid w:val="007164B8"/>
    <w:rsid w:val="0072266D"/>
    <w:rsid w:val="00725B26"/>
    <w:rsid w:val="007264B9"/>
    <w:rsid w:val="00727595"/>
    <w:rsid w:val="007307B1"/>
    <w:rsid w:val="00732735"/>
    <w:rsid w:val="007364EF"/>
    <w:rsid w:val="00740166"/>
    <w:rsid w:val="0074057C"/>
    <w:rsid w:val="00741281"/>
    <w:rsid w:val="007424B9"/>
    <w:rsid w:val="00745569"/>
    <w:rsid w:val="00745738"/>
    <w:rsid w:val="00747245"/>
    <w:rsid w:val="007503F6"/>
    <w:rsid w:val="00762EFF"/>
    <w:rsid w:val="007631C5"/>
    <w:rsid w:val="007671F6"/>
    <w:rsid w:val="00770FE9"/>
    <w:rsid w:val="007720B3"/>
    <w:rsid w:val="00772F5A"/>
    <w:rsid w:val="00774405"/>
    <w:rsid w:val="0078027B"/>
    <w:rsid w:val="007810C6"/>
    <w:rsid w:val="007912E3"/>
    <w:rsid w:val="0079509F"/>
    <w:rsid w:val="007954A9"/>
    <w:rsid w:val="0079615D"/>
    <w:rsid w:val="00796AF3"/>
    <w:rsid w:val="00796B61"/>
    <w:rsid w:val="007A467B"/>
    <w:rsid w:val="007A4A91"/>
    <w:rsid w:val="007B21CA"/>
    <w:rsid w:val="007B34CD"/>
    <w:rsid w:val="007B3ED5"/>
    <w:rsid w:val="007B55E5"/>
    <w:rsid w:val="007B70F9"/>
    <w:rsid w:val="007B7793"/>
    <w:rsid w:val="007C1B96"/>
    <w:rsid w:val="007C34D5"/>
    <w:rsid w:val="007C355A"/>
    <w:rsid w:val="007D006F"/>
    <w:rsid w:val="007D2508"/>
    <w:rsid w:val="007D698E"/>
    <w:rsid w:val="007E001A"/>
    <w:rsid w:val="007E79F8"/>
    <w:rsid w:val="007E7D66"/>
    <w:rsid w:val="007F0EAA"/>
    <w:rsid w:val="007F21A7"/>
    <w:rsid w:val="007F2670"/>
    <w:rsid w:val="00805B3C"/>
    <w:rsid w:val="00811708"/>
    <w:rsid w:val="00812B96"/>
    <w:rsid w:val="00814D26"/>
    <w:rsid w:val="008206CB"/>
    <w:rsid w:val="00825D4A"/>
    <w:rsid w:val="00832DB4"/>
    <w:rsid w:val="00832FE5"/>
    <w:rsid w:val="00834C09"/>
    <w:rsid w:val="00836526"/>
    <w:rsid w:val="008421D4"/>
    <w:rsid w:val="00842788"/>
    <w:rsid w:val="008432F3"/>
    <w:rsid w:val="00843FE8"/>
    <w:rsid w:val="008473D2"/>
    <w:rsid w:val="00847F49"/>
    <w:rsid w:val="008569CE"/>
    <w:rsid w:val="008651D8"/>
    <w:rsid w:val="00865E3B"/>
    <w:rsid w:val="008751AC"/>
    <w:rsid w:val="00885783"/>
    <w:rsid w:val="0088664D"/>
    <w:rsid w:val="00886EE0"/>
    <w:rsid w:val="00887162"/>
    <w:rsid w:val="00890688"/>
    <w:rsid w:val="00893AE7"/>
    <w:rsid w:val="00894B78"/>
    <w:rsid w:val="008A489E"/>
    <w:rsid w:val="008A4D1B"/>
    <w:rsid w:val="008A6691"/>
    <w:rsid w:val="008A6EA8"/>
    <w:rsid w:val="008B1B91"/>
    <w:rsid w:val="008B3776"/>
    <w:rsid w:val="008B4CA0"/>
    <w:rsid w:val="008B5184"/>
    <w:rsid w:val="008B6C6C"/>
    <w:rsid w:val="008C0A85"/>
    <w:rsid w:val="008C0F64"/>
    <w:rsid w:val="008C63DA"/>
    <w:rsid w:val="008C6A17"/>
    <w:rsid w:val="008D3C2D"/>
    <w:rsid w:val="008D3E8D"/>
    <w:rsid w:val="008D4145"/>
    <w:rsid w:val="008D55D9"/>
    <w:rsid w:val="008E2860"/>
    <w:rsid w:val="008F43DA"/>
    <w:rsid w:val="008F46E9"/>
    <w:rsid w:val="008F49C8"/>
    <w:rsid w:val="008F62C2"/>
    <w:rsid w:val="00902C85"/>
    <w:rsid w:val="00904BDC"/>
    <w:rsid w:val="00910D4E"/>
    <w:rsid w:val="0091333B"/>
    <w:rsid w:val="00915EB3"/>
    <w:rsid w:val="00916044"/>
    <w:rsid w:val="009163A3"/>
    <w:rsid w:val="00916777"/>
    <w:rsid w:val="00921900"/>
    <w:rsid w:val="0092235C"/>
    <w:rsid w:val="00923A04"/>
    <w:rsid w:val="00935552"/>
    <w:rsid w:val="00941E50"/>
    <w:rsid w:val="009436C7"/>
    <w:rsid w:val="009456A1"/>
    <w:rsid w:val="00952EE1"/>
    <w:rsid w:val="00960192"/>
    <w:rsid w:val="0096240C"/>
    <w:rsid w:val="009640EF"/>
    <w:rsid w:val="00974937"/>
    <w:rsid w:val="00976C07"/>
    <w:rsid w:val="009809B9"/>
    <w:rsid w:val="00983846"/>
    <w:rsid w:val="00983A39"/>
    <w:rsid w:val="009850FC"/>
    <w:rsid w:val="009904C4"/>
    <w:rsid w:val="00990F71"/>
    <w:rsid w:val="00993089"/>
    <w:rsid w:val="0099383A"/>
    <w:rsid w:val="009A1815"/>
    <w:rsid w:val="009A6E36"/>
    <w:rsid w:val="009A704A"/>
    <w:rsid w:val="009B0863"/>
    <w:rsid w:val="009B3FDF"/>
    <w:rsid w:val="009B6D6A"/>
    <w:rsid w:val="009C187C"/>
    <w:rsid w:val="009C3C90"/>
    <w:rsid w:val="009E1FC4"/>
    <w:rsid w:val="009E3935"/>
    <w:rsid w:val="009E63F6"/>
    <w:rsid w:val="009F488B"/>
    <w:rsid w:val="009F5248"/>
    <w:rsid w:val="009F68CC"/>
    <w:rsid w:val="00A00902"/>
    <w:rsid w:val="00A03CC6"/>
    <w:rsid w:val="00A11B6E"/>
    <w:rsid w:val="00A1407D"/>
    <w:rsid w:val="00A24AA1"/>
    <w:rsid w:val="00A26431"/>
    <w:rsid w:val="00A277E5"/>
    <w:rsid w:val="00A32489"/>
    <w:rsid w:val="00A37E0A"/>
    <w:rsid w:val="00A4214C"/>
    <w:rsid w:val="00A43188"/>
    <w:rsid w:val="00A43209"/>
    <w:rsid w:val="00A44E02"/>
    <w:rsid w:val="00A45080"/>
    <w:rsid w:val="00A450C2"/>
    <w:rsid w:val="00A45FFF"/>
    <w:rsid w:val="00A53434"/>
    <w:rsid w:val="00A55F71"/>
    <w:rsid w:val="00A56518"/>
    <w:rsid w:val="00A64E58"/>
    <w:rsid w:val="00A653D0"/>
    <w:rsid w:val="00A66A41"/>
    <w:rsid w:val="00A70045"/>
    <w:rsid w:val="00A7736E"/>
    <w:rsid w:val="00A80190"/>
    <w:rsid w:val="00A8652F"/>
    <w:rsid w:val="00A90ACD"/>
    <w:rsid w:val="00AA3020"/>
    <w:rsid w:val="00AA316C"/>
    <w:rsid w:val="00AA3BBA"/>
    <w:rsid w:val="00AA3ED4"/>
    <w:rsid w:val="00AA48E3"/>
    <w:rsid w:val="00AA4D2C"/>
    <w:rsid w:val="00AA6B25"/>
    <w:rsid w:val="00AB3EB3"/>
    <w:rsid w:val="00AB6E8D"/>
    <w:rsid w:val="00AC29EE"/>
    <w:rsid w:val="00AC49A6"/>
    <w:rsid w:val="00AC584B"/>
    <w:rsid w:val="00AD6388"/>
    <w:rsid w:val="00AE0BFF"/>
    <w:rsid w:val="00AF3CD0"/>
    <w:rsid w:val="00AF4765"/>
    <w:rsid w:val="00AF543E"/>
    <w:rsid w:val="00B038F7"/>
    <w:rsid w:val="00B040B8"/>
    <w:rsid w:val="00B14F3F"/>
    <w:rsid w:val="00B16DCC"/>
    <w:rsid w:val="00B17C31"/>
    <w:rsid w:val="00B26551"/>
    <w:rsid w:val="00B3329E"/>
    <w:rsid w:val="00B37F6D"/>
    <w:rsid w:val="00B427A0"/>
    <w:rsid w:val="00B43062"/>
    <w:rsid w:val="00B440EE"/>
    <w:rsid w:val="00B44F9A"/>
    <w:rsid w:val="00B45B85"/>
    <w:rsid w:val="00B46297"/>
    <w:rsid w:val="00B470BF"/>
    <w:rsid w:val="00B4786F"/>
    <w:rsid w:val="00B5010A"/>
    <w:rsid w:val="00B50138"/>
    <w:rsid w:val="00B53F8B"/>
    <w:rsid w:val="00B5421A"/>
    <w:rsid w:val="00B54BCD"/>
    <w:rsid w:val="00B55AAE"/>
    <w:rsid w:val="00B62C22"/>
    <w:rsid w:val="00B72560"/>
    <w:rsid w:val="00B778CF"/>
    <w:rsid w:val="00B8427D"/>
    <w:rsid w:val="00B851E6"/>
    <w:rsid w:val="00B9295C"/>
    <w:rsid w:val="00B93ACF"/>
    <w:rsid w:val="00B96467"/>
    <w:rsid w:val="00BA0CDC"/>
    <w:rsid w:val="00BB32FA"/>
    <w:rsid w:val="00BB5B69"/>
    <w:rsid w:val="00BB726B"/>
    <w:rsid w:val="00BC1299"/>
    <w:rsid w:val="00BC54AE"/>
    <w:rsid w:val="00BC5F35"/>
    <w:rsid w:val="00BC64D6"/>
    <w:rsid w:val="00BC713E"/>
    <w:rsid w:val="00BD2826"/>
    <w:rsid w:val="00BD2F19"/>
    <w:rsid w:val="00BD5FA3"/>
    <w:rsid w:val="00BD62DB"/>
    <w:rsid w:val="00BF095C"/>
    <w:rsid w:val="00BF10BD"/>
    <w:rsid w:val="00BF12A0"/>
    <w:rsid w:val="00BF2B80"/>
    <w:rsid w:val="00BF40DE"/>
    <w:rsid w:val="00BF4942"/>
    <w:rsid w:val="00BF54FD"/>
    <w:rsid w:val="00BF5860"/>
    <w:rsid w:val="00BF6797"/>
    <w:rsid w:val="00BF6849"/>
    <w:rsid w:val="00C06582"/>
    <w:rsid w:val="00C1372A"/>
    <w:rsid w:val="00C21267"/>
    <w:rsid w:val="00C2301F"/>
    <w:rsid w:val="00C2784F"/>
    <w:rsid w:val="00C32302"/>
    <w:rsid w:val="00C4552F"/>
    <w:rsid w:val="00C45ABF"/>
    <w:rsid w:val="00C56799"/>
    <w:rsid w:val="00C6113E"/>
    <w:rsid w:val="00C62F64"/>
    <w:rsid w:val="00C6635D"/>
    <w:rsid w:val="00C755C5"/>
    <w:rsid w:val="00C7677F"/>
    <w:rsid w:val="00C7707D"/>
    <w:rsid w:val="00C84664"/>
    <w:rsid w:val="00C847EE"/>
    <w:rsid w:val="00C856C5"/>
    <w:rsid w:val="00C861CF"/>
    <w:rsid w:val="00C8673D"/>
    <w:rsid w:val="00C90794"/>
    <w:rsid w:val="00C91343"/>
    <w:rsid w:val="00C94A5C"/>
    <w:rsid w:val="00C94ED8"/>
    <w:rsid w:val="00CA7C72"/>
    <w:rsid w:val="00CB1C6D"/>
    <w:rsid w:val="00CB2C56"/>
    <w:rsid w:val="00CB2FEC"/>
    <w:rsid w:val="00CB4D2C"/>
    <w:rsid w:val="00CB6571"/>
    <w:rsid w:val="00CC0D78"/>
    <w:rsid w:val="00CD52EA"/>
    <w:rsid w:val="00CD64DD"/>
    <w:rsid w:val="00CD7EF0"/>
    <w:rsid w:val="00CE15BF"/>
    <w:rsid w:val="00CE4FB1"/>
    <w:rsid w:val="00CE58C8"/>
    <w:rsid w:val="00CE6481"/>
    <w:rsid w:val="00CE7E6A"/>
    <w:rsid w:val="00CF2253"/>
    <w:rsid w:val="00CF4853"/>
    <w:rsid w:val="00CF6648"/>
    <w:rsid w:val="00D025AD"/>
    <w:rsid w:val="00D034FA"/>
    <w:rsid w:val="00D06526"/>
    <w:rsid w:val="00D253EC"/>
    <w:rsid w:val="00D26331"/>
    <w:rsid w:val="00D40286"/>
    <w:rsid w:val="00D41B3E"/>
    <w:rsid w:val="00D4290F"/>
    <w:rsid w:val="00D458DD"/>
    <w:rsid w:val="00D45ACA"/>
    <w:rsid w:val="00D46124"/>
    <w:rsid w:val="00D473AE"/>
    <w:rsid w:val="00D51640"/>
    <w:rsid w:val="00D54C2C"/>
    <w:rsid w:val="00D643D5"/>
    <w:rsid w:val="00D72A1C"/>
    <w:rsid w:val="00D80EB7"/>
    <w:rsid w:val="00D81865"/>
    <w:rsid w:val="00D9230A"/>
    <w:rsid w:val="00D92ABD"/>
    <w:rsid w:val="00D9370F"/>
    <w:rsid w:val="00D9436E"/>
    <w:rsid w:val="00DA0891"/>
    <w:rsid w:val="00DA1AA0"/>
    <w:rsid w:val="00DA3362"/>
    <w:rsid w:val="00DA4C17"/>
    <w:rsid w:val="00DB38E7"/>
    <w:rsid w:val="00DB392E"/>
    <w:rsid w:val="00DB4291"/>
    <w:rsid w:val="00DB723E"/>
    <w:rsid w:val="00DB79E5"/>
    <w:rsid w:val="00DC1D10"/>
    <w:rsid w:val="00DC513E"/>
    <w:rsid w:val="00DD3459"/>
    <w:rsid w:val="00DE29C9"/>
    <w:rsid w:val="00DE7A8A"/>
    <w:rsid w:val="00DF0ABB"/>
    <w:rsid w:val="00DF50F5"/>
    <w:rsid w:val="00E044E7"/>
    <w:rsid w:val="00E06388"/>
    <w:rsid w:val="00E06BDF"/>
    <w:rsid w:val="00E1026F"/>
    <w:rsid w:val="00E1206A"/>
    <w:rsid w:val="00E20222"/>
    <w:rsid w:val="00E2202F"/>
    <w:rsid w:val="00E24BD7"/>
    <w:rsid w:val="00E24F0B"/>
    <w:rsid w:val="00E259E1"/>
    <w:rsid w:val="00E33011"/>
    <w:rsid w:val="00E336C7"/>
    <w:rsid w:val="00E33733"/>
    <w:rsid w:val="00E372E9"/>
    <w:rsid w:val="00E525BE"/>
    <w:rsid w:val="00E54CA7"/>
    <w:rsid w:val="00E566EC"/>
    <w:rsid w:val="00E62350"/>
    <w:rsid w:val="00E634B9"/>
    <w:rsid w:val="00E6428D"/>
    <w:rsid w:val="00E7010B"/>
    <w:rsid w:val="00E704A5"/>
    <w:rsid w:val="00E7099B"/>
    <w:rsid w:val="00E7740E"/>
    <w:rsid w:val="00E93982"/>
    <w:rsid w:val="00E94415"/>
    <w:rsid w:val="00EA12E9"/>
    <w:rsid w:val="00EA40AE"/>
    <w:rsid w:val="00EA6419"/>
    <w:rsid w:val="00EA6B7B"/>
    <w:rsid w:val="00EA7883"/>
    <w:rsid w:val="00EB399B"/>
    <w:rsid w:val="00EB5E6F"/>
    <w:rsid w:val="00EB607E"/>
    <w:rsid w:val="00EC01ED"/>
    <w:rsid w:val="00EC60F9"/>
    <w:rsid w:val="00ED5CF7"/>
    <w:rsid w:val="00ED6155"/>
    <w:rsid w:val="00ED6A20"/>
    <w:rsid w:val="00ED724B"/>
    <w:rsid w:val="00EE67AA"/>
    <w:rsid w:val="00EE691B"/>
    <w:rsid w:val="00EF62D2"/>
    <w:rsid w:val="00EF70F1"/>
    <w:rsid w:val="00F0088C"/>
    <w:rsid w:val="00F01039"/>
    <w:rsid w:val="00F01BCF"/>
    <w:rsid w:val="00F02808"/>
    <w:rsid w:val="00F05652"/>
    <w:rsid w:val="00F056DB"/>
    <w:rsid w:val="00F05D19"/>
    <w:rsid w:val="00F05DA8"/>
    <w:rsid w:val="00F06D73"/>
    <w:rsid w:val="00F07EA1"/>
    <w:rsid w:val="00F11B1C"/>
    <w:rsid w:val="00F1605D"/>
    <w:rsid w:val="00F22AB0"/>
    <w:rsid w:val="00F24D6D"/>
    <w:rsid w:val="00F2596C"/>
    <w:rsid w:val="00F27820"/>
    <w:rsid w:val="00F34EEA"/>
    <w:rsid w:val="00F369EE"/>
    <w:rsid w:val="00F40E5C"/>
    <w:rsid w:val="00F41E3A"/>
    <w:rsid w:val="00F46E52"/>
    <w:rsid w:val="00F50D1D"/>
    <w:rsid w:val="00F51E76"/>
    <w:rsid w:val="00F627C4"/>
    <w:rsid w:val="00F63050"/>
    <w:rsid w:val="00F674C0"/>
    <w:rsid w:val="00F7024C"/>
    <w:rsid w:val="00F708FA"/>
    <w:rsid w:val="00F74752"/>
    <w:rsid w:val="00F81619"/>
    <w:rsid w:val="00F863A0"/>
    <w:rsid w:val="00F87712"/>
    <w:rsid w:val="00F9616A"/>
    <w:rsid w:val="00FA60F8"/>
    <w:rsid w:val="00FB0841"/>
    <w:rsid w:val="00FB7D2C"/>
    <w:rsid w:val="00FC5E72"/>
    <w:rsid w:val="00FC7875"/>
    <w:rsid w:val="00FD55AF"/>
    <w:rsid w:val="00FD60C3"/>
    <w:rsid w:val="00FD7A15"/>
    <w:rsid w:val="00FD7C7B"/>
    <w:rsid w:val="00FD7DD4"/>
    <w:rsid w:val="00FE16B5"/>
    <w:rsid w:val="00FE1769"/>
    <w:rsid w:val="00FE1CFD"/>
    <w:rsid w:val="00FE4F4B"/>
    <w:rsid w:val="00FE5BEC"/>
    <w:rsid w:val="00FE6184"/>
    <w:rsid w:val="00FE7A39"/>
    <w:rsid w:val="00FF2922"/>
    <w:rsid w:val="00FF4CFB"/>
    <w:rsid w:val="00FF5427"/>
    <w:rsid w:val="00FF5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C72"/>
    <w:rPr>
      <w:sz w:val="16"/>
      <w:szCs w:val="16"/>
    </w:rPr>
  </w:style>
  <w:style w:type="paragraph" w:styleId="CommentText">
    <w:name w:val="annotation text"/>
    <w:basedOn w:val="Normal"/>
    <w:link w:val="CommentTextChar"/>
    <w:uiPriority w:val="99"/>
    <w:unhideWhenUsed/>
    <w:rsid w:val="00CA7C72"/>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A7C7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CA7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72"/>
    <w:rPr>
      <w:rFonts w:ascii="Tahoma" w:hAnsi="Tahoma" w:cs="Tahoma"/>
      <w:sz w:val="16"/>
      <w:szCs w:val="16"/>
    </w:rPr>
  </w:style>
  <w:style w:type="paragraph" w:customStyle="1" w:styleId="Paragraph">
    <w:name w:val="Paragraph"/>
    <w:basedOn w:val="Normal"/>
    <w:rsid w:val="001F5C75"/>
    <w:pPr>
      <w:numPr>
        <w:ilvl w:val="12"/>
      </w:numPr>
      <w:spacing w:before="240" w:after="0" w:line="240" w:lineRule="auto"/>
    </w:pPr>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0A0D7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D77"/>
    <w:rPr>
      <w:rFonts w:ascii="Times New Roman" w:eastAsia="Calibri" w:hAnsi="Times New Roman" w:cs="Times New Roman"/>
      <w:b/>
      <w:bCs/>
      <w:sz w:val="20"/>
      <w:szCs w:val="20"/>
    </w:rPr>
  </w:style>
  <w:style w:type="paragraph" w:styleId="ListParagraph">
    <w:name w:val="List Paragraph"/>
    <w:basedOn w:val="Normal"/>
    <w:link w:val="ListParagraphChar"/>
    <w:uiPriority w:val="34"/>
    <w:qFormat/>
    <w:rsid w:val="003B5823"/>
    <w:pPr>
      <w:ind w:left="720"/>
      <w:contextualSpacing/>
    </w:pPr>
  </w:style>
  <w:style w:type="paragraph" w:customStyle="1" w:styleId="Celltext">
    <w:name w:val="Cell text"/>
    <w:basedOn w:val="Normal"/>
    <w:link w:val="CelltextChar"/>
    <w:rsid w:val="00805B3C"/>
    <w:pPr>
      <w:spacing w:before="12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3B25E9"/>
    <w:pPr>
      <w:spacing w:after="0" w:line="240" w:lineRule="auto"/>
    </w:pPr>
  </w:style>
  <w:style w:type="paragraph" w:customStyle="1" w:styleId="notedraft">
    <w:name w:val="note(draft)"/>
    <w:aliases w:val="nd"/>
    <w:basedOn w:val="Normal"/>
    <w:uiPriority w:val="99"/>
    <w:rsid w:val="00AC49A6"/>
    <w:pPr>
      <w:spacing w:before="240" w:after="0" w:line="240" w:lineRule="auto"/>
      <w:ind w:left="284" w:hanging="284"/>
    </w:pPr>
    <w:rPr>
      <w:rFonts w:ascii="Times New Roman" w:hAnsi="Times New Roman" w:cs="Times New Roman"/>
      <w:i/>
      <w:iCs/>
      <w:sz w:val="24"/>
      <w:szCs w:val="24"/>
      <w:lang w:eastAsia="en-AU"/>
    </w:rPr>
  </w:style>
  <w:style w:type="character" w:customStyle="1" w:styleId="ListParagraphChar">
    <w:name w:val="List Paragraph Char"/>
    <w:basedOn w:val="DefaultParagraphFont"/>
    <w:link w:val="ListParagraph"/>
    <w:uiPriority w:val="34"/>
    <w:locked/>
    <w:rsid w:val="00CD64DD"/>
  </w:style>
  <w:style w:type="character" w:customStyle="1" w:styleId="CelltextChar">
    <w:name w:val="Cell text Char"/>
    <w:basedOn w:val="DefaultParagraphFont"/>
    <w:link w:val="Celltext"/>
    <w:rsid w:val="002C4539"/>
    <w:rPr>
      <w:rFonts w:ascii="Times New Roman" w:eastAsia="Times New Roman" w:hAnsi="Times New Roman" w:cs="Times New Roman"/>
      <w:sz w:val="24"/>
      <w:szCs w:val="20"/>
      <w:lang w:eastAsia="en-AU"/>
    </w:rPr>
  </w:style>
  <w:style w:type="character" w:customStyle="1" w:styleId="apple-converted-space">
    <w:name w:val="apple-converted-space"/>
    <w:basedOn w:val="DefaultParagraphFont"/>
    <w:rsid w:val="007E0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C72"/>
    <w:rPr>
      <w:sz w:val="16"/>
      <w:szCs w:val="16"/>
    </w:rPr>
  </w:style>
  <w:style w:type="paragraph" w:styleId="CommentText">
    <w:name w:val="annotation text"/>
    <w:basedOn w:val="Normal"/>
    <w:link w:val="CommentTextChar"/>
    <w:uiPriority w:val="99"/>
    <w:unhideWhenUsed/>
    <w:rsid w:val="00CA7C72"/>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A7C7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CA7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72"/>
    <w:rPr>
      <w:rFonts w:ascii="Tahoma" w:hAnsi="Tahoma" w:cs="Tahoma"/>
      <w:sz w:val="16"/>
      <w:szCs w:val="16"/>
    </w:rPr>
  </w:style>
  <w:style w:type="paragraph" w:customStyle="1" w:styleId="Paragraph">
    <w:name w:val="Paragraph"/>
    <w:basedOn w:val="Normal"/>
    <w:rsid w:val="001F5C75"/>
    <w:pPr>
      <w:numPr>
        <w:ilvl w:val="12"/>
      </w:numPr>
      <w:spacing w:before="240" w:after="0" w:line="240" w:lineRule="auto"/>
    </w:pPr>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0A0D7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D77"/>
    <w:rPr>
      <w:rFonts w:ascii="Times New Roman" w:eastAsia="Calibri" w:hAnsi="Times New Roman" w:cs="Times New Roman"/>
      <w:b/>
      <w:bCs/>
      <w:sz w:val="20"/>
      <w:szCs w:val="20"/>
    </w:rPr>
  </w:style>
  <w:style w:type="paragraph" w:styleId="ListParagraph">
    <w:name w:val="List Paragraph"/>
    <w:basedOn w:val="Normal"/>
    <w:link w:val="ListParagraphChar"/>
    <w:uiPriority w:val="34"/>
    <w:qFormat/>
    <w:rsid w:val="003B5823"/>
    <w:pPr>
      <w:ind w:left="720"/>
      <w:contextualSpacing/>
    </w:pPr>
  </w:style>
  <w:style w:type="paragraph" w:customStyle="1" w:styleId="Celltext">
    <w:name w:val="Cell text"/>
    <w:basedOn w:val="Normal"/>
    <w:link w:val="CelltextChar"/>
    <w:rsid w:val="00805B3C"/>
    <w:pPr>
      <w:spacing w:before="12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3B25E9"/>
    <w:pPr>
      <w:spacing w:after="0" w:line="240" w:lineRule="auto"/>
    </w:pPr>
  </w:style>
  <w:style w:type="paragraph" w:customStyle="1" w:styleId="notedraft">
    <w:name w:val="note(draft)"/>
    <w:aliases w:val="nd"/>
    <w:basedOn w:val="Normal"/>
    <w:uiPriority w:val="99"/>
    <w:rsid w:val="00AC49A6"/>
    <w:pPr>
      <w:spacing w:before="240" w:after="0" w:line="240" w:lineRule="auto"/>
      <w:ind w:left="284" w:hanging="284"/>
    </w:pPr>
    <w:rPr>
      <w:rFonts w:ascii="Times New Roman" w:hAnsi="Times New Roman" w:cs="Times New Roman"/>
      <w:i/>
      <w:iCs/>
      <w:sz w:val="24"/>
      <w:szCs w:val="24"/>
      <w:lang w:eastAsia="en-AU"/>
    </w:rPr>
  </w:style>
  <w:style w:type="character" w:customStyle="1" w:styleId="ListParagraphChar">
    <w:name w:val="List Paragraph Char"/>
    <w:basedOn w:val="DefaultParagraphFont"/>
    <w:link w:val="ListParagraph"/>
    <w:uiPriority w:val="34"/>
    <w:locked/>
    <w:rsid w:val="00CD64DD"/>
  </w:style>
  <w:style w:type="character" w:customStyle="1" w:styleId="CelltextChar">
    <w:name w:val="Cell text Char"/>
    <w:basedOn w:val="DefaultParagraphFont"/>
    <w:link w:val="Celltext"/>
    <w:rsid w:val="002C4539"/>
    <w:rPr>
      <w:rFonts w:ascii="Times New Roman" w:eastAsia="Times New Roman" w:hAnsi="Times New Roman" w:cs="Times New Roman"/>
      <w:sz w:val="24"/>
      <w:szCs w:val="20"/>
      <w:lang w:eastAsia="en-AU"/>
    </w:rPr>
  </w:style>
  <w:style w:type="character" w:customStyle="1" w:styleId="apple-converted-space">
    <w:name w:val="apple-converted-space"/>
    <w:basedOn w:val="DefaultParagraphFont"/>
    <w:rsid w:val="007E0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49">
      <w:bodyDiv w:val="1"/>
      <w:marLeft w:val="0"/>
      <w:marRight w:val="0"/>
      <w:marTop w:val="0"/>
      <w:marBottom w:val="0"/>
      <w:divBdr>
        <w:top w:val="none" w:sz="0" w:space="0" w:color="auto"/>
        <w:left w:val="none" w:sz="0" w:space="0" w:color="auto"/>
        <w:bottom w:val="none" w:sz="0" w:space="0" w:color="auto"/>
        <w:right w:val="none" w:sz="0" w:space="0" w:color="auto"/>
      </w:divBdr>
    </w:div>
    <w:div w:id="167066820">
      <w:bodyDiv w:val="1"/>
      <w:marLeft w:val="0"/>
      <w:marRight w:val="0"/>
      <w:marTop w:val="0"/>
      <w:marBottom w:val="0"/>
      <w:divBdr>
        <w:top w:val="none" w:sz="0" w:space="0" w:color="auto"/>
        <w:left w:val="none" w:sz="0" w:space="0" w:color="auto"/>
        <w:bottom w:val="none" w:sz="0" w:space="0" w:color="auto"/>
        <w:right w:val="none" w:sz="0" w:space="0" w:color="auto"/>
      </w:divBdr>
    </w:div>
    <w:div w:id="206643383">
      <w:bodyDiv w:val="1"/>
      <w:marLeft w:val="0"/>
      <w:marRight w:val="0"/>
      <w:marTop w:val="0"/>
      <w:marBottom w:val="0"/>
      <w:divBdr>
        <w:top w:val="none" w:sz="0" w:space="0" w:color="auto"/>
        <w:left w:val="none" w:sz="0" w:space="0" w:color="auto"/>
        <w:bottom w:val="none" w:sz="0" w:space="0" w:color="auto"/>
        <w:right w:val="none" w:sz="0" w:space="0" w:color="auto"/>
      </w:divBdr>
    </w:div>
    <w:div w:id="249318327">
      <w:bodyDiv w:val="1"/>
      <w:marLeft w:val="0"/>
      <w:marRight w:val="0"/>
      <w:marTop w:val="0"/>
      <w:marBottom w:val="0"/>
      <w:divBdr>
        <w:top w:val="none" w:sz="0" w:space="0" w:color="auto"/>
        <w:left w:val="none" w:sz="0" w:space="0" w:color="auto"/>
        <w:bottom w:val="none" w:sz="0" w:space="0" w:color="auto"/>
        <w:right w:val="none" w:sz="0" w:space="0" w:color="auto"/>
      </w:divBdr>
    </w:div>
    <w:div w:id="333414263">
      <w:bodyDiv w:val="1"/>
      <w:marLeft w:val="0"/>
      <w:marRight w:val="0"/>
      <w:marTop w:val="0"/>
      <w:marBottom w:val="0"/>
      <w:divBdr>
        <w:top w:val="none" w:sz="0" w:space="0" w:color="auto"/>
        <w:left w:val="none" w:sz="0" w:space="0" w:color="auto"/>
        <w:bottom w:val="none" w:sz="0" w:space="0" w:color="auto"/>
        <w:right w:val="none" w:sz="0" w:space="0" w:color="auto"/>
      </w:divBdr>
    </w:div>
    <w:div w:id="401803610">
      <w:bodyDiv w:val="1"/>
      <w:marLeft w:val="0"/>
      <w:marRight w:val="0"/>
      <w:marTop w:val="0"/>
      <w:marBottom w:val="0"/>
      <w:divBdr>
        <w:top w:val="none" w:sz="0" w:space="0" w:color="auto"/>
        <w:left w:val="none" w:sz="0" w:space="0" w:color="auto"/>
        <w:bottom w:val="none" w:sz="0" w:space="0" w:color="auto"/>
        <w:right w:val="none" w:sz="0" w:space="0" w:color="auto"/>
      </w:divBdr>
    </w:div>
    <w:div w:id="477915221">
      <w:bodyDiv w:val="1"/>
      <w:marLeft w:val="0"/>
      <w:marRight w:val="0"/>
      <w:marTop w:val="0"/>
      <w:marBottom w:val="0"/>
      <w:divBdr>
        <w:top w:val="none" w:sz="0" w:space="0" w:color="auto"/>
        <w:left w:val="none" w:sz="0" w:space="0" w:color="auto"/>
        <w:bottom w:val="none" w:sz="0" w:space="0" w:color="auto"/>
        <w:right w:val="none" w:sz="0" w:space="0" w:color="auto"/>
      </w:divBdr>
    </w:div>
    <w:div w:id="668557245">
      <w:bodyDiv w:val="1"/>
      <w:marLeft w:val="0"/>
      <w:marRight w:val="0"/>
      <w:marTop w:val="0"/>
      <w:marBottom w:val="0"/>
      <w:divBdr>
        <w:top w:val="none" w:sz="0" w:space="0" w:color="auto"/>
        <w:left w:val="none" w:sz="0" w:space="0" w:color="auto"/>
        <w:bottom w:val="none" w:sz="0" w:space="0" w:color="auto"/>
        <w:right w:val="none" w:sz="0" w:space="0" w:color="auto"/>
      </w:divBdr>
    </w:div>
    <w:div w:id="783230382">
      <w:bodyDiv w:val="1"/>
      <w:marLeft w:val="0"/>
      <w:marRight w:val="0"/>
      <w:marTop w:val="0"/>
      <w:marBottom w:val="0"/>
      <w:divBdr>
        <w:top w:val="none" w:sz="0" w:space="0" w:color="auto"/>
        <w:left w:val="none" w:sz="0" w:space="0" w:color="auto"/>
        <w:bottom w:val="none" w:sz="0" w:space="0" w:color="auto"/>
        <w:right w:val="none" w:sz="0" w:space="0" w:color="auto"/>
      </w:divBdr>
    </w:div>
    <w:div w:id="1064983446">
      <w:bodyDiv w:val="1"/>
      <w:marLeft w:val="0"/>
      <w:marRight w:val="0"/>
      <w:marTop w:val="0"/>
      <w:marBottom w:val="0"/>
      <w:divBdr>
        <w:top w:val="none" w:sz="0" w:space="0" w:color="auto"/>
        <w:left w:val="none" w:sz="0" w:space="0" w:color="auto"/>
        <w:bottom w:val="none" w:sz="0" w:space="0" w:color="auto"/>
        <w:right w:val="none" w:sz="0" w:space="0" w:color="auto"/>
      </w:divBdr>
    </w:div>
    <w:div w:id="1086264773">
      <w:bodyDiv w:val="1"/>
      <w:marLeft w:val="0"/>
      <w:marRight w:val="0"/>
      <w:marTop w:val="0"/>
      <w:marBottom w:val="0"/>
      <w:divBdr>
        <w:top w:val="none" w:sz="0" w:space="0" w:color="auto"/>
        <w:left w:val="none" w:sz="0" w:space="0" w:color="auto"/>
        <w:bottom w:val="none" w:sz="0" w:space="0" w:color="auto"/>
        <w:right w:val="none" w:sz="0" w:space="0" w:color="auto"/>
      </w:divBdr>
    </w:div>
    <w:div w:id="1934047596">
      <w:bodyDiv w:val="1"/>
      <w:marLeft w:val="0"/>
      <w:marRight w:val="0"/>
      <w:marTop w:val="0"/>
      <w:marBottom w:val="0"/>
      <w:divBdr>
        <w:top w:val="none" w:sz="0" w:space="0" w:color="auto"/>
        <w:left w:val="none" w:sz="0" w:space="0" w:color="auto"/>
        <w:bottom w:val="none" w:sz="0" w:space="0" w:color="auto"/>
        <w:right w:val="none" w:sz="0" w:space="0" w:color="auto"/>
      </w:divBdr>
      <w:divsChild>
        <w:div w:id="847136337">
          <w:marLeft w:val="0"/>
          <w:marRight w:val="0"/>
          <w:marTop w:val="0"/>
          <w:marBottom w:val="0"/>
          <w:divBdr>
            <w:top w:val="none" w:sz="0" w:space="0" w:color="auto"/>
            <w:left w:val="none" w:sz="0" w:space="0" w:color="auto"/>
            <w:bottom w:val="none" w:sz="0" w:space="0" w:color="auto"/>
            <w:right w:val="none" w:sz="0" w:space="0" w:color="auto"/>
          </w:divBdr>
          <w:divsChild>
            <w:div w:id="1842507088">
              <w:marLeft w:val="0"/>
              <w:marRight w:val="0"/>
              <w:marTop w:val="0"/>
              <w:marBottom w:val="225"/>
              <w:divBdr>
                <w:top w:val="none" w:sz="0" w:space="0" w:color="auto"/>
                <w:left w:val="none" w:sz="0" w:space="0" w:color="auto"/>
                <w:bottom w:val="none" w:sz="0" w:space="0" w:color="auto"/>
                <w:right w:val="none" w:sz="0" w:space="0" w:color="auto"/>
              </w:divBdr>
            </w:div>
          </w:divsChild>
        </w:div>
        <w:div w:id="855539544">
          <w:marLeft w:val="0"/>
          <w:marRight w:val="0"/>
          <w:marTop w:val="0"/>
          <w:marBottom w:val="0"/>
          <w:divBdr>
            <w:top w:val="none" w:sz="0" w:space="0" w:color="auto"/>
            <w:left w:val="none" w:sz="0" w:space="0" w:color="auto"/>
            <w:bottom w:val="none" w:sz="0" w:space="0" w:color="auto"/>
            <w:right w:val="none" w:sz="0" w:space="0" w:color="auto"/>
          </w:divBdr>
        </w:div>
      </w:divsChild>
    </w:div>
    <w:div w:id="19347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F0D25-4D98-423B-9F6B-1FB2F7BF2192}">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AF733ACB-A47D-4A9E-9EEE-437E0E7A62BF"/>
    <ds:schemaRef ds:uri="http://schemas.microsoft.com/office/2006/metadata/properties"/>
  </ds:schemaRefs>
</ds:datastoreItem>
</file>

<file path=customXml/itemProps2.xml><?xml version="1.0" encoding="utf-8"?>
<ds:datastoreItem xmlns:ds="http://schemas.openxmlformats.org/officeDocument/2006/customXml" ds:itemID="{1B621014-9E74-4B91-A1DA-53BA511513DA}">
  <ds:schemaRefs>
    <ds:schemaRef ds:uri="http://schemas.microsoft.com/sharepoint/v3/contenttype/forms"/>
  </ds:schemaRefs>
</ds:datastoreItem>
</file>

<file path=customXml/itemProps3.xml><?xml version="1.0" encoding="utf-8"?>
<ds:datastoreItem xmlns:ds="http://schemas.openxmlformats.org/officeDocument/2006/customXml" ds:itemID="{45276D64-34E8-450C-AE8F-64FB94023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B64A8-B3A4-4627-9157-8E940470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3825</Words>
  <Characters>21806</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stewas</dc:creator>
  <cp:lastModifiedBy>pymane</cp:lastModifiedBy>
  <cp:revision>2</cp:revision>
  <dcterms:created xsi:type="dcterms:W3CDTF">2018-08-02T07:33:00Z</dcterms:created>
  <dcterms:modified xsi:type="dcterms:W3CDTF">2018-08-02T07:33:00Z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ies>
</file>