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2A22" w14:textId="77777777" w:rsidR="00AA451F" w:rsidRPr="00696C98" w:rsidRDefault="00AA451F" w:rsidP="00AA451F">
      <w:pPr>
        <w:jc w:val="center"/>
        <w:rPr>
          <w:b/>
          <w:sz w:val="28"/>
          <w:szCs w:val="28"/>
          <w:u w:val="single"/>
        </w:rPr>
      </w:pPr>
      <w:bookmarkStart w:id="0" w:name="_GoBack"/>
      <w:bookmarkEnd w:id="0"/>
      <w:r w:rsidRPr="00696C98">
        <w:rPr>
          <w:b/>
          <w:sz w:val="28"/>
          <w:szCs w:val="28"/>
          <w:u w:val="single"/>
        </w:rPr>
        <w:t>EXPLANATORY STATEMENT</w:t>
      </w:r>
    </w:p>
    <w:p w14:paraId="395E335E" w14:textId="77777777" w:rsidR="00AA451F" w:rsidRDefault="00AA451F" w:rsidP="00AA451F">
      <w:pPr>
        <w:shd w:val="clear" w:color="auto" w:fill="FFFFFF"/>
        <w:spacing w:before="0"/>
        <w:jc w:val="center"/>
        <w:rPr>
          <w:b/>
          <w:bCs/>
          <w:color w:val="000000"/>
          <w:szCs w:val="24"/>
          <w:lang w:val="en-US"/>
        </w:rPr>
      </w:pPr>
    </w:p>
    <w:p w14:paraId="6DE56EE5" w14:textId="77777777" w:rsidR="00AA451F" w:rsidRPr="00696C98" w:rsidRDefault="00AA451F" w:rsidP="00AA451F">
      <w:pPr>
        <w:spacing w:before="0"/>
        <w:jc w:val="center"/>
        <w:rPr>
          <w:szCs w:val="24"/>
          <w:lang w:eastAsia="en-US"/>
        </w:rPr>
      </w:pPr>
      <w:r w:rsidRPr="00696C98">
        <w:rPr>
          <w:szCs w:val="24"/>
          <w:lang w:eastAsia="en-US"/>
        </w:rPr>
        <w:t xml:space="preserve">Issued by the Authority of the </w:t>
      </w:r>
    </w:p>
    <w:p w14:paraId="15DC278D" w14:textId="77777777" w:rsidR="00AA451F" w:rsidRPr="00696C98" w:rsidRDefault="00AA451F" w:rsidP="00AA451F">
      <w:pPr>
        <w:spacing w:before="0"/>
        <w:jc w:val="center"/>
        <w:rPr>
          <w:szCs w:val="24"/>
          <w:lang w:eastAsia="en-US"/>
        </w:rPr>
      </w:pPr>
      <w:r w:rsidRPr="00696C98">
        <w:rPr>
          <w:szCs w:val="24"/>
          <w:lang w:eastAsia="en-US"/>
        </w:rPr>
        <w:t>Australian Fisheries Management Authority</w:t>
      </w:r>
    </w:p>
    <w:p w14:paraId="39E6167A" w14:textId="77777777" w:rsidR="00AA451F" w:rsidRPr="00696C98" w:rsidRDefault="00AA451F" w:rsidP="00AA451F">
      <w:pPr>
        <w:spacing w:before="0"/>
        <w:jc w:val="left"/>
        <w:rPr>
          <w:szCs w:val="24"/>
          <w:lang w:eastAsia="en-US"/>
        </w:rPr>
      </w:pPr>
    </w:p>
    <w:p w14:paraId="4AF92062" w14:textId="77777777" w:rsidR="00AA451F" w:rsidRDefault="00AA451F" w:rsidP="00AA451F">
      <w:pPr>
        <w:spacing w:before="0"/>
        <w:jc w:val="center"/>
        <w:rPr>
          <w:i/>
          <w:szCs w:val="24"/>
          <w:lang w:eastAsia="en-US"/>
        </w:rPr>
      </w:pPr>
      <w:r w:rsidRPr="00696C98">
        <w:rPr>
          <w:i/>
          <w:szCs w:val="24"/>
          <w:lang w:eastAsia="en-US"/>
        </w:rPr>
        <w:t>Fisheries Management Act 1991</w:t>
      </w:r>
    </w:p>
    <w:p w14:paraId="525C362D" w14:textId="77777777" w:rsidR="00AA451F" w:rsidRPr="00E12E57" w:rsidRDefault="00AA451F" w:rsidP="00AA451F">
      <w:pPr>
        <w:spacing w:before="0"/>
        <w:jc w:val="center"/>
        <w:rPr>
          <w:i/>
          <w:szCs w:val="24"/>
          <w:lang w:eastAsia="en-US"/>
        </w:rPr>
      </w:pPr>
    </w:p>
    <w:p w14:paraId="36974FBD" w14:textId="29FAEC6D" w:rsidR="00012518" w:rsidRDefault="00012518" w:rsidP="00AA451F">
      <w:pPr>
        <w:spacing w:before="120"/>
        <w:ind w:right="-1"/>
        <w:rPr>
          <w:b/>
          <w:bCs/>
          <w:color w:val="000000"/>
          <w:szCs w:val="24"/>
        </w:rPr>
      </w:pPr>
      <w:r w:rsidRPr="00012518">
        <w:rPr>
          <w:b/>
          <w:bCs/>
          <w:color w:val="000000"/>
          <w:szCs w:val="24"/>
        </w:rPr>
        <w:t xml:space="preserve">Southern and Eastern Scalefish and Shark Fishery and Small Pelagic Fishery </w:t>
      </w:r>
      <w:r w:rsidR="00121096" w:rsidRPr="00121096">
        <w:rPr>
          <w:b/>
          <w:bCs/>
          <w:color w:val="000000"/>
          <w:szCs w:val="24"/>
        </w:rPr>
        <w:t>(Variation of Closures) Direction 2018</w:t>
      </w:r>
    </w:p>
    <w:p w14:paraId="172A9548" w14:textId="37CC2A38" w:rsidR="00AA451F" w:rsidRDefault="00AA451F" w:rsidP="00AA451F">
      <w:pPr>
        <w:spacing w:before="120"/>
        <w:ind w:right="-1"/>
        <w:rPr>
          <w:color w:val="000000"/>
          <w:sz w:val="22"/>
          <w:szCs w:val="22"/>
          <w:shd w:val="clear" w:color="auto" w:fill="FFFFFF"/>
        </w:rPr>
      </w:pPr>
      <w:r>
        <w:rPr>
          <w:color w:val="000000"/>
          <w:sz w:val="22"/>
          <w:szCs w:val="22"/>
          <w:shd w:val="clear" w:color="auto" w:fill="FFFFFF"/>
        </w:rPr>
        <w:t xml:space="preserve">Subsection 41A(3) of the </w:t>
      </w:r>
      <w:r w:rsidR="0076251F">
        <w:rPr>
          <w:i/>
          <w:color w:val="000000"/>
          <w:sz w:val="22"/>
          <w:szCs w:val="22"/>
          <w:shd w:val="clear" w:color="auto" w:fill="FFFFFF"/>
        </w:rPr>
        <w:t>Fisheries Management Act 1991</w:t>
      </w:r>
      <w:r w:rsidR="0076251F">
        <w:rPr>
          <w:color w:val="000000"/>
          <w:sz w:val="22"/>
          <w:szCs w:val="22"/>
          <w:shd w:val="clear" w:color="auto" w:fill="FFFFFF"/>
        </w:rPr>
        <w:t xml:space="preserve"> (the Management Act)</w:t>
      </w:r>
      <w:r>
        <w:rPr>
          <w:color w:val="000000"/>
          <w:sz w:val="22"/>
          <w:szCs w:val="22"/>
          <w:shd w:val="clear" w:color="auto" w:fill="FFFFFF"/>
        </w:rPr>
        <w:t xml:space="preserve"> provides that </w:t>
      </w:r>
      <w:r w:rsidR="0076251F">
        <w:rPr>
          <w:color w:val="000000"/>
          <w:sz w:val="22"/>
          <w:szCs w:val="22"/>
          <w:shd w:val="clear" w:color="auto" w:fill="FFFFFF"/>
        </w:rPr>
        <w:t xml:space="preserve">the Australian Fisheries Management Authority (AFMA) </w:t>
      </w:r>
      <w:r>
        <w:rPr>
          <w:color w:val="000000"/>
          <w:sz w:val="22"/>
          <w:szCs w:val="22"/>
          <w:shd w:val="clear" w:color="auto" w:fill="FFFFFF"/>
        </w:rPr>
        <w:t xml:space="preserve">may, at any time, by a further direction in writing, vary or revoke a direction given under subsection </w:t>
      </w:r>
      <w:r w:rsidR="0076251F">
        <w:rPr>
          <w:color w:val="000000"/>
          <w:sz w:val="22"/>
          <w:szCs w:val="22"/>
          <w:shd w:val="clear" w:color="auto" w:fill="FFFFFF"/>
        </w:rPr>
        <w:t>41A</w:t>
      </w:r>
      <w:r>
        <w:rPr>
          <w:color w:val="000000"/>
          <w:sz w:val="22"/>
          <w:szCs w:val="22"/>
          <w:shd w:val="clear" w:color="auto" w:fill="FFFFFF"/>
        </w:rPr>
        <w:t>(2)</w:t>
      </w:r>
      <w:r w:rsidR="0076251F">
        <w:rPr>
          <w:color w:val="000000"/>
          <w:sz w:val="22"/>
          <w:szCs w:val="22"/>
          <w:shd w:val="clear" w:color="auto" w:fill="FFFFFF"/>
        </w:rPr>
        <w:t xml:space="preserve"> of the Management Act</w:t>
      </w:r>
      <w:r>
        <w:rPr>
          <w:color w:val="000000"/>
          <w:sz w:val="22"/>
          <w:szCs w:val="22"/>
          <w:shd w:val="clear" w:color="auto" w:fill="FFFFFF"/>
        </w:rPr>
        <w:t xml:space="preserve">.  </w:t>
      </w:r>
      <w:r w:rsidR="0076251F">
        <w:rPr>
          <w:color w:val="000000"/>
          <w:sz w:val="22"/>
          <w:szCs w:val="22"/>
          <w:shd w:val="clear" w:color="auto" w:fill="FFFFFF"/>
        </w:rPr>
        <w:t xml:space="preserve">A direction under subsection 41A(2) of the Management Act may be made to direct that fishing is not to be engaged in in the fishery, or in a particular part of the fishery, during a period or periods specified in the direction.  </w:t>
      </w:r>
      <w:r>
        <w:rPr>
          <w:color w:val="000000"/>
          <w:sz w:val="22"/>
          <w:szCs w:val="22"/>
          <w:shd w:val="clear" w:color="auto" w:fill="FFFFFF"/>
        </w:rPr>
        <w:t xml:space="preserve">A direction given under subsection 41A(3) of the Management Act is not subject to the notification requirements </w:t>
      </w:r>
      <w:r w:rsidR="008040C9">
        <w:rPr>
          <w:color w:val="000000"/>
          <w:sz w:val="22"/>
          <w:szCs w:val="22"/>
          <w:shd w:val="clear" w:color="auto" w:fill="FFFFFF"/>
        </w:rPr>
        <w:t xml:space="preserve">that are required for a direction under subsection 41A(2), as </w:t>
      </w:r>
      <w:r w:rsidR="00DE7AA7">
        <w:rPr>
          <w:color w:val="000000"/>
          <w:sz w:val="22"/>
          <w:szCs w:val="22"/>
          <w:shd w:val="clear" w:color="auto" w:fill="FFFFFF"/>
        </w:rPr>
        <w:t xml:space="preserve">prescribed by </w:t>
      </w:r>
      <w:r w:rsidR="0076251F">
        <w:rPr>
          <w:color w:val="000000"/>
          <w:sz w:val="22"/>
          <w:szCs w:val="22"/>
          <w:shd w:val="clear" w:color="auto" w:fill="FFFFFF"/>
        </w:rPr>
        <w:t>sub</w:t>
      </w:r>
      <w:r>
        <w:rPr>
          <w:color w:val="000000"/>
          <w:sz w:val="22"/>
          <w:szCs w:val="22"/>
          <w:shd w:val="clear" w:color="auto" w:fill="FFFFFF"/>
        </w:rPr>
        <w:t>section</w:t>
      </w:r>
      <w:r w:rsidR="0076251F">
        <w:rPr>
          <w:color w:val="000000"/>
          <w:sz w:val="22"/>
          <w:szCs w:val="22"/>
          <w:shd w:val="clear" w:color="auto" w:fill="FFFFFF"/>
        </w:rPr>
        <w:t>s</w:t>
      </w:r>
      <w:r>
        <w:rPr>
          <w:color w:val="000000"/>
          <w:sz w:val="22"/>
          <w:szCs w:val="22"/>
          <w:shd w:val="clear" w:color="auto" w:fill="FFFFFF"/>
        </w:rPr>
        <w:t xml:space="preserve"> 41A(2) and 41A(2A).  </w:t>
      </w:r>
    </w:p>
    <w:p w14:paraId="57AD9FAE" w14:textId="2E7C7120" w:rsidR="00AA451F" w:rsidRDefault="00AA451F" w:rsidP="00AA451F">
      <w:pPr>
        <w:spacing w:before="120"/>
        <w:ind w:right="-1"/>
        <w:rPr>
          <w:color w:val="000000"/>
          <w:sz w:val="22"/>
          <w:szCs w:val="22"/>
          <w:shd w:val="clear" w:color="auto" w:fill="FFFFFF"/>
        </w:rPr>
      </w:pPr>
      <w:r>
        <w:rPr>
          <w:color w:val="000000"/>
          <w:sz w:val="22"/>
          <w:szCs w:val="22"/>
          <w:shd w:val="clear" w:color="auto" w:fill="FFFFFF"/>
        </w:rPr>
        <w:t>Pursuant to subsection 41A(4) of the Management Act, if AFMA varies a direction given under subsection 41A(2)</w:t>
      </w:r>
      <w:r w:rsidR="008040C9">
        <w:rPr>
          <w:color w:val="000000"/>
          <w:sz w:val="22"/>
          <w:szCs w:val="22"/>
          <w:shd w:val="clear" w:color="auto" w:fill="FFFFFF"/>
        </w:rPr>
        <w:t xml:space="preserve"> by way of subsection 41A(3)</w:t>
      </w:r>
      <w:r>
        <w:rPr>
          <w:color w:val="000000"/>
          <w:sz w:val="22"/>
          <w:szCs w:val="22"/>
          <w:shd w:val="clear" w:color="auto" w:fill="FFFFFF"/>
        </w:rPr>
        <w:t xml:space="preserve"> it must ensure a copy of the </w:t>
      </w:r>
      <w:r w:rsidR="008040C9">
        <w:rPr>
          <w:color w:val="000000"/>
          <w:sz w:val="22"/>
          <w:szCs w:val="22"/>
          <w:shd w:val="clear" w:color="auto" w:fill="FFFFFF"/>
        </w:rPr>
        <w:t>variation</w:t>
      </w:r>
      <w:r>
        <w:rPr>
          <w:color w:val="000000"/>
          <w:sz w:val="22"/>
          <w:szCs w:val="22"/>
          <w:shd w:val="clear" w:color="auto" w:fill="FFFFFF"/>
        </w:rPr>
        <w:t xml:space="preserve"> is sent to the holder of a fishing concession in respect of the fishery as soon as practicable.   </w:t>
      </w:r>
    </w:p>
    <w:p w14:paraId="3AD3BCB7" w14:textId="0F987040" w:rsidR="00AA451F" w:rsidRDefault="00DE7AA7" w:rsidP="00AA451F">
      <w:pPr>
        <w:shd w:val="clear" w:color="auto" w:fill="FFFFFF"/>
        <w:spacing w:before="180"/>
        <w:rPr>
          <w:color w:val="000000"/>
          <w:sz w:val="22"/>
          <w:szCs w:val="22"/>
        </w:rPr>
      </w:pPr>
      <w:r>
        <w:rPr>
          <w:color w:val="000000"/>
          <w:sz w:val="22"/>
          <w:szCs w:val="22"/>
        </w:rPr>
        <w:t xml:space="preserve">The </w:t>
      </w:r>
      <w:r>
        <w:rPr>
          <w:i/>
          <w:color w:val="000000"/>
          <w:sz w:val="22"/>
          <w:szCs w:val="22"/>
        </w:rPr>
        <w:t xml:space="preserve">Southern and Eastern Scalefish and Shark Fishery and Small Pelagic Fishery (Variation of Closures) Direction 2018 </w:t>
      </w:r>
      <w:r>
        <w:rPr>
          <w:color w:val="000000"/>
          <w:sz w:val="22"/>
          <w:szCs w:val="22"/>
        </w:rPr>
        <w:t>(the Variation</w:t>
      </w:r>
      <w:r w:rsidR="0076251F">
        <w:rPr>
          <w:color w:val="000000"/>
          <w:sz w:val="22"/>
          <w:szCs w:val="22"/>
        </w:rPr>
        <w:t xml:space="preserve"> </w:t>
      </w:r>
      <w:r w:rsidR="00FB1FCD">
        <w:rPr>
          <w:color w:val="000000"/>
          <w:sz w:val="22"/>
          <w:szCs w:val="22"/>
        </w:rPr>
        <w:t>Direction</w:t>
      </w:r>
      <w:r>
        <w:rPr>
          <w:color w:val="000000"/>
          <w:sz w:val="22"/>
          <w:szCs w:val="22"/>
        </w:rPr>
        <w:t>)</w:t>
      </w:r>
      <w:r w:rsidR="00FB1FCD">
        <w:rPr>
          <w:color w:val="000000"/>
          <w:sz w:val="22"/>
          <w:szCs w:val="22"/>
        </w:rPr>
        <w:t xml:space="preserve"> is </w:t>
      </w:r>
      <w:r w:rsidR="0076251F">
        <w:rPr>
          <w:color w:val="000000"/>
          <w:sz w:val="22"/>
          <w:szCs w:val="22"/>
        </w:rPr>
        <w:t xml:space="preserve">made under subsection 41A(3) of the Management Act to vary the </w:t>
      </w:r>
      <w:r w:rsidR="0076251F">
        <w:rPr>
          <w:i/>
          <w:color w:val="000000"/>
          <w:sz w:val="22"/>
          <w:szCs w:val="22"/>
        </w:rPr>
        <w:t xml:space="preserve">Southern and Eastern Scalefish and Shark Fishery and Small Pelagic Fishery (Closures) Direction 2016 </w:t>
      </w:r>
      <w:r w:rsidR="00FB1FCD">
        <w:rPr>
          <w:color w:val="000000"/>
          <w:sz w:val="22"/>
          <w:szCs w:val="22"/>
        </w:rPr>
        <w:t xml:space="preserve">(the </w:t>
      </w:r>
      <w:r w:rsidR="00741247">
        <w:rPr>
          <w:color w:val="000000"/>
          <w:sz w:val="22"/>
          <w:szCs w:val="22"/>
        </w:rPr>
        <w:t>Original</w:t>
      </w:r>
      <w:r w:rsidR="00FB1FCD">
        <w:rPr>
          <w:color w:val="000000"/>
          <w:sz w:val="22"/>
          <w:szCs w:val="22"/>
        </w:rPr>
        <w:t xml:space="preserve"> Direction) </w:t>
      </w:r>
      <w:r w:rsidR="0076251F">
        <w:rPr>
          <w:color w:val="000000"/>
          <w:sz w:val="22"/>
          <w:szCs w:val="22"/>
        </w:rPr>
        <w:t xml:space="preserve">and to revoke the </w:t>
      </w:r>
      <w:r w:rsidR="0076251F">
        <w:rPr>
          <w:i/>
          <w:color w:val="000000"/>
          <w:sz w:val="22"/>
          <w:szCs w:val="22"/>
        </w:rPr>
        <w:t>Southern and Eastern Scalefish and Shark Fishery (Closures) Direction No. 6 of 2013</w:t>
      </w:r>
      <w:r w:rsidR="0076251F">
        <w:rPr>
          <w:color w:val="000000"/>
          <w:sz w:val="22"/>
          <w:szCs w:val="22"/>
        </w:rPr>
        <w:t xml:space="preserve"> </w:t>
      </w:r>
      <w:r w:rsidR="00FB1FCD">
        <w:rPr>
          <w:color w:val="000000"/>
          <w:sz w:val="22"/>
          <w:szCs w:val="22"/>
        </w:rPr>
        <w:t xml:space="preserve">(the First Revoked Direction) </w:t>
      </w:r>
      <w:r w:rsidR="0076251F">
        <w:rPr>
          <w:color w:val="000000"/>
          <w:sz w:val="22"/>
          <w:szCs w:val="22"/>
        </w:rPr>
        <w:t xml:space="preserve">and the </w:t>
      </w:r>
      <w:r w:rsidR="0076251F">
        <w:rPr>
          <w:i/>
          <w:color w:val="000000"/>
          <w:sz w:val="22"/>
          <w:szCs w:val="22"/>
        </w:rPr>
        <w:t>Southern and Eastern Scalefish and Shark Fishery (Closures) Direction No. 11 of 2013</w:t>
      </w:r>
      <w:r w:rsidR="00FB1FCD">
        <w:rPr>
          <w:i/>
          <w:color w:val="000000"/>
          <w:sz w:val="22"/>
          <w:szCs w:val="22"/>
        </w:rPr>
        <w:t xml:space="preserve"> </w:t>
      </w:r>
      <w:r w:rsidR="00FB1FCD">
        <w:rPr>
          <w:color w:val="000000"/>
          <w:sz w:val="22"/>
          <w:szCs w:val="22"/>
        </w:rPr>
        <w:t>(the Second Revoked Direction)</w:t>
      </w:r>
      <w:r w:rsidR="008040C9">
        <w:rPr>
          <w:color w:val="000000"/>
          <w:sz w:val="22"/>
          <w:szCs w:val="22"/>
        </w:rPr>
        <w:t>.  The Variation Direction</w:t>
      </w:r>
      <w:r w:rsidR="00FB1FCD">
        <w:rPr>
          <w:color w:val="000000"/>
          <w:sz w:val="22"/>
          <w:szCs w:val="22"/>
        </w:rPr>
        <w:t xml:space="preserve"> </w:t>
      </w:r>
      <w:r w:rsidR="00AA451F" w:rsidRPr="00222E4C">
        <w:rPr>
          <w:color w:val="000000"/>
          <w:sz w:val="22"/>
          <w:szCs w:val="22"/>
        </w:rPr>
        <w:t>is a legislative instrument for the purposes of the </w:t>
      </w:r>
      <w:r w:rsidR="00AA451F">
        <w:rPr>
          <w:i/>
          <w:iCs/>
          <w:color w:val="000000"/>
          <w:sz w:val="22"/>
          <w:szCs w:val="22"/>
        </w:rPr>
        <w:t>Legislation</w:t>
      </w:r>
      <w:r w:rsidR="00AA451F" w:rsidRPr="00222E4C">
        <w:rPr>
          <w:i/>
          <w:iCs/>
          <w:color w:val="000000"/>
          <w:sz w:val="22"/>
          <w:szCs w:val="22"/>
        </w:rPr>
        <w:t xml:space="preserve"> Act 2003</w:t>
      </w:r>
      <w:r w:rsidR="00A43D88">
        <w:rPr>
          <w:i/>
          <w:iCs/>
          <w:color w:val="000000"/>
          <w:sz w:val="22"/>
          <w:szCs w:val="22"/>
        </w:rPr>
        <w:t xml:space="preserve"> </w:t>
      </w:r>
      <w:r w:rsidR="00A43D88">
        <w:rPr>
          <w:iCs/>
          <w:color w:val="000000"/>
          <w:sz w:val="22"/>
          <w:szCs w:val="22"/>
        </w:rPr>
        <w:t>(the Legislation Act)</w:t>
      </w:r>
      <w:r w:rsidR="00AA451F" w:rsidRPr="00222E4C">
        <w:rPr>
          <w:color w:val="000000"/>
          <w:sz w:val="22"/>
          <w:szCs w:val="22"/>
        </w:rPr>
        <w:t>.</w:t>
      </w:r>
    </w:p>
    <w:p w14:paraId="67FB7E89" w14:textId="3CF3822C" w:rsidR="00AA451F" w:rsidRPr="00D27F0D" w:rsidRDefault="00AA451F" w:rsidP="008040C9">
      <w:pPr>
        <w:rPr>
          <w:b/>
        </w:rPr>
      </w:pPr>
      <w:r w:rsidRPr="00D27F0D">
        <w:rPr>
          <w:b/>
        </w:rPr>
        <w:t>T</w:t>
      </w:r>
      <w:r>
        <w:rPr>
          <w:b/>
        </w:rPr>
        <w:t>he F</w:t>
      </w:r>
      <w:r w:rsidRPr="00D27F0D">
        <w:rPr>
          <w:b/>
        </w:rPr>
        <w:t>isher</w:t>
      </w:r>
      <w:r w:rsidR="00D76E5E">
        <w:rPr>
          <w:b/>
        </w:rPr>
        <w:t>ies</w:t>
      </w:r>
    </w:p>
    <w:p w14:paraId="3632479B" w14:textId="77777777" w:rsidR="00AA451F" w:rsidRDefault="00AA451F" w:rsidP="008040C9">
      <w:pPr>
        <w:shd w:val="clear" w:color="auto" w:fill="FFFFFF"/>
        <w:spacing w:before="0"/>
        <w:rPr>
          <w:color w:val="000000"/>
          <w:sz w:val="22"/>
          <w:szCs w:val="22"/>
          <w:lang w:val="en-US"/>
        </w:rPr>
      </w:pPr>
    </w:p>
    <w:p w14:paraId="41F1C61F" w14:textId="056B560B" w:rsidR="00AA451F" w:rsidRPr="00AA451F" w:rsidRDefault="00AA451F" w:rsidP="008040C9">
      <w:pPr>
        <w:spacing w:before="0"/>
        <w:rPr>
          <w:sz w:val="22"/>
          <w:szCs w:val="22"/>
          <w:lang w:eastAsia="en-US"/>
        </w:rPr>
      </w:pPr>
      <w:r w:rsidRPr="00AA451F">
        <w:rPr>
          <w:sz w:val="22"/>
          <w:szCs w:val="22"/>
          <w:lang w:eastAsia="en-US"/>
        </w:rPr>
        <w:t>The Southern and Eastern Scalefish</w:t>
      </w:r>
      <w:r w:rsidR="00B705D8">
        <w:rPr>
          <w:sz w:val="22"/>
          <w:szCs w:val="22"/>
          <w:lang w:eastAsia="en-US"/>
        </w:rPr>
        <w:t xml:space="preserve"> and Shark Fishery (</w:t>
      </w:r>
      <w:r w:rsidRPr="00AA451F">
        <w:rPr>
          <w:sz w:val="22"/>
          <w:szCs w:val="22"/>
          <w:lang w:eastAsia="en-US"/>
        </w:rPr>
        <w:t xml:space="preserve">the </w:t>
      </w:r>
      <w:r w:rsidR="00F400F3">
        <w:rPr>
          <w:sz w:val="22"/>
          <w:szCs w:val="22"/>
          <w:lang w:eastAsia="en-US"/>
        </w:rPr>
        <w:t>SESSF</w:t>
      </w:r>
      <w:r w:rsidRPr="00AA451F">
        <w:rPr>
          <w:sz w:val="22"/>
          <w:szCs w:val="22"/>
          <w:lang w:eastAsia="en-US"/>
        </w:rPr>
        <w:t xml:space="preserve">) covers the area of waters from approximately 80 nautical miles off the coast near Fraser Island in Queensland, south around Tasmania and west to Cape Leeuwin in Western Australia. </w:t>
      </w:r>
      <w:r w:rsidR="0076251F">
        <w:rPr>
          <w:sz w:val="22"/>
          <w:szCs w:val="22"/>
          <w:lang w:eastAsia="en-US"/>
        </w:rPr>
        <w:t xml:space="preserve"> </w:t>
      </w:r>
      <w:r w:rsidRPr="00AA451F">
        <w:rPr>
          <w:sz w:val="22"/>
          <w:szCs w:val="22"/>
          <w:lang w:eastAsia="en-US"/>
        </w:rPr>
        <w:t xml:space="preserve">The area of the </w:t>
      </w:r>
      <w:r w:rsidR="0076251F">
        <w:rPr>
          <w:sz w:val="22"/>
          <w:szCs w:val="22"/>
          <w:lang w:eastAsia="en-US"/>
        </w:rPr>
        <w:t>SESSF</w:t>
      </w:r>
      <w:r w:rsidR="0076251F" w:rsidRPr="00AA451F">
        <w:rPr>
          <w:sz w:val="22"/>
          <w:szCs w:val="22"/>
          <w:lang w:eastAsia="en-US"/>
        </w:rPr>
        <w:t xml:space="preserve"> </w:t>
      </w:r>
      <w:r w:rsidRPr="00AA451F">
        <w:rPr>
          <w:sz w:val="22"/>
          <w:szCs w:val="22"/>
          <w:lang w:eastAsia="en-US"/>
        </w:rPr>
        <w:t>encompasses almost half of the waters within the Australian Fishing Zone</w:t>
      </w:r>
      <w:r w:rsidR="0076251F">
        <w:rPr>
          <w:sz w:val="22"/>
          <w:szCs w:val="22"/>
          <w:lang w:eastAsia="en-US"/>
        </w:rPr>
        <w:t xml:space="preserve"> (as defined by subsection 4(1) of the Management Act)</w:t>
      </w:r>
      <w:r w:rsidRPr="00AA451F">
        <w:rPr>
          <w:sz w:val="22"/>
          <w:szCs w:val="22"/>
          <w:lang w:eastAsia="en-US"/>
        </w:rPr>
        <w:t>.</w:t>
      </w:r>
      <w:r w:rsidR="0076251F">
        <w:rPr>
          <w:sz w:val="22"/>
          <w:szCs w:val="22"/>
          <w:lang w:eastAsia="en-US"/>
        </w:rPr>
        <w:t xml:space="preserve"> </w:t>
      </w:r>
      <w:r w:rsidRPr="00AA451F">
        <w:rPr>
          <w:sz w:val="22"/>
          <w:szCs w:val="22"/>
          <w:lang w:eastAsia="en-US"/>
        </w:rPr>
        <w:t xml:space="preserve"> The </w:t>
      </w:r>
      <w:r w:rsidR="0076251F">
        <w:rPr>
          <w:sz w:val="22"/>
          <w:szCs w:val="22"/>
          <w:lang w:eastAsia="en-US"/>
        </w:rPr>
        <w:t>SESSF</w:t>
      </w:r>
      <w:r w:rsidR="0076251F" w:rsidRPr="00AA451F">
        <w:rPr>
          <w:sz w:val="22"/>
          <w:szCs w:val="22"/>
          <w:lang w:eastAsia="en-US"/>
        </w:rPr>
        <w:t xml:space="preserve"> </w:t>
      </w:r>
      <w:r w:rsidRPr="00AA451F">
        <w:rPr>
          <w:sz w:val="22"/>
          <w:szCs w:val="22"/>
          <w:lang w:eastAsia="en-US"/>
        </w:rPr>
        <w:t xml:space="preserve">operates in both Commonwealth </w:t>
      </w:r>
      <w:r w:rsidR="008040C9">
        <w:rPr>
          <w:sz w:val="22"/>
          <w:szCs w:val="22"/>
          <w:lang w:eastAsia="en-US"/>
        </w:rPr>
        <w:t xml:space="preserve">(3-200nm) </w:t>
      </w:r>
      <w:r w:rsidRPr="00AA451F">
        <w:rPr>
          <w:sz w:val="22"/>
          <w:szCs w:val="22"/>
          <w:lang w:eastAsia="en-US"/>
        </w:rPr>
        <w:t xml:space="preserve">and </w:t>
      </w:r>
      <w:r w:rsidR="0076251F">
        <w:rPr>
          <w:sz w:val="22"/>
          <w:szCs w:val="22"/>
          <w:lang w:eastAsia="en-US"/>
        </w:rPr>
        <w:t>State</w:t>
      </w:r>
      <w:r w:rsidR="008040C9">
        <w:rPr>
          <w:sz w:val="22"/>
          <w:szCs w:val="22"/>
          <w:lang w:eastAsia="en-US"/>
        </w:rPr>
        <w:t xml:space="preserve"> (0-3nm)</w:t>
      </w:r>
      <w:r w:rsidR="0076251F" w:rsidRPr="00AA451F">
        <w:rPr>
          <w:sz w:val="22"/>
          <w:szCs w:val="22"/>
          <w:lang w:eastAsia="en-US"/>
        </w:rPr>
        <w:t xml:space="preserve"> </w:t>
      </w:r>
      <w:r w:rsidRPr="00AA451F">
        <w:rPr>
          <w:sz w:val="22"/>
          <w:szCs w:val="22"/>
          <w:lang w:eastAsia="en-US"/>
        </w:rPr>
        <w:t xml:space="preserve">waters under complex jurisdictional arrangements, due to different arrangements with </w:t>
      </w:r>
      <w:r w:rsidR="008040C9">
        <w:rPr>
          <w:sz w:val="22"/>
          <w:szCs w:val="22"/>
          <w:lang w:eastAsia="en-US"/>
        </w:rPr>
        <w:t>relevant</w:t>
      </w:r>
      <w:r w:rsidR="008040C9" w:rsidRPr="00AA451F">
        <w:rPr>
          <w:sz w:val="22"/>
          <w:szCs w:val="22"/>
          <w:lang w:eastAsia="en-US"/>
        </w:rPr>
        <w:t xml:space="preserve"> </w:t>
      </w:r>
      <w:r w:rsidR="0076251F">
        <w:rPr>
          <w:sz w:val="22"/>
          <w:szCs w:val="22"/>
          <w:lang w:eastAsia="en-US"/>
        </w:rPr>
        <w:t>State</w:t>
      </w:r>
      <w:r w:rsidR="008040C9">
        <w:rPr>
          <w:sz w:val="22"/>
          <w:szCs w:val="22"/>
          <w:lang w:eastAsia="en-US"/>
        </w:rPr>
        <w:t>s</w:t>
      </w:r>
      <w:r w:rsidR="0076251F">
        <w:rPr>
          <w:sz w:val="22"/>
          <w:szCs w:val="22"/>
          <w:lang w:eastAsia="en-US"/>
        </w:rPr>
        <w:t xml:space="preserve"> </w:t>
      </w:r>
      <w:r w:rsidR="00FB1FCD">
        <w:rPr>
          <w:sz w:val="22"/>
          <w:szCs w:val="22"/>
          <w:lang w:eastAsia="en-US"/>
        </w:rPr>
        <w:t>under Part V of the Management Act</w:t>
      </w:r>
      <w:r w:rsidRPr="00AA451F">
        <w:rPr>
          <w:sz w:val="22"/>
          <w:szCs w:val="22"/>
          <w:lang w:eastAsia="en-US"/>
        </w:rPr>
        <w:t>.</w:t>
      </w:r>
    </w:p>
    <w:p w14:paraId="734A71AB" w14:textId="77777777" w:rsidR="00AA451F" w:rsidRPr="00AA451F" w:rsidRDefault="00AA451F" w:rsidP="008040C9">
      <w:pPr>
        <w:spacing w:before="0"/>
        <w:rPr>
          <w:sz w:val="22"/>
          <w:szCs w:val="22"/>
          <w:lang w:val="en-US" w:eastAsia="en-US"/>
        </w:rPr>
      </w:pPr>
    </w:p>
    <w:p w14:paraId="09F7A83B" w14:textId="39A07685" w:rsidR="00AA451F" w:rsidRDefault="00AA451F" w:rsidP="008040C9">
      <w:pPr>
        <w:spacing w:before="0"/>
        <w:rPr>
          <w:sz w:val="22"/>
          <w:szCs w:val="22"/>
          <w:lang w:eastAsia="en-US"/>
        </w:rPr>
      </w:pPr>
      <w:r w:rsidRPr="00AA451F">
        <w:rPr>
          <w:sz w:val="22"/>
          <w:szCs w:val="22"/>
          <w:lang w:eastAsia="en-US"/>
        </w:rPr>
        <w:t xml:space="preserve">The </w:t>
      </w:r>
      <w:r w:rsidR="0076251F">
        <w:rPr>
          <w:sz w:val="22"/>
          <w:szCs w:val="22"/>
          <w:lang w:eastAsia="en-US"/>
        </w:rPr>
        <w:t>SESSF</w:t>
      </w:r>
      <w:r w:rsidR="0076251F" w:rsidRPr="00AA451F">
        <w:rPr>
          <w:sz w:val="22"/>
          <w:szCs w:val="22"/>
          <w:lang w:eastAsia="en-US"/>
        </w:rPr>
        <w:t xml:space="preserve"> </w:t>
      </w:r>
      <w:r w:rsidRPr="00AA451F">
        <w:rPr>
          <w:sz w:val="22"/>
          <w:szCs w:val="22"/>
          <w:lang w:eastAsia="en-US"/>
        </w:rPr>
        <w:t xml:space="preserve">is managed under the </w:t>
      </w:r>
      <w:r w:rsidRPr="00AA451F">
        <w:rPr>
          <w:i/>
          <w:iCs/>
          <w:sz w:val="22"/>
          <w:szCs w:val="22"/>
          <w:lang w:eastAsia="en-US"/>
        </w:rPr>
        <w:t xml:space="preserve">Southern and Eastern Scalefish and Shark Fishery Management Plan 2003 </w:t>
      </w:r>
      <w:r w:rsidRPr="00AA451F">
        <w:rPr>
          <w:sz w:val="22"/>
          <w:szCs w:val="22"/>
          <w:lang w:eastAsia="en-US"/>
        </w:rPr>
        <w:t xml:space="preserve">(the </w:t>
      </w:r>
      <w:r w:rsidR="0076251F">
        <w:rPr>
          <w:sz w:val="22"/>
          <w:szCs w:val="22"/>
          <w:lang w:eastAsia="en-US"/>
        </w:rPr>
        <w:t xml:space="preserve">SESSF </w:t>
      </w:r>
      <w:r w:rsidRPr="00AA451F">
        <w:rPr>
          <w:sz w:val="22"/>
          <w:szCs w:val="22"/>
          <w:lang w:eastAsia="en-US"/>
        </w:rPr>
        <w:t xml:space="preserve">Plan), in force under section 17 of the Management Act, mainly through output controls in the form of Total Allowable Catch (TAC) limits. </w:t>
      </w:r>
      <w:r w:rsidR="0076251F">
        <w:rPr>
          <w:sz w:val="22"/>
          <w:szCs w:val="22"/>
          <w:lang w:eastAsia="en-US"/>
        </w:rPr>
        <w:t xml:space="preserve"> </w:t>
      </w:r>
      <w:r w:rsidRPr="00AA451F">
        <w:rPr>
          <w:sz w:val="22"/>
          <w:szCs w:val="22"/>
          <w:lang w:eastAsia="en-US"/>
        </w:rPr>
        <w:t xml:space="preserve">Input controls </w:t>
      </w:r>
      <w:r w:rsidR="008040C9">
        <w:rPr>
          <w:sz w:val="22"/>
          <w:szCs w:val="22"/>
          <w:lang w:eastAsia="en-US"/>
        </w:rPr>
        <w:t xml:space="preserve">are also </w:t>
      </w:r>
      <w:r w:rsidRPr="00AA451F">
        <w:rPr>
          <w:sz w:val="22"/>
          <w:szCs w:val="22"/>
          <w:lang w:eastAsia="en-US"/>
        </w:rPr>
        <w:t>used</w:t>
      </w:r>
      <w:r w:rsidR="008040C9">
        <w:rPr>
          <w:sz w:val="22"/>
          <w:szCs w:val="22"/>
          <w:lang w:eastAsia="en-US"/>
        </w:rPr>
        <w:t>,</w:t>
      </w:r>
      <w:r w:rsidRPr="00AA451F">
        <w:rPr>
          <w:sz w:val="22"/>
          <w:szCs w:val="22"/>
          <w:lang w:eastAsia="en-US"/>
        </w:rPr>
        <w:t xml:space="preserve"> includ</w:t>
      </w:r>
      <w:r w:rsidR="008040C9">
        <w:rPr>
          <w:sz w:val="22"/>
          <w:szCs w:val="22"/>
          <w:lang w:eastAsia="en-US"/>
        </w:rPr>
        <w:t>ing</w:t>
      </w:r>
      <w:r w:rsidRPr="00AA451F">
        <w:rPr>
          <w:sz w:val="22"/>
          <w:szCs w:val="22"/>
          <w:lang w:eastAsia="en-US"/>
        </w:rPr>
        <w:t xml:space="preserve"> a limit on the number of boats that operate in each sector, as well as gear restrictions such as limits on mesh size and the amount of fishing gear that may be used. </w:t>
      </w:r>
    </w:p>
    <w:p w14:paraId="578E2DA7" w14:textId="77777777" w:rsidR="00CE5B27" w:rsidRDefault="00CE5B27" w:rsidP="008040C9">
      <w:pPr>
        <w:spacing w:before="0"/>
        <w:rPr>
          <w:sz w:val="22"/>
          <w:szCs w:val="22"/>
          <w:lang w:eastAsia="en-US"/>
        </w:rPr>
      </w:pPr>
    </w:p>
    <w:p w14:paraId="606D20E9" w14:textId="7B50CE45" w:rsidR="00CE5B27" w:rsidRDefault="00CE5B27" w:rsidP="008040C9">
      <w:pPr>
        <w:spacing w:before="0"/>
        <w:rPr>
          <w:sz w:val="22"/>
          <w:szCs w:val="22"/>
          <w:lang w:val="en-US" w:eastAsia="en-US"/>
        </w:rPr>
      </w:pPr>
      <w:r w:rsidRPr="00CE5B27">
        <w:rPr>
          <w:sz w:val="22"/>
          <w:szCs w:val="22"/>
          <w:lang w:val="en-US" w:eastAsia="en-US"/>
        </w:rPr>
        <w:t>The Small Pelagic Fishery (the SPF) extends from the Queensland/New South Wales border, typically outside 3 nautical miles, around southern Australia to a line at latitude 31° south (near Lancelin, north of Perth).  The SPF is currently divided into two sub areas East and West of latitude 146°30’00”.</w:t>
      </w:r>
    </w:p>
    <w:p w14:paraId="3B246098" w14:textId="77777777" w:rsidR="00CE5B27" w:rsidRPr="00CE5B27" w:rsidRDefault="00CE5B27" w:rsidP="008040C9">
      <w:pPr>
        <w:spacing w:before="0"/>
        <w:rPr>
          <w:sz w:val="22"/>
          <w:szCs w:val="22"/>
          <w:lang w:val="en-US" w:eastAsia="en-US"/>
        </w:rPr>
      </w:pPr>
    </w:p>
    <w:p w14:paraId="047A41E8" w14:textId="075DD92E" w:rsidR="00CE5B27" w:rsidRPr="00AA451F" w:rsidRDefault="00B1384E" w:rsidP="008040C9">
      <w:pPr>
        <w:spacing w:before="0"/>
        <w:rPr>
          <w:sz w:val="22"/>
          <w:szCs w:val="22"/>
          <w:lang w:val="en-US" w:eastAsia="en-US"/>
        </w:rPr>
      </w:pPr>
      <w:r>
        <w:rPr>
          <w:sz w:val="22"/>
          <w:szCs w:val="22"/>
          <w:lang w:val="en-US" w:eastAsia="en-US"/>
        </w:rPr>
        <w:t xml:space="preserve">The </w:t>
      </w:r>
      <w:r w:rsidR="0076251F">
        <w:rPr>
          <w:sz w:val="22"/>
          <w:szCs w:val="22"/>
          <w:lang w:val="en-US" w:eastAsia="en-US"/>
        </w:rPr>
        <w:t xml:space="preserve">SPF </w:t>
      </w:r>
      <w:r>
        <w:rPr>
          <w:sz w:val="22"/>
          <w:szCs w:val="22"/>
          <w:lang w:val="en-US" w:eastAsia="en-US"/>
        </w:rPr>
        <w:t xml:space="preserve">is managed under the </w:t>
      </w:r>
      <w:r w:rsidRPr="00A1787E">
        <w:rPr>
          <w:i/>
          <w:sz w:val="22"/>
          <w:szCs w:val="22"/>
          <w:lang w:val="en-US" w:eastAsia="en-US"/>
        </w:rPr>
        <w:t>Small Pelagic Fishery Management Plan 2009</w:t>
      </w:r>
      <w:r w:rsidR="0076251F">
        <w:rPr>
          <w:sz w:val="22"/>
          <w:szCs w:val="22"/>
          <w:lang w:val="en-US" w:eastAsia="en-US"/>
        </w:rPr>
        <w:t xml:space="preserve">, </w:t>
      </w:r>
      <w:r w:rsidR="008040C9">
        <w:rPr>
          <w:sz w:val="22"/>
          <w:szCs w:val="22"/>
          <w:lang w:val="en-US" w:eastAsia="en-US"/>
        </w:rPr>
        <w:t xml:space="preserve">also </w:t>
      </w:r>
      <w:r w:rsidR="0076251F">
        <w:rPr>
          <w:sz w:val="22"/>
          <w:szCs w:val="22"/>
          <w:lang w:val="en-US" w:eastAsia="en-US"/>
        </w:rPr>
        <w:t>in force under section 17 of the Management Act,</w:t>
      </w:r>
      <w:r>
        <w:rPr>
          <w:sz w:val="22"/>
          <w:szCs w:val="22"/>
          <w:lang w:val="en-US" w:eastAsia="en-US"/>
        </w:rPr>
        <w:t xml:space="preserve"> and m</w:t>
      </w:r>
      <w:r w:rsidR="00CE5B27" w:rsidRPr="00CE5B27">
        <w:rPr>
          <w:sz w:val="22"/>
          <w:szCs w:val="22"/>
          <w:lang w:val="en-US" w:eastAsia="en-US"/>
        </w:rPr>
        <w:t xml:space="preserve">anagement </w:t>
      </w:r>
      <w:r w:rsidR="0076251F">
        <w:rPr>
          <w:sz w:val="22"/>
          <w:szCs w:val="22"/>
          <w:lang w:val="en-US" w:eastAsia="en-US"/>
        </w:rPr>
        <w:t>of</w:t>
      </w:r>
      <w:r w:rsidR="0076251F" w:rsidRPr="00CE5B27">
        <w:rPr>
          <w:sz w:val="22"/>
          <w:szCs w:val="22"/>
          <w:lang w:val="en-US" w:eastAsia="en-US"/>
        </w:rPr>
        <w:t xml:space="preserve"> </w:t>
      </w:r>
      <w:r w:rsidR="00CE5B27" w:rsidRPr="00CE5B27">
        <w:rPr>
          <w:sz w:val="22"/>
          <w:szCs w:val="22"/>
          <w:lang w:val="en-US" w:eastAsia="en-US"/>
        </w:rPr>
        <w:t xml:space="preserve">the SPF is achieved through output controls in the form of individually transferable quotas with </w:t>
      </w:r>
      <w:r w:rsidR="0076251F">
        <w:rPr>
          <w:sz w:val="22"/>
          <w:szCs w:val="22"/>
          <w:lang w:val="en-US" w:eastAsia="en-US"/>
        </w:rPr>
        <w:t>TAC limits</w:t>
      </w:r>
      <w:r w:rsidR="00CE5B27" w:rsidRPr="00CE5B27">
        <w:rPr>
          <w:sz w:val="22"/>
          <w:szCs w:val="22"/>
          <w:lang w:val="en-US" w:eastAsia="en-US"/>
        </w:rPr>
        <w:t xml:space="preserve"> determined for each quota species for each fishing year.  The target species in the SPF are Australian </w:t>
      </w:r>
      <w:r w:rsidR="00D629AA" w:rsidRPr="00CE5B27">
        <w:rPr>
          <w:sz w:val="22"/>
          <w:szCs w:val="22"/>
          <w:lang w:val="en-US" w:eastAsia="en-US"/>
        </w:rPr>
        <w:t>Sardine, Blue Mackerel, Jack Mackerel</w:t>
      </w:r>
      <w:r w:rsidR="00CE5B27" w:rsidRPr="00CE5B27">
        <w:rPr>
          <w:sz w:val="22"/>
          <w:szCs w:val="22"/>
          <w:lang w:val="en-US" w:eastAsia="en-US"/>
        </w:rPr>
        <w:t xml:space="preserve"> and </w:t>
      </w:r>
      <w:r w:rsidR="00D629AA" w:rsidRPr="00CE5B27">
        <w:rPr>
          <w:sz w:val="22"/>
          <w:szCs w:val="22"/>
          <w:lang w:val="en-US" w:eastAsia="en-US"/>
        </w:rPr>
        <w:t>Redbait</w:t>
      </w:r>
      <w:r w:rsidR="00CE5B27" w:rsidRPr="00CE5B27">
        <w:rPr>
          <w:sz w:val="22"/>
          <w:szCs w:val="22"/>
          <w:lang w:val="en-US" w:eastAsia="en-US"/>
        </w:rPr>
        <w:t xml:space="preserve">.  </w:t>
      </w:r>
    </w:p>
    <w:p w14:paraId="7CFDA3B1" w14:textId="77777777" w:rsidR="00AA451F" w:rsidRPr="00AA451F" w:rsidRDefault="00AA451F" w:rsidP="00AA451F">
      <w:pPr>
        <w:spacing w:before="0"/>
        <w:jc w:val="left"/>
        <w:rPr>
          <w:sz w:val="22"/>
          <w:szCs w:val="22"/>
          <w:lang w:eastAsia="en-US"/>
        </w:rPr>
      </w:pPr>
    </w:p>
    <w:p w14:paraId="18688A5C" w14:textId="77777777" w:rsidR="008040C9" w:rsidRDefault="00AA451F" w:rsidP="008040C9">
      <w:pPr>
        <w:spacing w:before="0"/>
        <w:rPr>
          <w:sz w:val="22"/>
          <w:szCs w:val="22"/>
          <w:lang w:eastAsia="en-US"/>
        </w:rPr>
      </w:pPr>
      <w:r w:rsidRPr="00AA451F">
        <w:rPr>
          <w:sz w:val="22"/>
          <w:szCs w:val="22"/>
          <w:lang w:eastAsia="en-US"/>
        </w:rPr>
        <w:lastRenderedPageBreak/>
        <w:t xml:space="preserve">Closures </w:t>
      </w:r>
      <w:r w:rsidR="0076251F">
        <w:rPr>
          <w:sz w:val="22"/>
          <w:szCs w:val="22"/>
          <w:lang w:eastAsia="en-US"/>
        </w:rPr>
        <w:t xml:space="preserve">in both the SESSF and SPF </w:t>
      </w:r>
      <w:r w:rsidRPr="00AA451F">
        <w:rPr>
          <w:sz w:val="22"/>
          <w:szCs w:val="22"/>
          <w:lang w:eastAsia="en-US"/>
        </w:rPr>
        <w:t xml:space="preserve">serve to place restrictions on effort to protect </w:t>
      </w:r>
      <w:r w:rsidR="007E3002">
        <w:rPr>
          <w:sz w:val="22"/>
          <w:szCs w:val="22"/>
          <w:lang w:eastAsia="en-US"/>
        </w:rPr>
        <w:t xml:space="preserve">fish </w:t>
      </w:r>
      <w:r w:rsidRPr="00AA451F">
        <w:rPr>
          <w:sz w:val="22"/>
          <w:szCs w:val="22"/>
          <w:lang w:eastAsia="en-US"/>
        </w:rPr>
        <w:t xml:space="preserve">spawning grounds, minimise impact on deepwater </w:t>
      </w:r>
      <w:r w:rsidR="007E3002">
        <w:rPr>
          <w:sz w:val="22"/>
          <w:szCs w:val="22"/>
          <w:lang w:eastAsia="en-US"/>
        </w:rPr>
        <w:t xml:space="preserve">fish </w:t>
      </w:r>
      <w:r w:rsidRPr="00AA451F">
        <w:rPr>
          <w:sz w:val="22"/>
          <w:szCs w:val="22"/>
          <w:lang w:eastAsia="en-US"/>
        </w:rPr>
        <w:t>species, facilitate the recovery of certain species and protect threatened and endangered species.</w:t>
      </w:r>
    </w:p>
    <w:p w14:paraId="2DA5E877" w14:textId="3661707C" w:rsidR="00D140F8" w:rsidRPr="0076251F" w:rsidRDefault="00D140F8" w:rsidP="008040C9">
      <w:pPr>
        <w:spacing w:before="0"/>
        <w:rPr>
          <w:sz w:val="22"/>
          <w:szCs w:val="22"/>
          <w:lang w:eastAsia="en-US"/>
        </w:rPr>
      </w:pPr>
    </w:p>
    <w:p w14:paraId="2D184277" w14:textId="77777777" w:rsidR="009B1F6E" w:rsidRDefault="009B1F6E" w:rsidP="009B1F6E">
      <w:pPr>
        <w:spacing w:before="120"/>
        <w:rPr>
          <w:rFonts w:ascii="Helvetica Neue" w:hAnsi="Helvetica Neue"/>
          <w:sz w:val="22"/>
          <w:szCs w:val="22"/>
          <w:lang w:eastAsia="en-US"/>
        </w:rPr>
      </w:pPr>
      <w:r w:rsidRPr="00AA451F">
        <w:rPr>
          <w:b/>
          <w:sz w:val="22"/>
          <w:szCs w:val="22"/>
          <w:lang w:eastAsia="en-US"/>
        </w:rPr>
        <w:t xml:space="preserve">The </w:t>
      </w:r>
      <w:r>
        <w:rPr>
          <w:b/>
          <w:sz w:val="22"/>
          <w:szCs w:val="22"/>
          <w:lang w:eastAsia="en-US"/>
        </w:rPr>
        <w:t>Variation</w:t>
      </w:r>
      <w:r w:rsidRPr="00FB1FCD">
        <w:rPr>
          <w:b/>
          <w:sz w:val="22"/>
          <w:szCs w:val="22"/>
          <w:lang w:eastAsia="en-US"/>
        </w:rPr>
        <w:t xml:space="preserve"> </w:t>
      </w:r>
      <w:r>
        <w:rPr>
          <w:b/>
          <w:sz w:val="22"/>
          <w:szCs w:val="22"/>
          <w:lang w:eastAsia="en-US"/>
        </w:rPr>
        <w:t>Direction</w:t>
      </w:r>
    </w:p>
    <w:p w14:paraId="16BA9F1B" w14:textId="77777777" w:rsidR="009B1F6E" w:rsidRDefault="009B1F6E" w:rsidP="009B1F6E">
      <w:pPr>
        <w:spacing w:before="0"/>
        <w:rPr>
          <w:rFonts w:ascii="Helvetica Neue" w:hAnsi="Helvetica Neue"/>
          <w:sz w:val="22"/>
          <w:szCs w:val="22"/>
          <w:lang w:eastAsia="en-US"/>
        </w:rPr>
      </w:pPr>
    </w:p>
    <w:p w14:paraId="10769A6A" w14:textId="77777777" w:rsidR="009B1F6E" w:rsidRPr="007A2270" w:rsidRDefault="009B1F6E" w:rsidP="009B1F6E">
      <w:pPr>
        <w:spacing w:before="0"/>
        <w:rPr>
          <w:rFonts w:ascii="Helvetica Neue" w:hAnsi="Helvetica Neue"/>
          <w:sz w:val="22"/>
          <w:szCs w:val="22"/>
          <w:lang w:eastAsia="en-US"/>
        </w:rPr>
      </w:pPr>
      <w:r w:rsidRPr="007A2270">
        <w:rPr>
          <w:rFonts w:ascii="Helvetica Neue" w:hAnsi="Helvetica Neue"/>
          <w:sz w:val="22"/>
          <w:szCs w:val="22"/>
          <w:lang w:eastAsia="en-US"/>
        </w:rPr>
        <w:t xml:space="preserve">The Variation Direction: </w:t>
      </w:r>
    </w:p>
    <w:p w14:paraId="310E928D" w14:textId="77777777" w:rsidR="009B1F6E" w:rsidRDefault="009B1F6E" w:rsidP="009B1F6E">
      <w:pPr>
        <w:pStyle w:val="ListParagraph"/>
        <w:keepNext/>
        <w:keepLines/>
        <w:numPr>
          <w:ilvl w:val="0"/>
          <w:numId w:val="7"/>
        </w:numPr>
        <w:spacing w:before="120"/>
        <w:rPr>
          <w:sz w:val="22"/>
          <w:szCs w:val="22"/>
        </w:rPr>
      </w:pPr>
      <w:r w:rsidRPr="007A2270">
        <w:rPr>
          <w:rFonts w:ascii="Helvetica Neue" w:hAnsi="Helvetica Neue"/>
          <w:sz w:val="22"/>
          <w:szCs w:val="22"/>
          <w:lang w:eastAsia="en-US"/>
        </w:rPr>
        <w:t>amends</w:t>
      </w:r>
      <w:r>
        <w:rPr>
          <w:sz w:val="22"/>
          <w:szCs w:val="22"/>
        </w:rPr>
        <w:t xml:space="preserve"> the Original Direction to incorporate the spatial closures which are given effect to under the First and Second Revoked Directions, and to extend the application of exemptions to further fishing methods; and </w:t>
      </w:r>
    </w:p>
    <w:p w14:paraId="1718EDFD" w14:textId="77777777" w:rsidR="009B1F6E" w:rsidRPr="00FB1FCD" w:rsidRDefault="009B1F6E" w:rsidP="009B1F6E">
      <w:pPr>
        <w:pStyle w:val="ListParagraph"/>
        <w:keepNext/>
        <w:keepLines/>
        <w:numPr>
          <w:ilvl w:val="0"/>
          <w:numId w:val="7"/>
        </w:numPr>
        <w:spacing w:before="120"/>
        <w:rPr>
          <w:sz w:val="22"/>
          <w:szCs w:val="22"/>
        </w:rPr>
      </w:pPr>
      <w:r>
        <w:rPr>
          <w:sz w:val="22"/>
          <w:szCs w:val="22"/>
        </w:rPr>
        <w:t xml:space="preserve">as consequent to the amendment of the Original Direction, revokes the First and Second Revoked Directions.  </w:t>
      </w:r>
    </w:p>
    <w:p w14:paraId="326EB051" w14:textId="77777777" w:rsidR="009B1F6E" w:rsidRDefault="009B1F6E" w:rsidP="009B1F6E">
      <w:pPr>
        <w:spacing w:before="0"/>
        <w:rPr>
          <w:i/>
          <w:kern w:val="20"/>
          <w:sz w:val="22"/>
          <w:szCs w:val="22"/>
          <w:lang w:eastAsia="en-US"/>
        </w:rPr>
      </w:pPr>
    </w:p>
    <w:p w14:paraId="5B6EF01C" w14:textId="77777777" w:rsidR="009B1F6E" w:rsidRDefault="009B1F6E" w:rsidP="009B1F6E">
      <w:pPr>
        <w:spacing w:before="0"/>
        <w:rPr>
          <w:rFonts w:ascii="Helvetica Neue" w:hAnsi="Helvetica Neue"/>
          <w:sz w:val="22"/>
          <w:szCs w:val="22"/>
          <w:lang w:eastAsia="en-US"/>
        </w:rPr>
      </w:pPr>
      <w:r>
        <w:rPr>
          <w:rFonts w:ascii="Helvetica Neue" w:hAnsi="Helvetica Neue"/>
          <w:sz w:val="22"/>
          <w:szCs w:val="22"/>
          <w:lang w:eastAsia="en-US"/>
        </w:rPr>
        <w:t xml:space="preserve">The Variation Direction reduces the amount of legislative instruments that a concession holder in the SESSF and SPF need to be aware of when conducting fishing operations.  The closures currently in force in the First and Second Revoked Directions are being incorporated in the Closure Direction without variation (new paragraphs 6(u) and 6(v) of the Original Direction.  </w:t>
      </w:r>
    </w:p>
    <w:p w14:paraId="49FE5676" w14:textId="77777777" w:rsidR="009B1F6E" w:rsidRDefault="009B1F6E" w:rsidP="009B1F6E">
      <w:pPr>
        <w:spacing w:before="0"/>
        <w:rPr>
          <w:rFonts w:ascii="Helvetica Neue" w:hAnsi="Helvetica Neue"/>
          <w:sz w:val="22"/>
          <w:szCs w:val="22"/>
          <w:lang w:eastAsia="en-US"/>
        </w:rPr>
      </w:pPr>
    </w:p>
    <w:p w14:paraId="3D47C31C" w14:textId="77777777" w:rsidR="009B1F6E" w:rsidRDefault="009B1F6E" w:rsidP="009B1F6E">
      <w:pPr>
        <w:spacing w:before="0"/>
        <w:rPr>
          <w:rFonts w:ascii="Helvetica Neue" w:hAnsi="Helvetica Neue"/>
          <w:sz w:val="22"/>
          <w:szCs w:val="22"/>
          <w:lang w:eastAsia="en-US"/>
        </w:rPr>
      </w:pPr>
      <w:r>
        <w:rPr>
          <w:rFonts w:ascii="Helvetica Neue" w:hAnsi="Helvetica Neue"/>
          <w:sz w:val="22"/>
          <w:szCs w:val="22"/>
          <w:lang w:eastAsia="en-US"/>
        </w:rPr>
        <w:t xml:space="preserve">The Direction exempts holders of SPF fishing concessions using the mid-water trawl and purse seine methods from certain closures.  These closures not applicable to these methods, but does not explicitly exempt holders of a SPF fishing concessions from using the mid-water pair trawl, jigging or minor line methods. </w:t>
      </w:r>
    </w:p>
    <w:p w14:paraId="0514E5A3" w14:textId="77777777" w:rsidR="009B1F6E" w:rsidRDefault="009B1F6E" w:rsidP="009B1F6E">
      <w:pPr>
        <w:spacing w:before="0"/>
        <w:rPr>
          <w:rFonts w:ascii="Helvetica Neue" w:hAnsi="Helvetica Neue"/>
          <w:sz w:val="22"/>
          <w:szCs w:val="22"/>
          <w:lang w:eastAsia="en-US"/>
        </w:rPr>
      </w:pPr>
    </w:p>
    <w:p w14:paraId="0DBA573D" w14:textId="77777777" w:rsidR="009B1F6E" w:rsidRPr="001E519D" w:rsidRDefault="009B1F6E" w:rsidP="009B1F6E">
      <w:pPr>
        <w:spacing w:before="0"/>
        <w:rPr>
          <w:rFonts w:ascii="Helvetica Neue" w:hAnsi="Helvetica Neue"/>
          <w:sz w:val="22"/>
          <w:szCs w:val="22"/>
          <w:lang w:eastAsia="en-US"/>
        </w:rPr>
      </w:pPr>
      <w:r>
        <w:rPr>
          <w:rFonts w:ascii="Helvetica Neue" w:hAnsi="Helvetica Neue"/>
          <w:sz w:val="22"/>
          <w:szCs w:val="22"/>
          <w:lang w:eastAsia="en-US"/>
        </w:rPr>
        <w:t xml:space="preserve">The Variation Direction variation ensures consistent arrangements across both trawling methods by exempting </w:t>
      </w:r>
      <w:r>
        <w:rPr>
          <w:kern w:val="20"/>
          <w:sz w:val="22"/>
          <w:szCs w:val="22"/>
          <w:lang w:eastAsia="en-US"/>
        </w:rPr>
        <w:t>SPF</w:t>
      </w:r>
      <w:r w:rsidRPr="006F5C58">
        <w:rPr>
          <w:kern w:val="20"/>
          <w:sz w:val="22"/>
          <w:szCs w:val="22"/>
          <w:lang w:eastAsia="en-US"/>
        </w:rPr>
        <w:t xml:space="preserve"> </w:t>
      </w:r>
      <w:r>
        <w:rPr>
          <w:kern w:val="20"/>
          <w:sz w:val="22"/>
          <w:szCs w:val="22"/>
          <w:lang w:eastAsia="en-US"/>
        </w:rPr>
        <w:t xml:space="preserve">fishing </w:t>
      </w:r>
      <w:r w:rsidRPr="006F5C58">
        <w:rPr>
          <w:kern w:val="20"/>
          <w:sz w:val="22"/>
          <w:szCs w:val="22"/>
          <w:lang w:eastAsia="en-US"/>
        </w:rPr>
        <w:t xml:space="preserve">concession </w:t>
      </w:r>
      <w:r>
        <w:rPr>
          <w:kern w:val="20"/>
          <w:sz w:val="22"/>
          <w:szCs w:val="22"/>
          <w:lang w:eastAsia="en-US"/>
        </w:rPr>
        <w:t xml:space="preserve">holders </w:t>
      </w:r>
      <w:r w:rsidRPr="006F5C58">
        <w:rPr>
          <w:kern w:val="20"/>
          <w:sz w:val="22"/>
          <w:szCs w:val="22"/>
          <w:lang w:eastAsia="en-US"/>
        </w:rPr>
        <w:t xml:space="preserve">using </w:t>
      </w:r>
      <w:r>
        <w:rPr>
          <w:kern w:val="20"/>
          <w:sz w:val="22"/>
          <w:szCs w:val="22"/>
          <w:lang w:eastAsia="en-US"/>
        </w:rPr>
        <w:t xml:space="preserve">the mid-water pair trawl method, from the prohibition on fishing relating to several areas, where the SPF mid-water trawl method is already exempt. </w:t>
      </w:r>
      <w:r>
        <w:rPr>
          <w:rFonts w:ascii="Helvetica Neue" w:hAnsi="Helvetica Neue"/>
          <w:sz w:val="22"/>
          <w:szCs w:val="22"/>
          <w:lang w:eastAsia="en-US"/>
        </w:rPr>
        <w:t xml:space="preserve">The Variation Direction also ensures closures are not unintentionally applied to jigging and minor line methods (recently approved as permitted fishing methods in the SPF) by explicitly exempting </w:t>
      </w:r>
      <w:r>
        <w:rPr>
          <w:kern w:val="20"/>
          <w:sz w:val="22"/>
          <w:szCs w:val="22"/>
          <w:lang w:eastAsia="en-US"/>
        </w:rPr>
        <w:t>SPF fishing</w:t>
      </w:r>
      <w:r w:rsidRPr="006F5C58">
        <w:rPr>
          <w:kern w:val="20"/>
          <w:sz w:val="22"/>
          <w:szCs w:val="22"/>
          <w:lang w:eastAsia="en-US"/>
        </w:rPr>
        <w:t xml:space="preserve"> concession </w:t>
      </w:r>
      <w:r>
        <w:rPr>
          <w:kern w:val="20"/>
          <w:sz w:val="22"/>
          <w:szCs w:val="22"/>
          <w:lang w:eastAsia="en-US"/>
        </w:rPr>
        <w:t xml:space="preserve">holders </w:t>
      </w:r>
      <w:r w:rsidRPr="006F5C58">
        <w:rPr>
          <w:kern w:val="20"/>
          <w:sz w:val="22"/>
          <w:szCs w:val="22"/>
          <w:lang w:eastAsia="en-US"/>
        </w:rPr>
        <w:t xml:space="preserve">using </w:t>
      </w:r>
      <w:r>
        <w:rPr>
          <w:kern w:val="20"/>
          <w:sz w:val="22"/>
          <w:szCs w:val="22"/>
          <w:lang w:eastAsia="en-US"/>
        </w:rPr>
        <w:t xml:space="preserve">jigging and minor line methods from the prohibition on fishing relating to several areas. </w:t>
      </w:r>
    </w:p>
    <w:p w14:paraId="40B17B67" w14:textId="77777777" w:rsidR="009B1F6E" w:rsidRDefault="009B1F6E" w:rsidP="009B1F6E">
      <w:pPr>
        <w:spacing w:before="0"/>
        <w:rPr>
          <w:rFonts w:ascii="Helvetica Neue" w:hAnsi="Helvetica Neue"/>
          <w:sz w:val="22"/>
          <w:szCs w:val="22"/>
          <w:lang w:eastAsia="en-US"/>
        </w:rPr>
      </w:pPr>
    </w:p>
    <w:p w14:paraId="73D7F9C1" w14:textId="77777777" w:rsidR="009B1F6E" w:rsidRDefault="009B1F6E" w:rsidP="009B1F6E">
      <w:pPr>
        <w:spacing w:before="0"/>
        <w:jc w:val="left"/>
        <w:rPr>
          <w:sz w:val="22"/>
          <w:szCs w:val="22"/>
          <w:lang w:eastAsia="en-US"/>
        </w:rPr>
      </w:pPr>
      <w:r w:rsidRPr="007E0937">
        <w:rPr>
          <w:sz w:val="22"/>
          <w:szCs w:val="22"/>
          <w:lang w:eastAsia="en-US"/>
        </w:rPr>
        <w:t xml:space="preserve">The measures imposed by the Direction commence on the day after registration on the Federal Register of </w:t>
      </w:r>
      <w:r>
        <w:rPr>
          <w:sz w:val="22"/>
          <w:szCs w:val="22"/>
          <w:lang w:eastAsia="en-US"/>
        </w:rPr>
        <w:t>Legislation</w:t>
      </w:r>
      <w:r w:rsidRPr="00841BBC">
        <w:rPr>
          <w:sz w:val="22"/>
          <w:szCs w:val="22"/>
          <w:lang w:eastAsia="en-US"/>
        </w:rPr>
        <w:t>.</w:t>
      </w:r>
    </w:p>
    <w:p w14:paraId="5D6D78A8" w14:textId="77777777" w:rsidR="009B1F6E" w:rsidRPr="00AA451F" w:rsidRDefault="009B1F6E" w:rsidP="009B1F6E">
      <w:pPr>
        <w:spacing w:before="0"/>
        <w:jc w:val="left"/>
        <w:rPr>
          <w:sz w:val="22"/>
          <w:szCs w:val="22"/>
          <w:lang w:eastAsia="en-US"/>
        </w:rPr>
      </w:pPr>
    </w:p>
    <w:p w14:paraId="54D69279" w14:textId="1CE71416" w:rsidR="00AA451F" w:rsidRPr="00AA451F" w:rsidRDefault="00AA451F" w:rsidP="008040C9">
      <w:pPr>
        <w:spacing w:before="120"/>
        <w:rPr>
          <w:sz w:val="22"/>
          <w:szCs w:val="22"/>
          <w:lang w:eastAsia="en-US"/>
        </w:rPr>
      </w:pPr>
      <w:r w:rsidRPr="00AA451F">
        <w:rPr>
          <w:b/>
          <w:color w:val="000000"/>
          <w:sz w:val="22"/>
          <w:szCs w:val="22"/>
          <w:lang w:eastAsia="en-US"/>
        </w:rPr>
        <w:t xml:space="preserve">Background to the </w:t>
      </w:r>
      <w:r w:rsidR="00741247">
        <w:rPr>
          <w:b/>
          <w:color w:val="000000"/>
          <w:sz w:val="22"/>
          <w:szCs w:val="22"/>
          <w:lang w:eastAsia="en-US"/>
        </w:rPr>
        <w:t>Original</w:t>
      </w:r>
      <w:r w:rsidR="00FB1FCD">
        <w:rPr>
          <w:b/>
          <w:color w:val="000000"/>
          <w:sz w:val="22"/>
          <w:szCs w:val="22"/>
          <w:lang w:eastAsia="en-US"/>
        </w:rPr>
        <w:t xml:space="preserve"> </w:t>
      </w:r>
      <w:r w:rsidRPr="00AA451F">
        <w:rPr>
          <w:b/>
          <w:color w:val="000000"/>
          <w:sz w:val="22"/>
          <w:szCs w:val="22"/>
          <w:lang w:eastAsia="en-US"/>
        </w:rPr>
        <w:t>Direction</w:t>
      </w:r>
      <w:r w:rsidR="00DE7AA7">
        <w:rPr>
          <w:b/>
          <w:color w:val="000000"/>
          <w:sz w:val="22"/>
          <w:szCs w:val="22"/>
          <w:lang w:eastAsia="en-US"/>
        </w:rPr>
        <w:t>, the First Revoked Direction and the Second Revoked Direction</w:t>
      </w:r>
    </w:p>
    <w:p w14:paraId="46BE0F50" w14:textId="57473A71" w:rsidR="00AA451F" w:rsidRPr="00AA451F" w:rsidRDefault="00AA451F" w:rsidP="008040C9">
      <w:pPr>
        <w:tabs>
          <w:tab w:val="left" w:pos="1845"/>
        </w:tabs>
        <w:spacing w:before="0"/>
        <w:rPr>
          <w:sz w:val="22"/>
          <w:szCs w:val="22"/>
          <w:lang w:eastAsia="en-US"/>
        </w:rPr>
      </w:pPr>
    </w:p>
    <w:p w14:paraId="045E445C" w14:textId="5325166B" w:rsidR="00916FDD" w:rsidRPr="00916FDD" w:rsidRDefault="00916FDD" w:rsidP="008040C9">
      <w:pPr>
        <w:spacing w:before="0"/>
        <w:rPr>
          <w:sz w:val="22"/>
          <w:szCs w:val="22"/>
          <w:lang w:eastAsia="en-US"/>
        </w:rPr>
      </w:pPr>
      <w:r w:rsidRPr="00916FDD">
        <w:rPr>
          <w:sz w:val="22"/>
          <w:szCs w:val="22"/>
          <w:lang w:eastAsia="en-US"/>
        </w:rPr>
        <w:t>In pursuing its objectives</w:t>
      </w:r>
      <w:r w:rsidR="0076251F">
        <w:rPr>
          <w:sz w:val="22"/>
          <w:szCs w:val="22"/>
          <w:lang w:eastAsia="en-US"/>
        </w:rPr>
        <w:t>,</w:t>
      </w:r>
      <w:r w:rsidRPr="00916FDD">
        <w:rPr>
          <w:sz w:val="22"/>
          <w:szCs w:val="22"/>
          <w:lang w:eastAsia="en-US"/>
        </w:rPr>
        <w:t xml:space="preserve"> the </w:t>
      </w:r>
      <w:r w:rsidR="0076251F">
        <w:rPr>
          <w:sz w:val="22"/>
          <w:szCs w:val="22"/>
          <w:lang w:eastAsia="en-US"/>
        </w:rPr>
        <w:t>AFMA</w:t>
      </w:r>
      <w:r w:rsidRPr="00916FDD">
        <w:rPr>
          <w:sz w:val="22"/>
          <w:szCs w:val="22"/>
          <w:lang w:eastAsia="en-US"/>
        </w:rPr>
        <w:t xml:space="preserve"> is required to ensure that the exploitation of fisheries resources and the carrying on of any related activities are conducted in a manner consistent with the principles of ecologically sustainable development (which include</w:t>
      </w:r>
      <w:r w:rsidR="0076251F">
        <w:rPr>
          <w:sz w:val="22"/>
          <w:szCs w:val="22"/>
          <w:lang w:eastAsia="en-US"/>
        </w:rPr>
        <w:t>s</w:t>
      </w:r>
      <w:r w:rsidRPr="00916FDD">
        <w:rPr>
          <w:sz w:val="22"/>
          <w:szCs w:val="22"/>
          <w:lang w:eastAsia="en-US"/>
        </w:rPr>
        <w:t xml:space="preserve"> the exercise of the precautionary principle), in particular the need to have regard to the impact of fishing activities on non-target species and the long term sustainability of the marine environment.</w:t>
      </w:r>
    </w:p>
    <w:p w14:paraId="2F713E29" w14:textId="77777777" w:rsidR="00916FDD" w:rsidRDefault="00916FDD" w:rsidP="008040C9">
      <w:pPr>
        <w:spacing w:before="0"/>
        <w:rPr>
          <w:sz w:val="22"/>
          <w:szCs w:val="22"/>
          <w:lang w:eastAsia="en-US"/>
        </w:rPr>
      </w:pPr>
    </w:p>
    <w:p w14:paraId="266A8256" w14:textId="530FA675" w:rsidR="00916FDD" w:rsidRPr="00916FDD" w:rsidRDefault="00916FDD" w:rsidP="008040C9">
      <w:pPr>
        <w:spacing w:before="0"/>
        <w:rPr>
          <w:sz w:val="22"/>
          <w:szCs w:val="22"/>
          <w:lang w:eastAsia="en-US"/>
        </w:rPr>
      </w:pPr>
      <w:r w:rsidRPr="00916FDD">
        <w:rPr>
          <w:sz w:val="22"/>
          <w:szCs w:val="22"/>
          <w:lang w:eastAsia="en-US"/>
        </w:rPr>
        <w:t xml:space="preserve">Spatial closures are a fisheries management tool used to provide protection to a range of </w:t>
      </w:r>
      <w:r w:rsidR="00FB1FCD">
        <w:rPr>
          <w:sz w:val="22"/>
          <w:szCs w:val="22"/>
          <w:lang w:eastAsia="en-US"/>
        </w:rPr>
        <w:t xml:space="preserve">fish </w:t>
      </w:r>
      <w:r w:rsidRPr="00916FDD">
        <w:rPr>
          <w:sz w:val="22"/>
          <w:szCs w:val="22"/>
          <w:lang w:eastAsia="en-US"/>
        </w:rPr>
        <w:t xml:space="preserve">species and/or their habitat. </w:t>
      </w:r>
      <w:r w:rsidR="00FB1FCD">
        <w:rPr>
          <w:sz w:val="22"/>
          <w:szCs w:val="22"/>
          <w:lang w:eastAsia="en-US"/>
        </w:rPr>
        <w:t xml:space="preserve"> </w:t>
      </w:r>
      <w:r w:rsidRPr="00916FDD">
        <w:rPr>
          <w:sz w:val="22"/>
          <w:szCs w:val="22"/>
          <w:lang w:eastAsia="en-US"/>
        </w:rPr>
        <w:t xml:space="preserve">A large number of spatial closures have been implemented to date in the </w:t>
      </w:r>
      <w:r w:rsidR="00FB1FCD">
        <w:rPr>
          <w:sz w:val="22"/>
          <w:szCs w:val="22"/>
          <w:lang w:eastAsia="en-US"/>
        </w:rPr>
        <w:t>SESSF and SPF</w:t>
      </w:r>
      <w:r w:rsidRPr="00916FDD">
        <w:rPr>
          <w:sz w:val="22"/>
          <w:szCs w:val="22"/>
          <w:lang w:eastAsia="en-US"/>
        </w:rPr>
        <w:t xml:space="preserve"> and</w:t>
      </w:r>
      <w:r w:rsidR="00FB1FCD">
        <w:rPr>
          <w:sz w:val="22"/>
          <w:szCs w:val="22"/>
          <w:lang w:eastAsia="en-US"/>
        </w:rPr>
        <w:t>,</w:t>
      </w:r>
      <w:r w:rsidRPr="00916FDD">
        <w:rPr>
          <w:sz w:val="22"/>
          <w:szCs w:val="22"/>
          <w:lang w:eastAsia="en-US"/>
        </w:rPr>
        <w:t xml:space="preserve"> as time progresses, new closures are developed and redundant ones are removed. </w:t>
      </w:r>
    </w:p>
    <w:p w14:paraId="5F16F61B" w14:textId="77777777" w:rsidR="003067F3" w:rsidRDefault="003067F3" w:rsidP="008040C9">
      <w:pPr>
        <w:spacing w:before="0"/>
        <w:rPr>
          <w:sz w:val="22"/>
          <w:szCs w:val="22"/>
          <w:lang w:eastAsia="en-US"/>
        </w:rPr>
      </w:pPr>
    </w:p>
    <w:p w14:paraId="0EEC53FC" w14:textId="1CFEB4BC" w:rsidR="00916FDD" w:rsidRDefault="00916FDD" w:rsidP="009B1F6E">
      <w:pPr>
        <w:spacing w:before="0"/>
        <w:rPr>
          <w:sz w:val="22"/>
          <w:szCs w:val="22"/>
          <w:lang w:eastAsia="en-US"/>
        </w:rPr>
      </w:pPr>
      <w:r w:rsidRPr="00916FDD">
        <w:rPr>
          <w:sz w:val="22"/>
          <w:szCs w:val="22"/>
          <w:lang w:eastAsia="en-US"/>
        </w:rPr>
        <w:t xml:space="preserve">In </w:t>
      </w:r>
      <w:r>
        <w:rPr>
          <w:sz w:val="22"/>
          <w:szCs w:val="22"/>
          <w:lang w:eastAsia="en-US"/>
        </w:rPr>
        <w:t>May 2016</w:t>
      </w:r>
      <w:r w:rsidRPr="00916FDD">
        <w:rPr>
          <w:sz w:val="22"/>
          <w:szCs w:val="22"/>
          <w:lang w:eastAsia="en-US"/>
        </w:rPr>
        <w:t>, under subsection 41A(2) of the Management Act</w:t>
      </w:r>
      <w:r w:rsidR="00F97FEB">
        <w:rPr>
          <w:sz w:val="22"/>
          <w:szCs w:val="22"/>
          <w:lang w:eastAsia="en-US"/>
        </w:rPr>
        <w:t>,</w:t>
      </w:r>
      <w:r w:rsidRPr="00916FDD">
        <w:rPr>
          <w:sz w:val="22"/>
          <w:szCs w:val="22"/>
          <w:lang w:eastAsia="en-US"/>
        </w:rPr>
        <w:t xml:space="preserve"> </w:t>
      </w:r>
      <w:r w:rsidR="007E3002">
        <w:rPr>
          <w:sz w:val="22"/>
          <w:szCs w:val="22"/>
          <w:lang w:eastAsia="en-US"/>
        </w:rPr>
        <w:t>AFMA</w:t>
      </w:r>
      <w:r w:rsidR="007E3002" w:rsidRPr="00916FDD">
        <w:rPr>
          <w:sz w:val="22"/>
          <w:szCs w:val="22"/>
          <w:lang w:eastAsia="en-US"/>
        </w:rPr>
        <w:t xml:space="preserve"> </w:t>
      </w:r>
      <w:r w:rsidR="00FB1FCD">
        <w:rPr>
          <w:sz w:val="22"/>
          <w:szCs w:val="22"/>
          <w:lang w:eastAsia="en-US"/>
        </w:rPr>
        <w:t xml:space="preserve">made the </w:t>
      </w:r>
      <w:r w:rsidR="00741247">
        <w:rPr>
          <w:sz w:val="22"/>
          <w:szCs w:val="22"/>
          <w:lang w:eastAsia="en-US"/>
        </w:rPr>
        <w:t>Original</w:t>
      </w:r>
      <w:r w:rsidR="00FB1FCD">
        <w:rPr>
          <w:sz w:val="22"/>
          <w:szCs w:val="22"/>
          <w:lang w:eastAsia="en-US"/>
        </w:rPr>
        <w:t xml:space="preserve"> Direction to give legal effect to </w:t>
      </w:r>
      <w:r w:rsidR="00741247">
        <w:rPr>
          <w:sz w:val="22"/>
          <w:szCs w:val="22"/>
          <w:lang w:eastAsia="en-US"/>
        </w:rPr>
        <w:t>a number of</w:t>
      </w:r>
      <w:r w:rsidR="00FB1FCD">
        <w:rPr>
          <w:sz w:val="22"/>
          <w:szCs w:val="22"/>
          <w:lang w:eastAsia="en-US"/>
        </w:rPr>
        <w:t xml:space="preserve"> spatial closures that have been implemented in the SESSF and SPF</w:t>
      </w:r>
      <w:r w:rsidR="007E3002">
        <w:rPr>
          <w:sz w:val="22"/>
          <w:szCs w:val="22"/>
          <w:lang w:eastAsia="en-US"/>
        </w:rPr>
        <w:t>.  There were, however, separate spatial closures implemented by the First and Second Revoked Directions</w:t>
      </w:r>
      <w:r w:rsidRPr="00916FDD">
        <w:rPr>
          <w:sz w:val="22"/>
          <w:szCs w:val="22"/>
          <w:lang w:eastAsia="en-US"/>
        </w:rPr>
        <w:t xml:space="preserve"> including </w:t>
      </w:r>
      <w:r w:rsidR="00FB1FCD">
        <w:rPr>
          <w:sz w:val="22"/>
          <w:szCs w:val="22"/>
          <w:lang w:eastAsia="en-US"/>
        </w:rPr>
        <w:t xml:space="preserve">closures to protect </w:t>
      </w:r>
      <w:r w:rsidR="00FB1FCD" w:rsidRPr="00916FDD">
        <w:rPr>
          <w:sz w:val="22"/>
          <w:szCs w:val="22"/>
          <w:lang w:eastAsia="en-US"/>
        </w:rPr>
        <w:t>Upper Slope Dogfish</w:t>
      </w:r>
      <w:r w:rsidRPr="00916FDD">
        <w:rPr>
          <w:sz w:val="22"/>
          <w:szCs w:val="22"/>
          <w:lang w:eastAsia="en-US"/>
        </w:rPr>
        <w:t xml:space="preserve"> and </w:t>
      </w:r>
      <w:r w:rsidR="00FB1FCD" w:rsidRPr="00916FDD">
        <w:rPr>
          <w:sz w:val="22"/>
          <w:szCs w:val="22"/>
          <w:lang w:eastAsia="en-US"/>
        </w:rPr>
        <w:t>Orange Roughy</w:t>
      </w:r>
      <w:r w:rsidRPr="00916FDD">
        <w:rPr>
          <w:sz w:val="22"/>
          <w:szCs w:val="22"/>
          <w:lang w:eastAsia="en-US"/>
        </w:rPr>
        <w:t xml:space="preserve">. </w:t>
      </w:r>
    </w:p>
    <w:p w14:paraId="2714D320" w14:textId="77777777" w:rsidR="00F97FEB" w:rsidRDefault="00F97FEB" w:rsidP="009B1F6E">
      <w:pPr>
        <w:spacing w:before="0"/>
        <w:rPr>
          <w:sz w:val="22"/>
          <w:szCs w:val="22"/>
          <w:lang w:eastAsia="en-US"/>
        </w:rPr>
      </w:pPr>
    </w:p>
    <w:p w14:paraId="64F44738" w14:textId="2BFE639F" w:rsidR="00F97FEB" w:rsidRDefault="00F97FEB" w:rsidP="009B1F6E">
      <w:pPr>
        <w:spacing w:before="0"/>
        <w:rPr>
          <w:sz w:val="22"/>
          <w:szCs w:val="22"/>
          <w:lang w:eastAsia="en-US"/>
        </w:rPr>
      </w:pPr>
      <w:r>
        <w:rPr>
          <w:sz w:val="22"/>
          <w:szCs w:val="22"/>
          <w:lang w:eastAsia="en-US"/>
        </w:rPr>
        <w:t xml:space="preserve">The First and Second Revoked Directions are due to cease on 1 December 2018.  To reduce the number of legislative instruments relative to the SESSF and SPF, the substantial closures in those Directions are now being captured in the Original Direction.  Background information relevant to the First and Second Revoked Directions are set out under separate heading below.  </w:t>
      </w:r>
    </w:p>
    <w:p w14:paraId="49C9E38D" w14:textId="77777777" w:rsidR="00F97FEB" w:rsidRDefault="00F97FEB" w:rsidP="009B1F6E">
      <w:pPr>
        <w:spacing w:before="0"/>
        <w:rPr>
          <w:sz w:val="22"/>
          <w:szCs w:val="22"/>
          <w:lang w:eastAsia="en-US"/>
        </w:rPr>
      </w:pPr>
    </w:p>
    <w:p w14:paraId="612B6D90" w14:textId="459619FF" w:rsidR="00F97FEB" w:rsidRDefault="00F97FEB" w:rsidP="009B1F6E">
      <w:pPr>
        <w:spacing w:before="0"/>
        <w:rPr>
          <w:i/>
          <w:sz w:val="22"/>
          <w:szCs w:val="22"/>
          <w:lang w:eastAsia="en-US"/>
        </w:rPr>
      </w:pPr>
      <w:r>
        <w:rPr>
          <w:i/>
          <w:sz w:val="22"/>
          <w:szCs w:val="22"/>
          <w:lang w:eastAsia="en-US"/>
        </w:rPr>
        <w:t>The First Revoked Direction</w:t>
      </w:r>
    </w:p>
    <w:p w14:paraId="5A17293E" w14:textId="77777777" w:rsidR="00F97FEB" w:rsidRDefault="00F97FEB" w:rsidP="009B1F6E">
      <w:pPr>
        <w:spacing w:before="0"/>
        <w:rPr>
          <w:i/>
          <w:sz w:val="22"/>
          <w:szCs w:val="22"/>
          <w:lang w:eastAsia="en-US"/>
        </w:rPr>
      </w:pPr>
    </w:p>
    <w:p w14:paraId="2232A0F4" w14:textId="26297B97" w:rsidR="00F97FEB" w:rsidRDefault="00F97FEB" w:rsidP="009B1F6E">
      <w:pPr>
        <w:spacing w:before="0"/>
        <w:rPr>
          <w:rFonts w:ascii="Helvetica Neue" w:hAnsi="Helvetica Neue"/>
          <w:sz w:val="22"/>
          <w:szCs w:val="22"/>
          <w:lang w:eastAsia="en-US"/>
        </w:rPr>
      </w:pPr>
      <w:r w:rsidRPr="002F2461">
        <w:rPr>
          <w:rFonts w:ascii="Helvetica Neue" w:hAnsi="Helvetica Neue"/>
          <w:sz w:val="22"/>
          <w:szCs w:val="22"/>
          <w:lang w:eastAsia="en-US"/>
        </w:rPr>
        <w:t xml:space="preserve">Deepwater sharks are caught on the Continental slope either as a targeted catch or incidental to fishing operations for other target species in the fishery. </w:t>
      </w:r>
      <w:r w:rsidR="009B1F6E">
        <w:rPr>
          <w:rFonts w:ascii="Helvetica Neue" w:hAnsi="Helvetica Neue"/>
          <w:sz w:val="22"/>
          <w:szCs w:val="22"/>
          <w:lang w:eastAsia="en-US"/>
        </w:rPr>
        <w:t xml:space="preserve"> </w:t>
      </w:r>
      <w:r w:rsidRPr="002F2461">
        <w:rPr>
          <w:rFonts w:ascii="Helvetica Neue" w:hAnsi="Helvetica Neue"/>
          <w:sz w:val="22"/>
          <w:szCs w:val="22"/>
          <w:lang w:eastAsia="en-US"/>
        </w:rPr>
        <w:t>Deepwater sharks are managed as a quota basket under the Plan.  Eighteen species of deepwater sharks are currently included as quota under the deepwater shark basket in the Plan.  The stock levels of these species are assessed using Tier 4 methodology consistent with the Harvest Strategy framework in place for the fishery.</w:t>
      </w:r>
    </w:p>
    <w:p w14:paraId="385654FC" w14:textId="77777777" w:rsidR="00F77B5C" w:rsidRDefault="00F77B5C" w:rsidP="009B1F6E">
      <w:pPr>
        <w:spacing w:before="0"/>
        <w:rPr>
          <w:rFonts w:ascii="Helvetica Neue" w:hAnsi="Helvetica Neue"/>
          <w:sz w:val="22"/>
          <w:szCs w:val="22"/>
          <w:lang w:eastAsia="en-US"/>
        </w:rPr>
      </w:pPr>
    </w:p>
    <w:p w14:paraId="0890DC0B" w14:textId="77777777" w:rsidR="00F77B5C" w:rsidRDefault="00F77B5C" w:rsidP="00F77B5C">
      <w:pPr>
        <w:spacing w:before="0"/>
        <w:rPr>
          <w:rFonts w:ascii="Helvetica Neue" w:hAnsi="Helvetica Neue"/>
          <w:sz w:val="22"/>
          <w:szCs w:val="22"/>
          <w:lang w:eastAsia="en-US"/>
        </w:rPr>
      </w:pPr>
      <w:r>
        <w:rPr>
          <w:rFonts w:ascii="Helvetica Neue" w:hAnsi="Helvetica Neue"/>
          <w:sz w:val="22"/>
          <w:szCs w:val="22"/>
          <w:lang w:eastAsia="en-US"/>
        </w:rPr>
        <w:t xml:space="preserve">The First Revoked Direction currently allows for targeting of western deepwater shark but </w:t>
      </w:r>
      <w:r w:rsidRPr="0072567B">
        <w:rPr>
          <w:rFonts w:ascii="Helvetica Neue" w:hAnsi="Helvetica Neue"/>
          <w:sz w:val="22"/>
          <w:szCs w:val="22"/>
          <w:lang w:eastAsia="en-US"/>
        </w:rPr>
        <w:t>closes the western deepwater shark area of the fishery to trawling should a 25 tonne aggregate amount of Orange Roughy be taken in the area</w:t>
      </w:r>
      <w:r>
        <w:rPr>
          <w:rFonts w:ascii="Helvetica Neue" w:hAnsi="Helvetica Neue"/>
          <w:sz w:val="22"/>
          <w:szCs w:val="22"/>
          <w:lang w:eastAsia="en-US"/>
        </w:rPr>
        <w:t xml:space="preserve"> (to be prescribed in proposed Schedule 38 of the Original Direction)</w:t>
      </w:r>
      <w:r w:rsidRPr="0072567B">
        <w:rPr>
          <w:rFonts w:ascii="Helvetica Neue" w:hAnsi="Helvetica Neue"/>
          <w:sz w:val="22"/>
          <w:szCs w:val="22"/>
          <w:lang w:eastAsia="en-US"/>
        </w:rPr>
        <w:t xml:space="preserve"> in a fishing season.</w:t>
      </w:r>
      <w:r>
        <w:rPr>
          <w:rFonts w:ascii="Helvetica Neue" w:hAnsi="Helvetica Neue"/>
          <w:sz w:val="22"/>
          <w:szCs w:val="22"/>
          <w:lang w:eastAsia="en-US"/>
        </w:rPr>
        <w:t xml:space="preserve"> This limits the amount of orange roughy that can be caught as bycatch.</w:t>
      </w:r>
    </w:p>
    <w:p w14:paraId="0B55720E" w14:textId="77777777" w:rsidR="00F97FEB" w:rsidRDefault="00F97FEB" w:rsidP="009B1F6E">
      <w:pPr>
        <w:spacing w:before="0"/>
        <w:rPr>
          <w:rFonts w:ascii="Helvetica Neue" w:hAnsi="Helvetica Neue"/>
          <w:sz w:val="22"/>
          <w:szCs w:val="22"/>
          <w:lang w:eastAsia="en-US"/>
        </w:rPr>
      </w:pPr>
    </w:p>
    <w:p w14:paraId="45E5B632" w14:textId="14263090" w:rsidR="009B1F6E" w:rsidRDefault="00F97FEB" w:rsidP="009B1F6E">
      <w:pPr>
        <w:spacing w:before="0"/>
        <w:rPr>
          <w:rFonts w:ascii="Helvetica Neue" w:hAnsi="Helvetica Neue"/>
          <w:sz w:val="22"/>
          <w:szCs w:val="22"/>
          <w:lang w:eastAsia="en-US"/>
        </w:rPr>
      </w:pPr>
      <w:r>
        <w:rPr>
          <w:rFonts w:ascii="Helvetica Neue" w:hAnsi="Helvetica Neue"/>
          <w:sz w:val="22"/>
          <w:szCs w:val="22"/>
          <w:lang w:eastAsia="en-US"/>
        </w:rPr>
        <w:t xml:space="preserve">This closure </w:t>
      </w:r>
      <w:r w:rsidRPr="0072567B">
        <w:rPr>
          <w:rFonts w:ascii="Helvetica Neue" w:hAnsi="Helvetica Neue"/>
          <w:sz w:val="22"/>
          <w:szCs w:val="22"/>
          <w:lang w:eastAsia="en-US"/>
        </w:rPr>
        <w:t>is consistent with the Authority’s objectives of ensuring that the exploitation of deepwater shark stocks are conducted in a manner consistent with the principles of ecologically sustainable development and long term sustainability of the stock.</w:t>
      </w:r>
      <w:r>
        <w:rPr>
          <w:rFonts w:ascii="Helvetica Neue" w:hAnsi="Helvetica Neue"/>
          <w:sz w:val="22"/>
          <w:szCs w:val="22"/>
          <w:lang w:eastAsia="en-US"/>
        </w:rPr>
        <w:t xml:space="preserve"> </w:t>
      </w:r>
    </w:p>
    <w:p w14:paraId="2A7029C0" w14:textId="77777777" w:rsidR="00F97FEB" w:rsidRDefault="00F97FEB" w:rsidP="009B1F6E">
      <w:pPr>
        <w:spacing w:before="0"/>
        <w:rPr>
          <w:sz w:val="22"/>
          <w:szCs w:val="22"/>
          <w:lang w:eastAsia="en-US"/>
        </w:rPr>
      </w:pPr>
    </w:p>
    <w:p w14:paraId="604013FF" w14:textId="6886CCFD" w:rsidR="009B1F6E" w:rsidRDefault="009B1F6E" w:rsidP="009B1F6E">
      <w:pPr>
        <w:spacing w:before="0"/>
        <w:rPr>
          <w:sz w:val="22"/>
          <w:szCs w:val="22"/>
          <w:lang w:eastAsia="en-US"/>
        </w:rPr>
      </w:pPr>
      <w:r>
        <w:rPr>
          <w:i/>
          <w:sz w:val="22"/>
          <w:szCs w:val="22"/>
          <w:lang w:eastAsia="en-US"/>
        </w:rPr>
        <w:t>The Second Revoked Direction</w:t>
      </w:r>
    </w:p>
    <w:p w14:paraId="1672EC6A" w14:textId="77777777" w:rsidR="009B1F6E" w:rsidRDefault="009B1F6E" w:rsidP="009B1F6E">
      <w:pPr>
        <w:spacing w:before="0"/>
        <w:rPr>
          <w:sz w:val="22"/>
          <w:szCs w:val="22"/>
          <w:lang w:eastAsia="en-US"/>
        </w:rPr>
      </w:pPr>
    </w:p>
    <w:p w14:paraId="199C1D42" w14:textId="686B98D8" w:rsidR="009B1F6E" w:rsidRPr="00A05DE6" w:rsidRDefault="009B1F6E" w:rsidP="009B1F6E">
      <w:pPr>
        <w:spacing w:before="0"/>
        <w:rPr>
          <w:sz w:val="22"/>
          <w:szCs w:val="22"/>
          <w:lang w:eastAsia="en-US"/>
        </w:rPr>
      </w:pPr>
      <w:r>
        <w:rPr>
          <w:rFonts w:ascii="Helvetica Neue" w:hAnsi="Helvetica Neue"/>
          <w:sz w:val="22"/>
          <w:szCs w:val="22"/>
          <w:lang w:eastAsia="en-US"/>
        </w:rPr>
        <w:t>The Second Revoked Direction</w:t>
      </w:r>
      <w:r w:rsidRPr="00A05DE6">
        <w:rPr>
          <w:sz w:val="22"/>
          <w:szCs w:val="22"/>
          <w:lang w:eastAsia="en-US"/>
        </w:rPr>
        <w:t xml:space="preserve"> closes the area in the Flinders Research Zone (</w:t>
      </w:r>
      <w:r>
        <w:rPr>
          <w:sz w:val="22"/>
          <w:szCs w:val="22"/>
          <w:lang w:eastAsia="en-US"/>
        </w:rPr>
        <w:t>to be</w:t>
      </w:r>
      <w:r w:rsidRPr="00A05DE6">
        <w:rPr>
          <w:sz w:val="22"/>
          <w:szCs w:val="22"/>
          <w:lang w:eastAsia="en-US"/>
        </w:rPr>
        <w:t xml:space="preserve"> prescribed in </w:t>
      </w:r>
      <w:r>
        <w:rPr>
          <w:sz w:val="22"/>
          <w:szCs w:val="22"/>
          <w:lang w:eastAsia="en-US"/>
        </w:rPr>
        <w:t xml:space="preserve">proposed </w:t>
      </w:r>
      <w:r w:rsidRPr="00A05DE6">
        <w:rPr>
          <w:sz w:val="22"/>
          <w:szCs w:val="22"/>
          <w:lang w:eastAsia="en-US"/>
        </w:rPr>
        <w:t>Schedule 39</w:t>
      </w:r>
      <w:r>
        <w:rPr>
          <w:sz w:val="22"/>
          <w:szCs w:val="22"/>
          <w:lang w:eastAsia="en-US"/>
        </w:rPr>
        <w:t xml:space="preserve"> of the Original Direction</w:t>
      </w:r>
      <w:r w:rsidRPr="00A05DE6">
        <w:rPr>
          <w:sz w:val="22"/>
          <w:szCs w:val="22"/>
          <w:lang w:eastAsia="en-US"/>
        </w:rPr>
        <w:t xml:space="preserve">), to protect Harrisson’s </w:t>
      </w:r>
      <w:r>
        <w:rPr>
          <w:sz w:val="22"/>
          <w:szCs w:val="22"/>
          <w:lang w:eastAsia="en-US"/>
        </w:rPr>
        <w:t xml:space="preserve">Dogfish </w:t>
      </w:r>
      <w:r w:rsidRPr="00A05DE6">
        <w:rPr>
          <w:sz w:val="22"/>
          <w:szCs w:val="22"/>
          <w:lang w:eastAsia="en-US"/>
        </w:rPr>
        <w:t xml:space="preserve">and Southern </w:t>
      </w:r>
      <w:r>
        <w:rPr>
          <w:sz w:val="22"/>
          <w:szCs w:val="22"/>
          <w:lang w:eastAsia="en-US"/>
        </w:rPr>
        <w:t>D</w:t>
      </w:r>
      <w:r w:rsidRPr="00A05DE6">
        <w:rPr>
          <w:sz w:val="22"/>
          <w:szCs w:val="22"/>
          <w:lang w:eastAsia="en-US"/>
        </w:rPr>
        <w:t>ogfish.</w:t>
      </w:r>
    </w:p>
    <w:p w14:paraId="151B3A9B" w14:textId="77777777" w:rsidR="009B1F6E" w:rsidRPr="00A05DE6" w:rsidRDefault="009B1F6E" w:rsidP="009B1F6E">
      <w:pPr>
        <w:spacing w:before="0"/>
        <w:rPr>
          <w:sz w:val="22"/>
          <w:szCs w:val="22"/>
          <w:lang w:eastAsia="en-US"/>
        </w:rPr>
      </w:pPr>
    </w:p>
    <w:p w14:paraId="50A406AD" w14:textId="77777777" w:rsidR="009B1F6E" w:rsidRPr="00A05DE6" w:rsidRDefault="009B1F6E" w:rsidP="009B1F6E">
      <w:pPr>
        <w:spacing w:before="0"/>
        <w:rPr>
          <w:sz w:val="22"/>
          <w:szCs w:val="22"/>
          <w:lang w:eastAsia="en-US"/>
        </w:rPr>
      </w:pPr>
      <w:r w:rsidRPr="00A05DE6">
        <w:rPr>
          <w:sz w:val="22"/>
          <w:szCs w:val="22"/>
          <w:lang w:eastAsia="en-US"/>
        </w:rPr>
        <w:t>Harrisson’s Dogfish (</w:t>
      </w:r>
      <w:r w:rsidRPr="009B1F6E">
        <w:rPr>
          <w:i/>
          <w:sz w:val="22"/>
          <w:szCs w:val="22"/>
          <w:lang w:eastAsia="en-US"/>
        </w:rPr>
        <w:t>Centrophorus harrissoni</w:t>
      </w:r>
      <w:r w:rsidRPr="00A05DE6">
        <w:rPr>
          <w:sz w:val="22"/>
          <w:szCs w:val="22"/>
          <w:lang w:eastAsia="en-US"/>
        </w:rPr>
        <w:t>) and Southern Dogfish (</w:t>
      </w:r>
      <w:r w:rsidRPr="009B1F6E">
        <w:rPr>
          <w:i/>
          <w:sz w:val="22"/>
          <w:szCs w:val="22"/>
          <w:lang w:eastAsia="en-US"/>
        </w:rPr>
        <w:t>C. zeehaani</w:t>
      </w:r>
      <w:r w:rsidRPr="00A05DE6">
        <w:rPr>
          <w:sz w:val="22"/>
          <w:szCs w:val="22"/>
          <w:lang w:eastAsia="en-US"/>
        </w:rPr>
        <w:t xml:space="preserve">) are considered to be significantly depleted in south east Australia and have been listed as ‘conservation dependent’ under the </w:t>
      </w:r>
      <w:r w:rsidRPr="009B1F6E">
        <w:rPr>
          <w:i/>
          <w:sz w:val="22"/>
          <w:szCs w:val="22"/>
          <w:lang w:eastAsia="en-US"/>
        </w:rPr>
        <w:t>Environment Protection and Biodiversity Conservation Act 1999</w:t>
      </w:r>
      <w:r w:rsidRPr="00A05DE6">
        <w:rPr>
          <w:sz w:val="22"/>
          <w:szCs w:val="22"/>
          <w:lang w:eastAsia="en-US"/>
        </w:rPr>
        <w:t>.</w:t>
      </w:r>
    </w:p>
    <w:p w14:paraId="25324857" w14:textId="02D37E53" w:rsidR="009B1F6E" w:rsidRDefault="009B1F6E" w:rsidP="009B1F6E">
      <w:pPr>
        <w:spacing w:before="0"/>
        <w:rPr>
          <w:sz w:val="22"/>
          <w:szCs w:val="22"/>
          <w:lang w:eastAsia="en-US"/>
        </w:rPr>
      </w:pPr>
    </w:p>
    <w:p w14:paraId="1FB4D4A2" w14:textId="06A1E031" w:rsidR="009B1F6E" w:rsidRPr="00A05DE6" w:rsidRDefault="009B1F6E" w:rsidP="009B1F6E">
      <w:pPr>
        <w:spacing w:before="0"/>
        <w:rPr>
          <w:sz w:val="22"/>
          <w:szCs w:val="22"/>
          <w:lang w:eastAsia="en-US"/>
        </w:rPr>
      </w:pPr>
      <w:r>
        <w:rPr>
          <w:sz w:val="22"/>
          <w:szCs w:val="22"/>
          <w:lang w:eastAsia="en-US"/>
        </w:rPr>
        <w:t xml:space="preserve">AFMA </w:t>
      </w:r>
      <w:r w:rsidRPr="00A05DE6">
        <w:rPr>
          <w:sz w:val="22"/>
          <w:szCs w:val="22"/>
          <w:lang w:eastAsia="en-US"/>
        </w:rPr>
        <w:t xml:space="preserve">has revised the Upper-Slope Dogfish Management Strategy to promote the recovery of the Harrisson’s </w:t>
      </w:r>
      <w:r>
        <w:rPr>
          <w:sz w:val="22"/>
          <w:szCs w:val="22"/>
          <w:lang w:eastAsia="en-US"/>
        </w:rPr>
        <w:t xml:space="preserve">Dogfish </w:t>
      </w:r>
      <w:r w:rsidRPr="00A05DE6">
        <w:rPr>
          <w:sz w:val="22"/>
          <w:szCs w:val="22"/>
          <w:lang w:eastAsia="en-US"/>
        </w:rPr>
        <w:t xml:space="preserve">and Southern </w:t>
      </w:r>
      <w:r>
        <w:rPr>
          <w:sz w:val="22"/>
          <w:szCs w:val="22"/>
          <w:lang w:eastAsia="en-US"/>
        </w:rPr>
        <w:t>D</w:t>
      </w:r>
      <w:r w:rsidRPr="00A05DE6">
        <w:rPr>
          <w:sz w:val="22"/>
          <w:szCs w:val="22"/>
          <w:lang w:eastAsia="en-US"/>
        </w:rPr>
        <w:t xml:space="preserve">ogfish, which relies primarily on a network of spatial closures complemented by a range of non-spatial operational measures. </w:t>
      </w:r>
      <w:r>
        <w:rPr>
          <w:sz w:val="22"/>
          <w:szCs w:val="22"/>
          <w:lang w:eastAsia="en-US"/>
        </w:rPr>
        <w:t xml:space="preserve"> </w:t>
      </w:r>
      <w:r w:rsidRPr="00A05DE6">
        <w:rPr>
          <w:sz w:val="22"/>
          <w:szCs w:val="22"/>
          <w:lang w:eastAsia="en-US"/>
        </w:rPr>
        <w:t>The closure network includes the along-slope and across-slope depth range (200m to 1000m for Harrisson’s Dogfish, and 200m to 900m for Southern Dogfish) of the dogfish to account for their movement within their home range.</w:t>
      </w:r>
    </w:p>
    <w:p w14:paraId="774E152D" w14:textId="77777777" w:rsidR="009B1F6E" w:rsidRPr="00A05DE6" w:rsidRDefault="009B1F6E" w:rsidP="009B1F6E">
      <w:pPr>
        <w:spacing w:before="0"/>
        <w:rPr>
          <w:sz w:val="22"/>
          <w:szCs w:val="22"/>
          <w:lang w:eastAsia="en-US"/>
        </w:rPr>
      </w:pPr>
    </w:p>
    <w:p w14:paraId="098F66BF" w14:textId="0245A3B8" w:rsidR="009B1F6E" w:rsidRPr="00A05DE6" w:rsidRDefault="009B1F6E" w:rsidP="009B1F6E">
      <w:pPr>
        <w:spacing w:before="0"/>
        <w:rPr>
          <w:sz w:val="22"/>
          <w:szCs w:val="22"/>
          <w:lang w:eastAsia="en-US"/>
        </w:rPr>
      </w:pPr>
      <w:r w:rsidRPr="00A05DE6">
        <w:rPr>
          <w:sz w:val="22"/>
          <w:szCs w:val="22"/>
          <w:lang w:eastAsia="en-US"/>
        </w:rPr>
        <w:t xml:space="preserve">The Flinders Research Zone closure was implemented as part of this closure network in February 2013. </w:t>
      </w:r>
      <w:r>
        <w:rPr>
          <w:sz w:val="22"/>
          <w:szCs w:val="22"/>
          <w:lang w:eastAsia="en-US"/>
        </w:rPr>
        <w:t xml:space="preserve"> </w:t>
      </w:r>
      <w:r w:rsidRPr="00A05DE6">
        <w:rPr>
          <w:sz w:val="22"/>
          <w:szCs w:val="22"/>
          <w:lang w:eastAsia="en-US"/>
        </w:rPr>
        <w:t>Subsequent to the implementation of the closure, industry queried the alignment of the western border of the closure to the 200m depth contour.</w:t>
      </w:r>
    </w:p>
    <w:p w14:paraId="5D65698D" w14:textId="77777777" w:rsidR="009B1F6E" w:rsidRPr="00A05DE6" w:rsidRDefault="009B1F6E" w:rsidP="009B1F6E">
      <w:pPr>
        <w:spacing w:before="0"/>
        <w:rPr>
          <w:sz w:val="22"/>
          <w:szCs w:val="22"/>
          <w:lang w:eastAsia="en-US"/>
        </w:rPr>
      </w:pPr>
    </w:p>
    <w:p w14:paraId="168F40F5" w14:textId="41E7D20E" w:rsidR="009B1F6E" w:rsidRPr="00A05DE6" w:rsidRDefault="009B1F6E" w:rsidP="009B1F6E">
      <w:pPr>
        <w:spacing w:before="0"/>
        <w:rPr>
          <w:sz w:val="22"/>
          <w:szCs w:val="22"/>
          <w:lang w:eastAsia="en-US"/>
        </w:rPr>
      </w:pPr>
      <w:r w:rsidRPr="00A05DE6">
        <w:rPr>
          <w:sz w:val="22"/>
          <w:szCs w:val="22"/>
          <w:lang w:eastAsia="en-US"/>
        </w:rPr>
        <w:t xml:space="preserve">In July 2013, </w:t>
      </w:r>
      <w:r>
        <w:rPr>
          <w:sz w:val="22"/>
          <w:szCs w:val="22"/>
          <w:lang w:eastAsia="en-US"/>
        </w:rPr>
        <w:t>AFMA</w:t>
      </w:r>
      <w:r w:rsidRPr="00A05DE6">
        <w:rPr>
          <w:sz w:val="22"/>
          <w:szCs w:val="22"/>
          <w:lang w:eastAsia="en-US"/>
        </w:rPr>
        <w:t xml:space="preserve"> sought further advice and was provided with revised geographical data. Using this advice, </w:t>
      </w:r>
      <w:r>
        <w:rPr>
          <w:sz w:val="22"/>
          <w:szCs w:val="22"/>
          <w:lang w:eastAsia="en-US"/>
        </w:rPr>
        <w:t>AFMA</w:t>
      </w:r>
      <w:r w:rsidRPr="00A05DE6">
        <w:rPr>
          <w:sz w:val="22"/>
          <w:szCs w:val="22"/>
          <w:lang w:eastAsia="en-US"/>
        </w:rPr>
        <w:t xml:space="preserve"> has revised the closure to more closely align with the 200m depth contour. This had the impact of reducing the overall size of the closure while still maintaining protection to Upper-Slope Dogfish.</w:t>
      </w:r>
    </w:p>
    <w:p w14:paraId="10BBBEB7" w14:textId="77777777" w:rsidR="009B1F6E" w:rsidRPr="00A05DE6" w:rsidRDefault="009B1F6E" w:rsidP="009B1F6E">
      <w:pPr>
        <w:spacing w:before="0"/>
        <w:rPr>
          <w:sz w:val="22"/>
          <w:szCs w:val="22"/>
          <w:lang w:eastAsia="en-US"/>
        </w:rPr>
      </w:pPr>
    </w:p>
    <w:p w14:paraId="0D901F71" w14:textId="75723682" w:rsidR="009B1F6E" w:rsidRPr="00A05DE6" w:rsidRDefault="009B1F6E" w:rsidP="009B1F6E">
      <w:pPr>
        <w:spacing w:before="0"/>
        <w:rPr>
          <w:sz w:val="22"/>
          <w:szCs w:val="22"/>
          <w:lang w:eastAsia="en-US"/>
        </w:rPr>
      </w:pPr>
      <w:r w:rsidRPr="00A05DE6">
        <w:rPr>
          <w:sz w:val="22"/>
          <w:szCs w:val="22"/>
          <w:lang w:eastAsia="en-US"/>
        </w:rPr>
        <w:t xml:space="preserve">The area prescribed in </w:t>
      </w:r>
      <w:r>
        <w:rPr>
          <w:sz w:val="22"/>
          <w:szCs w:val="22"/>
          <w:lang w:eastAsia="en-US"/>
        </w:rPr>
        <w:t xml:space="preserve">proposed </w:t>
      </w:r>
      <w:r w:rsidRPr="00A05DE6">
        <w:rPr>
          <w:sz w:val="22"/>
          <w:szCs w:val="22"/>
          <w:lang w:eastAsia="en-US"/>
        </w:rPr>
        <w:t xml:space="preserve">Schedule 39 is the Flinders Research Zone Closure, implemented to protect Harrisson’s </w:t>
      </w:r>
      <w:r>
        <w:rPr>
          <w:sz w:val="22"/>
          <w:szCs w:val="22"/>
          <w:lang w:eastAsia="en-US"/>
        </w:rPr>
        <w:t xml:space="preserve">Dogfish </w:t>
      </w:r>
      <w:r w:rsidRPr="00A05DE6">
        <w:rPr>
          <w:sz w:val="22"/>
          <w:szCs w:val="22"/>
          <w:lang w:eastAsia="en-US"/>
        </w:rPr>
        <w:t xml:space="preserve">and Southern </w:t>
      </w:r>
      <w:r>
        <w:rPr>
          <w:sz w:val="22"/>
          <w:szCs w:val="22"/>
          <w:lang w:eastAsia="en-US"/>
        </w:rPr>
        <w:t>D</w:t>
      </w:r>
      <w:r w:rsidRPr="00A05DE6">
        <w:rPr>
          <w:sz w:val="22"/>
          <w:szCs w:val="22"/>
          <w:lang w:eastAsia="en-US"/>
        </w:rPr>
        <w:t>ogfish.</w:t>
      </w:r>
    </w:p>
    <w:p w14:paraId="508B3555" w14:textId="77777777" w:rsidR="007E0937" w:rsidRDefault="007E0937" w:rsidP="008040C9">
      <w:pPr>
        <w:spacing w:before="0"/>
        <w:rPr>
          <w:sz w:val="22"/>
          <w:szCs w:val="22"/>
          <w:highlight w:val="yellow"/>
          <w:lang w:eastAsia="en-US"/>
        </w:rPr>
      </w:pPr>
    </w:p>
    <w:p w14:paraId="32B3F815" w14:textId="77777777" w:rsidR="00AA451F" w:rsidRPr="006907A2" w:rsidRDefault="00AA451F" w:rsidP="00AA451F">
      <w:pPr>
        <w:keepNext/>
        <w:shd w:val="clear" w:color="auto" w:fill="FFFFFF"/>
        <w:spacing w:before="0" w:after="240"/>
        <w:rPr>
          <w:b/>
          <w:bCs/>
          <w:color w:val="000000"/>
          <w:sz w:val="22"/>
          <w:szCs w:val="22"/>
        </w:rPr>
      </w:pPr>
      <w:r w:rsidRPr="006907A2">
        <w:rPr>
          <w:b/>
          <w:bCs/>
          <w:color w:val="000000"/>
          <w:sz w:val="22"/>
          <w:szCs w:val="22"/>
        </w:rPr>
        <w:lastRenderedPageBreak/>
        <w:t xml:space="preserve">Consultation </w:t>
      </w:r>
    </w:p>
    <w:p w14:paraId="3D41166B" w14:textId="4198634E" w:rsidR="00A41CED" w:rsidRDefault="00A41CED" w:rsidP="00A5353D">
      <w:pPr>
        <w:pStyle w:val="DPtext"/>
        <w:keepNext/>
        <w:jc w:val="both"/>
        <w:rPr>
          <w:sz w:val="22"/>
          <w:szCs w:val="22"/>
        </w:rPr>
      </w:pPr>
      <w:r>
        <w:rPr>
          <w:sz w:val="22"/>
          <w:szCs w:val="22"/>
        </w:rPr>
        <w:t xml:space="preserve">The </w:t>
      </w:r>
      <w:r w:rsidR="007E3002">
        <w:rPr>
          <w:sz w:val="22"/>
          <w:szCs w:val="22"/>
        </w:rPr>
        <w:t xml:space="preserve">Variation </w:t>
      </w:r>
      <w:r>
        <w:rPr>
          <w:sz w:val="22"/>
          <w:szCs w:val="22"/>
        </w:rPr>
        <w:t>Direction is made under subsection 41A(3) of the Management Act</w:t>
      </w:r>
      <w:r w:rsidR="007E3002">
        <w:rPr>
          <w:sz w:val="22"/>
          <w:szCs w:val="22"/>
        </w:rPr>
        <w:t xml:space="preserve"> meaning that the prescribed consultation requirements</w:t>
      </w:r>
      <w:r w:rsidR="00A43D88">
        <w:rPr>
          <w:sz w:val="22"/>
          <w:szCs w:val="22"/>
        </w:rPr>
        <w:t xml:space="preserve"> </w:t>
      </w:r>
      <w:r w:rsidR="007E3002">
        <w:rPr>
          <w:sz w:val="22"/>
          <w:szCs w:val="22"/>
        </w:rPr>
        <w:t>in subsection 41A(2)</w:t>
      </w:r>
      <w:r w:rsidR="00A43D88">
        <w:rPr>
          <w:sz w:val="22"/>
          <w:szCs w:val="22"/>
        </w:rPr>
        <w:t>, to consult with the relevant Management Advisory Committees for the relevant fisheries,</w:t>
      </w:r>
      <w:r w:rsidR="007E3002">
        <w:rPr>
          <w:sz w:val="22"/>
          <w:szCs w:val="22"/>
        </w:rPr>
        <w:t xml:space="preserve"> do not apply.  </w:t>
      </w:r>
    </w:p>
    <w:p w14:paraId="275BF7F5" w14:textId="2A4196E4" w:rsidR="00B1384E" w:rsidRPr="00B1384E" w:rsidRDefault="00617B98" w:rsidP="00B1384E">
      <w:pPr>
        <w:pStyle w:val="DPtext"/>
        <w:keepNext/>
        <w:jc w:val="both"/>
        <w:rPr>
          <w:sz w:val="22"/>
          <w:szCs w:val="22"/>
        </w:rPr>
      </w:pPr>
      <w:r>
        <w:rPr>
          <w:sz w:val="22"/>
          <w:szCs w:val="22"/>
        </w:rPr>
        <w:t xml:space="preserve">Despite </w:t>
      </w:r>
      <w:r w:rsidR="00A43D88">
        <w:rPr>
          <w:sz w:val="22"/>
          <w:szCs w:val="22"/>
        </w:rPr>
        <w:t>this, and in light of section 17 of the Legislation Act</w:t>
      </w:r>
      <w:r>
        <w:rPr>
          <w:sz w:val="22"/>
          <w:szCs w:val="22"/>
        </w:rPr>
        <w:t xml:space="preserve">, the South East Management Advisory Committee (SEMAC) </w:t>
      </w:r>
      <w:r w:rsidR="00560BD3">
        <w:rPr>
          <w:sz w:val="22"/>
          <w:szCs w:val="22"/>
        </w:rPr>
        <w:t xml:space="preserve">has been </w:t>
      </w:r>
      <w:r>
        <w:rPr>
          <w:sz w:val="22"/>
          <w:szCs w:val="22"/>
        </w:rPr>
        <w:t>consulted</w:t>
      </w:r>
      <w:r w:rsidR="00A43D88">
        <w:rPr>
          <w:sz w:val="22"/>
          <w:szCs w:val="22"/>
        </w:rPr>
        <w:t xml:space="preserve"> on the making of the Variation Direction</w:t>
      </w:r>
      <w:r w:rsidR="00560BD3">
        <w:rPr>
          <w:sz w:val="22"/>
          <w:szCs w:val="22"/>
        </w:rPr>
        <w:t xml:space="preserve">. </w:t>
      </w:r>
      <w:r w:rsidR="00A43D88">
        <w:rPr>
          <w:sz w:val="22"/>
          <w:szCs w:val="22"/>
        </w:rPr>
        <w:t>SEMAC is the Management Advi</w:t>
      </w:r>
      <w:r w:rsidR="00560BD3">
        <w:rPr>
          <w:sz w:val="22"/>
          <w:szCs w:val="22"/>
        </w:rPr>
        <w:t>sory Committee established to provide management advice to AFMA for the SESSF, SPF and Southern Squid Jig Fishery</w:t>
      </w:r>
      <w:r>
        <w:rPr>
          <w:sz w:val="22"/>
          <w:szCs w:val="22"/>
        </w:rPr>
        <w:t>. A</w:t>
      </w:r>
      <w:r w:rsidR="00B1384E" w:rsidRPr="00B1384E">
        <w:rPr>
          <w:sz w:val="22"/>
          <w:szCs w:val="22"/>
        </w:rPr>
        <w:t xml:space="preserve">t </w:t>
      </w:r>
      <w:r w:rsidR="00940BC3">
        <w:rPr>
          <w:sz w:val="22"/>
          <w:szCs w:val="22"/>
        </w:rPr>
        <w:t>its</w:t>
      </w:r>
      <w:r w:rsidR="00B1384E" w:rsidRPr="00B1384E">
        <w:rPr>
          <w:sz w:val="22"/>
          <w:szCs w:val="22"/>
        </w:rPr>
        <w:t xml:space="preserve"> meeting on 23-24 February 2017</w:t>
      </w:r>
      <w:r>
        <w:rPr>
          <w:sz w:val="22"/>
          <w:szCs w:val="22"/>
        </w:rPr>
        <w:t>, SEMAC</w:t>
      </w:r>
      <w:r w:rsidR="00B1384E" w:rsidRPr="00B1384E">
        <w:rPr>
          <w:sz w:val="22"/>
          <w:szCs w:val="22"/>
        </w:rPr>
        <w:t xml:space="preserve"> supported consistent management across both the mid-water trawl and mid-water pair trawl fishing methods, where possible.</w:t>
      </w:r>
      <w:r w:rsidR="00AD04BE">
        <w:rPr>
          <w:sz w:val="22"/>
          <w:szCs w:val="22"/>
        </w:rPr>
        <w:t xml:space="preserve"> SEMAC was consulted on the use of jigging and minor line methods within the SPF at its meeting on 6-8 February 2018, supporting the use of these methods in the SPF</w:t>
      </w:r>
      <w:r w:rsidR="00940BC3">
        <w:rPr>
          <w:sz w:val="22"/>
          <w:szCs w:val="22"/>
        </w:rPr>
        <w:t xml:space="preserve"> and did not identify any </w:t>
      </w:r>
      <w:r w:rsidR="000C256C">
        <w:rPr>
          <w:sz w:val="22"/>
          <w:szCs w:val="22"/>
        </w:rPr>
        <w:t xml:space="preserve">specific </w:t>
      </w:r>
      <w:r w:rsidR="00940BC3">
        <w:rPr>
          <w:sz w:val="22"/>
          <w:szCs w:val="22"/>
        </w:rPr>
        <w:t>closures that should apply</w:t>
      </w:r>
      <w:r w:rsidR="000C256C">
        <w:rPr>
          <w:sz w:val="22"/>
          <w:szCs w:val="22"/>
        </w:rPr>
        <w:t xml:space="preserve"> to these methods</w:t>
      </w:r>
      <w:r w:rsidR="00AD04BE">
        <w:rPr>
          <w:sz w:val="22"/>
          <w:szCs w:val="22"/>
        </w:rPr>
        <w:t>.</w:t>
      </w:r>
      <w:r w:rsidR="00F77B5C">
        <w:rPr>
          <w:sz w:val="22"/>
          <w:szCs w:val="22"/>
        </w:rPr>
        <w:t xml:space="preserve"> At its meeting on 11-12 July 2018, SEMAC supported exempting midwater trawl, midwater pair trawl, and jigging and minor line methods from the prohibition on fishing relating to several areas, where the SPF mid-water trawl method is already exempt.</w:t>
      </w:r>
    </w:p>
    <w:p w14:paraId="0505EA14" w14:textId="77777777" w:rsidR="00AA451F" w:rsidRPr="006952DE" w:rsidRDefault="00AA451F" w:rsidP="00AA451F">
      <w:pPr>
        <w:pStyle w:val="DPtext"/>
        <w:keepNext/>
        <w:spacing w:before="0"/>
        <w:jc w:val="both"/>
        <w:rPr>
          <w:sz w:val="22"/>
          <w:szCs w:val="22"/>
        </w:rPr>
      </w:pPr>
    </w:p>
    <w:p w14:paraId="4EF1C79F" w14:textId="77777777" w:rsidR="00AA451F" w:rsidRPr="00B81404" w:rsidRDefault="00AA451F" w:rsidP="009B1F6E">
      <w:pPr>
        <w:keepNext/>
        <w:shd w:val="clear" w:color="auto" w:fill="FFFFFF"/>
        <w:spacing w:before="120" w:after="120"/>
        <w:rPr>
          <w:color w:val="000000"/>
          <w:szCs w:val="24"/>
        </w:rPr>
      </w:pPr>
      <w:r w:rsidRPr="00B81404">
        <w:rPr>
          <w:b/>
          <w:bCs/>
          <w:color w:val="000000"/>
          <w:sz w:val="22"/>
          <w:szCs w:val="22"/>
        </w:rPr>
        <w:t>Regulation Impact Statement</w:t>
      </w:r>
    </w:p>
    <w:p w14:paraId="2149F119" w14:textId="427860C3" w:rsidR="009B1F6E" w:rsidRDefault="00AA451F" w:rsidP="00AA451F">
      <w:pPr>
        <w:spacing w:before="0"/>
        <w:rPr>
          <w:sz w:val="22"/>
          <w:szCs w:val="22"/>
        </w:rPr>
      </w:pPr>
      <w:r w:rsidRPr="00AA451F">
        <w:rPr>
          <w:sz w:val="22"/>
          <w:szCs w:val="22"/>
        </w:rPr>
        <w:t xml:space="preserve">The Office of Best </w:t>
      </w:r>
      <w:r w:rsidRPr="00A43D88">
        <w:rPr>
          <w:sz w:val="22"/>
          <w:szCs w:val="22"/>
        </w:rPr>
        <w:t xml:space="preserve">Practice Regulation has previously advised that a Regulation Impact Statement is not required for this instrument, consistent with the </w:t>
      </w:r>
      <w:r w:rsidR="00560BD3">
        <w:rPr>
          <w:sz w:val="22"/>
          <w:szCs w:val="22"/>
        </w:rPr>
        <w:t xml:space="preserve">carve-out </w:t>
      </w:r>
      <w:r w:rsidRPr="00A43D88">
        <w:rPr>
          <w:sz w:val="22"/>
          <w:szCs w:val="22"/>
        </w:rPr>
        <w:t xml:space="preserve">agreement in place to cover </w:t>
      </w:r>
      <w:r w:rsidRPr="00560BD3">
        <w:rPr>
          <w:sz w:val="22"/>
          <w:szCs w:val="22"/>
        </w:rPr>
        <w:t xml:space="preserve">certain regulatory changes </w:t>
      </w:r>
      <w:r w:rsidR="00DE7AA7">
        <w:rPr>
          <w:sz w:val="22"/>
          <w:szCs w:val="22"/>
        </w:rPr>
        <w:t xml:space="preserve">by AFMA </w:t>
      </w:r>
      <w:r w:rsidRPr="00560BD3">
        <w:rPr>
          <w:sz w:val="22"/>
          <w:szCs w:val="22"/>
        </w:rPr>
        <w:t xml:space="preserve">including </w:t>
      </w:r>
      <w:r w:rsidR="00DE7AA7">
        <w:rPr>
          <w:sz w:val="22"/>
          <w:szCs w:val="22"/>
        </w:rPr>
        <w:t>opening and closing a fishery</w:t>
      </w:r>
      <w:r w:rsidR="00121096" w:rsidRPr="00560BD3">
        <w:rPr>
          <w:sz w:val="22"/>
          <w:szCs w:val="22"/>
        </w:rPr>
        <w:t xml:space="preserve"> (</w:t>
      </w:r>
      <w:r w:rsidR="00121096" w:rsidRPr="00A43D88">
        <w:rPr>
          <w:sz w:val="22"/>
          <w:szCs w:val="22"/>
        </w:rPr>
        <w:t>OBPR ID 14421)</w:t>
      </w:r>
    </w:p>
    <w:p w14:paraId="6B9B1041" w14:textId="77777777" w:rsidR="009B1F6E" w:rsidRDefault="009B1F6E" w:rsidP="00AA451F">
      <w:pPr>
        <w:spacing w:before="0"/>
        <w:rPr>
          <w:sz w:val="22"/>
          <w:szCs w:val="22"/>
        </w:rPr>
      </w:pPr>
    </w:p>
    <w:p w14:paraId="76294972" w14:textId="77777777" w:rsidR="009B1F6E" w:rsidRDefault="009B1F6E">
      <w:pPr>
        <w:spacing w:before="0" w:after="200" w:line="276" w:lineRule="auto"/>
        <w:jc w:val="left"/>
        <w:rPr>
          <w:sz w:val="22"/>
          <w:szCs w:val="22"/>
        </w:rPr>
      </w:pPr>
      <w:r>
        <w:rPr>
          <w:sz w:val="22"/>
          <w:szCs w:val="22"/>
        </w:rPr>
        <w:br w:type="page"/>
      </w:r>
    </w:p>
    <w:p w14:paraId="4DF179AA" w14:textId="185C0CD0" w:rsidR="00AA451F" w:rsidRDefault="00AA451F" w:rsidP="009B1F6E">
      <w:pPr>
        <w:spacing w:before="120" w:after="120"/>
        <w:rPr>
          <w:sz w:val="22"/>
          <w:szCs w:val="22"/>
        </w:rPr>
      </w:pPr>
      <w:r w:rsidRPr="0004787C">
        <w:rPr>
          <w:b/>
          <w:sz w:val="22"/>
          <w:szCs w:val="22"/>
        </w:rPr>
        <w:lastRenderedPageBreak/>
        <w:t xml:space="preserve">Statement of compatibility prepared in accordance with Part 3 of the </w:t>
      </w:r>
      <w:r w:rsidRPr="00800E67">
        <w:rPr>
          <w:b/>
          <w:i/>
          <w:sz w:val="22"/>
          <w:szCs w:val="22"/>
        </w:rPr>
        <w:t xml:space="preserve">Human Rights (Parliamentary Scrutiny) Act 2011 </w:t>
      </w:r>
    </w:p>
    <w:p w14:paraId="43D54D05" w14:textId="77777777" w:rsidR="00AA451F" w:rsidRDefault="00AA451F" w:rsidP="00AA451F">
      <w:pPr>
        <w:pStyle w:val="DPtext"/>
        <w:keepNext/>
        <w:rPr>
          <w:sz w:val="22"/>
          <w:szCs w:val="22"/>
        </w:rPr>
      </w:pPr>
      <w:r>
        <w:rPr>
          <w:sz w:val="22"/>
          <w:szCs w:val="22"/>
        </w:rPr>
        <w:t xml:space="preserve">This legislative instrument does not infringe any of the applicable rights or freedoms recognised or declared in the international instruments listed in section 3 of the </w:t>
      </w:r>
      <w:r w:rsidRPr="008C1CBF">
        <w:rPr>
          <w:i/>
          <w:sz w:val="22"/>
          <w:szCs w:val="22"/>
        </w:rPr>
        <w:t>Human Rights (Parliamentary Scrutiny) Act 2011</w:t>
      </w:r>
      <w:r>
        <w:rPr>
          <w:sz w:val="22"/>
          <w:szCs w:val="22"/>
        </w:rPr>
        <w:t xml:space="preserve">. </w:t>
      </w:r>
    </w:p>
    <w:p w14:paraId="68F87F9F" w14:textId="77777777" w:rsidR="00AA451F" w:rsidRDefault="00AA451F" w:rsidP="00AA451F">
      <w:pPr>
        <w:pStyle w:val="DPtext"/>
        <w:keepNext/>
        <w:rPr>
          <w:sz w:val="22"/>
          <w:szCs w:val="22"/>
        </w:rPr>
      </w:pPr>
      <w:r>
        <w:rPr>
          <w:sz w:val="22"/>
          <w:szCs w:val="22"/>
        </w:rPr>
        <w:t>Accordingly, in AFMA’s assessment, this legislative instrument is compatible with human rights and a declaration is attached.</w:t>
      </w:r>
    </w:p>
    <w:p w14:paraId="2044E98E" w14:textId="77777777" w:rsidR="00AA451F" w:rsidRPr="00632321" w:rsidRDefault="00AA451F" w:rsidP="00AA451F">
      <w:pPr>
        <w:pStyle w:val="DPtext"/>
        <w:keepNext/>
        <w:spacing w:before="0"/>
        <w:rPr>
          <w:sz w:val="22"/>
          <w:szCs w:val="22"/>
        </w:rPr>
      </w:pPr>
    </w:p>
    <w:p w14:paraId="0EC0AA8E" w14:textId="77777777" w:rsidR="00AA451F" w:rsidRDefault="00AA451F" w:rsidP="00A81B7C">
      <w:pPr>
        <w:shd w:val="clear" w:color="auto" w:fill="FFFFFF"/>
        <w:spacing w:before="0" w:after="240"/>
        <w:rPr>
          <w:color w:val="000000"/>
          <w:sz w:val="22"/>
          <w:szCs w:val="22"/>
        </w:rPr>
      </w:pPr>
      <w:r w:rsidRPr="00B81404">
        <w:rPr>
          <w:color w:val="000000"/>
          <w:sz w:val="22"/>
          <w:szCs w:val="22"/>
        </w:rPr>
        <w:t xml:space="preserve">Details of the </w:t>
      </w:r>
      <w:r w:rsidRPr="00AA3262">
        <w:rPr>
          <w:color w:val="000000"/>
          <w:sz w:val="22"/>
          <w:szCs w:val="22"/>
        </w:rPr>
        <w:t>Direction</w:t>
      </w:r>
      <w:r w:rsidRPr="00B81404">
        <w:rPr>
          <w:color w:val="000000"/>
          <w:sz w:val="22"/>
          <w:szCs w:val="22"/>
        </w:rPr>
        <w:t xml:space="preserve"> are set out below:</w:t>
      </w:r>
    </w:p>
    <w:p w14:paraId="19D02E1C" w14:textId="6919DC63" w:rsidR="00A81B7C" w:rsidRPr="00A81B7C" w:rsidRDefault="00A81B7C" w:rsidP="00A81B7C">
      <w:pPr>
        <w:shd w:val="clear" w:color="auto" w:fill="FFFFFF"/>
        <w:spacing w:before="0" w:after="240"/>
        <w:ind w:left="1440" w:hanging="1440"/>
        <w:rPr>
          <w:color w:val="000000"/>
          <w:sz w:val="22"/>
          <w:szCs w:val="24"/>
        </w:rPr>
      </w:pPr>
      <w:r w:rsidRPr="00A81B7C">
        <w:rPr>
          <w:b/>
          <w:color w:val="000000"/>
          <w:sz w:val="22"/>
          <w:szCs w:val="24"/>
        </w:rPr>
        <w:t>Clause 1</w:t>
      </w:r>
      <w:r w:rsidRPr="00A81B7C">
        <w:rPr>
          <w:color w:val="000000"/>
          <w:sz w:val="22"/>
          <w:szCs w:val="24"/>
        </w:rPr>
        <w:tab/>
        <w:t xml:space="preserve">Provides for the Direction to be cited as the </w:t>
      </w:r>
      <w:r w:rsidRPr="00A81B7C">
        <w:rPr>
          <w:i/>
          <w:color w:val="000000"/>
          <w:sz w:val="22"/>
          <w:szCs w:val="24"/>
        </w:rPr>
        <w:t>Southern and Eastern Scalefish and Shark Fishery and Small Pelagic Fishery (Closures Variation) Direction 201</w:t>
      </w:r>
      <w:r w:rsidR="00651BCA">
        <w:rPr>
          <w:i/>
          <w:color w:val="000000"/>
          <w:sz w:val="22"/>
          <w:szCs w:val="24"/>
        </w:rPr>
        <w:t>8</w:t>
      </w:r>
      <w:r w:rsidR="007A2270">
        <w:rPr>
          <w:i/>
          <w:color w:val="000000"/>
          <w:sz w:val="22"/>
          <w:szCs w:val="24"/>
        </w:rPr>
        <w:t>.</w:t>
      </w:r>
    </w:p>
    <w:p w14:paraId="6285AFE0" w14:textId="2028B3DC" w:rsidR="00A81B7C" w:rsidRPr="00A81B7C" w:rsidRDefault="00A81B7C" w:rsidP="00A81B7C">
      <w:pPr>
        <w:shd w:val="clear" w:color="auto" w:fill="FFFFFF"/>
        <w:spacing w:before="0" w:after="240"/>
        <w:ind w:left="1440" w:hanging="1440"/>
        <w:rPr>
          <w:color w:val="000000"/>
          <w:sz w:val="22"/>
          <w:szCs w:val="24"/>
        </w:rPr>
      </w:pPr>
      <w:r w:rsidRPr="00A81B7C">
        <w:rPr>
          <w:b/>
          <w:color w:val="000000"/>
          <w:sz w:val="22"/>
          <w:szCs w:val="24"/>
        </w:rPr>
        <w:t>Clause 2</w:t>
      </w:r>
      <w:r w:rsidRPr="00A81B7C">
        <w:rPr>
          <w:color w:val="000000"/>
          <w:sz w:val="22"/>
          <w:szCs w:val="24"/>
        </w:rPr>
        <w:tab/>
        <w:t xml:space="preserve">Provides that the Direction commences on the day after it is registered on the Federal Register of </w:t>
      </w:r>
      <w:r w:rsidR="007A2270">
        <w:rPr>
          <w:color w:val="000000"/>
          <w:sz w:val="22"/>
          <w:szCs w:val="24"/>
        </w:rPr>
        <w:t>Legislation</w:t>
      </w:r>
      <w:r w:rsidRPr="00A81B7C">
        <w:rPr>
          <w:color w:val="000000"/>
          <w:sz w:val="22"/>
          <w:szCs w:val="24"/>
        </w:rPr>
        <w:t>.</w:t>
      </w:r>
    </w:p>
    <w:p w14:paraId="264495C0" w14:textId="09015BC6" w:rsidR="00AD04BE" w:rsidRDefault="00A81B7C" w:rsidP="00A81B7C">
      <w:pPr>
        <w:shd w:val="clear" w:color="auto" w:fill="FFFFFF"/>
        <w:spacing w:before="0" w:after="240"/>
        <w:ind w:left="1440" w:hanging="1440"/>
        <w:rPr>
          <w:color w:val="000000"/>
          <w:sz w:val="22"/>
          <w:szCs w:val="24"/>
        </w:rPr>
      </w:pPr>
      <w:r w:rsidRPr="00A81B7C">
        <w:rPr>
          <w:b/>
          <w:color w:val="000000"/>
          <w:sz w:val="22"/>
          <w:szCs w:val="24"/>
        </w:rPr>
        <w:t xml:space="preserve">Clause </w:t>
      </w:r>
      <w:r w:rsidR="00560BD3">
        <w:rPr>
          <w:b/>
          <w:color w:val="000000"/>
          <w:sz w:val="22"/>
          <w:szCs w:val="24"/>
        </w:rPr>
        <w:t>3</w:t>
      </w:r>
      <w:r w:rsidRPr="00A81B7C">
        <w:rPr>
          <w:color w:val="000000"/>
          <w:sz w:val="22"/>
          <w:szCs w:val="24"/>
        </w:rPr>
        <w:tab/>
      </w:r>
      <w:r w:rsidR="00AD04BE">
        <w:rPr>
          <w:color w:val="000000"/>
          <w:sz w:val="22"/>
          <w:szCs w:val="24"/>
        </w:rPr>
        <w:t>Provides the authority under which this Direction is made.</w:t>
      </w:r>
    </w:p>
    <w:p w14:paraId="5AD1684F" w14:textId="6C95961E" w:rsidR="002E70DA" w:rsidRDefault="00A81B7C" w:rsidP="00AD04BE">
      <w:pPr>
        <w:shd w:val="clear" w:color="auto" w:fill="FFFFFF"/>
        <w:spacing w:before="0" w:after="240"/>
        <w:ind w:left="1440" w:hanging="1440"/>
        <w:rPr>
          <w:color w:val="000000"/>
          <w:sz w:val="22"/>
          <w:szCs w:val="24"/>
        </w:rPr>
      </w:pPr>
      <w:r w:rsidRPr="00A81B7C">
        <w:rPr>
          <w:b/>
          <w:color w:val="000000"/>
          <w:sz w:val="22"/>
          <w:szCs w:val="24"/>
        </w:rPr>
        <w:t xml:space="preserve">Clause </w:t>
      </w:r>
      <w:r w:rsidR="00560BD3">
        <w:rPr>
          <w:b/>
          <w:color w:val="000000"/>
          <w:sz w:val="22"/>
          <w:szCs w:val="24"/>
        </w:rPr>
        <w:t>4</w:t>
      </w:r>
      <w:r w:rsidRPr="00A81B7C">
        <w:rPr>
          <w:color w:val="000000"/>
          <w:sz w:val="22"/>
          <w:szCs w:val="24"/>
        </w:rPr>
        <w:tab/>
      </w:r>
      <w:r w:rsidR="00AD04BE">
        <w:rPr>
          <w:color w:val="000000"/>
          <w:sz w:val="22"/>
          <w:szCs w:val="24"/>
        </w:rPr>
        <w:t xml:space="preserve">Provides that the </w:t>
      </w:r>
      <w:r w:rsidR="00AD04BE" w:rsidRPr="00AD04BE">
        <w:rPr>
          <w:color w:val="000000"/>
          <w:sz w:val="22"/>
          <w:szCs w:val="24"/>
        </w:rPr>
        <w:t xml:space="preserve">instrument </w:t>
      </w:r>
      <w:r w:rsidR="00AD04BE">
        <w:rPr>
          <w:color w:val="000000"/>
          <w:sz w:val="22"/>
          <w:szCs w:val="24"/>
        </w:rPr>
        <w:t xml:space="preserve">is amended as </w:t>
      </w:r>
      <w:r w:rsidR="00AD04BE" w:rsidRPr="00AD04BE">
        <w:rPr>
          <w:color w:val="000000"/>
          <w:sz w:val="22"/>
          <w:szCs w:val="24"/>
        </w:rPr>
        <w:t>specified in a Schedule to this instrument as set out in the applicable items in the Schedule.</w:t>
      </w:r>
    </w:p>
    <w:p w14:paraId="56AA85F3" w14:textId="716AABEF" w:rsidR="00560BD3" w:rsidRPr="00560BD3" w:rsidRDefault="00560BD3" w:rsidP="00AD04BE">
      <w:pPr>
        <w:shd w:val="clear" w:color="auto" w:fill="FFFFFF"/>
        <w:spacing w:before="0" w:after="240"/>
        <w:ind w:left="1440" w:hanging="1440"/>
        <w:rPr>
          <w:color w:val="000000"/>
          <w:sz w:val="22"/>
          <w:szCs w:val="24"/>
        </w:rPr>
      </w:pPr>
      <w:r>
        <w:rPr>
          <w:b/>
          <w:color w:val="000000"/>
          <w:sz w:val="22"/>
          <w:szCs w:val="24"/>
        </w:rPr>
        <w:t>Schedule 1</w:t>
      </w:r>
      <w:r>
        <w:rPr>
          <w:b/>
          <w:color w:val="000000"/>
          <w:sz w:val="22"/>
          <w:szCs w:val="24"/>
        </w:rPr>
        <w:tab/>
      </w:r>
      <w:r>
        <w:rPr>
          <w:color w:val="000000"/>
          <w:sz w:val="22"/>
          <w:szCs w:val="24"/>
        </w:rPr>
        <w:t xml:space="preserve">Amendments to the Closure Direction.  </w:t>
      </w:r>
    </w:p>
    <w:p w14:paraId="66E19ACF" w14:textId="3F1255E2" w:rsidR="00560BD3" w:rsidRDefault="00560BD3" w:rsidP="00AD04BE">
      <w:pPr>
        <w:shd w:val="clear" w:color="auto" w:fill="FFFFFF"/>
        <w:spacing w:before="0" w:after="240"/>
        <w:ind w:left="1440" w:hanging="1440"/>
        <w:rPr>
          <w:color w:val="000000"/>
          <w:sz w:val="22"/>
          <w:szCs w:val="24"/>
        </w:rPr>
      </w:pPr>
      <w:r>
        <w:rPr>
          <w:b/>
          <w:color w:val="000000"/>
          <w:sz w:val="22"/>
          <w:szCs w:val="24"/>
        </w:rPr>
        <w:t>Item 1</w:t>
      </w:r>
      <w:r>
        <w:rPr>
          <w:b/>
          <w:color w:val="000000"/>
          <w:sz w:val="22"/>
          <w:szCs w:val="24"/>
        </w:rPr>
        <w:tab/>
      </w:r>
      <w:r w:rsidR="007A2270">
        <w:rPr>
          <w:color w:val="000000"/>
          <w:sz w:val="22"/>
          <w:szCs w:val="24"/>
        </w:rPr>
        <w:t xml:space="preserve">Adds two additional directions to section 6 of the Closure Direction namely a closure for Orange Roughy (western) in new paragraph 6(u) and for the Flinders Research Zone Closure in new paragraph 6(v).  </w:t>
      </w:r>
    </w:p>
    <w:p w14:paraId="3D75A7ED" w14:textId="3C355FD8" w:rsidR="007A2270" w:rsidRDefault="007A2270" w:rsidP="00AD04BE">
      <w:pPr>
        <w:shd w:val="clear" w:color="auto" w:fill="FFFFFF"/>
        <w:spacing w:before="0" w:after="240"/>
        <w:ind w:left="1440" w:hanging="1440"/>
        <w:rPr>
          <w:color w:val="000000"/>
          <w:sz w:val="22"/>
          <w:szCs w:val="24"/>
        </w:rPr>
      </w:pPr>
      <w:r>
        <w:rPr>
          <w:b/>
          <w:color w:val="000000"/>
          <w:sz w:val="22"/>
          <w:szCs w:val="24"/>
        </w:rPr>
        <w:t>Item 2</w:t>
      </w:r>
      <w:r>
        <w:rPr>
          <w:color w:val="000000"/>
          <w:sz w:val="22"/>
          <w:szCs w:val="24"/>
        </w:rPr>
        <w:tab/>
      </w:r>
      <w:r w:rsidR="00800432">
        <w:rPr>
          <w:color w:val="000000"/>
          <w:sz w:val="22"/>
          <w:szCs w:val="24"/>
        </w:rPr>
        <w:t xml:space="preserve">Provides that SPF concessions for mid-water trawling and mid-water pair trawling are exempt from the directions in paragraphs </w:t>
      </w:r>
      <w:r w:rsidR="00800432" w:rsidRPr="00800432">
        <w:rPr>
          <w:color w:val="000000"/>
          <w:sz w:val="22"/>
          <w:szCs w:val="24"/>
        </w:rPr>
        <w:t>6(d), 6(i), 6(j), 6(k), 6(m), 6(o), 6(p) and 6(q)</w:t>
      </w:r>
      <w:r w:rsidR="00800432">
        <w:rPr>
          <w:color w:val="000000"/>
          <w:sz w:val="22"/>
          <w:szCs w:val="24"/>
        </w:rPr>
        <w:t xml:space="preserve">.  </w:t>
      </w:r>
    </w:p>
    <w:p w14:paraId="66AAB516" w14:textId="451421C7" w:rsidR="00800432" w:rsidRDefault="00800432" w:rsidP="00AD04BE">
      <w:pPr>
        <w:shd w:val="clear" w:color="auto" w:fill="FFFFFF"/>
        <w:spacing w:before="0" w:after="240"/>
        <w:ind w:left="1440" w:hanging="1440"/>
        <w:rPr>
          <w:color w:val="000000"/>
          <w:sz w:val="22"/>
          <w:szCs w:val="24"/>
        </w:rPr>
      </w:pPr>
      <w:r>
        <w:rPr>
          <w:b/>
          <w:color w:val="000000"/>
          <w:sz w:val="22"/>
          <w:szCs w:val="24"/>
        </w:rPr>
        <w:t>Item 3</w:t>
      </w:r>
      <w:r>
        <w:rPr>
          <w:color w:val="000000"/>
          <w:sz w:val="22"/>
          <w:szCs w:val="24"/>
        </w:rPr>
        <w:tab/>
        <w:t xml:space="preserve">Provides that the directions in section 6 do not apply to fishing by the purse seine, jigging or minor line methods.  </w:t>
      </w:r>
    </w:p>
    <w:p w14:paraId="6E2CBB23" w14:textId="2A529AED" w:rsidR="00800432" w:rsidRPr="00800432" w:rsidRDefault="00800432" w:rsidP="00AD04BE">
      <w:pPr>
        <w:shd w:val="clear" w:color="auto" w:fill="FFFFFF"/>
        <w:spacing w:before="0" w:after="240"/>
        <w:ind w:left="1440" w:hanging="1440"/>
        <w:rPr>
          <w:color w:val="000000"/>
          <w:sz w:val="22"/>
          <w:szCs w:val="24"/>
        </w:rPr>
      </w:pPr>
      <w:r>
        <w:rPr>
          <w:b/>
          <w:color w:val="000000"/>
          <w:sz w:val="22"/>
          <w:szCs w:val="24"/>
        </w:rPr>
        <w:t>Item 4</w:t>
      </w:r>
      <w:r>
        <w:rPr>
          <w:color w:val="000000"/>
          <w:sz w:val="22"/>
          <w:szCs w:val="24"/>
        </w:rPr>
        <w:tab/>
        <w:t xml:space="preserve">Inserts Schedules 38 and 39 which contain geographic descriptions relevant to new paragraphs 6(u) and 6(v).  </w:t>
      </w:r>
    </w:p>
    <w:p w14:paraId="3D2100A5" w14:textId="24D57BDA" w:rsidR="002E70DA" w:rsidRDefault="00560BD3" w:rsidP="009B1F6E">
      <w:pPr>
        <w:shd w:val="clear" w:color="auto" w:fill="FFFFFF"/>
        <w:spacing w:before="0" w:after="240"/>
        <w:ind w:left="1440" w:hanging="1440"/>
        <w:rPr>
          <w:color w:val="000000"/>
          <w:szCs w:val="24"/>
        </w:rPr>
      </w:pPr>
      <w:r>
        <w:rPr>
          <w:b/>
          <w:color w:val="000000"/>
          <w:sz w:val="22"/>
          <w:szCs w:val="24"/>
        </w:rPr>
        <w:t>Schedule 2</w:t>
      </w:r>
      <w:r>
        <w:rPr>
          <w:b/>
          <w:color w:val="000000"/>
          <w:sz w:val="22"/>
          <w:szCs w:val="24"/>
        </w:rPr>
        <w:tab/>
      </w:r>
      <w:r>
        <w:rPr>
          <w:color w:val="000000"/>
          <w:sz w:val="22"/>
          <w:szCs w:val="24"/>
        </w:rPr>
        <w:t xml:space="preserve">Revokes the First and Second Revoked Directions.  </w:t>
      </w:r>
    </w:p>
    <w:p w14:paraId="13978478" w14:textId="28F3815E" w:rsidR="009B1F6E" w:rsidRDefault="009B1F6E">
      <w:pPr>
        <w:spacing w:before="0" w:after="200" w:line="276" w:lineRule="auto"/>
        <w:jc w:val="left"/>
        <w:rPr>
          <w:color w:val="000000"/>
          <w:szCs w:val="24"/>
        </w:rPr>
      </w:pPr>
      <w:r>
        <w:rPr>
          <w:color w:val="000000"/>
          <w:szCs w:val="24"/>
        </w:rPr>
        <w:br w:type="page"/>
      </w:r>
    </w:p>
    <w:p w14:paraId="20B6BCCE" w14:textId="77777777" w:rsidR="00AA451F" w:rsidRDefault="00AA451F" w:rsidP="00AA451F">
      <w:pPr>
        <w:shd w:val="clear" w:color="auto" w:fill="FFFFFF"/>
        <w:spacing w:before="0"/>
        <w:rPr>
          <w:color w:val="000000"/>
          <w:szCs w:val="24"/>
        </w:rPr>
      </w:pPr>
    </w:p>
    <w:p w14:paraId="2E9B7F35" w14:textId="77777777" w:rsidR="00AA451F" w:rsidRDefault="00800E67" w:rsidP="00AA451F">
      <w:pPr>
        <w:shd w:val="clear" w:color="auto" w:fill="FFFFFF"/>
        <w:spacing w:before="0"/>
        <w:rPr>
          <w:color w:val="000000"/>
          <w:szCs w:val="24"/>
        </w:rPr>
      </w:pPr>
      <w:r>
        <w:rPr>
          <w:noProof/>
        </w:rPr>
        <mc:AlternateContent>
          <mc:Choice Requires="wps">
            <w:drawing>
              <wp:anchor distT="0" distB="0" distL="114300" distR="114300" simplePos="0" relativeHeight="251659264" behindDoc="0" locked="0" layoutInCell="1" allowOverlap="1" wp14:anchorId="1E56C4E2" wp14:editId="01CBE74D">
                <wp:simplePos x="0" y="0"/>
                <wp:positionH relativeFrom="column">
                  <wp:posOffset>-34290</wp:posOffset>
                </wp:positionH>
                <wp:positionV relativeFrom="paragraph">
                  <wp:posOffset>-4445</wp:posOffset>
                </wp:positionV>
                <wp:extent cx="6099810" cy="8458200"/>
                <wp:effectExtent l="38100" t="38100" r="3429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8458200"/>
                        </a:xfrm>
                        <a:prstGeom prst="rect">
                          <a:avLst/>
                        </a:prstGeom>
                        <a:solidFill>
                          <a:srgbClr val="FFFFFF"/>
                        </a:solidFill>
                        <a:ln w="76200" cmpd="tri">
                          <a:solidFill>
                            <a:srgbClr val="000000"/>
                          </a:solidFill>
                          <a:miter lim="800000"/>
                          <a:headEnd/>
                          <a:tailEnd/>
                        </a:ln>
                      </wps:spPr>
                      <wps:txbx>
                        <w:txbxContent>
                          <w:p w14:paraId="7D1B2B2C" w14:textId="77777777" w:rsidR="00AA451F" w:rsidRPr="00E4135E" w:rsidRDefault="00AA451F" w:rsidP="00AA451F">
                            <w:pPr>
                              <w:spacing w:before="360" w:after="120"/>
                              <w:jc w:val="center"/>
                              <w:rPr>
                                <w:b/>
                                <w:sz w:val="28"/>
                                <w:szCs w:val="28"/>
                              </w:rPr>
                            </w:pPr>
                            <w:r w:rsidRPr="00E4135E">
                              <w:rPr>
                                <w:b/>
                                <w:sz w:val="28"/>
                                <w:szCs w:val="28"/>
                              </w:rPr>
                              <w:t>Statement of Compatibility with Human Rights</w:t>
                            </w:r>
                          </w:p>
                          <w:p w14:paraId="16542EDF" w14:textId="77777777" w:rsidR="00AA451F" w:rsidRPr="00E4135E" w:rsidRDefault="00AA451F" w:rsidP="00AA451F">
                            <w:pPr>
                              <w:spacing w:before="120" w:after="120"/>
                              <w:jc w:val="center"/>
                            </w:pPr>
                            <w:r w:rsidRPr="00E4135E">
                              <w:rPr>
                                <w:i/>
                              </w:rPr>
                              <w:t>Prepared in accordance with Part 3 of the Human Rights (Parliamentary Scrutiny) Act 2011</w:t>
                            </w:r>
                          </w:p>
                          <w:p w14:paraId="3696EC77" w14:textId="77777777" w:rsidR="00AA451F" w:rsidRPr="00E4135E" w:rsidRDefault="00AA451F" w:rsidP="00AA451F">
                            <w:pPr>
                              <w:spacing w:before="120" w:after="120"/>
                              <w:ind w:left="-2552"/>
                              <w:jc w:val="center"/>
                            </w:pPr>
                          </w:p>
                          <w:p w14:paraId="56FA67B2" w14:textId="2CFD1EAE" w:rsidR="00AA451F" w:rsidRPr="007C2D22" w:rsidRDefault="00800E67" w:rsidP="00AA451F">
                            <w:pPr>
                              <w:autoSpaceDE w:val="0"/>
                              <w:autoSpaceDN w:val="0"/>
                              <w:adjustRightInd w:val="0"/>
                              <w:ind w:left="360"/>
                              <w:jc w:val="center"/>
                              <w:rPr>
                                <w:b/>
                                <w:color w:val="000000"/>
                              </w:rPr>
                            </w:pPr>
                            <w:r>
                              <w:rPr>
                                <w:b/>
                                <w:iCs/>
                                <w:color w:val="000000"/>
                              </w:rPr>
                              <w:t>Southern and Eastern Scalefish and Shark</w:t>
                            </w:r>
                            <w:r w:rsidR="00AA451F">
                              <w:rPr>
                                <w:b/>
                                <w:iCs/>
                                <w:color w:val="000000"/>
                              </w:rPr>
                              <w:t xml:space="preserve"> Fishery </w:t>
                            </w:r>
                            <w:r w:rsidR="00A81B7C">
                              <w:rPr>
                                <w:b/>
                                <w:iCs/>
                                <w:color w:val="000000"/>
                              </w:rPr>
                              <w:t xml:space="preserve">and Small Pelagic Fishery </w:t>
                            </w:r>
                            <w:r w:rsidR="00AA451F">
                              <w:rPr>
                                <w:b/>
                                <w:iCs/>
                                <w:color w:val="000000"/>
                              </w:rPr>
                              <w:t>(Closures</w:t>
                            </w:r>
                            <w:r w:rsidR="00F400F3">
                              <w:rPr>
                                <w:b/>
                                <w:iCs/>
                                <w:color w:val="000000"/>
                              </w:rPr>
                              <w:t xml:space="preserve"> Variation</w:t>
                            </w:r>
                            <w:r>
                              <w:rPr>
                                <w:b/>
                                <w:iCs/>
                                <w:color w:val="000000"/>
                              </w:rPr>
                              <w:t>) Direction 201</w:t>
                            </w:r>
                            <w:r w:rsidR="00651BCA">
                              <w:rPr>
                                <w:b/>
                                <w:iCs/>
                                <w:color w:val="000000"/>
                              </w:rPr>
                              <w:t>8</w:t>
                            </w:r>
                          </w:p>
                          <w:p w14:paraId="5F690907" w14:textId="77777777" w:rsidR="00AA451F" w:rsidRDefault="00AA451F" w:rsidP="00AA451F">
                            <w:pPr>
                              <w:spacing w:before="120" w:after="120"/>
                              <w:jc w:val="center"/>
                            </w:pPr>
                          </w:p>
                          <w:p w14:paraId="5B8C4AED" w14:textId="77777777" w:rsidR="00AA451F" w:rsidRPr="00E4135E" w:rsidRDefault="00AA451F" w:rsidP="00AA451F">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302349D4" w14:textId="77777777" w:rsidR="00AA451F" w:rsidRPr="00E4135E" w:rsidRDefault="00AA451F" w:rsidP="00AA451F">
                            <w:pPr>
                              <w:spacing w:before="120" w:after="120"/>
                              <w:jc w:val="center"/>
                            </w:pPr>
                          </w:p>
                          <w:p w14:paraId="54D41ACA" w14:textId="77777777" w:rsidR="00AA451F" w:rsidRPr="00E4135E" w:rsidRDefault="00AA451F" w:rsidP="00AA451F">
                            <w:pPr>
                              <w:spacing w:before="120" w:after="120"/>
                              <w:rPr>
                                <w:b/>
                              </w:rPr>
                            </w:pPr>
                            <w:r w:rsidRPr="00E4135E">
                              <w:rPr>
                                <w:b/>
                              </w:rPr>
                              <w:t>Overview of the Legislative Instrument</w:t>
                            </w:r>
                          </w:p>
                          <w:p w14:paraId="681489E0" w14:textId="4DCADA7B" w:rsidR="00AA451F" w:rsidRDefault="00AA451F" w:rsidP="0013538A">
                            <w:pPr>
                              <w:spacing w:before="0" w:after="200"/>
                              <w:ind w:right="-1"/>
                              <w:rPr>
                                <w:color w:val="000000"/>
                                <w:sz w:val="22"/>
                                <w:szCs w:val="22"/>
                                <w:shd w:val="clear" w:color="auto" w:fill="FFFFFF"/>
                              </w:rPr>
                            </w:pPr>
                            <w:r>
                              <w:rPr>
                                <w:color w:val="000000"/>
                                <w:sz w:val="22"/>
                                <w:szCs w:val="22"/>
                                <w:shd w:val="clear" w:color="auto" w:fill="FFFFFF"/>
                              </w:rPr>
                              <w:t xml:space="preserve">Subsection 41A(3) of the </w:t>
                            </w:r>
                            <w:r w:rsidR="00800432">
                              <w:rPr>
                                <w:i/>
                                <w:color w:val="000000"/>
                                <w:sz w:val="22"/>
                                <w:szCs w:val="22"/>
                                <w:shd w:val="clear" w:color="auto" w:fill="FFFFFF"/>
                              </w:rPr>
                              <w:t xml:space="preserve">Fisheries </w:t>
                            </w:r>
                            <w:r w:rsidRPr="00741247">
                              <w:rPr>
                                <w:i/>
                                <w:color w:val="000000"/>
                                <w:sz w:val="22"/>
                                <w:szCs w:val="22"/>
                                <w:shd w:val="clear" w:color="auto" w:fill="FFFFFF"/>
                              </w:rPr>
                              <w:t>Management Act</w:t>
                            </w:r>
                            <w:r w:rsidR="00800432">
                              <w:rPr>
                                <w:i/>
                                <w:color w:val="000000"/>
                                <w:sz w:val="22"/>
                                <w:szCs w:val="22"/>
                                <w:shd w:val="clear" w:color="auto" w:fill="FFFFFF"/>
                              </w:rPr>
                              <w:t xml:space="preserve"> 1991 </w:t>
                            </w:r>
                            <w:r w:rsidR="00800432">
                              <w:rPr>
                                <w:color w:val="000000"/>
                                <w:sz w:val="22"/>
                                <w:szCs w:val="22"/>
                                <w:shd w:val="clear" w:color="auto" w:fill="FFFFFF"/>
                              </w:rPr>
                              <w:t>(Management Act)</w:t>
                            </w:r>
                            <w:r>
                              <w:rPr>
                                <w:color w:val="000000"/>
                                <w:sz w:val="22"/>
                                <w:szCs w:val="22"/>
                                <w:shd w:val="clear" w:color="auto" w:fill="FFFFFF"/>
                              </w:rPr>
                              <w:t xml:space="preserve"> provides that AFMA may, at any time, by a further direction in writing, vary or revoke a direction given under subsection </w:t>
                            </w:r>
                            <w:r w:rsidR="00800432">
                              <w:rPr>
                                <w:color w:val="000000"/>
                                <w:sz w:val="22"/>
                                <w:szCs w:val="22"/>
                                <w:shd w:val="clear" w:color="auto" w:fill="FFFFFF"/>
                              </w:rPr>
                              <w:t>41A</w:t>
                            </w:r>
                            <w:r>
                              <w:rPr>
                                <w:color w:val="000000"/>
                                <w:sz w:val="22"/>
                                <w:szCs w:val="22"/>
                                <w:shd w:val="clear" w:color="auto" w:fill="FFFFFF"/>
                              </w:rPr>
                              <w:t xml:space="preserve">(2).  </w:t>
                            </w:r>
                          </w:p>
                          <w:p w14:paraId="76FA560D" w14:textId="7A2C6EAE" w:rsidR="00800E67" w:rsidRDefault="00800E67" w:rsidP="0013538A">
                            <w:pPr>
                              <w:shd w:val="clear" w:color="auto" w:fill="FFFFFF"/>
                              <w:spacing w:before="0" w:after="200"/>
                              <w:rPr>
                                <w:color w:val="000000"/>
                                <w:sz w:val="22"/>
                                <w:szCs w:val="22"/>
                              </w:rPr>
                            </w:pPr>
                            <w:r>
                              <w:rPr>
                                <w:color w:val="000000"/>
                                <w:sz w:val="22"/>
                                <w:szCs w:val="22"/>
                              </w:rPr>
                              <w:t xml:space="preserve">The </w:t>
                            </w:r>
                            <w:r>
                              <w:rPr>
                                <w:i/>
                                <w:color w:val="000000"/>
                                <w:sz w:val="22"/>
                                <w:szCs w:val="22"/>
                              </w:rPr>
                              <w:t>Southern and Eastern Scalefish and Shark</w:t>
                            </w:r>
                            <w:r w:rsidRPr="008C1CBF">
                              <w:rPr>
                                <w:i/>
                                <w:color w:val="000000"/>
                                <w:sz w:val="22"/>
                                <w:szCs w:val="22"/>
                              </w:rPr>
                              <w:t xml:space="preserve"> Fishery </w:t>
                            </w:r>
                            <w:r w:rsidR="00A81B7C">
                              <w:rPr>
                                <w:i/>
                                <w:color w:val="000000"/>
                                <w:sz w:val="22"/>
                                <w:szCs w:val="22"/>
                              </w:rPr>
                              <w:t xml:space="preserve">and Small Pelagic Fishery </w:t>
                            </w:r>
                            <w:r w:rsidRPr="008C1CBF">
                              <w:rPr>
                                <w:i/>
                                <w:color w:val="000000"/>
                                <w:sz w:val="22"/>
                                <w:szCs w:val="22"/>
                              </w:rPr>
                              <w:t>(Closures</w:t>
                            </w:r>
                            <w:r w:rsidR="00F400F3">
                              <w:rPr>
                                <w:i/>
                                <w:color w:val="000000"/>
                                <w:sz w:val="22"/>
                                <w:szCs w:val="22"/>
                              </w:rPr>
                              <w:t xml:space="preserve"> Variation</w:t>
                            </w:r>
                            <w:r w:rsidRPr="008C1CBF">
                              <w:rPr>
                                <w:i/>
                                <w:color w:val="000000"/>
                                <w:sz w:val="22"/>
                                <w:szCs w:val="22"/>
                              </w:rPr>
                              <w:t>) Direction</w:t>
                            </w:r>
                            <w:r>
                              <w:rPr>
                                <w:i/>
                                <w:color w:val="000000"/>
                                <w:sz w:val="22"/>
                                <w:szCs w:val="22"/>
                              </w:rPr>
                              <w:t xml:space="preserve"> 201</w:t>
                            </w:r>
                            <w:r w:rsidR="00651BCA">
                              <w:rPr>
                                <w:i/>
                                <w:color w:val="000000"/>
                                <w:sz w:val="22"/>
                                <w:szCs w:val="22"/>
                              </w:rPr>
                              <w:t>8</w:t>
                            </w:r>
                            <w:r w:rsidRPr="00082850">
                              <w:rPr>
                                <w:i/>
                                <w:color w:val="000000"/>
                                <w:sz w:val="22"/>
                              </w:rPr>
                              <w:t xml:space="preserve"> </w:t>
                            </w:r>
                            <w:r>
                              <w:rPr>
                                <w:color w:val="000000"/>
                                <w:sz w:val="22"/>
                                <w:szCs w:val="22"/>
                              </w:rPr>
                              <w:t xml:space="preserve">(the </w:t>
                            </w:r>
                            <w:r w:rsidR="00800432">
                              <w:rPr>
                                <w:color w:val="000000"/>
                                <w:sz w:val="22"/>
                                <w:szCs w:val="22"/>
                              </w:rPr>
                              <w:t xml:space="preserve">Variation </w:t>
                            </w:r>
                            <w:r>
                              <w:rPr>
                                <w:color w:val="000000"/>
                                <w:sz w:val="22"/>
                                <w:szCs w:val="22"/>
                              </w:rPr>
                              <w:t>Direction)</w:t>
                            </w:r>
                            <w:r w:rsidRPr="00222E4C">
                              <w:rPr>
                                <w:color w:val="000000"/>
                                <w:sz w:val="22"/>
                                <w:szCs w:val="22"/>
                              </w:rPr>
                              <w:t xml:space="preserve"> is a legislative instrument for the purposes of the </w:t>
                            </w:r>
                            <w:r>
                              <w:rPr>
                                <w:i/>
                                <w:iCs/>
                                <w:color w:val="000000"/>
                                <w:sz w:val="22"/>
                                <w:szCs w:val="22"/>
                              </w:rPr>
                              <w:t>Legislation</w:t>
                            </w:r>
                            <w:r w:rsidRPr="00222E4C">
                              <w:rPr>
                                <w:i/>
                                <w:iCs/>
                                <w:color w:val="000000"/>
                                <w:sz w:val="22"/>
                                <w:szCs w:val="22"/>
                              </w:rPr>
                              <w:t xml:space="preserve"> Act 2003</w:t>
                            </w:r>
                            <w:r w:rsidRPr="00222E4C">
                              <w:rPr>
                                <w:color w:val="000000"/>
                                <w:sz w:val="22"/>
                                <w:szCs w:val="22"/>
                              </w:rPr>
                              <w:t>.</w:t>
                            </w:r>
                          </w:p>
                          <w:p w14:paraId="7CC41E57" w14:textId="14A50EA5" w:rsidR="0023752A" w:rsidRPr="00741247" w:rsidRDefault="00800E67" w:rsidP="0013538A">
                            <w:pPr>
                              <w:spacing w:before="0" w:after="200"/>
                              <w:jc w:val="left"/>
                              <w:rPr>
                                <w:kern w:val="20"/>
                                <w:sz w:val="22"/>
                                <w:szCs w:val="22"/>
                                <w:lang w:eastAsia="en-US"/>
                              </w:rPr>
                            </w:pPr>
                            <w:r>
                              <w:rPr>
                                <w:kern w:val="20"/>
                                <w:sz w:val="22"/>
                                <w:szCs w:val="22"/>
                                <w:lang w:eastAsia="en-US"/>
                              </w:rPr>
                              <w:t xml:space="preserve">The </w:t>
                            </w:r>
                            <w:r w:rsidR="00800432">
                              <w:rPr>
                                <w:kern w:val="20"/>
                                <w:sz w:val="22"/>
                                <w:szCs w:val="22"/>
                                <w:lang w:eastAsia="en-US"/>
                              </w:rPr>
                              <w:t xml:space="preserve">Variation </w:t>
                            </w:r>
                            <w:r>
                              <w:rPr>
                                <w:kern w:val="20"/>
                                <w:sz w:val="22"/>
                                <w:szCs w:val="22"/>
                                <w:lang w:eastAsia="en-US"/>
                              </w:rPr>
                              <w:t>Direction</w:t>
                            </w:r>
                            <w:r w:rsidR="00800432">
                              <w:rPr>
                                <w:kern w:val="20"/>
                                <w:sz w:val="22"/>
                                <w:szCs w:val="22"/>
                                <w:lang w:eastAsia="en-US"/>
                              </w:rPr>
                              <w:t xml:space="preserve"> amends the </w:t>
                            </w:r>
                            <w:r w:rsidR="00800432">
                              <w:rPr>
                                <w:i/>
                                <w:kern w:val="20"/>
                                <w:sz w:val="22"/>
                                <w:szCs w:val="22"/>
                                <w:lang w:eastAsia="en-US"/>
                              </w:rPr>
                              <w:t xml:space="preserve">Southern and Eastern Scalefish and Shark Fishery and Small Pelagic Fishery (Closures) Direction 2016 </w:t>
                            </w:r>
                            <w:r w:rsidR="00800432">
                              <w:rPr>
                                <w:kern w:val="20"/>
                                <w:sz w:val="22"/>
                                <w:szCs w:val="22"/>
                                <w:lang w:eastAsia="en-US"/>
                              </w:rPr>
                              <w:t>(the Original Direction), made under subsection 41A(2) of the Management Act,</w:t>
                            </w:r>
                            <w:r>
                              <w:rPr>
                                <w:kern w:val="20"/>
                                <w:sz w:val="22"/>
                                <w:szCs w:val="22"/>
                                <w:lang w:eastAsia="en-US"/>
                              </w:rPr>
                              <w:t xml:space="preserve"> </w:t>
                            </w:r>
                            <w:r w:rsidR="00800432">
                              <w:rPr>
                                <w:kern w:val="20"/>
                                <w:sz w:val="22"/>
                                <w:szCs w:val="22"/>
                                <w:lang w:eastAsia="en-US"/>
                              </w:rPr>
                              <w:t xml:space="preserve">to </w:t>
                            </w:r>
                            <w:r w:rsidRPr="00AA451F">
                              <w:rPr>
                                <w:kern w:val="20"/>
                                <w:sz w:val="22"/>
                                <w:szCs w:val="22"/>
                                <w:lang w:eastAsia="en-US"/>
                              </w:rPr>
                              <w:t xml:space="preserve">continue </w:t>
                            </w:r>
                            <w:r w:rsidR="00166529">
                              <w:rPr>
                                <w:kern w:val="20"/>
                                <w:sz w:val="22"/>
                                <w:szCs w:val="22"/>
                                <w:lang w:eastAsia="en-US"/>
                              </w:rPr>
                              <w:t>to prohibit fishing in the areas of waters as described in the Schedules to the Direction</w:t>
                            </w:r>
                            <w:r w:rsidR="0023752A">
                              <w:rPr>
                                <w:kern w:val="20"/>
                                <w:sz w:val="22"/>
                                <w:szCs w:val="22"/>
                                <w:lang w:eastAsia="en-US"/>
                              </w:rPr>
                              <w:t xml:space="preserve"> to provide protection </w:t>
                            </w:r>
                            <w:r w:rsidR="0023752A" w:rsidRPr="00916FDD">
                              <w:rPr>
                                <w:sz w:val="22"/>
                                <w:szCs w:val="22"/>
                                <w:lang w:eastAsia="en-US"/>
                              </w:rPr>
                              <w:t xml:space="preserve">to various species and their habitat including </w:t>
                            </w:r>
                            <w:r w:rsidR="00800432">
                              <w:rPr>
                                <w:sz w:val="22"/>
                                <w:szCs w:val="22"/>
                                <w:lang w:eastAsia="en-US"/>
                              </w:rPr>
                              <w:t>U</w:t>
                            </w:r>
                            <w:r w:rsidR="0023752A" w:rsidRPr="00916FDD">
                              <w:rPr>
                                <w:sz w:val="22"/>
                                <w:szCs w:val="22"/>
                                <w:lang w:eastAsia="en-US"/>
                              </w:rPr>
                              <w:t>pper</w:t>
                            </w:r>
                            <w:r w:rsidR="00800432">
                              <w:rPr>
                                <w:sz w:val="22"/>
                                <w:szCs w:val="22"/>
                                <w:lang w:eastAsia="en-US"/>
                              </w:rPr>
                              <w:t>-S</w:t>
                            </w:r>
                            <w:r w:rsidR="0023752A" w:rsidRPr="00916FDD">
                              <w:rPr>
                                <w:sz w:val="22"/>
                                <w:szCs w:val="22"/>
                                <w:lang w:eastAsia="en-US"/>
                              </w:rPr>
                              <w:t xml:space="preserve">lope </w:t>
                            </w:r>
                            <w:r w:rsidR="00800432">
                              <w:rPr>
                                <w:sz w:val="22"/>
                                <w:szCs w:val="22"/>
                                <w:lang w:eastAsia="en-US"/>
                              </w:rPr>
                              <w:t>D</w:t>
                            </w:r>
                            <w:r w:rsidR="0023752A" w:rsidRPr="00916FDD">
                              <w:rPr>
                                <w:sz w:val="22"/>
                                <w:szCs w:val="22"/>
                                <w:lang w:eastAsia="en-US"/>
                              </w:rPr>
                              <w:t xml:space="preserve">ogfish and </w:t>
                            </w:r>
                            <w:r w:rsidR="00800432">
                              <w:rPr>
                                <w:sz w:val="22"/>
                                <w:szCs w:val="22"/>
                                <w:lang w:eastAsia="en-US"/>
                              </w:rPr>
                              <w:t>O</w:t>
                            </w:r>
                            <w:r w:rsidR="0023752A" w:rsidRPr="00916FDD">
                              <w:rPr>
                                <w:sz w:val="22"/>
                                <w:szCs w:val="22"/>
                                <w:lang w:eastAsia="en-US"/>
                              </w:rPr>
                              <w:t xml:space="preserve">range </w:t>
                            </w:r>
                            <w:r w:rsidR="00800432">
                              <w:rPr>
                                <w:sz w:val="22"/>
                                <w:szCs w:val="22"/>
                                <w:lang w:eastAsia="en-US"/>
                              </w:rPr>
                              <w:t>R</w:t>
                            </w:r>
                            <w:r w:rsidR="0023752A" w:rsidRPr="00916FDD">
                              <w:rPr>
                                <w:sz w:val="22"/>
                                <w:szCs w:val="22"/>
                                <w:lang w:eastAsia="en-US"/>
                              </w:rPr>
                              <w:t xml:space="preserve">oughy. </w:t>
                            </w:r>
                            <w:r w:rsidR="00800432">
                              <w:rPr>
                                <w:sz w:val="22"/>
                                <w:szCs w:val="22"/>
                                <w:lang w:eastAsia="en-US"/>
                              </w:rPr>
                              <w:t xml:space="preserve"> Two other Directions made under subsection 41A(2) of the Management Act are revoked.  </w:t>
                            </w:r>
                          </w:p>
                          <w:p w14:paraId="719D3B04" w14:textId="5AFD7245" w:rsidR="00AA451F" w:rsidRDefault="00967EDD" w:rsidP="0013538A">
                            <w:pPr>
                              <w:spacing w:before="0" w:after="200"/>
                              <w:rPr>
                                <w:color w:val="000000"/>
                                <w:sz w:val="22"/>
                                <w:szCs w:val="22"/>
                                <w:shd w:val="clear" w:color="auto" w:fill="FFFFFF"/>
                              </w:rPr>
                            </w:pPr>
                            <w:r>
                              <w:rPr>
                                <w:color w:val="000000"/>
                                <w:sz w:val="22"/>
                                <w:szCs w:val="22"/>
                                <w:shd w:val="clear" w:color="auto" w:fill="FFFFFF"/>
                              </w:rPr>
                              <w:t xml:space="preserve">All other aspects of the </w:t>
                            </w:r>
                            <w:r w:rsidR="00800432">
                              <w:rPr>
                                <w:color w:val="000000"/>
                                <w:sz w:val="22"/>
                                <w:szCs w:val="22"/>
                                <w:shd w:val="clear" w:color="auto" w:fill="FFFFFF"/>
                              </w:rPr>
                              <w:t xml:space="preserve">Original </w:t>
                            </w:r>
                            <w:r>
                              <w:rPr>
                                <w:color w:val="000000"/>
                                <w:sz w:val="22"/>
                                <w:szCs w:val="22"/>
                                <w:shd w:val="clear" w:color="auto" w:fill="FFFFFF"/>
                              </w:rPr>
                              <w:t>D</w:t>
                            </w:r>
                            <w:r w:rsidR="00AA451F" w:rsidRPr="008C1CBF">
                              <w:rPr>
                                <w:color w:val="000000"/>
                                <w:sz w:val="22"/>
                                <w:szCs w:val="22"/>
                                <w:shd w:val="clear" w:color="auto" w:fill="FFFFFF"/>
                              </w:rPr>
                              <w:t>irection continue in their original terms.</w:t>
                            </w:r>
                            <w:r w:rsidR="00AA451F" w:rsidRPr="00AC1873">
                              <w:rPr>
                                <w:color w:val="000000"/>
                                <w:sz w:val="22"/>
                                <w:szCs w:val="22"/>
                                <w:shd w:val="clear" w:color="auto" w:fill="FFFFFF"/>
                              </w:rPr>
                              <w:t xml:space="preserve">  </w:t>
                            </w:r>
                          </w:p>
                          <w:p w14:paraId="37EDEFB5" w14:textId="77777777" w:rsidR="00800E67" w:rsidRDefault="00800E67" w:rsidP="00800E67">
                            <w:pPr>
                              <w:spacing w:before="120" w:after="120"/>
                              <w:rPr>
                                <w:b/>
                              </w:rPr>
                            </w:pPr>
                          </w:p>
                          <w:p w14:paraId="3E11B1EB" w14:textId="77777777" w:rsidR="00AA451F" w:rsidRPr="00E4135E" w:rsidRDefault="00AA451F" w:rsidP="00AA451F">
                            <w:pPr>
                              <w:spacing w:before="120" w:after="120"/>
                              <w:rPr>
                                <w:b/>
                              </w:rPr>
                            </w:pPr>
                            <w:r w:rsidRPr="00E4135E">
                              <w:rPr>
                                <w:b/>
                              </w:rPr>
                              <w:t>Human rights implications</w:t>
                            </w:r>
                          </w:p>
                          <w:p w14:paraId="47E362EE" w14:textId="77777777" w:rsidR="00AA451F" w:rsidRPr="001034AB" w:rsidRDefault="00AA451F" w:rsidP="00AA451F">
                            <w:pPr>
                              <w:spacing w:before="120" w:after="120"/>
                              <w:rPr>
                                <w:sz w:val="22"/>
                                <w:szCs w:val="22"/>
                              </w:rPr>
                            </w:pPr>
                            <w:r w:rsidRPr="001034AB">
                              <w:rPr>
                                <w:sz w:val="22"/>
                                <w:szCs w:val="22"/>
                              </w:rPr>
                              <w:t>This Legislative Instrument does not engage any of the applicable rights or freedoms.</w:t>
                            </w:r>
                          </w:p>
                          <w:p w14:paraId="79572723" w14:textId="77777777" w:rsidR="00AA451F" w:rsidRPr="00E4135E" w:rsidRDefault="00AA451F" w:rsidP="00AA451F">
                            <w:pPr>
                              <w:spacing w:before="120" w:after="120"/>
                            </w:pPr>
                          </w:p>
                          <w:p w14:paraId="1F857263" w14:textId="77777777" w:rsidR="00AA451F" w:rsidRDefault="00AA451F" w:rsidP="00AA451F">
                            <w:pPr>
                              <w:spacing w:before="120" w:after="120"/>
                              <w:rPr>
                                <w:b/>
                              </w:rPr>
                            </w:pPr>
                            <w:r w:rsidRPr="00E4135E">
                              <w:rPr>
                                <w:b/>
                              </w:rPr>
                              <w:t>Conclusion</w:t>
                            </w:r>
                          </w:p>
                          <w:p w14:paraId="5D81FF6D" w14:textId="77777777" w:rsidR="00AA451F" w:rsidRDefault="00AA451F" w:rsidP="00AA451F">
                            <w:pPr>
                              <w:autoSpaceDE w:val="0"/>
                              <w:autoSpaceDN w:val="0"/>
                              <w:adjustRightInd w:val="0"/>
                              <w:rPr>
                                <w:color w:val="000000"/>
                                <w:sz w:val="22"/>
                                <w:szCs w:val="22"/>
                              </w:rPr>
                            </w:pPr>
                            <w:r w:rsidRPr="001034AB">
                              <w:rPr>
                                <w:sz w:val="22"/>
                                <w:szCs w:val="22"/>
                              </w:rPr>
                              <w:t>This Legislative Instrument is compatible with human rights as it does not raise any human rights issues.  AFMA is satisfied that the instrument is consistent with AFMA’s obligation to pu</w:t>
                            </w:r>
                            <w:r w:rsidR="002C4103">
                              <w:rPr>
                                <w:sz w:val="22"/>
                                <w:szCs w:val="22"/>
                              </w:rPr>
                              <w:t>rsue its statutory objectives</w:t>
                            </w:r>
                            <w:r w:rsidR="00397A21">
                              <w:rPr>
                                <w:sz w:val="22"/>
                                <w:szCs w:val="22"/>
                              </w:rPr>
                              <w:t>.</w:t>
                            </w:r>
                            <w:r w:rsidR="00166529" w:rsidRPr="001034AB">
                              <w:rPr>
                                <w:sz w:val="22"/>
                                <w:szCs w:val="22"/>
                              </w:rPr>
                              <w:t xml:space="preserve">  </w:t>
                            </w:r>
                          </w:p>
                          <w:p w14:paraId="23851FFE" w14:textId="77777777" w:rsidR="00AA451F" w:rsidRPr="00E4135E" w:rsidRDefault="00AA451F" w:rsidP="00AA451F">
                            <w:pPr>
                              <w:spacing w:before="120" w:after="120"/>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C4E2" id="Rectangle 1" o:spid="_x0000_s1026" style="position:absolute;left:0;text-align:left;margin-left:-2.7pt;margin-top:-.35pt;width:480.3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vhKQIAAFYEAAAOAAAAZHJzL2Uyb0RvYy54bWysVFFv0zAQfkfiP1h+p0mrreuiptPUUYQ0&#10;YGLwAxzHSSxsnzm7Tcev5+K0pQWeEHmwfPb5u7vvu8vybm8N2ykMGlzJp5OcM+Uk1Nq1Jf/6ZfNm&#10;wVmIwtXCgFMlf1GB361ev1r2vlAz6MDUChmBuFD0vuRdjL7IsiA7ZUWYgFeOLhtAKyKZ2GY1ip7Q&#10;rclmeT7PesDaI0gVAp0+jJd8lfCbRsn4qWmCisyUnHKLacW0VsOarZaiaFH4TstDGuIfsrBCOwp6&#10;gnoQUbAt6j+grJYIAZo4kWAzaBotVaqBqpnmv1Xz3AmvUi1ETvAnmsL/g5Ufd0/IdE3aceaEJYk+&#10;E2nCtUax6UBP70NBXs/+CYcCg38E+S0wB+uOvNQ9IvSdEjUllfyziweDEegpq/oPUBO62EZITO0b&#10;tAMgccD2SZCXkyBqH5mkw3l+e7uYkm6S7hZX1wuSfMgpE8XxuccQ3ymwbNiUHCn5BC92jyGOrkeX&#10;lD4YXW+0McnAtlobZDtB3bFJ3wE9nLsZx/qS38yH4ExaT2RF1CnKhV84h8vT9zc4qyO1vNGWSjo5&#10;iWLg8K2rU0NGoc24p0qNo4KPPI56xH21P0hTQf1C9CKMrU2jSJsO8AdnPbV1ycP3rUDFmXnvBolS&#10;SBqEZF1d38yoJry4qs6vhJMERgVzNm7XcZyerUfddhRrmohwcE/CNjpRPiQ75nXInJo3iXYYtGE6&#10;zu3k9et3sPoJAAD//wMAUEsDBBQABgAIAAAAIQAIkI7s4AAAAAkBAAAPAAAAZHJzL2Rvd25yZXYu&#10;eG1sTI/BSsNAEIbvgu+wjOCt3bTbtBqzKVKUQqEHq+B1kx2TYHY2ZLdN+vaOJz0Nw//xzzf5dnKd&#10;uOAQWk8aFvMEBFLlbUu1ho/319kDiBANWdN5Qg1XDLAtbm9yk1k/0hteTrEWXEIhMxqaGPtMylA1&#10;6EyY+x6Jsy8/OBN5HWppBzNyuevkMknW0pmW+EJjetw1WH2fzk7DeFC766c67l826ars13J/mAal&#10;9f3d9PwEIuIU/2D41Wd1KNip9GeyQXQaZumKSZ4bEBw/pukSRMmcUgsFssjl/w+KHwAAAP//AwBQ&#10;SwECLQAUAAYACAAAACEAtoM4kv4AAADhAQAAEwAAAAAAAAAAAAAAAAAAAAAAW0NvbnRlbnRfVHlw&#10;ZXNdLnhtbFBLAQItABQABgAIAAAAIQA4/SH/1gAAAJQBAAALAAAAAAAAAAAAAAAAAC8BAABfcmVs&#10;cy8ucmVsc1BLAQItABQABgAIAAAAIQDlhxvhKQIAAFYEAAAOAAAAAAAAAAAAAAAAAC4CAABkcnMv&#10;ZTJvRG9jLnhtbFBLAQItABQABgAIAAAAIQAIkI7s4AAAAAkBAAAPAAAAAAAAAAAAAAAAAIMEAABk&#10;cnMvZG93bnJldi54bWxQSwUGAAAAAAQABADzAAAAkAUAAAAA&#10;" strokeweight="6pt">
                <v:stroke linestyle="thickBetweenThin"/>
                <v:textbox inset="5mm,,5mm">
                  <w:txbxContent>
                    <w:p w14:paraId="7D1B2B2C" w14:textId="77777777" w:rsidR="00AA451F" w:rsidRPr="00E4135E" w:rsidRDefault="00AA451F" w:rsidP="00AA451F">
                      <w:pPr>
                        <w:spacing w:before="360" w:after="120"/>
                        <w:jc w:val="center"/>
                        <w:rPr>
                          <w:b/>
                          <w:sz w:val="28"/>
                          <w:szCs w:val="28"/>
                        </w:rPr>
                      </w:pPr>
                      <w:r w:rsidRPr="00E4135E">
                        <w:rPr>
                          <w:b/>
                          <w:sz w:val="28"/>
                          <w:szCs w:val="28"/>
                        </w:rPr>
                        <w:t>Statement of Compatibility with Human Rights</w:t>
                      </w:r>
                    </w:p>
                    <w:p w14:paraId="16542EDF" w14:textId="77777777" w:rsidR="00AA451F" w:rsidRPr="00E4135E" w:rsidRDefault="00AA451F" w:rsidP="00AA451F">
                      <w:pPr>
                        <w:spacing w:before="120" w:after="120"/>
                        <w:jc w:val="center"/>
                      </w:pPr>
                      <w:r w:rsidRPr="00E4135E">
                        <w:rPr>
                          <w:i/>
                        </w:rPr>
                        <w:t>Prepared in accordance with Part 3 of the Human Rights (Parliamentary Scrutiny) Act 2011</w:t>
                      </w:r>
                    </w:p>
                    <w:p w14:paraId="3696EC77" w14:textId="77777777" w:rsidR="00AA451F" w:rsidRPr="00E4135E" w:rsidRDefault="00AA451F" w:rsidP="00AA451F">
                      <w:pPr>
                        <w:spacing w:before="120" w:after="120"/>
                        <w:ind w:left="-2552"/>
                        <w:jc w:val="center"/>
                      </w:pPr>
                    </w:p>
                    <w:p w14:paraId="56FA67B2" w14:textId="2CFD1EAE" w:rsidR="00AA451F" w:rsidRPr="007C2D22" w:rsidRDefault="00800E67" w:rsidP="00AA451F">
                      <w:pPr>
                        <w:autoSpaceDE w:val="0"/>
                        <w:autoSpaceDN w:val="0"/>
                        <w:adjustRightInd w:val="0"/>
                        <w:ind w:left="360"/>
                        <w:jc w:val="center"/>
                        <w:rPr>
                          <w:b/>
                          <w:color w:val="000000"/>
                        </w:rPr>
                      </w:pPr>
                      <w:r>
                        <w:rPr>
                          <w:b/>
                          <w:iCs/>
                          <w:color w:val="000000"/>
                        </w:rPr>
                        <w:t>Southern and Eastern Scalefish and Shark</w:t>
                      </w:r>
                      <w:r w:rsidR="00AA451F">
                        <w:rPr>
                          <w:b/>
                          <w:iCs/>
                          <w:color w:val="000000"/>
                        </w:rPr>
                        <w:t xml:space="preserve"> Fishery </w:t>
                      </w:r>
                      <w:r w:rsidR="00A81B7C">
                        <w:rPr>
                          <w:b/>
                          <w:iCs/>
                          <w:color w:val="000000"/>
                        </w:rPr>
                        <w:t xml:space="preserve">and Small Pelagic Fishery </w:t>
                      </w:r>
                      <w:r w:rsidR="00AA451F">
                        <w:rPr>
                          <w:b/>
                          <w:iCs/>
                          <w:color w:val="000000"/>
                        </w:rPr>
                        <w:t>(Closures</w:t>
                      </w:r>
                      <w:r w:rsidR="00F400F3">
                        <w:rPr>
                          <w:b/>
                          <w:iCs/>
                          <w:color w:val="000000"/>
                        </w:rPr>
                        <w:t xml:space="preserve"> Variation</w:t>
                      </w:r>
                      <w:r>
                        <w:rPr>
                          <w:b/>
                          <w:iCs/>
                          <w:color w:val="000000"/>
                        </w:rPr>
                        <w:t>) Direction 201</w:t>
                      </w:r>
                      <w:r w:rsidR="00651BCA">
                        <w:rPr>
                          <w:b/>
                          <w:iCs/>
                          <w:color w:val="000000"/>
                        </w:rPr>
                        <w:t>8</w:t>
                      </w:r>
                    </w:p>
                    <w:p w14:paraId="5F690907" w14:textId="77777777" w:rsidR="00AA451F" w:rsidRDefault="00AA451F" w:rsidP="00AA451F">
                      <w:pPr>
                        <w:spacing w:before="120" w:after="120"/>
                        <w:jc w:val="center"/>
                      </w:pPr>
                    </w:p>
                    <w:p w14:paraId="5B8C4AED" w14:textId="77777777" w:rsidR="00AA451F" w:rsidRPr="00E4135E" w:rsidRDefault="00AA451F" w:rsidP="00AA451F">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302349D4" w14:textId="77777777" w:rsidR="00AA451F" w:rsidRPr="00E4135E" w:rsidRDefault="00AA451F" w:rsidP="00AA451F">
                      <w:pPr>
                        <w:spacing w:before="120" w:after="120"/>
                        <w:jc w:val="center"/>
                      </w:pPr>
                    </w:p>
                    <w:p w14:paraId="54D41ACA" w14:textId="77777777" w:rsidR="00AA451F" w:rsidRPr="00E4135E" w:rsidRDefault="00AA451F" w:rsidP="00AA451F">
                      <w:pPr>
                        <w:spacing w:before="120" w:after="120"/>
                        <w:rPr>
                          <w:b/>
                        </w:rPr>
                      </w:pPr>
                      <w:r w:rsidRPr="00E4135E">
                        <w:rPr>
                          <w:b/>
                        </w:rPr>
                        <w:t>Overview of the Legislative Instrument</w:t>
                      </w:r>
                    </w:p>
                    <w:p w14:paraId="681489E0" w14:textId="4DCADA7B" w:rsidR="00AA451F" w:rsidRDefault="00AA451F" w:rsidP="0013538A">
                      <w:pPr>
                        <w:spacing w:before="0" w:after="200"/>
                        <w:ind w:right="-1"/>
                        <w:rPr>
                          <w:color w:val="000000"/>
                          <w:sz w:val="22"/>
                          <w:szCs w:val="22"/>
                          <w:shd w:val="clear" w:color="auto" w:fill="FFFFFF"/>
                        </w:rPr>
                      </w:pPr>
                      <w:r>
                        <w:rPr>
                          <w:color w:val="000000"/>
                          <w:sz w:val="22"/>
                          <w:szCs w:val="22"/>
                          <w:shd w:val="clear" w:color="auto" w:fill="FFFFFF"/>
                        </w:rPr>
                        <w:t xml:space="preserve">Subsection 41A(3) of the </w:t>
                      </w:r>
                      <w:r w:rsidR="00800432">
                        <w:rPr>
                          <w:i/>
                          <w:color w:val="000000"/>
                          <w:sz w:val="22"/>
                          <w:szCs w:val="22"/>
                          <w:shd w:val="clear" w:color="auto" w:fill="FFFFFF"/>
                        </w:rPr>
                        <w:t xml:space="preserve">Fisheries </w:t>
                      </w:r>
                      <w:r w:rsidRPr="00741247">
                        <w:rPr>
                          <w:i/>
                          <w:color w:val="000000"/>
                          <w:sz w:val="22"/>
                          <w:szCs w:val="22"/>
                          <w:shd w:val="clear" w:color="auto" w:fill="FFFFFF"/>
                        </w:rPr>
                        <w:t>Management Act</w:t>
                      </w:r>
                      <w:r w:rsidR="00800432">
                        <w:rPr>
                          <w:i/>
                          <w:color w:val="000000"/>
                          <w:sz w:val="22"/>
                          <w:szCs w:val="22"/>
                          <w:shd w:val="clear" w:color="auto" w:fill="FFFFFF"/>
                        </w:rPr>
                        <w:t xml:space="preserve"> 1991 </w:t>
                      </w:r>
                      <w:r w:rsidR="00800432">
                        <w:rPr>
                          <w:color w:val="000000"/>
                          <w:sz w:val="22"/>
                          <w:szCs w:val="22"/>
                          <w:shd w:val="clear" w:color="auto" w:fill="FFFFFF"/>
                        </w:rPr>
                        <w:t>(Management Act)</w:t>
                      </w:r>
                      <w:r>
                        <w:rPr>
                          <w:color w:val="000000"/>
                          <w:sz w:val="22"/>
                          <w:szCs w:val="22"/>
                          <w:shd w:val="clear" w:color="auto" w:fill="FFFFFF"/>
                        </w:rPr>
                        <w:t xml:space="preserve"> provides that AFMA may, at any time, by a further direction in writing, vary or revoke a direction given under subsection </w:t>
                      </w:r>
                      <w:r w:rsidR="00800432">
                        <w:rPr>
                          <w:color w:val="000000"/>
                          <w:sz w:val="22"/>
                          <w:szCs w:val="22"/>
                          <w:shd w:val="clear" w:color="auto" w:fill="FFFFFF"/>
                        </w:rPr>
                        <w:t>41A</w:t>
                      </w:r>
                      <w:r>
                        <w:rPr>
                          <w:color w:val="000000"/>
                          <w:sz w:val="22"/>
                          <w:szCs w:val="22"/>
                          <w:shd w:val="clear" w:color="auto" w:fill="FFFFFF"/>
                        </w:rPr>
                        <w:t xml:space="preserve">(2).  </w:t>
                      </w:r>
                    </w:p>
                    <w:p w14:paraId="76FA560D" w14:textId="7A2C6EAE" w:rsidR="00800E67" w:rsidRDefault="00800E67" w:rsidP="0013538A">
                      <w:pPr>
                        <w:shd w:val="clear" w:color="auto" w:fill="FFFFFF"/>
                        <w:spacing w:before="0" w:after="200"/>
                        <w:rPr>
                          <w:color w:val="000000"/>
                          <w:sz w:val="22"/>
                          <w:szCs w:val="22"/>
                        </w:rPr>
                      </w:pPr>
                      <w:r>
                        <w:rPr>
                          <w:color w:val="000000"/>
                          <w:sz w:val="22"/>
                          <w:szCs w:val="22"/>
                        </w:rPr>
                        <w:t xml:space="preserve">The </w:t>
                      </w:r>
                      <w:r>
                        <w:rPr>
                          <w:i/>
                          <w:color w:val="000000"/>
                          <w:sz w:val="22"/>
                          <w:szCs w:val="22"/>
                        </w:rPr>
                        <w:t>Southern and Eastern Scalefish and Shark</w:t>
                      </w:r>
                      <w:r w:rsidRPr="008C1CBF">
                        <w:rPr>
                          <w:i/>
                          <w:color w:val="000000"/>
                          <w:sz w:val="22"/>
                          <w:szCs w:val="22"/>
                        </w:rPr>
                        <w:t xml:space="preserve"> Fishery </w:t>
                      </w:r>
                      <w:r w:rsidR="00A81B7C">
                        <w:rPr>
                          <w:i/>
                          <w:color w:val="000000"/>
                          <w:sz w:val="22"/>
                          <w:szCs w:val="22"/>
                        </w:rPr>
                        <w:t xml:space="preserve">and Small Pelagic Fishery </w:t>
                      </w:r>
                      <w:r w:rsidRPr="008C1CBF">
                        <w:rPr>
                          <w:i/>
                          <w:color w:val="000000"/>
                          <w:sz w:val="22"/>
                          <w:szCs w:val="22"/>
                        </w:rPr>
                        <w:t>(Closures</w:t>
                      </w:r>
                      <w:r w:rsidR="00F400F3">
                        <w:rPr>
                          <w:i/>
                          <w:color w:val="000000"/>
                          <w:sz w:val="22"/>
                          <w:szCs w:val="22"/>
                        </w:rPr>
                        <w:t xml:space="preserve"> Variation</w:t>
                      </w:r>
                      <w:r w:rsidRPr="008C1CBF">
                        <w:rPr>
                          <w:i/>
                          <w:color w:val="000000"/>
                          <w:sz w:val="22"/>
                          <w:szCs w:val="22"/>
                        </w:rPr>
                        <w:t>) Direction</w:t>
                      </w:r>
                      <w:r>
                        <w:rPr>
                          <w:i/>
                          <w:color w:val="000000"/>
                          <w:sz w:val="22"/>
                          <w:szCs w:val="22"/>
                        </w:rPr>
                        <w:t xml:space="preserve"> 201</w:t>
                      </w:r>
                      <w:r w:rsidR="00651BCA">
                        <w:rPr>
                          <w:i/>
                          <w:color w:val="000000"/>
                          <w:sz w:val="22"/>
                          <w:szCs w:val="22"/>
                        </w:rPr>
                        <w:t>8</w:t>
                      </w:r>
                      <w:r w:rsidRPr="00082850">
                        <w:rPr>
                          <w:i/>
                          <w:color w:val="000000"/>
                          <w:sz w:val="22"/>
                        </w:rPr>
                        <w:t xml:space="preserve"> </w:t>
                      </w:r>
                      <w:r>
                        <w:rPr>
                          <w:color w:val="000000"/>
                          <w:sz w:val="22"/>
                          <w:szCs w:val="22"/>
                        </w:rPr>
                        <w:t xml:space="preserve">(the </w:t>
                      </w:r>
                      <w:r w:rsidR="00800432">
                        <w:rPr>
                          <w:color w:val="000000"/>
                          <w:sz w:val="22"/>
                          <w:szCs w:val="22"/>
                        </w:rPr>
                        <w:t xml:space="preserve">Variation </w:t>
                      </w:r>
                      <w:r>
                        <w:rPr>
                          <w:color w:val="000000"/>
                          <w:sz w:val="22"/>
                          <w:szCs w:val="22"/>
                        </w:rPr>
                        <w:t>Direction)</w:t>
                      </w:r>
                      <w:r w:rsidRPr="00222E4C">
                        <w:rPr>
                          <w:color w:val="000000"/>
                          <w:sz w:val="22"/>
                          <w:szCs w:val="22"/>
                        </w:rPr>
                        <w:t xml:space="preserve"> is a legislative instrument for the purposes of the </w:t>
                      </w:r>
                      <w:r>
                        <w:rPr>
                          <w:i/>
                          <w:iCs/>
                          <w:color w:val="000000"/>
                          <w:sz w:val="22"/>
                          <w:szCs w:val="22"/>
                        </w:rPr>
                        <w:t>Legislation</w:t>
                      </w:r>
                      <w:r w:rsidRPr="00222E4C">
                        <w:rPr>
                          <w:i/>
                          <w:iCs/>
                          <w:color w:val="000000"/>
                          <w:sz w:val="22"/>
                          <w:szCs w:val="22"/>
                        </w:rPr>
                        <w:t xml:space="preserve"> Act 2003</w:t>
                      </w:r>
                      <w:r w:rsidRPr="00222E4C">
                        <w:rPr>
                          <w:color w:val="000000"/>
                          <w:sz w:val="22"/>
                          <w:szCs w:val="22"/>
                        </w:rPr>
                        <w:t>.</w:t>
                      </w:r>
                    </w:p>
                    <w:p w14:paraId="7CC41E57" w14:textId="14A50EA5" w:rsidR="0023752A" w:rsidRPr="00741247" w:rsidRDefault="00800E67" w:rsidP="0013538A">
                      <w:pPr>
                        <w:spacing w:before="0" w:after="200"/>
                        <w:jc w:val="left"/>
                        <w:rPr>
                          <w:kern w:val="20"/>
                          <w:sz w:val="22"/>
                          <w:szCs w:val="22"/>
                          <w:lang w:eastAsia="en-US"/>
                        </w:rPr>
                      </w:pPr>
                      <w:r>
                        <w:rPr>
                          <w:kern w:val="20"/>
                          <w:sz w:val="22"/>
                          <w:szCs w:val="22"/>
                          <w:lang w:eastAsia="en-US"/>
                        </w:rPr>
                        <w:t xml:space="preserve">The </w:t>
                      </w:r>
                      <w:r w:rsidR="00800432">
                        <w:rPr>
                          <w:kern w:val="20"/>
                          <w:sz w:val="22"/>
                          <w:szCs w:val="22"/>
                          <w:lang w:eastAsia="en-US"/>
                        </w:rPr>
                        <w:t xml:space="preserve">Variation </w:t>
                      </w:r>
                      <w:r>
                        <w:rPr>
                          <w:kern w:val="20"/>
                          <w:sz w:val="22"/>
                          <w:szCs w:val="22"/>
                          <w:lang w:eastAsia="en-US"/>
                        </w:rPr>
                        <w:t>Direction</w:t>
                      </w:r>
                      <w:r w:rsidR="00800432">
                        <w:rPr>
                          <w:kern w:val="20"/>
                          <w:sz w:val="22"/>
                          <w:szCs w:val="22"/>
                          <w:lang w:eastAsia="en-US"/>
                        </w:rPr>
                        <w:t xml:space="preserve"> amends the </w:t>
                      </w:r>
                      <w:r w:rsidR="00800432">
                        <w:rPr>
                          <w:i/>
                          <w:kern w:val="20"/>
                          <w:sz w:val="22"/>
                          <w:szCs w:val="22"/>
                          <w:lang w:eastAsia="en-US"/>
                        </w:rPr>
                        <w:t xml:space="preserve">Southern and Eastern Scalefish and Shark Fishery and Small Pelagic Fishery (Closures) Direction 2016 </w:t>
                      </w:r>
                      <w:r w:rsidR="00800432">
                        <w:rPr>
                          <w:kern w:val="20"/>
                          <w:sz w:val="22"/>
                          <w:szCs w:val="22"/>
                          <w:lang w:eastAsia="en-US"/>
                        </w:rPr>
                        <w:t>(the Original Direction), made under subsection 41A(2) of the Management Act,</w:t>
                      </w:r>
                      <w:r>
                        <w:rPr>
                          <w:kern w:val="20"/>
                          <w:sz w:val="22"/>
                          <w:szCs w:val="22"/>
                          <w:lang w:eastAsia="en-US"/>
                        </w:rPr>
                        <w:t xml:space="preserve"> </w:t>
                      </w:r>
                      <w:r w:rsidR="00800432">
                        <w:rPr>
                          <w:kern w:val="20"/>
                          <w:sz w:val="22"/>
                          <w:szCs w:val="22"/>
                          <w:lang w:eastAsia="en-US"/>
                        </w:rPr>
                        <w:t xml:space="preserve">to </w:t>
                      </w:r>
                      <w:r w:rsidRPr="00AA451F">
                        <w:rPr>
                          <w:kern w:val="20"/>
                          <w:sz w:val="22"/>
                          <w:szCs w:val="22"/>
                          <w:lang w:eastAsia="en-US"/>
                        </w:rPr>
                        <w:t xml:space="preserve">continue </w:t>
                      </w:r>
                      <w:r w:rsidR="00166529">
                        <w:rPr>
                          <w:kern w:val="20"/>
                          <w:sz w:val="22"/>
                          <w:szCs w:val="22"/>
                          <w:lang w:eastAsia="en-US"/>
                        </w:rPr>
                        <w:t>to prohibit fishing in the areas of waters as described in the Schedules to the Direction</w:t>
                      </w:r>
                      <w:r w:rsidR="0023752A">
                        <w:rPr>
                          <w:kern w:val="20"/>
                          <w:sz w:val="22"/>
                          <w:szCs w:val="22"/>
                          <w:lang w:eastAsia="en-US"/>
                        </w:rPr>
                        <w:t xml:space="preserve"> to provide protection </w:t>
                      </w:r>
                      <w:r w:rsidR="0023752A" w:rsidRPr="00916FDD">
                        <w:rPr>
                          <w:sz w:val="22"/>
                          <w:szCs w:val="22"/>
                          <w:lang w:eastAsia="en-US"/>
                        </w:rPr>
                        <w:t xml:space="preserve">to various species and their habitat including </w:t>
                      </w:r>
                      <w:r w:rsidR="00800432">
                        <w:rPr>
                          <w:sz w:val="22"/>
                          <w:szCs w:val="22"/>
                          <w:lang w:eastAsia="en-US"/>
                        </w:rPr>
                        <w:t>U</w:t>
                      </w:r>
                      <w:r w:rsidR="0023752A" w:rsidRPr="00916FDD">
                        <w:rPr>
                          <w:sz w:val="22"/>
                          <w:szCs w:val="22"/>
                          <w:lang w:eastAsia="en-US"/>
                        </w:rPr>
                        <w:t>pper</w:t>
                      </w:r>
                      <w:r w:rsidR="00800432">
                        <w:rPr>
                          <w:sz w:val="22"/>
                          <w:szCs w:val="22"/>
                          <w:lang w:eastAsia="en-US"/>
                        </w:rPr>
                        <w:t>-S</w:t>
                      </w:r>
                      <w:r w:rsidR="0023752A" w:rsidRPr="00916FDD">
                        <w:rPr>
                          <w:sz w:val="22"/>
                          <w:szCs w:val="22"/>
                          <w:lang w:eastAsia="en-US"/>
                        </w:rPr>
                        <w:t xml:space="preserve">lope </w:t>
                      </w:r>
                      <w:r w:rsidR="00800432">
                        <w:rPr>
                          <w:sz w:val="22"/>
                          <w:szCs w:val="22"/>
                          <w:lang w:eastAsia="en-US"/>
                        </w:rPr>
                        <w:t>D</w:t>
                      </w:r>
                      <w:r w:rsidR="0023752A" w:rsidRPr="00916FDD">
                        <w:rPr>
                          <w:sz w:val="22"/>
                          <w:szCs w:val="22"/>
                          <w:lang w:eastAsia="en-US"/>
                        </w:rPr>
                        <w:t xml:space="preserve">ogfish and </w:t>
                      </w:r>
                      <w:r w:rsidR="00800432">
                        <w:rPr>
                          <w:sz w:val="22"/>
                          <w:szCs w:val="22"/>
                          <w:lang w:eastAsia="en-US"/>
                        </w:rPr>
                        <w:t>O</w:t>
                      </w:r>
                      <w:r w:rsidR="0023752A" w:rsidRPr="00916FDD">
                        <w:rPr>
                          <w:sz w:val="22"/>
                          <w:szCs w:val="22"/>
                          <w:lang w:eastAsia="en-US"/>
                        </w:rPr>
                        <w:t xml:space="preserve">range </w:t>
                      </w:r>
                      <w:r w:rsidR="00800432">
                        <w:rPr>
                          <w:sz w:val="22"/>
                          <w:szCs w:val="22"/>
                          <w:lang w:eastAsia="en-US"/>
                        </w:rPr>
                        <w:t>R</w:t>
                      </w:r>
                      <w:r w:rsidR="0023752A" w:rsidRPr="00916FDD">
                        <w:rPr>
                          <w:sz w:val="22"/>
                          <w:szCs w:val="22"/>
                          <w:lang w:eastAsia="en-US"/>
                        </w:rPr>
                        <w:t xml:space="preserve">oughy. </w:t>
                      </w:r>
                      <w:r w:rsidR="00800432">
                        <w:rPr>
                          <w:sz w:val="22"/>
                          <w:szCs w:val="22"/>
                          <w:lang w:eastAsia="en-US"/>
                        </w:rPr>
                        <w:t xml:space="preserve"> Two other Directions made under subsection 41A(2) of the Management Act are revoked.  </w:t>
                      </w:r>
                    </w:p>
                    <w:p w14:paraId="719D3B04" w14:textId="5AFD7245" w:rsidR="00AA451F" w:rsidRDefault="00967EDD" w:rsidP="0013538A">
                      <w:pPr>
                        <w:spacing w:before="0" w:after="200"/>
                        <w:rPr>
                          <w:color w:val="000000"/>
                          <w:sz w:val="22"/>
                          <w:szCs w:val="22"/>
                          <w:shd w:val="clear" w:color="auto" w:fill="FFFFFF"/>
                        </w:rPr>
                      </w:pPr>
                      <w:r>
                        <w:rPr>
                          <w:color w:val="000000"/>
                          <w:sz w:val="22"/>
                          <w:szCs w:val="22"/>
                          <w:shd w:val="clear" w:color="auto" w:fill="FFFFFF"/>
                        </w:rPr>
                        <w:t xml:space="preserve">All other aspects of the </w:t>
                      </w:r>
                      <w:r w:rsidR="00800432">
                        <w:rPr>
                          <w:color w:val="000000"/>
                          <w:sz w:val="22"/>
                          <w:szCs w:val="22"/>
                          <w:shd w:val="clear" w:color="auto" w:fill="FFFFFF"/>
                        </w:rPr>
                        <w:t xml:space="preserve">Original </w:t>
                      </w:r>
                      <w:r>
                        <w:rPr>
                          <w:color w:val="000000"/>
                          <w:sz w:val="22"/>
                          <w:szCs w:val="22"/>
                          <w:shd w:val="clear" w:color="auto" w:fill="FFFFFF"/>
                        </w:rPr>
                        <w:t>D</w:t>
                      </w:r>
                      <w:r w:rsidR="00AA451F" w:rsidRPr="008C1CBF">
                        <w:rPr>
                          <w:color w:val="000000"/>
                          <w:sz w:val="22"/>
                          <w:szCs w:val="22"/>
                          <w:shd w:val="clear" w:color="auto" w:fill="FFFFFF"/>
                        </w:rPr>
                        <w:t>irection continue in their original terms.</w:t>
                      </w:r>
                      <w:r w:rsidR="00AA451F" w:rsidRPr="00AC1873">
                        <w:rPr>
                          <w:color w:val="000000"/>
                          <w:sz w:val="22"/>
                          <w:szCs w:val="22"/>
                          <w:shd w:val="clear" w:color="auto" w:fill="FFFFFF"/>
                        </w:rPr>
                        <w:t xml:space="preserve">  </w:t>
                      </w:r>
                    </w:p>
                    <w:p w14:paraId="37EDEFB5" w14:textId="77777777" w:rsidR="00800E67" w:rsidRDefault="00800E67" w:rsidP="00800E67">
                      <w:pPr>
                        <w:spacing w:before="120" w:after="120"/>
                        <w:rPr>
                          <w:b/>
                        </w:rPr>
                      </w:pPr>
                    </w:p>
                    <w:p w14:paraId="3E11B1EB" w14:textId="77777777" w:rsidR="00AA451F" w:rsidRPr="00E4135E" w:rsidRDefault="00AA451F" w:rsidP="00AA451F">
                      <w:pPr>
                        <w:spacing w:before="120" w:after="120"/>
                        <w:rPr>
                          <w:b/>
                        </w:rPr>
                      </w:pPr>
                      <w:r w:rsidRPr="00E4135E">
                        <w:rPr>
                          <w:b/>
                        </w:rPr>
                        <w:t>Human rights implications</w:t>
                      </w:r>
                    </w:p>
                    <w:p w14:paraId="47E362EE" w14:textId="77777777" w:rsidR="00AA451F" w:rsidRPr="001034AB" w:rsidRDefault="00AA451F" w:rsidP="00AA451F">
                      <w:pPr>
                        <w:spacing w:before="120" w:after="120"/>
                        <w:rPr>
                          <w:sz w:val="22"/>
                          <w:szCs w:val="22"/>
                        </w:rPr>
                      </w:pPr>
                      <w:r w:rsidRPr="001034AB">
                        <w:rPr>
                          <w:sz w:val="22"/>
                          <w:szCs w:val="22"/>
                        </w:rPr>
                        <w:t>This Legislative Instrument does not engage any of the applicable rights or freedoms.</w:t>
                      </w:r>
                    </w:p>
                    <w:p w14:paraId="79572723" w14:textId="77777777" w:rsidR="00AA451F" w:rsidRPr="00E4135E" w:rsidRDefault="00AA451F" w:rsidP="00AA451F">
                      <w:pPr>
                        <w:spacing w:before="120" w:after="120"/>
                      </w:pPr>
                    </w:p>
                    <w:p w14:paraId="1F857263" w14:textId="77777777" w:rsidR="00AA451F" w:rsidRDefault="00AA451F" w:rsidP="00AA451F">
                      <w:pPr>
                        <w:spacing w:before="120" w:after="120"/>
                        <w:rPr>
                          <w:b/>
                        </w:rPr>
                      </w:pPr>
                      <w:r w:rsidRPr="00E4135E">
                        <w:rPr>
                          <w:b/>
                        </w:rPr>
                        <w:t>Conclusion</w:t>
                      </w:r>
                    </w:p>
                    <w:p w14:paraId="5D81FF6D" w14:textId="77777777" w:rsidR="00AA451F" w:rsidRDefault="00AA451F" w:rsidP="00AA451F">
                      <w:pPr>
                        <w:autoSpaceDE w:val="0"/>
                        <w:autoSpaceDN w:val="0"/>
                        <w:adjustRightInd w:val="0"/>
                        <w:rPr>
                          <w:color w:val="000000"/>
                          <w:sz w:val="22"/>
                          <w:szCs w:val="22"/>
                        </w:rPr>
                      </w:pPr>
                      <w:r w:rsidRPr="001034AB">
                        <w:rPr>
                          <w:sz w:val="22"/>
                          <w:szCs w:val="22"/>
                        </w:rPr>
                        <w:t>This Legislative Instrument is compatible with human rights as it does not raise any human rights issues.  AFMA is satisfied that the instrument is consistent with AFMA’s obligation to pu</w:t>
                      </w:r>
                      <w:r w:rsidR="002C4103">
                        <w:rPr>
                          <w:sz w:val="22"/>
                          <w:szCs w:val="22"/>
                        </w:rPr>
                        <w:t>rsue its statutory objectives</w:t>
                      </w:r>
                      <w:r w:rsidR="00397A21">
                        <w:rPr>
                          <w:sz w:val="22"/>
                          <w:szCs w:val="22"/>
                        </w:rPr>
                        <w:t>.</w:t>
                      </w:r>
                      <w:r w:rsidR="00166529" w:rsidRPr="001034AB">
                        <w:rPr>
                          <w:sz w:val="22"/>
                          <w:szCs w:val="22"/>
                        </w:rPr>
                        <w:t xml:space="preserve">  </w:t>
                      </w:r>
                    </w:p>
                    <w:p w14:paraId="23851FFE" w14:textId="77777777" w:rsidR="00AA451F" w:rsidRPr="00E4135E" w:rsidRDefault="00AA451F" w:rsidP="00AA451F">
                      <w:pPr>
                        <w:spacing w:before="120" w:after="120"/>
                      </w:pPr>
                    </w:p>
                  </w:txbxContent>
                </v:textbox>
              </v:rect>
            </w:pict>
          </mc:Fallback>
        </mc:AlternateContent>
      </w:r>
    </w:p>
    <w:p w14:paraId="1E6BEC4C" w14:textId="77777777" w:rsidR="00AA451F" w:rsidRDefault="00AA451F" w:rsidP="00AA451F">
      <w:pPr>
        <w:shd w:val="clear" w:color="auto" w:fill="FFFFFF"/>
        <w:spacing w:before="0"/>
        <w:rPr>
          <w:color w:val="000000"/>
          <w:szCs w:val="24"/>
        </w:rPr>
      </w:pPr>
    </w:p>
    <w:p w14:paraId="2D54E37F" w14:textId="77777777" w:rsidR="00AA451F" w:rsidRDefault="00AA451F" w:rsidP="00AA451F">
      <w:pPr>
        <w:shd w:val="clear" w:color="auto" w:fill="FFFFFF"/>
        <w:spacing w:before="0"/>
        <w:rPr>
          <w:color w:val="000000"/>
          <w:szCs w:val="24"/>
        </w:rPr>
      </w:pPr>
    </w:p>
    <w:p w14:paraId="2CA84858" w14:textId="77777777" w:rsidR="00AA451F" w:rsidRDefault="00AA451F" w:rsidP="00AA451F">
      <w:pPr>
        <w:shd w:val="clear" w:color="auto" w:fill="FFFFFF"/>
        <w:spacing w:before="0"/>
        <w:rPr>
          <w:color w:val="000000"/>
          <w:szCs w:val="24"/>
        </w:rPr>
      </w:pPr>
    </w:p>
    <w:p w14:paraId="4EEC1D34" w14:textId="77777777" w:rsidR="00AA451F" w:rsidRPr="00476963" w:rsidRDefault="00AA451F" w:rsidP="00AA451F">
      <w:pPr>
        <w:shd w:val="clear" w:color="auto" w:fill="FFFFFF"/>
        <w:spacing w:before="0"/>
        <w:rPr>
          <w:color w:val="000000"/>
          <w:szCs w:val="24"/>
        </w:rPr>
      </w:pPr>
    </w:p>
    <w:p w14:paraId="5329276F" w14:textId="77777777" w:rsidR="00166529" w:rsidRDefault="00166529" w:rsidP="00166529"/>
    <w:p w14:paraId="6CDABB77" w14:textId="77777777" w:rsidR="00926685" w:rsidRDefault="00926685"/>
    <w:sectPr w:rsidR="00926685" w:rsidSect="00E12E57">
      <w:footerReference w:type="even" r:id="rId8"/>
      <w:footerReference w:type="default" r:id="rId9"/>
      <w:pgSz w:w="11906" w:h="16838" w:code="9"/>
      <w:pgMar w:top="12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7CD6" w14:textId="77777777" w:rsidR="00F015FA" w:rsidRDefault="00F015FA">
      <w:pPr>
        <w:spacing w:before="0"/>
      </w:pPr>
      <w:r>
        <w:separator/>
      </w:r>
    </w:p>
  </w:endnote>
  <w:endnote w:type="continuationSeparator" w:id="0">
    <w:p w14:paraId="3FD8E3E8" w14:textId="77777777" w:rsidR="00F015FA" w:rsidRDefault="00F015FA">
      <w:pPr>
        <w:spacing w:before="0"/>
      </w:pPr>
      <w:r>
        <w:continuationSeparator/>
      </w:r>
    </w:p>
  </w:endnote>
  <w:endnote w:type="continuationNotice" w:id="1">
    <w:p w14:paraId="2834F4A5" w14:textId="77777777" w:rsidR="00F015FA" w:rsidRDefault="00F015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D2A9" w14:textId="77777777" w:rsidR="00060AEE" w:rsidRDefault="00800E67" w:rsidP="002B4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77A4F" w14:textId="77777777" w:rsidR="00060AEE" w:rsidRDefault="00BE3CF4" w:rsidP="002B49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6C80" w14:textId="77777777" w:rsidR="00060AEE" w:rsidRPr="00C24B0C" w:rsidRDefault="00800E67" w:rsidP="002B49E6">
    <w:pPr>
      <w:pStyle w:val="Footer"/>
      <w:framePr w:wrap="around" w:vAnchor="text" w:hAnchor="margin" w:xAlign="right" w:y="1"/>
      <w:rPr>
        <w:rStyle w:val="PageNumber"/>
        <w:rFonts w:ascii="Arial" w:hAnsi="Arial" w:cs="Arial"/>
        <w:sz w:val="22"/>
        <w:szCs w:val="22"/>
      </w:rPr>
    </w:pPr>
    <w:r w:rsidRPr="00C24B0C">
      <w:rPr>
        <w:rStyle w:val="PageNumber"/>
        <w:rFonts w:ascii="Arial" w:hAnsi="Arial" w:cs="Arial"/>
        <w:sz w:val="22"/>
        <w:szCs w:val="22"/>
      </w:rPr>
      <w:fldChar w:fldCharType="begin"/>
    </w:r>
    <w:r w:rsidRPr="00C24B0C">
      <w:rPr>
        <w:rStyle w:val="PageNumber"/>
        <w:rFonts w:ascii="Arial" w:hAnsi="Arial" w:cs="Arial"/>
        <w:sz w:val="22"/>
        <w:szCs w:val="22"/>
      </w:rPr>
      <w:instrText xml:space="preserve">PAGE  </w:instrText>
    </w:r>
    <w:r w:rsidRPr="00C24B0C">
      <w:rPr>
        <w:rStyle w:val="PageNumber"/>
        <w:rFonts w:ascii="Arial" w:hAnsi="Arial" w:cs="Arial"/>
        <w:sz w:val="22"/>
        <w:szCs w:val="22"/>
      </w:rPr>
      <w:fldChar w:fldCharType="separate"/>
    </w:r>
    <w:r w:rsidR="00BE3CF4">
      <w:rPr>
        <w:rStyle w:val="PageNumber"/>
        <w:rFonts w:ascii="Arial" w:hAnsi="Arial" w:cs="Arial"/>
        <w:noProof/>
        <w:sz w:val="22"/>
        <w:szCs w:val="22"/>
      </w:rPr>
      <w:t>1</w:t>
    </w:r>
    <w:r w:rsidRPr="00C24B0C">
      <w:rPr>
        <w:rStyle w:val="PageNumber"/>
        <w:rFonts w:ascii="Arial" w:hAnsi="Arial" w:cs="Arial"/>
        <w:sz w:val="22"/>
        <w:szCs w:val="22"/>
      </w:rPr>
      <w:fldChar w:fldCharType="end"/>
    </w:r>
  </w:p>
  <w:p w14:paraId="1A664817" w14:textId="77777777" w:rsidR="00060AEE" w:rsidRDefault="00BE3CF4" w:rsidP="002B49E6">
    <w:pPr>
      <w:pStyle w:val="Footer"/>
      <w:ind w:right="360"/>
    </w:pPr>
  </w:p>
  <w:p w14:paraId="60E848CF" w14:textId="77777777" w:rsidR="00060AEE" w:rsidRDefault="00BE3CF4" w:rsidP="002B49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3102" w14:textId="77777777" w:rsidR="00F015FA" w:rsidRDefault="00F015FA">
      <w:pPr>
        <w:spacing w:before="0"/>
      </w:pPr>
      <w:r>
        <w:separator/>
      </w:r>
    </w:p>
  </w:footnote>
  <w:footnote w:type="continuationSeparator" w:id="0">
    <w:p w14:paraId="3B96F58C" w14:textId="77777777" w:rsidR="00F015FA" w:rsidRDefault="00F015FA">
      <w:pPr>
        <w:spacing w:before="0"/>
      </w:pPr>
      <w:r>
        <w:continuationSeparator/>
      </w:r>
    </w:p>
  </w:footnote>
  <w:footnote w:type="continuationNotice" w:id="1">
    <w:p w14:paraId="023FF1FD" w14:textId="77777777" w:rsidR="00F015FA" w:rsidRDefault="00F015F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D0E"/>
    <w:multiLevelType w:val="hybridMultilevel"/>
    <w:tmpl w:val="35149CFC"/>
    <w:lvl w:ilvl="0" w:tplc="79E84D9A">
      <w:start w:val="1"/>
      <w:numFmt w:val="decimal"/>
      <w:lvlText w:val="%1."/>
      <w:lvlJc w:val="left"/>
      <w:pPr>
        <w:ind w:left="502"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A75ED"/>
    <w:multiLevelType w:val="hybridMultilevel"/>
    <w:tmpl w:val="A49C7E16"/>
    <w:lvl w:ilvl="0" w:tplc="79E84D9A">
      <w:start w:val="1"/>
      <w:numFmt w:val="decimal"/>
      <w:lvlText w:val="%1."/>
      <w:lvlJc w:val="left"/>
      <w:pPr>
        <w:ind w:left="502"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6A4FD1"/>
    <w:multiLevelType w:val="hybridMultilevel"/>
    <w:tmpl w:val="2370E81A"/>
    <w:lvl w:ilvl="0" w:tplc="C4FCAB28">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307180D"/>
    <w:multiLevelType w:val="hybridMultilevel"/>
    <w:tmpl w:val="BCE06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3347E8"/>
    <w:multiLevelType w:val="hybridMultilevel"/>
    <w:tmpl w:val="EBF23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18959EA"/>
    <w:multiLevelType w:val="hybridMultilevel"/>
    <w:tmpl w:val="428A20D4"/>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B53E9C"/>
    <w:multiLevelType w:val="hybridMultilevel"/>
    <w:tmpl w:val="0704A6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1F"/>
    <w:rsid w:val="00012518"/>
    <w:rsid w:val="00030793"/>
    <w:rsid w:val="00082850"/>
    <w:rsid w:val="000828C9"/>
    <w:rsid w:val="00097889"/>
    <w:rsid w:val="000C256C"/>
    <w:rsid w:val="000D2510"/>
    <w:rsid w:val="000D75CD"/>
    <w:rsid w:val="000E5617"/>
    <w:rsid w:val="000E6465"/>
    <w:rsid w:val="000F5EA5"/>
    <w:rsid w:val="001170FE"/>
    <w:rsid w:val="00121096"/>
    <w:rsid w:val="001230CF"/>
    <w:rsid w:val="00124EA4"/>
    <w:rsid w:val="0013538A"/>
    <w:rsid w:val="00166529"/>
    <w:rsid w:val="001E4B61"/>
    <w:rsid w:val="0020440E"/>
    <w:rsid w:val="0023752A"/>
    <w:rsid w:val="00245FFA"/>
    <w:rsid w:val="00253B4E"/>
    <w:rsid w:val="00283FE5"/>
    <w:rsid w:val="002863CC"/>
    <w:rsid w:val="0029234C"/>
    <w:rsid w:val="002A2885"/>
    <w:rsid w:val="002B5423"/>
    <w:rsid w:val="002C4103"/>
    <w:rsid w:val="002E5C4F"/>
    <w:rsid w:val="002E70DA"/>
    <w:rsid w:val="002F2461"/>
    <w:rsid w:val="002F4639"/>
    <w:rsid w:val="003067F3"/>
    <w:rsid w:val="00342EC4"/>
    <w:rsid w:val="00383003"/>
    <w:rsid w:val="00397A21"/>
    <w:rsid w:val="003A3412"/>
    <w:rsid w:val="003A5DF0"/>
    <w:rsid w:val="003E6140"/>
    <w:rsid w:val="00426A65"/>
    <w:rsid w:val="004D32EE"/>
    <w:rsid w:val="0052270E"/>
    <w:rsid w:val="00560BD3"/>
    <w:rsid w:val="00584662"/>
    <w:rsid w:val="005B3B0A"/>
    <w:rsid w:val="005E7088"/>
    <w:rsid w:val="00603BC4"/>
    <w:rsid w:val="00617B98"/>
    <w:rsid w:val="00651BCA"/>
    <w:rsid w:val="006548C8"/>
    <w:rsid w:val="00674C8D"/>
    <w:rsid w:val="006D792B"/>
    <w:rsid w:val="006E4D02"/>
    <w:rsid w:val="006F4598"/>
    <w:rsid w:val="006F5C58"/>
    <w:rsid w:val="0072567B"/>
    <w:rsid w:val="00741247"/>
    <w:rsid w:val="0076251F"/>
    <w:rsid w:val="00797532"/>
    <w:rsid w:val="007A1406"/>
    <w:rsid w:val="007A2270"/>
    <w:rsid w:val="007C640A"/>
    <w:rsid w:val="007E0937"/>
    <w:rsid w:val="007E3002"/>
    <w:rsid w:val="00800432"/>
    <w:rsid w:val="00800E67"/>
    <w:rsid w:val="00802E5A"/>
    <w:rsid w:val="008040C9"/>
    <w:rsid w:val="00805E70"/>
    <w:rsid w:val="00840EB3"/>
    <w:rsid w:val="00841BBC"/>
    <w:rsid w:val="00867D37"/>
    <w:rsid w:val="00892F9A"/>
    <w:rsid w:val="008957BD"/>
    <w:rsid w:val="008D6D4B"/>
    <w:rsid w:val="00905396"/>
    <w:rsid w:val="00916FDD"/>
    <w:rsid w:val="00926685"/>
    <w:rsid w:val="00940BC3"/>
    <w:rsid w:val="0095600A"/>
    <w:rsid w:val="00967EDD"/>
    <w:rsid w:val="009B1F6E"/>
    <w:rsid w:val="009B633A"/>
    <w:rsid w:val="009E5852"/>
    <w:rsid w:val="00A055AD"/>
    <w:rsid w:val="00A162BC"/>
    <w:rsid w:val="00A1787E"/>
    <w:rsid w:val="00A319E8"/>
    <w:rsid w:val="00A41CED"/>
    <w:rsid w:val="00A43D88"/>
    <w:rsid w:val="00A5353D"/>
    <w:rsid w:val="00A81B7C"/>
    <w:rsid w:val="00AA451F"/>
    <w:rsid w:val="00AD04BE"/>
    <w:rsid w:val="00B1384E"/>
    <w:rsid w:val="00B705D8"/>
    <w:rsid w:val="00B71DEF"/>
    <w:rsid w:val="00B86653"/>
    <w:rsid w:val="00BB3062"/>
    <w:rsid w:val="00BB7F39"/>
    <w:rsid w:val="00BE3CF4"/>
    <w:rsid w:val="00BF7512"/>
    <w:rsid w:val="00C60746"/>
    <w:rsid w:val="00CB3ABB"/>
    <w:rsid w:val="00CD1BA9"/>
    <w:rsid w:val="00CE5B27"/>
    <w:rsid w:val="00CF2F99"/>
    <w:rsid w:val="00D003A4"/>
    <w:rsid w:val="00D140F8"/>
    <w:rsid w:val="00D35864"/>
    <w:rsid w:val="00D47DD6"/>
    <w:rsid w:val="00D52F18"/>
    <w:rsid w:val="00D539F2"/>
    <w:rsid w:val="00D629AA"/>
    <w:rsid w:val="00D76E5E"/>
    <w:rsid w:val="00D80298"/>
    <w:rsid w:val="00D877F7"/>
    <w:rsid w:val="00D968DD"/>
    <w:rsid w:val="00DC7726"/>
    <w:rsid w:val="00DD0C2B"/>
    <w:rsid w:val="00DD76E5"/>
    <w:rsid w:val="00DE53E3"/>
    <w:rsid w:val="00DE7AA7"/>
    <w:rsid w:val="00E26BFC"/>
    <w:rsid w:val="00E31C20"/>
    <w:rsid w:val="00E50C96"/>
    <w:rsid w:val="00E57536"/>
    <w:rsid w:val="00E72136"/>
    <w:rsid w:val="00EC7A0B"/>
    <w:rsid w:val="00ED0D99"/>
    <w:rsid w:val="00F015FA"/>
    <w:rsid w:val="00F23F24"/>
    <w:rsid w:val="00F400F3"/>
    <w:rsid w:val="00F77B5C"/>
    <w:rsid w:val="00F97FEB"/>
    <w:rsid w:val="00FA7624"/>
    <w:rsid w:val="00FB1FCD"/>
    <w:rsid w:val="00FF4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4D624"/>
  <w15:docId w15:val="{D9B271AC-B0DF-4A4D-A6EF-29EA9226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1F"/>
    <w:pPr>
      <w:spacing w:before="200"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451F"/>
    <w:pPr>
      <w:tabs>
        <w:tab w:val="center" w:pos="4153"/>
        <w:tab w:val="right" w:pos="8306"/>
      </w:tabs>
    </w:pPr>
  </w:style>
  <w:style w:type="character" w:customStyle="1" w:styleId="FooterChar">
    <w:name w:val="Footer Char"/>
    <w:basedOn w:val="DefaultParagraphFont"/>
    <w:link w:val="Footer"/>
    <w:rsid w:val="00AA451F"/>
    <w:rPr>
      <w:rFonts w:ascii="Times New Roman" w:eastAsia="Times New Roman" w:hAnsi="Times New Roman" w:cs="Times New Roman"/>
      <w:sz w:val="24"/>
      <w:szCs w:val="20"/>
      <w:lang w:eastAsia="en-AU"/>
    </w:rPr>
  </w:style>
  <w:style w:type="character" w:styleId="PageNumber">
    <w:name w:val="page number"/>
    <w:basedOn w:val="DefaultParagraphFont"/>
    <w:rsid w:val="00AA451F"/>
  </w:style>
  <w:style w:type="character" w:customStyle="1" w:styleId="apple-converted-space">
    <w:name w:val="apple-converted-space"/>
    <w:rsid w:val="00AA451F"/>
  </w:style>
  <w:style w:type="paragraph" w:customStyle="1" w:styleId="DPtext">
    <w:name w:val="DP text"/>
    <w:basedOn w:val="Normal"/>
    <w:rsid w:val="00AA451F"/>
    <w:pPr>
      <w:keepLines/>
      <w:spacing w:before="120"/>
      <w:jc w:val="left"/>
    </w:pPr>
    <w:rPr>
      <w:kern w:val="20"/>
      <w:lang w:eastAsia="en-US"/>
    </w:rPr>
  </w:style>
  <w:style w:type="character" w:styleId="CommentReference">
    <w:name w:val="annotation reference"/>
    <w:basedOn w:val="DefaultParagraphFont"/>
    <w:uiPriority w:val="99"/>
    <w:semiHidden/>
    <w:unhideWhenUsed/>
    <w:rsid w:val="00AA451F"/>
    <w:rPr>
      <w:sz w:val="16"/>
      <w:szCs w:val="16"/>
    </w:rPr>
  </w:style>
  <w:style w:type="paragraph" w:styleId="CommentText">
    <w:name w:val="annotation text"/>
    <w:basedOn w:val="Normal"/>
    <w:link w:val="CommentTextChar"/>
    <w:uiPriority w:val="99"/>
    <w:semiHidden/>
    <w:unhideWhenUsed/>
    <w:rsid w:val="00AA451F"/>
    <w:rPr>
      <w:sz w:val="20"/>
    </w:rPr>
  </w:style>
  <w:style w:type="character" w:customStyle="1" w:styleId="CommentTextChar">
    <w:name w:val="Comment Text Char"/>
    <w:basedOn w:val="DefaultParagraphFont"/>
    <w:link w:val="CommentText"/>
    <w:uiPriority w:val="99"/>
    <w:semiHidden/>
    <w:rsid w:val="00AA451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A451F"/>
    <w:rPr>
      <w:b/>
      <w:bCs/>
    </w:rPr>
  </w:style>
  <w:style w:type="character" w:customStyle="1" w:styleId="CommentSubjectChar">
    <w:name w:val="Comment Subject Char"/>
    <w:basedOn w:val="CommentTextChar"/>
    <w:link w:val="CommentSubject"/>
    <w:uiPriority w:val="99"/>
    <w:semiHidden/>
    <w:rsid w:val="00AA451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A45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1F"/>
    <w:rPr>
      <w:rFonts w:ascii="Tahoma" w:eastAsia="Times New Roman" w:hAnsi="Tahoma" w:cs="Tahoma"/>
      <w:sz w:val="16"/>
      <w:szCs w:val="16"/>
      <w:lang w:eastAsia="en-AU"/>
    </w:rPr>
  </w:style>
  <w:style w:type="paragraph" w:styleId="Header">
    <w:name w:val="header"/>
    <w:basedOn w:val="Normal"/>
    <w:link w:val="HeaderChar"/>
    <w:uiPriority w:val="99"/>
    <w:unhideWhenUsed/>
    <w:rsid w:val="00383003"/>
    <w:pPr>
      <w:tabs>
        <w:tab w:val="center" w:pos="4513"/>
        <w:tab w:val="right" w:pos="9026"/>
      </w:tabs>
      <w:spacing w:before="0"/>
    </w:pPr>
  </w:style>
  <w:style w:type="character" w:customStyle="1" w:styleId="HeaderChar">
    <w:name w:val="Header Char"/>
    <w:basedOn w:val="DefaultParagraphFont"/>
    <w:link w:val="Header"/>
    <w:uiPriority w:val="99"/>
    <w:rsid w:val="00383003"/>
    <w:rPr>
      <w:rFonts w:ascii="Times New Roman" w:eastAsia="Times New Roman" w:hAnsi="Times New Roman" w:cs="Times New Roman"/>
      <w:sz w:val="24"/>
      <w:szCs w:val="20"/>
      <w:lang w:eastAsia="en-AU"/>
    </w:rPr>
  </w:style>
  <w:style w:type="paragraph" w:styleId="Revision">
    <w:name w:val="Revision"/>
    <w:hidden/>
    <w:uiPriority w:val="99"/>
    <w:semiHidden/>
    <w:rsid w:val="00383003"/>
    <w:pPr>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link w:val="ListParagraphChar"/>
    <w:uiPriority w:val="34"/>
    <w:qFormat/>
    <w:rsid w:val="009E5852"/>
    <w:pPr>
      <w:ind w:left="720"/>
      <w:contextualSpacing/>
    </w:pPr>
  </w:style>
  <w:style w:type="character" w:customStyle="1" w:styleId="ListParagraphChar">
    <w:name w:val="List Paragraph Char"/>
    <w:basedOn w:val="DefaultParagraphFont"/>
    <w:link w:val="ListParagraph"/>
    <w:uiPriority w:val="34"/>
    <w:rsid w:val="00E57536"/>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1916">
      <w:bodyDiv w:val="1"/>
      <w:marLeft w:val="0"/>
      <w:marRight w:val="0"/>
      <w:marTop w:val="0"/>
      <w:marBottom w:val="0"/>
      <w:divBdr>
        <w:top w:val="none" w:sz="0" w:space="0" w:color="auto"/>
        <w:left w:val="none" w:sz="0" w:space="0" w:color="auto"/>
        <w:bottom w:val="none" w:sz="0" w:space="0" w:color="auto"/>
        <w:right w:val="none" w:sz="0" w:space="0" w:color="auto"/>
      </w:divBdr>
    </w:div>
    <w:div w:id="831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0636-6CED-4695-B4C4-EF5E88CF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MCKILLOP, Kylie</cp:lastModifiedBy>
  <cp:revision>2</cp:revision>
  <cp:lastPrinted>2018-07-12T01:35:00Z</cp:lastPrinted>
  <dcterms:created xsi:type="dcterms:W3CDTF">2018-07-31T01:37:00Z</dcterms:created>
  <dcterms:modified xsi:type="dcterms:W3CDTF">2018-07-31T01:37:00Z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8ec22ea6-3ee8-4ad4-a8f4-6c02702a7ecf</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