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DACA87" w14:textId="2DE10B86" w:rsidR="00670C8D" w:rsidRPr="00521029" w:rsidRDefault="005B5A11" w:rsidP="00670C8D">
      <w:pPr>
        <w:pStyle w:val="Heading1"/>
        <w:spacing w:before="0" w:after="0" w:line="240" w:lineRule="auto"/>
        <w:jc w:val="center"/>
        <w:rPr>
          <w:rFonts w:ascii="Times New Roman" w:hAnsi="Times New Roman"/>
          <w:b/>
          <w:sz w:val="24"/>
          <w:u w:val="single"/>
        </w:rPr>
      </w:pPr>
      <w:bookmarkStart w:id="0" w:name="_GoBack"/>
      <w:bookmarkEnd w:id="0"/>
      <w:r>
        <w:rPr>
          <w:rFonts w:ascii="Times New Roman" w:hAnsi="Times New Roman"/>
          <w:b/>
          <w:sz w:val="24"/>
          <w:u w:val="single"/>
        </w:rPr>
        <w:t>Service and execution of process regulations 2018</w:t>
      </w:r>
    </w:p>
    <w:p w14:paraId="38DACA88" w14:textId="77777777" w:rsidR="00670C8D" w:rsidRPr="00521029" w:rsidRDefault="00670C8D" w:rsidP="00521029">
      <w:pPr>
        <w:rPr>
          <w:rFonts w:ascii="Times New Roman" w:hAnsi="Times New Roman"/>
        </w:rPr>
      </w:pPr>
    </w:p>
    <w:p w14:paraId="38DACA89" w14:textId="77777777" w:rsidR="00670C8D" w:rsidRPr="00E81349" w:rsidRDefault="00670C8D" w:rsidP="00670C8D">
      <w:pPr>
        <w:pStyle w:val="Heading1"/>
        <w:spacing w:before="0" w:after="0" w:line="240" w:lineRule="auto"/>
        <w:jc w:val="center"/>
        <w:rPr>
          <w:rFonts w:ascii="Times New Roman" w:hAnsi="Times New Roman"/>
          <w:b/>
          <w:color w:val="FF0000"/>
          <w:sz w:val="24"/>
          <w:u w:val="single"/>
        </w:rPr>
      </w:pPr>
    </w:p>
    <w:p w14:paraId="38DACA8B" w14:textId="175BEFBE" w:rsidR="00670C8D" w:rsidRPr="001D3031" w:rsidRDefault="002B361E" w:rsidP="005B5A11">
      <w:pPr>
        <w:pStyle w:val="Heading1"/>
        <w:spacing w:before="0" w:after="0" w:line="240" w:lineRule="auto"/>
        <w:jc w:val="center"/>
        <w:rPr>
          <w:rFonts w:ascii="Times New Roman" w:hAnsi="Times New Roman"/>
          <w:caps w:val="0"/>
          <w:color w:val="FF0000"/>
          <w:sz w:val="24"/>
          <w:szCs w:val="24"/>
        </w:rPr>
      </w:pPr>
      <w:r w:rsidRPr="00E81349">
        <w:rPr>
          <w:rFonts w:ascii="Times New Roman" w:hAnsi="Times New Roman"/>
          <w:b/>
          <w:sz w:val="24"/>
          <w:u w:val="single"/>
        </w:rPr>
        <w:t>EXPLANATORY STATEMENT</w:t>
      </w:r>
    </w:p>
    <w:p w14:paraId="38DACA8C" w14:textId="77777777" w:rsidR="002B361E" w:rsidRPr="001D3031" w:rsidRDefault="002B361E" w:rsidP="00CF14E3">
      <w:pPr>
        <w:spacing w:line="360" w:lineRule="auto"/>
        <w:jc w:val="center"/>
        <w:rPr>
          <w:rFonts w:ascii="Times New Roman" w:hAnsi="Times New Roman" w:cs="Times New Roman"/>
          <w:b/>
          <w:sz w:val="24"/>
          <w:u w:val="single"/>
        </w:rPr>
      </w:pPr>
    </w:p>
    <w:p w14:paraId="38DACA8D" w14:textId="77777777" w:rsidR="005D194A" w:rsidRPr="00521029" w:rsidRDefault="00E23B2F" w:rsidP="00CF14E3">
      <w:pPr>
        <w:spacing w:line="360" w:lineRule="auto"/>
        <w:jc w:val="center"/>
        <w:rPr>
          <w:rFonts w:ascii="Times New Roman" w:hAnsi="Times New Roman" w:cs="Times New Roman"/>
        </w:rPr>
      </w:pPr>
      <w:r w:rsidRPr="001D3031">
        <w:rPr>
          <w:rFonts w:ascii="Times New Roman" w:hAnsi="Times New Roman" w:cs="Times New Roman"/>
        </w:rPr>
        <w:t>Issued by authority of the Attorney-General</w:t>
      </w:r>
      <w:r w:rsidR="005D194A" w:rsidRPr="00521029">
        <w:rPr>
          <w:rFonts w:ascii="Times New Roman" w:hAnsi="Times New Roman" w:cs="Times New Roman"/>
        </w:rPr>
        <w:t xml:space="preserve"> </w:t>
      </w:r>
    </w:p>
    <w:p w14:paraId="38DACA8E" w14:textId="77777777" w:rsidR="00AF0C63" w:rsidRPr="003960B5" w:rsidRDefault="00C16B35" w:rsidP="00CF14E3">
      <w:pPr>
        <w:spacing w:line="360" w:lineRule="auto"/>
        <w:jc w:val="center"/>
        <w:rPr>
          <w:rFonts w:ascii="Times New Roman" w:hAnsi="Times New Roman" w:cs="Times New Roman"/>
          <w:i/>
        </w:rPr>
      </w:pPr>
      <w:r w:rsidRPr="003960B5">
        <w:rPr>
          <w:rFonts w:ascii="Times New Roman" w:hAnsi="Times New Roman" w:cs="Times New Roman"/>
        </w:rPr>
        <w:t>in compliance with</w:t>
      </w:r>
      <w:r w:rsidR="005D194A" w:rsidRPr="003960B5">
        <w:rPr>
          <w:rFonts w:ascii="Times New Roman" w:hAnsi="Times New Roman" w:cs="Times New Roman"/>
        </w:rPr>
        <w:t xml:space="preserve"> section 15J of the </w:t>
      </w:r>
      <w:r w:rsidR="00AC39E5" w:rsidRPr="003960B5">
        <w:rPr>
          <w:rFonts w:ascii="Times New Roman" w:hAnsi="Times New Roman" w:cs="Times New Roman"/>
          <w:i/>
        </w:rPr>
        <w:t>Legislati</w:t>
      </w:r>
      <w:r w:rsidR="005D194A" w:rsidRPr="003960B5">
        <w:rPr>
          <w:rFonts w:ascii="Times New Roman" w:hAnsi="Times New Roman" w:cs="Times New Roman"/>
          <w:i/>
        </w:rPr>
        <w:t>on</w:t>
      </w:r>
      <w:r w:rsidR="00AC39E5" w:rsidRPr="003960B5">
        <w:rPr>
          <w:rFonts w:ascii="Times New Roman" w:hAnsi="Times New Roman" w:cs="Times New Roman"/>
          <w:i/>
        </w:rPr>
        <w:t xml:space="preserve"> Act </w:t>
      </w:r>
      <w:r w:rsidR="005D194A" w:rsidRPr="003960B5">
        <w:rPr>
          <w:rFonts w:ascii="Times New Roman" w:hAnsi="Times New Roman" w:cs="Times New Roman"/>
          <w:i/>
        </w:rPr>
        <w:t>20</w:t>
      </w:r>
      <w:r w:rsidR="00AF0C63" w:rsidRPr="003960B5">
        <w:rPr>
          <w:rFonts w:ascii="Times New Roman" w:hAnsi="Times New Roman" w:cs="Times New Roman"/>
          <w:i/>
        </w:rPr>
        <w:t>0</w:t>
      </w:r>
      <w:r w:rsidR="005D194A" w:rsidRPr="003960B5">
        <w:rPr>
          <w:rFonts w:ascii="Times New Roman" w:hAnsi="Times New Roman" w:cs="Times New Roman"/>
          <w:i/>
        </w:rPr>
        <w:t>3</w:t>
      </w:r>
      <w:r w:rsidR="00AF0C63" w:rsidRPr="003960B5">
        <w:rPr>
          <w:rFonts w:ascii="Times New Roman" w:hAnsi="Times New Roman" w:cs="Times New Roman"/>
          <w:i/>
        </w:rPr>
        <w:t xml:space="preserve"> </w:t>
      </w:r>
    </w:p>
    <w:p w14:paraId="38DACA93" w14:textId="77777777" w:rsidR="0026109C" w:rsidRPr="00521029" w:rsidRDefault="0026109C" w:rsidP="00CF14E3">
      <w:pPr>
        <w:spacing w:line="360" w:lineRule="auto"/>
        <w:rPr>
          <w:rFonts w:ascii="Times New Roman" w:hAnsi="Times New Roman" w:cs="Times New Roman"/>
          <w:b/>
          <w:sz w:val="24"/>
          <w:szCs w:val="24"/>
        </w:rPr>
      </w:pPr>
      <w:r w:rsidRPr="00521029">
        <w:rPr>
          <w:rFonts w:ascii="Times New Roman" w:hAnsi="Times New Roman" w:cs="Times New Roman"/>
          <w:b/>
          <w:caps/>
          <w:sz w:val="24"/>
          <w:szCs w:val="24"/>
        </w:rPr>
        <w:t>Purpose and operation of the Instrument</w:t>
      </w:r>
    </w:p>
    <w:p w14:paraId="238C0D30" w14:textId="6A2A6595" w:rsidR="003960B5" w:rsidRPr="00672A3B" w:rsidRDefault="003960B5" w:rsidP="003960B5">
      <w:pPr>
        <w:pStyle w:val="NormalWeb"/>
        <w:shd w:val="clear" w:color="auto" w:fill="FFFFFF"/>
        <w:spacing w:after="200" w:afterAutospacing="0" w:line="360" w:lineRule="auto"/>
        <w:rPr>
          <w:color w:val="000000"/>
          <w:sz w:val="22"/>
          <w:szCs w:val="22"/>
        </w:rPr>
      </w:pPr>
      <w:r w:rsidRPr="00672A3B">
        <w:rPr>
          <w:color w:val="000000"/>
          <w:sz w:val="22"/>
          <w:szCs w:val="22"/>
        </w:rPr>
        <w:t>The</w:t>
      </w:r>
      <w:r w:rsidRPr="00672A3B">
        <w:rPr>
          <w:rStyle w:val="apple-converted-space"/>
          <w:color w:val="000000"/>
          <w:sz w:val="22"/>
          <w:szCs w:val="22"/>
        </w:rPr>
        <w:t> </w:t>
      </w:r>
      <w:r w:rsidRPr="00672A3B">
        <w:rPr>
          <w:i/>
          <w:iCs/>
          <w:color w:val="000000"/>
          <w:sz w:val="22"/>
          <w:szCs w:val="22"/>
        </w:rPr>
        <w:t>Service and Execution of Process Act 1992</w:t>
      </w:r>
      <w:r w:rsidR="0063279C">
        <w:rPr>
          <w:i/>
          <w:iCs/>
          <w:color w:val="000000"/>
          <w:sz w:val="22"/>
          <w:szCs w:val="22"/>
        </w:rPr>
        <w:t xml:space="preserve"> </w:t>
      </w:r>
      <w:r w:rsidR="0063279C">
        <w:rPr>
          <w:iCs/>
          <w:color w:val="000000"/>
          <w:sz w:val="22"/>
          <w:szCs w:val="22"/>
        </w:rPr>
        <w:t>(Cth)</w:t>
      </w:r>
      <w:r w:rsidRPr="00672A3B">
        <w:rPr>
          <w:rStyle w:val="apple-converted-space"/>
          <w:color w:val="000000"/>
          <w:sz w:val="22"/>
          <w:szCs w:val="22"/>
        </w:rPr>
        <w:t> </w:t>
      </w:r>
      <w:r w:rsidRPr="00672A3B">
        <w:rPr>
          <w:color w:val="000000"/>
          <w:sz w:val="22"/>
          <w:szCs w:val="22"/>
        </w:rPr>
        <w:t>(the Act) allows the service of process and the enforcement of judgements of state and territory courts and tribunals throughout the Commonwealth with few formal requirements.</w:t>
      </w:r>
      <w:r w:rsidR="00E24C69" w:rsidRPr="00E24C69">
        <w:rPr>
          <w:color w:val="000000"/>
          <w:sz w:val="21"/>
          <w:szCs w:val="21"/>
        </w:rPr>
        <w:t xml:space="preserve"> </w:t>
      </w:r>
      <w:r w:rsidR="00E24C69">
        <w:rPr>
          <w:color w:val="000000"/>
          <w:sz w:val="21"/>
          <w:szCs w:val="21"/>
        </w:rPr>
        <w:t>The Act provides that s</w:t>
      </w:r>
      <w:r w:rsidR="00E24C69" w:rsidRPr="00672A3B">
        <w:rPr>
          <w:color w:val="000000"/>
          <w:sz w:val="21"/>
          <w:szCs w:val="21"/>
        </w:rPr>
        <w:t xml:space="preserve">ervice interstate of </w:t>
      </w:r>
      <w:r w:rsidR="00FB4B00">
        <w:rPr>
          <w:color w:val="000000"/>
          <w:sz w:val="21"/>
          <w:szCs w:val="21"/>
        </w:rPr>
        <w:t xml:space="preserve">an </w:t>
      </w:r>
      <w:r w:rsidR="00E24C69" w:rsidRPr="00672A3B">
        <w:rPr>
          <w:color w:val="000000"/>
          <w:sz w:val="21"/>
          <w:szCs w:val="21"/>
        </w:rPr>
        <w:t>initiating process or a subpoena is effective only if copies of any prescribed notices are attached to the initiating process or subpoena.</w:t>
      </w:r>
    </w:p>
    <w:p w14:paraId="3D0142B0" w14:textId="77777777" w:rsidR="00E24C69" w:rsidRDefault="003960B5" w:rsidP="0088295E">
      <w:pPr>
        <w:pStyle w:val="NormalWeb"/>
        <w:shd w:val="clear" w:color="auto" w:fill="FFFFFF"/>
        <w:spacing w:after="200" w:afterAutospacing="0" w:line="360" w:lineRule="auto"/>
        <w:rPr>
          <w:color w:val="000000"/>
          <w:sz w:val="22"/>
          <w:szCs w:val="22"/>
        </w:rPr>
      </w:pPr>
      <w:r w:rsidRPr="00672A3B">
        <w:rPr>
          <w:color w:val="000000"/>
          <w:sz w:val="22"/>
          <w:szCs w:val="22"/>
        </w:rPr>
        <w:t xml:space="preserve">Subsection </w:t>
      </w:r>
      <w:r w:rsidR="00586C4E" w:rsidRPr="00672A3B">
        <w:rPr>
          <w:color w:val="000000"/>
          <w:sz w:val="22"/>
          <w:szCs w:val="22"/>
        </w:rPr>
        <w:t xml:space="preserve">132(1) of the Act provides that </w:t>
      </w:r>
      <w:r w:rsidRPr="00672A3B">
        <w:rPr>
          <w:color w:val="000000"/>
          <w:sz w:val="22"/>
          <w:szCs w:val="22"/>
        </w:rPr>
        <w:t>the Governor-General may make regulations prescribing all matters required or permitted to be prescribed or necessary or convenient to be prescribed for carrying out or giving effect to the Act.</w:t>
      </w:r>
      <w:r w:rsidR="00E24C69">
        <w:rPr>
          <w:color w:val="000000"/>
          <w:sz w:val="22"/>
          <w:szCs w:val="22"/>
        </w:rPr>
        <w:t xml:space="preserve"> </w:t>
      </w:r>
    </w:p>
    <w:p w14:paraId="1FA405AC" w14:textId="3661609D" w:rsidR="00672A3B" w:rsidRPr="00672A3B" w:rsidRDefault="00E24C69" w:rsidP="0088295E">
      <w:pPr>
        <w:pStyle w:val="NormalWeb"/>
        <w:shd w:val="clear" w:color="auto" w:fill="FFFFFF"/>
        <w:spacing w:after="200" w:afterAutospacing="0" w:line="360" w:lineRule="auto"/>
        <w:rPr>
          <w:color w:val="000000"/>
          <w:sz w:val="22"/>
          <w:szCs w:val="22"/>
        </w:rPr>
      </w:pPr>
      <w:r>
        <w:rPr>
          <w:color w:val="000000"/>
          <w:sz w:val="22"/>
          <w:szCs w:val="22"/>
        </w:rPr>
        <w:t xml:space="preserve">The </w:t>
      </w:r>
      <w:r w:rsidRPr="0063279C">
        <w:rPr>
          <w:i/>
          <w:color w:val="000000"/>
          <w:sz w:val="22"/>
          <w:szCs w:val="22"/>
        </w:rPr>
        <w:t>Service and Execution of Process Regulations 1993</w:t>
      </w:r>
      <w:r>
        <w:rPr>
          <w:color w:val="000000"/>
          <w:sz w:val="22"/>
          <w:szCs w:val="22"/>
        </w:rPr>
        <w:t xml:space="preserve"> </w:t>
      </w:r>
      <w:r w:rsidR="00FB4B00">
        <w:rPr>
          <w:color w:val="000000"/>
          <w:sz w:val="22"/>
          <w:szCs w:val="22"/>
        </w:rPr>
        <w:t xml:space="preserve">(the current Regulations) </w:t>
      </w:r>
      <w:r>
        <w:rPr>
          <w:color w:val="000000"/>
          <w:sz w:val="22"/>
          <w:szCs w:val="22"/>
        </w:rPr>
        <w:t>were due to sunset in October 2018 and have been remade with m</w:t>
      </w:r>
      <w:r w:rsidRPr="00E24C69">
        <w:rPr>
          <w:color w:val="000000"/>
          <w:sz w:val="22"/>
          <w:szCs w:val="22"/>
        </w:rPr>
        <w:t xml:space="preserve">inor </w:t>
      </w:r>
      <w:r>
        <w:rPr>
          <w:color w:val="000000"/>
          <w:sz w:val="22"/>
          <w:szCs w:val="22"/>
        </w:rPr>
        <w:t xml:space="preserve">amendments </w:t>
      </w:r>
      <w:r w:rsidRPr="00E24C69">
        <w:rPr>
          <w:color w:val="000000"/>
          <w:sz w:val="22"/>
          <w:szCs w:val="22"/>
        </w:rPr>
        <w:t xml:space="preserve">to ensure fitness for purpose, consistency with current drafting practices, and </w:t>
      </w:r>
      <w:r>
        <w:rPr>
          <w:color w:val="000000"/>
          <w:sz w:val="22"/>
          <w:szCs w:val="22"/>
        </w:rPr>
        <w:t xml:space="preserve">to </w:t>
      </w:r>
      <w:r w:rsidRPr="00E24C69">
        <w:rPr>
          <w:color w:val="000000"/>
          <w:sz w:val="22"/>
          <w:szCs w:val="22"/>
        </w:rPr>
        <w:t>remove obsolete or unnecessary provisions.</w:t>
      </w:r>
      <w:r>
        <w:rPr>
          <w:color w:val="000000"/>
          <w:sz w:val="22"/>
          <w:szCs w:val="22"/>
        </w:rPr>
        <w:t xml:space="preserve"> </w:t>
      </w:r>
    </w:p>
    <w:p w14:paraId="77EC4FA0" w14:textId="70B20C6B" w:rsidR="00672A3B" w:rsidRPr="00672A3B" w:rsidRDefault="00E24C69" w:rsidP="0088295E">
      <w:pPr>
        <w:pStyle w:val="NormalWeb"/>
        <w:shd w:val="clear" w:color="auto" w:fill="FFFFFF"/>
        <w:spacing w:after="200" w:afterAutospacing="0" w:line="360" w:lineRule="auto"/>
        <w:rPr>
          <w:color w:val="000000"/>
          <w:sz w:val="22"/>
          <w:szCs w:val="22"/>
        </w:rPr>
      </w:pPr>
      <w:r>
        <w:rPr>
          <w:iCs/>
          <w:color w:val="000000"/>
          <w:sz w:val="22"/>
          <w:szCs w:val="22"/>
        </w:rPr>
        <w:t xml:space="preserve">The </w:t>
      </w:r>
      <w:r w:rsidR="00672A3B" w:rsidRPr="00210642">
        <w:rPr>
          <w:i/>
          <w:iCs/>
          <w:color w:val="000000"/>
          <w:sz w:val="22"/>
          <w:szCs w:val="22"/>
        </w:rPr>
        <w:t>Service and Execution of Process Regulations 2018</w:t>
      </w:r>
      <w:r w:rsidR="00672A3B" w:rsidRPr="00672A3B">
        <w:rPr>
          <w:rStyle w:val="apple-converted-space"/>
          <w:i/>
          <w:iCs/>
          <w:color w:val="000000"/>
          <w:sz w:val="22"/>
          <w:szCs w:val="22"/>
        </w:rPr>
        <w:t> </w:t>
      </w:r>
      <w:r w:rsidR="00672A3B" w:rsidRPr="00672A3B">
        <w:rPr>
          <w:color w:val="000000"/>
          <w:sz w:val="22"/>
          <w:szCs w:val="22"/>
        </w:rPr>
        <w:t xml:space="preserve">(the Regulations) </w:t>
      </w:r>
      <w:r>
        <w:rPr>
          <w:color w:val="000000"/>
          <w:sz w:val="22"/>
          <w:szCs w:val="22"/>
        </w:rPr>
        <w:t xml:space="preserve">as remade, </w:t>
      </w:r>
      <w:r w:rsidR="00672A3B" w:rsidRPr="00672A3B">
        <w:rPr>
          <w:color w:val="000000"/>
          <w:sz w:val="22"/>
          <w:szCs w:val="22"/>
        </w:rPr>
        <w:t>contain:</w:t>
      </w:r>
    </w:p>
    <w:p w14:paraId="3D115191" w14:textId="50C43615" w:rsidR="00672A3B" w:rsidRPr="00672A3B" w:rsidRDefault="00672A3B" w:rsidP="0088295E">
      <w:pPr>
        <w:pStyle w:val="NormalWeb"/>
        <w:numPr>
          <w:ilvl w:val="0"/>
          <w:numId w:val="16"/>
        </w:numPr>
        <w:shd w:val="clear" w:color="auto" w:fill="FFFFFF"/>
        <w:spacing w:after="200" w:afterAutospacing="0" w:line="360" w:lineRule="auto"/>
        <w:rPr>
          <w:color w:val="000000"/>
          <w:sz w:val="22"/>
          <w:szCs w:val="22"/>
        </w:rPr>
      </w:pPr>
      <w:r w:rsidRPr="00672A3B">
        <w:rPr>
          <w:color w:val="000000"/>
          <w:sz w:val="22"/>
          <w:szCs w:val="22"/>
        </w:rPr>
        <w:t xml:space="preserve">the prescribed notices </w:t>
      </w:r>
      <w:r w:rsidR="00586C4E" w:rsidRPr="00672A3B">
        <w:rPr>
          <w:color w:val="000000"/>
          <w:sz w:val="22"/>
          <w:szCs w:val="22"/>
        </w:rPr>
        <w:t xml:space="preserve">which </w:t>
      </w:r>
      <w:r w:rsidRPr="00672A3B">
        <w:rPr>
          <w:color w:val="000000"/>
          <w:sz w:val="22"/>
          <w:szCs w:val="22"/>
        </w:rPr>
        <w:t>are to be attached to the process of State and Territory courts and tribunal</w:t>
      </w:r>
      <w:r w:rsidR="00FB4B00">
        <w:rPr>
          <w:color w:val="000000"/>
          <w:sz w:val="22"/>
          <w:szCs w:val="22"/>
        </w:rPr>
        <w:t>s,</w:t>
      </w:r>
      <w:r w:rsidRPr="00672A3B">
        <w:rPr>
          <w:color w:val="000000"/>
          <w:sz w:val="22"/>
          <w:szCs w:val="22"/>
        </w:rPr>
        <w:t xml:space="preserve"> setting</w:t>
      </w:r>
      <w:r w:rsidR="0088295E" w:rsidRPr="00672A3B">
        <w:rPr>
          <w:color w:val="000000"/>
          <w:sz w:val="22"/>
          <w:szCs w:val="22"/>
        </w:rPr>
        <w:t xml:space="preserve"> out information about the rights and obligations of the person to whom the p</w:t>
      </w:r>
      <w:r w:rsidRPr="00672A3B">
        <w:rPr>
          <w:color w:val="000000"/>
          <w:sz w:val="22"/>
          <w:szCs w:val="22"/>
        </w:rPr>
        <w:t>rocess or subpoena is addressed;</w:t>
      </w:r>
    </w:p>
    <w:p w14:paraId="62E0B162" w14:textId="125BB5AC" w:rsidR="00672A3B" w:rsidRPr="00672A3B" w:rsidRDefault="0088295E" w:rsidP="00672A3B">
      <w:pPr>
        <w:pStyle w:val="NormalWeb"/>
        <w:numPr>
          <w:ilvl w:val="0"/>
          <w:numId w:val="16"/>
        </w:numPr>
        <w:shd w:val="clear" w:color="auto" w:fill="FFFFFF"/>
        <w:spacing w:after="200" w:afterAutospacing="0" w:line="360" w:lineRule="auto"/>
        <w:rPr>
          <w:color w:val="000000"/>
          <w:sz w:val="22"/>
          <w:szCs w:val="22"/>
        </w:rPr>
      </w:pPr>
      <w:r w:rsidRPr="00672A3B">
        <w:rPr>
          <w:color w:val="000000"/>
          <w:sz w:val="22"/>
          <w:szCs w:val="22"/>
        </w:rPr>
        <w:t xml:space="preserve">a list of authorities who </w:t>
      </w:r>
      <w:r w:rsidR="00672A3B" w:rsidRPr="00672A3B">
        <w:rPr>
          <w:color w:val="000000"/>
          <w:sz w:val="22"/>
          <w:szCs w:val="22"/>
        </w:rPr>
        <w:t>may issue a warrant for the arrest and return to custody or detention of a person following the revocation or cancellation of certain orders</w:t>
      </w:r>
      <w:r w:rsidR="00CA0665">
        <w:rPr>
          <w:color w:val="000000"/>
          <w:sz w:val="22"/>
          <w:szCs w:val="22"/>
        </w:rPr>
        <w:t>; and</w:t>
      </w:r>
    </w:p>
    <w:p w14:paraId="4F5D51DF" w14:textId="4DA170C4" w:rsidR="0088295E" w:rsidRPr="00672A3B" w:rsidRDefault="0088295E" w:rsidP="00672A3B">
      <w:pPr>
        <w:pStyle w:val="NormalWeb"/>
        <w:numPr>
          <w:ilvl w:val="0"/>
          <w:numId w:val="16"/>
        </w:numPr>
        <w:shd w:val="clear" w:color="auto" w:fill="FFFFFF"/>
        <w:spacing w:after="200" w:afterAutospacing="0" w:line="360" w:lineRule="auto"/>
        <w:rPr>
          <w:color w:val="000000"/>
          <w:sz w:val="22"/>
          <w:szCs w:val="22"/>
        </w:rPr>
      </w:pPr>
      <w:r w:rsidRPr="00672A3B">
        <w:rPr>
          <w:color w:val="000000"/>
          <w:sz w:val="22"/>
          <w:szCs w:val="22"/>
        </w:rPr>
        <w:t>a list of persons taken to be in charge of a correction servi</w:t>
      </w:r>
      <w:r w:rsidR="00CA0665">
        <w:rPr>
          <w:color w:val="000000"/>
          <w:sz w:val="22"/>
          <w:szCs w:val="22"/>
        </w:rPr>
        <w:t>ce within a State or Territory</w:t>
      </w:r>
      <w:r w:rsidR="00672A3B" w:rsidRPr="00672A3B">
        <w:rPr>
          <w:color w:val="000000"/>
          <w:sz w:val="22"/>
          <w:szCs w:val="22"/>
        </w:rPr>
        <w:t xml:space="preserve">. </w:t>
      </w:r>
      <w:r w:rsidRPr="00672A3B">
        <w:rPr>
          <w:color w:val="000000"/>
          <w:sz w:val="22"/>
          <w:szCs w:val="22"/>
        </w:rPr>
        <w:t xml:space="preserve"> </w:t>
      </w:r>
    </w:p>
    <w:p w14:paraId="38DACA9E" w14:textId="77777777" w:rsidR="0026109C" w:rsidRPr="00521029" w:rsidRDefault="004F430F" w:rsidP="00CF14E3">
      <w:pPr>
        <w:spacing w:line="360" w:lineRule="auto"/>
        <w:rPr>
          <w:rFonts w:ascii="Times New Roman" w:hAnsi="Times New Roman" w:cs="Times New Roman"/>
          <w:b/>
          <w:caps/>
          <w:sz w:val="24"/>
          <w:szCs w:val="24"/>
        </w:rPr>
      </w:pPr>
      <w:r w:rsidRPr="00521029">
        <w:rPr>
          <w:rFonts w:ascii="Times New Roman" w:hAnsi="Times New Roman" w:cs="Times New Roman"/>
          <w:b/>
          <w:caps/>
          <w:sz w:val="24"/>
          <w:szCs w:val="24"/>
        </w:rPr>
        <w:t>Consultation</w:t>
      </w:r>
    </w:p>
    <w:p w14:paraId="029E31F4" w14:textId="5A6462C7" w:rsidR="00C92F5E" w:rsidRPr="00607F9A" w:rsidRDefault="00C92F5E" w:rsidP="00607F9A">
      <w:pPr>
        <w:pStyle w:val="NormalWeb"/>
        <w:shd w:val="clear" w:color="auto" w:fill="FFFFFF"/>
        <w:spacing w:after="200" w:afterAutospacing="0" w:line="360" w:lineRule="auto"/>
        <w:rPr>
          <w:color w:val="000000"/>
          <w:sz w:val="22"/>
          <w:szCs w:val="22"/>
        </w:rPr>
      </w:pPr>
      <w:r w:rsidRPr="00607F9A">
        <w:rPr>
          <w:color w:val="000000"/>
          <w:sz w:val="22"/>
          <w:szCs w:val="22"/>
        </w:rPr>
        <w:t xml:space="preserve">Consistent with the requirements of the </w:t>
      </w:r>
      <w:r w:rsidRPr="00607F9A">
        <w:rPr>
          <w:i/>
          <w:color w:val="000000"/>
          <w:sz w:val="22"/>
          <w:szCs w:val="22"/>
        </w:rPr>
        <w:t>Legislation Act 2003</w:t>
      </w:r>
      <w:r w:rsidR="00607F9A" w:rsidRPr="00607F9A">
        <w:rPr>
          <w:color w:val="000000"/>
          <w:sz w:val="22"/>
          <w:szCs w:val="22"/>
        </w:rPr>
        <w:t xml:space="preserve">, State and Territory Departments of Justice, Courts and Law Societies were consulted over a three week period during the initial review </w:t>
      </w:r>
      <w:r w:rsidR="00607F9A" w:rsidRPr="00607F9A">
        <w:rPr>
          <w:color w:val="000000"/>
          <w:sz w:val="22"/>
          <w:szCs w:val="22"/>
        </w:rPr>
        <w:lastRenderedPageBreak/>
        <w:t>and</w:t>
      </w:r>
      <w:r w:rsidR="00E573A1">
        <w:rPr>
          <w:color w:val="000000"/>
          <w:sz w:val="22"/>
          <w:szCs w:val="22"/>
        </w:rPr>
        <w:t xml:space="preserve"> </w:t>
      </w:r>
      <w:r w:rsidR="00607F9A" w:rsidRPr="00607F9A">
        <w:rPr>
          <w:color w:val="000000"/>
          <w:sz w:val="22"/>
          <w:szCs w:val="22"/>
        </w:rPr>
        <w:t>throughout the drafting process. State and Territory bodies were asked to review the Regulations, determine whether they should be remade, advise any updates required and note any issues or difficulties experienced in the operation of the Regulations.</w:t>
      </w:r>
      <w:r w:rsidR="00E573A1">
        <w:rPr>
          <w:color w:val="000000"/>
          <w:sz w:val="22"/>
          <w:szCs w:val="22"/>
        </w:rPr>
        <w:t xml:space="preserve"> Only minor amendments were suggested </w:t>
      </w:r>
      <w:r w:rsidR="00FB4B00">
        <w:rPr>
          <w:color w:val="000000"/>
          <w:sz w:val="22"/>
          <w:szCs w:val="22"/>
        </w:rPr>
        <w:t xml:space="preserve">by State and Territory bodies </w:t>
      </w:r>
      <w:r w:rsidR="00E573A1">
        <w:rPr>
          <w:color w:val="000000"/>
          <w:sz w:val="22"/>
          <w:szCs w:val="22"/>
        </w:rPr>
        <w:t xml:space="preserve">to ensure currency. </w:t>
      </w:r>
    </w:p>
    <w:p w14:paraId="38DACAA2" w14:textId="77777777" w:rsidR="00566C9B" w:rsidRPr="00521029" w:rsidRDefault="004F430F" w:rsidP="00CF14E3">
      <w:pPr>
        <w:spacing w:line="360" w:lineRule="auto"/>
        <w:rPr>
          <w:rFonts w:ascii="Times New Roman" w:hAnsi="Times New Roman" w:cs="Times New Roman"/>
          <w:b/>
          <w:caps/>
          <w:sz w:val="24"/>
          <w:szCs w:val="24"/>
        </w:rPr>
      </w:pPr>
      <w:r w:rsidRPr="00521029">
        <w:rPr>
          <w:rFonts w:ascii="Times New Roman" w:hAnsi="Times New Roman" w:cs="Times New Roman"/>
          <w:b/>
          <w:caps/>
          <w:sz w:val="24"/>
          <w:szCs w:val="24"/>
        </w:rPr>
        <w:t>Regulation Impact Statement</w:t>
      </w:r>
    </w:p>
    <w:p w14:paraId="3269361E" w14:textId="2F50E600" w:rsidR="00607F9A" w:rsidRPr="00607F9A" w:rsidRDefault="00607F9A" w:rsidP="00607F9A">
      <w:pPr>
        <w:spacing w:line="360" w:lineRule="auto"/>
        <w:rPr>
          <w:iCs/>
        </w:rPr>
      </w:pPr>
      <w:r w:rsidRPr="00607F9A">
        <w:rPr>
          <w:rFonts w:ascii="Times New Roman" w:hAnsi="Times New Roman" w:cs="Times New Roman"/>
        </w:rPr>
        <w:t xml:space="preserve">The Office of Best Practice Regulation issued a </w:t>
      </w:r>
      <w:r w:rsidRPr="00607F9A">
        <w:rPr>
          <w:rFonts w:ascii="Times New Roman" w:hAnsi="Times New Roman" w:cs="Times New Roman"/>
          <w:i/>
        </w:rPr>
        <w:t xml:space="preserve">Guidance Note on Sunsetting Legislative Arrangements </w:t>
      </w:r>
      <w:r w:rsidRPr="00607F9A">
        <w:rPr>
          <w:rFonts w:ascii="Times New Roman" w:hAnsi="Times New Roman" w:cs="Times New Roman"/>
        </w:rPr>
        <w:t xml:space="preserve">which stipulates that agencies can self-assess the performance of the instrument. The Attorney-General’s Department assessed that the </w:t>
      </w:r>
      <w:r w:rsidR="00FB4B00">
        <w:rPr>
          <w:rFonts w:ascii="Times New Roman" w:hAnsi="Times New Roman" w:cs="Times New Roman"/>
        </w:rPr>
        <w:t>current Regulations</w:t>
      </w:r>
      <w:r w:rsidRPr="00607F9A">
        <w:rPr>
          <w:rFonts w:ascii="Times New Roman" w:hAnsi="Times New Roman" w:cs="Times New Roman"/>
        </w:rPr>
        <w:t xml:space="preserve"> were operating effectively and efficiently and that a Regulation Impact Statement</w:t>
      </w:r>
      <w:r w:rsidR="00FB4B00">
        <w:rPr>
          <w:rFonts w:ascii="Times New Roman" w:hAnsi="Times New Roman" w:cs="Times New Roman"/>
        </w:rPr>
        <w:t xml:space="preserve"> was</w:t>
      </w:r>
      <w:r w:rsidRPr="00607F9A">
        <w:rPr>
          <w:rFonts w:ascii="Times New Roman" w:hAnsi="Times New Roman" w:cs="Times New Roman"/>
        </w:rPr>
        <w:t xml:space="preserve"> not required for the Regulation</w:t>
      </w:r>
      <w:r w:rsidR="0063279C">
        <w:rPr>
          <w:rFonts w:ascii="Times New Roman" w:hAnsi="Times New Roman" w:cs="Times New Roman"/>
        </w:rPr>
        <w:t>s</w:t>
      </w:r>
      <w:r w:rsidRPr="00607F9A">
        <w:rPr>
          <w:rFonts w:ascii="Times New Roman" w:hAnsi="Times New Roman" w:cs="Times New Roman"/>
        </w:rPr>
        <w:t xml:space="preserve"> to be remade. </w:t>
      </w:r>
      <w:r w:rsidRPr="00607F9A">
        <w:rPr>
          <w:rFonts w:ascii="Times New Roman" w:hAnsi="Times New Roman" w:cs="Times New Roman"/>
          <w:i/>
        </w:rPr>
        <w:t xml:space="preserve"> </w:t>
      </w:r>
    </w:p>
    <w:p w14:paraId="38DACAA5" w14:textId="77777777" w:rsidR="008B2955" w:rsidRPr="00521029" w:rsidRDefault="008B2955" w:rsidP="00CF14E3">
      <w:pPr>
        <w:spacing w:line="360" w:lineRule="auto"/>
        <w:rPr>
          <w:rFonts w:ascii="Times New Roman" w:hAnsi="Times New Roman" w:cs="Times New Roman"/>
          <w:b/>
          <w:caps/>
          <w:sz w:val="24"/>
          <w:szCs w:val="24"/>
        </w:rPr>
      </w:pPr>
      <w:r w:rsidRPr="00521029">
        <w:rPr>
          <w:rFonts w:ascii="Times New Roman" w:hAnsi="Times New Roman" w:cs="Times New Roman"/>
          <w:b/>
          <w:caps/>
          <w:sz w:val="24"/>
          <w:szCs w:val="24"/>
        </w:rPr>
        <w:t>Statement of Compatibility with Human Rights</w:t>
      </w:r>
    </w:p>
    <w:p w14:paraId="38DACAA6" w14:textId="77777777" w:rsidR="001D3031" w:rsidRDefault="001D3031" w:rsidP="00AF3FA2">
      <w:pPr>
        <w:spacing w:after="0" w:line="360" w:lineRule="auto"/>
        <w:rPr>
          <w:rFonts w:ascii="Times New Roman" w:hAnsi="Times New Roman" w:cs="Times New Roman"/>
          <w:i/>
          <w:iCs/>
          <w:color w:val="000000"/>
        </w:rPr>
      </w:pPr>
      <w:r w:rsidRPr="00521029">
        <w:rPr>
          <w:rFonts w:ascii="Times New Roman" w:hAnsi="Times New Roman" w:cs="Times New Roman"/>
          <w:i/>
          <w:iCs/>
          <w:color w:val="000000"/>
        </w:rPr>
        <w:t>Prepared in accordance with Part 3 of the Human Rights (Parliamentary Scrutiny) Act 2011</w:t>
      </w:r>
    </w:p>
    <w:p w14:paraId="5D983761" w14:textId="77777777" w:rsidR="00AF3FA2" w:rsidRPr="00521029" w:rsidRDefault="00AF3FA2" w:rsidP="00AF3FA2">
      <w:pPr>
        <w:spacing w:after="0" w:line="360" w:lineRule="auto"/>
        <w:rPr>
          <w:rFonts w:ascii="Times New Roman" w:hAnsi="Times New Roman" w:cs="Times New Roman"/>
          <w:color w:val="FF0000"/>
        </w:rPr>
      </w:pPr>
    </w:p>
    <w:p w14:paraId="47EC56BD" w14:textId="2D863D3D" w:rsidR="000E6DFF" w:rsidRPr="00FB4B00" w:rsidRDefault="000E6DFF" w:rsidP="00AF3FA2">
      <w:pPr>
        <w:spacing w:after="0" w:line="360" w:lineRule="auto"/>
        <w:rPr>
          <w:rFonts w:ascii="Times New Roman" w:hAnsi="Times New Roman" w:cs="Times New Roman"/>
        </w:rPr>
      </w:pPr>
      <w:r w:rsidRPr="00607F9A">
        <w:rPr>
          <w:rFonts w:ascii="Times New Roman" w:hAnsi="Times New Roman" w:cs="Times New Roman"/>
        </w:rPr>
        <w:t xml:space="preserve">This Disallowable Legislative Instrument is compatible with the human rights and freedoms recognised or declared in the international instruments listed in section 3 of the </w:t>
      </w:r>
      <w:r w:rsidRPr="00607F9A">
        <w:rPr>
          <w:rFonts w:ascii="Times New Roman" w:hAnsi="Times New Roman" w:cs="Times New Roman"/>
          <w:i/>
        </w:rPr>
        <w:t>Human Rights (Parliamentary Scrutiny) Act 2011</w:t>
      </w:r>
      <w:r w:rsidRPr="00FB4B00">
        <w:rPr>
          <w:rFonts w:ascii="Times New Roman" w:hAnsi="Times New Roman" w:cs="Times New Roman"/>
        </w:rPr>
        <w:t>.</w:t>
      </w:r>
    </w:p>
    <w:p w14:paraId="26F98CAC" w14:textId="77777777" w:rsidR="00AF3FA2" w:rsidRDefault="00AF3FA2" w:rsidP="00AF3FA2">
      <w:pPr>
        <w:spacing w:after="0" w:line="360" w:lineRule="auto"/>
        <w:rPr>
          <w:rFonts w:ascii="Times New Roman" w:hAnsi="Times New Roman" w:cs="Times New Roman"/>
        </w:rPr>
      </w:pPr>
    </w:p>
    <w:p w14:paraId="31183FCA" w14:textId="61BAB0C9" w:rsidR="000E6DFF" w:rsidRPr="00AF3FA2" w:rsidRDefault="000E6DFF" w:rsidP="00AF3FA2">
      <w:pPr>
        <w:pStyle w:val="Heading3"/>
        <w:spacing w:before="0" w:line="360" w:lineRule="auto"/>
        <w:rPr>
          <w:rFonts w:ascii="Times New Roman" w:hAnsi="Times New Roman" w:cs="Times New Roman"/>
          <w:color w:val="auto"/>
        </w:rPr>
      </w:pPr>
      <w:r w:rsidRPr="00AF3FA2">
        <w:rPr>
          <w:rFonts w:ascii="Times New Roman" w:hAnsi="Times New Roman" w:cs="Times New Roman"/>
          <w:color w:val="auto"/>
        </w:rPr>
        <w:t>Overview of the Disallowable Legislative Instrument</w:t>
      </w:r>
    </w:p>
    <w:p w14:paraId="1E64EEBB" w14:textId="312BC45E" w:rsidR="00AF3FA2" w:rsidRDefault="00607F9A" w:rsidP="00AF3FA2">
      <w:pPr>
        <w:spacing w:after="0" w:line="360" w:lineRule="auto"/>
        <w:rPr>
          <w:rFonts w:ascii="Times New Roman" w:hAnsi="Times New Roman" w:cs="Times New Roman"/>
        </w:rPr>
      </w:pPr>
      <w:r w:rsidRPr="00AF3FA2">
        <w:rPr>
          <w:rFonts w:ascii="Times New Roman" w:hAnsi="Times New Roman" w:cs="Times New Roman"/>
        </w:rPr>
        <w:t xml:space="preserve">The Disallowable Legislative Instrument remakes the </w:t>
      </w:r>
      <w:r w:rsidR="00AF3FA2" w:rsidRPr="00AF3FA2">
        <w:rPr>
          <w:rFonts w:ascii="Times New Roman" w:hAnsi="Times New Roman" w:cs="Times New Roman"/>
        </w:rPr>
        <w:t xml:space="preserve">current Regulations to allow the </w:t>
      </w:r>
      <w:r w:rsidRPr="00AF3FA2">
        <w:rPr>
          <w:rFonts w:ascii="Times New Roman" w:hAnsi="Times New Roman" w:cs="Times New Roman"/>
        </w:rPr>
        <w:t xml:space="preserve">ongoing effect </w:t>
      </w:r>
      <w:r w:rsidR="00FB4B00">
        <w:rPr>
          <w:rFonts w:ascii="Times New Roman" w:hAnsi="Times New Roman" w:cs="Times New Roman"/>
        </w:rPr>
        <w:t>of</w:t>
      </w:r>
      <w:r w:rsidRPr="00AF3FA2">
        <w:rPr>
          <w:rFonts w:ascii="Times New Roman" w:hAnsi="Times New Roman" w:cs="Times New Roman"/>
        </w:rPr>
        <w:t xml:space="preserve"> a number of key provisions and processes </w:t>
      </w:r>
      <w:r w:rsidR="00AF3FA2" w:rsidRPr="00AF3FA2">
        <w:rPr>
          <w:rFonts w:ascii="Times New Roman" w:hAnsi="Times New Roman" w:cs="Times New Roman"/>
        </w:rPr>
        <w:t>within</w:t>
      </w:r>
      <w:r w:rsidRPr="00AF3FA2">
        <w:rPr>
          <w:rFonts w:ascii="Times New Roman" w:hAnsi="Times New Roman" w:cs="Times New Roman"/>
        </w:rPr>
        <w:t xml:space="preserve"> the </w:t>
      </w:r>
      <w:r w:rsidR="00AF3FA2" w:rsidRPr="00AF3FA2">
        <w:rPr>
          <w:rFonts w:ascii="Times New Roman" w:hAnsi="Times New Roman" w:cs="Times New Roman"/>
        </w:rPr>
        <w:t>Act.</w:t>
      </w:r>
      <w:r w:rsidRPr="00AF3FA2">
        <w:rPr>
          <w:rFonts w:ascii="Times New Roman" w:hAnsi="Times New Roman" w:cs="Times New Roman"/>
        </w:rPr>
        <w:t xml:space="preserve"> </w:t>
      </w:r>
      <w:r w:rsidR="00AF3FA2" w:rsidRPr="00AF3FA2">
        <w:rPr>
          <w:rFonts w:ascii="Times New Roman" w:hAnsi="Times New Roman" w:cs="Times New Roman"/>
        </w:rPr>
        <w:t>The Act provides that service interstate of initiating process or a subpoena is effective only if copies of any prescribed notices are attached to the initiating process or subpoena. The Regulations contain the prescribed notices which are to be attached to the process of State and Territory courts and tribunals, which set out information about the rights and obligations of the person to whom the process or subpoena is addressed. The Regulations also contain minor amendments to ensure fitness for purpose, consistency with current drafting practices, and to remove obsolete or unnecessary provisions</w:t>
      </w:r>
      <w:r w:rsidR="00AF3FA2">
        <w:rPr>
          <w:rFonts w:ascii="Times New Roman" w:hAnsi="Times New Roman" w:cs="Times New Roman"/>
        </w:rPr>
        <w:t xml:space="preserve">. </w:t>
      </w:r>
    </w:p>
    <w:p w14:paraId="58EC19B2" w14:textId="212736C1" w:rsidR="000E6DFF" w:rsidRPr="00607F9A" w:rsidRDefault="00607F9A" w:rsidP="00AF3FA2">
      <w:pPr>
        <w:spacing w:after="0" w:line="360" w:lineRule="auto"/>
        <w:rPr>
          <w:rFonts w:ascii="Times New Roman" w:hAnsi="Times New Roman" w:cs="Times New Roman"/>
        </w:rPr>
      </w:pPr>
      <w:r>
        <w:rPr>
          <w:szCs w:val="24"/>
        </w:rPr>
        <w:br/>
      </w:r>
      <w:r w:rsidR="000E6DFF" w:rsidRPr="00AF3FA2">
        <w:rPr>
          <w:rFonts w:ascii="Times New Roman" w:eastAsiaTheme="majorEastAsia" w:hAnsi="Times New Roman" w:cs="Times New Roman"/>
          <w:b/>
          <w:bCs/>
        </w:rPr>
        <w:t>Human rights implications</w:t>
      </w:r>
    </w:p>
    <w:p w14:paraId="74A2B3ED" w14:textId="7E2DCFE1" w:rsidR="000E6DFF" w:rsidRPr="00607F9A" w:rsidRDefault="00AB7270" w:rsidP="00AF3FA2">
      <w:pPr>
        <w:spacing w:after="0" w:line="360" w:lineRule="auto"/>
        <w:rPr>
          <w:rFonts w:ascii="Times New Roman" w:hAnsi="Times New Roman" w:cs="Times New Roman"/>
        </w:rPr>
      </w:pPr>
      <w:r>
        <w:rPr>
          <w:rFonts w:ascii="Times New Roman" w:hAnsi="Times New Roman" w:cs="Times New Roman"/>
        </w:rPr>
        <w:t xml:space="preserve">The Regulations are </w:t>
      </w:r>
      <w:r w:rsidR="00FB4B00">
        <w:rPr>
          <w:rFonts w:ascii="Times New Roman" w:hAnsi="Times New Roman" w:cs="Times New Roman"/>
        </w:rPr>
        <w:t>largely comprised</w:t>
      </w:r>
      <w:r>
        <w:rPr>
          <w:rFonts w:ascii="Times New Roman" w:hAnsi="Times New Roman" w:cs="Times New Roman"/>
        </w:rPr>
        <w:t xml:space="preserve"> of forms</w:t>
      </w:r>
      <w:r w:rsidR="006B6D3D">
        <w:rPr>
          <w:rFonts w:ascii="Times New Roman" w:hAnsi="Times New Roman" w:cs="Times New Roman"/>
        </w:rPr>
        <w:t xml:space="preserve"> </w:t>
      </w:r>
      <w:r w:rsidR="00FB4B00">
        <w:rPr>
          <w:rFonts w:ascii="Times New Roman" w:hAnsi="Times New Roman" w:cs="Times New Roman"/>
        </w:rPr>
        <w:t>outlining</w:t>
      </w:r>
      <w:r w:rsidR="006B6D3D">
        <w:rPr>
          <w:rFonts w:ascii="Times New Roman" w:hAnsi="Times New Roman" w:cs="Times New Roman"/>
        </w:rPr>
        <w:t xml:space="preserve"> </w:t>
      </w:r>
      <w:r>
        <w:rPr>
          <w:rFonts w:ascii="Times New Roman" w:hAnsi="Times New Roman" w:cs="Times New Roman"/>
        </w:rPr>
        <w:t>the rights and obligations of the person being served</w:t>
      </w:r>
      <w:r w:rsidR="006B6D3D">
        <w:rPr>
          <w:rFonts w:ascii="Times New Roman" w:hAnsi="Times New Roman" w:cs="Times New Roman"/>
        </w:rPr>
        <w:t xml:space="preserve">. </w:t>
      </w:r>
      <w:r w:rsidR="00FB4B00">
        <w:rPr>
          <w:rFonts w:ascii="Times New Roman" w:hAnsi="Times New Roman" w:cs="Times New Roman"/>
        </w:rPr>
        <w:t>These forms are to be provided to a person when they are served with an initiating process or subpoena. Provision of the relevant form</w:t>
      </w:r>
      <w:r>
        <w:rPr>
          <w:rFonts w:ascii="Times New Roman" w:hAnsi="Times New Roman" w:cs="Times New Roman"/>
        </w:rPr>
        <w:t xml:space="preserve"> ensure</w:t>
      </w:r>
      <w:r w:rsidR="006B6D3D">
        <w:rPr>
          <w:rFonts w:ascii="Times New Roman" w:hAnsi="Times New Roman" w:cs="Times New Roman"/>
        </w:rPr>
        <w:t>s</w:t>
      </w:r>
      <w:r>
        <w:rPr>
          <w:rFonts w:ascii="Times New Roman" w:hAnsi="Times New Roman" w:cs="Times New Roman"/>
        </w:rPr>
        <w:t xml:space="preserve"> </w:t>
      </w:r>
      <w:r w:rsidR="006B6D3D">
        <w:rPr>
          <w:rFonts w:ascii="Times New Roman" w:hAnsi="Times New Roman" w:cs="Times New Roman"/>
        </w:rPr>
        <w:t>the person is</w:t>
      </w:r>
      <w:r>
        <w:rPr>
          <w:rFonts w:ascii="Times New Roman" w:hAnsi="Times New Roman" w:cs="Times New Roman"/>
        </w:rPr>
        <w:t xml:space="preserve"> aw</w:t>
      </w:r>
      <w:r w:rsidR="006B6D3D">
        <w:rPr>
          <w:rFonts w:ascii="Times New Roman" w:hAnsi="Times New Roman" w:cs="Times New Roman"/>
        </w:rPr>
        <w:t xml:space="preserve">are of how to contest a claim, </w:t>
      </w:r>
      <w:r>
        <w:rPr>
          <w:rFonts w:ascii="Times New Roman" w:hAnsi="Times New Roman" w:cs="Times New Roman"/>
        </w:rPr>
        <w:t xml:space="preserve">how to comply with a subpoena should they be imprisoned or </w:t>
      </w:r>
      <w:r w:rsidR="006B6D3D">
        <w:rPr>
          <w:rFonts w:ascii="Times New Roman" w:hAnsi="Times New Roman" w:cs="Times New Roman"/>
        </w:rPr>
        <w:t xml:space="preserve">if they are released from custody, </w:t>
      </w:r>
      <w:r w:rsidR="00FB4B00">
        <w:rPr>
          <w:rFonts w:ascii="Times New Roman" w:hAnsi="Times New Roman" w:cs="Times New Roman"/>
        </w:rPr>
        <w:t xml:space="preserve">and </w:t>
      </w:r>
      <w:r w:rsidR="006B6D3D">
        <w:rPr>
          <w:rFonts w:ascii="Times New Roman" w:hAnsi="Times New Roman" w:cs="Times New Roman"/>
        </w:rPr>
        <w:t xml:space="preserve">how to comply if they are </w:t>
      </w:r>
      <w:r>
        <w:rPr>
          <w:rFonts w:ascii="Times New Roman" w:hAnsi="Times New Roman" w:cs="Times New Roman"/>
        </w:rPr>
        <w:t>subject to a restriction on their movements. The forms also advise persons to seek legal advice. For these reasons, the</w:t>
      </w:r>
      <w:r w:rsidRPr="00607F9A">
        <w:rPr>
          <w:rFonts w:ascii="Times New Roman" w:hAnsi="Times New Roman" w:cs="Times New Roman"/>
        </w:rPr>
        <w:t xml:space="preserve"> Disallowable Legislative Instrument does not engage any of the applicable rights or freedoms.</w:t>
      </w:r>
    </w:p>
    <w:p w14:paraId="11582F3A" w14:textId="77777777" w:rsidR="000E6DFF" w:rsidRPr="00AF3FA2" w:rsidRDefault="000E6DFF" w:rsidP="00AF3FA2">
      <w:pPr>
        <w:pStyle w:val="Heading3"/>
        <w:spacing w:before="0" w:line="360" w:lineRule="auto"/>
        <w:rPr>
          <w:rFonts w:ascii="Times New Roman" w:hAnsi="Times New Roman" w:cs="Times New Roman"/>
          <w:color w:val="auto"/>
        </w:rPr>
      </w:pPr>
      <w:r w:rsidRPr="00AF3FA2">
        <w:rPr>
          <w:rFonts w:ascii="Times New Roman" w:hAnsi="Times New Roman" w:cs="Times New Roman"/>
          <w:color w:val="auto"/>
        </w:rPr>
        <w:lastRenderedPageBreak/>
        <w:t>Conclusion</w:t>
      </w:r>
    </w:p>
    <w:p w14:paraId="7F186C4E" w14:textId="5D40DBCD" w:rsidR="000E6DFF" w:rsidRPr="00607F9A" w:rsidRDefault="000E6DFF" w:rsidP="00AF3FA2">
      <w:pPr>
        <w:spacing w:after="0" w:line="360" w:lineRule="auto"/>
        <w:rPr>
          <w:rFonts w:ascii="Times New Roman" w:hAnsi="Times New Roman" w:cs="Times New Roman"/>
        </w:rPr>
      </w:pPr>
      <w:r w:rsidRPr="00607F9A">
        <w:rPr>
          <w:rFonts w:ascii="Times New Roman" w:hAnsi="Times New Roman" w:cs="Times New Roman"/>
        </w:rPr>
        <w:t>This Disallowable Legislative Instrument is compatible with human rights as it does not raise any human rights issues.</w:t>
      </w:r>
    </w:p>
    <w:p w14:paraId="44857A26" w14:textId="77777777" w:rsidR="00CA0665" w:rsidRDefault="00CA0665" w:rsidP="00CF14E3">
      <w:pPr>
        <w:spacing w:line="360" w:lineRule="auto"/>
        <w:jc w:val="right"/>
        <w:rPr>
          <w:rFonts w:ascii="Times New Roman" w:hAnsi="Times New Roman" w:cs="Times New Roman"/>
          <w:b/>
          <w:sz w:val="24"/>
          <w:szCs w:val="24"/>
        </w:rPr>
      </w:pPr>
    </w:p>
    <w:p w14:paraId="74EDB643" w14:textId="77777777" w:rsidR="00AB7270" w:rsidRDefault="00AB7270">
      <w:pPr>
        <w:rPr>
          <w:rFonts w:ascii="Times New Roman" w:hAnsi="Times New Roman" w:cs="Times New Roman"/>
          <w:b/>
          <w:sz w:val="24"/>
          <w:szCs w:val="24"/>
        </w:rPr>
      </w:pPr>
      <w:r>
        <w:rPr>
          <w:rFonts w:ascii="Times New Roman" w:hAnsi="Times New Roman" w:cs="Times New Roman"/>
          <w:b/>
          <w:sz w:val="24"/>
          <w:szCs w:val="24"/>
        </w:rPr>
        <w:br w:type="page"/>
      </w:r>
    </w:p>
    <w:p w14:paraId="38DACAAA" w14:textId="39A11D4C" w:rsidR="00F10A91" w:rsidRPr="00521029" w:rsidRDefault="00F10A91" w:rsidP="00CF14E3">
      <w:pPr>
        <w:spacing w:line="360" w:lineRule="auto"/>
        <w:jc w:val="right"/>
        <w:rPr>
          <w:rFonts w:ascii="Times New Roman" w:hAnsi="Times New Roman" w:cs="Times New Roman"/>
          <w:b/>
          <w:sz w:val="24"/>
          <w:szCs w:val="24"/>
        </w:rPr>
      </w:pPr>
      <w:r w:rsidRPr="00521029">
        <w:rPr>
          <w:rFonts w:ascii="Times New Roman" w:hAnsi="Times New Roman" w:cs="Times New Roman"/>
          <w:b/>
          <w:sz w:val="24"/>
          <w:szCs w:val="24"/>
        </w:rPr>
        <w:lastRenderedPageBreak/>
        <w:t>Attachment A</w:t>
      </w:r>
    </w:p>
    <w:p w14:paraId="4C3BE173" w14:textId="77777777" w:rsidR="00FD7A56" w:rsidRPr="00FD7A56" w:rsidRDefault="00FD7A56" w:rsidP="00FD7A56">
      <w:pPr>
        <w:spacing w:line="360" w:lineRule="auto"/>
        <w:rPr>
          <w:rFonts w:ascii="Times New Roman" w:hAnsi="Times New Roman" w:cs="Times New Roman"/>
          <w:b/>
        </w:rPr>
      </w:pPr>
      <w:r w:rsidRPr="00FD7A56">
        <w:rPr>
          <w:rFonts w:ascii="Times New Roman" w:hAnsi="Times New Roman" w:cs="Times New Roman"/>
          <w:b/>
        </w:rPr>
        <w:t>NOTES ON SECTIONS</w:t>
      </w:r>
    </w:p>
    <w:p w14:paraId="3044E5E0" w14:textId="77777777" w:rsidR="00FD7A56" w:rsidRPr="00FD7A56" w:rsidRDefault="00FD7A56" w:rsidP="00FD7A56">
      <w:pPr>
        <w:spacing w:line="360" w:lineRule="auto"/>
        <w:rPr>
          <w:rFonts w:ascii="Times New Roman" w:hAnsi="Times New Roman" w:cs="Times New Roman"/>
          <w:b/>
          <w:u w:val="single"/>
        </w:rPr>
      </w:pPr>
      <w:r w:rsidRPr="00FD7A56">
        <w:rPr>
          <w:rFonts w:ascii="Times New Roman" w:hAnsi="Times New Roman" w:cs="Times New Roman"/>
          <w:b/>
          <w:u w:val="single"/>
        </w:rPr>
        <w:t xml:space="preserve">PART 1 – Preliminary </w:t>
      </w:r>
    </w:p>
    <w:p w14:paraId="5E3387D5" w14:textId="77777777" w:rsidR="00FD7A56" w:rsidRPr="00FD7A56" w:rsidRDefault="00FD7A56" w:rsidP="00FD7A56">
      <w:pPr>
        <w:spacing w:line="360" w:lineRule="auto"/>
        <w:rPr>
          <w:rFonts w:ascii="Times New Roman" w:hAnsi="Times New Roman" w:cs="Times New Roman"/>
          <w:b/>
        </w:rPr>
      </w:pPr>
      <w:r w:rsidRPr="00FD7A56">
        <w:rPr>
          <w:rFonts w:ascii="Times New Roman" w:hAnsi="Times New Roman" w:cs="Times New Roman"/>
          <w:b/>
        </w:rPr>
        <w:t>Section 1 – Name</w:t>
      </w:r>
    </w:p>
    <w:p w14:paraId="79EEDED3" w14:textId="410C5B0E" w:rsidR="00FD7A56" w:rsidRPr="00FD7A56" w:rsidRDefault="00FD7A56" w:rsidP="00FD7A56">
      <w:pPr>
        <w:spacing w:line="360" w:lineRule="auto"/>
        <w:rPr>
          <w:rFonts w:ascii="Times New Roman" w:hAnsi="Times New Roman" w:cs="Times New Roman"/>
        </w:rPr>
      </w:pPr>
      <w:r w:rsidRPr="00FD7A56">
        <w:rPr>
          <w:rFonts w:ascii="Times New Roman" w:hAnsi="Times New Roman" w:cs="Times New Roman"/>
        </w:rPr>
        <w:t xml:space="preserve">Section 1 provides that the title of the instrument is the </w:t>
      </w:r>
      <w:r w:rsidRPr="00FD7A56">
        <w:rPr>
          <w:rFonts w:ascii="Times New Roman" w:hAnsi="Times New Roman" w:cs="Times New Roman"/>
          <w:i/>
        </w:rPr>
        <w:t>Service and Execution of Process Regulations</w:t>
      </w:r>
      <w:r w:rsidR="00533CA6">
        <w:rPr>
          <w:rFonts w:ascii="Times New Roman" w:hAnsi="Times New Roman" w:cs="Times New Roman"/>
          <w:i/>
        </w:rPr>
        <w:t> </w:t>
      </w:r>
      <w:r w:rsidRPr="00FD7A56">
        <w:rPr>
          <w:rFonts w:ascii="Times New Roman" w:hAnsi="Times New Roman" w:cs="Times New Roman"/>
          <w:i/>
        </w:rPr>
        <w:t>2018</w:t>
      </w:r>
      <w:r w:rsidRPr="00FD7A56">
        <w:rPr>
          <w:rFonts w:ascii="Times New Roman" w:hAnsi="Times New Roman" w:cs="Times New Roman"/>
        </w:rPr>
        <w:t xml:space="preserve"> (the Regulations).</w:t>
      </w:r>
    </w:p>
    <w:p w14:paraId="5BE74CCC" w14:textId="77777777" w:rsidR="00FD7A56" w:rsidRPr="00FD7A56" w:rsidRDefault="00FD7A56" w:rsidP="00FD7A56">
      <w:pPr>
        <w:spacing w:line="360" w:lineRule="auto"/>
        <w:rPr>
          <w:rFonts w:ascii="Times New Roman" w:hAnsi="Times New Roman" w:cs="Times New Roman"/>
          <w:b/>
        </w:rPr>
      </w:pPr>
      <w:r w:rsidRPr="00FD7A56">
        <w:rPr>
          <w:rFonts w:ascii="Times New Roman" w:hAnsi="Times New Roman" w:cs="Times New Roman"/>
          <w:b/>
        </w:rPr>
        <w:t>Section 2 – Commencement</w:t>
      </w:r>
    </w:p>
    <w:p w14:paraId="537A0999" w14:textId="77777777" w:rsidR="00FD7A56" w:rsidRPr="00FD7A56" w:rsidRDefault="00FD7A56" w:rsidP="00FD7A56">
      <w:pPr>
        <w:spacing w:line="360" w:lineRule="auto"/>
        <w:rPr>
          <w:rFonts w:ascii="Times New Roman" w:hAnsi="Times New Roman" w:cs="Times New Roman"/>
        </w:rPr>
      </w:pPr>
      <w:r w:rsidRPr="00FD7A56">
        <w:rPr>
          <w:rFonts w:ascii="Times New Roman" w:hAnsi="Times New Roman" w:cs="Times New Roman"/>
        </w:rPr>
        <w:t xml:space="preserve">This section provides that the Regulations will commence on the day after it is registered on the Federal Register of Legislation. </w:t>
      </w:r>
    </w:p>
    <w:p w14:paraId="0BCF041C" w14:textId="77777777" w:rsidR="00FD7A56" w:rsidRPr="00FD7A56" w:rsidRDefault="00FD7A56" w:rsidP="00FD7A56">
      <w:pPr>
        <w:spacing w:line="360" w:lineRule="auto"/>
        <w:rPr>
          <w:rFonts w:ascii="Times New Roman" w:hAnsi="Times New Roman" w:cs="Times New Roman"/>
          <w:b/>
        </w:rPr>
      </w:pPr>
      <w:r w:rsidRPr="00FD7A56">
        <w:rPr>
          <w:rFonts w:ascii="Times New Roman" w:hAnsi="Times New Roman" w:cs="Times New Roman"/>
          <w:b/>
        </w:rPr>
        <w:t>Section 3 – Authority</w:t>
      </w:r>
    </w:p>
    <w:p w14:paraId="1FDD4B44" w14:textId="49E4181F" w:rsidR="00FD7A56" w:rsidRPr="00FD7A56" w:rsidRDefault="00FD7A56" w:rsidP="00FD7A56">
      <w:pPr>
        <w:spacing w:line="360" w:lineRule="auto"/>
        <w:rPr>
          <w:rFonts w:ascii="Times New Roman" w:hAnsi="Times New Roman" w:cs="Times New Roman"/>
          <w:color w:val="000000"/>
        </w:rPr>
      </w:pPr>
      <w:r w:rsidRPr="00FD7A56">
        <w:rPr>
          <w:rFonts w:ascii="Times New Roman" w:hAnsi="Times New Roman" w:cs="Times New Roman"/>
        </w:rPr>
        <w:t xml:space="preserve">This section provides that the Regulations are made under the </w:t>
      </w:r>
      <w:r w:rsidRPr="00FD7A56">
        <w:rPr>
          <w:rFonts w:ascii="Times New Roman" w:hAnsi="Times New Roman" w:cs="Times New Roman"/>
          <w:i/>
        </w:rPr>
        <w:t>Service and Execution of Process Act</w:t>
      </w:r>
      <w:r w:rsidR="00533CA6">
        <w:rPr>
          <w:rFonts w:ascii="Times New Roman" w:hAnsi="Times New Roman" w:cs="Times New Roman"/>
          <w:i/>
        </w:rPr>
        <w:t> </w:t>
      </w:r>
      <w:r w:rsidRPr="00FD7A56">
        <w:rPr>
          <w:rFonts w:ascii="Times New Roman" w:hAnsi="Times New Roman" w:cs="Times New Roman"/>
          <w:i/>
        </w:rPr>
        <w:t xml:space="preserve">1992 </w:t>
      </w:r>
      <w:r w:rsidR="00533CA6">
        <w:rPr>
          <w:rFonts w:ascii="Times New Roman" w:hAnsi="Times New Roman" w:cs="Times New Roman"/>
        </w:rPr>
        <w:t xml:space="preserve">(the Act) </w:t>
      </w:r>
      <w:r w:rsidRPr="00FD7A56">
        <w:rPr>
          <w:rFonts w:ascii="Times New Roman" w:hAnsi="Times New Roman" w:cs="Times New Roman"/>
        </w:rPr>
        <w:t xml:space="preserve">as allowed by </w:t>
      </w:r>
      <w:r w:rsidRPr="00FD7A56">
        <w:rPr>
          <w:rFonts w:ascii="Times New Roman" w:hAnsi="Times New Roman" w:cs="Times New Roman"/>
          <w:color w:val="000000"/>
        </w:rPr>
        <w:t>subsection 132(1).</w:t>
      </w:r>
    </w:p>
    <w:p w14:paraId="079D1FD0" w14:textId="77777777" w:rsidR="00FD7A56" w:rsidRPr="00FD7A56" w:rsidRDefault="00FD7A56" w:rsidP="00FD7A56">
      <w:pPr>
        <w:spacing w:line="360" w:lineRule="auto"/>
        <w:rPr>
          <w:rFonts w:ascii="Times New Roman" w:hAnsi="Times New Roman" w:cs="Times New Roman"/>
          <w:b/>
          <w:color w:val="000000"/>
        </w:rPr>
      </w:pPr>
      <w:r w:rsidRPr="00FD7A56">
        <w:rPr>
          <w:rFonts w:ascii="Times New Roman" w:hAnsi="Times New Roman" w:cs="Times New Roman"/>
          <w:b/>
          <w:color w:val="000000"/>
        </w:rPr>
        <w:t>Section 4 – Schedule 2</w:t>
      </w:r>
    </w:p>
    <w:p w14:paraId="31DA1334" w14:textId="77777777" w:rsidR="00FD7A56" w:rsidRPr="00FD7A56" w:rsidRDefault="00FD7A56" w:rsidP="00FD7A56">
      <w:pPr>
        <w:spacing w:line="360" w:lineRule="auto"/>
        <w:rPr>
          <w:rFonts w:ascii="Times New Roman" w:hAnsi="Times New Roman" w:cs="Times New Roman"/>
          <w:color w:val="000000"/>
        </w:rPr>
      </w:pPr>
      <w:r w:rsidRPr="00FD7A56">
        <w:rPr>
          <w:rFonts w:ascii="Times New Roman" w:hAnsi="Times New Roman" w:cs="Times New Roman"/>
          <w:color w:val="000000"/>
        </w:rPr>
        <w:t xml:space="preserve">This section outlines that the instrument specified in Schedule 2 (the </w:t>
      </w:r>
      <w:r w:rsidRPr="00FD7A56">
        <w:rPr>
          <w:rFonts w:ascii="Times New Roman" w:hAnsi="Times New Roman" w:cs="Times New Roman"/>
          <w:i/>
          <w:color w:val="000000"/>
        </w:rPr>
        <w:t xml:space="preserve">Service and Execution of Process Regulations 1993) </w:t>
      </w:r>
      <w:r w:rsidRPr="00FD7A56">
        <w:rPr>
          <w:rFonts w:ascii="Times New Roman" w:hAnsi="Times New Roman" w:cs="Times New Roman"/>
          <w:color w:val="000000"/>
        </w:rPr>
        <w:t xml:space="preserve">will be amended or repealed as set out in the Schedule.  </w:t>
      </w:r>
    </w:p>
    <w:p w14:paraId="161F84EA" w14:textId="77777777" w:rsidR="00FD7A56" w:rsidRPr="00FD7A56" w:rsidRDefault="00FD7A56" w:rsidP="00FD7A56">
      <w:pPr>
        <w:spacing w:line="360" w:lineRule="auto"/>
        <w:rPr>
          <w:rFonts w:ascii="Times New Roman" w:hAnsi="Times New Roman" w:cs="Times New Roman"/>
          <w:b/>
          <w:color w:val="000000"/>
        </w:rPr>
      </w:pPr>
      <w:r w:rsidRPr="00FD7A56">
        <w:rPr>
          <w:rFonts w:ascii="Times New Roman" w:hAnsi="Times New Roman" w:cs="Times New Roman"/>
          <w:b/>
          <w:color w:val="000000"/>
        </w:rPr>
        <w:t>Section 5 – Definitions</w:t>
      </w:r>
    </w:p>
    <w:p w14:paraId="523AC260" w14:textId="77777777" w:rsidR="00FD7A56" w:rsidRPr="00FD7A56" w:rsidRDefault="00FD7A56" w:rsidP="00FD7A56">
      <w:pPr>
        <w:spacing w:line="360" w:lineRule="auto"/>
        <w:rPr>
          <w:rFonts w:ascii="Times New Roman" w:hAnsi="Times New Roman" w:cs="Times New Roman"/>
          <w:color w:val="000000"/>
        </w:rPr>
      </w:pPr>
      <w:r w:rsidRPr="00FD7A56">
        <w:rPr>
          <w:rFonts w:ascii="Times New Roman" w:hAnsi="Times New Roman" w:cs="Times New Roman"/>
          <w:color w:val="000000"/>
        </w:rPr>
        <w:t xml:space="preserve">This section provides that the definition for ‘Act’ used in the Regulations means the </w:t>
      </w:r>
      <w:r w:rsidRPr="00FD7A56">
        <w:rPr>
          <w:rFonts w:ascii="Times New Roman" w:hAnsi="Times New Roman" w:cs="Times New Roman"/>
          <w:i/>
          <w:color w:val="000000"/>
        </w:rPr>
        <w:t>Service and Execution of Process Act 1992.</w:t>
      </w:r>
      <w:r w:rsidRPr="00FD7A56">
        <w:rPr>
          <w:rFonts w:ascii="Times New Roman" w:hAnsi="Times New Roman" w:cs="Times New Roman"/>
          <w:color w:val="000000"/>
        </w:rPr>
        <w:t xml:space="preserve">  </w:t>
      </w:r>
    </w:p>
    <w:p w14:paraId="333FADA6" w14:textId="77777777" w:rsidR="00FD7A56" w:rsidRPr="00FD7A56" w:rsidRDefault="00FD7A56" w:rsidP="00FD7A56">
      <w:pPr>
        <w:spacing w:line="360" w:lineRule="auto"/>
        <w:rPr>
          <w:rFonts w:ascii="Times New Roman" w:hAnsi="Times New Roman" w:cs="Times New Roman"/>
          <w:b/>
          <w:u w:val="single"/>
        </w:rPr>
      </w:pPr>
      <w:r w:rsidRPr="00FD7A56">
        <w:rPr>
          <w:rFonts w:ascii="Times New Roman" w:hAnsi="Times New Roman" w:cs="Times New Roman"/>
          <w:b/>
          <w:u w:val="single"/>
        </w:rPr>
        <w:t xml:space="preserve">PART 2 – Notices, warrants and correction services </w:t>
      </w:r>
    </w:p>
    <w:p w14:paraId="2CF58BCD" w14:textId="77777777" w:rsidR="00FD7A56" w:rsidRPr="00FD7A56" w:rsidRDefault="00FD7A56" w:rsidP="00FD7A56">
      <w:pPr>
        <w:spacing w:line="360" w:lineRule="auto"/>
        <w:rPr>
          <w:rFonts w:ascii="Times New Roman" w:hAnsi="Times New Roman" w:cs="Times New Roman"/>
          <w:b/>
        </w:rPr>
      </w:pPr>
      <w:r w:rsidRPr="00FD7A56">
        <w:rPr>
          <w:rFonts w:ascii="Times New Roman" w:hAnsi="Times New Roman" w:cs="Times New Roman"/>
          <w:b/>
        </w:rPr>
        <w:t>Section 6 – Required notices for service</w:t>
      </w:r>
    </w:p>
    <w:p w14:paraId="630110C9" w14:textId="5F345D25" w:rsidR="00FD7A56" w:rsidRPr="00FD7A56" w:rsidRDefault="00FD7A56" w:rsidP="00FD7A56">
      <w:pPr>
        <w:spacing w:line="360" w:lineRule="auto"/>
        <w:rPr>
          <w:rFonts w:ascii="Times New Roman" w:hAnsi="Times New Roman" w:cs="Times New Roman"/>
        </w:rPr>
      </w:pPr>
      <w:r w:rsidRPr="00FD7A56">
        <w:rPr>
          <w:rFonts w:ascii="Times New Roman" w:hAnsi="Times New Roman" w:cs="Times New Roman"/>
        </w:rPr>
        <w:t xml:space="preserve">The Act contains a number of references to prescribed forms which are to be used for certain purposes. Section 6 contains a table outlining relevant sections of the Act and the corresponding relevant </w:t>
      </w:r>
      <w:r w:rsidR="00FD7716">
        <w:rPr>
          <w:rFonts w:ascii="Times New Roman" w:hAnsi="Times New Roman" w:cs="Times New Roman"/>
        </w:rPr>
        <w:t>f</w:t>
      </w:r>
      <w:r w:rsidRPr="00FD7A56">
        <w:rPr>
          <w:rFonts w:ascii="Times New Roman" w:hAnsi="Times New Roman" w:cs="Times New Roman"/>
        </w:rPr>
        <w:t xml:space="preserve">orm. </w:t>
      </w:r>
    </w:p>
    <w:p w14:paraId="14236074" w14:textId="77777777" w:rsidR="00F2311C" w:rsidRDefault="00FD7A56" w:rsidP="00FD7716">
      <w:pPr>
        <w:keepNext/>
        <w:spacing w:after="0" w:line="360" w:lineRule="auto"/>
        <w:rPr>
          <w:rFonts w:ascii="Times New Roman" w:hAnsi="Times New Roman" w:cs="Times New Roman"/>
          <w:b/>
        </w:rPr>
      </w:pPr>
      <w:r w:rsidRPr="00FD7A56">
        <w:rPr>
          <w:rFonts w:ascii="Times New Roman" w:hAnsi="Times New Roman" w:cs="Times New Roman"/>
          <w:b/>
        </w:rPr>
        <w:lastRenderedPageBreak/>
        <w:t>Section 7 - Additional authorities that may issue warrants</w:t>
      </w:r>
    </w:p>
    <w:p w14:paraId="0892E0BF" w14:textId="47A4CEE7" w:rsidR="00FD7A56" w:rsidRPr="00FD7A56" w:rsidRDefault="00FD7A56" w:rsidP="00FD7716">
      <w:pPr>
        <w:keepNext/>
        <w:spacing w:after="0" w:line="360" w:lineRule="auto"/>
        <w:rPr>
          <w:rFonts w:ascii="Times New Roman" w:hAnsi="Times New Roman" w:cs="Times New Roman"/>
        </w:rPr>
      </w:pPr>
      <w:r w:rsidRPr="00FD7A56">
        <w:rPr>
          <w:rFonts w:ascii="Times New Roman" w:hAnsi="Times New Roman" w:cs="Times New Roman"/>
        </w:rPr>
        <w:t xml:space="preserve">Section 81A of the Act provides that for the purpose of Part 5, an authority includes a body or person who is prescribed in the Regulations and </w:t>
      </w:r>
      <w:r w:rsidR="00FD7716">
        <w:rPr>
          <w:rFonts w:ascii="Times New Roman" w:hAnsi="Times New Roman" w:cs="Times New Roman"/>
        </w:rPr>
        <w:t xml:space="preserve">may, </w:t>
      </w:r>
      <w:r w:rsidRPr="00FD7A56">
        <w:rPr>
          <w:rFonts w:ascii="Times New Roman" w:hAnsi="Times New Roman" w:cs="Times New Roman"/>
        </w:rPr>
        <w:t>under a law of a State</w:t>
      </w:r>
      <w:r w:rsidR="00FD7716">
        <w:rPr>
          <w:rFonts w:ascii="Times New Roman" w:hAnsi="Times New Roman" w:cs="Times New Roman"/>
        </w:rPr>
        <w:t>,</w:t>
      </w:r>
      <w:r w:rsidRPr="00FD7A56">
        <w:rPr>
          <w:rFonts w:ascii="Times New Roman" w:hAnsi="Times New Roman" w:cs="Times New Roman"/>
        </w:rPr>
        <w:t xml:space="preserve"> issue a warrant for the arrest and return to custody or detention of a person following the revocation or cancellation of the following orders:</w:t>
      </w:r>
    </w:p>
    <w:p w14:paraId="05C4BD6E" w14:textId="77777777" w:rsidR="00FD7A56" w:rsidRPr="00FD7A56" w:rsidRDefault="00FD7A56" w:rsidP="00FD7716">
      <w:pPr>
        <w:pStyle w:val="ListParagraph"/>
        <w:keepNext/>
        <w:numPr>
          <w:ilvl w:val="0"/>
          <w:numId w:val="20"/>
        </w:numPr>
        <w:spacing w:after="0" w:line="360" w:lineRule="auto"/>
        <w:rPr>
          <w:rFonts w:ascii="Times New Roman" w:hAnsi="Times New Roman" w:cs="Times New Roman"/>
        </w:rPr>
      </w:pPr>
      <w:r w:rsidRPr="00FD7A56">
        <w:rPr>
          <w:rFonts w:ascii="Times New Roman" w:hAnsi="Times New Roman" w:cs="Times New Roman"/>
        </w:rPr>
        <w:t>a parole order;</w:t>
      </w:r>
    </w:p>
    <w:p w14:paraId="67A3E7B8" w14:textId="77777777" w:rsidR="00FD7A56" w:rsidRPr="00FD7A56" w:rsidRDefault="00FD7A56" w:rsidP="00FD7A56">
      <w:pPr>
        <w:pStyle w:val="ListParagraph"/>
        <w:keepNext/>
        <w:numPr>
          <w:ilvl w:val="0"/>
          <w:numId w:val="20"/>
        </w:numPr>
        <w:spacing w:after="0" w:line="360" w:lineRule="auto"/>
        <w:rPr>
          <w:rFonts w:ascii="Times New Roman" w:hAnsi="Times New Roman" w:cs="Times New Roman"/>
        </w:rPr>
      </w:pPr>
      <w:r w:rsidRPr="00FD7A56">
        <w:rPr>
          <w:rFonts w:ascii="Times New Roman" w:hAnsi="Times New Roman" w:cs="Times New Roman"/>
        </w:rPr>
        <w:t>an order for conditional release;</w:t>
      </w:r>
    </w:p>
    <w:p w14:paraId="15FD77FB" w14:textId="77777777" w:rsidR="00FD7A56" w:rsidRPr="00FD7A56" w:rsidRDefault="00FD7A56" w:rsidP="00FD7A56">
      <w:pPr>
        <w:pStyle w:val="ListParagraph"/>
        <w:keepNext/>
        <w:numPr>
          <w:ilvl w:val="0"/>
          <w:numId w:val="20"/>
        </w:numPr>
        <w:spacing w:after="0" w:line="360" w:lineRule="auto"/>
        <w:rPr>
          <w:rFonts w:ascii="Times New Roman" w:hAnsi="Times New Roman" w:cs="Times New Roman"/>
        </w:rPr>
      </w:pPr>
      <w:r w:rsidRPr="00FD7A56">
        <w:rPr>
          <w:rFonts w:ascii="Times New Roman" w:hAnsi="Times New Roman" w:cs="Times New Roman"/>
        </w:rPr>
        <w:t>an order for home detention;</w:t>
      </w:r>
    </w:p>
    <w:p w14:paraId="37F08E82" w14:textId="77777777" w:rsidR="00FD7A56" w:rsidRPr="00FD7A56" w:rsidRDefault="00FD7A56" w:rsidP="00FD7A56">
      <w:pPr>
        <w:pStyle w:val="ListParagraph"/>
        <w:keepNext/>
        <w:numPr>
          <w:ilvl w:val="0"/>
          <w:numId w:val="20"/>
        </w:numPr>
        <w:spacing w:after="0" w:line="360" w:lineRule="auto"/>
        <w:rPr>
          <w:rFonts w:ascii="Times New Roman" w:hAnsi="Times New Roman" w:cs="Times New Roman"/>
        </w:rPr>
      </w:pPr>
      <w:r w:rsidRPr="00FD7A56">
        <w:rPr>
          <w:rFonts w:ascii="Times New Roman" w:hAnsi="Times New Roman" w:cs="Times New Roman"/>
        </w:rPr>
        <w:t>an order for periodic detention;</w:t>
      </w:r>
    </w:p>
    <w:p w14:paraId="2297DF27" w14:textId="77777777" w:rsidR="00FD7A56" w:rsidRPr="00FD7A56" w:rsidRDefault="00FD7A56" w:rsidP="00C36918">
      <w:pPr>
        <w:pStyle w:val="ListParagraph"/>
        <w:keepNext/>
        <w:numPr>
          <w:ilvl w:val="0"/>
          <w:numId w:val="20"/>
        </w:numPr>
        <w:spacing w:after="0" w:line="360" w:lineRule="auto"/>
        <w:rPr>
          <w:rFonts w:ascii="Times New Roman" w:hAnsi="Times New Roman" w:cs="Times New Roman"/>
        </w:rPr>
      </w:pPr>
      <w:r w:rsidRPr="00FD7A56">
        <w:rPr>
          <w:rFonts w:ascii="Times New Roman" w:hAnsi="Times New Roman" w:cs="Times New Roman"/>
        </w:rPr>
        <w:t>any other order for the release of a person from custody; or</w:t>
      </w:r>
    </w:p>
    <w:p w14:paraId="3758B169" w14:textId="77777777" w:rsidR="00FD7A56" w:rsidRPr="00FD7A56" w:rsidRDefault="00FD7A56" w:rsidP="00C36918">
      <w:pPr>
        <w:pStyle w:val="ListParagraph"/>
        <w:keepNext/>
        <w:numPr>
          <w:ilvl w:val="0"/>
          <w:numId w:val="20"/>
        </w:numPr>
        <w:spacing w:after="0" w:line="360" w:lineRule="auto"/>
        <w:rPr>
          <w:rFonts w:ascii="Times New Roman" w:hAnsi="Times New Roman" w:cs="Times New Roman"/>
        </w:rPr>
      </w:pPr>
      <w:r w:rsidRPr="00FD7A56">
        <w:rPr>
          <w:rFonts w:ascii="Times New Roman" w:hAnsi="Times New Roman" w:cs="Times New Roman"/>
        </w:rPr>
        <w:t>any other order of a kind prescribed by the regulations.</w:t>
      </w:r>
    </w:p>
    <w:p w14:paraId="243F2573" w14:textId="77777777" w:rsidR="00C36918" w:rsidRDefault="00C36918" w:rsidP="00C36918">
      <w:pPr>
        <w:keepNext/>
        <w:spacing w:after="0" w:line="360" w:lineRule="auto"/>
        <w:rPr>
          <w:rFonts w:ascii="Times New Roman" w:hAnsi="Times New Roman" w:cs="Times New Roman"/>
        </w:rPr>
      </w:pPr>
    </w:p>
    <w:p w14:paraId="609AE59B" w14:textId="3C07F746" w:rsidR="00FD7A56" w:rsidRDefault="00FD7A56" w:rsidP="00C36918">
      <w:pPr>
        <w:keepNext/>
        <w:spacing w:after="0" w:line="360" w:lineRule="auto"/>
        <w:rPr>
          <w:rFonts w:ascii="Times New Roman" w:hAnsi="Times New Roman" w:cs="Times New Roman"/>
        </w:rPr>
      </w:pPr>
      <w:r w:rsidRPr="00FD7A56">
        <w:rPr>
          <w:rFonts w:ascii="Times New Roman" w:hAnsi="Times New Roman" w:cs="Times New Roman"/>
        </w:rPr>
        <w:t>Section 7 of the Regulations outline</w:t>
      </w:r>
      <w:r w:rsidR="00FD7716">
        <w:rPr>
          <w:rFonts w:ascii="Times New Roman" w:hAnsi="Times New Roman" w:cs="Times New Roman"/>
        </w:rPr>
        <w:t>s</w:t>
      </w:r>
      <w:r w:rsidRPr="00FD7A56">
        <w:rPr>
          <w:rFonts w:ascii="Times New Roman" w:hAnsi="Times New Roman" w:cs="Times New Roman"/>
        </w:rPr>
        <w:t xml:space="preserve"> the prescribed bodies or persons for each State and Territory that are authorities for the purposes of Part 5 of the Act. </w:t>
      </w:r>
      <w:r w:rsidR="00C36918">
        <w:rPr>
          <w:rFonts w:ascii="Times New Roman" w:hAnsi="Times New Roman" w:cs="Times New Roman"/>
        </w:rPr>
        <w:t>Section 7(1) also prescribes an intensive correc</w:t>
      </w:r>
      <w:r w:rsidR="00FD7716">
        <w:rPr>
          <w:rFonts w:ascii="Times New Roman" w:hAnsi="Times New Roman" w:cs="Times New Roman"/>
        </w:rPr>
        <w:t xml:space="preserve">tion order for the purposes of paragraph </w:t>
      </w:r>
      <w:r w:rsidR="00C36918">
        <w:rPr>
          <w:rFonts w:ascii="Times New Roman" w:hAnsi="Times New Roman" w:cs="Times New Roman"/>
        </w:rPr>
        <w:t xml:space="preserve">81A(a)(vi). </w:t>
      </w:r>
    </w:p>
    <w:p w14:paraId="37454D8D" w14:textId="77777777" w:rsidR="00C36918" w:rsidRPr="00FD7A56" w:rsidRDefault="00C36918" w:rsidP="00C36918">
      <w:pPr>
        <w:keepNext/>
        <w:spacing w:after="0" w:line="360" w:lineRule="auto"/>
        <w:rPr>
          <w:rFonts w:ascii="Times New Roman" w:hAnsi="Times New Roman" w:cs="Times New Roman"/>
        </w:rPr>
      </w:pPr>
    </w:p>
    <w:p w14:paraId="31674AB2" w14:textId="77777777" w:rsidR="00FD7A56" w:rsidRPr="00FD7A56" w:rsidRDefault="00FD7A56" w:rsidP="00FD7A56">
      <w:pPr>
        <w:keepNext/>
        <w:spacing w:line="360" w:lineRule="auto"/>
        <w:rPr>
          <w:rFonts w:ascii="Times New Roman" w:hAnsi="Times New Roman" w:cs="Times New Roman"/>
          <w:b/>
        </w:rPr>
      </w:pPr>
      <w:r w:rsidRPr="00FD7A56">
        <w:rPr>
          <w:rFonts w:ascii="Times New Roman" w:hAnsi="Times New Roman" w:cs="Times New Roman"/>
          <w:b/>
        </w:rPr>
        <w:t>Section 8 – Person taken to be in charge of the correction service of a State</w:t>
      </w:r>
    </w:p>
    <w:p w14:paraId="62A94AE8" w14:textId="77777777" w:rsidR="00FD7A56" w:rsidRPr="00FD7A56" w:rsidRDefault="00FD7A56" w:rsidP="00FD7A56">
      <w:pPr>
        <w:keepNext/>
        <w:spacing w:line="360" w:lineRule="auto"/>
        <w:rPr>
          <w:rFonts w:ascii="Times New Roman" w:hAnsi="Times New Roman" w:cs="Times New Roman"/>
        </w:rPr>
      </w:pPr>
      <w:r w:rsidRPr="00FD7A56">
        <w:rPr>
          <w:rFonts w:ascii="Times New Roman" w:hAnsi="Times New Roman" w:cs="Times New Roman"/>
        </w:rPr>
        <w:t>Section 84 of the Act provides that the Regulations may prescribe, for the purposes of that section, the person who is taken to be in charge of the correction service of the State. Section 8 of the Regulations provides a table of the persons taken to be in charge of the correction service, referencing the relevant State or Territory legislation.</w:t>
      </w:r>
    </w:p>
    <w:p w14:paraId="13AB819F" w14:textId="77777777" w:rsidR="00FD7A56" w:rsidRPr="00FD7A56" w:rsidRDefault="00FD7A56" w:rsidP="00FD7A56">
      <w:pPr>
        <w:keepNext/>
        <w:spacing w:line="360" w:lineRule="auto"/>
        <w:rPr>
          <w:rFonts w:ascii="Times New Roman" w:hAnsi="Times New Roman" w:cs="Times New Roman"/>
          <w:b/>
          <w:u w:val="single"/>
        </w:rPr>
      </w:pPr>
      <w:r w:rsidRPr="00FD7A56">
        <w:rPr>
          <w:rFonts w:ascii="Times New Roman" w:hAnsi="Times New Roman" w:cs="Times New Roman"/>
          <w:b/>
          <w:u w:val="single"/>
        </w:rPr>
        <w:t>SCHEDULE 1 – Forms</w:t>
      </w:r>
    </w:p>
    <w:p w14:paraId="35987459" w14:textId="77777777" w:rsidR="00FD7A56" w:rsidRPr="00FD7A56" w:rsidRDefault="00FD7A56" w:rsidP="00FD7A56">
      <w:pPr>
        <w:keepNext/>
        <w:spacing w:line="360" w:lineRule="auto"/>
        <w:rPr>
          <w:rFonts w:ascii="Times New Roman" w:hAnsi="Times New Roman" w:cs="Times New Roman"/>
          <w:b/>
        </w:rPr>
      </w:pPr>
      <w:r w:rsidRPr="00FD7A56">
        <w:rPr>
          <w:rFonts w:ascii="Times New Roman" w:hAnsi="Times New Roman" w:cs="Times New Roman"/>
          <w:b/>
        </w:rPr>
        <w:t>Form 1 – Notice when serving initiating process in civil proceedings</w:t>
      </w:r>
    </w:p>
    <w:p w14:paraId="34B44E07" w14:textId="3CDDBC2E" w:rsidR="00FD7A56" w:rsidRPr="00FD7A56" w:rsidRDefault="00FD7A56" w:rsidP="00FD7A56">
      <w:pPr>
        <w:keepNext/>
        <w:spacing w:line="360" w:lineRule="auto"/>
        <w:rPr>
          <w:rFonts w:ascii="Times New Roman" w:hAnsi="Times New Roman" w:cs="Times New Roman"/>
        </w:rPr>
      </w:pPr>
      <w:r w:rsidRPr="00FD7A56">
        <w:rPr>
          <w:rFonts w:ascii="Times New Roman" w:hAnsi="Times New Roman" w:cs="Times New Roman"/>
        </w:rPr>
        <w:t>This is the prescribed f</w:t>
      </w:r>
      <w:r w:rsidR="003A27DE">
        <w:rPr>
          <w:rFonts w:ascii="Times New Roman" w:hAnsi="Times New Roman" w:cs="Times New Roman"/>
        </w:rPr>
        <w:t>or</w:t>
      </w:r>
      <w:r w:rsidRPr="00FD7A56">
        <w:rPr>
          <w:rFonts w:ascii="Times New Roman" w:hAnsi="Times New Roman" w:cs="Times New Roman"/>
        </w:rPr>
        <w:t xml:space="preserve">m under section 16 of the Act which must be attached to the initiating process issued by a court in a civil proceeding when it is served interstate. </w:t>
      </w:r>
      <w:r w:rsidR="003A27DE">
        <w:rPr>
          <w:rFonts w:ascii="Times New Roman" w:hAnsi="Times New Roman" w:cs="Times New Roman"/>
        </w:rPr>
        <w:t>This form</w:t>
      </w:r>
      <w:r w:rsidRPr="00FD7A56">
        <w:rPr>
          <w:rFonts w:ascii="Times New Roman" w:hAnsi="Times New Roman" w:cs="Times New Roman"/>
        </w:rPr>
        <w:t xml:space="preserve"> outlines the rights of the defendant and ways in which they may contest the claim. </w:t>
      </w:r>
    </w:p>
    <w:p w14:paraId="04223844" w14:textId="77777777" w:rsidR="00FD7A56" w:rsidRPr="00FD7A56" w:rsidRDefault="00FD7A56" w:rsidP="00FD7A56">
      <w:pPr>
        <w:keepNext/>
        <w:spacing w:line="360" w:lineRule="auto"/>
        <w:rPr>
          <w:rFonts w:ascii="Times New Roman" w:hAnsi="Times New Roman" w:cs="Times New Roman"/>
          <w:b/>
        </w:rPr>
      </w:pPr>
      <w:r w:rsidRPr="00FD7A56">
        <w:rPr>
          <w:rFonts w:ascii="Times New Roman" w:hAnsi="Times New Roman" w:cs="Times New Roman"/>
          <w:b/>
        </w:rPr>
        <w:t>Form 2 – Notice when serving subpoena</w:t>
      </w:r>
    </w:p>
    <w:p w14:paraId="2FD53463" w14:textId="7967DF46" w:rsidR="00FD7A56" w:rsidRPr="00FD7A56" w:rsidRDefault="00FD7A56" w:rsidP="00FD7A56">
      <w:pPr>
        <w:keepNext/>
        <w:spacing w:line="360" w:lineRule="auto"/>
        <w:rPr>
          <w:rFonts w:ascii="Times New Roman" w:hAnsi="Times New Roman" w:cs="Times New Roman"/>
        </w:rPr>
      </w:pPr>
      <w:r w:rsidRPr="00FD7A56">
        <w:rPr>
          <w:rFonts w:ascii="Times New Roman" w:hAnsi="Times New Roman" w:cs="Times New Roman"/>
        </w:rPr>
        <w:t>This is the prescribed f</w:t>
      </w:r>
      <w:r w:rsidR="003A27DE">
        <w:rPr>
          <w:rFonts w:ascii="Times New Roman" w:hAnsi="Times New Roman" w:cs="Times New Roman"/>
        </w:rPr>
        <w:t>or</w:t>
      </w:r>
      <w:r w:rsidRPr="00FD7A56">
        <w:rPr>
          <w:rFonts w:ascii="Times New Roman" w:hAnsi="Times New Roman" w:cs="Times New Roman"/>
        </w:rPr>
        <w:t xml:space="preserve">m under subsection 31(a) of the Act to be used when serving a subpoena issued by a court or an authority that is addressed to a person who is not in prison, or who is in prison but who does not need to attend or give oral evidence. This form must be attached to the subpoena being served interstate as it outlines the witnesses’ rights and obligations (when they must obey the attached subpoena) and what that person must do if they are subject to a restriction on their movements. </w:t>
      </w:r>
    </w:p>
    <w:p w14:paraId="21478FD6" w14:textId="77777777" w:rsidR="00FD7A56" w:rsidRPr="00FD7A56" w:rsidRDefault="00FD7A56" w:rsidP="00FD7A56">
      <w:pPr>
        <w:keepNext/>
        <w:spacing w:line="360" w:lineRule="auto"/>
        <w:rPr>
          <w:rFonts w:ascii="Times New Roman" w:hAnsi="Times New Roman" w:cs="Times New Roman"/>
          <w:b/>
        </w:rPr>
      </w:pPr>
      <w:r w:rsidRPr="00FD7A56">
        <w:rPr>
          <w:rFonts w:ascii="Times New Roman" w:hAnsi="Times New Roman" w:cs="Times New Roman"/>
          <w:b/>
        </w:rPr>
        <w:lastRenderedPageBreak/>
        <w:t>Form 3 – Notice when serving subpoena address to person in prison</w:t>
      </w:r>
    </w:p>
    <w:p w14:paraId="5165BE5C" w14:textId="0B68C014" w:rsidR="00FD7A56" w:rsidRPr="00FD7A56" w:rsidRDefault="00FD7A56" w:rsidP="00FD7A56">
      <w:pPr>
        <w:keepNext/>
        <w:spacing w:line="360" w:lineRule="auto"/>
        <w:rPr>
          <w:rFonts w:ascii="Times New Roman" w:hAnsi="Times New Roman" w:cs="Times New Roman"/>
        </w:rPr>
      </w:pPr>
      <w:r w:rsidRPr="00FD7A56">
        <w:rPr>
          <w:rFonts w:ascii="Times New Roman" w:hAnsi="Times New Roman" w:cs="Times New Roman"/>
        </w:rPr>
        <w:t>This is the prescribed f</w:t>
      </w:r>
      <w:r w:rsidR="003A27DE">
        <w:rPr>
          <w:rFonts w:ascii="Times New Roman" w:hAnsi="Times New Roman" w:cs="Times New Roman"/>
        </w:rPr>
        <w:t>or</w:t>
      </w:r>
      <w:r w:rsidRPr="00FD7A56">
        <w:rPr>
          <w:rFonts w:ascii="Times New Roman" w:hAnsi="Times New Roman" w:cs="Times New Roman"/>
        </w:rPr>
        <w:t xml:space="preserve">m under section 41 of the Act to be used when serving a subpoena issued by a court or an authority that is addressed to a person who is in prison and who is required to attend or give oral evidence. This form must be attached to the subpoena being served interstate as it outlines the witnesses’ rights and obligations in regards to being released from custody. </w:t>
      </w:r>
    </w:p>
    <w:p w14:paraId="4744C369" w14:textId="77777777" w:rsidR="00FD7A56" w:rsidRPr="00FD7A56" w:rsidRDefault="00FD7A56" w:rsidP="00FD7A56">
      <w:pPr>
        <w:keepNext/>
        <w:spacing w:line="360" w:lineRule="auto"/>
        <w:rPr>
          <w:rFonts w:ascii="Times New Roman" w:hAnsi="Times New Roman" w:cs="Times New Roman"/>
          <w:b/>
        </w:rPr>
      </w:pPr>
      <w:r w:rsidRPr="00FD7A56">
        <w:rPr>
          <w:rFonts w:ascii="Times New Roman" w:hAnsi="Times New Roman" w:cs="Times New Roman"/>
          <w:b/>
        </w:rPr>
        <w:t>Form 4 – Notice when serving initiating process in tribunal proceedings</w:t>
      </w:r>
    </w:p>
    <w:p w14:paraId="340973E1" w14:textId="45E67482" w:rsidR="00FD7A56" w:rsidRPr="00FD7A56" w:rsidRDefault="00FD7A56" w:rsidP="00FD7A56">
      <w:pPr>
        <w:keepNext/>
        <w:spacing w:line="360" w:lineRule="auto"/>
        <w:rPr>
          <w:rFonts w:ascii="Times New Roman" w:hAnsi="Times New Roman" w:cs="Times New Roman"/>
          <w:b/>
        </w:rPr>
      </w:pPr>
      <w:r w:rsidRPr="00FD7A56">
        <w:rPr>
          <w:rFonts w:ascii="Times New Roman" w:hAnsi="Times New Roman" w:cs="Times New Roman"/>
        </w:rPr>
        <w:t>This is the prescribed f</w:t>
      </w:r>
      <w:r w:rsidR="003A27DE">
        <w:rPr>
          <w:rFonts w:ascii="Times New Roman" w:hAnsi="Times New Roman" w:cs="Times New Roman"/>
        </w:rPr>
        <w:t>or</w:t>
      </w:r>
      <w:r w:rsidRPr="00FD7A56">
        <w:rPr>
          <w:rFonts w:ascii="Times New Roman" w:hAnsi="Times New Roman" w:cs="Times New Roman"/>
        </w:rPr>
        <w:t>m under section 51 of the Act to be used when serving an initiating process for certain proceedings in a tribunal. This form must be attached to the initiating process being served interstate as it outlines the rights of the respondent and ways in which they may contest the claim.</w:t>
      </w:r>
    </w:p>
    <w:p w14:paraId="69AF4552" w14:textId="77777777" w:rsidR="00FD7A56" w:rsidRPr="00FD7A56" w:rsidRDefault="00FD7A56" w:rsidP="00FD7A56">
      <w:pPr>
        <w:keepNext/>
        <w:spacing w:line="360" w:lineRule="auto"/>
        <w:rPr>
          <w:rFonts w:ascii="Times New Roman" w:hAnsi="Times New Roman" w:cs="Times New Roman"/>
          <w:b/>
        </w:rPr>
      </w:pPr>
      <w:r w:rsidRPr="00FD7A56">
        <w:rPr>
          <w:rFonts w:ascii="Times New Roman" w:hAnsi="Times New Roman" w:cs="Times New Roman"/>
          <w:b/>
        </w:rPr>
        <w:t>Form 5 – Notice when serving tribunal subpoena</w:t>
      </w:r>
    </w:p>
    <w:p w14:paraId="040338AE" w14:textId="2A16BF73" w:rsidR="00FD7A56" w:rsidRPr="00FD7A56" w:rsidRDefault="00FD7A56" w:rsidP="00FD7A56">
      <w:pPr>
        <w:keepNext/>
        <w:spacing w:line="360" w:lineRule="auto"/>
        <w:rPr>
          <w:rFonts w:ascii="Times New Roman" w:hAnsi="Times New Roman" w:cs="Times New Roman"/>
          <w:b/>
        </w:rPr>
      </w:pPr>
      <w:r w:rsidRPr="00FD7A56">
        <w:rPr>
          <w:rFonts w:ascii="Times New Roman" w:hAnsi="Times New Roman" w:cs="Times New Roman"/>
        </w:rPr>
        <w:t>This is the prescribed f</w:t>
      </w:r>
      <w:r w:rsidR="003A27DE">
        <w:rPr>
          <w:rFonts w:ascii="Times New Roman" w:hAnsi="Times New Roman" w:cs="Times New Roman"/>
        </w:rPr>
        <w:t>or</w:t>
      </w:r>
      <w:r w:rsidRPr="00FD7A56">
        <w:rPr>
          <w:rFonts w:ascii="Times New Roman" w:hAnsi="Times New Roman" w:cs="Times New Roman"/>
        </w:rPr>
        <w:t xml:space="preserve">m under subsections 59(a) and 77(1) of the Act to be used when serving a subpoena issued by a tribunal that is addressed to a person who is not in prison, or who is in prison but who does not need to attend or give oral evidence. This form must be attached to the subpoena being served interstate as it outlines the witnesses’ rights and obligations (when they must obey the attached subpoena) and what that person must do if they are subject to a restriction on their movements.  </w:t>
      </w:r>
    </w:p>
    <w:p w14:paraId="0AA20F2E" w14:textId="77777777" w:rsidR="00FD7A56" w:rsidRPr="00FD7A56" w:rsidRDefault="00FD7A56" w:rsidP="00FD7A56">
      <w:pPr>
        <w:keepNext/>
        <w:spacing w:line="360" w:lineRule="auto"/>
        <w:rPr>
          <w:rFonts w:ascii="Times New Roman" w:hAnsi="Times New Roman" w:cs="Times New Roman"/>
          <w:b/>
        </w:rPr>
      </w:pPr>
      <w:r w:rsidRPr="00FD7A56">
        <w:rPr>
          <w:rFonts w:ascii="Times New Roman" w:hAnsi="Times New Roman" w:cs="Times New Roman"/>
          <w:b/>
        </w:rPr>
        <w:t xml:space="preserve">Form 6 – Notice when serving tribunal subpoena addressed to person in prison </w:t>
      </w:r>
    </w:p>
    <w:p w14:paraId="062D1262" w14:textId="6CF82DF7" w:rsidR="00FD7A56" w:rsidRPr="00FD7A56" w:rsidRDefault="00FD7A56" w:rsidP="00FD7A56">
      <w:pPr>
        <w:keepNext/>
        <w:spacing w:line="360" w:lineRule="auto"/>
        <w:rPr>
          <w:rFonts w:ascii="Times New Roman" w:hAnsi="Times New Roman" w:cs="Times New Roman"/>
        </w:rPr>
      </w:pPr>
      <w:r w:rsidRPr="00FD7A56">
        <w:rPr>
          <w:rFonts w:ascii="Times New Roman" w:hAnsi="Times New Roman" w:cs="Times New Roman"/>
        </w:rPr>
        <w:t>This is the prescribed f</w:t>
      </w:r>
      <w:r w:rsidR="003A27DE">
        <w:rPr>
          <w:rFonts w:ascii="Times New Roman" w:hAnsi="Times New Roman" w:cs="Times New Roman"/>
        </w:rPr>
        <w:t>or</w:t>
      </w:r>
      <w:r w:rsidRPr="00FD7A56">
        <w:rPr>
          <w:rFonts w:ascii="Times New Roman" w:hAnsi="Times New Roman" w:cs="Times New Roman"/>
        </w:rPr>
        <w:t>m under section 69 and subsection80(1) of the Act to be used when serving a subpoena issued by a tribunal that is addressed to a person who is in prison and who is required to attend or give oral evidence. This form must be attached to the subpoena being served interstate as it outlines the witnesses’ rights and obligations in regards to being released from custody.</w:t>
      </w:r>
    </w:p>
    <w:p w14:paraId="13AC7B11" w14:textId="77777777" w:rsidR="00FD7A56" w:rsidRPr="00FD7A56" w:rsidRDefault="00FD7A56" w:rsidP="00FD7A56">
      <w:pPr>
        <w:keepNext/>
        <w:spacing w:line="360" w:lineRule="auto"/>
        <w:rPr>
          <w:rFonts w:ascii="Times New Roman" w:hAnsi="Times New Roman" w:cs="Times New Roman"/>
        </w:rPr>
      </w:pPr>
      <w:r w:rsidRPr="00FD7A56">
        <w:rPr>
          <w:rFonts w:ascii="Times New Roman" w:hAnsi="Times New Roman" w:cs="Times New Roman"/>
          <w:b/>
          <w:u w:val="single"/>
        </w:rPr>
        <w:t>SCHEDULE 2 – Repeals</w:t>
      </w:r>
    </w:p>
    <w:p w14:paraId="5AFA0700" w14:textId="77777777" w:rsidR="00FD7A56" w:rsidRPr="00FD7A56" w:rsidRDefault="00FD7A56" w:rsidP="00FD7A56">
      <w:pPr>
        <w:keepNext/>
        <w:spacing w:line="360" w:lineRule="auto"/>
        <w:rPr>
          <w:rFonts w:ascii="Times New Roman" w:hAnsi="Times New Roman" w:cs="Times New Roman"/>
          <w:color w:val="000000"/>
        </w:rPr>
      </w:pPr>
      <w:r w:rsidRPr="00FD7A56">
        <w:rPr>
          <w:rFonts w:ascii="Times New Roman" w:hAnsi="Times New Roman" w:cs="Times New Roman"/>
          <w:color w:val="000000"/>
        </w:rPr>
        <w:t xml:space="preserve">This Schedule outlines that the </w:t>
      </w:r>
      <w:r w:rsidRPr="00FD7A56">
        <w:rPr>
          <w:rFonts w:ascii="Times New Roman" w:hAnsi="Times New Roman" w:cs="Times New Roman"/>
          <w:i/>
          <w:color w:val="000000"/>
        </w:rPr>
        <w:t xml:space="preserve">Service and Execution of Process Regulations 1993 </w:t>
      </w:r>
      <w:r w:rsidRPr="00FD7A56">
        <w:rPr>
          <w:rFonts w:ascii="Times New Roman" w:hAnsi="Times New Roman" w:cs="Times New Roman"/>
          <w:color w:val="000000"/>
        </w:rPr>
        <w:t xml:space="preserve">will be repealed entirely. </w:t>
      </w:r>
    </w:p>
    <w:p w14:paraId="2FF6C0F6" w14:textId="77777777" w:rsidR="00FD7A56" w:rsidRPr="00FD7A56" w:rsidRDefault="00FD7A56" w:rsidP="00FD7A56">
      <w:pPr>
        <w:keepNext/>
        <w:spacing w:line="360" w:lineRule="auto"/>
        <w:rPr>
          <w:rFonts w:ascii="Times New Roman" w:hAnsi="Times New Roman" w:cs="Times New Roman"/>
          <w:b/>
        </w:rPr>
      </w:pPr>
    </w:p>
    <w:p w14:paraId="28557A35" w14:textId="77777777" w:rsidR="00FD7A56" w:rsidRPr="00FD7A56" w:rsidRDefault="00FD7A56" w:rsidP="00FD7A56">
      <w:pPr>
        <w:rPr>
          <w:rFonts w:ascii="Times New Roman" w:hAnsi="Times New Roman" w:cs="Times New Roman"/>
          <w:color w:val="000000"/>
        </w:rPr>
      </w:pPr>
    </w:p>
    <w:p w14:paraId="00493141" w14:textId="7183DE27" w:rsidR="003A517E" w:rsidRPr="00FD7A56" w:rsidRDefault="003A517E" w:rsidP="00FD7A56">
      <w:pPr>
        <w:spacing w:line="360" w:lineRule="auto"/>
        <w:rPr>
          <w:rFonts w:ascii="Times New Roman" w:hAnsi="Times New Roman" w:cs="Times New Roman"/>
          <w:color w:val="000000"/>
        </w:rPr>
      </w:pPr>
    </w:p>
    <w:sectPr w:rsidR="003A517E" w:rsidRPr="00FD7A5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7CA902" w14:textId="77777777" w:rsidR="00CF432E" w:rsidRDefault="00CF432E" w:rsidP="0002636A">
      <w:pPr>
        <w:spacing w:after="0" w:line="240" w:lineRule="auto"/>
      </w:pPr>
      <w:r>
        <w:separator/>
      </w:r>
    </w:p>
  </w:endnote>
  <w:endnote w:type="continuationSeparator" w:id="0">
    <w:p w14:paraId="4609C82C" w14:textId="77777777" w:rsidR="00CF432E" w:rsidRDefault="00CF432E" w:rsidP="0002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1BC83" w14:textId="77777777" w:rsidR="003075A1" w:rsidRDefault="003075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4314554"/>
      <w:docPartObj>
        <w:docPartGallery w:val="Page Numbers (Bottom of Page)"/>
        <w:docPartUnique/>
      </w:docPartObj>
    </w:sdtPr>
    <w:sdtEndPr>
      <w:rPr>
        <w:noProof/>
      </w:rPr>
    </w:sdtEndPr>
    <w:sdtContent>
      <w:p w14:paraId="38DACAC2" w14:textId="77777777" w:rsidR="0002636A" w:rsidRDefault="0002636A">
        <w:pPr>
          <w:pStyle w:val="Footer"/>
          <w:jc w:val="right"/>
        </w:pPr>
        <w:r>
          <w:fldChar w:fldCharType="begin"/>
        </w:r>
        <w:r>
          <w:instrText xml:space="preserve"> PAGE   \* MERGEFORMAT </w:instrText>
        </w:r>
        <w:r>
          <w:fldChar w:fldCharType="separate"/>
        </w:r>
        <w:r w:rsidR="0096518B">
          <w:rPr>
            <w:noProof/>
          </w:rPr>
          <w:t>6</w:t>
        </w:r>
        <w:r>
          <w:rPr>
            <w:noProof/>
          </w:rPr>
          <w:fldChar w:fldCharType="end"/>
        </w:r>
      </w:p>
    </w:sdtContent>
  </w:sdt>
  <w:p w14:paraId="38DACAC3" w14:textId="77777777" w:rsidR="0002636A" w:rsidRDefault="000263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EED0F" w14:textId="77777777" w:rsidR="003075A1" w:rsidRDefault="003075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9ECDC2" w14:textId="77777777" w:rsidR="00CF432E" w:rsidRDefault="00CF432E" w:rsidP="0002636A">
      <w:pPr>
        <w:spacing w:after="0" w:line="240" w:lineRule="auto"/>
      </w:pPr>
      <w:r>
        <w:separator/>
      </w:r>
    </w:p>
  </w:footnote>
  <w:footnote w:type="continuationSeparator" w:id="0">
    <w:p w14:paraId="5756A2D3" w14:textId="77777777" w:rsidR="00CF432E" w:rsidRDefault="00CF432E" w:rsidP="000263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563BD" w14:textId="77777777" w:rsidR="003075A1" w:rsidRDefault="003075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92D57" w14:textId="75B0CE05" w:rsidR="003075A1" w:rsidRDefault="003075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AAF65" w14:textId="77777777" w:rsidR="003075A1" w:rsidRDefault="003075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18E6"/>
    <w:multiLevelType w:val="hybridMultilevel"/>
    <w:tmpl w:val="DA881898"/>
    <w:lvl w:ilvl="0" w:tplc="169A6140">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E352F76"/>
    <w:multiLevelType w:val="hybridMultilevel"/>
    <w:tmpl w:val="E968C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26E494D"/>
    <w:multiLevelType w:val="hybridMultilevel"/>
    <w:tmpl w:val="AA1ED3FE"/>
    <w:lvl w:ilvl="0" w:tplc="169A6140">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4757A47"/>
    <w:multiLevelType w:val="hybridMultilevel"/>
    <w:tmpl w:val="8CCE3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1101019"/>
    <w:multiLevelType w:val="hybridMultilevel"/>
    <w:tmpl w:val="746CD1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48C3DF9"/>
    <w:multiLevelType w:val="hybridMultilevel"/>
    <w:tmpl w:val="623C0C0C"/>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9A011B4"/>
    <w:multiLevelType w:val="hybridMultilevel"/>
    <w:tmpl w:val="3C4A2FC8"/>
    <w:lvl w:ilvl="0" w:tplc="D5522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AEC51BD"/>
    <w:multiLevelType w:val="hybridMultilevel"/>
    <w:tmpl w:val="0164B25C"/>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8">
    <w:nsid w:val="44233956"/>
    <w:multiLevelType w:val="hybridMultilevel"/>
    <w:tmpl w:val="BC48A708"/>
    <w:lvl w:ilvl="0" w:tplc="1F6E335A">
      <w:start w:val="1"/>
      <w:numFmt w:val="bullet"/>
      <w:lvlText w:val=""/>
      <w:lvlJc w:val="left"/>
      <w:pPr>
        <w:ind w:left="780" w:hanging="360"/>
      </w:pPr>
      <w:rPr>
        <w:rFonts w:ascii="Symbol" w:hAnsi="Symbol" w:hint="default"/>
      </w:rPr>
    </w:lvl>
    <w:lvl w:ilvl="1" w:tplc="63B22B0E" w:tentative="1">
      <w:start w:val="1"/>
      <w:numFmt w:val="bullet"/>
      <w:lvlText w:val="o"/>
      <w:lvlJc w:val="left"/>
      <w:pPr>
        <w:ind w:left="1500" w:hanging="360"/>
      </w:pPr>
      <w:rPr>
        <w:rFonts w:ascii="Courier New" w:hAnsi="Courier New" w:cs="Courier New" w:hint="default"/>
      </w:rPr>
    </w:lvl>
    <w:lvl w:ilvl="2" w:tplc="1FC42644" w:tentative="1">
      <w:start w:val="1"/>
      <w:numFmt w:val="bullet"/>
      <w:lvlText w:val=""/>
      <w:lvlJc w:val="left"/>
      <w:pPr>
        <w:ind w:left="2220" w:hanging="360"/>
      </w:pPr>
      <w:rPr>
        <w:rFonts w:ascii="Wingdings" w:hAnsi="Wingdings" w:hint="default"/>
      </w:rPr>
    </w:lvl>
    <w:lvl w:ilvl="3" w:tplc="738AE454" w:tentative="1">
      <w:start w:val="1"/>
      <w:numFmt w:val="bullet"/>
      <w:lvlText w:val=""/>
      <w:lvlJc w:val="left"/>
      <w:pPr>
        <w:ind w:left="2940" w:hanging="360"/>
      </w:pPr>
      <w:rPr>
        <w:rFonts w:ascii="Symbol" w:hAnsi="Symbol" w:hint="default"/>
      </w:rPr>
    </w:lvl>
    <w:lvl w:ilvl="4" w:tplc="10B42734" w:tentative="1">
      <w:start w:val="1"/>
      <w:numFmt w:val="bullet"/>
      <w:lvlText w:val="o"/>
      <w:lvlJc w:val="left"/>
      <w:pPr>
        <w:ind w:left="3660" w:hanging="360"/>
      </w:pPr>
      <w:rPr>
        <w:rFonts w:ascii="Courier New" w:hAnsi="Courier New" w:cs="Courier New" w:hint="default"/>
      </w:rPr>
    </w:lvl>
    <w:lvl w:ilvl="5" w:tplc="518E4D28" w:tentative="1">
      <w:start w:val="1"/>
      <w:numFmt w:val="bullet"/>
      <w:lvlText w:val=""/>
      <w:lvlJc w:val="left"/>
      <w:pPr>
        <w:ind w:left="4380" w:hanging="360"/>
      </w:pPr>
      <w:rPr>
        <w:rFonts w:ascii="Wingdings" w:hAnsi="Wingdings" w:hint="default"/>
      </w:rPr>
    </w:lvl>
    <w:lvl w:ilvl="6" w:tplc="88B613B4" w:tentative="1">
      <w:start w:val="1"/>
      <w:numFmt w:val="bullet"/>
      <w:lvlText w:val=""/>
      <w:lvlJc w:val="left"/>
      <w:pPr>
        <w:ind w:left="5100" w:hanging="360"/>
      </w:pPr>
      <w:rPr>
        <w:rFonts w:ascii="Symbol" w:hAnsi="Symbol" w:hint="default"/>
      </w:rPr>
    </w:lvl>
    <w:lvl w:ilvl="7" w:tplc="64741354" w:tentative="1">
      <w:start w:val="1"/>
      <w:numFmt w:val="bullet"/>
      <w:lvlText w:val="o"/>
      <w:lvlJc w:val="left"/>
      <w:pPr>
        <w:ind w:left="5820" w:hanging="360"/>
      </w:pPr>
      <w:rPr>
        <w:rFonts w:ascii="Courier New" w:hAnsi="Courier New" w:cs="Courier New" w:hint="default"/>
      </w:rPr>
    </w:lvl>
    <w:lvl w:ilvl="8" w:tplc="F8C0A5D6" w:tentative="1">
      <w:start w:val="1"/>
      <w:numFmt w:val="bullet"/>
      <w:lvlText w:val=""/>
      <w:lvlJc w:val="left"/>
      <w:pPr>
        <w:ind w:left="6540" w:hanging="360"/>
      </w:pPr>
      <w:rPr>
        <w:rFonts w:ascii="Wingdings" w:hAnsi="Wingdings" w:hint="default"/>
      </w:rPr>
    </w:lvl>
  </w:abstractNum>
  <w:abstractNum w:abstractNumId="9">
    <w:nsid w:val="4A18344C"/>
    <w:multiLevelType w:val="hybridMultilevel"/>
    <w:tmpl w:val="14E4BB4C"/>
    <w:lvl w:ilvl="0" w:tplc="5E0C47FC">
      <w:numFmt w:val="bullet"/>
      <w:lvlText w:val="•"/>
      <w:lvlJc w:val="left"/>
      <w:pPr>
        <w:ind w:left="825" w:hanging="465"/>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E2E0478"/>
    <w:multiLevelType w:val="singleLevel"/>
    <w:tmpl w:val="AA3C36B8"/>
    <w:lvl w:ilvl="0">
      <w:start w:val="2"/>
      <w:numFmt w:val="decimal"/>
      <w:pStyle w:val="Paragraphnumbered"/>
      <w:lvlText w:val="%1."/>
      <w:legacy w:legacy="1" w:legacySpace="0" w:legacyIndent="567"/>
      <w:lvlJc w:val="left"/>
      <w:pPr>
        <w:ind w:left="567" w:hanging="567"/>
      </w:pPr>
      <w:rPr>
        <w:color w:val="auto"/>
      </w:rPr>
    </w:lvl>
  </w:abstractNum>
  <w:abstractNum w:abstractNumId="11">
    <w:nsid w:val="56DE484B"/>
    <w:multiLevelType w:val="hybridMultilevel"/>
    <w:tmpl w:val="BDC49336"/>
    <w:lvl w:ilvl="0" w:tplc="169A614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EE5CC7EA">
      <w:start w:val="1"/>
      <w:numFmt w:val="lowerLetter"/>
      <w:lvlText w:val="(%3)"/>
      <w:lvlJc w:val="left"/>
      <w:pPr>
        <w:ind w:left="1778"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59DF172E"/>
    <w:multiLevelType w:val="hybridMultilevel"/>
    <w:tmpl w:val="0814488A"/>
    <w:lvl w:ilvl="0" w:tplc="0C090019">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DB250C5"/>
    <w:multiLevelType w:val="hybridMultilevel"/>
    <w:tmpl w:val="96DAD556"/>
    <w:lvl w:ilvl="0" w:tplc="B098319C">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5F0931BC"/>
    <w:multiLevelType w:val="hybridMultilevel"/>
    <w:tmpl w:val="4DDC4C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61362741"/>
    <w:multiLevelType w:val="hybridMultilevel"/>
    <w:tmpl w:val="569AEB26"/>
    <w:lvl w:ilvl="0" w:tplc="88665288">
      <w:start w:val="1"/>
      <w:numFmt w:val="decimal"/>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67003A20"/>
    <w:multiLevelType w:val="hybridMultilevel"/>
    <w:tmpl w:val="1D6AE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A0335FE"/>
    <w:multiLevelType w:val="hybridMultilevel"/>
    <w:tmpl w:val="4574E45A"/>
    <w:lvl w:ilvl="0" w:tplc="7988EC9C">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70DD0D1A"/>
    <w:multiLevelType w:val="hybridMultilevel"/>
    <w:tmpl w:val="A5F63E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87F0225"/>
    <w:multiLevelType w:val="hybridMultilevel"/>
    <w:tmpl w:val="C72ED0B6"/>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3"/>
  </w:num>
  <w:num w:numId="4">
    <w:abstractNumId w:val="18"/>
  </w:num>
  <w:num w:numId="5">
    <w:abstractNumId w:val="4"/>
  </w:num>
  <w:num w:numId="6">
    <w:abstractNumId w:val="19"/>
  </w:num>
  <w:num w:numId="7">
    <w:abstractNumId w:val="0"/>
  </w:num>
  <w:num w:numId="8">
    <w:abstractNumId w:val="12"/>
  </w:num>
  <w:num w:numId="9">
    <w:abstractNumId w:val="5"/>
  </w:num>
  <w:num w:numId="10">
    <w:abstractNumId w:val="17"/>
  </w:num>
  <w:num w:numId="11">
    <w:abstractNumId w:val="15"/>
  </w:num>
  <w:num w:numId="12">
    <w:abstractNumId w:val="14"/>
  </w:num>
  <w:num w:numId="13">
    <w:abstractNumId w:val="6"/>
  </w:num>
  <w:num w:numId="14">
    <w:abstractNumId w:val="10"/>
  </w:num>
  <w:num w:numId="15">
    <w:abstractNumId w:val="8"/>
  </w:num>
  <w:num w:numId="16">
    <w:abstractNumId w:val="16"/>
  </w:num>
  <w:num w:numId="17">
    <w:abstractNumId w:val="1"/>
  </w:num>
  <w:num w:numId="18">
    <w:abstractNumId w:val="7"/>
  </w:num>
  <w:num w:numId="19">
    <w:abstractNumId w:val="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269"/>
    <w:rsid w:val="0002159E"/>
    <w:rsid w:val="0002636A"/>
    <w:rsid w:val="000415BA"/>
    <w:rsid w:val="000E6DFF"/>
    <w:rsid w:val="000F0FB1"/>
    <w:rsid w:val="00105FBD"/>
    <w:rsid w:val="00106CBA"/>
    <w:rsid w:val="00132863"/>
    <w:rsid w:val="001469C7"/>
    <w:rsid w:val="0017105A"/>
    <w:rsid w:val="00186EFA"/>
    <w:rsid w:val="001D3031"/>
    <w:rsid w:val="00210642"/>
    <w:rsid w:val="0026109C"/>
    <w:rsid w:val="002B361E"/>
    <w:rsid w:val="002C5B76"/>
    <w:rsid w:val="003075A1"/>
    <w:rsid w:val="003960B5"/>
    <w:rsid w:val="003A06C5"/>
    <w:rsid w:val="003A27DE"/>
    <w:rsid w:val="003A517E"/>
    <w:rsid w:val="003B6050"/>
    <w:rsid w:val="003D6791"/>
    <w:rsid w:val="004229F5"/>
    <w:rsid w:val="004709FE"/>
    <w:rsid w:val="004A0438"/>
    <w:rsid w:val="004F430F"/>
    <w:rsid w:val="00521029"/>
    <w:rsid w:val="00526006"/>
    <w:rsid w:val="00533CA6"/>
    <w:rsid w:val="00566C9B"/>
    <w:rsid w:val="00586C4E"/>
    <w:rsid w:val="005B5A11"/>
    <w:rsid w:val="005B5E46"/>
    <w:rsid w:val="005D194A"/>
    <w:rsid w:val="0060577E"/>
    <w:rsid w:val="00607F9A"/>
    <w:rsid w:val="0063239B"/>
    <w:rsid w:val="0063279C"/>
    <w:rsid w:val="00634AE9"/>
    <w:rsid w:val="00670C8D"/>
    <w:rsid w:val="00672A3B"/>
    <w:rsid w:val="006B6D3D"/>
    <w:rsid w:val="006E1C2B"/>
    <w:rsid w:val="007B7195"/>
    <w:rsid w:val="007E2F69"/>
    <w:rsid w:val="007F1D53"/>
    <w:rsid w:val="0080055A"/>
    <w:rsid w:val="008417A3"/>
    <w:rsid w:val="0088295E"/>
    <w:rsid w:val="00894D9D"/>
    <w:rsid w:val="008B2955"/>
    <w:rsid w:val="008B46EA"/>
    <w:rsid w:val="008B5BDB"/>
    <w:rsid w:val="009227B6"/>
    <w:rsid w:val="00957401"/>
    <w:rsid w:val="009601BB"/>
    <w:rsid w:val="0096518B"/>
    <w:rsid w:val="0096562B"/>
    <w:rsid w:val="009B6322"/>
    <w:rsid w:val="009D2B82"/>
    <w:rsid w:val="009E7F6A"/>
    <w:rsid w:val="00A54C52"/>
    <w:rsid w:val="00AB3F89"/>
    <w:rsid w:val="00AB7270"/>
    <w:rsid w:val="00AC39E5"/>
    <w:rsid w:val="00AF0C63"/>
    <w:rsid w:val="00AF3FA2"/>
    <w:rsid w:val="00AF673F"/>
    <w:rsid w:val="00B273E1"/>
    <w:rsid w:val="00B427D5"/>
    <w:rsid w:val="00B57503"/>
    <w:rsid w:val="00B769D9"/>
    <w:rsid w:val="00B828BC"/>
    <w:rsid w:val="00BA3F3C"/>
    <w:rsid w:val="00C16B35"/>
    <w:rsid w:val="00C36918"/>
    <w:rsid w:val="00C92F5E"/>
    <w:rsid w:val="00CA0665"/>
    <w:rsid w:val="00CF14E3"/>
    <w:rsid w:val="00CF432E"/>
    <w:rsid w:val="00D51A2A"/>
    <w:rsid w:val="00D62FB1"/>
    <w:rsid w:val="00D87F19"/>
    <w:rsid w:val="00DA7C15"/>
    <w:rsid w:val="00DB2DA6"/>
    <w:rsid w:val="00DF66A9"/>
    <w:rsid w:val="00E03A1F"/>
    <w:rsid w:val="00E23B2F"/>
    <w:rsid w:val="00E24C69"/>
    <w:rsid w:val="00E44073"/>
    <w:rsid w:val="00E573A1"/>
    <w:rsid w:val="00E81349"/>
    <w:rsid w:val="00EC3755"/>
    <w:rsid w:val="00ED357E"/>
    <w:rsid w:val="00F10A91"/>
    <w:rsid w:val="00F2311C"/>
    <w:rsid w:val="00F26896"/>
    <w:rsid w:val="00F33269"/>
    <w:rsid w:val="00F769DC"/>
    <w:rsid w:val="00FB4B00"/>
    <w:rsid w:val="00FD7716"/>
    <w:rsid w:val="00FD7A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DAC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0C8D"/>
    <w:pPr>
      <w:keepNext/>
      <w:spacing w:before="240" w:after="60"/>
      <w:outlineLvl w:val="0"/>
    </w:pPr>
    <w:rPr>
      <w:rFonts w:ascii="Cambria" w:eastAsia="Times New Roman" w:hAnsi="Cambria" w:cs="Times New Roman"/>
      <w:bCs/>
      <w:caps/>
      <w:kern w:val="32"/>
      <w:sz w:val="32"/>
      <w:szCs w:val="32"/>
    </w:rPr>
  </w:style>
  <w:style w:type="paragraph" w:styleId="Heading3">
    <w:name w:val="heading 3"/>
    <w:basedOn w:val="Normal"/>
    <w:next w:val="Normal"/>
    <w:link w:val="Heading3Char"/>
    <w:uiPriority w:val="9"/>
    <w:semiHidden/>
    <w:unhideWhenUsed/>
    <w:qFormat/>
    <w:rsid w:val="005B5A1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61E"/>
    <w:rPr>
      <w:sz w:val="16"/>
      <w:szCs w:val="16"/>
    </w:rPr>
  </w:style>
  <w:style w:type="paragraph" w:styleId="CommentText">
    <w:name w:val="annotation text"/>
    <w:basedOn w:val="Normal"/>
    <w:link w:val="CommentTextChar"/>
    <w:uiPriority w:val="99"/>
    <w:semiHidden/>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semiHidden/>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basedOn w:val="Normal"/>
    <w:uiPriority w:val="34"/>
    <w:qFormat/>
    <w:rsid w:val="0063239B"/>
    <w:pPr>
      <w:ind w:left="720"/>
      <w:contextualSpacing/>
    </w:p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basedOn w:val="DefaultParagraphFont"/>
    <w:link w:val="Heading1"/>
    <w:uiPriority w:val="9"/>
    <w:rsid w:val="00670C8D"/>
    <w:rPr>
      <w:rFonts w:ascii="Cambria" w:eastAsia="Times New Roman" w:hAnsi="Cambria" w:cs="Times New Roman"/>
      <w:bCs/>
      <w:caps/>
      <w:kern w:val="32"/>
      <w:sz w:val="32"/>
      <w:szCs w:val="32"/>
    </w:rPr>
  </w:style>
  <w:style w:type="paragraph" w:customStyle="1" w:styleId="Paragraph">
    <w:name w:val="Paragraph"/>
    <w:basedOn w:val="Normal"/>
    <w:link w:val="ParagraphChar"/>
    <w:uiPriority w:val="99"/>
    <w:rsid w:val="00C16B35"/>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 w:type="character" w:customStyle="1" w:styleId="Heading3Char">
    <w:name w:val="Heading 3 Char"/>
    <w:basedOn w:val="DefaultParagraphFont"/>
    <w:link w:val="Heading3"/>
    <w:uiPriority w:val="9"/>
    <w:semiHidden/>
    <w:rsid w:val="005B5A11"/>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5B5A1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5B5A11"/>
  </w:style>
  <w:style w:type="paragraph" w:customStyle="1" w:styleId="Paragraphnumbered">
    <w:name w:val="Paragraph (numbered)"/>
    <w:basedOn w:val="Normal"/>
    <w:rsid w:val="0088295E"/>
    <w:pPr>
      <w:numPr>
        <w:numId w:val="14"/>
      </w:numPr>
      <w:spacing w:before="240" w:after="0" w:line="360" w:lineRule="auto"/>
    </w:pPr>
    <w:rPr>
      <w:rFonts w:ascii="Times New Roman" w:eastAsia="Times New Roman" w:hAnsi="Times New Roman" w:cs="Times New Roman"/>
      <w:sz w:val="24"/>
      <w:szCs w:val="20"/>
      <w:lang w:eastAsia="en-AU"/>
    </w:rPr>
  </w:style>
  <w:style w:type="paragraph" w:customStyle="1" w:styleId="notemargin">
    <w:name w:val="note(margin)"/>
    <w:aliases w:val="nm"/>
    <w:basedOn w:val="Normal"/>
    <w:rsid w:val="006E1C2B"/>
    <w:pPr>
      <w:tabs>
        <w:tab w:val="left" w:pos="709"/>
      </w:tabs>
      <w:spacing w:before="122" w:after="0" w:line="198" w:lineRule="exact"/>
      <w:ind w:left="709" w:hanging="709"/>
    </w:pPr>
    <w:rPr>
      <w:rFonts w:ascii="Times New Roman" w:eastAsia="Times New Roman" w:hAnsi="Times New Roman" w:cs="Times New Roman"/>
      <w:sz w:val="18"/>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0C8D"/>
    <w:pPr>
      <w:keepNext/>
      <w:spacing w:before="240" w:after="60"/>
      <w:outlineLvl w:val="0"/>
    </w:pPr>
    <w:rPr>
      <w:rFonts w:ascii="Cambria" w:eastAsia="Times New Roman" w:hAnsi="Cambria" w:cs="Times New Roman"/>
      <w:bCs/>
      <w:caps/>
      <w:kern w:val="32"/>
      <w:sz w:val="32"/>
      <w:szCs w:val="32"/>
    </w:rPr>
  </w:style>
  <w:style w:type="paragraph" w:styleId="Heading3">
    <w:name w:val="heading 3"/>
    <w:basedOn w:val="Normal"/>
    <w:next w:val="Normal"/>
    <w:link w:val="Heading3Char"/>
    <w:uiPriority w:val="9"/>
    <w:semiHidden/>
    <w:unhideWhenUsed/>
    <w:qFormat/>
    <w:rsid w:val="005B5A1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61E"/>
    <w:rPr>
      <w:sz w:val="16"/>
      <w:szCs w:val="16"/>
    </w:rPr>
  </w:style>
  <w:style w:type="paragraph" w:styleId="CommentText">
    <w:name w:val="annotation text"/>
    <w:basedOn w:val="Normal"/>
    <w:link w:val="CommentTextChar"/>
    <w:uiPriority w:val="99"/>
    <w:semiHidden/>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semiHidden/>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basedOn w:val="Normal"/>
    <w:uiPriority w:val="34"/>
    <w:qFormat/>
    <w:rsid w:val="0063239B"/>
    <w:pPr>
      <w:ind w:left="720"/>
      <w:contextualSpacing/>
    </w:p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basedOn w:val="DefaultParagraphFont"/>
    <w:link w:val="Heading1"/>
    <w:uiPriority w:val="9"/>
    <w:rsid w:val="00670C8D"/>
    <w:rPr>
      <w:rFonts w:ascii="Cambria" w:eastAsia="Times New Roman" w:hAnsi="Cambria" w:cs="Times New Roman"/>
      <w:bCs/>
      <w:caps/>
      <w:kern w:val="32"/>
      <w:sz w:val="32"/>
      <w:szCs w:val="32"/>
    </w:rPr>
  </w:style>
  <w:style w:type="paragraph" w:customStyle="1" w:styleId="Paragraph">
    <w:name w:val="Paragraph"/>
    <w:basedOn w:val="Normal"/>
    <w:link w:val="ParagraphChar"/>
    <w:uiPriority w:val="99"/>
    <w:rsid w:val="00C16B35"/>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 w:type="character" w:customStyle="1" w:styleId="Heading3Char">
    <w:name w:val="Heading 3 Char"/>
    <w:basedOn w:val="DefaultParagraphFont"/>
    <w:link w:val="Heading3"/>
    <w:uiPriority w:val="9"/>
    <w:semiHidden/>
    <w:rsid w:val="005B5A11"/>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5B5A1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5B5A11"/>
  </w:style>
  <w:style w:type="paragraph" w:customStyle="1" w:styleId="Paragraphnumbered">
    <w:name w:val="Paragraph (numbered)"/>
    <w:basedOn w:val="Normal"/>
    <w:rsid w:val="0088295E"/>
    <w:pPr>
      <w:numPr>
        <w:numId w:val="14"/>
      </w:numPr>
      <w:spacing w:before="240" w:after="0" w:line="360" w:lineRule="auto"/>
    </w:pPr>
    <w:rPr>
      <w:rFonts w:ascii="Times New Roman" w:eastAsia="Times New Roman" w:hAnsi="Times New Roman" w:cs="Times New Roman"/>
      <w:sz w:val="24"/>
      <w:szCs w:val="20"/>
      <w:lang w:eastAsia="en-AU"/>
    </w:rPr>
  </w:style>
  <w:style w:type="paragraph" w:customStyle="1" w:styleId="notemargin">
    <w:name w:val="note(margin)"/>
    <w:aliases w:val="nm"/>
    <w:basedOn w:val="Normal"/>
    <w:rsid w:val="006E1C2B"/>
    <w:pPr>
      <w:tabs>
        <w:tab w:val="left" w:pos="709"/>
      </w:tabs>
      <w:spacing w:before="122" w:after="0" w:line="198" w:lineRule="exact"/>
      <w:ind w:left="709" w:hanging="709"/>
    </w:pPr>
    <w:rPr>
      <w:rFonts w:ascii="Times New Roman" w:eastAsia="Times New Roman" w:hAnsi="Times New Roman" w:cs="Times New Roman"/>
      <w:sz w:val="18"/>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880889">
      <w:bodyDiv w:val="1"/>
      <w:marLeft w:val="0"/>
      <w:marRight w:val="0"/>
      <w:marTop w:val="0"/>
      <w:marBottom w:val="0"/>
      <w:divBdr>
        <w:top w:val="none" w:sz="0" w:space="0" w:color="auto"/>
        <w:left w:val="none" w:sz="0" w:space="0" w:color="auto"/>
        <w:bottom w:val="none" w:sz="0" w:space="0" w:color="auto"/>
        <w:right w:val="none" w:sz="0" w:space="0" w:color="auto"/>
      </w:divBdr>
    </w:div>
    <w:div w:id="702905425">
      <w:bodyDiv w:val="1"/>
      <w:marLeft w:val="0"/>
      <w:marRight w:val="0"/>
      <w:marTop w:val="0"/>
      <w:marBottom w:val="0"/>
      <w:divBdr>
        <w:top w:val="none" w:sz="0" w:space="0" w:color="auto"/>
        <w:left w:val="none" w:sz="0" w:space="0" w:color="auto"/>
        <w:bottom w:val="none" w:sz="0" w:space="0" w:color="auto"/>
        <w:right w:val="none" w:sz="0" w:space="0" w:color="auto"/>
      </w:divBdr>
    </w:div>
    <w:div w:id="866066072">
      <w:bodyDiv w:val="1"/>
      <w:marLeft w:val="0"/>
      <w:marRight w:val="0"/>
      <w:marTop w:val="0"/>
      <w:marBottom w:val="0"/>
      <w:divBdr>
        <w:top w:val="none" w:sz="0" w:space="0" w:color="auto"/>
        <w:left w:val="none" w:sz="0" w:space="0" w:color="auto"/>
        <w:bottom w:val="none" w:sz="0" w:space="0" w:color="auto"/>
        <w:right w:val="none" w:sz="0" w:space="0" w:color="auto"/>
      </w:divBdr>
    </w:div>
    <w:div w:id="92808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596CB89A6608245829FCFF824197F6D" ma:contentTypeVersion="" ma:contentTypeDescription="PDMS Document Site Content Type" ma:contentTypeScope="" ma:versionID="553951c0ca578368cca8d9802050a02d">
  <xsd:schema xmlns:xsd="http://www.w3.org/2001/XMLSchema" xmlns:xs="http://www.w3.org/2001/XMLSchema" xmlns:p="http://schemas.microsoft.com/office/2006/metadata/properties" xmlns:ns2="04225F8A-385D-4D87-957B-3A8238FC7E01" targetNamespace="http://schemas.microsoft.com/office/2006/metadata/properties" ma:root="true" ma:fieldsID="c69ef897dd20426c44459cee181f7c2d" ns2:_="">
    <xsd:import namespace="04225F8A-385D-4D87-957B-3A8238FC7E0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25F8A-385D-4D87-957B-3A8238FC7E0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04225F8A-385D-4D87-957B-3A8238FC7E0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C7741-5064-4B22-9046-019017FF8844}">
  <ds:schemaRefs>
    <ds:schemaRef ds:uri="http://schemas.microsoft.com/sharepoint/v3/contenttype/forms"/>
  </ds:schemaRefs>
</ds:datastoreItem>
</file>

<file path=customXml/itemProps2.xml><?xml version="1.0" encoding="utf-8"?>
<ds:datastoreItem xmlns:ds="http://schemas.openxmlformats.org/officeDocument/2006/customXml" ds:itemID="{1789F77F-2ADC-42B4-AD5B-DD9465521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25F8A-385D-4D87-957B-3A8238FC7E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74A69D-22E8-43A8-BB0F-D8E8F3411D3E}">
  <ds:schemaRef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elements/1.1/"/>
    <ds:schemaRef ds:uri="http://purl.org/dc/terms/"/>
    <ds:schemaRef ds:uri="http://www.w3.org/XML/1998/namespace"/>
    <ds:schemaRef ds:uri="http://schemas.microsoft.com/office/infopath/2007/PartnerControls"/>
    <ds:schemaRef ds:uri="04225F8A-385D-4D87-957B-3A8238FC7E01"/>
  </ds:schemaRefs>
</ds:datastoreItem>
</file>

<file path=customXml/itemProps4.xml><?xml version="1.0" encoding="utf-8"?>
<ds:datastoreItem xmlns:ds="http://schemas.openxmlformats.org/officeDocument/2006/customXml" ds:itemID="{3D871A95-B2B6-43A5-9DDF-9838899B4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1502</Words>
  <Characters>8567</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10049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tayloh</dc:creator>
  <cp:lastModifiedBy>hartsa</cp:lastModifiedBy>
  <cp:revision>2</cp:revision>
  <cp:lastPrinted>2018-04-19T00:42:00Z</cp:lastPrinted>
  <dcterms:created xsi:type="dcterms:W3CDTF">2018-07-18T05:25:00Z</dcterms:created>
  <dcterms:modified xsi:type="dcterms:W3CDTF">2018-07-18T05:25:00Z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0x010100266966F133664895A6EE3632470D45F500A596CB89A6608245829FCFF824197F6D</vt:lpwstr>
  </property>
  <property fmtid="{D5CDD505-2E9C-101B-9397-08002B2CF9AE}" pid="3" name="Order">
    <vt:r8>1900</vt:r8>
  </property>
  <property fmtid="{D5CDD505-2E9C-101B-9397-08002B2CF9AE}" pid="4" name="xd_ProgID">
    <vt:lpwstr/>
  </property>
  <property fmtid="{D5CDD505-2E9C-101B-9397-08002B2CF9AE}" pid="5" name="_CopySource">
    <vt:lpwstr>http://teams.agdnet.ag.gov.au/projects/LegislationToolbox/Templates/ExCo Legislative Instrument Explanatory Statement Template.DOCX</vt:lpwstr>
  </property>
  <property fmtid="{D5CDD505-2E9C-101B-9397-08002B2CF9AE}" pid="6" name="TemplateUrl">
    <vt:lpwstr/>
  </property>
</Properties>
</file>