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81A9A" w14:textId="77777777" w:rsidR="00AC3D1A"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Legislative Instrument</w:t>
      </w:r>
    </w:p>
    <w:p w14:paraId="3BF95078" w14:textId="3432634C"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19BC87BA" w14:textId="13F72724" w:rsidR="00FD3096" w:rsidRPr="00044893" w:rsidRDefault="005C2118" w:rsidP="00FD3096">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Income Tax Assessment Act 1997 </w:t>
      </w:r>
      <w:r w:rsidR="00FD3096">
        <w:rPr>
          <w:rFonts w:ascii="Arial" w:hAnsi="Arial" w:cs="Arial"/>
          <w:sz w:val="34"/>
          <w:szCs w:val="34"/>
        </w:rPr>
        <w:t xml:space="preserve">- </w:t>
      </w:r>
      <w:r w:rsidR="00A855BB">
        <w:rPr>
          <w:rFonts w:ascii="Arial" w:hAnsi="Arial" w:cs="Arial"/>
          <w:sz w:val="34"/>
          <w:szCs w:val="34"/>
        </w:rPr>
        <w:t xml:space="preserve">Cents </w:t>
      </w:r>
      <w:r>
        <w:rPr>
          <w:rFonts w:ascii="Arial" w:hAnsi="Arial" w:cs="Arial"/>
          <w:sz w:val="34"/>
          <w:szCs w:val="34"/>
        </w:rPr>
        <w:t xml:space="preserve">per </w:t>
      </w:r>
      <w:r w:rsidR="00A855BB">
        <w:rPr>
          <w:rFonts w:ascii="Arial" w:hAnsi="Arial" w:cs="Arial"/>
          <w:sz w:val="34"/>
          <w:szCs w:val="34"/>
        </w:rPr>
        <w:t xml:space="preserve">Kilometre Deduction Rate </w:t>
      </w:r>
      <w:r>
        <w:rPr>
          <w:rFonts w:ascii="Arial" w:hAnsi="Arial" w:cs="Arial"/>
          <w:sz w:val="34"/>
          <w:szCs w:val="34"/>
        </w:rPr>
        <w:t xml:space="preserve">for </w:t>
      </w:r>
      <w:r w:rsidR="00A855BB">
        <w:rPr>
          <w:rFonts w:ascii="Arial" w:hAnsi="Arial" w:cs="Arial"/>
          <w:sz w:val="34"/>
          <w:szCs w:val="34"/>
        </w:rPr>
        <w:t>Car E</w:t>
      </w:r>
      <w:r>
        <w:rPr>
          <w:rFonts w:ascii="Arial" w:hAnsi="Arial" w:cs="Arial"/>
          <w:sz w:val="34"/>
          <w:szCs w:val="34"/>
        </w:rPr>
        <w:t>xpenses 2018</w:t>
      </w:r>
    </w:p>
    <w:p w14:paraId="3BF9507A" w14:textId="77777777" w:rsidR="000A1078" w:rsidRDefault="000A1078" w:rsidP="007D62A9"/>
    <w:p w14:paraId="152CA34E" w14:textId="511F926C" w:rsidR="00FD3096" w:rsidRPr="00B072C4" w:rsidRDefault="00FD3096" w:rsidP="00FD3096">
      <w:pPr>
        <w:rPr>
          <w:rFonts w:ascii="Arial" w:hAnsi="Arial" w:cs="Arial"/>
          <w:sz w:val="22"/>
          <w:szCs w:val="22"/>
        </w:rPr>
      </w:pPr>
      <w:r w:rsidRPr="00DF4EC9">
        <w:rPr>
          <w:rFonts w:ascii="Arial" w:hAnsi="Arial" w:cs="Arial"/>
          <w:sz w:val="22"/>
          <w:szCs w:val="22"/>
        </w:rPr>
        <w:t xml:space="preserve">I, </w:t>
      </w:r>
      <w:r w:rsidR="00741B95">
        <w:rPr>
          <w:rFonts w:ascii="Arial" w:hAnsi="Arial" w:cs="Arial"/>
          <w:sz w:val="22"/>
          <w:szCs w:val="22"/>
        </w:rPr>
        <w:t>Alison Lendon</w:t>
      </w:r>
      <w:r w:rsidRPr="00DF4EC9">
        <w:rPr>
          <w:rFonts w:ascii="Arial" w:hAnsi="Arial" w:cs="Arial"/>
          <w:sz w:val="22"/>
          <w:szCs w:val="22"/>
        </w:rPr>
        <w:t xml:space="preserve">, </w:t>
      </w:r>
      <w:r w:rsidRPr="00F233B1">
        <w:rPr>
          <w:rFonts w:ascii="Arial" w:hAnsi="Arial" w:cs="Arial"/>
          <w:sz w:val="22"/>
          <w:szCs w:val="22"/>
        </w:rPr>
        <w:t xml:space="preserve">Deputy </w:t>
      </w:r>
      <w:r w:rsidRPr="00DF4EC9">
        <w:rPr>
          <w:rFonts w:ascii="Arial" w:hAnsi="Arial" w:cs="Arial"/>
          <w:sz w:val="22"/>
          <w:szCs w:val="22"/>
        </w:rPr>
        <w:t xml:space="preserve">Commissioner </w:t>
      </w:r>
      <w:r>
        <w:rPr>
          <w:rFonts w:ascii="Arial" w:hAnsi="Arial" w:cs="Arial"/>
          <w:sz w:val="22"/>
          <w:szCs w:val="22"/>
        </w:rPr>
        <w:t xml:space="preserve">of Taxation </w:t>
      </w:r>
      <w:r w:rsidRPr="00DF4EC9">
        <w:rPr>
          <w:rFonts w:ascii="Arial" w:hAnsi="Arial" w:cs="Arial"/>
          <w:sz w:val="22"/>
          <w:szCs w:val="22"/>
        </w:rPr>
        <w:t>make th</w:t>
      </w:r>
      <w:r>
        <w:rPr>
          <w:rFonts w:ascii="Arial" w:hAnsi="Arial" w:cs="Arial"/>
          <w:sz w:val="22"/>
          <w:szCs w:val="22"/>
        </w:rPr>
        <w:t>e following legislative instrument</w:t>
      </w:r>
      <w:r w:rsidRPr="00DF4EC9">
        <w:rPr>
          <w:rFonts w:ascii="Arial" w:hAnsi="Arial" w:cs="Arial"/>
          <w:sz w:val="22"/>
          <w:szCs w:val="22"/>
        </w:rPr>
        <w:t xml:space="preserve"> </w:t>
      </w:r>
      <w:r>
        <w:rPr>
          <w:rFonts w:ascii="Arial" w:hAnsi="Arial" w:cs="Arial"/>
          <w:sz w:val="22"/>
          <w:szCs w:val="22"/>
        </w:rPr>
        <w:t xml:space="preserve">regarding the cents per kilometre deduction rate for motor vehicle expenses for years of income commencing 1 July 2018 in accordance with subsection 28-25(4) of the </w:t>
      </w:r>
      <w:r w:rsidRPr="00B072C4">
        <w:rPr>
          <w:rFonts w:ascii="Arial" w:hAnsi="Arial" w:cs="Arial"/>
          <w:i/>
          <w:sz w:val="22"/>
          <w:szCs w:val="22"/>
        </w:rPr>
        <w:t>Income Tax Assessment Act 1997</w:t>
      </w:r>
      <w:r>
        <w:rPr>
          <w:rFonts w:ascii="Arial" w:hAnsi="Arial" w:cs="Arial"/>
          <w:i/>
          <w:sz w:val="22"/>
          <w:szCs w:val="22"/>
        </w:rPr>
        <w:t>.</w:t>
      </w:r>
    </w:p>
    <w:p w14:paraId="3BA0ACDC" w14:textId="77777777" w:rsidR="00A855BB" w:rsidRPr="00200C39" w:rsidRDefault="00A855BB" w:rsidP="00FD3096">
      <w:pPr>
        <w:rPr>
          <w:rFonts w:ascii="Arial" w:hAnsi="Arial" w:cs="Arial"/>
          <w:b/>
          <w:sz w:val="22"/>
          <w:szCs w:val="22"/>
        </w:rPr>
      </w:pPr>
    </w:p>
    <w:p w14:paraId="1E14491E" w14:textId="77777777" w:rsidR="00A855BB" w:rsidRPr="00200C39" w:rsidRDefault="00A855BB" w:rsidP="00FD3096">
      <w:pPr>
        <w:rPr>
          <w:rFonts w:ascii="Arial" w:hAnsi="Arial" w:cs="Arial"/>
          <w:b/>
          <w:sz w:val="22"/>
          <w:szCs w:val="22"/>
        </w:rPr>
      </w:pPr>
    </w:p>
    <w:p w14:paraId="459552C8" w14:textId="250E09C1" w:rsidR="00FD3096" w:rsidRPr="00057BA4" w:rsidRDefault="0068015C" w:rsidP="00FD3096">
      <w:pPr>
        <w:rPr>
          <w:rFonts w:ascii="Arial" w:hAnsi="Arial" w:cs="Arial"/>
          <w:b/>
          <w:sz w:val="22"/>
          <w:szCs w:val="22"/>
        </w:rPr>
      </w:pPr>
      <w:r>
        <w:rPr>
          <w:rFonts w:ascii="Arial" w:hAnsi="Arial" w:cs="Arial"/>
          <w:b/>
          <w:sz w:val="22"/>
          <w:szCs w:val="22"/>
        </w:rPr>
        <w:t>Alison Lendon</w:t>
      </w:r>
      <w:r w:rsidR="00FD3096" w:rsidRPr="00057BA4">
        <w:rPr>
          <w:rFonts w:ascii="Arial" w:hAnsi="Arial" w:cs="Arial"/>
          <w:b/>
          <w:sz w:val="22"/>
          <w:szCs w:val="22"/>
        </w:rPr>
        <w:t xml:space="preserve"> </w:t>
      </w:r>
    </w:p>
    <w:p w14:paraId="0C95AA23" w14:textId="4FA677B0" w:rsidR="00FD3096" w:rsidRDefault="00FD3096" w:rsidP="00FD3096">
      <w:pPr>
        <w:rPr>
          <w:rFonts w:ascii="Arial" w:hAnsi="Arial" w:cs="Arial"/>
          <w:sz w:val="22"/>
          <w:szCs w:val="22"/>
        </w:rPr>
      </w:pPr>
      <w:r w:rsidRPr="00DF4EC9">
        <w:rPr>
          <w:rFonts w:ascii="Arial" w:hAnsi="Arial" w:cs="Arial"/>
          <w:sz w:val="22"/>
          <w:szCs w:val="22"/>
        </w:rPr>
        <w:t>Deputy Commissioner of Taxation</w:t>
      </w:r>
      <w:bookmarkStart w:id="0" w:name="_GoBack"/>
      <w:bookmarkEnd w:id="0"/>
    </w:p>
    <w:p w14:paraId="64ACAE45" w14:textId="739861E2" w:rsidR="00FD3096" w:rsidRPr="00DF4EC9" w:rsidRDefault="00FD3096" w:rsidP="00FD3096">
      <w:pPr>
        <w:rPr>
          <w:rFonts w:ascii="Arial" w:hAnsi="Arial" w:cs="Arial"/>
          <w:sz w:val="22"/>
          <w:szCs w:val="22"/>
        </w:rPr>
      </w:pPr>
      <w:r w:rsidRPr="00B17AF3">
        <w:rPr>
          <w:rFonts w:ascii="Arial" w:hAnsi="Arial" w:cs="Arial"/>
          <w:sz w:val="22"/>
          <w:szCs w:val="22"/>
        </w:rPr>
        <w:t xml:space="preserve">Dated: </w:t>
      </w:r>
      <w:r w:rsidR="00896BCA">
        <w:rPr>
          <w:rFonts w:ascii="Arial" w:hAnsi="Arial" w:cs="Arial"/>
          <w:sz w:val="22"/>
          <w:szCs w:val="22"/>
        </w:rPr>
        <w:t xml:space="preserve">2 </w:t>
      </w:r>
      <w:r>
        <w:rPr>
          <w:rFonts w:ascii="Arial" w:hAnsi="Arial" w:cs="Arial"/>
          <w:sz w:val="22"/>
          <w:szCs w:val="22"/>
        </w:rPr>
        <w:t>July</w:t>
      </w:r>
      <w:r w:rsidRPr="00B17AF3">
        <w:rPr>
          <w:rFonts w:ascii="Arial" w:hAnsi="Arial" w:cs="Arial"/>
          <w:sz w:val="22"/>
          <w:szCs w:val="22"/>
        </w:rPr>
        <w:t xml:space="preserve"> 20</w:t>
      </w:r>
      <w:r>
        <w:rPr>
          <w:rFonts w:ascii="Arial" w:hAnsi="Arial" w:cs="Arial"/>
          <w:sz w:val="22"/>
          <w:szCs w:val="22"/>
        </w:rPr>
        <w:t>18</w:t>
      </w:r>
    </w:p>
    <w:p w14:paraId="3BF95083" w14:textId="77777777" w:rsidR="00AD7346" w:rsidRPr="00DF4EC9" w:rsidRDefault="00AD7346" w:rsidP="007D62A9">
      <w:pPr>
        <w:pBdr>
          <w:bottom w:val="double" w:sz="4" w:space="1" w:color="auto"/>
        </w:pBdr>
        <w:rPr>
          <w:sz w:val="22"/>
          <w:szCs w:val="22"/>
        </w:rPr>
      </w:pPr>
    </w:p>
    <w:p w14:paraId="3BF95084" w14:textId="77777777" w:rsidR="005B0F08" w:rsidRPr="00DF4EC9" w:rsidRDefault="005B0F08" w:rsidP="007D62A9">
      <w:pPr>
        <w:rPr>
          <w:rFonts w:ascii="Arial" w:hAnsi="Arial" w:cs="Arial"/>
          <w:sz w:val="22"/>
          <w:szCs w:val="22"/>
        </w:rPr>
      </w:pPr>
    </w:p>
    <w:p w14:paraId="3BF95085" w14:textId="77777777" w:rsidR="000A1078" w:rsidRPr="00AC3D1A" w:rsidRDefault="000A1078" w:rsidP="00AC3D1A">
      <w:pPr>
        <w:pStyle w:val="Heading2"/>
        <w:numPr>
          <w:ilvl w:val="0"/>
          <w:numId w:val="2"/>
        </w:numPr>
        <w:tabs>
          <w:tab w:val="clear" w:pos="720"/>
        </w:tabs>
        <w:spacing w:before="0" w:after="120"/>
        <w:ind w:left="709" w:hanging="709"/>
        <w:rPr>
          <w:rFonts w:ascii="Arial" w:hAnsi="Arial" w:cs="Arial"/>
          <w:color w:val="auto"/>
          <w:sz w:val="22"/>
          <w:szCs w:val="22"/>
        </w:rPr>
      </w:pPr>
      <w:r w:rsidRPr="00AC3D1A">
        <w:rPr>
          <w:rFonts w:ascii="Arial" w:hAnsi="Arial" w:cs="Arial"/>
          <w:color w:val="auto"/>
          <w:sz w:val="22"/>
          <w:szCs w:val="22"/>
        </w:rPr>
        <w:t xml:space="preserve">Name of </w:t>
      </w:r>
      <w:r w:rsidR="00950E56" w:rsidRPr="00AC3D1A">
        <w:rPr>
          <w:rFonts w:ascii="Arial" w:hAnsi="Arial" w:cs="Arial"/>
          <w:color w:val="auto"/>
          <w:sz w:val="22"/>
          <w:szCs w:val="22"/>
        </w:rPr>
        <w:t>instrument</w:t>
      </w:r>
    </w:p>
    <w:p w14:paraId="40F62E24" w14:textId="30484075" w:rsidR="00FD3096" w:rsidRDefault="00FD3096" w:rsidP="00AC3D1A">
      <w:pPr>
        <w:tabs>
          <w:tab w:val="left" w:pos="709"/>
        </w:tabs>
        <w:spacing w:after="120"/>
        <w:ind w:left="709"/>
        <w:rPr>
          <w:rFonts w:ascii="Arial" w:hAnsi="Arial" w:cs="Arial"/>
          <w:sz w:val="22"/>
          <w:szCs w:val="22"/>
        </w:rPr>
      </w:pPr>
      <w:r w:rsidRPr="00FD3096">
        <w:rPr>
          <w:rFonts w:ascii="Arial" w:hAnsi="Arial" w:cs="Arial"/>
          <w:sz w:val="22"/>
          <w:szCs w:val="22"/>
        </w:rPr>
        <w:t xml:space="preserve">This instrument is the </w:t>
      </w:r>
      <w:r w:rsidR="005C2118" w:rsidRPr="005C2118">
        <w:rPr>
          <w:rFonts w:ascii="Arial" w:hAnsi="Arial" w:cs="Arial"/>
          <w:i/>
          <w:sz w:val="22"/>
          <w:szCs w:val="22"/>
        </w:rPr>
        <w:t xml:space="preserve">Income Tax Assessment Act 1997 - </w:t>
      </w:r>
      <w:r w:rsidR="00A855BB">
        <w:rPr>
          <w:rFonts w:ascii="Arial" w:hAnsi="Arial" w:cs="Arial"/>
          <w:i/>
          <w:sz w:val="22"/>
          <w:szCs w:val="22"/>
        </w:rPr>
        <w:t>C</w:t>
      </w:r>
      <w:r w:rsidR="00A855BB" w:rsidRPr="005C2118">
        <w:rPr>
          <w:rFonts w:ascii="Arial" w:hAnsi="Arial" w:cs="Arial"/>
          <w:i/>
          <w:sz w:val="22"/>
          <w:szCs w:val="22"/>
        </w:rPr>
        <w:t xml:space="preserve">ents </w:t>
      </w:r>
      <w:r w:rsidR="005C2118" w:rsidRPr="005C2118">
        <w:rPr>
          <w:rFonts w:ascii="Arial" w:hAnsi="Arial" w:cs="Arial"/>
          <w:i/>
          <w:sz w:val="22"/>
          <w:szCs w:val="22"/>
        </w:rPr>
        <w:t xml:space="preserve">per </w:t>
      </w:r>
      <w:r w:rsidR="00A855BB">
        <w:rPr>
          <w:rFonts w:ascii="Arial" w:hAnsi="Arial" w:cs="Arial"/>
          <w:i/>
          <w:sz w:val="22"/>
          <w:szCs w:val="22"/>
        </w:rPr>
        <w:t>K</w:t>
      </w:r>
      <w:r w:rsidR="00A855BB" w:rsidRPr="005C2118">
        <w:rPr>
          <w:rFonts w:ascii="Arial" w:hAnsi="Arial" w:cs="Arial"/>
          <w:i/>
          <w:sz w:val="22"/>
          <w:szCs w:val="22"/>
        </w:rPr>
        <w:t xml:space="preserve">ilometre </w:t>
      </w:r>
      <w:r w:rsidR="00A855BB">
        <w:rPr>
          <w:rFonts w:ascii="Arial" w:hAnsi="Arial" w:cs="Arial"/>
          <w:i/>
          <w:sz w:val="22"/>
          <w:szCs w:val="22"/>
        </w:rPr>
        <w:t>D</w:t>
      </w:r>
      <w:r w:rsidR="00A855BB" w:rsidRPr="005C2118">
        <w:rPr>
          <w:rFonts w:ascii="Arial" w:hAnsi="Arial" w:cs="Arial"/>
          <w:i/>
          <w:sz w:val="22"/>
          <w:szCs w:val="22"/>
        </w:rPr>
        <w:t xml:space="preserve">eduction </w:t>
      </w:r>
      <w:r w:rsidR="00A855BB">
        <w:rPr>
          <w:rFonts w:ascii="Arial" w:hAnsi="Arial" w:cs="Arial"/>
          <w:i/>
          <w:sz w:val="22"/>
          <w:szCs w:val="22"/>
        </w:rPr>
        <w:t>R</w:t>
      </w:r>
      <w:r w:rsidR="00A855BB" w:rsidRPr="005C2118">
        <w:rPr>
          <w:rFonts w:ascii="Arial" w:hAnsi="Arial" w:cs="Arial"/>
          <w:i/>
          <w:sz w:val="22"/>
          <w:szCs w:val="22"/>
        </w:rPr>
        <w:t xml:space="preserve">ate </w:t>
      </w:r>
      <w:r w:rsidR="005C2118" w:rsidRPr="005C2118">
        <w:rPr>
          <w:rFonts w:ascii="Arial" w:hAnsi="Arial" w:cs="Arial"/>
          <w:i/>
          <w:sz w:val="22"/>
          <w:szCs w:val="22"/>
        </w:rPr>
        <w:t xml:space="preserve">for </w:t>
      </w:r>
      <w:r w:rsidR="00A855BB">
        <w:rPr>
          <w:rFonts w:ascii="Arial" w:hAnsi="Arial" w:cs="Arial"/>
          <w:i/>
          <w:sz w:val="22"/>
          <w:szCs w:val="22"/>
        </w:rPr>
        <w:t>C</w:t>
      </w:r>
      <w:r w:rsidR="00A855BB" w:rsidRPr="005C2118">
        <w:rPr>
          <w:rFonts w:ascii="Arial" w:hAnsi="Arial" w:cs="Arial"/>
          <w:i/>
          <w:sz w:val="22"/>
          <w:szCs w:val="22"/>
        </w:rPr>
        <w:t xml:space="preserve">ar </w:t>
      </w:r>
      <w:r w:rsidR="00A855BB">
        <w:rPr>
          <w:rFonts w:ascii="Arial" w:hAnsi="Arial" w:cs="Arial"/>
          <w:i/>
          <w:sz w:val="22"/>
          <w:szCs w:val="22"/>
        </w:rPr>
        <w:t>E</w:t>
      </w:r>
      <w:r w:rsidR="00A855BB" w:rsidRPr="005C2118">
        <w:rPr>
          <w:rFonts w:ascii="Arial" w:hAnsi="Arial" w:cs="Arial"/>
          <w:i/>
          <w:sz w:val="22"/>
          <w:szCs w:val="22"/>
        </w:rPr>
        <w:t xml:space="preserve">xpenses </w:t>
      </w:r>
      <w:r w:rsidR="005C2118" w:rsidRPr="005C2118">
        <w:rPr>
          <w:rFonts w:ascii="Arial" w:hAnsi="Arial" w:cs="Arial"/>
          <w:i/>
          <w:sz w:val="22"/>
          <w:szCs w:val="22"/>
        </w:rPr>
        <w:t>2018</w:t>
      </w:r>
      <w:r w:rsidRPr="00FD3096">
        <w:rPr>
          <w:rFonts w:ascii="Arial" w:hAnsi="Arial" w:cs="Arial"/>
          <w:sz w:val="22"/>
          <w:szCs w:val="22"/>
        </w:rPr>
        <w:t>.</w:t>
      </w:r>
    </w:p>
    <w:p w14:paraId="41DE2FAB" w14:textId="77777777" w:rsidR="00AC3D1A" w:rsidRPr="00DF4EC9" w:rsidRDefault="00AC3D1A" w:rsidP="00AC3D1A">
      <w:pPr>
        <w:tabs>
          <w:tab w:val="left" w:pos="709"/>
        </w:tabs>
        <w:spacing w:after="120"/>
        <w:rPr>
          <w:rFonts w:ascii="Arial" w:hAnsi="Arial" w:cs="Arial"/>
          <w:sz w:val="22"/>
          <w:szCs w:val="22"/>
        </w:rPr>
      </w:pPr>
    </w:p>
    <w:p w14:paraId="3BF95088" w14:textId="77777777" w:rsidR="000A1078" w:rsidRPr="00AC3D1A" w:rsidRDefault="000A1078" w:rsidP="00AC3D1A">
      <w:pPr>
        <w:pStyle w:val="Heading2"/>
        <w:numPr>
          <w:ilvl w:val="0"/>
          <w:numId w:val="2"/>
        </w:numPr>
        <w:tabs>
          <w:tab w:val="clear" w:pos="720"/>
        </w:tabs>
        <w:spacing w:before="0" w:after="120"/>
        <w:ind w:left="709" w:hanging="709"/>
        <w:rPr>
          <w:rFonts w:ascii="Arial" w:hAnsi="Arial" w:cs="Arial"/>
          <w:color w:val="auto"/>
          <w:sz w:val="22"/>
          <w:szCs w:val="22"/>
        </w:rPr>
      </w:pPr>
      <w:r w:rsidRPr="00AC3D1A">
        <w:rPr>
          <w:rFonts w:ascii="Arial" w:hAnsi="Arial" w:cs="Arial"/>
          <w:color w:val="auto"/>
          <w:sz w:val="22"/>
          <w:szCs w:val="22"/>
        </w:rPr>
        <w:t>Commencement</w:t>
      </w:r>
    </w:p>
    <w:p w14:paraId="7776EDE3" w14:textId="59F879F0" w:rsidR="00AC3D1A" w:rsidRDefault="00F92093" w:rsidP="00AC3D1A">
      <w:pPr>
        <w:tabs>
          <w:tab w:val="left" w:pos="709"/>
        </w:tabs>
        <w:spacing w:after="120"/>
        <w:ind w:left="709"/>
        <w:rPr>
          <w:rFonts w:ascii="Arial" w:hAnsi="Arial" w:cs="Arial"/>
          <w:sz w:val="22"/>
          <w:szCs w:val="22"/>
        </w:rPr>
      </w:pPr>
      <w:r w:rsidRPr="000E11F0">
        <w:rPr>
          <w:rFonts w:ascii="Arial" w:hAnsi="Arial" w:cs="Arial"/>
          <w:sz w:val="22"/>
          <w:szCs w:val="22"/>
        </w:rPr>
        <w:t xml:space="preserve">The instrument applies from </w:t>
      </w:r>
      <w:r>
        <w:rPr>
          <w:rFonts w:ascii="Arial" w:hAnsi="Arial" w:cs="Arial"/>
          <w:sz w:val="22"/>
          <w:szCs w:val="22"/>
        </w:rPr>
        <w:t xml:space="preserve">1 July 2018.  Subsection 12(2) of the </w:t>
      </w:r>
      <w:r w:rsidRPr="006B5730">
        <w:rPr>
          <w:rFonts w:ascii="Arial" w:hAnsi="Arial" w:cs="Arial"/>
          <w:i/>
          <w:sz w:val="22"/>
          <w:szCs w:val="22"/>
        </w:rPr>
        <w:t>Legislation Act 2003</w:t>
      </w:r>
      <w:r>
        <w:rPr>
          <w:rFonts w:ascii="Arial" w:hAnsi="Arial" w:cs="Arial"/>
          <w:sz w:val="22"/>
          <w:szCs w:val="22"/>
        </w:rPr>
        <w:t xml:space="preserve"> prohibits the retrospective application of a legislative instrument if it detrimentally affects the rights of any person other than the Commonwealth.  This subsection does not apply as this instrument is beneficial to taxpayers as it allows them to claim a greater deduction than was allowed for previous income years</w:t>
      </w:r>
      <w:r w:rsidRPr="000E11F0">
        <w:rPr>
          <w:rFonts w:ascii="Arial" w:hAnsi="Arial" w:cs="Arial"/>
          <w:sz w:val="22"/>
          <w:szCs w:val="22"/>
        </w:rPr>
        <w:t>.</w:t>
      </w:r>
    </w:p>
    <w:p w14:paraId="03D777C2" w14:textId="77777777" w:rsidR="00AC3D1A" w:rsidRDefault="00AC3D1A" w:rsidP="00AC3D1A">
      <w:pPr>
        <w:tabs>
          <w:tab w:val="left" w:pos="709"/>
        </w:tabs>
        <w:spacing w:after="120"/>
        <w:rPr>
          <w:rFonts w:ascii="Arial" w:hAnsi="Arial" w:cs="Arial"/>
          <w:sz w:val="22"/>
          <w:szCs w:val="22"/>
        </w:rPr>
      </w:pPr>
    </w:p>
    <w:p w14:paraId="7EBFE5AA" w14:textId="13C13E12" w:rsidR="00163513" w:rsidRPr="00AC3D1A" w:rsidRDefault="00163513" w:rsidP="00AC3D1A">
      <w:pPr>
        <w:pStyle w:val="Heading2"/>
        <w:numPr>
          <w:ilvl w:val="0"/>
          <w:numId w:val="2"/>
        </w:numPr>
        <w:tabs>
          <w:tab w:val="clear" w:pos="720"/>
        </w:tabs>
        <w:spacing w:before="0" w:after="120"/>
        <w:ind w:left="709" w:hanging="709"/>
        <w:rPr>
          <w:rFonts w:ascii="Arial" w:hAnsi="Arial" w:cs="Arial"/>
          <w:color w:val="auto"/>
          <w:sz w:val="22"/>
          <w:szCs w:val="22"/>
        </w:rPr>
      </w:pPr>
      <w:r w:rsidRPr="00AC3D1A">
        <w:rPr>
          <w:rFonts w:ascii="Arial" w:hAnsi="Arial" w:cs="Arial"/>
          <w:color w:val="auto"/>
          <w:sz w:val="22"/>
          <w:szCs w:val="22"/>
        </w:rPr>
        <w:t>Repealing of existing instrument</w:t>
      </w:r>
    </w:p>
    <w:p w14:paraId="3F54E808" w14:textId="2E97E213" w:rsidR="00FD3096" w:rsidRDefault="00163513" w:rsidP="00AC3D1A">
      <w:pPr>
        <w:tabs>
          <w:tab w:val="left" w:pos="709"/>
        </w:tabs>
        <w:spacing w:after="120"/>
        <w:ind w:left="709"/>
        <w:rPr>
          <w:rFonts w:ascii="Arial" w:hAnsi="Arial" w:cs="Arial"/>
          <w:sz w:val="22"/>
          <w:szCs w:val="22"/>
        </w:rPr>
      </w:pPr>
      <w:r>
        <w:rPr>
          <w:rFonts w:ascii="Arial" w:hAnsi="Arial" w:cs="Arial"/>
          <w:sz w:val="22"/>
          <w:szCs w:val="22"/>
        </w:rPr>
        <w:t>This legislative instrument repeals and r</w:t>
      </w:r>
      <w:r w:rsidR="005C2118">
        <w:rPr>
          <w:rFonts w:ascii="Arial" w:hAnsi="Arial" w:cs="Arial"/>
          <w:sz w:val="22"/>
          <w:szCs w:val="22"/>
        </w:rPr>
        <w:t xml:space="preserve">eplaces legislative instrument </w:t>
      </w:r>
      <w:r w:rsidRPr="005C2118">
        <w:rPr>
          <w:rFonts w:ascii="Arial" w:hAnsi="Arial" w:cs="Arial"/>
          <w:i/>
          <w:sz w:val="22"/>
          <w:szCs w:val="22"/>
        </w:rPr>
        <w:t xml:space="preserve">Income Tax Assessment Act – Cents per kilometre deduction rate for motor vehicle </w:t>
      </w:r>
      <w:proofErr w:type="gramStart"/>
      <w:r w:rsidRPr="005C2118">
        <w:rPr>
          <w:rFonts w:ascii="Arial" w:hAnsi="Arial" w:cs="Arial"/>
          <w:i/>
          <w:sz w:val="22"/>
          <w:szCs w:val="22"/>
        </w:rPr>
        <w:t>expenses</w:t>
      </w:r>
      <w:proofErr w:type="gramEnd"/>
      <w:r w:rsidRPr="005A18EC">
        <w:rPr>
          <w:rFonts w:ascii="Arial" w:hAnsi="Arial" w:cs="Arial"/>
          <w:sz w:val="22"/>
          <w:szCs w:val="22"/>
        </w:rPr>
        <w:t xml:space="preserve"> (</w:t>
      </w:r>
      <w:r w:rsidRPr="00163513">
        <w:rPr>
          <w:rFonts w:ascii="Arial" w:hAnsi="Arial" w:cs="Arial"/>
          <w:sz w:val="22"/>
          <w:szCs w:val="22"/>
        </w:rPr>
        <w:t>F2016L01157</w:t>
      </w:r>
      <w:r>
        <w:rPr>
          <w:rFonts w:ascii="Arial" w:hAnsi="Arial" w:cs="Arial"/>
          <w:sz w:val="22"/>
          <w:szCs w:val="22"/>
        </w:rPr>
        <w:t>)</w:t>
      </w:r>
      <w:r w:rsidRPr="002B3A72">
        <w:rPr>
          <w:rFonts w:ascii="Arial" w:hAnsi="Arial" w:cs="Arial"/>
          <w:sz w:val="22"/>
          <w:szCs w:val="22"/>
        </w:rPr>
        <w:t xml:space="preserve">, registered on </w:t>
      </w:r>
      <w:r>
        <w:rPr>
          <w:rFonts w:ascii="Arial" w:hAnsi="Arial" w:cs="Arial"/>
          <w:sz w:val="22"/>
          <w:szCs w:val="22"/>
        </w:rPr>
        <w:t>4 July 2016</w:t>
      </w:r>
      <w:r w:rsidRPr="002B3A72">
        <w:rPr>
          <w:rFonts w:ascii="Arial" w:hAnsi="Arial" w:cs="Arial"/>
          <w:sz w:val="22"/>
          <w:szCs w:val="22"/>
        </w:rPr>
        <w:t>.</w:t>
      </w:r>
    </w:p>
    <w:p w14:paraId="7C1A0FA3" w14:textId="77777777" w:rsidR="00AC3D1A" w:rsidRPr="00163513" w:rsidRDefault="00AC3D1A" w:rsidP="00AC3D1A">
      <w:pPr>
        <w:tabs>
          <w:tab w:val="left" w:pos="709"/>
        </w:tabs>
        <w:spacing w:after="120"/>
        <w:rPr>
          <w:rFonts w:ascii="Arial" w:hAnsi="Arial" w:cs="Arial"/>
          <w:sz w:val="22"/>
          <w:szCs w:val="22"/>
        </w:rPr>
      </w:pPr>
    </w:p>
    <w:p w14:paraId="3BF9508B" w14:textId="77777777" w:rsidR="000A1078" w:rsidRPr="00AC3D1A" w:rsidRDefault="008D2F8A" w:rsidP="00AC3D1A">
      <w:pPr>
        <w:pStyle w:val="Heading2"/>
        <w:numPr>
          <w:ilvl w:val="0"/>
          <w:numId w:val="2"/>
        </w:numPr>
        <w:tabs>
          <w:tab w:val="clear" w:pos="720"/>
        </w:tabs>
        <w:spacing w:before="0" w:after="120"/>
        <w:ind w:left="709" w:hanging="709"/>
        <w:rPr>
          <w:rFonts w:ascii="Arial" w:hAnsi="Arial" w:cs="Arial"/>
          <w:color w:val="auto"/>
          <w:sz w:val="22"/>
          <w:szCs w:val="22"/>
        </w:rPr>
      </w:pPr>
      <w:r w:rsidRPr="00AC3D1A">
        <w:rPr>
          <w:rFonts w:ascii="Arial" w:hAnsi="Arial" w:cs="Arial"/>
          <w:color w:val="auto"/>
          <w:sz w:val="22"/>
          <w:szCs w:val="22"/>
        </w:rPr>
        <w:t>Application</w:t>
      </w:r>
    </w:p>
    <w:p w14:paraId="6D749AE8" w14:textId="3DE1613D" w:rsidR="00FD3096" w:rsidRPr="00FD3096" w:rsidRDefault="00FD3096" w:rsidP="00AC3D1A">
      <w:pPr>
        <w:tabs>
          <w:tab w:val="left" w:pos="709"/>
        </w:tabs>
        <w:spacing w:after="120"/>
        <w:ind w:left="709"/>
        <w:rPr>
          <w:rFonts w:ascii="Arial" w:hAnsi="Arial" w:cs="Arial"/>
          <w:sz w:val="22"/>
          <w:szCs w:val="22"/>
        </w:rPr>
      </w:pPr>
      <w:r w:rsidRPr="00FD3096">
        <w:rPr>
          <w:rFonts w:ascii="Arial" w:hAnsi="Arial" w:cs="Arial"/>
          <w:sz w:val="22"/>
          <w:szCs w:val="22"/>
        </w:rPr>
        <w:t xml:space="preserve">This instrument applies to work-related </w:t>
      </w:r>
      <w:r w:rsidR="00411D10">
        <w:rPr>
          <w:rFonts w:ascii="Arial" w:hAnsi="Arial" w:cs="Arial"/>
          <w:sz w:val="22"/>
          <w:szCs w:val="22"/>
        </w:rPr>
        <w:t>car</w:t>
      </w:r>
      <w:r w:rsidRPr="00FD3096">
        <w:rPr>
          <w:rFonts w:ascii="Arial" w:hAnsi="Arial" w:cs="Arial"/>
          <w:sz w:val="22"/>
          <w:szCs w:val="22"/>
        </w:rPr>
        <w:t xml:space="preserve"> expense deductions, and sets the rate at which those deductions may be calculated using the cents per kilometre method. Subsection 28-25(4) of the </w:t>
      </w:r>
      <w:r w:rsidRPr="00FD3096">
        <w:rPr>
          <w:rFonts w:ascii="Arial" w:hAnsi="Arial" w:cs="Arial"/>
          <w:i/>
          <w:sz w:val="22"/>
          <w:szCs w:val="22"/>
        </w:rPr>
        <w:t xml:space="preserve">Income Tax Assessment Act 1997 </w:t>
      </w:r>
      <w:r w:rsidRPr="00FD3096">
        <w:rPr>
          <w:rFonts w:ascii="Arial" w:hAnsi="Arial" w:cs="Arial"/>
          <w:sz w:val="22"/>
          <w:szCs w:val="22"/>
        </w:rPr>
        <w:t>allows the Commissioner of Taxation to determine the rate for the cents per kilometre method for an income year.</w:t>
      </w:r>
    </w:p>
    <w:p w14:paraId="7DB111B9" w14:textId="2604B272" w:rsidR="00FD3096" w:rsidRPr="00FD3096" w:rsidRDefault="00FD3096" w:rsidP="00AC3D1A">
      <w:pPr>
        <w:tabs>
          <w:tab w:val="left" w:pos="709"/>
        </w:tabs>
        <w:spacing w:after="120"/>
        <w:ind w:left="709"/>
        <w:rPr>
          <w:rFonts w:ascii="Arial" w:hAnsi="Arial" w:cs="Arial"/>
          <w:sz w:val="22"/>
          <w:szCs w:val="22"/>
        </w:rPr>
      </w:pPr>
      <w:r w:rsidRPr="00FD3096">
        <w:rPr>
          <w:rFonts w:ascii="Arial" w:hAnsi="Arial" w:cs="Arial"/>
          <w:sz w:val="22"/>
          <w:szCs w:val="22"/>
        </w:rPr>
        <w:t xml:space="preserve">The Commissioner of Taxation has determined that the rate is </w:t>
      </w:r>
      <w:r w:rsidR="00F949D5">
        <w:rPr>
          <w:rFonts w:ascii="Arial" w:hAnsi="Arial" w:cs="Arial"/>
          <w:sz w:val="22"/>
          <w:szCs w:val="22"/>
        </w:rPr>
        <w:t>68</w:t>
      </w:r>
      <w:r w:rsidRPr="00FD3096">
        <w:rPr>
          <w:rFonts w:ascii="Arial" w:hAnsi="Arial" w:cs="Arial"/>
          <w:sz w:val="22"/>
          <w:szCs w:val="22"/>
        </w:rPr>
        <w:t xml:space="preserve"> cents per kilometre for the income year commencing 1 July 201</w:t>
      </w:r>
      <w:r w:rsidR="00163513">
        <w:rPr>
          <w:rFonts w:ascii="Arial" w:hAnsi="Arial" w:cs="Arial"/>
          <w:sz w:val="22"/>
          <w:szCs w:val="22"/>
        </w:rPr>
        <w:t>8</w:t>
      </w:r>
      <w:r w:rsidRPr="00FD3096">
        <w:rPr>
          <w:rFonts w:ascii="Arial" w:hAnsi="Arial" w:cs="Arial"/>
          <w:sz w:val="22"/>
          <w:szCs w:val="22"/>
        </w:rPr>
        <w:t>.</w:t>
      </w:r>
    </w:p>
    <w:p w14:paraId="0D01E30A" w14:textId="1D3E91EA" w:rsidR="00FD3096" w:rsidRPr="00FD3096" w:rsidRDefault="00FD3096" w:rsidP="00AC3D1A">
      <w:pPr>
        <w:tabs>
          <w:tab w:val="left" w:pos="709"/>
        </w:tabs>
        <w:spacing w:after="120"/>
        <w:ind w:left="709"/>
        <w:rPr>
          <w:rFonts w:ascii="Arial" w:hAnsi="Arial" w:cs="Arial"/>
          <w:sz w:val="22"/>
          <w:szCs w:val="22"/>
        </w:rPr>
      </w:pPr>
      <w:r w:rsidRPr="00FD3096">
        <w:rPr>
          <w:rFonts w:ascii="Arial" w:hAnsi="Arial" w:cs="Arial"/>
          <w:sz w:val="22"/>
          <w:szCs w:val="22"/>
        </w:rPr>
        <w:t>This rate applies to the income year commencing 1 July 201</w:t>
      </w:r>
      <w:r>
        <w:rPr>
          <w:rFonts w:ascii="Arial" w:hAnsi="Arial" w:cs="Arial"/>
          <w:sz w:val="22"/>
          <w:szCs w:val="22"/>
        </w:rPr>
        <w:t>8</w:t>
      </w:r>
      <w:r w:rsidRPr="00FD3096">
        <w:rPr>
          <w:rFonts w:ascii="Arial" w:hAnsi="Arial" w:cs="Arial"/>
          <w:sz w:val="22"/>
          <w:szCs w:val="22"/>
        </w:rPr>
        <w:t>, and remains applicable to subsequent income years until such time as the Commissioner of Taxation, having regard to subsection 28-25(5), determines that it should be varied.</w:t>
      </w:r>
    </w:p>
    <w:p w14:paraId="3BF9508F" w14:textId="77777777" w:rsidR="00B76A2D" w:rsidRPr="00DF4EC9" w:rsidRDefault="00B76A2D" w:rsidP="00AC3D1A">
      <w:pPr>
        <w:tabs>
          <w:tab w:val="left" w:pos="709"/>
        </w:tabs>
        <w:spacing w:after="120"/>
        <w:rPr>
          <w:rFonts w:ascii="Arial" w:hAnsi="Arial" w:cs="Arial"/>
          <w:sz w:val="22"/>
          <w:szCs w:val="22"/>
        </w:rPr>
      </w:pPr>
    </w:p>
    <w:p w14:paraId="3BF95090" w14:textId="77777777" w:rsidR="00857716" w:rsidRPr="00AC3D1A" w:rsidRDefault="0000370C" w:rsidP="00AC3D1A">
      <w:pPr>
        <w:pStyle w:val="Heading2"/>
        <w:numPr>
          <w:ilvl w:val="0"/>
          <w:numId w:val="2"/>
        </w:numPr>
        <w:tabs>
          <w:tab w:val="clear" w:pos="720"/>
        </w:tabs>
        <w:spacing w:before="0" w:after="120"/>
        <w:ind w:left="709" w:hanging="709"/>
        <w:rPr>
          <w:rFonts w:ascii="Arial" w:hAnsi="Arial" w:cs="Arial"/>
          <w:color w:val="auto"/>
          <w:sz w:val="22"/>
          <w:szCs w:val="22"/>
        </w:rPr>
      </w:pPr>
      <w:r w:rsidRPr="00AC3D1A">
        <w:rPr>
          <w:rFonts w:ascii="Arial" w:hAnsi="Arial" w:cs="Arial"/>
          <w:color w:val="auto"/>
          <w:sz w:val="22"/>
          <w:szCs w:val="22"/>
        </w:rPr>
        <w:lastRenderedPageBreak/>
        <w:t>Determination (</w:t>
      </w:r>
      <w:r w:rsidR="00453A50" w:rsidRPr="00AC3D1A">
        <w:rPr>
          <w:rFonts w:ascii="Arial" w:hAnsi="Arial" w:cs="Arial"/>
          <w:color w:val="auto"/>
          <w:sz w:val="22"/>
          <w:szCs w:val="22"/>
        </w:rPr>
        <w:t>W</w:t>
      </w:r>
      <w:r w:rsidR="00857716" w:rsidRPr="00AC3D1A">
        <w:rPr>
          <w:rFonts w:ascii="Arial" w:hAnsi="Arial" w:cs="Arial"/>
          <w:color w:val="auto"/>
          <w:sz w:val="22"/>
          <w:szCs w:val="22"/>
        </w:rPr>
        <w:t>ho</w:t>
      </w:r>
      <w:r w:rsidR="00303F72" w:rsidRPr="00AC3D1A">
        <w:rPr>
          <w:rFonts w:ascii="Arial" w:hAnsi="Arial" w:cs="Arial"/>
          <w:color w:val="auto"/>
          <w:sz w:val="22"/>
          <w:szCs w:val="22"/>
        </w:rPr>
        <w:t xml:space="preserve"> is covered by</w:t>
      </w:r>
      <w:r w:rsidR="00857716" w:rsidRPr="00AC3D1A">
        <w:rPr>
          <w:rFonts w:ascii="Arial" w:hAnsi="Arial" w:cs="Arial"/>
          <w:color w:val="auto"/>
          <w:sz w:val="22"/>
          <w:szCs w:val="22"/>
        </w:rPr>
        <w:t xml:space="preserve"> this </w:t>
      </w:r>
      <w:r w:rsidR="000B2C32" w:rsidRPr="00AC3D1A">
        <w:rPr>
          <w:rFonts w:ascii="Arial" w:hAnsi="Arial" w:cs="Arial"/>
          <w:color w:val="auto"/>
          <w:sz w:val="22"/>
          <w:szCs w:val="22"/>
        </w:rPr>
        <w:t>Determination</w:t>
      </w:r>
      <w:r w:rsidRPr="00AC3D1A">
        <w:rPr>
          <w:rFonts w:ascii="Arial" w:hAnsi="Arial" w:cs="Arial"/>
          <w:color w:val="auto"/>
          <w:sz w:val="22"/>
          <w:szCs w:val="22"/>
        </w:rPr>
        <w:t>)</w:t>
      </w:r>
    </w:p>
    <w:p w14:paraId="3BF95093" w14:textId="719BADDE" w:rsidR="00732F35" w:rsidRPr="00AC3D1A" w:rsidRDefault="00FD3096" w:rsidP="00AC3D1A">
      <w:pPr>
        <w:tabs>
          <w:tab w:val="left" w:pos="709"/>
        </w:tabs>
        <w:spacing w:after="120"/>
        <w:ind w:left="709"/>
        <w:rPr>
          <w:rFonts w:ascii="Arial" w:hAnsi="Arial" w:cs="Arial"/>
        </w:rPr>
      </w:pPr>
      <w:r w:rsidRPr="00FD3096">
        <w:rPr>
          <w:rFonts w:ascii="Arial" w:hAnsi="Arial" w:cs="Arial"/>
          <w:sz w:val="22"/>
          <w:szCs w:val="22"/>
        </w:rPr>
        <w:t>This determination applies to eligible taxpayers who elect to use the cents per kilometre method when calculating income tax deductions for their work-</w:t>
      </w:r>
      <w:r w:rsidRPr="00AC3D1A">
        <w:rPr>
          <w:rFonts w:ascii="Arial" w:hAnsi="Arial" w:cs="Arial"/>
          <w:sz w:val="22"/>
          <w:szCs w:val="22"/>
        </w:rPr>
        <w:t xml:space="preserve">related </w:t>
      </w:r>
      <w:r w:rsidR="00411D10" w:rsidRPr="00AC3D1A">
        <w:rPr>
          <w:rFonts w:ascii="Arial" w:hAnsi="Arial" w:cs="Arial"/>
          <w:sz w:val="22"/>
          <w:szCs w:val="22"/>
        </w:rPr>
        <w:t>car</w:t>
      </w:r>
      <w:r w:rsidRPr="00AC3D1A">
        <w:rPr>
          <w:rFonts w:ascii="Arial" w:hAnsi="Arial" w:cs="Arial"/>
          <w:sz w:val="22"/>
          <w:szCs w:val="22"/>
        </w:rPr>
        <w:t xml:space="preserve"> expenses.</w:t>
      </w:r>
    </w:p>
    <w:sectPr w:rsidR="00732F35" w:rsidRPr="00AC3D1A" w:rsidSect="00AC3D1A">
      <w:headerReference w:type="first" r:id="rId15"/>
      <w:pgSz w:w="11906" w:h="16838" w:code="9"/>
      <w:pgMar w:top="1077" w:right="1701" w:bottom="232"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8EF4C" w14:textId="77777777" w:rsidR="00E6205C" w:rsidRDefault="00E6205C">
      <w:r>
        <w:separator/>
      </w:r>
    </w:p>
  </w:endnote>
  <w:endnote w:type="continuationSeparator" w:id="0">
    <w:p w14:paraId="3E806D60" w14:textId="77777777" w:rsidR="00E6205C" w:rsidRDefault="00E6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2D81F" w14:textId="77777777" w:rsidR="00E6205C" w:rsidRDefault="00E6205C">
      <w:r>
        <w:separator/>
      </w:r>
    </w:p>
  </w:footnote>
  <w:footnote w:type="continuationSeparator" w:id="0">
    <w:p w14:paraId="0D693C35" w14:textId="77777777" w:rsidR="00E6205C" w:rsidRDefault="00E6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5098" w14:textId="292F4A6B" w:rsidR="00F233B1" w:rsidRPr="00001B90" w:rsidRDefault="00001B90">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1">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6BC1"/>
    <w:rsid w:val="0003261F"/>
    <w:rsid w:val="00034883"/>
    <w:rsid w:val="00035397"/>
    <w:rsid w:val="00036F54"/>
    <w:rsid w:val="00044893"/>
    <w:rsid w:val="00045F14"/>
    <w:rsid w:val="00053761"/>
    <w:rsid w:val="00053842"/>
    <w:rsid w:val="00061054"/>
    <w:rsid w:val="0006112D"/>
    <w:rsid w:val="00061910"/>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408"/>
    <w:rsid w:val="00116B15"/>
    <w:rsid w:val="001243A8"/>
    <w:rsid w:val="00126EED"/>
    <w:rsid w:val="00131447"/>
    <w:rsid w:val="00134D4D"/>
    <w:rsid w:val="001361C6"/>
    <w:rsid w:val="00150830"/>
    <w:rsid w:val="00154159"/>
    <w:rsid w:val="00155E7A"/>
    <w:rsid w:val="00156D4B"/>
    <w:rsid w:val="001605B9"/>
    <w:rsid w:val="00163373"/>
    <w:rsid w:val="00163513"/>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D0C43"/>
    <w:rsid w:val="001D1628"/>
    <w:rsid w:val="001D4C15"/>
    <w:rsid w:val="001E32EA"/>
    <w:rsid w:val="001E4F85"/>
    <w:rsid w:val="001E5A7D"/>
    <w:rsid w:val="001F30CF"/>
    <w:rsid w:val="001F4720"/>
    <w:rsid w:val="00200593"/>
    <w:rsid w:val="00200C39"/>
    <w:rsid w:val="00200CD4"/>
    <w:rsid w:val="002025B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70137"/>
    <w:rsid w:val="00274BCD"/>
    <w:rsid w:val="00286620"/>
    <w:rsid w:val="00292E75"/>
    <w:rsid w:val="002944AD"/>
    <w:rsid w:val="002A1515"/>
    <w:rsid w:val="002A2CD1"/>
    <w:rsid w:val="002A5C5E"/>
    <w:rsid w:val="002A6D63"/>
    <w:rsid w:val="002A7FB3"/>
    <w:rsid w:val="002B014D"/>
    <w:rsid w:val="002B0B63"/>
    <w:rsid w:val="002B5B41"/>
    <w:rsid w:val="002C1214"/>
    <w:rsid w:val="002C1E82"/>
    <w:rsid w:val="002C5784"/>
    <w:rsid w:val="002C7A81"/>
    <w:rsid w:val="002D066A"/>
    <w:rsid w:val="002D144F"/>
    <w:rsid w:val="002D6902"/>
    <w:rsid w:val="002D7B6D"/>
    <w:rsid w:val="002D7DD0"/>
    <w:rsid w:val="002F18CB"/>
    <w:rsid w:val="002F3447"/>
    <w:rsid w:val="00303F72"/>
    <w:rsid w:val="003107EF"/>
    <w:rsid w:val="00312725"/>
    <w:rsid w:val="00314A4E"/>
    <w:rsid w:val="003150E0"/>
    <w:rsid w:val="0032158A"/>
    <w:rsid w:val="003229FB"/>
    <w:rsid w:val="00322E62"/>
    <w:rsid w:val="0033478D"/>
    <w:rsid w:val="0033482D"/>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67D"/>
    <w:rsid w:val="003A1C6C"/>
    <w:rsid w:val="003A58BC"/>
    <w:rsid w:val="003A5A04"/>
    <w:rsid w:val="003A64FC"/>
    <w:rsid w:val="003B123A"/>
    <w:rsid w:val="003B5EDB"/>
    <w:rsid w:val="003B6971"/>
    <w:rsid w:val="003B6B0B"/>
    <w:rsid w:val="003C0157"/>
    <w:rsid w:val="003C564E"/>
    <w:rsid w:val="003C7C74"/>
    <w:rsid w:val="003D3335"/>
    <w:rsid w:val="003D354B"/>
    <w:rsid w:val="003D5A34"/>
    <w:rsid w:val="003E3E74"/>
    <w:rsid w:val="003E52ED"/>
    <w:rsid w:val="003F71AF"/>
    <w:rsid w:val="004007F2"/>
    <w:rsid w:val="00411530"/>
    <w:rsid w:val="00411D10"/>
    <w:rsid w:val="00412B77"/>
    <w:rsid w:val="00414405"/>
    <w:rsid w:val="0042007E"/>
    <w:rsid w:val="00424F2B"/>
    <w:rsid w:val="00426390"/>
    <w:rsid w:val="0043366F"/>
    <w:rsid w:val="00436E40"/>
    <w:rsid w:val="00441AC4"/>
    <w:rsid w:val="004429A7"/>
    <w:rsid w:val="00446E2A"/>
    <w:rsid w:val="00447D82"/>
    <w:rsid w:val="00451EE1"/>
    <w:rsid w:val="00452C78"/>
    <w:rsid w:val="00453A50"/>
    <w:rsid w:val="00453FB4"/>
    <w:rsid w:val="0045428E"/>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3B01"/>
    <w:rsid w:val="004C68AA"/>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7D5D"/>
    <w:rsid w:val="00545171"/>
    <w:rsid w:val="0055072D"/>
    <w:rsid w:val="00552490"/>
    <w:rsid w:val="00554CFA"/>
    <w:rsid w:val="0056163C"/>
    <w:rsid w:val="00564D84"/>
    <w:rsid w:val="00567854"/>
    <w:rsid w:val="00570631"/>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2118"/>
    <w:rsid w:val="005C5D9A"/>
    <w:rsid w:val="005D2382"/>
    <w:rsid w:val="005D55A1"/>
    <w:rsid w:val="005D579C"/>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21779"/>
    <w:rsid w:val="00622B66"/>
    <w:rsid w:val="00622FAC"/>
    <w:rsid w:val="006230F5"/>
    <w:rsid w:val="00627741"/>
    <w:rsid w:val="0063701F"/>
    <w:rsid w:val="00644EDE"/>
    <w:rsid w:val="0064758C"/>
    <w:rsid w:val="00650FDC"/>
    <w:rsid w:val="00657558"/>
    <w:rsid w:val="006577D8"/>
    <w:rsid w:val="00673BA4"/>
    <w:rsid w:val="00673C52"/>
    <w:rsid w:val="0068015C"/>
    <w:rsid w:val="0068234C"/>
    <w:rsid w:val="006910C8"/>
    <w:rsid w:val="006919FF"/>
    <w:rsid w:val="0069258C"/>
    <w:rsid w:val="00696C29"/>
    <w:rsid w:val="006B38B0"/>
    <w:rsid w:val="006B76E1"/>
    <w:rsid w:val="006C008D"/>
    <w:rsid w:val="006C285A"/>
    <w:rsid w:val="006C344E"/>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40968"/>
    <w:rsid w:val="00741721"/>
    <w:rsid w:val="00741B95"/>
    <w:rsid w:val="007478FC"/>
    <w:rsid w:val="00753596"/>
    <w:rsid w:val="0076476D"/>
    <w:rsid w:val="007649C2"/>
    <w:rsid w:val="00771758"/>
    <w:rsid w:val="0077436F"/>
    <w:rsid w:val="00776EC3"/>
    <w:rsid w:val="00782943"/>
    <w:rsid w:val="007842BF"/>
    <w:rsid w:val="007848AB"/>
    <w:rsid w:val="00784A59"/>
    <w:rsid w:val="007853B5"/>
    <w:rsid w:val="00797788"/>
    <w:rsid w:val="007A190A"/>
    <w:rsid w:val="007A5ABF"/>
    <w:rsid w:val="007A6D51"/>
    <w:rsid w:val="007B0972"/>
    <w:rsid w:val="007B0DF6"/>
    <w:rsid w:val="007B2B77"/>
    <w:rsid w:val="007B6064"/>
    <w:rsid w:val="007C5463"/>
    <w:rsid w:val="007C70AF"/>
    <w:rsid w:val="007D05B9"/>
    <w:rsid w:val="007D143D"/>
    <w:rsid w:val="007D3B7A"/>
    <w:rsid w:val="007D62A9"/>
    <w:rsid w:val="007E6004"/>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906E9"/>
    <w:rsid w:val="0089182B"/>
    <w:rsid w:val="008962B4"/>
    <w:rsid w:val="00896BCA"/>
    <w:rsid w:val="00896CED"/>
    <w:rsid w:val="008A71C6"/>
    <w:rsid w:val="008B0F40"/>
    <w:rsid w:val="008B17C7"/>
    <w:rsid w:val="008B283D"/>
    <w:rsid w:val="008B32F6"/>
    <w:rsid w:val="008D27B9"/>
    <w:rsid w:val="008D2F8A"/>
    <w:rsid w:val="008E7713"/>
    <w:rsid w:val="008F6245"/>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2392"/>
    <w:rsid w:val="009647D1"/>
    <w:rsid w:val="00964BBB"/>
    <w:rsid w:val="0096645F"/>
    <w:rsid w:val="009665E1"/>
    <w:rsid w:val="0097053C"/>
    <w:rsid w:val="00976E43"/>
    <w:rsid w:val="00985810"/>
    <w:rsid w:val="00991819"/>
    <w:rsid w:val="009918FB"/>
    <w:rsid w:val="00992067"/>
    <w:rsid w:val="00994E47"/>
    <w:rsid w:val="0099547A"/>
    <w:rsid w:val="009A287E"/>
    <w:rsid w:val="009A423F"/>
    <w:rsid w:val="009A5297"/>
    <w:rsid w:val="009B01E8"/>
    <w:rsid w:val="009B1BA0"/>
    <w:rsid w:val="009C073F"/>
    <w:rsid w:val="009C1634"/>
    <w:rsid w:val="009C20DD"/>
    <w:rsid w:val="009C4448"/>
    <w:rsid w:val="009C547B"/>
    <w:rsid w:val="009C5AB4"/>
    <w:rsid w:val="009C5BD3"/>
    <w:rsid w:val="009D3BCB"/>
    <w:rsid w:val="009F1842"/>
    <w:rsid w:val="009F3B86"/>
    <w:rsid w:val="009F4AC1"/>
    <w:rsid w:val="00A00A3E"/>
    <w:rsid w:val="00A06441"/>
    <w:rsid w:val="00A07DDD"/>
    <w:rsid w:val="00A11638"/>
    <w:rsid w:val="00A12200"/>
    <w:rsid w:val="00A16341"/>
    <w:rsid w:val="00A1744D"/>
    <w:rsid w:val="00A23A72"/>
    <w:rsid w:val="00A262DA"/>
    <w:rsid w:val="00A26EC2"/>
    <w:rsid w:val="00A27A0F"/>
    <w:rsid w:val="00A45272"/>
    <w:rsid w:val="00A46445"/>
    <w:rsid w:val="00A46C70"/>
    <w:rsid w:val="00A47300"/>
    <w:rsid w:val="00A51360"/>
    <w:rsid w:val="00A5679B"/>
    <w:rsid w:val="00A71E14"/>
    <w:rsid w:val="00A72E01"/>
    <w:rsid w:val="00A73020"/>
    <w:rsid w:val="00A80B02"/>
    <w:rsid w:val="00A80D6E"/>
    <w:rsid w:val="00A83945"/>
    <w:rsid w:val="00A855BB"/>
    <w:rsid w:val="00A85D08"/>
    <w:rsid w:val="00A86204"/>
    <w:rsid w:val="00A90DDD"/>
    <w:rsid w:val="00A93940"/>
    <w:rsid w:val="00A95452"/>
    <w:rsid w:val="00A971F3"/>
    <w:rsid w:val="00A974AA"/>
    <w:rsid w:val="00A97580"/>
    <w:rsid w:val="00AA7AF9"/>
    <w:rsid w:val="00AA7B18"/>
    <w:rsid w:val="00AC3D1A"/>
    <w:rsid w:val="00AC449B"/>
    <w:rsid w:val="00AC5A7A"/>
    <w:rsid w:val="00AC5E42"/>
    <w:rsid w:val="00AC60C6"/>
    <w:rsid w:val="00AC7C1E"/>
    <w:rsid w:val="00AD1237"/>
    <w:rsid w:val="00AD7346"/>
    <w:rsid w:val="00AE0DB2"/>
    <w:rsid w:val="00AE12C7"/>
    <w:rsid w:val="00AE2B6B"/>
    <w:rsid w:val="00AE442E"/>
    <w:rsid w:val="00AE65E4"/>
    <w:rsid w:val="00AE7FDD"/>
    <w:rsid w:val="00AF5E7A"/>
    <w:rsid w:val="00AF64D8"/>
    <w:rsid w:val="00B012C9"/>
    <w:rsid w:val="00B125A6"/>
    <w:rsid w:val="00B16DE2"/>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6C91"/>
    <w:rsid w:val="00B67050"/>
    <w:rsid w:val="00B734E6"/>
    <w:rsid w:val="00B73CFD"/>
    <w:rsid w:val="00B748C2"/>
    <w:rsid w:val="00B7511B"/>
    <w:rsid w:val="00B75411"/>
    <w:rsid w:val="00B76A2D"/>
    <w:rsid w:val="00B76BA4"/>
    <w:rsid w:val="00B81B35"/>
    <w:rsid w:val="00B85DF9"/>
    <w:rsid w:val="00B85E2A"/>
    <w:rsid w:val="00B86322"/>
    <w:rsid w:val="00B93E7D"/>
    <w:rsid w:val="00BB0565"/>
    <w:rsid w:val="00BB49A2"/>
    <w:rsid w:val="00BB5BFA"/>
    <w:rsid w:val="00BB6DC3"/>
    <w:rsid w:val="00BB6FB8"/>
    <w:rsid w:val="00BC0F5E"/>
    <w:rsid w:val="00BC2526"/>
    <w:rsid w:val="00BC5CFD"/>
    <w:rsid w:val="00BC6E02"/>
    <w:rsid w:val="00BC7610"/>
    <w:rsid w:val="00BD2E15"/>
    <w:rsid w:val="00BE101F"/>
    <w:rsid w:val="00BE2713"/>
    <w:rsid w:val="00BF1798"/>
    <w:rsid w:val="00BF28F5"/>
    <w:rsid w:val="00BF2C4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76F7"/>
    <w:rsid w:val="00C37FDC"/>
    <w:rsid w:val="00C44870"/>
    <w:rsid w:val="00C50AA2"/>
    <w:rsid w:val="00C52E83"/>
    <w:rsid w:val="00C5538B"/>
    <w:rsid w:val="00C70C26"/>
    <w:rsid w:val="00C717BF"/>
    <w:rsid w:val="00C7339E"/>
    <w:rsid w:val="00C770F6"/>
    <w:rsid w:val="00C80EF7"/>
    <w:rsid w:val="00C906B0"/>
    <w:rsid w:val="00C91B96"/>
    <w:rsid w:val="00C93DC7"/>
    <w:rsid w:val="00C94FA8"/>
    <w:rsid w:val="00CA247C"/>
    <w:rsid w:val="00CB229D"/>
    <w:rsid w:val="00CC0732"/>
    <w:rsid w:val="00CC2EFC"/>
    <w:rsid w:val="00CC2F04"/>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E3D"/>
    <w:rsid w:val="00D45696"/>
    <w:rsid w:val="00D4641D"/>
    <w:rsid w:val="00D466F0"/>
    <w:rsid w:val="00D509DF"/>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B3FD0"/>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5B1B"/>
    <w:rsid w:val="00E27F1F"/>
    <w:rsid w:val="00E3200A"/>
    <w:rsid w:val="00E35F55"/>
    <w:rsid w:val="00E37101"/>
    <w:rsid w:val="00E4484F"/>
    <w:rsid w:val="00E45D2A"/>
    <w:rsid w:val="00E47037"/>
    <w:rsid w:val="00E50922"/>
    <w:rsid w:val="00E567BB"/>
    <w:rsid w:val="00E60F52"/>
    <w:rsid w:val="00E6205C"/>
    <w:rsid w:val="00E62BC8"/>
    <w:rsid w:val="00E726CD"/>
    <w:rsid w:val="00E7461B"/>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4311"/>
    <w:rsid w:val="00EC6129"/>
    <w:rsid w:val="00EE2AA7"/>
    <w:rsid w:val="00EE67AD"/>
    <w:rsid w:val="00EF0F5B"/>
    <w:rsid w:val="00EF18FD"/>
    <w:rsid w:val="00EF1F54"/>
    <w:rsid w:val="00EF2771"/>
    <w:rsid w:val="00EF6B56"/>
    <w:rsid w:val="00EF6E31"/>
    <w:rsid w:val="00EF74F9"/>
    <w:rsid w:val="00F233B1"/>
    <w:rsid w:val="00F23501"/>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AB3"/>
    <w:rsid w:val="00F74767"/>
    <w:rsid w:val="00F74AB0"/>
    <w:rsid w:val="00F75FD3"/>
    <w:rsid w:val="00F76254"/>
    <w:rsid w:val="00F816AE"/>
    <w:rsid w:val="00F85EE8"/>
    <w:rsid w:val="00F86555"/>
    <w:rsid w:val="00F92093"/>
    <w:rsid w:val="00F949D5"/>
    <w:rsid w:val="00F97997"/>
    <w:rsid w:val="00F97FDF"/>
    <w:rsid w:val="00FA0610"/>
    <w:rsid w:val="00FA4F75"/>
    <w:rsid w:val="00FA59BF"/>
    <w:rsid w:val="00FA7A50"/>
    <w:rsid w:val="00FB0005"/>
    <w:rsid w:val="00FB1FB8"/>
    <w:rsid w:val="00FB7367"/>
    <w:rsid w:val="00FC1C66"/>
    <w:rsid w:val="00FC49BE"/>
    <w:rsid w:val="00FC5942"/>
    <w:rsid w:val="00FC6B03"/>
    <w:rsid w:val="00FC7296"/>
    <w:rsid w:val="00FD3096"/>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AC3D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FD3096"/>
    <w:pPr>
      <w:ind w:left="720"/>
      <w:contextualSpacing/>
    </w:pPr>
  </w:style>
  <w:style w:type="character" w:customStyle="1" w:styleId="Heading2Char">
    <w:name w:val="Heading 2 Char"/>
    <w:basedOn w:val="DefaultParagraphFont"/>
    <w:link w:val="Heading2"/>
    <w:rsid w:val="00AC3D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AC3D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FD3096"/>
    <w:pPr>
      <w:ind w:left="720"/>
      <w:contextualSpacing/>
    </w:pPr>
  </w:style>
  <w:style w:type="character" w:customStyle="1" w:styleId="Heading2Char">
    <w:name w:val="Heading 2 Char"/>
    <w:basedOn w:val="DefaultParagraphFont"/>
    <w:link w:val="Heading2"/>
    <w:rsid w:val="00AC3D1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2027-04-21T01:45:01+00:00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4.xml><?xml version="1.0" encoding="utf-8"?>
<ds:datastoreItem xmlns:ds="http://schemas.openxmlformats.org/officeDocument/2006/customXml" ds:itemID="{0E5324EE-A4EA-4803-87EC-7781638E8A55}">
  <ds:schemaRefs>
    <ds:schemaRef ds:uri="office.server.policy"/>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D907218F-9D06-44CF-8D7C-5A12A63C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1315EA-48B0-48B3-8641-4665B6F5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Bounds, Alex</cp:lastModifiedBy>
  <cp:revision>2</cp:revision>
  <cp:lastPrinted>2005-12-14T06:24:00Z</cp:lastPrinted>
  <dcterms:created xsi:type="dcterms:W3CDTF">2018-07-09T23:16:00Z</dcterms:created>
  <dcterms:modified xsi:type="dcterms:W3CDTF">2018-07-09T23:16:00Z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