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F0DE4" w14:textId="77777777" w:rsidR="001F2A16" w:rsidRPr="007E0A01"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7E0A01">
        <w:rPr>
          <w:rFonts w:ascii="Arial" w:hAnsi="Arial" w:cs="Arial"/>
          <w:sz w:val="34"/>
          <w:szCs w:val="34"/>
        </w:rPr>
        <w:t>Explanatory Statement</w:t>
      </w:r>
    </w:p>
    <w:p w14:paraId="6E4F0DE5" w14:textId="77777777" w:rsidR="001F2A16" w:rsidRPr="007E0A01"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06EC95EA" w14:textId="753DBF05" w:rsidR="00A326BA" w:rsidRPr="00044893" w:rsidRDefault="003305D6" w:rsidP="00A326BA">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3305D6">
        <w:rPr>
          <w:rFonts w:ascii="Arial" w:hAnsi="Arial" w:cs="Arial"/>
          <w:sz w:val="34"/>
          <w:szCs w:val="34"/>
        </w:rPr>
        <w:t xml:space="preserve">Income Tax Assessment Act 1997 - Cents per </w:t>
      </w:r>
      <w:r w:rsidR="00167976">
        <w:rPr>
          <w:rFonts w:ascii="Arial" w:hAnsi="Arial" w:cs="Arial"/>
          <w:sz w:val="34"/>
          <w:szCs w:val="34"/>
        </w:rPr>
        <w:t>K</w:t>
      </w:r>
      <w:r w:rsidR="00167976" w:rsidRPr="003305D6">
        <w:rPr>
          <w:rFonts w:ascii="Arial" w:hAnsi="Arial" w:cs="Arial"/>
          <w:sz w:val="34"/>
          <w:szCs w:val="34"/>
        </w:rPr>
        <w:t xml:space="preserve">ilometre </w:t>
      </w:r>
      <w:r w:rsidR="00167976">
        <w:rPr>
          <w:rFonts w:ascii="Arial" w:hAnsi="Arial" w:cs="Arial"/>
          <w:sz w:val="34"/>
          <w:szCs w:val="34"/>
        </w:rPr>
        <w:t>D</w:t>
      </w:r>
      <w:r w:rsidR="00167976" w:rsidRPr="003305D6">
        <w:rPr>
          <w:rFonts w:ascii="Arial" w:hAnsi="Arial" w:cs="Arial"/>
          <w:sz w:val="34"/>
          <w:szCs w:val="34"/>
        </w:rPr>
        <w:t xml:space="preserve">eduction </w:t>
      </w:r>
      <w:r w:rsidR="00167976">
        <w:rPr>
          <w:rFonts w:ascii="Arial" w:hAnsi="Arial" w:cs="Arial"/>
          <w:sz w:val="34"/>
          <w:szCs w:val="34"/>
        </w:rPr>
        <w:t>R</w:t>
      </w:r>
      <w:r w:rsidR="00167976" w:rsidRPr="003305D6">
        <w:rPr>
          <w:rFonts w:ascii="Arial" w:hAnsi="Arial" w:cs="Arial"/>
          <w:sz w:val="34"/>
          <w:szCs w:val="34"/>
        </w:rPr>
        <w:t xml:space="preserve">ate </w:t>
      </w:r>
      <w:r w:rsidRPr="003305D6">
        <w:rPr>
          <w:rFonts w:ascii="Arial" w:hAnsi="Arial" w:cs="Arial"/>
          <w:sz w:val="34"/>
          <w:szCs w:val="34"/>
        </w:rPr>
        <w:t xml:space="preserve">for </w:t>
      </w:r>
      <w:r w:rsidR="00167976">
        <w:rPr>
          <w:rFonts w:ascii="Arial" w:hAnsi="Arial" w:cs="Arial"/>
          <w:sz w:val="34"/>
          <w:szCs w:val="34"/>
        </w:rPr>
        <w:t>C</w:t>
      </w:r>
      <w:r w:rsidR="00167976" w:rsidRPr="003305D6">
        <w:rPr>
          <w:rFonts w:ascii="Arial" w:hAnsi="Arial" w:cs="Arial"/>
          <w:sz w:val="34"/>
          <w:szCs w:val="34"/>
        </w:rPr>
        <w:t xml:space="preserve">ar </w:t>
      </w:r>
      <w:r w:rsidR="00167976">
        <w:rPr>
          <w:rFonts w:ascii="Arial" w:hAnsi="Arial" w:cs="Arial"/>
          <w:sz w:val="34"/>
          <w:szCs w:val="34"/>
        </w:rPr>
        <w:t>E</w:t>
      </w:r>
      <w:r w:rsidR="00167976" w:rsidRPr="003305D6">
        <w:rPr>
          <w:rFonts w:ascii="Arial" w:hAnsi="Arial" w:cs="Arial"/>
          <w:sz w:val="34"/>
          <w:szCs w:val="34"/>
        </w:rPr>
        <w:t xml:space="preserve">xpenses </w:t>
      </w:r>
      <w:r w:rsidRPr="003305D6">
        <w:rPr>
          <w:rFonts w:ascii="Arial" w:hAnsi="Arial" w:cs="Arial"/>
          <w:sz w:val="34"/>
          <w:szCs w:val="34"/>
        </w:rPr>
        <w:t>2018</w:t>
      </w:r>
    </w:p>
    <w:p w14:paraId="6E4F0DE7" w14:textId="77777777" w:rsidR="0099555F" w:rsidRPr="007E0A01" w:rsidRDefault="0099555F" w:rsidP="0099555F">
      <w:pPr>
        <w:pStyle w:val="Header"/>
        <w:tabs>
          <w:tab w:val="clear" w:pos="4153"/>
          <w:tab w:val="clear" w:pos="8306"/>
        </w:tabs>
        <w:jc w:val="center"/>
        <w:rPr>
          <w:rFonts w:ascii="Arial" w:hAnsi="Arial" w:cs="Arial"/>
          <w:szCs w:val="24"/>
        </w:rPr>
      </w:pPr>
    </w:p>
    <w:p w14:paraId="6E4F0DE8" w14:textId="77777777" w:rsidR="001F2A16" w:rsidRPr="007E0A01" w:rsidRDefault="001F2A16" w:rsidP="003305D6">
      <w:pPr>
        <w:pStyle w:val="Header"/>
        <w:tabs>
          <w:tab w:val="clear" w:pos="4153"/>
          <w:tab w:val="clear" w:pos="8306"/>
        </w:tabs>
        <w:spacing w:after="120"/>
        <w:jc w:val="center"/>
        <w:rPr>
          <w:rFonts w:ascii="Arial" w:hAnsi="Arial" w:cs="Arial"/>
          <w:szCs w:val="24"/>
        </w:rPr>
      </w:pPr>
    </w:p>
    <w:p w14:paraId="6E4F0DE9" w14:textId="77777777" w:rsidR="00486653" w:rsidRPr="000E11F0" w:rsidRDefault="00486653" w:rsidP="003305D6">
      <w:pPr>
        <w:pStyle w:val="Heading2"/>
        <w:rPr>
          <w:rFonts w:cs="Arial"/>
          <w:szCs w:val="22"/>
        </w:rPr>
      </w:pPr>
      <w:r w:rsidRPr="000E11F0">
        <w:rPr>
          <w:rFonts w:cs="Arial"/>
          <w:szCs w:val="22"/>
        </w:rPr>
        <w:t>General Outline of Instrument</w:t>
      </w:r>
    </w:p>
    <w:p w14:paraId="69EF7D0B" w14:textId="5B09811D" w:rsidR="00A326BA" w:rsidRPr="000E11F0" w:rsidRDefault="00A326BA"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This instrument is made under subsection 28-25(4) of the </w:t>
      </w:r>
      <w:r w:rsidRPr="000E11F0">
        <w:rPr>
          <w:rFonts w:ascii="Arial" w:hAnsi="Arial" w:cs="Arial"/>
          <w:i/>
          <w:sz w:val="22"/>
          <w:szCs w:val="22"/>
        </w:rPr>
        <w:t>Income Tax Assessment Act 1997.</w:t>
      </w:r>
    </w:p>
    <w:p w14:paraId="239CED68" w14:textId="73D3BC0F" w:rsidR="00A326BA" w:rsidRPr="000E11F0" w:rsidRDefault="00A326BA"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color w:val="000000"/>
          <w:sz w:val="22"/>
          <w:szCs w:val="22"/>
        </w:rPr>
        <w:t>The instrument</w:t>
      </w:r>
      <w:r w:rsidRPr="000E11F0">
        <w:rPr>
          <w:rFonts w:ascii="Arial" w:hAnsi="Arial" w:cs="Arial"/>
          <w:i/>
          <w:color w:val="000000"/>
          <w:sz w:val="22"/>
          <w:szCs w:val="22"/>
        </w:rPr>
        <w:t xml:space="preserve"> </w:t>
      </w:r>
      <w:r w:rsidRPr="000E11F0">
        <w:rPr>
          <w:rFonts w:ascii="Arial" w:hAnsi="Arial" w:cs="Arial"/>
          <w:sz w:val="22"/>
          <w:szCs w:val="22"/>
        </w:rPr>
        <w:t xml:space="preserve">sets the rate at which work-related </w:t>
      </w:r>
      <w:r w:rsidR="00257C0B" w:rsidRPr="000E11F0">
        <w:rPr>
          <w:rFonts w:ascii="Arial" w:hAnsi="Arial" w:cs="Arial"/>
          <w:sz w:val="22"/>
          <w:szCs w:val="22"/>
        </w:rPr>
        <w:t xml:space="preserve">car </w:t>
      </w:r>
      <w:r w:rsidRPr="000E11F0">
        <w:rPr>
          <w:rFonts w:ascii="Arial" w:hAnsi="Arial" w:cs="Arial"/>
          <w:sz w:val="22"/>
          <w:szCs w:val="22"/>
        </w:rPr>
        <w:t>expense deductions may be claimed in an income year when using the cents per kilometre method.</w:t>
      </w:r>
    </w:p>
    <w:p w14:paraId="735334BB" w14:textId="45EB88F2" w:rsidR="003305D6" w:rsidRPr="000E11F0" w:rsidRDefault="00A326BA"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The Commissioner of Taxation has determined the rate to be </w:t>
      </w:r>
      <w:r w:rsidR="002016EC" w:rsidRPr="000E11F0">
        <w:rPr>
          <w:rFonts w:ascii="Arial" w:hAnsi="Arial" w:cs="Arial"/>
          <w:sz w:val="22"/>
          <w:szCs w:val="22"/>
        </w:rPr>
        <w:t>68</w:t>
      </w:r>
      <w:r w:rsidRPr="000E11F0">
        <w:rPr>
          <w:rFonts w:ascii="Arial" w:hAnsi="Arial" w:cs="Arial"/>
          <w:sz w:val="22"/>
          <w:szCs w:val="22"/>
        </w:rPr>
        <w:t xml:space="preserve"> cents per kilometre for th</w:t>
      </w:r>
      <w:r w:rsidR="002016EC" w:rsidRPr="000E11F0">
        <w:rPr>
          <w:rFonts w:ascii="Arial" w:hAnsi="Arial" w:cs="Arial"/>
          <w:sz w:val="22"/>
          <w:szCs w:val="22"/>
        </w:rPr>
        <w:t>e income year commencing 1 July </w:t>
      </w:r>
      <w:r w:rsidRPr="000E11F0">
        <w:rPr>
          <w:rFonts w:ascii="Arial" w:hAnsi="Arial" w:cs="Arial"/>
          <w:sz w:val="22"/>
          <w:szCs w:val="22"/>
        </w:rPr>
        <w:t>2018.</w:t>
      </w:r>
    </w:p>
    <w:p w14:paraId="191894F0" w14:textId="4383003C" w:rsidR="00E31D09" w:rsidRPr="000E11F0" w:rsidRDefault="00207039"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A c</w:t>
      </w:r>
      <w:r w:rsidR="00E31D09" w:rsidRPr="000E11F0">
        <w:rPr>
          <w:rFonts w:ascii="Arial" w:hAnsi="Arial" w:cs="Arial"/>
          <w:sz w:val="22"/>
          <w:szCs w:val="22"/>
        </w:rPr>
        <w:t xml:space="preserve">ar is defined in section 995-1(1) of the </w:t>
      </w:r>
      <w:r w:rsidR="00E31D09" w:rsidRPr="000E11F0">
        <w:rPr>
          <w:rFonts w:ascii="Arial" w:hAnsi="Arial" w:cs="Arial"/>
          <w:i/>
          <w:sz w:val="22"/>
          <w:szCs w:val="22"/>
        </w:rPr>
        <w:t>Income Tax Assessment Act 1997</w:t>
      </w:r>
      <w:r w:rsidR="00E31D09" w:rsidRPr="000E11F0">
        <w:rPr>
          <w:rFonts w:ascii="Arial" w:hAnsi="Arial" w:cs="Arial"/>
          <w:sz w:val="22"/>
          <w:szCs w:val="22"/>
        </w:rPr>
        <w:t xml:space="preserve"> as a motor vehicle (except a motor cycle or similar vehicle) designed to carry a load of less than one tonne and fewer than nine passengers.</w:t>
      </w:r>
    </w:p>
    <w:p w14:paraId="686E9C6A" w14:textId="4DE7D3FD" w:rsidR="00A326BA" w:rsidRPr="000E11F0" w:rsidRDefault="00A326BA"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The instrument is a legislative instrument for the purposes of the </w:t>
      </w:r>
      <w:r w:rsidRPr="000E11F0">
        <w:rPr>
          <w:rFonts w:ascii="Arial" w:hAnsi="Arial" w:cs="Arial"/>
          <w:i/>
          <w:sz w:val="22"/>
          <w:szCs w:val="22"/>
        </w:rPr>
        <w:t>Legislation Act 2003</w:t>
      </w:r>
      <w:r w:rsidRPr="000E11F0">
        <w:rPr>
          <w:rFonts w:ascii="Arial" w:hAnsi="Arial" w:cs="Arial"/>
          <w:sz w:val="22"/>
          <w:szCs w:val="22"/>
        </w:rPr>
        <w:t>.</w:t>
      </w:r>
    </w:p>
    <w:p w14:paraId="76736EA3" w14:textId="77777777" w:rsidR="00A326BA" w:rsidRPr="000E11F0" w:rsidRDefault="00A326BA"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Under subsection 33(3) of the </w:t>
      </w:r>
      <w:r w:rsidRPr="000E11F0">
        <w:rPr>
          <w:rFonts w:ascii="Arial" w:hAnsi="Arial" w:cs="Arial"/>
          <w:i/>
          <w:iCs/>
          <w:sz w:val="22"/>
          <w:szCs w:val="22"/>
        </w:rPr>
        <w:t>Acts Interpretation Act 1901</w:t>
      </w:r>
      <w:r w:rsidRPr="000E11F0">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E4F0DF5" w14:textId="77777777" w:rsidR="00486653" w:rsidRPr="000E11F0" w:rsidRDefault="00486653" w:rsidP="003305D6">
      <w:pPr>
        <w:spacing w:after="120"/>
        <w:rPr>
          <w:rFonts w:ascii="Arial" w:hAnsi="Arial" w:cs="Arial"/>
          <w:sz w:val="22"/>
          <w:szCs w:val="22"/>
        </w:rPr>
      </w:pPr>
    </w:p>
    <w:p w14:paraId="6E4F0DF6" w14:textId="77777777" w:rsidR="00486653" w:rsidRPr="000E11F0" w:rsidRDefault="00486653" w:rsidP="003305D6">
      <w:pPr>
        <w:pStyle w:val="Heading2"/>
        <w:rPr>
          <w:rFonts w:cs="Arial"/>
          <w:szCs w:val="22"/>
        </w:rPr>
      </w:pPr>
      <w:r w:rsidRPr="000E11F0">
        <w:rPr>
          <w:rFonts w:cs="Arial"/>
          <w:szCs w:val="22"/>
        </w:rPr>
        <w:t>Date of effect</w:t>
      </w:r>
    </w:p>
    <w:p w14:paraId="55E2AEE5" w14:textId="501AD066" w:rsidR="003305D6" w:rsidRPr="000E11F0" w:rsidRDefault="00A326BA"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The instrument applies from </w:t>
      </w:r>
      <w:r w:rsidR="0007447D">
        <w:rPr>
          <w:rFonts w:ascii="Arial" w:hAnsi="Arial" w:cs="Arial"/>
          <w:sz w:val="22"/>
          <w:szCs w:val="22"/>
        </w:rPr>
        <w:t xml:space="preserve">1 July 2018.  Subsection 12(2) of the </w:t>
      </w:r>
      <w:r w:rsidR="0007447D" w:rsidRPr="009013D2">
        <w:rPr>
          <w:rFonts w:ascii="Arial" w:hAnsi="Arial" w:cs="Arial"/>
          <w:i/>
          <w:sz w:val="22"/>
          <w:szCs w:val="22"/>
        </w:rPr>
        <w:t>Legislation Act 2003</w:t>
      </w:r>
      <w:r w:rsidR="0007447D">
        <w:rPr>
          <w:rFonts w:ascii="Arial" w:hAnsi="Arial" w:cs="Arial"/>
          <w:sz w:val="22"/>
          <w:szCs w:val="22"/>
        </w:rPr>
        <w:t xml:space="preserve"> prohib</w:t>
      </w:r>
      <w:r w:rsidR="00C56F12">
        <w:rPr>
          <w:rFonts w:ascii="Arial" w:hAnsi="Arial" w:cs="Arial"/>
          <w:sz w:val="22"/>
          <w:szCs w:val="22"/>
        </w:rPr>
        <w:t xml:space="preserve">its the retrospective application of a legislative instrument if it detrimentally affects the rights of any person other than the Commonwealth.  </w:t>
      </w:r>
      <w:r w:rsidR="00165C0E">
        <w:rPr>
          <w:rFonts w:ascii="Arial" w:hAnsi="Arial" w:cs="Arial"/>
          <w:sz w:val="22"/>
          <w:szCs w:val="22"/>
        </w:rPr>
        <w:t>This subsection does not apply as t</w:t>
      </w:r>
      <w:r w:rsidR="00C56F12">
        <w:rPr>
          <w:rFonts w:ascii="Arial" w:hAnsi="Arial" w:cs="Arial"/>
          <w:sz w:val="22"/>
          <w:szCs w:val="22"/>
        </w:rPr>
        <w:t>his instrument is ben</w:t>
      </w:r>
      <w:r w:rsidR="00165C0E">
        <w:rPr>
          <w:rFonts w:ascii="Arial" w:hAnsi="Arial" w:cs="Arial"/>
          <w:sz w:val="22"/>
          <w:szCs w:val="22"/>
        </w:rPr>
        <w:t>e</w:t>
      </w:r>
      <w:r w:rsidR="00C56F12">
        <w:rPr>
          <w:rFonts w:ascii="Arial" w:hAnsi="Arial" w:cs="Arial"/>
          <w:sz w:val="22"/>
          <w:szCs w:val="22"/>
        </w:rPr>
        <w:t>fic</w:t>
      </w:r>
      <w:r w:rsidR="00165C0E">
        <w:rPr>
          <w:rFonts w:ascii="Arial" w:hAnsi="Arial" w:cs="Arial"/>
          <w:sz w:val="22"/>
          <w:szCs w:val="22"/>
        </w:rPr>
        <w:t>ia</w:t>
      </w:r>
      <w:r w:rsidR="00C56F12">
        <w:rPr>
          <w:rFonts w:ascii="Arial" w:hAnsi="Arial" w:cs="Arial"/>
          <w:sz w:val="22"/>
          <w:szCs w:val="22"/>
        </w:rPr>
        <w:t xml:space="preserve">l to taxpayers as it allows them to claim a greater deduction than was allowed </w:t>
      </w:r>
      <w:r w:rsidR="00165C0E">
        <w:rPr>
          <w:rFonts w:ascii="Arial" w:hAnsi="Arial" w:cs="Arial"/>
          <w:sz w:val="22"/>
          <w:szCs w:val="22"/>
        </w:rPr>
        <w:t>for previous income years</w:t>
      </w:r>
      <w:r w:rsidRPr="000E11F0">
        <w:rPr>
          <w:rFonts w:ascii="Arial" w:hAnsi="Arial" w:cs="Arial"/>
          <w:sz w:val="22"/>
          <w:szCs w:val="22"/>
        </w:rPr>
        <w:t>.</w:t>
      </w:r>
    </w:p>
    <w:p w14:paraId="6E4F0DF9" w14:textId="5A1AEC28" w:rsidR="00795D0C" w:rsidRPr="000E11F0" w:rsidRDefault="00795D0C" w:rsidP="000E11F0">
      <w:pPr>
        <w:spacing w:after="120"/>
        <w:rPr>
          <w:rFonts w:ascii="Arial" w:hAnsi="Arial" w:cs="Arial"/>
          <w:sz w:val="22"/>
          <w:szCs w:val="22"/>
        </w:rPr>
      </w:pPr>
    </w:p>
    <w:p w14:paraId="6E4F0DFD" w14:textId="77777777" w:rsidR="00486653" w:rsidRPr="000E11F0" w:rsidRDefault="00486653" w:rsidP="003305D6">
      <w:pPr>
        <w:pStyle w:val="Heading2"/>
        <w:rPr>
          <w:rFonts w:cs="Arial"/>
          <w:szCs w:val="22"/>
        </w:rPr>
      </w:pPr>
      <w:r w:rsidRPr="000E11F0">
        <w:rPr>
          <w:rFonts w:cs="Arial"/>
          <w:szCs w:val="22"/>
        </w:rPr>
        <w:t>What is this instrument about</w:t>
      </w:r>
    </w:p>
    <w:p w14:paraId="17849BC3" w14:textId="77777777" w:rsidR="003305D6" w:rsidRPr="000E11F0" w:rsidRDefault="00603A5C"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This instrument sets the rate at which work-related </w:t>
      </w:r>
      <w:r w:rsidR="00735B17" w:rsidRPr="000E11F0">
        <w:rPr>
          <w:rFonts w:ascii="Arial" w:hAnsi="Arial" w:cs="Arial"/>
          <w:sz w:val="22"/>
          <w:szCs w:val="22"/>
        </w:rPr>
        <w:t>car</w:t>
      </w:r>
      <w:r w:rsidRPr="000E11F0">
        <w:rPr>
          <w:rFonts w:ascii="Arial" w:hAnsi="Arial" w:cs="Arial"/>
          <w:sz w:val="22"/>
          <w:szCs w:val="22"/>
        </w:rPr>
        <w:t xml:space="preserve"> expense deductions may be claimed in an income year when using the cents per kilometre method.</w:t>
      </w:r>
    </w:p>
    <w:p w14:paraId="0A610F55" w14:textId="745C6466" w:rsidR="00603A5C" w:rsidRPr="000E11F0" w:rsidRDefault="00603A5C"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This instrument sets the rate at </w:t>
      </w:r>
      <w:r w:rsidR="002016EC" w:rsidRPr="000E11F0">
        <w:rPr>
          <w:rFonts w:ascii="Arial" w:hAnsi="Arial" w:cs="Arial"/>
          <w:sz w:val="22"/>
          <w:szCs w:val="22"/>
        </w:rPr>
        <w:t>68</w:t>
      </w:r>
      <w:r w:rsidRPr="000E11F0">
        <w:rPr>
          <w:rFonts w:ascii="Arial" w:hAnsi="Arial" w:cs="Arial"/>
          <w:sz w:val="22"/>
          <w:szCs w:val="22"/>
        </w:rPr>
        <w:t xml:space="preserve"> cents per kilometre for the income year commencing 1 July 201</w:t>
      </w:r>
      <w:r w:rsidR="00676C5C" w:rsidRPr="000E11F0">
        <w:rPr>
          <w:rFonts w:ascii="Arial" w:hAnsi="Arial" w:cs="Arial"/>
          <w:sz w:val="22"/>
          <w:szCs w:val="22"/>
        </w:rPr>
        <w:t>8</w:t>
      </w:r>
      <w:r w:rsidRPr="000E11F0">
        <w:rPr>
          <w:rFonts w:ascii="Arial" w:hAnsi="Arial" w:cs="Arial"/>
          <w:sz w:val="22"/>
          <w:szCs w:val="22"/>
        </w:rPr>
        <w:t xml:space="preserve">, and this rate remains applicable to subsequent income years until such time as the Commissioner of Taxation determines, having </w:t>
      </w:r>
      <w:r w:rsidR="002016EC" w:rsidRPr="000E11F0">
        <w:rPr>
          <w:rFonts w:ascii="Arial" w:hAnsi="Arial" w:cs="Arial"/>
          <w:sz w:val="22"/>
          <w:szCs w:val="22"/>
        </w:rPr>
        <w:t xml:space="preserve">regard to subsection 28-25(5), </w:t>
      </w:r>
      <w:r w:rsidRPr="000E11F0">
        <w:rPr>
          <w:rFonts w:ascii="Arial" w:hAnsi="Arial" w:cs="Arial"/>
          <w:sz w:val="22"/>
          <w:szCs w:val="22"/>
        </w:rPr>
        <w:t>that it should be varied.</w:t>
      </w:r>
    </w:p>
    <w:p w14:paraId="7D1C5A2B" w14:textId="1ADA13A7" w:rsidR="00603A5C" w:rsidRPr="000E11F0" w:rsidRDefault="00603A5C"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lastRenderedPageBreak/>
        <w:t xml:space="preserve">Upon registration this instrument repeals and replaces </w:t>
      </w:r>
      <w:r w:rsidR="00676C5C" w:rsidRPr="000E11F0">
        <w:rPr>
          <w:rFonts w:ascii="Arial" w:hAnsi="Arial" w:cs="Arial"/>
          <w:sz w:val="22"/>
          <w:szCs w:val="22"/>
        </w:rPr>
        <w:t>F2016L01157</w:t>
      </w:r>
      <w:r w:rsidRPr="000E11F0">
        <w:rPr>
          <w:rFonts w:ascii="Arial" w:hAnsi="Arial" w:cs="Arial"/>
          <w:sz w:val="22"/>
          <w:szCs w:val="22"/>
        </w:rPr>
        <w:t xml:space="preserve"> and continues to provide the same treatment for the affected class of cases.</w:t>
      </w:r>
    </w:p>
    <w:p w14:paraId="6E4F0E02" w14:textId="77777777" w:rsidR="00486653" w:rsidRPr="000E11F0" w:rsidRDefault="00486653" w:rsidP="000E11F0">
      <w:pPr>
        <w:spacing w:after="120"/>
        <w:rPr>
          <w:rFonts w:ascii="Arial" w:hAnsi="Arial" w:cs="Arial"/>
          <w:sz w:val="22"/>
          <w:szCs w:val="22"/>
        </w:rPr>
      </w:pPr>
    </w:p>
    <w:p w14:paraId="6E4F0E03" w14:textId="77777777" w:rsidR="00486653" w:rsidRPr="000E11F0" w:rsidRDefault="00486653" w:rsidP="003305D6">
      <w:pPr>
        <w:pStyle w:val="Heading2"/>
        <w:rPr>
          <w:rFonts w:cs="Arial"/>
          <w:szCs w:val="22"/>
        </w:rPr>
      </w:pPr>
      <w:r w:rsidRPr="000E11F0">
        <w:rPr>
          <w:rFonts w:cs="Arial"/>
          <w:szCs w:val="22"/>
        </w:rPr>
        <w:t>What is the effect of this instrument</w:t>
      </w:r>
    </w:p>
    <w:p w14:paraId="35CE59C1" w14:textId="77777777" w:rsidR="003305D6" w:rsidRPr="000E11F0" w:rsidRDefault="00676C5C" w:rsidP="000E11F0">
      <w:pPr>
        <w:numPr>
          <w:ilvl w:val="0"/>
          <w:numId w:val="16"/>
        </w:numPr>
        <w:tabs>
          <w:tab w:val="clear" w:pos="720"/>
        </w:tabs>
        <w:spacing w:after="120"/>
        <w:ind w:left="709" w:hanging="709"/>
        <w:rPr>
          <w:rFonts w:ascii="Arial" w:hAnsi="Arial" w:cs="Arial"/>
          <w:color w:val="000000"/>
          <w:sz w:val="22"/>
          <w:szCs w:val="22"/>
        </w:rPr>
      </w:pPr>
      <w:r w:rsidRPr="000E11F0">
        <w:rPr>
          <w:rFonts w:ascii="Arial" w:hAnsi="Arial" w:cs="Arial"/>
          <w:color w:val="000000"/>
          <w:sz w:val="22"/>
          <w:szCs w:val="22"/>
        </w:rPr>
        <w:t xml:space="preserve">The effect of this instrument is to ensure taxpayers and tax practitioners have certainty about the rate at which work-related </w:t>
      </w:r>
      <w:r w:rsidR="009C02B0" w:rsidRPr="000E11F0">
        <w:rPr>
          <w:rFonts w:ascii="Arial" w:hAnsi="Arial" w:cs="Arial"/>
          <w:color w:val="000000"/>
          <w:sz w:val="22"/>
          <w:szCs w:val="22"/>
        </w:rPr>
        <w:t>car</w:t>
      </w:r>
      <w:r w:rsidRPr="000E11F0">
        <w:rPr>
          <w:rFonts w:ascii="Arial" w:hAnsi="Arial" w:cs="Arial"/>
          <w:color w:val="000000"/>
          <w:sz w:val="22"/>
          <w:szCs w:val="22"/>
        </w:rPr>
        <w:t xml:space="preserve"> expense deductions may be claimed using the cents per kilometre method.</w:t>
      </w:r>
    </w:p>
    <w:p w14:paraId="26D9BC68" w14:textId="77777777" w:rsidR="003305D6" w:rsidRDefault="00676C5C" w:rsidP="000E11F0">
      <w:pPr>
        <w:numPr>
          <w:ilvl w:val="0"/>
          <w:numId w:val="16"/>
        </w:numPr>
        <w:tabs>
          <w:tab w:val="clear" w:pos="720"/>
        </w:tabs>
        <w:spacing w:after="120"/>
        <w:ind w:left="709" w:hanging="709"/>
        <w:rPr>
          <w:rFonts w:ascii="Arial" w:hAnsi="Arial" w:cs="Arial"/>
          <w:color w:val="000000"/>
          <w:sz w:val="22"/>
          <w:szCs w:val="22"/>
        </w:rPr>
      </w:pPr>
      <w:r w:rsidRPr="000E11F0">
        <w:rPr>
          <w:rFonts w:ascii="Arial" w:hAnsi="Arial" w:cs="Arial"/>
          <w:color w:val="000000"/>
          <w:sz w:val="22"/>
          <w:szCs w:val="22"/>
        </w:rPr>
        <w:t>This instrument provides further certainty by ensuring that the rate remains applicable until the Commissioner of Taxation, having regard to subsection</w:t>
      </w:r>
      <w:r w:rsidR="002016EC" w:rsidRPr="000E11F0">
        <w:rPr>
          <w:rFonts w:ascii="Arial" w:hAnsi="Arial" w:cs="Arial"/>
          <w:color w:val="000000"/>
          <w:sz w:val="22"/>
          <w:szCs w:val="22"/>
        </w:rPr>
        <w:t> </w:t>
      </w:r>
      <w:r w:rsidRPr="000E11F0">
        <w:rPr>
          <w:rFonts w:ascii="Arial" w:hAnsi="Arial" w:cs="Arial"/>
          <w:color w:val="000000"/>
          <w:sz w:val="22"/>
          <w:szCs w:val="22"/>
        </w:rPr>
        <w:t>28-25(5), determines that it should be varied.</w:t>
      </w:r>
    </w:p>
    <w:p w14:paraId="1C6A93E2" w14:textId="77777777" w:rsidR="00AF084B" w:rsidRDefault="00AF084B" w:rsidP="00167976">
      <w:pPr>
        <w:pStyle w:val="Heading2"/>
        <w:rPr>
          <w:rFonts w:cs="Arial"/>
          <w:szCs w:val="22"/>
        </w:rPr>
      </w:pPr>
    </w:p>
    <w:p w14:paraId="5A8FCD9A" w14:textId="77777777" w:rsidR="00167976" w:rsidRPr="000F3618" w:rsidRDefault="00167976" w:rsidP="00167976">
      <w:pPr>
        <w:pStyle w:val="Heading2"/>
        <w:rPr>
          <w:rFonts w:cs="Arial"/>
          <w:szCs w:val="22"/>
        </w:rPr>
      </w:pPr>
      <w:r w:rsidRPr="000F3618">
        <w:rPr>
          <w:rFonts w:cs="Arial"/>
          <w:szCs w:val="22"/>
        </w:rPr>
        <w:t>Compliance cost</w:t>
      </w:r>
    </w:p>
    <w:p w14:paraId="59CF6A3B" w14:textId="77777777" w:rsidR="00167976" w:rsidRPr="000F3618" w:rsidRDefault="00167976" w:rsidP="00167976">
      <w:pPr>
        <w:numPr>
          <w:ilvl w:val="0"/>
          <w:numId w:val="16"/>
        </w:numPr>
        <w:spacing w:after="120"/>
        <w:rPr>
          <w:rFonts w:ascii="Arial" w:hAnsi="Arial" w:cs="Arial"/>
          <w:sz w:val="22"/>
          <w:szCs w:val="22"/>
        </w:rPr>
      </w:pPr>
      <w:r w:rsidRPr="000F3618">
        <w:rPr>
          <w:rFonts w:ascii="Arial" w:hAnsi="Arial" w:cs="Arial"/>
          <w:sz w:val="22"/>
          <w:szCs w:val="22"/>
        </w:rPr>
        <w:t>Compliance Cost Impact: Minor – there will be no or minimal impacts for both implementation and ongoing compliance costs. The legislative instrument is minor or machinery in nature.</w:t>
      </w:r>
    </w:p>
    <w:p w14:paraId="6E4F0E0A" w14:textId="485603B9" w:rsidR="00486653" w:rsidRPr="000E11F0" w:rsidRDefault="00486653" w:rsidP="003305D6">
      <w:pPr>
        <w:spacing w:after="120"/>
        <w:rPr>
          <w:rFonts w:ascii="Arial" w:hAnsi="Arial" w:cs="Arial"/>
          <w:sz w:val="22"/>
          <w:szCs w:val="22"/>
        </w:rPr>
      </w:pPr>
    </w:p>
    <w:p w14:paraId="6E4F0E0B" w14:textId="77777777" w:rsidR="00486653" w:rsidRPr="000E11F0" w:rsidRDefault="00486653" w:rsidP="003305D6">
      <w:pPr>
        <w:pStyle w:val="Heading2"/>
        <w:rPr>
          <w:rFonts w:cs="Arial"/>
          <w:szCs w:val="22"/>
        </w:rPr>
      </w:pPr>
      <w:r w:rsidRPr="000E11F0">
        <w:rPr>
          <w:rFonts w:cs="Arial"/>
          <w:szCs w:val="22"/>
        </w:rPr>
        <w:t>Background</w:t>
      </w:r>
    </w:p>
    <w:p w14:paraId="2D9D4382" w14:textId="77777777" w:rsidR="003305D6" w:rsidRPr="000E11F0" w:rsidRDefault="00676C5C"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In the 2015 Federal Budget the Government announced its intention to modernise the ‘cents per kilometre method’ by replacing three rates based on engine size with one rate set at 66 cents per kilometre to apply for all </w:t>
      </w:r>
      <w:r w:rsidR="009C02B0" w:rsidRPr="000E11F0">
        <w:rPr>
          <w:rFonts w:ascii="Arial" w:hAnsi="Arial" w:cs="Arial"/>
          <w:sz w:val="22"/>
          <w:szCs w:val="22"/>
        </w:rPr>
        <w:t>cars</w:t>
      </w:r>
      <w:r w:rsidRPr="000E11F0">
        <w:rPr>
          <w:rFonts w:ascii="Arial" w:hAnsi="Arial" w:cs="Arial"/>
          <w:sz w:val="22"/>
          <w:szCs w:val="22"/>
        </w:rPr>
        <w:t xml:space="preserve">. The </w:t>
      </w:r>
      <w:r w:rsidRPr="000E11F0">
        <w:rPr>
          <w:rFonts w:ascii="Arial" w:hAnsi="Arial" w:cs="Arial"/>
          <w:i/>
          <w:sz w:val="22"/>
          <w:szCs w:val="22"/>
        </w:rPr>
        <w:t>Tax and Superannuation Laws Amendment (2015 Measures No. 5) Act 2015</w:t>
      </w:r>
      <w:r w:rsidRPr="000E11F0">
        <w:rPr>
          <w:rFonts w:ascii="Arial" w:hAnsi="Arial" w:cs="Arial"/>
          <w:sz w:val="22"/>
          <w:szCs w:val="22"/>
        </w:rPr>
        <w:t xml:space="preserve"> received Royal Assent on 30 November 2015, enacting these changes to the </w:t>
      </w:r>
      <w:r w:rsidRPr="000E11F0">
        <w:rPr>
          <w:rFonts w:ascii="Arial" w:hAnsi="Arial" w:cs="Arial"/>
          <w:i/>
          <w:sz w:val="22"/>
          <w:szCs w:val="22"/>
        </w:rPr>
        <w:t>Income Tax Assessment Act 1997</w:t>
      </w:r>
      <w:r w:rsidRPr="000E11F0">
        <w:rPr>
          <w:rFonts w:ascii="Arial" w:hAnsi="Arial" w:cs="Arial"/>
          <w:sz w:val="22"/>
          <w:szCs w:val="22"/>
        </w:rPr>
        <w:t>.</w:t>
      </w:r>
    </w:p>
    <w:p w14:paraId="2AE113E6" w14:textId="77777777" w:rsidR="003305D6" w:rsidRPr="000E11F0" w:rsidRDefault="00676C5C"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Subsection 28-25(4) of the </w:t>
      </w:r>
      <w:r w:rsidRPr="000E11F0">
        <w:rPr>
          <w:rFonts w:ascii="Arial" w:hAnsi="Arial" w:cs="Arial"/>
          <w:i/>
          <w:sz w:val="22"/>
          <w:szCs w:val="22"/>
        </w:rPr>
        <w:t>Income Tax Assessment Act 1997</w:t>
      </w:r>
      <w:r w:rsidRPr="000E11F0">
        <w:rPr>
          <w:rFonts w:ascii="Arial" w:hAnsi="Arial" w:cs="Arial"/>
          <w:sz w:val="22"/>
          <w:szCs w:val="22"/>
        </w:rPr>
        <w:t xml:space="preserve"> enables the Commissioner of Taxation to determine rates of cents per kilometre for cars for an income year.</w:t>
      </w:r>
    </w:p>
    <w:p w14:paraId="3119501C" w14:textId="0533AF84" w:rsidR="00676C5C" w:rsidRPr="000E11F0" w:rsidRDefault="00676C5C"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Subsection 28-25(5) of the </w:t>
      </w:r>
      <w:r w:rsidRPr="000E11F0">
        <w:rPr>
          <w:rFonts w:ascii="Arial" w:hAnsi="Arial" w:cs="Arial"/>
          <w:i/>
          <w:sz w:val="22"/>
          <w:szCs w:val="22"/>
        </w:rPr>
        <w:t>Income Tax Assessment Act 1997</w:t>
      </w:r>
      <w:r w:rsidRPr="000E11F0">
        <w:rPr>
          <w:rFonts w:ascii="Arial" w:hAnsi="Arial" w:cs="Arial"/>
          <w:sz w:val="22"/>
          <w:szCs w:val="22"/>
        </w:rPr>
        <w:t xml:space="preserve"> requires that the Commissioner of Taxation, when determining the rate, have regard to the average operating costs for the cars to be covered by that rate.</w:t>
      </w:r>
    </w:p>
    <w:p w14:paraId="33230C47" w14:textId="7C9E3F13" w:rsidR="00676C5C" w:rsidRPr="000E11F0" w:rsidRDefault="00676C5C" w:rsidP="000E11F0">
      <w:pPr>
        <w:numPr>
          <w:ilvl w:val="0"/>
          <w:numId w:val="16"/>
        </w:numPr>
        <w:tabs>
          <w:tab w:val="clear" w:pos="720"/>
        </w:tabs>
        <w:spacing w:after="120"/>
        <w:ind w:left="709" w:hanging="709"/>
        <w:rPr>
          <w:rFonts w:ascii="Arial" w:hAnsi="Arial" w:cs="Arial"/>
          <w:sz w:val="22"/>
          <w:szCs w:val="22"/>
        </w:rPr>
      </w:pPr>
      <w:r w:rsidRPr="000E11F0">
        <w:rPr>
          <w:rFonts w:ascii="Arial" w:hAnsi="Arial" w:cs="Arial"/>
          <w:sz w:val="22"/>
          <w:szCs w:val="22"/>
        </w:rPr>
        <w:t xml:space="preserve">After due consideration, the Commissioner has determined that the rate of </w:t>
      </w:r>
      <w:r w:rsidR="002016EC" w:rsidRPr="000E11F0">
        <w:rPr>
          <w:rFonts w:ascii="Arial" w:hAnsi="Arial" w:cs="Arial"/>
          <w:sz w:val="22"/>
          <w:szCs w:val="22"/>
        </w:rPr>
        <w:t>68</w:t>
      </w:r>
      <w:r w:rsidR="000E11F0">
        <w:rPr>
          <w:rFonts w:ascii="Arial" w:hAnsi="Arial" w:cs="Arial"/>
          <w:sz w:val="22"/>
          <w:szCs w:val="22"/>
        </w:rPr>
        <w:t> </w:t>
      </w:r>
      <w:r w:rsidRPr="000E11F0">
        <w:rPr>
          <w:rFonts w:ascii="Arial" w:hAnsi="Arial" w:cs="Arial"/>
          <w:sz w:val="22"/>
          <w:szCs w:val="22"/>
        </w:rPr>
        <w:t xml:space="preserve">cents per kilometre will apply for the income year commencing </w:t>
      </w:r>
      <w:r w:rsidR="00054349">
        <w:rPr>
          <w:rFonts w:ascii="Arial" w:hAnsi="Arial" w:cs="Arial"/>
          <w:sz w:val="22"/>
          <w:szCs w:val="22"/>
        </w:rPr>
        <w:t xml:space="preserve">from </w:t>
      </w:r>
      <w:r w:rsidR="00C84A9B">
        <w:rPr>
          <w:rFonts w:ascii="Arial" w:hAnsi="Arial" w:cs="Arial"/>
          <w:sz w:val="22"/>
          <w:szCs w:val="22"/>
        </w:rPr>
        <w:t>1 July 2018</w:t>
      </w:r>
      <w:r w:rsidRPr="000E11F0">
        <w:rPr>
          <w:rFonts w:ascii="Arial" w:hAnsi="Arial" w:cs="Arial"/>
          <w:sz w:val="22"/>
          <w:szCs w:val="22"/>
        </w:rPr>
        <w:t>. This instrument sets that rate.</w:t>
      </w:r>
    </w:p>
    <w:p w14:paraId="6E4F0E10" w14:textId="77777777" w:rsidR="00486653" w:rsidRPr="000E11F0" w:rsidRDefault="00486653" w:rsidP="000E11F0">
      <w:pPr>
        <w:spacing w:after="120"/>
        <w:rPr>
          <w:rFonts w:ascii="Arial" w:hAnsi="Arial" w:cs="Arial"/>
          <w:sz w:val="22"/>
          <w:szCs w:val="22"/>
        </w:rPr>
      </w:pPr>
    </w:p>
    <w:p w14:paraId="638673CF" w14:textId="77777777" w:rsidR="008A43D2" w:rsidRDefault="00167976" w:rsidP="00167976">
      <w:pPr>
        <w:pStyle w:val="Heading3"/>
        <w:rPr>
          <w:b w:val="0"/>
          <w:i/>
          <w:sz w:val="22"/>
        </w:rPr>
      </w:pPr>
      <w:r w:rsidRPr="007E0A01">
        <w:rPr>
          <w:sz w:val="24"/>
        </w:rPr>
        <w:t xml:space="preserve">Legislative references: </w:t>
      </w:r>
      <w:r w:rsidRPr="007E0A01">
        <w:br/>
      </w:r>
      <w:r w:rsidRPr="007E0A01">
        <w:br/>
      </w:r>
      <w:r>
        <w:rPr>
          <w:b w:val="0"/>
          <w:i/>
          <w:sz w:val="22"/>
        </w:rPr>
        <w:t>Acts Interpretation Act 1901</w:t>
      </w:r>
    </w:p>
    <w:p w14:paraId="2B88CAC5" w14:textId="3815C236" w:rsidR="00167976" w:rsidRDefault="00167976" w:rsidP="00167976">
      <w:pPr>
        <w:pStyle w:val="Heading3"/>
        <w:rPr>
          <w:b w:val="0"/>
          <w:i/>
          <w:sz w:val="22"/>
        </w:rPr>
      </w:pPr>
      <w:r w:rsidRPr="00167976">
        <w:rPr>
          <w:b w:val="0"/>
          <w:i/>
          <w:sz w:val="22"/>
        </w:rPr>
        <w:t>Human Rights (Parliamentary Scrutiny) Act 2011</w:t>
      </w:r>
      <w:r w:rsidRPr="007E0A01">
        <w:rPr>
          <w:b w:val="0"/>
          <w:i/>
          <w:sz w:val="22"/>
        </w:rPr>
        <w:br/>
        <w:t>Income Tax Assessment Act 1997</w:t>
      </w:r>
      <w:r w:rsidRPr="007E0A01">
        <w:rPr>
          <w:b w:val="0"/>
          <w:i/>
          <w:sz w:val="22"/>
        </w:rPr>
        <w:br/>
      </w:r>
      <w:r>
        <w:rPr>
          <w:b w:val="0"/>
          <w:i/>
          <w:sz w:val="22"/>
        </w:rPr>
        <w:t>Legislation</w:t>
      </w:r>
      <w:r w:rsidRPr="007E0A01">
        <w:rPr>
          <w:b w:val="0"/>
          <w:i/>
          <w:sz w:val="22"/>
        </w:rPr>
        <w:t xml:space="preserve"> Act 2003</w:t>
      </w:r>
    </w:p>
    <w:p w14:paraId="15B0A465" w14:textId="349F800C" w:rsidR="00167976" w:rsidRPr="009013D2" w:rsidRDefault="00167976" w:rsidP="009013D2">
      <w:pPr>
        <w:rPr>
          <w:i/>
          <w:sz w:val="22"/>
          <w:szCs w:val="22"/>
        </w:rPr>
      </w:pPr>
      <w:r w:rsidRPr="009013D2">
        <w:rPr>
          <w:rFonts w:ascii="Arial" w:hAnsi="Arial" w:cs="Arial"/>
          <w:i/>
          <w:sz w:val="22"/>
          <w:szCs w:val="22"/>
        </w:rPr>
        <w:t>Tax and Superannuation Laws Amendment (2015 Measures No. 5) Act 2015</w:t>
      </w:r>
    </w:p>
    <w:p w14:paraId="2EAAE777" w14:textId="77777777" w:rsidR="00000143" w:rsidRPr="000E11F0" w:rsidRDefault="00000143" w:rsidP="000E11F0">
      <w:pPr>
        <w:spacing w:after="120"/>
        <w:rPr>
          <w:rFonts w:ascii="Arial" w:hAnsi="Arial" w:cs="Arial"/>
          <w:sz w:val="22"/>
          <w:szCs w:val="22"/>
        </w:rPr>
      </w:pPr>
    </w:p>
    <w:p w14:paraId="1A68B04C" w14:textId="5224C7EC" w:rsidR="00333567" w:rsidRDefault="00333567" w:rsidP="000E11F0">
      <w:pPr>
        <w:spacing w:after="120"/>
        <w:rPr>
          <w:rFonts w:ascii="Arial" w:hAnsi="Arial" w:cs="Arial"/>
          <w:i/>
          <w:sz w:val="22"/>
          <w:szCs w:val="22"/>
        </w:rPr>
      </w:pPr>
    </w:p>
    <w:p w14:paraId="737B7130" w14:textId="118D4162" w:rsidR="00167976" w:rsidRDefault="00167976">
      <w:pPr>
        <w:rPr>
          <w:rFonts w:ascii="Arial" w:hAnsi="Arial" w:cs="Arial"/>
          <w:i/>
          <w:sz w:val="22"/>
          <w:szCs w:val="22"/>
        </w:rPr>
      </w:pPr>
      <w:r>
        <w:rPr>
          <w:rFonts w:ascii="Arial" w:hAnsi="Arial" w:cs="Arial"/>
          <w:i/>
          <w:sz w:val="22"/>
          <w:szCs w:val="22"/>
        </w:rPr>
        <w:br w:type="page"/>
      </w:r>
    </w:p>
    <w:p w14:paraId="73120758" w14:textId="77777777" w:rsidR="00167976" w:rsidRDefault="00167976" w:rsidP="000E11F0">
      <w:pPr>
        <w:spacing w:after="120"/>
        <w:rPr>
          <w:rFonts w:ascii="Arial" w:hAnsi="Arial" w:cs="Arial"/>
          <w:i/>
          <w:sz w:val="22"/>
          <w:szCs w:val="22"/>
        </w:rPr>
      </w:pPr>
    </w:p>
    <w:p w14:paraId="2C818D4B" w14:textId="77777777" w:rsidR="00167976" w:rsidRPr="006F47BF" w:rsidRDefault="00167976" w:rsidP="00167976">
      <w:pPr>
        <w:spacing w:after="120"/>
        <w:jc w:val="center"/>
        <w:rPr>
          <w:rFonts w:ascii="Arial" w:hAnsi="Arial" w:cs="Arial"/>
          <w:color w:val="000000"/>
          <w:sz w:val="22"/>
          <w:szCs w:val="22"/>
        </w:rPr>
      </w:pPr>
      <w:r w:rsidRPr="006F47BF">
        <w:rPr>
          <w:rFonts w:ascii="Arial" w:hAnsi="Arial" w:cs="Arial"/>
          <w:b/>
          <w:bCs/>
          <w:color w:val="000000"/>
          <w:sz w:val="22"/>
          <w:szCs w:val="22"/>
        </w:rPr>
        <w:t>Statement of compatibility with Human Rights</w:t>
      </w:r>
    </w:p>
    <w:p w14:paraId="0116515D" w14:textId="77777777" w:rsidR="00167976" w:rsidRPr="006F47BF" w:rsidRDefault="00167976" w:rsidP="00167976">
      <w:pPr>
        <w:spacing w:after="120"/>
        <w:rPr>
          <w:rFonts w:ascii="Arial" w:hAnsi="Arial" w:cs="Arial"/>
          <w:i/>
          <w:iCs/>
          <w:color w:val="000000"/>
          <w:sz w:val="22"/>
          <w:szCs w:val="22"/>
        </w:rPr>
      </w:pPr>
      <w:r w:rsidRPr="006F47BF">
        <w:rPr>
          <w:rFonts w:ascii="Arial" w:hAnsi="Arial" w:cs="Arial"/>
          <w:color w:val="000000"/>
          <w:sz w:val="22"/>
          <w:szCs w:val="22"/>
        </w:rPr>
        <w:t xml:space="preserve">This statement is prepared in accordance with Part 3 of the </w:t>
      </w:r>
      <w:r w:rsidRPr="006F47BF">
        <w:rPr>
          <w:rFonts w:ascii="Arial" w:hAnsi="Arial" w:cs="Arial"/>
          <w:i/>
          <w:iCs/>
          <w:color w:val="000000"/>
          <w:sz w:val="22"/>
          <w:szCs w:val="22"/>
        </w:rPr>
        <w:t>Human Rights (Parliamentary Scrutiny) Act 2011</w:t>
      </w:r>
    </w:p>
    <w:p w14:paraId="503C0B77" w14:textId="77777777" w:rsidR="00167976" w:rsidRPr="00706AAD" w:rsidRDefault="00167976" w:rsidP="00167976">
      <w:pPr>
        <w:spacing w:after="120"/>
        <w:rPr>
          <w:rFonts w:ascii="Arial" w:hAnsi="Arial" w:cs="Arial"/>
          <w:sz w:val="22"/>
          <w:szCs w:val="22"/>
        </w:rPr>
      </w:pPr>
    </w:p>
    <w:p w14:paraId="041AD418" w14:textId="77777777" w:rsidR="00167976" w:rsidRPr="00167976" w:rsidRDefault="00167976" w:rsidP="00167976">
      <w:pPr>
        <w:spacing w:after="120"/>
        <w:rPr>
          <w:rFonts w:ascii="Arial" w:hAnsi="Arial" w:cs="Arial"/>
          <w:b/>
          <w:sz w:val="22"/>
          <w:szCs w:val="22"/>
        </w:rPr>
      </w:pPr>
      <w:r w:rsidRPr="00167976">
        <w:rPr>
          <w:rFonts w:ascii="Arial" w:hAnsi="Arial" w:cs="Arial"/>
          <w:b/>
          <w:sz w:val="22"/>
          <w:szCs w:val="22"/>
        </w:rPr>
        <w:t>Income Tax Assessment Act 1997 - Cents per Kilometre Deduction Rate for Car Expenses 2018</w:t>
      </w:r>
    </w:p>
    <w:p w14:paraId="0CE55679" w14:textId="77777777" w:rsidR="00167976" w:rsidRDefault="00167976" w:rsidP="00167976">
      <w:pPr>
        <w:spacing w:after="120"/>
        <w:rPr>
          <w:rFonts w:ascii="Arial" w:hAnsi="Arial" w:cs="Arial"/>
          <w:sz w:val="22"/>
          <w:szCs w:val="22"/>
        </w:rPr>
      </w:pPr>
    </w:p>
    <w:p w14:paraId="0C615AF2" w14:textId="77777777" w:rsidR="00167976" w:rsidRPr="006F47BF" w:rsidRDefault="00167976" w:rsidP="00167976">
      <w:pPr>
        <w:spacing w:after="120"/>
        <w:rPr>
          <w:rFonts w:ascii="Arial" w:hAnsi="Arial" w:cs="Arial"/>
          <w:sz w:val="22"/>
          <w:szCs w:val="22"/>
        </w:rPr>
      </w:pPr>
      <w:r w:rsidRPr="006F47BF">
        <w:rPr>
          <w:rFonts w:ascii="Arial" w:hAnsi="Arial" w:cs="Arial"/>
          <w:sz w:val="22"/>
          <w:szCs w:val="22"/>
        </w:rPr>
        <w:t xml:space="preserve">This Legislative Instrument is compatible with the human rights and freedoms recognised or declared in the international instruments listed in section 3 of the </w:t>
      </w:r>
      <w:r w:rsidRPr="006F47BF">
        <w:rPr>
          <w:rFonts w:ascii="Arial" w:hAnsi="Arial" w:cs="Arial"/>
          <w:i/>
          <w:iCs/>
          <w:sz w:val="22"/>
          <w:szCs w:val="22"/>
        </w:rPr>
        <w:t>Human Rights (Parliamentary Scrutiny) Act 2011.</w:t>
      </w:r>
    </w:p>
    <w:p w14:paraId="0DEAA426" w14:textId="77777777" w:rsidR="00167976" w:rsidRPr="00706AAD" w:rsidRDefault="00167976" w:rsidP="00167976">
      <w:pPr>
        <w:spacing w:after="120"/>
        <w:rPr>
          <w:rFonts w:ascii="Arial" w:hAnsi="Arial" w:cs="Arial"/>
          <w:sz w:val="22"/>
          <w:szCs w:val="22"/>
        </w:rPr>
      </w:pPr>
    </w:p>
    <w:p w14:paraId="7DA7FC0D" w14:textId="77777777" w:rsidR="00167976" w:rsidRPr="006F47BF" w:rsidRDefault="00167976" w:rsidP="00167976">
      <w:pPr>
        <w:pStyle w:val="Heading2"/>
        <w:rPr>
          <w:rFonts w:cs="Arial"/>
          <w:szCs w:val="22"/>
        </w:rPr>
      </w:pPr>
      <w:r w:rsidRPr="006F47BF">
        <w:rPr>
          <w:rFonts w:cs="Arial"/>
          <w:szCs w:val="22"/>
        </w:rPr>
        <w:t>Overview of the Legislative Instrument</w:t>
      </w:r>
    </w:p>
    <w:p w14:paraId="56A6BC6F" w14:textId="6080570E" w:rsidR="00167976" w:rsidRDefault="008A43D2" w:rsidP="00167976">
      <w:pPr>
        <w:spacing w:after="120"/>
        <w:rPr>
          <w:rFonts w:ascii="Arial" w:hAnsi="Arial" w:cs="Arial"/>
          <w:sz w:val="22"/>
          <w:szCs w:val="22"/>
        </w:rPr>
      </w:pPr>
      <w:r w:rsidRPr="008A43D2">
        <w:rPr>
          <w:rFonts w:ascii="Arial" w:hAnsi="Arial" w:cs="Arial"/>
          <w:sz w:val="22"/>
          <w:szCs w:val="22"/>
        </w:rPr>
        <w:t>This instrument sets the rate at which work-related car expense deductions may be claimed in an income year when using the cents per kilometre method.</w:t>
      </w:r>
    </w:p>
    <w:p w14:paraId="2F90D774" w14:textId="77777777" w:rsidR="008A43D2" w:rsidRPr="00706AAD" w:rsidRDefault="008A43D2" w:rsidP="00167976">
      <w:pPr>
        <w:spacing w:after="120"/>
        <w:rPr>
          <w:rFonts w:ascii="Arial" w:hAnsi="Arial" w:cs="Arial"/>
          <w:sz w:val="22"/>
          <w:szCs w:val="22"/>
        </w:rPr>
      </w:pPr>
    </w:p>
    <w:p w14:paraId="5597D161" w14:textId="77777777" w:rsidR="00167976" w:rsidRPr="006F47BF" w:rsidRDefault="00167976" w:rsidP="00167976">
      <w:pPr>
        <w:pStyle w:val="Heading2"/>
        <w:rPr>
          <w:rFonts w:cs="Arial"/>
          <w:szCs w:val="22"/>
        </w:rPr>
      </w:pPr>
      <w:r w:rsidRPr="006F47BF">
        <w:rPr>
          <w:rFonts w:cs="Arial"/>
          <w:szCs w:val="22"/>
        </w:rPr>
        <w:t>Human rights implications</w:t>
      </w:r>
    </w:p>
    <w:p w14:paraId="3C485506" w14:textId="4794B92D" w:rsidR="00167976" w:rsidRPr="006F47BF" w:rsidRDefault="00167976" w:rsidP="00167976">
      <w:pPr>
        <w:spacing w:after="120"/>
        <w:rPr>
          <w:rFonts w:ascii="Arial" w:hAnsi="Arial" w:cs="Arial"/>
          <w:sz w:val="22"/>
          <w:szCs w:val="22"/>
        </w:rPr>
      </w:pPr>
      <w:r w:rsidRPr="006F47BF">
        <w:rPr>
          <w:rFonts w:ascii="Arial" w:hAnsi="Arial" w:cs="Arial"/>
          <w:sz w:val="22"/>
          <w:szCs w:val="22"/>
        </w:rPr>
        <w:t xml:space="preserve">This legislative instrument does not engage any of the applicable rights or freedoms as it simply </w:t>
      </w:r>
      <w:r w:rsidR="008A43D2" w:rsidRPr="008A43D2">
        <w:rPr>
          <w:rFonts w:ascii="Arial" w:hAnsi="Arial" w:cs="Arial"/>
          <w:sz w:val="22"/>
          <w:szCs w:val="22"/>
        </w:rPr>
        <w:t>sets the rate at which work-related car expense deductions may be claimed in an income year when using the cents per kilometre method.</w:t>
      </w:r>
    </w:p>
    <w:p w14:paraId="3DF29867" w14:textId="77777777" w:rsidR="00167976" w:rsidRPr="00706AAD" w:rsidRDefault="00167976" w:rsidP="00167976">
      <w:pPr>
        <w:spacing w:after="120"/>
        <w:rPr>
          <w:rFonts w:ascii="Arial" w:hAnsi="Arial" w:cs="Arial"/>
          <w:sz w:val="22"/>
          <w:szCs w:val="22"/>
        </w:rPr>
      </w:pPr>
    </w:p>
    <w:p w14:paraId="1ECD7D5D" w14:textId="77777777" w:rsidR="00167976" w:rsidRPr="006F47BF" w:rsidRDefault="00167976" w:rsidP="00167976">
      <w:pPr>
        <w:pStyle w:val="Heading2"/>
        <w:rPr>
          <w:rFonts w:cs="Arial"/>
          <w:szCs w:val="22"/>
        </w:rPr>
      </w:pPr>
      <w:r w:rsidRPr="006F47BF">
        <w:rPr>
          <w:rFonts w:cs="Arial"/>
          <w:szCs w:val="22"/>
        </w:rPr>
        <w:t>Conclusion</w:t>
      </w:r>
    </w:p>
    <w:p w14:paraId="4C4F195F" w14:textId="77777777" w:rsidR="00167976" w:rsidRPr="006F47BF" w:rsidRDefault="00167976" w:rsidP="00167976">
      <w:pPr>
        <w:spacing w:after="120"/>
        <w:rPr>
          <w:rFonts w:ascii="Arial" w:hAnsi="Arial" w:cs="Arial"/>
          <w:color w:val="000000"/>
          <w:sz w:val="22"/>
          <w:szCs w:val="22"/>
        </w:rPr>
      </w:pPr>
      <w:r w:rsidRPr="006F47BF">
        <w:rPr>
          <w:rFonts w:ascii="Arial" w:hAnsi="Arial" w:cs="Arial"/>
          <w:color w:val="000000"/>
          <w:sz w:val="22"/>
          <w:szCs w:val="22"/>
        </w:rPr>
        <w:t>This Legislative Instrument is compatible with human rights as it does not raise any human rights issues.</w:t>
      </w:r>
    </w:p>
    <w:p w14:paraId="61B24408" w14:textId="77777777" w:rsidR="00167976" w:rsidRPr="000E11F0" w:rsidRDefault="00167976" w:rsidP="000E11F0">
      <w:pPr>
        <w:spacing w:after="120"/>
        <w:rPr>
          <w:rFonts w:ascii="Arial" w:hAnsi="Arial" w:cs="Arial"/>
          <w:i/>
          <w:sz w:val="22"/>
          <w:szCs w:val="22"/>
        </w:rPr>
      </w:pPr>
    </w:p>
    <w:sectPr w:rsidR="00167976" w:rsidRPr="000E11F0" w:rsidSect="00146ED8">
      <w:headerReference w:type="even" r:id="rId15"/>
      <w:headerReference w:type="default" r:id="rId16"/>
      <w:headerReference w:type="first" r:id="rId17"/>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F9E4B" w14:textId="77777777" w:rsidR="00E377BA" w:rsidRDefault="00E377BA">
      <w:r>
        <w:separator/>
      </w:r>
    </w:p>
  </w:endnote>
  <w:endnote w:type="continuationSeparator" w:id="0">
    <w:p w14:paraId="63AE5A01" w14:textId="77777777" w:rsidR="00E377BA" w:rsidRDefault="00E3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038A" w14:textId="77777777" w:rsidR="00E377BA" w:rsidRDefault="00E377BA">
      <w:r>
        <w:separator/>
      </w:r>
    </w:p>
  </w:footnote>
  <w:footnote w:type="continuationSeparator" w:id="0">
    <w:p w14:paraId="79BC25CD" w14:textId="77777777" w:rsidR="00E377BA" w:rsidRDefault="00E37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0E60"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6E4F0E61" w14:textId="77777777"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14:paraId="6E4F0E62"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45590D">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0E63" w14:textId="286878D2"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0E64" w14:textId="1125AB65"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14:paraId="6E4F0E65" w14:textId="4397C234"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r>
      <w:rPr>
        <w:rFonts w:ascii="Arial" w:hAnsi="Arial" w:cs="Arial"/>
        <w:b/>
        <w:sz w:val="32"/>
        <w:szCs w:val="32"/>
      </w:rPr>
      <w:t xml:space="preserve">  </w:t>
    </w:r>
    <w:r w:rsidRPr="00146ED8">
      <w:rPr>
        <w:rFonts w:ascii="Arial" w:hAnsi="Arial" w:cs="Arial"/>
        <w:b/>
        <w:sz w:val="28"/>
        <w:szCs w:val="28"/>
      </w:rPr>
      <w:t xml:space="preserve">Instrument ID: </w:t>
    </w:r>
    <w:r w:rsidR="002A59B6" w:rsidRPr="002A59B6">
      <w:rPr>
        <w:rFonts w:ascii="Arial" w:hAnsi="Arial" w:cs="Arial"/>
        <w:b/>
        <w:sz w:val="28"/>
        <w:szCs w:val="28"/>
      </w:rPr>
      <w:t>2018/IND/0016</w:t>
    </w:r>
  </w:p>
  <w:p w14:paraId="6E4F0E66"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6E4F0E68" wp14:editId="6E4F0E69">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6E4F0E67"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CEF565E"/>
    <w:multiLevelType w:val="hybridMultilevel"/>
    <w:tmpl w:val="20C6BB92"/>
    <w:lvl w:ilvl="0" w:tplc="0780312C">
      <w:start w:val="1"/>
      <w:numFmt w:val="decimal"/>
      <w:lvlText w:val="%1."/>
      <w:lvlJc w:val="left"/>
      <w:pPr>
        <w:tabs>
          <w:tab w:val="num" w:pos="786"/>
        </w:tabs>
        <w:ind w:left="786" w:hanging="360"/>
      </w:pPr>
      <w:rPr>
        <w:rFonts w:ascii="Arial" w:hAnsi="Arial" w:hint="default"/>
        <w:color w:val="auto"/>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7">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8">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3">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4">
    <w:nsid w:val="2626265A"/>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6E736DD"/>
    <w:multiLevelType w:val="hybridMultilevel"/>
    <w:tmpl w:val="D26E6F80"/>
    <w:lvl w:ilvl="0" w:tplc="04104052">
      <w:start w:val="1"/>
      <w:numFmt w:val="decimal"/>
      <w:lvlText w:val="%1."/>
      <w:lvlJc w:val="left"/>
      <w:pPr>
        <w:tabs>
          <w:tab w:val="num" w:pos="720"/>
        </w:tabs>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1">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FCC3903"/>
    <w:multiLevelType w:val="hybridMultilevel"/>
    <w:tmpl w:val="70AC054A"/>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6">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29A678D"/>
    <w:multiLevelType w:val="hybridMultilevel"/>
    <w:tmpl w:val="933AB464"/>
    <w:lvl w:ilvl="0" w:tplc="04104052">
      <w:start w:val="1"/>
      <w:numFmt w:val="decimal"/>
      <w:lvlText w:val="%1."/>
      <w:lvlJc w:val="left"/>
      <w:pPr>
        <w:tabs>
          <w:tab w:val="num" w:pos="720"/>
        </w:tabs>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D8028F6"/>
    <w:multiLevelType w:val="hybridMultilevel"/>
    <w:tmpl w:val="5144F1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FC91F70"/>
    <w:multiLevelType w:val="hybridMultilevel"/>
    <w:tmpl w:val="7F4E5664"/>
    <w:lvl w:ilvl="0" w:tplc="947E3200">
      <w:start w:val="1"/>
      <w:numFmt w:val="decimal"/>
      <w:lvlText w:val="%1."/>
      <w:lvlJc w:val="left"/>
      <w:pPr>
        <w:ind w:left="360" w:hanging="360"/>
      </w:pPr>
      <w:rPr>
        <w:rFonts w:hint="default"/>
        <w:b w:val="0"/>
        <w:i w:val="0"/>
        <w:sz w:val="22"/>
        <w:szCs w:val="22"/>
      </w:rPr>
    </w:lvl>
    <w:lvl w:ilvl="1" w:tplc="0C090019">
      <w:start w:val="1"/>
      <w:numFmt w:val="lowerLetter"/>
      <w:lvlText w:val="%2."/>
      <w:lvlJc w:val="left"/>
      <w:pPr>
        <w:ind w:left="872" w:hanging="360"/>
      </w:pPr>
    </w:lvl>
    <w:lvl w:ilvl="2" w:tplc="0C09001B">
      <w:start w:val="1"/>
      <w:numFmt w:val="lowerRoman"/>
      <w:lvlText w:val="%3."/>
      <w:lvlJc w:val="right"/>
      <w:pPr>
        <w:ind w:left="1592" w:hanging="180"/>
      </w:pPr>
    </w:lvl>
    <w:lvl w:ilvl="3" w:tplc="028E4D1E">
      <w:start w:val="1"/>
      <w:numFmt w:val="lowerLetter"/>
      <w:lvlText w:val="%4)"/>
      <w:lvlJc w:val="left"/>
      <w:pPr>
        <w:ind w:left="2312" w:hanging="360"/>
      </w:pPr>
      <w:rPr>
        <w:rFonts w:hint="default"/>
      </w:r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num w:numId="1">
    <w:abstractNumId w:val="4"/>
  </w:num>
  <w:num w:numId="2">
    <w:abstractNumId w:val="15"/>
  </w:num>
  <w:num w:numId="3">
    <w:abstractNumId w:val="24"/>
  </w:num>
  <w:num w:numId="4">
    <w:abstractNumId w:val="39"/>
  </w:num>
  <w:num w:numId="5">
    <w:abstractNumId w:val="5"/>
  </w:num>
  <w:num w:numId="6">
    <w:abstractNumId w:val="12"/>
  </w:num>
  <w:num w:numId="7">
    <w:abstractNumId w:val="32"/>
  </w:num>
  <w:num w:numId="8">
    <w:abstractNumId w:val="31"/>
  </w:num>
  <w:num w:numId="9">
    <w:abstractNumId w:val="26"/>
  </w:num>
  <w:num w:numId="10">
    <w:abstractNumId w:val="22"/>
  </w:num>
  <w:num w:numId="11">
    <w:abstractNumId w:val="40"/>
  </w:num>
  <w:num w:numId="12">
    <w:abstractNumId w:val="34"/>
  </w:num>
  <w:num w:numId="13">
    <w:abstractNumId w:val="37"/>
  </w:num>
  <w:num w:numId="14">
    <w:abstractNumId w:val="36"/>
  </w:num>
  <w:num w:numId="15">
    <w:abstractNumId w:val="21"/>
  </w:num>
  <w:num w:numId="16">
    <w:abstractNumId w:val="23"/>
  </w:num>
  <w:num w:numId="17">
    <w:abstractNumId w:val="10"/>
  </w:num>
  <w:num w:numId="18">
    <w:abstractNumId w:val="17"/>
  </w:num>
  <w:num w:numId="19">
    <w:abstractNumId w:val="3"/>
  </w:num>
  <w:num w:numId="20">
    <w:abstractNumId w:val="1"/>
  </w:num>
  <w:num w:numId="21">
    <w:abstractNumId w:val="11"/>
  </w:num>
  <w:num w:numId="22">
    <w:abstractNumId w:val="29"/>
  </w:num>
  <w:num w:numId="23">
    <w:abstractNumId w:val="9"/>
  </w:num>
  <w:num w:numId="24">
    <w:abstractNumId w:val="20"/>
  </w:num>
  <w:num w:numId="25">
    <w:abstractNumId w:val="28"/>
  </w:num>
  <w:num w:numId="26">
    <w:abstractNumId w:val="27"/>
  </w:num>
  <w:num w:numId="27">
    <w:abstractNumId w:val="8"/>
  </w:num>
  <w:num w:numId="28">
    <w:abstractNumId w:val="30"/>
  </w:num>
  <w:num w:numId="29">
    <w:abstractNumId w:val="19"/>
  </w:num>
  <w:num w:numId="30">
    <w:abstractNumId w:val="13"/>
  </w:num>
  <w:num w:numId="31">
    <w:abstractNumId w:val="6"/>
  </w:num>
  <w:num w:numId="32">
    <w:abstractNumId w:val="0"/>
  </w:num>
  <w:num w:numId="33">
    <w:abstractNumId w:val="7"/>
  </w:num>
  <w:num w:numId="34">
    <w:abstractNumId w:val="25"/>
  </w:num>
  <w:num w:numId="35">
    <w:abstractNumId w:val="35"/>
  </w:num>
  <w:num w:numId="36">
    <w:abstractNumId w:val="18"/>
  </w:num>
  <w:num w:numId="37">
    <w:abstractNumId w:val="14"/>
  </w:num>
  <w:num w:numId="38">
    <w:abstractNumId w:val="2"/>
  </w:num>
  <w:num w:numId="39">
    <w:abstractNumId w:val="16"/>
  </w:num>
  <w:num w:numId="40">
    <w:abstractNumId w:val="33"/>
  </w:num>
  <w:num w:numId="41">
    <w:abstractNumId w:val="38"/>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00143"/>
    <w:rsid w:val="000117B2"/>
    <w:rsid w:val="0001796D"/>
    <w:rsid w:val="00017BF0"/>
    <w:rsid w:val="0002568B"/>
    <w:rsid w:val="0004052B"/>
    <w:rsid w:val="00043FA7"/>
    <w:rsid w:val="00044FE7"/>
    <w:rsid w:val="00054349"/>
    <w:rsid w:val="000552E8"/>
    <w:rsid w:val="00056585"/>
    <w:rsid w:val="0005674F"/>
    <w:rsid w:val="00065C6E"/>
    <w:rsid w:val="00073F1B"/>
    <w:rsid w:val="0007447D"/>
    <w:rsid w:val="00075B58"/>
    <w:rsid w:val="000B11DD"/>
    <w:rsid w:val="000C390A"/>
    <w:rsid w:val="000C77DD"/>
    <w:rsid w:val="000E11F0"/>
    <w:rsid w:val="000E295B"/>
    <w:rsid w:val="000E45A0"/>
    <w:rsid w:val="00107460"/>
    <w:rsid w:val="00112415"/>
    <w:rsid w:val="0013678D"/>
    <w:rsid w:val="00140A34"/>
    <w:rsid w:val="00146ED8"/>
    <w:rsid w:val="00165C0E"/>
    <w:rsid w:val="00167202"/>
    <w:rsid w:val="00167976"/>
    <w:rsid w:val="001828A4"/>
    <w:rsid w:val="001A3BE2"/>
    <w:rsid w:val="001C35E7"/>
    <w:rsid w:val="001C4578"/>
    <w:rsid w:val="001E7E77"/>
    <w:rsid w:val="001F28A6"/>
    <w:rsid w:val="001F2A16"/>
    <w:rsid w:val="001F6921"/>
    <w:rsid w:val="001F7C3E"/>
    <w:rsid w:val="002016EC"/>
    <w:rsid w:val="00201969"/>
    <w:rsid w:val="00207039"/>
    <w:rsid w:val="00213FA5"/>
    <w:rsid w:val="0023733A"/>
    <w:rsid w:val="0024044F"/>
    <w:rsid w:val="00245D00"/>
    <w:rsid w:val="00257C0B"/>
    <w:rsid w:val="00257F2D"/>
    <w:rsid w:val="00262F9F"/>
    <w:rsid w:val="00266D2D"/>
    <w:rsid w:val="0027331F"/>
    <w:rsid w:val="00285E76"/>
    <w:rsid w:val="002949C3"/>
    <w:rsid w:val="002A10A4"/>
    <w:rsid w:val="002A26FE"/>
    <w:rsid w:val="002A59B6"/>
    <w:rsid w:val="002B1423"/>
    <w:rsid w:val="002E052C"/>
    <w:rsid w:val="002F1257"/>
    <w:rsid w:val="00310C61"/>
    <w:rsid w:val="003171B3"/>
    <w:rsid w:val="0032559D"/>
    <w:rsid w:val="003305D6"/>
    <w:rsid w:val="00333567"/>
    <w:rsid w:val="00344575"/>
    <w:rsid w:val="0035113C"/>
    <w:rsid w:val="00354525"/>
    <w:rsid w:val="00380CC4"/>
    <w:rsid w:val="003C0686"/>
    <w:rsid w:val="003D08CF"/>
    <w:rsid w:val="003D0CBA"/>
    <w:rsid w:val="003D0F6A"/>
    <w:rsid w:val="003D4BA8"/>
    <w:rsid w:val="003E5269"/>
    <w:rsid w:val="00405394"/>
    <w:rsid w:val="004066E4"/>
    <w:rsid w:val="0040680B"/>
    <w:rsid w:val="00407361"/>
    <w:rsid w:val="00417C55"/>
    <w:rsid w:val="00424A7B"/>
    <w:rsid w:val="004447C1"/>
    <w:rsid w:val="0045590D"/>
    <w:rsid w:val="0046211F"/>
    <w:rsid w:val="0046787B"/>
    <w:rsid w:val="00486653"/>
    <w:rsid w:val="004A5FDA"/>
    <w:rsid w:val="004D098C"/>
    <w:rsid w:val="004D24A9"/>
    <w:rsid w:val="004E5357"/>
    <w:rsid w:val="004F4A07"/>
    <w:rsid w:val="004F5EB1"/>
    <w:rsid w:val="004F6887"/>
    <w:rsid w:val="005030AD"/>
    <w:rsid w:val="0051249C"/>
    <w:rsid w:val="005176E7"/>
    <w:rsid w:val="00520330"/>
    <w:rsid w:val="00524B6B"/>
    <w:rsid w:val="005413EE"/>
    <w:rsid w:val="00547A35"/>
    <w:rsid w:val="00587443"/>
    <w:rsid w:val="00587C50"/>
    <w:rsid w:val="005917F3"/>
    <w:rsid w:val="00591D9A"/>
    <w:rsid w:val="005A1144"/>
    <w:rsid w:val="005B0ACD"/>
    <w:rsid w:val="005B50A2"/>
    <w:rsid w:val="005C3408"/>
    <w:rsid w:val="005D611B"/>
    <w:rsid w:val="005F1ACE"/>
    <w:rsid w:val="005F256D"/>
    <w:rsid w:val="0060183A"/>
    <w:rsid w:val="00603110"/>
    <w:rsid w:val="00603A5C"/>
    <w:rsid w:val="00611C8E"/>
    <w:rsid w:val="00631F30"/>
    <w:rsid w:val="00642420"/>
    <w:rsid w:val="00646158"/>
    <w:rsid w:val="0066622C"/>
    <w:rsid w:val="00666487"/>
    <w:rsid w:val="00673B37"/>
    <w:rsid w:val="00676C5C"/>
    <w:rsid w:val="00691817"/>
    <w:rsid w:val="006945EA"/>
    <w:rsid w:val="006B5470"/>
    <w:rsid w:val="006D0138"/>
    <w:rsid w:val="006D6F52"/>
    <w:rsid w:val="00701718"/>
    <w:rsid w:val="00710359"/>
    <w:rsid w:val="00712FFF"/>
    <w:rsid w:val="00722DBF"/>
    <w:rsid w:val="00735157"/>
    <w:rsid w:val="00735B17"/>
    <w:rsid w:val="00775490"/>
    <w:rsid w:val="00795D0C"/>
    <w:rsid w:val="007A55BA"/>
    <w:rsid w:val="007C1FBD"/>
    <w:rsid w:val="007C5C8E"/>
    <w:rsid w:val="007D7654"/>
    <w:rsid w:val="007E0A01"/>
    <w:rsid w:val="007E22F5"/>
    <w:rsid w:val="007F25F3"/>
    <w:rsid w:val="007F4901"/>
    <w:rsid w:val="00836B02"/>
    <w:rsid w:val="008467D4"/>
    <w:rsid w:val="00850FB0"/>
    <w:rsid w:val="0085238E"/>
    <w:rsid w:val="008540EA"/>
    <w:rsid w:val="00866A00"/>
    <w:rsid w:val="008702A6"/>
    <w:rsid w:val="008757CE"/>
    <w:rsid w:val="0088392C"/>
    <w:rsid w:val="00897C0E"/>
    <w:rsid w:val="00897E31"/>
    <w:rsid w:val="008A046F"/>
    <w:rsid w:val="008A405A"/>
    <w:rsid w:val="008A43D2"/>
    <w:rsid w:val="008A6A6A"/>
    <w:rsid w:val="008B650A"/>
    <w:rsid w:val="008B787C"/>
    <w:rsid w:val="008C3898"/>
    <w:rsid w:val="008C66CC"/>
    <w:rsid w:val="008F483C"/>
    <w:rsid w:val="009013D2"/>
    <w:rsid w:val="00912D61"/>
    <w:rsid w:val="009227D2"/>
    <w:rsid w:val="009322D7"/>
    <w:rsid w:val="00932BDE"/>
    <w:rsid w:val="00967725"/>
    <w:rsid w:val="009902F8"/>
    <w:rsid w:val="00993BB8"/>
    <w:rsid w:val="0099555F"/>
    <w:rsid w:val="009A22A1"/>
    <w:rsid w:val="009B3A1B"/>
    <w:rsid w:val="009B6332"/>
    <w:rsid w:val="009C02B0"/>
    <w:rsid w:val="009C0912"/>
    <w:rsid w:val="009D6694"/>
    <w:rsid w:val="009F0300"/>
    <w:rsid w:val="00A167A8"/>
    <w:rsid w:val="00A21F0A"/>
    <w:rsid w:val="00A26011"/>
    <w:rsid w:val="00A326BA"/>
    <w:rsid w:val="00A506C2"/>
    <w:rsid w:val="00A62886"/>
    <w:rsid w:val="00A74C38"/>
    <w:rsid w:val="00A77D24"/>
    <w:rsid w:val="00A8572F"/>
    <w:rsid w:val="00A93E07"/>
    <w:rsid w:val="00A979CF"/>
    <w:rsid w:val="00AA4DF8"/>
    <w:rsid w:val="00AB780C"/>
    <w:rsid w:val="00AD5ADE"/>
    <w:rsid w:val="00AE7138"/>
    <w:rsid w:val="00AF084B"/>
    <w:rsid w:val="00AF4CAF"/>
    <w:rsid w:val="00B117BA"/>
    <w:rsid w:val="00B20D87"/>
    <w:rsid w:val="00B35EE9"/>
    <w:rsid w:val="00B578AC"/>
    <w:rsid w:val="00B6433F"/>
    <w:rsid w:val="00B64CF5"/>
    <w:rsid w:val="00B76C9B"/>
    <w:rsid w:val="00B823A1"/>
    <w:rsid w:val="00B8428B"/>
    <w:rsid w:val="00BA41F5"/>
    <w:rsid w:val="00BB3C9C"/>
    <w:rsid w:val="00BF4822"/>
    <w:rsid w:val="00C01D22"/>
    <w:rsid w:val="00C104B6"/>
    <w:rsid w:val="00C10F02"/>
    <w:rsid w:val="00C114F4"/>
    <w:rsid w:val="00C11D03"/>
    <w:rsid w:val="00C30DE5"/>
    <w:rsid w:val="00C31967"/>
    <w:rsid w:val="00C371DE"/>
    <w:rsid w:val="00C409AE"/>
    <w:rsid w:val="00C42D50"/>
    <w:rsid w:val="00C54DF8"/>
    <w:rsid w:val="00C56F12"/>
    <w:rsid w:val="00C60B49"/>
    <w:rsid w:val="00C7440A"/>
    <w:rsid w:val="00C84A9B"/>
    <w:rsid w:val="00C865ED"/>
    <w:rsid w:val="00C8775A"/>
    <w:rsid w:val="00CA0877"/>
    <w:rsid w:val="00CA6B59"/>
    <w:rsid w:val="00CB3B6C"/>
    <w:rsid w:val="00CC1833"/>
    <w:rsid w:val="00CC189F"/>
    <w:rsid w:val="00CC3368"/>
    <w:rsid w:val="00CF19C4"/>
    <w:rsid w:val="00D13C04"/>
    <w:rsid w:val="00D20A78"/>
    <w:rsid w:val="00D278BA"/>
    <w:rsid w:val="00D40454"/>
    <w:rsid w:val="00D4059C"/>
    <w:rsid w:val="00D53D8F"/>
    <w:rsid w:val="00D61C76"/>
    <w:rsid w:val="00D77015"/>
    <w:rsid w:val="00D92B48"/>
    <w:rsid w:val="00DB1693"/>
    <w:rsid w:val="00DC6114"/>
    <w:rsid w:val="00DD5B07"/>
    <w:rsid w:val="00DE6821"/>
    <w:rsid w:val="00DF2022"/>
    <w:rsid w:val="00DF34BE"/>
    <w:rsid w:val="00DF5D59"/>
    <w:rsid w:val="00E239E4"/>
    <w:rsid w:val="00E24C1B"/>
    <w:rsid w:val="00E31D09"/>
    <w:rsid w:val="00E36A38"/>
    <w:rsid w:val="00E377BA"/>
    <w:rsid w:val="00E53399"/>
    <w:rsid w:val="00E71A8E"/>
    <w:rsid w:val="00E77995"/>
    <w:rsid w:val="00E87099"/>
    <w:rsid w:val="00EA28E6"/>
    <w:rsid w:val="00EF78C4"/>
    <w:rsid w:val="00F04CD7"/>
    <w:rsid w:val="00F23E15"/>
    <w:rsid w:val="00F244A2"/>
    <w:rsid w:val="00F35064"/>
    <w:rsid w:val="00F374D8"/>
    <w:rsid w:val="00F5684D"/>
    <w:rsid w:val="00F57AB6"/>
    <w:rsid w:val="00F6480F"/>
    <w:rsid w:val="00F70C2E"/>
    <w:rsid w:val="00F86713"/>
    <w:rsid w:val="00F932E0"/>
    <w:rsid w:val="00FB7701"/>
    <w:rsid w:val="00FC40F0"/>
    <w:rsid w:val="00FC6D3B"/>
    <w:rsid w:val="00FD0129"/>
    <w:rsid w:val="00FD5C2F"/>
    <w:rsid w:val="00FE17ED"/>
    <w:rsid w:val="00FE7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76"/>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326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76"/>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326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2472">
      <w:bodyDiv w:val="1"/>
      <w:marLeft w:val="0"/>
      <w:marRight w:val="0"/>
      <w:marTop w:val="0"/>
      <w:marBottom w:val="0"/>
      <w:divBdr>
        <w:top w:val="none" w:sz="0" w:space="0" w:color="auto"/>
        <w:left w:val="none" w:sz="0" w:space="0" w:color="auto"/>
        <w:bottom w:val="none" w:sz="0" w:space="0" w:color="auto"/>
        <w:right w:val="none" w:sz="0" w:space="0" w:color="auto"/>
      </w:divBdr>
    </w:div>
    <w:div w:id="417216485">
      <w:bodyDiv w:val="1"/>
      <w:marLeft w:val="0"/>
      <w:marRight w:val="0"/>
      <w:marTop w:val="0"/>
      <w:marBottom w:val="0"/>
      <w:divBdr>
        <w:top w:val="none" w:sz="0" w:space="0" w:color="auto"/>
        <w:left w:val="none" w:sz="0" w:space="0" w:color="auto"/>
        <w:bottom w:val="none" w:sz="0" w:space="0" w:color="auto"/>
        <w:right w:val="none" w:sz="0" w:space="0" w:color="auto"/>
      </w:divBdr>
      <w:divsChild>
        <w:div w:id="268583721">
          <w:marLeft w:val="0"/>
          <w:marRight w:val="0"/>
          <w:marTop w:val="0"/>
          <w:marBottom w:val="0"/>
          <w:divBdr>
            <w:top w:val="none" w:sz="0" w:space="0" w:color="auto"/>
            <w:left w:val="none" w:sz="0" w:space="0" w:color="auto"/>
            <w:bottom w:val="none" w:sz="0" w:space="0" w:color="auto"/>
            <w:right w:val="none" w:sz="0" w:space="0" w:color="auto"/>
          </w:divBdr>
          <w:divsChild>
            <w:div w:id="750665709">
              <w:marLeft w:val="0"/>
              <w:marRight w:val="0"/>
              <w:marTop w:val="0"/>
              <w:marBottom w:val="0"/>
              <w:divBdr>
                <w:top w:val="none" w:sz="0" w:space="0" w:color="auto"/>
                <w:left w:val="none" w:sz="0" w:space="0" w:color="auto"/>
                <w:bottom w:val="none" w:sz="0" w:space="0" w:color="auto"/>
                <w:right w:val="none" w:sz="0" w:space="0" w:color="auto"/>
              </w:divBdr>
            </w:div>
          </w:divsChild>
        </w:div>
        <w:div w:id="156112678">
          <w:marLeft w:val="0"/>
          <w:marRight w:val="0"/>
          <w:marTop w:val="0"/>
          <w:marBottom w:val="0"/>
          <w:divBdr>
            <w:top w:val="none" w:sz="0" w:space="0" w:color="auto"/>
            <w:left w:val="none" w:sz="0" w:space="0" w:color="auto"/>
            <w:bottom w:val="none" w:sz="0" w:space="0" w:color="auto"/>
            <w:right w:val="none" w:sz="0" w:space="0" w:color="auto"/>
          </w:divBdr>
        </w:div>
      </w:divsChild>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http://sharepoint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2027-04-21T01:40:16+00:00</_dlc_ExpireDate>
    <_dlc_DocId xmlns="5e039acd-daf0-4ba3-b421-e9b9ae1a3620">5YHNKJZSV77T-1853-1466</_dlc_DocId>
    <_dlc_DocIdUrl xmlns="5e039acd-daf0-4ba3-b421-e9b9ae1a3620">
      <Url>http://sharepoint/GASites/IntegratedTaxDesign/_layouts/DocIdRedir.aspx?ID=5YHNKJZSV77T-1853-1466</Url>
      <Description>5YHNKJZSV77T-1853-1466</Description>
    </_dlc_DocIdUrl>
  </documentManagement>
</p:properties>
</file>

<file path=customXml/item4.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40" ma:contentTypeDescription="" ma:contentTypeScope="" ma:versionID="648be8763a6aea8338c6a7265d703936">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70f7ab4a0ee816d215b7013c42be5da4"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nillable="true"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ma:readOnly="false">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adOnly="fals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2.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3.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4.xml><?xml version="1.0" encoding="utf-8"?>
<ds:datastoreItem xmlns:ds="http://schemas.openxmlformats.org/officeDocument/2006/customXml" ds:itemID="{9092B523-521B-4F01-8DAB-0EC284B7888D}">
  <ds:schemaRefs>
    <ds:schemaRef ds:uri="office.server.policy"/>
  </ds:schemaRefs>
</ds:datastoreItem>
</file>

<file path=customXml/itemProps5.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6.xml><?xml version="1.0" encoding="utf-8"?>
<ds:datastoreItem xmlns:ds="http://schemas.openxmlformats.org/officeDocument/2006/customXml" ds:itemID="{5FEC8A72-D1DE-4E56-884D-0B4CAFB98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3107DB1-04EF-4941-8354-DFE54BB4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5116</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Bounds, Alex</cp:lastModifiedBy>
  <cp:revision>2</cp:revision>
  <cp:lastPrinted>2017-04-21T01:19:00Z</cp:lastPrinted>
  <dcterms:created xsi:type="dcterms:W3CDTF">2018-07-09T23:16:00Z</dcterms:created>
  <dcterms:modified xsi:type="dcterms:W3CDTF">2018-07-09T23:16:00Z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