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03948" w:rsidRDefault="00193461" w:rsidP="0020300C">
      <w:pPr>
        <w:rPr>
          <w:sz w:val="28"/>
        </w:rPr>
      </w:pPr>
      <w:bookmarkStart w:id="0" w:name="_GoBack"/>
      <w:bookmarkEnd w:id="0"/>
      <w:r w:rsidRPr="00B03948">
        <w:rPr>
          <w:noProof/>
          <w:lang w:eastAsia="en-AU"/>
        </w:rPr>
        <w:drawing>
          <wp:inline distT="0" distB="0" distL="0" distR="0" wp14:anchorId="1F8BC120" wp14:editId="4F7CBE5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03948" w:rsidRDefault="0048364F" w:rsidP="0048364F">
      <w:pPr>
        <w:rPr>
          <w:sz w:val="19"/>
        </w:rPr>
      </w:pPr>
    </w:p>
    <w:p w:rsidR="0048364F" w:rsidRPr="00B03948" w:rsidRDefault="003254BD" w:rsidP="0048364F">
      <w:pPr>
        <w:pStyle w:val="ShortT"/>
      </w:pPr>
      <w:r w:rsidRPr="00B03948">
        <w:t>Therapeutic Goods (Permissible Ingredients) Amendment Determination</w:t>
      </w:r>
      <w:r w:rsidR="005A03F9" w:rsidRPr="00B03948">
        <w:t> </w:t>
      </w:r>
      <w:r w:rsidR="00D65F39" w:rsidRPr="00B03948">
        <w:t xml:space="preserve">No. 2 </w:t>
      </w:r>
      <w:r w:rsidR="00B03948" w:rsidRPr="00B03948">
        <w:t xml:space="preserve">of </w:t>
      </w:r>
      <w:r w:rsidRPr="00B03948">
        <w:t>201</w:t>
      </w:r>
      <w:r w:rsidR="006D5581" w:rsidRPr="00B03948">
        <w:t>8</w:t>
      </w:r>
    </w:p>
    <w:p w:rsidR="003254BD" w:rsidRPr="00B03948" w:rsidRDefault="003254BD" w:rsidP="001D577B">
      <w:pPr>
        <w:pStyle w:val="SignCoverPageStart"/>
        <w:rPr>
          <w:szCs w:val="22"/>
        </w:rPr>
      </w:pPr>
      <w:r w:rsidRPr="00B03948">
        <w:rPr>
          <w:szCs w:val="22"/>
        </w:rPr>
        <w:t xml:space="preserve">I, </w:t>
      </w:r>
      <w:r w:rsidR="007F0B63" w:rsidRPr="00B03948">
        <w:rPr>
          <w:szCs w:val="22"/>
        </w:rPr>
        <w:t xml:space="preserve">Dr </w:t>
      </w:r>
      <w:r w:rsidR="00EB073E" w:rsidRPr="00B03948">
        <w:rPr>
          <w:szCs w:val="22"/>
        </w:rPr>
        <w:t>Cheryl McRae</w:t>
      </w:r>
      <w:r w:rsidRPr="00B03948">
        <w:rPr>
          <w:szCs w:val="22"/>
        </w:rPr>
        <w:t>, as delegate of the Minister for Health, make th</w:t>
      </w:r>
      <w:r w:rsidR="006D5581" w:rsidRPr="00B03948">
        <w:rPr>
          <w:szCs w:val="22"/>
        </w:rPr>
        <w:t>is D</w:t>
      </w:r>
      <w:r w:rsidRPr="00B03948">
        <w:rPr>
          <w:szCs w:val="22"/>
        </w:rPr>
        <w:t>etermination</w:t>
      </w:r>
      <w:r w:rsidR="006D5581" w:rsidRPr="00B03948">
        <w:rPr>
          <w:szCs w:val="22"/>
        </w:rPr>
        <w:t xml:space="preserve"> under section 26BC of the </w:t>
      </w:r>
      <w:r w:rsidR="006D5581" w:rsidRPr="00B03948">
        <w:rPr>
          <w:i/>
          <w:szCs w:val="22"/>
        </w:rPr>
        <w:t>Therapeutic Goods Act 1989</w:t>
      </w:r>
      <w:r w:rsidRPr="00B03948">
        <w:rPr>
          <w:szCs w:val="22"/>
        </w:rPr>
        <w:t>.</w:t>
      </w:r>
    </w:p>
    <w:p w:rsidR="00791373" w:rsidRDefault="003254BD" w:rsidP="00791373">
      <w:pPr>
        <w:keepNext/>
        <w:spacing w:before="300" w:line="240" w:lineRule="atLeast"/>
        <w:ind w:right="397"/>
        <w:jc w:val="both"/>
        <w:rPr>
          <w:szCs w:val="22"/>
        </w:rPr>
      </w:pPr>
      <w:r w:rsidRPr="00B03948">
        <w:rPr>
          <w:szCs w:val="22"/>
        </w:rPr>
        <w:t>Dated</w:t>
      </w:r>
      <w:r w:rsidR="00772E3B" w:rsidRPr="00B03948">
        <w:rPr>
          <w:szCs w:val="22"/>
        </w:rPr>
        <w:t xml:space="preserve"> </w:t>
      </w:r>
      <w:bookmarkStart w:id="1" w:name="BKCheck15B_1"/>
      <w:bookmarkEnd w:id="1"/>
      <w:r w:rsidR="00791373">
        <w:rPr>
          <w:szCs w:val="22"/>
        </w:rPr>
        <w:t>27 June 2018</w:t>
      </w:r>
    </w:p>
    <w:p w:rsidR="00791373" w:rsidRDefault="00791373" w:rsidP="00791373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(Signed by)</w:t>
      </w:r>
    </w:p>
    <w:p w:rsidR="00791373" w:rsidRDefault="00791373" w:rsidP="00791373">
      <w:pPr>
        <w:keepNext/>
        <w:spacing w:before="300" w:line="240" w:lineRule="atLeast"/>
        <w:ind w:right="397"/>
        <w:jc w:val="both"/>
        <w:rPr>
          <w:szCs w:val="22"/>
        </w:rPr>
      </w:pPr>
    </w:p>
    <w:p w:rsidR="003254BD" w:rsidRPr="00B03948" w:rsidRDefault="00791373" w:rsidP="00791373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Dr</w:t>
      </w:r>
      <w:r w:rsidR="007F0B63" w:rsidRPr="00B03948">
        <w:rPr>
          <w:szCs w:val="22"/>
        </w:rPr>
        <w:t xml:space="preserve"> </w:t>
      </w:r>
      <w:r w:rsidR="00EB073E" w:rsidRPr="00B03948">
        <w:rPr>
          <w:szCs w:val="22"/>
        </w:rPr>
        <w:t>Cheryl McRae</w:t>
      </w:r>
    </w:p>
    <w:p w:rsidR="00C510BA" w:rsidRPr="00B03948" w:rsidRDefault="00C510BA" w:rsidP="001D577B">
      <w:pPr>
        <w:pStyle w:val="SignCoverPageEnd"/>
        <w:rPr>
          <w:szCs w:val="22"/>
        </w:rPr>
      </w:pPr>
      <w:r w:rsidRPr="00B03948">
        <w:rPr>
          <w:szCs w:val="22"/>
        </w:rPr>
        <w:t xml:space="preserve">Delegate of the Minister for Health </w:t>
      </w:r>
    </w:p>
    <w:p w:rsidR="003254BD" w:rsidRPr="00B03948" w:rsidRDefault="003254BD" w:rsidP="003254BD">
      <w:pPr>
        <w:rPr>
          <w:lang w:eastAsia="en-AU"/>
        </w:rPr>
      </w:pPr>
    </w:p>
    <w:p w:rsidR="001E4BC2" w:rsidRPr="00B03948" w:rsidRDefault="001E4BC2" w:rsidP="003254BD"/>
    <w:p w:rsidR="0048364F" w:rsidRPr="00B03948" w:rsidRDefault="0048364F" w:rsidP="0048364F">
      <w:pPr>
        <w:pStyle w:val="Header"/>
        <w:tabs>
          <w:tab w:val="clear" w:pos="4150"/>
          <w:tab w:val="clear" w:pos="8307"/>
        </w:tabs>
      </w:pPr>
      <w:r w:rsidRPr="00B03948">
        <w:rPr>
          <w:rStyle w:val="CharAmSchNo"/>
        </w:rPr>
        <w:t xml:space="preserve"> </w:t>
      </w:r>
      <w:r w:rsidRPr="00B03948">
        <w:rPr>
          <w:rStyle w:val="CharAmSchText"/>
        </w:rPr>
        <w:t xml:space="preserve"> </w:t>
      </w:r>
    </w:p>
    <w:p w:rsidR="0048364F" w:rsidRPr="00B03948" w:rsidRDefault="0048364F" w:rsidP="0048364F">
      <w:pPr>
        <w:pStyle w:val="Header"/>
        <w:tabs>
          <w:tab w:val="clear" w:pos="4150"/>
          <w:tab w:val="clear" w:pos="8307"/>
        </w:tabs>
      </w:pPr>
      <w:r w:rsidRPr="00B03948">
        <w:rPr>
          <w:rStyle w:val="CharAmPartNo"/>
        </w:rPr>
        <w:t xml:space="preserve"> </w:t>
      </w:r>
      <w:r w:rsidRPr="00B03948">
        <w:rPr>
          <w:rStyle w:val="CharAmPartText"/>
        </w:rPr>
        <w:t xml:space="preserve"> </w:t>
      </w:r>
    </w:p>
    <w:p w:rsidR="0048364F" w:rsidRPr="00B03948" w:rsidRDefault="0048364F" w:rsidP="0048364F">
      <w:pPr>
        <w:sectPr w:rsidR="0048364F" w:rsidRPr="00B03948" w:rsidSect="00F03EDC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03948" w:rsidRDefault="0048364F" w:rsidP="00E54E84">
      <w:pPr>
        <w:rPr>
          <w:sz w:val="36"/>
        </w:rPr>
      </w:pPr>
      <w:r w:rsidRPr="00B03948">
        <w:rPr>
          <w:sz w:val="36"/>
        </w:rPr>
        <w:lastRenderedPageBreak/>
        <w:t>Contents</w:t>
      </w:r>
    </w:p>
    <w:bookmarkStart w:id="2" w:name="BKCheck15B_2"/>
    <w:bookmarkEnd w:id="2"/>
    <w:p w:rsidR="001810DD" w:rsidRPr="00B03948" w:rsidRDefault="001810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3948">
        <w:fldChar w:fldCharType="begin"/>
      </w:r>
      <w:r w:rsidRPr="00B03948">
        <w:instrText xml:space="preserve"> TOC \o "1-9" </w:instrText>
      </w:r>
      <w:r w:rsidRPr="00B03948">
        <w:fldChar w:fldCharType="separate"/>
      </w:r>
      <w:r w:rsidRPr="00B03948">
        <w:rPr>
          <w:noProof/>
        </w:rPr>
        <w:t>1</w:t>
      </w:r>
      <w:r w:rsidRPr="00B03948">
        <w:rPr>
          <w:noProof/>
        </w:rPr>
        <w:tab/>
        <w:t>Name</w:t>
      </w:r>
      <w:r w:rsidRPr="00B03948">
        <w:rPr>
          <w:noProof/>
        </w:rPr>
        <w:tab/>
      </w:r>
      <w:r w:rsidRPr="00B03948">
        <w:rPr>
          <w:noProof/>
        </w:rPr>
        <w:fldChar w:fldCharType="begin"/>
      </w:r>
      <w:r w:rsidRPr="00B03948">
        <w:rPr>
          <w:noProof/>
        </w:rPr>
        <w:instrText xml:space="preserve"> PAGEREF _Toc462900941 \h </w:instrText>
      </w:r>
      <w:r w:rsidRPr="00B03948">
        <w:rPr>
          <w:noProof/>
        </w:rPr>
      </w:r>
      <w:r w:rsidRPr="00B03948">
        <w:rPr>
          <w:noProof/>
        </w:rPr>
        <w:fldChar w:fldCharType="separate"/>
      </w:r>
      <w:r w:rsidR="00B32A5F">
        <w:rPr>
          <w:noProof/>
        </w:rPr>
        <w:t>1</w:t>
      </w:r>
      <w:r w:rsidRPr="00B03948">
        <w:rPr>
          <w:noProof/>
        </w:rPr>
        <w:fldChar w:fldCharType="end"/>
      </w:r>
    </w:p>
    <w:p w:rsidR="001810DD" w:rsidRPr="00B03948" w:rsidRDefault="001810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3948">
        <w:rPr>
          <w:noProof/>
        </w:rPr>
        <w:t>2</w:t>
      </w:r>
      <w:r w:rsidRPr="00B03948">
        <w:rPr>
          <w:noProof/>
        </w:rPr>
        <w:tab/>
        <w:t>Commencement</w:t>
      </w:r>
      <w:r w:rsidRPr="00B03948">
        <w:rPr>
          <w:noProof/>
        </w:rPr>
        <w:tab/>
      </w:r>
      <w:r w:rsidRPr="00B03948">
        <w:rPr>
          <w:noProof/>
        </w:rPr>
        <w:fldChar w:fldCharType="begin"/>
      </w:r>
      <w:r w:rsidRPr="00B03948">
        <w:rPr>
          <w:noProof/>
        </w:rPr>
        <w:instrText xml:space="preserve"> PAGEREF _Toc462900942 \h </w:instrText>
      </w:r>
      <w:r w:rsidRPr="00B03948">
        <w:rPr>
          <w:noProof/>
        </w:rPr>
      </w:r>
      <w:r w:rsidRPr="00B03948">
        <w:rPr>
          <w:noProof/>
        </w:rPr>
        <w:fldChar w:fldCharType="separate"/>
      </w:r>
      <w:r w:rsidR="00B32A5F">
        <w:rPr>
          <w:noProof/>
        </w:rPr>
        <w:t>1</w:t>
      </w:r>
      <w:r w:rsidRPr="00B03948">
        <w:rPr>
          <w:noProof/>
        </w:rPr>
        <w:fldChar w:fldCharType="end"/>
      </w:r>
    </w:p>
    <w:p w:rsidR="001810DD" w:rsidRPr="00B03948" w:rsidRDefault="001810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3948">
        <w:rPr>
          <w:noProof/>
        </w:rPr>
        <w:t>3</w:t>
      </w:r>
      <w:r w:rsidRPr="00B03948">
        <w:rPr>
          <w:noProof/>
        </w:rPr>
        <w:tab/>
        <w:t>Authority</w:t>
      </w:r>
      <w:r w:rsidRPr="00B03948">
        <w:rPr>
          <w:noProof/>
        </w:rPr>
        <w:tab/>
      </w:r>
      <w:r w:rsidRPr="00B03948">
        <w:rPr>
          <w:noProof/>
        </w:rPr>
        <w:fldChar w:fldCharType="begin"/>
      </w:r>
      <w:r w:rsidRPr="00B03948">
        <w:rPr>
          <w:noProof/>
        </w:rPr>
        <w:instrText xml:space="preserve"> PAGEREF _Toc462900943 \h </w:instrText>
      </w:r>
      <w:r w:rsidRPr="00B03948">
        <w:rPr>
          <w:noProof/>
        </w:rPr>
      </w:r>
      <w:r w:rsidRPr="00B03948">
        <w:rPr>
          <w:noProof/>
        </w:rPr>
        <w:fldChar w:fldCharType="separate"/>
      </w:r>
      <w:r w:rsidR="00B32A5F">
        <w:rPr>
          <w:noProof/>
        </w:rPr>
        <w:t>1</w:t>
      </w:r>
      <w:r w:rsidRPr="00B03948">
        <w:rPr>
          <w:noProof/>
        </w:rPr>
        <w:fldChar w:fldCharType="end"/>
      </w:r>
    </w:p>
    <w:p w:rsidR="001810DD" w:rsidRPr="00B03948" w:rsidRDefault="001810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3948">
        <w:rPr>
          <w:noProof/>
        </w:rPr>
        <w:t>4</w:t>
      </w:r>
      <w:r w:rsidRPr="00B03948">
        <w:rPr>
          <w:noProof/>
        </w:rPr>
        <w:tab/>
        <w:t>Schedules</w:t>
      </w:r>
      <w:r w:rsidRPr="00B03948">
        <w:rPr>
          <w:noProof/>
        </w:rPr>
        <w:tab/>
      </w:r>
      <w:r w:rsidRPr="00B03948">
        <w:rPr>
          <w:noProof/>
        </w:rPr>
        <w:fldChar w:fldCharType="begin"/>
      </w:r>
      <w:r w:rsidRPr="00B03948">
        <w:rPr>
          <w:noProof/>
        </w:rPr>
        <w:instrText xml:space="preserve"> PAGEREF _Toc462900944 \h </w:instrText>
      </w:r>
      <w:r w:rsidRPr="00B03948">
        <w:rPr>
          <w:noProof/>
        </w:rPr>
      </w:r>
      <w:r w:rsidRPr="00B03948">
        <w:rPr>
          <w:noProof/>
        </w:rPr>
        <w:fldChar w:fldCharType="separate"/>
      </w:r>
      <w:r w:rsidR="00B32A5F">
        <w:rPr>
          <w:noProof/>
        </w:rPr>
        <w:t>1</w:t>
      </w:r>
      <w:r w:rsidRPr="00B03948">
        <w:rPr>
          <w:noProof/>
        </w:rPr>
        <w:fldChar w:fldCharType="end"/>
      </w:r>
    </w:p>
    <w:p w:rsidR="001810DD" w:rsidRPr="00B03948" w:rsidRDefault="001810D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03948">
        <w:rPr>
          <w:noProof/>
        </w:rPr>
        <w:t>Schedule</w:t>
      </w:r>
      <w:r w:rsidR="005A03F9" w:rsidRPr="00B03948">
        <w:rPr>
          <w:noProof/>
        </w:rPr>
        <w:t> </w:t>
      </w:r>
      <w:r w:rsidRPr="00B03948">
        <w:rPr>
          <w:noProof/>
        </w:rPr>
        <w:t>1—Amendments</w:t>
      </w:r>
      <w:r w:rsidRPr="00B03948">
        <w:rPr>
          <w:b w:val="0"/>
          <w:noProof/>
          <w:sz w:val="18"/>
        </w:rPr>
        <w:tab/>
      </w:r>
      <w:r w:rsidRPr="00B03948">
        <w:rPr>
          <w:b w:val="0"/>
          <w:noProof/>
          <w:sz w:val="18"/>
        </w:rPr>
        <w:fldChar w:fldCharType="begin"/>
      </w:r>
      <w:r w:rsidRPr="00B03948">
        <w:rPr>
          <w:b w:val="0"/>
          <w:noProof/>
          <w:sz w:val="18"/>
        </w:rPr>
        <w:instrText xml:space="preserve"> PAGEREF _Toc462900945 \h </w:instrText>
      </w:r>
      <w:r w:rsidRPr="00B03948">
        <w:rPr>
          <w:b w:val="0"/>
          <w:noProof/>
          <w:sz w:val="18"/>
        </w:rPr>
      </w:r>
      <w:r w:rsidRPr="00B03948">
        <w:rPr>
          <w:b w:val="0"/>
          <w:noProof/>
          <w:sz w:val="18"/>
        </w:rPr>
        <w:fldChar w:fldCharType="separate"/>
      </w:r>
      <w:r w:rsidR="00B32A5F">
        <w:rPr>
          <w:b w:val="0"/>
          <w:noProof/>
          <w:sz w:val="18"/>
        </w:rPr>
        <w:t>2</w:t>
      </w:r>
      <w:r w:rsidRPr="00B03948">
        <w:rPr>
          <w:b w:val="0"/>
          <w:noProof/>
          <w:sz w:val="18"/>
        </w:rPr>
        <w:fldChar w:fldCharType="end"/>
      </w:r>
    </w:p>
    <w:p w:rsidR="001810DD" w:rsidRPr="00B03948" w:rsidRDefault="001810D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03948">
        <w:rPr>
          <w:noProof/>
        </w:rPr>
        <w:t>Therapeutic Goods (Permissible Ingredients) Determination No.</w:t>
      </w:r>
      <w:r w:rsidR="006D5581" w:rsidRPr="00B03948">
        <w:rPr>
          <w:noProof/>
        </w:rPr>
        <w:t xml:space="preserve"> </w:t>
      </w:r>
      <w:r w:rsidR="00EB073E" w:rsidRPr="00B03948">
        <w:rPr>
          <w:noProof/>
        </w:rPr>
        <w:t>2</w:t>
      </w:r>
      <w:r w:rsidRPr="00B03948">
        <w:rPr>
          <w:noProof/>
        </w:rPr>
        <w:t xml:space="preserve"> of 201</w:t>
      </w:r>
      <w:r w:rsidR="006D5581" w:rsidRPr="00B03948">
        <w:rPr>
          <w:noProof/>
        </w:rPr>
        <w:t>8</w:t>
      </w:r>
      <w:r w:rsidRPr="00B03948">
        <w:rPr>
          <w:i w:val="0"/>
          <w:noProof/>
          <w:sz w:val="18"/>
        </w:rPr>
        <w:tab/>
      </w:r>
      <w:r w:rsidRPr="00B03948">
        <w:rPr>
          <w:i w:val="0"/>
          <w:noProof/>
          <w:sz w:val="18"/>
        </w:rPr>
        <w:fldChar w:fldCharType="begin"/>
      </w:r>
      <w:r w:rsidRPr="00B03948">
        <w:rPr>
          <w:i w:val="0"/>
          <w:noProof/>
          <w:sz w:val="18"/>
        </w:rPr>
        <w:instrText xml:space="preserve"> PAGEREF _Toc462900946 \h </w:instrText>
      </w:r>
      <w:r w:rsidRPr="00B03948">
        <w:rPr>
          <w:i w:val="0"/>
          <w:noProof/>
          <w:sz w:val="18"/>
        </w:rPr>
      </w:r>
      <w:r w:rsidRPr="00B03948">
        <w:rPr>
          <w:i w:val="0"/>
          <w:noProof/>
          <w:sz w:val="18"/>
        </w:rPr>
        <w:fldChar w:fldCharType="separate"/>
      </w:r>
      <w:r w:rsidR="00B32A5F">
        <w:rPr>
          <w:i w:val="0"/>
          <w:noProof/>
          <w:sz w:val="18"/>
        </w:rPr>
        <w:t>2</w:t>
      </w:r>
      <w:r w:rsidRPr="00B03948">
        <w:rPr>
          <w:i w:val="0"/>
          <w:noProof/>
          <w:sz w:val="18"/>
        </w:rPr>
        <w:fldChar w:fldCharType="end"/>
      </w:r>
    </w:p>
    <w:p w:rsidR="0048364F" w:rsidRPr="00B03948" w:rsidRDefault="001810DD" w:rsidP="0048364F">
      <w:r w:rsidRPr="00B03948">
        <w:fldChar w:fldCharType="end"/>
      </w:r>
    </w:p>
    <w:p w:rsidR="0048364F" w:rsidRPr="00B03948" w:rsidRDefault="0048364F" w:rsidP="0048364F">
      <w:pPr>
        <w:sectPr w:rsidR="0048364F" w:rsidRPr="00B03948" w:rsidSect="00F03ED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03948" w:rsidRDefault="0048364F" w:rsidP="0048364F">
      <w:pPr>
        <w:pStyle w:val="ActHead5"/>
      </w:pPr>
      <w:bookmarkStart w:id="3" w:name="_Toc462900941"/>
      <w:proofErr w:type="gramStart"/>
      <w:r w:rsidRPr="00B03948">
        <w:rPr>
          <w:rStyle w:val="CharSectno"/>
        </w:rPr>
        <w:lastRenderedPageBreak/>
        <w:t>1</w:t>
      </w:r>
      <w:r w:rsidRPr="00B03948">
        <w:t xml:space="preserve">  </w:t>
      </w:r>
      <w:r w:rsidR="004F676E" w:rsidRPr="00B03948">
        <w:t>Name</w:t>
      </w:r>
      <w:bookmarkEnd w:id="3"/>
      <w:proofErr w:type="gramEnd"/>
    </w:p>
    <w:p w:rsidR="0048364F" w:rsidRPr="00B03948" w:rsidRDefault="0048364F" w:rsidP="0048364F">
      <w:pPr>
        <w:pStyle w:val="subsection"/>
      </w:pPr>
      <w:r w:rsidRPr="00B03948">
        <w:tab/>
      </w:r>
      <w:r w:rsidRPr="00B03948">
        <w:tab/>
        <w:t>This</w:t>
      </w:r>
      <w:r w:rsidR="001B0395" w:rsidRPr="00B03948">
        <w:t xml:space="preserve"> instrument</w:t>
      </w:r>
      <w:r w:rsidRPr="00B03948">
        <w:t xml:space="preserve"> </w:t>
      </w:r>
      <w:r w:rsidR="00613EAD" w:rsidRPr="00B03948">
        <w:t>is</w:t>
      </w:r>
      <w:r w:rsidRPr="00B03948">
        <w:t xml:space="preserve"> the</w:t>
      </w:r>
      <w:r w:rsidR="00220697" w:rsidRPr="00220697">
        <w:t xml:space="preserve"> </w:t>
      </w:r>
      <w:r w:rsidR="00220697" w:rsidRPr="00220697">
        <w:rPr>
          <w:i/>
        </w:rPr>
        <w:t>Therapeutic Goods (Permissible Ingredients) Amendment Determination No. 2 of 2018</w:t>
      </w:r>
      <w:r w:rsidR="00220697">
        <w:rPr>
          <w:i/>
        </w:rPr>
        <w:t>.</w:t>
      </w:r>
    </w:p>
    <w:p w:rsidR="0048364F" w:rsidRPr="00B03948" w:rsidRDefault="0048364F" w:rsidP="0048364F">
      <w:pPr>
        <w:pStyle w:val="ActHead5"/>
      </w:pPr>
      <w:bookmarkStart w:id="4" w:name="_Toc462900942"/>
      <w:proofErr w:type="gramStart"/>
      <w:r w:rsidRPr="00B03948">
        <w:rPr>
          <w:rStyle w:val="CharSectno"/>
        </w:rPr>
        <w:t>2</w:t>
      </w:r>
      <w:r w:rsidRPr="00B03948">
        <w:t xml:space="preserve">  Commencement</w:t>
      </w:r>
      <w:bookmarkEnd w:id="4"/>
      <w:proofErr w:type="gramEnd"/>
    </w:p>
    <w:p w:rsidR="003254BD" w:rsidRPr="00B03948" w:rsidRDefault="006D5581" w:rsidP="006D5581">
      <w:pPr>
        <w:pStyle w:val="subsection"/>
      </w:pPr>
      <w:r w:rsidRPr="00B03948">
        <w:tab/>
      </w:r>
      <w:r w:rsidR="003254BD" w:rsidRPr="00B03948">
        <w:tab/>
      </w:r>
      <w:r w:rsidRPr="00B03948">
        <w:t>This Determination commences on the day after registration of the instrument on the Federal Register of Legislation.</w:t>
      </w:r>
    </w:p>
    <w:p w:rsidR="00BF6650" w:rsidRPr="00B03948" w:rsidRDefault="00BF6650" w:rsidP="00BF6650">
      <w:pPr>
        <w:pStyle w:val="ActHead5"/>
      </w:pPr>
      <w:bookmarkStart w:id="5" w:name="_Toc462900943"/>
      <w:proofErr w:type="gramStart"/>
      <w:r w:rsidRPr="00B03948">
        <w:rPr>
          <w:rStyle w:val="CharSectno"/>
        </w:rPr>
        <w:t>3</w:t>
      </w:r>
      <w:r w:rsidRPr="00B03948">
        <w:t xml:space="preserve">  Authority</w:t>
      </w:r>
      <w:bookmarkEnd w:id="5"/>
      <w:proofErr w:type="gramEnd"/>
    </w:p>
    <w:p w:rsidR="00BF6650" w:rsidRPr="00B03948" w:rsidRDefault="00BF6650" w:rsidP="00BF6650">
      <w:pPr>
        <w:pStyle w:val="subsection"/>
      </w:pPr>
      <w:r w:rsidRPr="00B03948">
        <w:tab/>
      </w:r>
      <w:r w:rsidRPr="00B03948">
        <w:tab/>
        <w:t xml:space="preserve">This </w:t>
      </w:r>
      <w:r w:rsidR="003254BD" w:rsidRPr="00B03948">
        <w:t>instrument</w:t>
      </w:r>
      <w:r w:rsidRPr="00B03948">
        <w:t xml:space="preserve"> is made under </w:t>
      </w:r>
      <w:r w:rsidR="003254BD" w:rsidRPr="00B03948">
        <w:t>section</w:t>
      </w:r>
      <w:r w:rsidR="005A03F9" w:rsidRPr="00B03948">
        <w:t> </w:t>
      </w:r>
      <w:r w:rsidR="003254BD" w:rsidRPr="00B03948">
        <w:t>26B</w:t>
      </w:r>
      <w:r w:rsidR="00615A55" w:rsidRPr="00B03948">
        <w:t>C</w:t>
      </w:r>
      <w:r w:rsidR="003254BD" w:rsidRPr="00B03948">
        <w:t xml:space="preserve"> of the</w:t>
      </w:r>
      <w:r w:rsidR="003254BD" w:rsidRPr="00B03948">
        <w:rPr>
          <w:i/>
        </w:rPr>
        <w:t xml:space="preserve"> Therapeutic Goods Act 1989</w:t>
      </w:r>
      <w:r w:rsidR="00546FA3" w:rsidRPr="00B03948">
        <w:rPr>
          <w:i/>
        </w:rPr>
        <w:t>.</w:t>
      </w:r>
    </w:p>
    <w:p w:rsidR="00557C7A" w:rsidRPr="00B03948" w:rsidRDefault="00BF6650" w:rsidP="00557C7A">
      <w:pPr>
        <w:pStyle w:val="ActHead5"/>
      </w:pPr>
      <w:bookmarkStart w:id="6" w:name="_Toc462900944"/>
      <w:proofErr w:type="gramStart"/>
      <w:r w:rsidRPr="00B03948">
        <w:rPr>
          <w:rStyle w:val="CharSectno"/>
        </w:rPr>
        <w:t>4</w:t>
      </w:r>
      <w:r w:rsidR="00557C7A" w:rsidRPr="00B03948">
        <w:t xml:space="preserve">  </w:t>
      </w:r>
      <w:r w:rsidR="00083F48" w:rsidRPr="00B03948">
        <w:t>Schedules</w:t>
      </w:r>
      <w:bookmarkEnd w:id="6"/>
      <w:proofErr w:type="gramEnd"/>
    </w:p>
    <w:p w:rsidR="00557C7A" w:rsidRPr="00B03948" w:rsidRDefault="00557C7A" w:rsidP="00557C7A">
      <w:pPr>
        <w:pStyle w:val="subsection"/>
      </w:pPr>
      <w:r w:rsidRPr="00B03948">
        <w:tab/>
      </w:r>
      <w:r w:rsidRPr="00B03948">
        <w:tab/>
      </w:r>
      <w:r w:rsidR="00083F48" w:rsidRPr="00B03948">
        <w:t xml:space="preserve">Each </w:t>
      </w:r>
      <w:r w:rsidR="00160BD7" w:rsidRPr="00B03948">
        <w:t>instrument</w:t>
      </w:r>
      <w:r w:rsidR="00083F48" w:rsidRPr="00B03948">
        <w:t xml:space="preserve"> that is specified in a Schedule to this</w:t>
      </w:r>
      <w:r w:rsidR="00160BD7" w:rsidRPr="00B03948">
        <w:t xml:space="preserve"> instrument</w:t>
      </w:r>
      <w:r w:rsidR="00083F48" w:rsidRPr="00B03948">
        <w:t xml:space="preserve"> is amended or repealed as set out in the applicable items in the Schedule concerned, and any other item in a Schedule to this </w:t>
      </w:r>
      <w:r w:rsidR="00160BD7" w:rsidRPr="00B03948">
        <w:t>instrument</w:t>
      </w:r>
      <w:r w:rsidR="00083F48" w:rsidRPr="00B03948">
        <w:t xml:space="preserve"> has effect according to its terms.</w:t>
      </w:r>
    </w:p>
    <w:p w:rsidR="0048364F" w:rsidRPr="00B03948" w:rsidRDefault="0048364F" w:rsidP="009C5989">
      <w:pPr>
        <w:pStyle w:val="ActHead6"/>
        <w:pageBreakBefore/>
      </w:pPr>
      <w:bookmarkStart w:id="7" w:name="_Toc462900945"/>
      <w:bookmarkStart w:id="8" w:name="opcAmSched"/>
      <w:bookmarkStart w:id="9" w:name="opcCurrentFind"/>
      <w:r w:rsidRPr="00B03948">
        <w:rPr>
          <w:rStyle w:val="CharAmSchNo"/>
        </w:rPr>
        <w:lastRenderedPageBreak/>
        <w:t>Schedule</w:t>
      </w:r>
      <w:r w:rsidR="005A03F9" w:rsidRPr="00B03948">
        <w:rPr>
          <w:rStyle w:val="CharAmSchNo"/>
        </w:rPr>
        <w:t> </w:t>
      </w:r>
      <w:r w:rsidRPr="00B03948">
        <w:rPr>
          <w:rStyle w:val="CharAmSchNo"/>
        </w:rPr>
        <w:t>1</w:t>
      </w:r>
      <w:r w:rsidRPr="00B03948">
        <w:t>—</w:t>
      </w:r>
      <w:r w:rsidR="00460499" w:rsidRPr="00B03948">
        <w:rPr>
          <w:rStyle w:val="CharAmSchText"/>
        </w:rPr>
        <w:t>Amendments</w:t>
      </w:r>
      <w:bookmarkEnd w:id="7"/>
    </w:p>
    <w:bookmarkEnd w:id="8"/>
    <w:bookmarkEnd w:id="9"/>
    <w:p w:rsidR="0004044E" w:rsidRPr="00B03948" w:rsidRDefault="0004044E" w:rsidP="0004044E">
      <w:pPr>
        <w:pStyle w:val="Header"/>
      </w:pPr>
      <w:r w:rsidRPr="00B03948">
        <w:rPr>
          <w:rStyle w:val="CharAmPartNo"/>
        </w:rPr>
        <w:t xml:space="preserve"> </w:t>
      </w:r>
      <w:r w:rsidRPr="00B03948">
        <w:rPr>
          <w:rStyle w:val="CharAmPartText"/>
        </w:rPr>
        <w:t xml:space="preserve"> </w:t>
      </w:r>
    </w:p>
    <w:p w:rsidR="008E507F" w:rsidRPr="00B03948" w:rsidRDefault="008E507F" w:rsidP="008E507F">
      <w:pPr>
        <w:pStyle w:val="ActHead9"/>
      </w:pPr>
      <w:bookmarkStart w:id="10" w:name="_Toc462900946"/>
      <w:r w:rsidRPr="00B03948">
        <w:t>Therapeutic Goods (Permissible Ingredients) Determination No.</w:t>
      </w:r>
      <w:r w:rsidR="005A03F9" w:rsidRPr="00B03948">
        <w:t> </w:t>
      </w:r>
      <w:r w:rsidR="00EB073E" w:rsidRPr="00B03948">
        <w:t>2</w:t>
      </w:r>
      <w:r w:rsidRPr="00B03948">
        <w:t xml:space="preserve"> of 201</w:t>
      </w:r>
      <w:r w:rsidR="00755A9E" w:rsidRPr="00B03948">
        <w:t>8</w:t>
      </w:r>
      <w:bookmarkEnd w:id="10"/>
    </w:p>
    <w:p w:rsidR="0084172C" w:rsidRPr="00B03948" w:rsidRDefault="00BB6E79" w:rsidP="008E507F">
      <w:pPr>
        <w:pStyle w:val="ItemHead"/>
      </w:pPr>
      <w:proofErr w:type="gramStart"/>
      <w:r w:rsidRPr="00B03948">
        <w:t xml:space="preserve">1  </w:t>
      </w:r>
      <w:r w:rsidR="00796390" w:rsidRPr="00B03948">
        <w:t>Table</w:t>
      </w:r>
      <w:proofErr w:type="gramEnd"/>
      <w:r w:rsidR="00796390" w:rsidRPr="00B03948">
        <w:t xml:space="preserve"> 1 in Part</w:t>
      </w:r>
      <w:r w:rsidR="005A03F9" w:rsidRPr="00B03948">
        <w:t> </w:t>
      </w:r>
      <w:r w:rsidR="00796390" w:rsidRPr="00B03948">
        <w:t>2 of Schedule</w:t>
      </w:r>
      <w:r w:rsidR="005A03F9" w:rsidRPr="00B03948">
        <w:t> </w:t>
      </w:r>
      <w:r w:rsidR="00796390" w:rsidRPr="00B03948">
        <w:t>1 (</w:t>
      </w:r>
      <w:r w:rsidR="0013524E" w:rsidRPr="00B03948">
        <w:t xml:space="preserve">cell at </w:t>
      </w:r>
      <w:r w:rsidR="00796390" w:rsidRPr="00B03948">
        <w:t>table item</w:t>
      </w:r>
      <w:r w:rsidR="005A03F9" w:rsidRPr="00B03948">
        <w:t> </w:t>
      </w:r>
      <w:r w:rsidR="0013524E" w:rsidRPr="00B03948">
        <w:t>332, column 4</w:t>
      </w:r>
      <w:r w:rsidR="009E2442" w:rsidRPr="00B03948">
        <w:t>, “</w:t>
      </w:r>
      <w:proofErr w:type="spellStart"/>
      <w:r w:rsidR="0013524E" w:rsidRPr="00B03948">
        <w:t>Achillea</w:t>
      </w:r>
      <w:proofErr w:type="spellEnd"/>
      <w:r w:rsidR="0013524E" w:rsidRPr="00B03948">
        <w:t xml:space="preserve"> </w:t>
      </w:r>
      <w:proofErr w:type="spellStart"/>
      <w:r w:rsidR="0013524E" w:rsidRPr="00B03948">
        <w:t>millefolium</w:t>
      </w:r>
      <w:proofErr w:type="spellEnd"/>
      <w:r w:rsidR="009E2442" w:rsidRPr="00B03948">
        <w:t>”</w:t>
      </w:r>
      <w:r w:rsidR="00796390" w:rsidRPr="00B03948">
        <w:t>)</w:t>
      </w:r>
    </w:p>
    <w:p w:rsidR="006D5581" w:rsidRPr="00B03948" w:rsidRDefault="006D5581" w:rsidP="006D5581">
      <w:pPr>
        <w:pStyle w:val="Item"/>
      </w:pPr>
      <w:r w:rsidRPr="00B03948">
        <w:t xml:space="preserve">Repeal the </w:t>
      </w:r>
      <w:r w:rsidR="0013524E" w:rsidRPr="00B03948">
        <w:t>cell, substitute:</w:t>
      </w:r>
    </w:p>
    <w:p w:rsidR="0013524E" w:rsidRPr="00B03948" w:rsidRDefault="0013524E" w:rsidP="0013524E">
      <w:r w:rsidRPr="00B03948">
        <w:tab/>
      </w:r>
    </w:p>
    <w:p w:rsidR="00F47ACA" w:rsidRDefault="0013524E" w:rsidP="00F47ACA">
      <w:pPr>
        <w:ind w:firstLine="709"/>
        <w:rPr>
          <w:szCs w:val="22"/>
          <w:lang w:eastAsia="en-AU"/>
        </w:rPr>
      </w:pPr>
      <w:proofErr w:type="spellStart"/>
      <w:r w:rsidRPr="00B03948">
        <w:rPr>
          <w:szCs w:val="22"/>
          <w:lang w:eastAsia="en-AU"/>
        </w:rPr>
        <w:t>Arbutin</w:t>
      </w:r>
      <w:proofErr w:type="spellEnd"/>
      <w:r w:rsidRPr="00B03948">
        <w:rPr>
          <w:szCs w:val="22"/>
          <w:lang w:eastAsia="en-AU"/>
        </w:rPr>
        <w:t xml:space="preserve"> is a mandatory component of </w:t>
      </w:r>
      <w:proofErr w:type="spellStart"/>
      <w:r w:rsidRPr="00B03948">
        <w:rPr>
          <w:szCs w:val="22"/>
          <w:lang w:eastAsia="en-AU"/>
        </w:rPr>
        <w:t>Achillea</w:t>
      </w:r>
      <w:proofErr w:type="spellEnd"/>
      <w:r w:rsidRPr="00B03948">
        <w:rPr>
          <w:szCs w:val="22"/>
          <w:lang w:eastAsia="en-AU"/>
        </w:rPr>
        <w:t xml:space="preserve"> </w:t>
      </w:r>
      <w:proofErr w:type="spellStart"/>
      <w:r w:rsidRPr="00B03948">
        <w:rPr>
          <w:szCs w:val="22"/>
          <w:lang w:eastAsia="en-AU"/>
        </w:rPr>
        <w:t>millefolium</w:t>
      </w:r>
      <w:proofErr w:type="spellEnd"/>
      <w:r w:rsidRPr="00B03948">
        <w:rPr>
          <w:szCs w:val="22"/>
          <w:lang w:eastAsia="en-AU"/>
        </w:rPr>
        <w:t>.</w:t>
      </w:r>
    </w:p>
    <w:p w:rsidR="00F47ACA" w:rsidRDefault="00F47ACA" w:rsidP="00F47ACA">
      <w:pPr>
        <w:ind w:left="709"/>
        <w:rPr>
          <w:szCs w:val="22"/>
          <w:lang w:eastAsia="en-AU"/>
        </w:rPr>
      </w:pPr>
    </w:p>
    <w:p w:rsidR="00F47ACA" w:rsidRDefault="00F47ACA" w:rsidP="00F47ACA">
      <w:pPr>
        <w:ind w:left="720"/>
      </w:pPr>
      <w:r>
        <w:t xml:space="preserve">The </w:t>
      </w:r>
      <w:r w:rsidRPr="002864D5">
        <w:rPr>
          <w:szCs w:val="22"/>
          <w:lang w:eastAsia="en-AU"/>
        </w:rPr>
        <w:t>concentration</w:t>
      </w:r>
      <w:r>
        <w:t xml:space="preserve"> of </w:t>
      </w:r>
      <w:proofErr w:type="spellStart"/>
      <w:r>
        <w:t>arbutin</w:t>
      </w:r>
      <w:proofErr w:type="spellEnd"/>
      <w:r>
        <w:t xml:space="preserve"> in the medicine must be no more than 25 mg/Kg or 25mg /L or 0.0025 % unless used on the hair.</w:t>
      </w:r>
    </w:p>
    <w:p w:rsidR="00F47ACA" w:rsidRDefault="00F47ACA" w:rsidP="00F47ACA">
      <w:pPr>
        <w:ind w:left="720"/>
      </w:pPr>
    </w:p>
    <w:p w:rsidR="00F47ACA" w:rsidRDefault="00F47ACA" w:rsidP="00F47ACA">
      <w:pPr>
        <w:ind w:left="720"/>
      </w:pPr>
      <w:r>
        <w:t xml:space="preserve">When for use on hair, the concentration of </w:t>
      </w:r>
      <w:proofErr w:type="spellStart"/>
      <w:r w:rsidRPr="002864D5">
        <w:rPr>
          <w:szCs w:val="22"/>
          <w:lang w:eastAsia="en-AU"/>
        </w:rPr>
        <w:t>arbutin</w:t>
      </w:r>
      <w:proofErr w:type="spellEnd"/>
      <w:r>
        <w:t xml:space="preserve"> in the medicine must be no more than 0.74 %.</w:t>
      </w:r>
    </w:p>
    <w:p w:rsidR="001D577B" w:rsidRPr="00B03948" w:rsidRDefault="001D577B" w:rsidP="002B37D2">
      <w:pPr>
        <w:pStyle w:val="Tabletext"/>
      </w:pPr>
    </w:p>
    <w:p w:rsidR="0013524E" w:rsidRPr="00B03948" w:rsidRDefault="0013524E" w:rsidP="0013524E">
      <w:pPr>
        <w:pStyle w:val="ItemHead"/>
      </w:pPr>
      <w:proofErr w:type="gramStart"/>
      <w:r w:rsidRPr="00B03948">
        <w:t>2  Table</w:t>
      </w:r>
      <w:proofErr w:type="gramEnd"/>
      <w:r w:rsidRPr="00B03948">
        <w:t xml:space="preserve"> 1 in Part 2 of Schedule 1 (cell at table item 645, column 4, “</w:t>
      </w:r>
      <w:proofErr w:type="spellStart"/>
      <w:r w:rsidRPr="00B03948">
        <w:t>Arctostaphylos</w:t>
      </w:r>
      <w:proofErr w:type="spellEnd"/>
      <w:r w:rsidRPr="00B03948">
        <w:t xml:space="preserve"> </w:t>
      </w:r>
      <w:proofErr w:type="spellStart"/>
      <w:r w:rsidRPr="00B03948">
        <w:t>uva-ursi</w:t>
      </w:r>
      <w:proofErr w:type="spellEnd"/>
      <w:r w:rsidRPr="00B03948">
        <w:t>”)</w:t>
      </w:r>
    </w:p>
    <w:p w:rsidR="0013524E" w:rsidRPr="00B03948" w:rsidRDefault="0013524E" w:rsidP="002B37D2">
      <w:pPr>
        <w:pStyle w:val="Tabletext"/>
      </w:pPr>
    </w:p>
    <w:p w:rsidR="0013524E" w:rsidRPr="00B03948" w:rsidRDefault="0013524E" w:rsidP="0013524E">
      <w:pPr>
        <w:pStyle w:val="Item"/>
        <w:rPr>
          <w:szCs w:val="24"/>
        </w:rPr>
      </w:pPr>
      <w:r w:rsidRPr="00B03948">
        <w:rPr>
          <w:szCs w:val="24"/>
        </w:rPr>
        <w:t>Repeal the cell, substitute:</w:t>
      </w:r>
    </w:p>
    <w:p w:rsidR="0013524E" w:rsidRPr="00B03948" w:rsidRDefault="0013524E" w:rsidP="008E168F">
      <w:pPr>
        <w:ind w:left="709"/>
        <w:rPr>
          <w:szCs w:val="24"/>
          <w:lang w:eastAsia="en-AU"/>
        </w:rPr>
      </w:pPr>
    </w:p>
    <w:p w:rsidR="0013524E" w:rsidRPr="00B03948" w:rsidRDefault="0013524E" w:rsidP="008E168F">
      <w:pPr>
        <w:ind w:left="709"/>
        <w:rPr>
          <w:szCs w:val="24"/>
          <w:lang w:eastAsia="en-AU"/>
        </w:rPr>
      </w:pPr>
      <w:proofErr w:type="spellStart"/>
      <w:r w:rsidRPr="00B03948">
        <w:rPr>
          <w:szCs w:val="24"/>
          <w:lang w:eastAsia="en-AU"/>
        </w:rPr>
        <w:t>Arbutin</w:t>
      </w:r>
      <w:proofErr w:type="spellEnd"/>
      <w:r w:rsidRPr="00B03948">
        <w:rPr>
          <w:szCs w:val="24"/>
          <w:lang w:eastAsia="en-AU"/>
        </w:rPr>
        <w:t xml:space="preserve"> is a mandatory component of </w:t>
      </w:r>
      <w:proofErr w:type="spellStart"/>
      <w:r w:rsidRPr="00B03948">
        <w:rPr>
          <w:szCs w:val="24"/>
          <w:lang w:eastAsia="en-AU"/>
        </w:rPr>
        <w:t>Arctostaphylos</w:t>
      </w:r>
      <w:proofErr w:type="spellEnd"/>
      <w:r w:rsidRPr="00B03948">
        <w:rPr>
          <w:szCs w:val="24"/>
          <w:lang w:eastAsia="en-AU"/>
        </w:rPr>
        <w:t xml:space="preserve"> </w:t>
      </w:r>
      <w:proofErr w:type="spellStart"/>
      <w:r w:rsidRPr="00B03948">
        <w:rPr>
          <w:szCs w:val="24"/>
          <w:lang w:eastAsia="en-AU"/>
        </w:rPr>
        <w:t>uva-ursi</w:t>
      </w:r>
      <w:proofErr w:type="spellEnd"/>
      <w:r w:rsidRPr="00B03948">
        <w:rPr>
          <w:szCs w:val="24"/>
          <w:lang w:eastAsia="en-AU"/>
        </w:rPr>
        <w:t>.</w:t>
      </w:r>
      <w:r w:rsidRPr="00B03948">
        <w:rPr>
          <w:szCs w:val="24"/>
          <w:lang w:eastAsia="en-AU"/>
        </w:rPr>
        <w:br/>
      </w:r>
    </w:p>
    <w:p w:rsidR="00F47ACA" w:rsidRDefault="00F47ACA" w:rsidP="00F47ACA">
      <w:pPr>
        <w:ind w:left="720"/>
      </w:pPr>
      <w:r>
        <w:t xml:space="preserve">The </w:t>
      </w:r>
      <w:r w:rsidRPr="002864D5">
        <w:rPr>
          <w:szCs w:val="22"/>
          <w:lang w:eastAsia="en-AU"/>
        </w:rPr>
        <w:t>concentration</w:t>
      </w:r>
      <w:r>
        <w:t xml:space="preserve"> of </w:t>
      </w:r>
      <w:proofErr w:type="spellStart"/>
      <w:r>
        <w:t>arbutin</w:t>
      </w:r>
      <w:proofErr w:type="spellEnd"/>
      <w:r>
        <w:t xml:space="preserve"> in the medicine must be no more than 25 mg/Kg or 25mg /L or 0.0025 % unless used on the hair.</w:t>
      </w:r>
    </w:p>
    <w:p w:rsidR="00F47ACA" w:rsidRDefault="00F47ACA" w:rsidP="00F47ACA">
      <w:pPr>
        <w:ind w:left="720"/>
      </w:pPr>
    </w:p>
    <w:p w:rsidR="00F47ACA" w:rsidRDefault="00F47ACA" w:rsidP="00F47ACA">
      <w:pPr>
        <w:ind w:left="720"/>
      </w:pPr>
      <w:r>
        <w:t xml:space="preserve">When for use on hair, the concentration of </w:t>
      </w:r>
      <w:proofErr w:type="spellStart"/>
      <w:r w:rsidRPr="002864D5">
        <w:rPr>
          <w:szCs w:val="22"/>
          <w:lang w:eastAsia="en-AU"/>
        </w:rPr>
        <w:t>arbutin</w:t>
      </w:r>
      <w:proofErr w:type="spellEnd"/>
      <w:r>
        <w:t xml:space="preserve"> in the medicine must be no more than 0.74 %.</w:t>
      </w:r>
    </w:p>
    <w:p w:rsidR="00A40F55" w:rsidRPr="00B03948" w:rsidRDefault="00A40F55" w:rsidP="00A40F55">
      <w:pPr>
        <w:pStyle w:val="Tabletext"/>
        <w:rPr>
          <w:sz w:val="24"/>
          <w:szCs w:val="24"/>
        </w:rPr>
      </w:pPr>
    </w:p>
    <w:p w:rsidR="00A40F55" w:rsidRPr="00B03948" w:rsidRDefault="00A40F55" w:rsidP="00A40F55">
      <w:pPr>
        <w:pStyle w:val="ItemHead"/>
      </w:pPr>
      <w:proofErr w:type="gramStart"/>
      <w:r w:rsidRPr="00B03948">
        <w:t>3  Table</w:t>
      </w:r>
      <w:proofErr w:type="gramEnd"/>
      <w:r w:rsidRPr="00B03948">
        <w:t xml:space="preserve"> 1 in Part 2 of Schedule 1 (cell at table item 1308, column 4, “</w:t>
      </w:r>
      <w:proofErr w:type="spellStart"/>
      <w:r w:rsidRPr="00B03948">
        <w:t>Chimaphila</w:t>
      </w:r>
      <w:proofErr w:type="spellEnd"/>
      <w:r w:rsidRPr="00B03948">
        <w:t xml:space="preserve"> </w:t>
      </w:r>
      <w:proofErr w:type="spellStart"/>
      <w:r w:rsidRPr="00B03948">
        <w:t>umbellata</w:t>
      </w:r>
      <w:proofErr w:type="spellEnd"/>
      <w:r w:rsidRPr="00B03948">
        <w:t>”)</w:t>
      </w:r>
    </w:p>
    <w:p w:rsidR="00A40F55" w:rsidRPr="00B03948" w:rsidRDefault="00A40F55" w:rsidP="00A40F55">
      <w:pPr>
        <w:pStyle w:val="Tabletext"/>
      </w:pPr>
    </w:p>
    <w:p w:rsidR="00A40F55" w:rsidRPr="00B03948" w:rsidRDefault="00A40F55" w:rsidP="00A40F55">
      <w:pPr>
        <w:pStyle w:val="Item"/>
        <w:rPr>
          <w:szCs w:val="24"/>
        </w:rPr>
      </w:pPr>
      <w:r w:rsidRPr="00B03948">
        <w:rPr>
          <w:szCs w:val="24"/>
        </w:rPr>
        <w:t>Repeal the cell, substitute:</w:t>
      </w:r>
    </w:p>
    <w:p w:rsidR="00A40F55" w:rsidRPr="00B03948" w:rsidRDefault="00A40F55" w:rsidP="00A40F55">
      <w:pPr>
        <w:ind w:left="709"/>
        <w:rPr>
          <w:szCs w:val="24"/>
          <w:lang w:eastAsia="en-AU"/>
        </w:rPr>
      </w:pPr>
    </w:p>
    <w:p w:rsidR="00A40F55" w:rsidRPr="00B03948" w:rsidRDefault="00A40F55" w:rsidP="00A40F55">
      <w:pPr>
        <w:ind w:left="709"/>
        <w:rPr>
          <w:szCs w:val="24"/>
          <w:lang w:eastAsia="en-AU"/>
        </w:rPr>
      </w:pPr>
      <w:proofErr w:type="spellStart"/>
      <w:r w:rsidRPr="00B03948">
        <w:rPr>
          <w:szCs w:val="24"/>
          <w:lang w:eastAsia="en-AU"/>
        </w:rPr>
        <w:t>Arbutin</w:t>
      </w:r>
      <w:proofErr w:type="spellEnd"/>
      <w:r w:rsidRPr="00B03948">
        <w:rPr>
          <w:szCs w:val="24"/>
          <w:lang w:eastAsia="en-AU"/>
        </w:rPr>
        <w:t xml:space="preserve"> is a mandatory component of </w:t>
      </w:r>
      <w:proofErr w:type="spellStart"/>
      <w:r w:rsidRPr="00B03948">
        <w:rPr>
          <w:szCs w:val="24"/>
          <w:lang w:eastAsia="en-AU"/>
        </w:rPr>
        <w:t>Chimaphila</w:t>
      </w:r>
      <w:proofErr w:type="spellEnd"/>
      <w:r w:rsidRPr="00B03948">
        <w:rPr>
          <w:szCs w:val="24"/>
          <w:lang w:eastAsia="en-AU"/>
        </w:rPr>
        <w:t xml:space="preserve"> </w:t>
      </w:r>
      <w:proofErr w:type="spellStart"/>
      <w:r w:rsidRPr="00B03948">
        <w:rPr>
          <w:szCs w:val="24"/>
          <w:lang w:eastAsia="en-AU"/>
        </w:rPr>
        <w:t>umbellata</w:t>
      </w:r>
      <w:proofErr w:type="spellEnd"/>
      <w:r w:rsidRPr="00B03948">
        <w:rPr>
          <w:szCs w:val="24"/>
          <w:lang w:eastAsia="en-AU"/>
        </w:rPr>
        <w:t>.</w:t>
      </w:r>
      <w:r w:rsidRPr="00B03948">
        <w:rPr>
          <w:szCs w:val="24"/>
          <w:lang w:eastAsia="en-AU"/>
        </w:rPr>
        <w:br/>
      </w:r>
    </w:p>
    <w:p w:rsidR="00F47ACA" w:rsidRDefault="00F47ACA" w:rsidP="00F47ACA">
      <w:pPr>
        <w:ind w:left="720"/>
      </w:pPr>
      <w:r>
        <w:t xml:space="preserve">The </w:t>
      </w:r>
      <w:r w:rsidRPr="002864D5">
        <w:rPr>
          <w:szCs w:val="22"/>
          <w:lang w:eastAsia="en-AU"/>
        </w:rPr>
        <w:t>concentration</w:t>
      </w:r>
      <w:r>
        <w:t xml:space="preserve"> of </w:t>
      </w:r>
      <w:proofErr w:type="spellStart"/>
      <w:r>
        <w:t>arbutin</w:t>
      </w:r>
      <w:proofErr w:type="spellEnd"/>
      <w:r>
        <w:t xml:space="preserve"> in the medicine must be no more than 25 mg/Kg or 25mg /L or 0.0025 % unless used on the hair.</w:t>
      </w:r>
    </w:p>
    <w:p w:rsidR="00F47ACA" w:rsidRDefault="00F47ACA" w:rsidP="00F47ACA">
      <w:pPr>
        <w:ind w:left="720"/>
      </w:pPr>
    </w:p>
    <w:p w:rsidR="00F47ACA" w:rsidRDefault="00F47ACA" w:rsidP="00F47ACA">
      <w:pPr>
        <w:ind w:left="720"/>
      </w:pPr>
      <w:r>
        <w:t xml:space="preserve">When for use on hair, the concentration of </w:t>
      </w:r>
      <w:proofErr w:type="spellStart"/>
      <w:r w:rsidRPr="002864D5">
        <w:rPr>
          <w:szCs w:val="22"/>
          <w:lang w:eastAsia="en-AU"/>
        </w:rPr>
        <w:t>arbutin</w:t>
      </w:r>
      <w:proofErr w:type="spellEnd"/>
      <w:r>
        <w:t xml:space="preserve"> in the medicine must be no more than 0.74 %.</w:t>
      </w:r>
    </w:p>
    <w:p w:rsidR="00A40F55" w:rsidRPr="00B03948" w:rsidRDefault="00A40F55" w:rsidP="00A40F55">
      <w:pPr>
        <w:pStyle w:val="Tabletext"/>
        <w:rPr>
          <w:sz w:val="24"/>
          <w:szCs w:val="24"/>
        </w:rPr>
      </w:pPr>
    </w:p>
    <w:p w:rsidR="00A40F55" w:rsidRPr="00B03948" w:rsidRDefault="00A40F55" w:rsidP="00A40F55">
      <w:pPr>
        <w:pStyle w:val="ItemHead"/>
      </w:pPr>
      <w:proofErr w:type="gramStart"/>
      <w:r w:rsidRPr="00B03948">
        <w:lastRenderedPageBreak/>
        <w:t>4  Table</w:t>
      </w:r>
      <w:proofErr w:type="gramEnd"/>
      <w:r w:rsidRPr="00B03948">
        <w:t xml:space="preserve"> 1 in Part 2 of Schedule 1 (cell at table item 2817, column 4, “Kalmia </w:t>
      </w:r>
      <w:proofErr w:type="spellStart"/>
      <w:r w:rsidRPr="00B03948">
        <w:t>latifolia</w:t>
      </w:r>
      <w:proofErr w:type="spellEnd"/>
      <w:r w:rsidRPr="00B03948">
        <w:t>”)</w:t>
      </w:r>
    </w:p>
    <w:p w:rsidR="00A40F55" w:rsidRPr="00B03948" w:rsidRDefault="00A40F55" w:rsidP="00A40F55">
      <w:pPr>
        <w:pStyle w:val="Tabletext"/>
      </w:pPr>
    </w:p>
    <w:p w:rsidR="00A40F55" w:rsidRPr="00B03948" w:rsidRDefault="00A40F55" w:rsidP="00A40F55">
      <w:pPr>
        <w:pStyle w:val="Item"/>
        <w:rPr>
          <w:szCs w:val="24"/>
        </w:rPr>
      </w:pPr>
      <w:r w:rsidRPr="00B03948">
        <w:rPr>
          <w:szCs w:val="24"/>
        </w:rPr>
        <w:t>Repeal the cell, substitute:</w:t>
      </w:r>
    </w:p>
    <w:p w:rsidR="00A40F55" w:rsidRPr="00B03948" w:rsidRDefault="00A40F55" w:rsidP="00A40F55">
      <w:pPr>
        <w:ind w:left="709"/>
        <w:rPr>
          <w:szCs w:val="24"/>
          <w:lang w:eastAsia="en-AU"/>
        </w:rPr>
      </w:pPr>
    </w:p>
    <w:p w:rsidR="00A40F55" w:rsidRPr="00B03948" w:rsidRDefault="00A40F55" w:rsidP="00A40F55">
      <w:pPr>
        <w:ind w:left="709"/>
        <w:rPr>
          <w:szCs w:val="24"/>
          <w:lang w:eastAsia="en-AU"/>
        </w:rPr>
      </w:pPr>
      <w:proofErr w:type="spellStart"/>
      <w:r w:rsidRPr="00B03948">
        <w:rPr>
          <w:szCs w:val="24"/>
          <w:lang w:eastAsia="en-AU"/>
        </w:rPr>
        <w:t>Arbutin</w:t>
      </w:r>
      <w:proofErr w:type="spellEnd"/>
      <w:r w:rsidRPr="00B03948">
        <w:rPr>
          <w:szCs w:val="24"/>
          <w:lang w:eastAsia="en-AU"/>
        </w:rPr>
        <w:t xml:space="preserve"> is a mandatory component of </w:t>
      </w:r>
      <w:r w:rsidRPr="00B03948">
        <w:rPr>
          <w:sz w:val="20"/>
          <w:lang w:eastAsia="en-AU"/>
        </w:rPr>
        <w:t xml:space="preserve">Kalmia </w:t>
      </w:r>
      <w:proofErr w:type="spellStart"/>
      <w:r w:rsidRPr="00B03948">
        <w:rPr>
          <w:sz w:val="20"/>
          <w:lang w:eastAsia="en-AU"/>
        </w:rPr>
        <w:t>latifolia</w:t>
      </w:r>
      <w:proofErr w:type="spellEnd"/>
      <w:r w:rsidRPr="00B03948">
        <w:rPr>
          <w:szCs w:val="24"/>
          <w:lang w:eastAsia="en-AU"/>
        </w:rPr>
        <w:t>.</w:t>
      </w:r>
      <w:r w:rsidRPr="00B03948">
        <w:rPr>
          <w:szCs w:val="24"/>
          <w:lang w:eastAsia="en-AU"/>
        </w:rPr>
        <w:br/>
      </w:r>
    </w:p>
    <w:p w:rsidR="00F47ACA" w:rsidRDefault="00F47ACA" w:rsidP="00F47ACA">
      <w:pPr>
        <w:ind w:left="720"/>
      </w:pPr>
      <w:r>
        <w:t xml:space="preserve">The </w:t>
      </w:r>
      <w:r w:rsidRPr="002864D5">
        <w:rPr>
          <w:szCs w:val="22"/>
          <w:lang w:eastAsia="en-AU"/>
        </w:rPr>
        <w:t>concentration</w:t>
      </w:r>
      <w:r>
        <w:t xml:space="preserve"> of </w:t>
      </w:r>
      <w:proofErr w:type="spellStart"/>
      <w:r>
        <w:t>arbutin</w:t>
      </w:r>
      <w:proofErr w:type="spellEnd"/>
      <w:r>
        <w:t xml:space="preserve"> in the medicine must be no more than 25 mg/Kg or 25mg /L or 0.0025 % unless used on the hair.</w:t>
      </w:r>
    </w:p>
    <w:p w:rsidR="00F47ACA" w:rsidRDefault="00F47ACA" w:rsidP="00F47ACA">
      <w:pPr>
        <w:ind w:left="720"/>
      </w:pPr>
    </w:p>
    <w:p w:rsidR="00F47ACA" w:rsidRDefault="00F47ACA" w:rsidP="00F47ACA">
      <w:pPr>
        <w:ind w:left="720"/>
      </w:pPr>
      <w:r>
        <w:t xml:space="preserve">When for use on hair, the concentration of </w:t>
      </w:r>
      <w:proofErr w:type="spellStart"/>
      <w:r w:rsidRPr="002864D5">
        <w:rPr>
          <w:szCs w:val="22"/>
          <w:lang w:eastAsia="en-AU"/>
        </w:rPr>
        <w:t>arbutin</w:t>
      </w:r>
      <w:proofErr w:type="spellEnd"/>
      <w:r>
        <w:t xml:space="preserve"> in the medicine must be no more than 0.74 %.</w:t>
      </w:r>
    </w:p>
    <w:p w:rsidR="00A40F55" w:rsidRPr="00B03948" w:rsidRDefault="00A40F55" w:rsidP="00A40F55">
      <w:pPr>
        <w:pStyle w:val="Tabletext"/>
        <w:rPr>
          <w:sz w:val="24"/>
          <w:szCs w:val="24"/>
        </w:rPr>
      </w:pPr>
    </w:p>
    <w:p w:rsidR="00A40F55" w:rsidRPr="00B03948" w:rsidRDefault="00A40F55" w:rsidP="00A40F55">
      <w:pPr>
        <w:pStyle w:val="ItemHead"/>
      </w:pPr>
      <w:proofErr w:type="gramStart"/>
      <w:r w:rsidRPr="00B03948">
        <w:t>5  Table</w:t>
      </w:r>
      <w:proofErr w:type="gramEnd"/>
      <w:r w:rsidRPr="00B03948">
        <w:t xml:space="preserve"> 1 in Part 2 of Schedule 1 (cell at table item 2936, column 4, “</w:t>
      </w:r>
      <w:proofErr w:type="spellStart"/>
      <w:r w:rsidRPr="00B03948">
        <w:t>Ledum</w:t>
      </w:r>
      <w:proofErr w:type="spellEnd"/>
      <w:r w:rsidRPr="00B03948">
        <w:t xml:space="preserve"> </w:t>
      </w:r>
      <w:proofErr w:type="spellStart"/>
      <w:r w:rsidRPr="00B03948">
        <w:t>palustre</w:t>
      </w:r>
      <w:proofErr w:type="spellEnd"/>
      <w:r w:rsidRPr="00B03948">
        <w:t>”)</w:t>
      </w:r>
    </w:p>
    <w:p w:rsidR="00A40F55" w:rsidRPr="00B03948" w:rsidRDefault="00A40F55" w:rsidP="00A40F55">
      <w:pPr>
        <w:pStyle w:val="Tabletext"/>
      </w:pPr>
    </w:p>
    <w:p w:rsidR="00A40F55" w:rsidRPr="00B03948" w:rsidRDefault="00A40F55" w:rsidP="00A40F55">
      <w:pPr>
        <w:pStyle w:val="Item"/>
        <w:rPr>
          <w:szCs w:val="24"/>
        </w:rPr>
      </w:pPr>
      <w:r w:rsidRPr="00B03948">
        <w:rPr>
          <w:szCs w:val="24"/>
        </w:rPr>
        <w:t>Repeal the cell, substitute:</w:t>
      </w:r>
    </w:p>
    <w:p w:rsidR="00A40F55" w:rsidRPr="00B03948" w:rsidRDefault="00A40F55" w:rsidP="00A40F55">
      <w:pPr>
        <w:ind w:left="709"/>
        <w:rPr>
          <w:szCs w:val="24"/>
          <w:lang w:eastAsia="en-AU"/>
        </w:rPr>
      </w:pPr>
    </w:p>
    <w:p w:rsidR="00A40F55" w:rsidRPr="00B03948" w:rsidRDefault="00A40F55" w:rsidP="00A40F55">
      <w:pPr>
        <w:ind w:left="709"/>
        <w:rPr>
          <w:szCs w:val="24"/>
          <w:lang w:eastAsia="en-AU"/>
        </w:rPr>
      </w:pPr>
      <w:proofErr w:type="spellStart"/>
      <w:r w:rsidRPr="00B03948">
        <w:rPr>
          <w:szCs w:val="24"/>
          <w:lang w:eastAsia="en-AU"/>
        </w:rPr>
        <w:t>Arbutin</w:t>
      </w:r>
      <w:proofErr w:type="spellEnd"/>
      <w:r w:rsidRPr="00B03948">
        <w:rPr>
          <w:szCs w:val="24"/>
          <w:lang w:eastAsia="en-AU"/>
        </w:rPr>
        <w:t xml:space="preserve"> is a mandatory component of</w:t>
      </w:r>
      <w:r w:rsidRPr="00B03948">
        <w:rPr>
          <w:sz w:val="24"/>
          <w:szCs w:val="24"/>
          <w:lang w:eastAsia="en-AU"/>
        </w:rPr>
        <w:t xml:space="preserve"> </w:t>
      </w:r>
      <w:proofErr w:type="spellStart"/>
      <w:r w:rsidRPr="00B03948">
        <w:rPr>
          <w:lang w:eastAsia="en-AU"/>
        </w:rPr>
        <w:t>Ledum</w:t>
      </w:r>
      <w:proofErr w:type="spellEnd"/>
      <w:r w:rsidRPr="00B03948">
        <w:rPr>
          <w:lang w:eastAsia="en-AU"/>
        </w:rPr>
        <w:t xml:space="preserve"> </w:t>
      </w:r>
      <w:proofErr w:type="spellStart"/>
      <w:r w:rsidRPr="00B03948">
        <w:rPr>
          <w:lang w:eastAsia="en-AU"/>
        </w:rPr>
        <w:t>palustre</w:t>
      </w:r>
      <w:proofErr w:type="spellEnd"/>
      <w:r w:rsidRPr="00B03948">
        <w:rPr>
          <w:sz w:val="24"/>
          <w:szCs w:val="24"/>
          <w:lang w:eastAsia="en-AU"/>
        </w:rPr>
        <w:t>.</w:t>
      </w:r>
      <w:r w:rsidRPr="00B03948">
        <w:rPr>
          <w:szCs w:val="24"/>
          <w:lang w:eastAsia="en-AU"/>
        </w:rPr>
        <w:br/>
      </w:r>
    </w:p>
    <w:p w:rsidR="00F47ACA" w:rsidRDefault="00F47ACA" w:rsidP="00F47ACA">
      <w:pPr>
        <w:ind w:left="720"/>
      </w:pPr>
      <w:r>
        <w:t xml:space="preserve">The </w:t>
      </w:r>
      <w:r w:rsidRPr="002864D5">
        <w:rPr>
          <w:szCs w:val="22"/>
          <w:lang w:eastAsia="en-AU"/>
        </w:rPr>
        <w:t>concentration</w:t>
      </w:r>
      <w:r>
        <w:t xml:space="preserve"> of </w:t>
      </w:r>
      <w:proofErr w:type="spellStart"/>
      <w:r>
        <w:t>arbutin</w:t>
      </w:r>
      <w:proofErr w:type="spellEnd"/>
      <w:r>
        <w:t xml:space="preserve"> in the medicine must be no more than 25 mg/Kg or 25mg /L or 0.0025 % unless used on the hair.</w:t>
      </w:r>
    </w:p>
    <w:p w:rsidR="00F47ACA" w:rsidRDefault="00F47ACA" w:rsidP="00F47ACA">
      <w:pPr>
        <w:ind w:left="720"/>
      </w:pPr>
    </w:p>
    <w:p w:rsidR="00F47ACA" w:rsidRDefault="00F47ACA" w:rsidP="00F47ACA">
      <w:pPr>
        <w:ind w:left="720"/>
      </w:pPr>
      <w:r>
        <w:t xml:space="preserve">When for use on hair, the concentration of </w:t>
      </w:r>
      <w:proofErr w:type="spellStart"/>
      <w:r w:rsidRPr="002864D5">
        <w:rPr>
          <w:szCs w:val="22"/>
          <w:lang w:eastAsia="en-AU"/>
        </w:rPr>
        <w:t>arbutin</w:t>
      </w:r>
      <w:proofErr w:type="spellEnd"/>
      <w:r>
        <w:t xml:space="preserve"> in the medicine must be no more than 0.74 %.</w:t>
      </w:r>
    </w:p>
    <w:p w:rsidR="00F47ACA" w:rsidRPr="00B03948" w:rsidRDefault="00F47ACA" w:rsidP="00F47ACA">
      <w:pPr>
        <w:pStyle w:val="Tabletext"/>
        <w:ind w:left="709"/>
        <w:rPr>
          <w:sz w:val="22"/>
          <w:szCs w:val="24"/>
        </w:rPr>
      </w:pPr>
    </w:p>
    <w:p w:rsidR="00A40F55" w:rsidRPr="00F47ACA" w:rsidRDefault="00F47ACA" w:rsidP="00F47ACA">
      <w:pPr>
        <w:pStyle w:val="Tabletext"/>
        <w:ind w:left="709"/>
        <w:rPr>
          <w:sz w:val="22"/>
          <w:szCs w:val="24"/>
        </w:rPr>
      </w:pPr>
      <w:r w:rsidRPr="00B03948">
        <w:rPr>
          <w:sz w:val="22"/>
          <w:szCs w:val="24"/>
        </w:rPr>
        <w:t xml:space="preserve">When the route of administration is other than topical, the maximum recommended daily dose must not contain more than 0.001mg of the equivalent dry herbal material of </w:t>
      </w:r>
      <w:proofErr w:type="spellStart"/>
      <w:r w:rsidRPr="00B03948">
        <w:rPr>
          <w:sz w:val="22"/>
          <w:szCs w:val="24"/>
        </w:rPr>
        <w:t>Ledum</w:t>
      </w:r>
      <w:proofErr w:type="spellEnd"/>
      <w:r w:rsidRPr="00B03948">
        <w:rPr>
          <w:sz w:val="22"/>
          <w:szCs w:val="24"/>
        </w:rPr>
        <w:t xml:space="preserve"> </w:t>
      </w:r>
      <w:proofErr w:type="spellStart"/>
      <w:r w:rsidRPr="00B03948">
        <w:rPr>
          <w:sz w:val="22"/>
          <w:szCs w:val="24"/>
        </w:rPr>
        <w:t>palustre</w:t>
      </w:r>
      <w:proofErr w:type="spellEnd"/>
      <w:r w:rsidRPr="00B03948">
        <w:rPr>
          <w:sz w:val="22"/>
          <w:szCs w:val="24"/>
        </w:rPr>
        <w:t>.</w:t>
      </w:r>
    </w:p>
    <w:p w:rsidR="00A40F55" w:rsidRPr="00B03948" w:rsidRDefault="00A40F55" w:rsidP="00A40F55">
      <w:pPr>
        <w:pStyle w:val="Tabletext"/>
        <w:rPr>
          <w:sz w:val="24"/>
          <w:szCs w:val="24"/>
        </w:rPr>
      </w:pPr>
    </w:p>
    <w:p w:rsidR="00A40F55" w:rsidRPr="00B03948" w:rsidRDefault="00A40F55" w:rsidP="00A40F55">
      <w:pPr>
        <w:pStyle w:val="ItemHead"/>
      </w:pPr>
      <w:proofErr w:type="gramStart"/>
      <w:r w:rsidRPr="00B03948">
        <w:t>6  Table</w:t>
      </w:r>
      <w:proofErr w:type="gramEnd"/>
      <w:r w:rsidRPr="00B03948">
        <w:t xml:space="preserve"> 1 in Part 2 of Schedule 1 (cell at table item 3564, column 4, “</w:t>
      </w:r>
      <w:proofErr w:type="spellStart"/>
      <w:r w:rsidRPr="00B03948">
        <w:t>Origanum</w:t>
      </w:r>
      <w:proofErr w:type="spellEnd"/>
      <w:r w:rsidRPr="00B03948">
        <w:t xml:space="preserve"> </w:t>
      </w:r>
      <w:proofErr w:type="spellStart"/>
      <w:r w:rsidRPr="00B03948">
        <w:t>majorana</w:t>
      </w:r>
      <w:proofErr w:type="spellEnd"/>
      <w:r w:rsidRPr="00B03948">
        <w:t>”)</w:t>
      </w:r>
    </w:p>
    <w:p w:rsidR="00A40F55" w:rsidRPr="00B03948" w:rsidRDefault="00A40F55" w:rsidP="00A40F55">
      <w:pPr>
        <w:pStyle w:val="Tabletext"/>
      </w:pPr>
    </w:p>
    <w:p w:rsidR="00A40F55" w:rsidRPr="00B03948" w:rsidRDefault="00A40F55" w:rsidP="00A40F55">
      <w:pPr>
        <w:pStyle w:val="Item"/>
        <w:rPr>
          <w:szCs w:val="24"/>
        </w:rPr>
      </w:pPr>
      <w:r w:rsidRPr="00B03948">
        <w:rPr>
          <w:szCs w:val="24"/>
        </w:rPr>
        <w:t>Repeal the cell, substitute:</w:t>
      </w:r>
    </w:p>
    <w:p w:rsidR="00A40F55" w:rsidRPr="00B03948" w:rsidRDefault="00A40F55" w:rsidP="00A40F55">
      <w:pPr>
        <w:ind w:left="709"/>
        <w:rPr>
          <w:szCs w:val="24"/>
          <w:lang w:eastAsia="en-AU"/>
        </w:rPr>
      </w:pPr>
    </w:p>
    <w:p w:rsidR="00A40F55" w:rsidRPr="00B03948" w:rsidRDefault="00A40F55" w:rsidP="00A40F55">
      <w:pPr>
        <w:ind w:left="709"/>
        <w:rPr>
          <w:szCs w:val="24"/>
          <w:lang w:eastAsia="en-AU"/>
        </w:rPr>
      </w:pPr>
      <w:proofErr w:type="spellStart"/>
      <w:r w:rsidRPr="00B03948">
        <w:rPr>
          <w:szCs w:val="24"/>
          <w:lang w:eastAsia="en-AU"/>
        </w:rPr>
        <w:t>Arbutin</w:t>
      </w:r>
      <w:proofErr w:type="spellEnd"/>
      <w:r w:rsidRPr="00B03948">
        <w:rPr>
          <w:szCs w:val="24"/>
          <w:lang w:eastAsia="en-AU"/>
        </w:rPr>
        <w:t xml:space="preserve"> is a mandatory component of</w:t>
      </w:r>
      <w:r w:rsidRPr="00B03948">
        <w:rPr>
          <w:sz w:val="24"/>
          <w:szCs w:val="24"/>
          <w:lang w:eastAsia="en-AU"/>
        </w:rPr>
        <w:t xml:space="preserve"> </w:t>
      </w:r>
      <w:proofErr w:type="spellStart"/>
      <w:r w:rsidRPr="00B03948">
        <w:rPr>
          <w:rFonts w:eastAsia="Calibri" w:cs="Times New Roman"/>
          <w:szCs w:val="24"/>
          <w:lang w:eastAsia="en-AU"/>
        </w:rPr>
        <w:t>Origanum</w:t>
      </w:r>
      <w:proofErr w:type="spellEnd"/>
      <w:r w:rsidRPr="00B03948">
        <w:rPr>
          <w:rFonts w:eastAsia="Calibri" w:cs="Times New Roman"/>
          <w:szCs w:val="24"/>
          <w:lang w:eastAsia="en-AU"/>
        </w:rPr>
        <w:t xml:space="preserve"> </w:t>
      </w:r>
      <w:proofErr w:type="spellStart"/>
      <w:r w:rsidRPr="00B03948">
        <w:rPr>
          <w:rFonts w:eastAsia="Calibri" w:cs="Times New Roman"/>
          <w:szCs w:val="24"/>
          <w:lang w:eastAsia="en-AU"/>
        </w:rPr>
        <w:t>majorana</w:t>
      </w:r>
      <w:proofErr w:type="spellEnd"/>
      <w:r w:rsidRPr="00B03948">
        <w:rPr>
          <w:szCs w:val="24"/>
          <w:lang w:eastAsia="en-AU"/>
        </w:rPr>
        <w:t>.</w:t>
      </w:r>
      <w:r w:rsidRPr="00B03948">
        <w:rPr>
          <w:szCs w:val="24"/>
          <w:lang w:eastAsia="en-AU"/>
        </w:rPr>
        <w:br/>
      </w:r>
    </w:p>
    <w:p w:rsidR="00F47ACA" w:rsidRDefault="00F47ACA" w:rsidP="00F47ACA">
      <w:pPr>
        <w:ind w:left="720"/>
      </w:pPr>
      <w:r>
        <w:t xml:space="preserve">The </w:t>
      </w:r>
      <w:r w:rsidRPr="002864D5">
        <w:rPr>
          <w:szCs w:val="22"/>
          <w:lang w:eastAsia="en-AU"/>
        </w:rPr>
        <w:t>concentration</w:t>
      </w:r>
      <w:r>
        <w:t xml:space="preserve"> of </w:t>
      </w:r>
      <w:proofErr w:type="spellStart"/>
      <w:r>
        <w:t>arbutin</w:t>
      </w:r>
      <w:proofErr w:type="spellEnd"/>
      <w:r>
        <w:t xml:space="preserve"> in the medicine must be no more than 25 mg/Kg or 25mg /L or 0.0025 % unless used on the hair.</w:t>
      </w:r>
    </w:p>
    <w:p w:rsidR="00F47ACA" w:rsidRDefault="00F47ACA" w:rsidP="00F47ACA">
      <w:pPr>
        <w:ind w:left="720"/>
      </w:pPr>
    </w:p>
    <w:p w:rsidR="00F47ACA" w:rsidRDefault="00F47ACA" w:rsidP="00F47ACA">
      <w:pPr>
        <w:ind w:left="720"/>
      </w:pPr>
      <w:r>
        <w:t xml:space="preserve">When for use on hair, the concentration of </w:t>
      </w:r>
      <w:proofErr w:type="spellStart"/>
      <w:r w:rsidRPr="002864D5">
        <w:rPr>
          <w:szCs w:val="22"/>
          <w:lang w:eastAsia="en-AU"/>
        </w:rPr>
        <w:t>arbutin</w:t>
      </w:r>
      <w:proofErr w:type="spellEnd"/>
      <w:r>
        <w:t xml:space="preserve"> in the medicine must be no more than 0.74 %.</w:t>
      </w:r>
    </w:p>
    <w:p w:rsidR="00A40F55" w:rsidRPr="00B03948" w:rsidRDefault="00F47ACA" w:rsidP="00A40F55">
      <w:pPr>
        <w:pStyle w:val="Tabletext"/>
        <w:rPr>
          <w:sz w:val="22"/>
          <w:szCs w:val="24"/>
        </w:rPr>
      </w:pPr>
      <w:r>
        <w:rPr>
          <w:sz w:val="22"/>
          <w:szCs w:val="24"/>
        </w:rPr>
        <w:tab/>
      </w:r>
    </w:p>
    <w:p w:rsidR="00A40F55" w:rsidRPr="00B03948" w:rsidRDefault="00A40F55" w:rsidP="00A40F55">
      <w:pPr>
        <w:pStyle w:val="Tabletext"/>
        <w:ind w:left="709" w:firstLine="11"/>
        <w:rPr>
          <w:sz w:val="22"/>
          <w:szCs w:val="24"/>
        </w:rPr>
      </w:pPr>
      <w:r w:rsidRPr="00B03948">
        <w:rPr>
          <w:sz w:val="22"/>
          <w:szCs w:val="24"/>
        </w:rPr>
        <w:t>When the plant preparation is oil or distillate, the nominal capacity of the container must be no more than 50 millilitres.</w:t>
      </w:r>
      <w:r w:rsidRPr="00B03948">
        <w:rPr>
          <w:sz w:val="22"/>
          <w:szCs w:val="24"/>
        </w:rPr>
        <w:br/>
      </w:r>
    </w:p>
    <w:p w:rsidR="00A40F55" w:rsidRPr="00B03948" w:rsidRDefault="00A40F55" w:rsidP="00A40F55">
      <w:pPr>
        <w:pStyle w:val="Tabletext"/>
        <w:ind w:left="709" w:firstLine="11"/>
        <w:rPr>
          <w:sz w:val="22"/>
          <w:szCs w:val="24"/>
        </w:rPr>
      </w:pPr>
      <w:r w:rsidRPr="00B03948">
        <w:rPr>
          <w:sz w:val="22"/>
          <w:szCs w:val="24"/>
        </w:rPr>
        <w:lastRenderedPageBreak/>
        <w:t xml:space="preserve">When the concentration of </w:t>
      </w:r>
      <w:proofErr w:type="spellStart"/>
      <w:r w:rsidRPr="00B03948">
        <w:rPr>
          <w:sz w:val="22"/>
          <w:szCs w:val="24"/>
        </w:rPr>
        <w:t>Origanum</w:t>
      </w:r>
      <w:proofErr w:type="spellEnd"/>
      <w:r w:rsidRPr="00B03948">
        <w:rPr>
          <w:sz w:val="22"/>
          <w:szCs w:val="24"/>
        </w:rPr>
        <w:t xml:space="preserve"> </w:t>
      </w:r>
      <w:proofErr w:type="spellStart"/>
      <w:r w:rsidRPr="00B03948">
        <w:rPr>
          <w:sz w:val="22"/>
          <w:szCs w:val="24"/>
        </w:rPr>
        <w:t>majorana</w:t>
      </w:r>
      <w:proofErr w:type="spellEnd"/>
      <w:r w:rsidRPr="00B03948">
        <w:rPr>
          <w:sz w:val="22"/>
          <w:szCs w:val="24"/>
        </w:rPr>
        <w:t xml:space="preserve"> oil or distillate in the preparation is greater than 50%, a restricted flow insert must be fitted on the container and following warning statement is required on the medicine label:</w:t>
      </w:r>
      <w:r w:rsidRPr="00B03948">
        <w:rPr>
          <w:sz w:val="22"/>
          <w:szCs w:val="24"/>
        </w:rPr>
        <w:br/>
        <w:t>- (CHILD) 'Keep out of reach of children' (or words to that effect).</w:t>
      </w:r>
    </w:p>
    <w:p w:rsidR="00A40F55" w:rsidRPr="00B03948" w:rsidRDefault="00A40F55" w:rsidP="008E168F">
      <w:pPr>
        <w:pStyle w:val="Tabletext"/>
        <w:rPr>
          <w:sz w:val="24"/>
          <w:szCs w:val="24"/>
        </w:rPr>
      </w:pPr>
    </w:p>
    <w:p w:rsidR="00A40F55" w:rsidRPr="00B03948" w:rsidRDefault="00A40F55" w:rsidP="00A40F55">
      <w:pPr>
        <w:pStyle w:val="ItemHead"/>
      </w:pPr>
      <w:proofErr w:type="gramStart"/>
      <w:r w:rsidRPr="00B03948">
        <w:t>7  Table</w:t>
      </w:r>
      <w:proofErr w:type="gramEnd"/>
      <w:r w:rsidRPr="00B03948">
        <w:t xml:space="preserve"> 1 in Part 2 of Schedule 1 (cell at table item 4192, column 4, “</w:t>
      </w:r>
      <w:proofErr w:type="spellStart"/>
      <w:r w:rsidRPr="00B03948">
        <w:t>Pyrus</w:t>
      </w:r>
      <w:proofErr w:type="spellEnd"/>
      <w:r w:rsidRPr="00B03948">
        <w:t xml:space="preserve"> </w:t>
      </w:r>
      <w:proofErr w:type="spellStart"/>
      <w:r w:rsidRPr="00B03948">
        <w:t>communis</w:t>
      </w:r>
      <w:proofErr w:type="spellEnd"/>
      <w:r w:rsidRPr="00B03948">
        <w:t>”)</w:t>
      </w:r>
    </w:p>
    <w:p w:rsidR="00A40F55" w:rsidRPr="00B03948" w:rsidRDefault="00A40F55" w:rsidP="00A40F55">
      <w:pPr>
        <w:pStyle w:val="Item"/>
        <w:rPr>
          <w:szCs w:val="24"/>
        </w:rPr>
      </w:pPr>
      <w:r w:rsidRPr="00B03948">
        <w:rPr>
          <w:szCs w:val="24"/>
        </w:rPr>
        <w:t>Repeal the cell, substitute:</w:t>
      </w:r>
    </w:p>
    <w:p w:rsidR="00A40F55" w:rsidRPr="00B03948" w:rsidRDefault="00A40F55" w:rsidP="008E168F">
      <w:pPr>
        <w:ind w:firstLine="709"/>
        <w:rPr>
          <w:szCs w:val="24"/>
          <w:lang w:eastAsia="en-AU"/>
        </w:rPr>
      </w:pPr>
    </w:p>
    <w:p w:rsidR="00A40F55" w:rsidRPr="00B03948" w:rsidRDefault="00A40F55" w:rsidP="008E168F">
      <w:pPr>
        <w:ind w:firstLine="709"/>
        <w:rPr>
          <w:szCs w:val="24"/>
          <w:lang w:eastAsia="en-AU"/>
        </w:rPr>
      </w:pPr>
      <w:proofErr w:type="spellStart"/>
      <w:r w:rsidRPr="00B03948">
        <w:rPr>
          <w:szCs w:val="24"/>
          <w:lang w:eastAsia="en-AU"/>
        </w:rPr>
        <w:t>Arbutin</w:t>
      </w:r>
      <w:proofErr w:type="spellEnd"/>
      <w:r w:rsidRPr="00B03948">
        <w:rPr>
          <w:szCs w:val="24"/>
          <w:lang w:eastAsia="en-AU"/>
        </w:rPr>
        <w:t xml:space="preserve"> is a mandatory component of </w:t>
      </w:r>
      <w:proofErr w:type="spellStart"/>
      <w:r w:rsidRPr="00B03948">
        <w:rPr>
          <w:szCs w:val="24"/>
          <w:lang w:eastAsia="en-AU"/>
        </w:rPr>
        <w:t>Pyrus</w:t>
      </w:r>
      <w:proofErr w:type="spellEnd"/>
      <w:r w:rsidRPr="00B03948">
        <w:rPr>
          <w:szCs w:val="24"/>
          <w:lang w:eastAsia="en-AU"/>
        </w:rPr>
        <w:t xml:space="preserve"> </w:t>
      </w:r>
      <w:proofErr w:type="spellStart"/>
      <w:r w:rsidRPr="00B03948">
        <w:rPr>
          <w:szCs w:val="24"/>
          <w:lang w:eastAsia="en-AU"/>
        </w:rPr>
        <w:t>communis</w:t>
      </w:r>
      <w:proofErr w:type="spellEnd"/>
      <w:r w:rsidRPr="00B03948">
        <w:rPr>
          <w:szCs w:val="24"/>
          <w:lang w:eastAsia="en-AU"/>
        </w:rPr>
        <w:t>.</w:t>
      </w:r>
    </w:p>
    <w:p w:rsidR="00A40F55" w:rsidRPr="00B03948" w:rsidRDefault="00A40F55" w:rsidP="008E168F">
      <w:pPr>
        <w:ind w:left="709"/>
        <w:rPr>
          <w:szCs w:val="24"/>
          <w:lang w:eastAsia="en-AU"/>
        </w:rPr>
      </w:pPr>
    </w:p>
    <w:p w:rsidR="00F47ACA" w:rsidRDefault="00F47ACA" w:rsidP="00F47ACA">
      <w:pPr>
        <w:ind w:left="720"/>
      </w:pPr>
      <w:r>
        <w:t xml:space="preserve">The </w:t>
      </w:r>
      <w:r w:rsidRPr="002864D5">
        <w:rPr>
          <w:szCs w:val="22"/>
          <w:lang w:eastAsia="en-AU"/>
        </w:rPr>
        <w:t>concentration</w:t>
      </w:r>
      <w:r>
        <w:t xml:space="preserve"> of </w:t>
      </w:r>
      <w:proofErr w:type="spellStart"/>
      <w:r>
        <w:t>arbutin</w:t>
      </w:r>
      <w:proofErr w:type="spellEnd"/>
      <w:r>
        <w:t xml:space="preserve"> in the medicine must be no more than 25 mg/Kg or 25mg /L or 0.0025 % unless used on the hair.</w:t>
      </w:r>
    </w:p>
    <w:p w:rsidR="00F47ACA" w:rsidRDefault="00F47ACA" w:rsidP="00F47ACA">
      <w:pPr>
        <w:ind w:left="720"/>
      </w:pPr>
    </w:p>
    <w:p w:rsidR="00F47ACA" w:rsidRDefault="00F47ACA" w:rsidP="00F47ACA">
      <w:pPr>
        <w:ind w:left="720"/>
      </w:pPr>
      <w:r>
        <w:t xml:space="preserve">When for use on hair, the concentration of </w:t>
      </w:r>
      <w:proofErr w:type="spellStart"/>
      <w:r w:rsidRPr="002864D5">
        <w:rPr>
          <w:szCs w:val="22"/>
          <w:lang w:eastAsia="en-AU"/>
        </w:rPr>
        <w:t>arbutin</w:t>
      </w:r>
      <w:proofErr w:type="spellEnd"/>
      <w:r>
        <w:t xml:space="preserve"> in the medicine must be no more than 0.74 %.</w:t>
      </w:r>
    </w:p>
    <w:p w:rsidR="00A40F55" w:rsidRPr="00B03948" w:rsidRDefault="00A40F55" w:rsidP="008E168F">
      <w:pPr>
        <w:pStyle w:val="Tabletext"/>
        <w:rPr>
          <w:sz w:val="24"/>
          <w:szCs w:val="24"/>
        </w:rPr>
      </w:pPr>
    </w:p>
    <w:p w:rsidR="00A40F55" w:rsidRPr="00B03948" w:rsidRDefault="00A40F55" w:rsidP="00A40F55">
      <w:pPr>
        <w:pStyle w:val="ItemHead"/>
      </w:pPr>
      <w:proofErr w:type="gramStart"/>
      <w:r w:rsidRPr="00B03948">
        <w:t>8  Table</w:t>
      </w:r>
      <w:proofErr w:type="gramEnd"/>
      <w:r w:rsidRPr="00B03948">
        <w:t xml:space="preserve"> 1 in Part 2 of Schedule 1 (cell at table item 4193, column 4, “</w:t>
      </w:r>
      <w:proofErr w:type="spellStart"/>
      <w:r w:rsidRPr="00B03948">
        <w:t>Pyrus</w:t>
      </w:r>
      <w:proofErr w:type="spellEnd"/>
      <w:r w:rsidRPr="00B03948">
        <w:t xml:space="preserve"> </w:t>
      </w:r>
      <w:proofErr w:type="spellStart"/>
      <w:r w:rsidR="006223C3">
        <w:t>pyrifolia</w:t>
      </w:r>
      <w:proofErr w:type="spellEnd"/>
      <w:r w:rsidRPr="00B03948">
        <w:t>”)</w:t>
      </w:r>
    </w:p>
    <w:p w:rsidR="00A40F55" w:rsidRPr="00B03948" w:rsidRDefault="00A40F55" w:rsidP="00A40F55">
      <w:pPr>
        <w:pStyle w:val="Item"/>
        <w:rPr>
          <w:szCs w:val="24"/>
        </w:rPr>
      </w:pPr>
      <w:r w:rsidRPr="00B03948">
        <w:rPr>
          <w:szCs w:val="24"/>
        </w:rPr>
        <w:t>Repeal the cell, substitute:</w:t>
      </w:r>
    </w:p>
    <w:p w:rsidR="00A40F55" w:rsidRPr="00B03948" w:rsidRDefault="00A40F55" w:rsidP="008E168F">
      <w:pPr>
        <w:pStyle w:val="Tabletext"/>
        <w:rPr>
          <w:sz w:val="22"/>
          <w:szCs w:val="24"/>
        </w:rPr>
      </w:pPr>
    </w:p>
    <w:p w:rsidR="00A40F55" w:rsidRPr="00B03948" w:rsidRDefault="00A40F55" w:rsidP="00A40F55">
      <w:pPr>
        <w:pStyle w:val="Tabletext"/>
        <w:rPr>
          <w:sz w:val="22"/>
          <w:szCs w:val="24"/>
        </w:rPr>
      </w:pPr>
      <w:r w:rsidRPr="00B03948">
        <w:rPr>
          <w:sz w:val="22"/>
          <w:szCs w:val="24"/>
        </w:rPr>
        <w:tab/>
      </w:r>
      <w:proofErr w:type="spellStart"/>
      <w:r w:rsidRPr="00B03948">
        <w:rPr>
          <w:sz w:val="22"/>
          <w:szCs w:val="24"/>
        </w:rPr>
        <w:t>Arbutin</w:t>
      </w:r>
      <w:proofErr w:type="spellEnd"/>
      <w:r w:rsidRPr="00B03948">
        <w:rPr>
          <w:sz w:val="22"/>
          <w:szCs w:val="24"/>
        </w:rPr>
        <w:t xml:space="preserve"> is a mandatory component of </w:t>
      </w:r>
      <w:proofErr w:type="spellStart"/>
      <w:r w:rsidRPr="00B03948">
        <w:rPr>
          <w:sz w:val="22"/>
          <w:szCs w:val="24"/>
        </w:rPr>
        <w:t>Pyrus</w:t>
      </w:r>
      <w:proofErr w:type="spellEnd"/>
      <w:r w:rsidRPr="00B03948">
        <w:rPr>
          <w:sz w:val="22"/>
          <w:szCs w:val="24"/>
        </w:rPr>
        <w:t xml:space="preserve"> </w:t>
      </w:r>
      <w:proofErr w:type="spellStart"/>
      <w:r w:rsidRPr="00B03948">
        <w:rPr>
          <w:sz w:val="22"/>
          <w:szCs w:val="24"/>
        </w:rPr>
        <w:t>pyrifolia</w:t>
      </w:r>
      <w:proofErr w:type="spellEnd"/>
      <w:r w:rsidRPr="00B03948">
        <w:rPr>
          <w:sz w:val="22"/>
          <w:szCs w:val="24"/>
        </w:rPr>
        <w:t>.</w:t>
      </w:r>
    </w:p>
    <w:p w:rsidR="00A40F55" w:rsidRDefault="00A40F55" w:rsidP="008E168F">
      <w:pPr>
        <w:pStyle w:val="Tabletext"/>
        <w:rPr>
          <w:sz w:val="22"/>
          <w:szCs w:val="24"/>
        </w:rPr>
      </w:pPr>
    </w:p>
    <w:p w:rsidR="00F47ACA" w:rsidRDefault="00F47ACA" w:rsidP="00F47ACA">
      <w:pPr>
        <w:ind w:left="720"/>
      </w:pPr>
      <w:r>
        <w:t xml:space="preserve">The </w:t>
      </w:r>
      <w:r w:rsidRPr="002864D5">
        <w:rPr>
          <w:szCs w:val="22"/>
          <w:lang w:eastAsia="en-AU"/>
        </w:rPr>
        <w:t>concentration</w:t>
      </w:r>
      <w:r>
        <w:t xml:space="preserve"> of </w:t>
      </w:r>
      <w:proofErr w:type="spellStart"/>
      <w:r>
        <w:t>arbutin</w:t>
      </w:r>
      <w:proofErr w:type="spellEnd"/>
      <w:r>
        <w:t xml:space="preserve"> in the medicine must be no more than 25 mg/Kg or 25mg /L or 0.0025 % unless used on the hair.</w:t>
      </w:r>
    </w:p>
    <w:p w:rsidR="00F47ACA" w:rsidRDefault="00F47ACA" w:rsidP="00F47ACA">
      <w:pPr>
        <w:ind w:left="720"/>
      </w:pPr>
    </w:p>
    <w:p w:rsidR="00F47ACA" w:rsidRDefault="00F47ACA" w:rsidP="00F47ACA">
      <w:pPr>
        <w:ind w:left="720"/>
      </w:pPr>
      <w:r>
        <w:t xml:space="preserve">When for use on hair, the concentration of </w:t>
      </w:r>
      <w:proofErr w:type="spellStart"/>
      <w:r w:rsidRPr="002864D5">
        <w:rPr>
          <w:szCs w:val="22"/>
          <w:lang w:eastAsia="en-AU"/>
        </w:rPr>
        <w:t>arbutin</w:t>
      </w:r>
      <w:proofErr w:type="spellEnd"/>
      <w:r>
        <w:t xml:space="preserve"> in the medicine must be no more than 0.74 %.</w:t>
      </w:r>
    </w:p>
    <w:p w:rsidR="00F47ACA" w:rsidRPr="00B03948" w:rsidRDefault="00F47ACA" w:rsidP="008E168F">
      <w:pPr>
        <w:pStyle w:val="Tabletext"/>
        <w:rPr>
          <w:sz w:val="24"/>
          <w:szCs w:val="24"/>
        </w:rPr>
      </w:pPr>
    </w:p>
    <w:p w:rsidR="00A40F55" w:rsidRPr="00B03948" w:rsidRDefault="008E168F" w:rsidP="00A40F55">
      <w:pPr>
        <w:pStyle w:val="ItemHead"/>
      </w:pPr>
      <w:proofErr w:type="gramStart"/>
      <w:r w:rsidRPr="00B03948">
        <w:t>9</w:t>
      </w:r>
      <w:r w:rsidR="00A40F55" w:rsidRPr="00B03948">
        <w:t xml:space="preserve">  Table</w:t>
      </w:r>
      <w:proofErr w:type="gramEnd"/>
      <w:r w:rsidR="00A40F55" w:rsidRPr="00B03948">
        <w:t xml:space="preserve"> 1 in Part 2 of Schedule 1 (cell at table item 4</w:t>
      </w:r>
      <w:r w:rsidRPr="00B03948">
        <w:t>272</w:t>
      </w:r>
      <w:r w:rsidR="00A40F55" w:rsidRPr="00B03948">
        <w:t>, column 4, “</w:t>
      </w:r>
      <w:r w:rsidRPr="00B03948">
        <w:t xml:space="preserve">Rhododendron </w:t>
      </w:r>
      <w:proofErr w:type="spellStart"/>
      <w:r w:rsidRPr="00B03948">
        <w:t>ferrugineum</w:t>
      </w:r>
      <w:proofErr w:type="spellEnd"/>
      <w:r w:rsidR="00A40F55" w:rsidRPr="00B03948">
        <w:t>”)</w:t>
      </w:r>
    </w:p>
    <w:p w:rsidR="00A40F55" w:rsidRPr="00B03948" w:rsidRDefault="00A40F55" w:rsidP="008E168F">
      <w:pPr>
        <w:pStyle w:val="Tabletext"/>
        <w:rPr>
          <w:sz w:val="24"/>
          <w:szCs w:val="24"/>
        </w:rPr>
      </w:pPr>
    </w:p>
    <w:p w:rsidR="008E168F" w:rsidRPr="00B95F9E" w:rsidRDefault="008E168F" w:rsidP="008E168F">
      <w:pPr>
        <w:pStyle w:val="Item"/>
        <w:rPr>
          <w:szCs w:val="24"/>
        </w:rPr>
      </w:pPr>
      <w:r w:rsidRPr="00B95F9E">
        <w:rPr>
          <w:szCs w:val="24"/>
        </w:rPr>
        <w:t>Repeal the cell, substitute:</w:t>
      </w:r>
    </w:p>
    <w:p w:rsidR="008E168F" w:rsidRPr="00B95F9E" w:rsidRDefault="008E168F" w:rsidP="008E168F">
      <w:pPr>
        <w:pStyle w:val="Tabletext"/>
        <w:rPr>
          <w:sz w:val="22"/>
          <w:szCs w:val="24"/>
        </w:rPr>
      </w:pPr>
    </w:p>
    <w:p w:rsidR="008E168F" w:rsidRPr="00B95F9E" w:rsidRDefault="008E168F" w:rsidP="008E168F">
      <w:pPr>
        <w:pStyle w:val="Tabletext"/>
        <w:ind w:left="709"/>
        <w:rPr>
          <w:sz w:val="22"/>
          <w:szCs w:val="24"/>
        </w:rPr>
      </w:pPr>
      <w:proofErr w:type="spellStart"/>
      <w:r w:rsidRPr="00B95F9E">
        <w:rPr>
          <w:sz w:val="22"/>
          <w:szCs w:val="24"/>
        </w:rPr>
        <w:t>Arbutin</w:t>
      </w:r>
      <w:proofErr w:type="spellEnd"/>
      <w:r w:rsidRPr="00B95F9E">
        <w:rPr>
          <w:sz w:val="22"/>
          <w:szCs w:val="24"/>
        </w:rPr>
        <w:t xml:space="preserve"> is a mandatory component of Rhododendron </w:t>
      </w:r>
      <w:proofErr w:type="spellStart"/>
      <w:r w:rsidRPr="00B95F9E">
        <w:rPr>
          <w:sz w:val="22"/>
          <w:szCs w:val="24"/>
        </w:rPr>
        <w:t>ferrugineum</w:t>
      </w:r>
      <w:proofErr w:type="spellEnd"/>
      <w:r w:rsidRPr="00B95F9E">
        <w:rPr>
          <w:sz w:val="22"/>
          <w:szCs w:val="24"/>
        </w:rPr>
        <w:t>.</w:t>
      </w:r>
      <w:r w:rsidRPr="00B95F9E">
        <w:rPr>
          <w:sz w:val="22"/>
          <w:szCs w:val="24"/>
        </w:rPr>
        <w:br/>
      </w:r>
    </w:p>
    <w:p w:rsidR="00F47ACA" w:rsidRDefault="00F47ACA" w:rsidP="00F47ACA">
      <w:pPr>
        <w:ind w:left="720"/>
      </w:pPr>
      <w:r>
        <w:t xml:space="preserve">The </w:t>
      </w:r>
      <w:r w:rsidRPr="002864D5">
        <w:rPr>
          <w:szCs w:val="22"/>
          <w:lang w:eastAsia="en-AU"/>
        </w:rPr>
        <w:t>concentration</w:t>
      </w:r>
      <w:r>
        <w:t xml:space="preserve"> of </w:t>
      </w:r>
      <w:proofErr w:type="spellStart"/>
      <w:r>
        <w:t>arbutin</w:t>
      </w:r>
      <w:proofErr w:type="spellEnd"/>
      <w:r>
        <w:t xml:space="preserve"> in the medicine must be no more than 25 mg/Kg or 25mg /L or 0.0025 % unless used on the hair.</w:t>
      </w:r>
    </w:p>
    <w:p w:rsidR="00F47ACA" w:rsidRDefault="00F47ACA" w:rsidP="00F47ACA">
      <w:pPr>
        <w:ind w:left="720"/>
      </w:pPr>
    </w:p>
    <w:p w:rsidR="00F47ACA" w:rsidRDefault="00F47ACA" w:rsidP="00F47ACA">
      <w:pPr>
        <w:ind w:left="720"/>
      </w:pPr>
      <w:r>
        <w:t xml:space="preserve">When for use on hair, the concentration of </w:t>
      </w:r>
      <w:proofErr w:type="spellStart"/>
      <w:r w:rsidRPr="002864D5">
        <w:rPr>
          <w:szCs w:val="22"/>
          <w:lang w:eastAsia="en-AU"/>
        </w:rPr>
        <w:t>arbutin</w:t>
      </w:r>
      <w:proofErr w:type="spellEnd"/>
      <w:r>
        <w:t xml:space="preserve"> in the medicine must be no more than 0.74 %.</w:t>
      </w:r>
    </w:p>
    <w:p w:rsidR="00F47ACA" w:rsidRDefault="00F47ACA" w:rsidP="00F47ACA">
      <w:pPr>
        <w:ind w:left="720"/>
      </w:pPr>
    </w:p>
    <w:p w:rsidR="008E168F" w:rsidRPr="00B03948" w:rsidRDefault="008E168F" w:rsidP="008E168F">
      <w:pPr>
        <w:pStyle w:val="ItemHead"/>
      </w:pPr>
      <w:proofErr w:type="gramStart"/>
      <w:r w:rsidRPr="00B03948">
        <w:t>10  Table</w:t>
      </w:r>
      <w:proofErr w:type="gramEnd"/>
      <w:r w:rsidRPr="00B03948">
        <w:t xml:space="preserve"> 1 in Part 2 of Schedule 1 (cell at table item 5007, column 4, “</w:t>
      </w:r>
      <w:proofErr w:type="spellStart"/>
      <w:r w:rsidRPr="00B03948">
        <w:t>Turnera</w:t>
      </w:r>
      <w:proofErr w:type="spellEnd"/>
      <w:r w:rsidRPr="00B03948">
        <w:t xml:space="preserve"> </w:t>
      </w:r>
      <w:proofErr w:type="spellStart"/>
      <w:r w:rsidRPr="00B03948">
        <w:t>diffusa</w:t>
      </w:r>
      <w:proofErr w:type="spellEnd"/>
      <w:r w:rsidRPr="00B03948">
        <w:t>”)</w:t>
      </w:r>
    </w:p>
    <w:p w:rsidR="008E168F" w:rsidRPr="00B03948" w:rsidRDefault="008E168F" w:rsidP="008E168F">
      <w:pPr>
        <w:pStyle w:val="Tabletext"/>
        <w:rPr>
          <w:sz w:val="24"/>
          <w:szCs w:val="24"/>
        </w:rPr>
      </w:pPr>
    </w:p>
    <w:p w:rsidR="008E168F" w:rsidRPr="00B95F9E" w:rsidRDefault="008E168F" w:rsidP="008E168F">
      <w:pPr>
        <w:pStyle w:val="Item"/>
        <w:rPr>
          <w:szCs w:val="24"/>
        </w:rPr>
      </w:pPr>
      <w:r w:rsidRPr="00B95F9E">
        <w:rPr>
          <w:szCs w:val="24"/>
        </w:rPr>
        <w:lastRenderedPageBreak/>
        <w:t>Repeal the cell, substitute:</w:t>
      </w:r>
    </w:p>
    <w:p w:rsidR="008E168F" w:rsidRPr="00B95F9E" w:rsidRDefault="008E168F" w:rsidP="008E168F">
      <w:pPr>
        <w:pStyle w:val="Tabletext"/>
        <w:rPr>
          <w:sz w:val="22"/>
          <w:szCs w:val="24"/>
        </w:rPr>
      </w:pPr>
    </w:p>
    <w:p w:rsidR="008E168F" w:rsidRDefault="008E168F" w:rsidP="008E168F">
      <w:pPr>
        <w:pStyle w:val="Tabletext"/>
        <w:ind w:left="709"/>
        <w:rPr>
          <w:sz w:val="22"/>
          <w:szCs w:val="24"/>
        </w:rPr>
      </w:pPr>
      <w:proofErr w:type="spellStart"/>
      <w:r w:rsidRPr="00B95F9E">
        <w:rPr>
          <w:sz w:val="22"/>
          <w:szCs w:val="24"/>
        </w:rPr>
        <w:t>Arbutin</w:t>
      </w:r>
      <w:proofErr w:type="spellEnd"/>
      <w:r w:rsidRPr="00B95F9E">
        <w:rPr>
          <w:sz w:val="22"/>
          <w:szCs w:val="24"/>
        </w:rPr>
        <w:t xml:space="preserve"> is a mandatory component of </w:t>
      </w:r>
      <w:proofErr w:type="spellStart"/>
      <w:r w:rsidRPr="00B95F9E">
        <w:rPr>
          <w:sz w:val="22"/>
          <w:szCs w:val="24"/>
        </w:rPr>
        <w:t>Turnera</w:t>
      </w:r>
      <w:proofErr w:type="spellEnd"/>
      <w:r w:rsidRPr="00B95F9E">
        <w:rPr>
          <w:sz w:val="22"/>
          <w:szCs w:val="24"/>
        </w:rPr>
        <w:t xml:space="preserve"> </w:t>
      </w:r>
      <w:proofErr w:type="spellStart"/>
      <w:r w:rsidRPr="00B95F9E">
        <w:rPr>
          <w:sz w:val="22"/>
          <w:szCs w:val="24"/>
        </w:rPr>
        <w:t>diffusa</w:t>
      </w:r>
      <w:proofErr w:type="spellEnd"/>
      <w:r w:rsidRPr="00B95F9E">
        <w:rPr>
          <w:sz w:val="22"/>
          <w:szCs w:val="24"/>
        </w:rPr>
        <w:t>.</w:t>
      </w:r>
    </w:p>
    <w:p w:rsidR="00F47ACA" w:rsidRPr="00B95F9E" w:rsidRDefault="00F47ACA" w:rsidP="008E168F">
      <w:pPr>
        <w:pStyle w:val="Tabletext"/>
        <w:ind w:left="709"/>
        <w:rPr>
          <w:sz w:val="22"/>
          <w:szCs w:val="24"/>
        </w:rPr>
      </w:pPr>
    </w:p>
    <w:p w:rsidR="00F47ACA" w:rsidRDefault="00F47ACA" w:rsidP="00F47ACA">
      <w:pPr>
        <w:ind w:left="720"/>
      </w:pPr>
      <w:r>
        <w:t xml:space="preserve">The </w:t>
      </w:r>
      <w:r w:rsidRPr="002864D5">
        <w:rPr>
          <w:szCs w:val="22"/>
          <w:lang w:eastAsia="en-AU"/>
        </w:rPr>
        <w:t>concentration</w:t>
      </w:r>
      <w:r>
        <w:t xml:space="preserve"> of </w:t>
      </w:r>
      <w:proofErr w:type="spellStart"/>
      <w:r>
        <w:t>arbutin</w:t>
      </w:r>
      <w:proofErr w:type="spellEnd"/>
      <w:r>
        <w:t xml:space="preserve"> in the medicine must be no more than 25 mg/Kg or 25mg /L or 0.0025 % unless used on the hair.</w:t>
      </w:r>
    </w:p>
    <w:p w:rsidR="00F47ACA" w:rsidRDefault="00F47ACA" w:rsidP="00F47ACA">
      <w:pPr>
        <w:ind w:left="720"/>
      </w:pPr>
    </w:p>
    <w:p w:rsidR="00F47ACA" w:rsidRDefault="00F47ACA" w:rsidP="00F47ACA">
      <w:pPr>
        <w:ind w:left="720"/>
      </w:pPr>
      <w:r>
        <w:t xml:space="preserve">When for use on hair, the concentration of </w:t>
      </w:r>
      <w:proofErr w:type="spellStart"/>
      <w:r w:rsidRPr="002864D5">
        <w:rPr>
          <w:szCs w:val="22"/>
          <w:lang w:eastAsia="en-AU"/>
        </w:rPr>
        <w:t>arbutin</w:t>
      </w:r>
      <w:proofErr w:type="spellEnd"/>
      <w:r>
        <w:t xml:space="preserve"> in the medicine must be no more than 0.74 %.</w:t>
      </w:r>
    </w:p>
    <w:p w:rsidR="008E168F" w:rsidRPr="00B03948" w:rsidRDefault="008E168F" w:rsidP="008E168F">
      <w:pPr>
        <w:pStyle w:val="Tabletext"/>
        <w:rPr>
          <w:sz w:val="24"/>
          <w:szCs w:val="24"/>
        </w:rPr>
      </w:pPr>
    </w:p>
    <w:p w:rsidR="008E168F" w:rsidRPr="00B03948" w:rsidRDefault="008E168F" w:rsidP="008E168F">
      <w:pPr>
        <w:pStyle w:val="ItemHead"/>
      </w:pPr>
      <w:proofErr w:type="gramStart"/>
      <w:r w:rsidRPr="00B03948">
        <w:t>11  Table</w:t>
      </w:r>
      <w:proofErr w:type="gramEnd"/>
      <w:r w:rsidRPr="00B03948">
        <w:t xml:space="preserve"> 1 in Part 2 of Schedule 1 (cell at table item </w:t>
      </w:r>
      <w:r w:rsidR="006223C3">
        <w:t>5055</w:t>
      </w:r>
      <w:r w:rsidRPr="00B03948">
        <w:t>, column 4, “</w:t>
      </w:r>
      <w:proofErr w:type="spellStart"/>
      <w:r w:rsidRPr="00B03948">
        <w:t>Vaccinium</w:t>
      </w:r>
      <w:proofErr w:type="spellEnd"/>
      <w:r w:rsidRPr="00B03948">
        <w:t xml:space="preserve"> </w:t>
      </w:r>
      <w:proofErr w:type="spellStart"/>
      <w:r w:rsidRPr="00B03948">
        <w:t>vitis-idaea</w:t>
      </w:r>
      <w:proofErr w:type="spellEnd"/>
      <w:r w:rsidRPr="00B03948">
        <w:t>”)</w:t>
      </w:r>
    </w:p>
    <w:p w:rsidR="008E168F" w:rsidRPr="00B03948" w:rsidRDefault="008E168F" w:rsidP="008E168F">
      <w:pPr>
        <w:pStyle w:val="Tabletext"/>
        <w:rPr>
          <w:sz w:val="24"/>
          <w:szCs w:val="24"/>
        </w:rPr>
      </w:pPr>
    </w:p>
    <w:p w:rsidR="008E168F" w:rsidRPr="00B95F9E" w:rsidRDefault="008E168F" w:rsidP="008E168F">
      <w:pPr>
        <w:pStyle w:val="Item"/>
        <w:rPr>
          <w:szCs w:val="24"/>
        </w:rPr>
      </w:pPr>
      <w:r w:rsidRPr="00B95F9E">
        <w:rPr>
          <w:szCs w:val="24"/>
        </w:rPr>
        <w:t>Repeal the cell, substitute:</w:t>
      </w:r>
    </w:p>
    <w:p w:rsidR="008E168F" w:rsidRPr="00B95F9E" w:rsidRDefault="008E168F" w:rsidP="008E168F">
      <w:pPr>
        <w:pStyle w:val="Tabletext"/>
        <w:rPr>
          <w:sz w:val="22"/>
          <w:szCs w:val="24"/>
        </w:rPr>
      </w:pPr>
    </w:p>
    <w:p w:rsidR="008E168F" w:rsidRPr="00B95F9E" w:rsidRDefault="008E168F" w:rsidP="008E168F">
      <w:pPr>
        <w:pStyle w:val="Tabletext"/>
        <w:ind w:left="709"/>
        <w:rPr>
          <w:sz w:val="22"/>
          <w:szCs w:val="24"/>
        </w:rPr>
      </w:pPr>
      <w:proofErr w:type="spellStart"/>
      <w:r w:rsidRPr="00B95F9E">
        <w:rPr>
          <w:sz w:val="22"/>
          <w:szCs w:val="24"/>
        </w:rPr>
        <w:t>Arbutin</w:t>
      </w:r>
      <w:proofErr w:type="spellEnd"/>
      <w:r w:rsidRPr="00B95F9E">
        <w:rPr>
          <w:sz w:val="22"/>
          <w:szCs w:val="24"/>
        </w:rPr>
        <w:t xml:space="preserve"> is a mandatory component of </w:t>
      </w:r>
      <w:proofErr w:type="spellStart"/>
      <w:r w:rsidRPr="00B95F9E">
        <w:rPr>
          <w:sz w:val="22"/>
          <w:szCs w:val="24"/>
        </w:rPr>
        <w:t>Vaccinium</w:t>
      </w:r>
      <w:proofErr w:type="spellEnd"/>
      <w:r w:rsidRPr="00B95F9E">
        <w:rPr>
          <w:sz w:val="22"/>
          <w:szCs w:val="24"/>
        </w:rPr>
        <w:t xml:space="preserve"> </w:t>
      </w:r>
      <w:proofErr w:type="spellStart"/>
      <w:r w:rsidRPr="00B95F9E">
        <w:rPr>
          <w:sz w:val="22"/>
          <w:szCs w:val="24"/>
        </w:rPr>
        <w:t>vitis-idaea</w:t>
      </w:r>
      <w:proofErr w:type="spellEnd"/>
      <w:r w:rsidRPr="00B95F9E">
        <w:rPr>
          <w:sz w:val="22"/>
          <w:szCs w:val="24"/>
        </w:rPr>
        <w:t>.</w:t>
      </w:r>
    </w:p>
    <w:p w:rsidR="008E168F" w:rsidRPr="00B95F9E" w:rsidRDefault="008E168F" w:rsidP="008E168F">
      <w:pPr>
        <w:pStyle w:val="Tabletext"/>
        <w:ind w:left="709"/>
        <w:rPr>
          <w:sz w:val="22"/>
          <w:szCs w:val="24"/>
        </w:rPr>
      </w:pPr>
    </w:p>
    <w:p w:rsidR="00F47ACA" w:rsidRDefault="00F47ACA" w:rsidP="00F47ACA">
      <w:pPr>
        <w:ind w:left="720"/>
      </w:pPr>
      <w:r>
        <w:t xml:space="preserve">The </w:t>
      </w:r>
      <w:r w:rsidRPr="002864D5">
        <w:rPr>
          <w:szCs w:val="22"/>
          <w:lang w:eastAsia="en-AU"/>
        </w:rPr>
        <w:t>concentration</w:t>
      </w:r>
      <w:r>
        <w:t xml:space="preserve"> of </w:t>
      </w:r>
      <w:proofErr w:type="spellStart"/>
      <w:r>
        <w:t>arbutin</w:t>
      </w:r>
      <w:proofErr w:type="spellEnd"/>
      <w:r>
        <w:t xml:space="preserve"> in the medicine must be no more than 25 mg/Kg or 25mg /L or 0.0025 % unless used on the hair.</w:t>
      </w:r>
    </w:p>
    <w:p w:rsidR="00F47ACA" w:rsidRDefault="00F47ACA" w:rsidP="00F47ACA">
      <w:pPr>
        <w:ind w:left="720"/>
      </w:pPr>
    </w:p>
    <w:p w:rsidR="008E168F" w:rsidRPr="00F47ACA" w:rsidRDefault="00F47ACA" w:rsidP="00F47ACA">
      <w:pPr>
        <w:ind w:left="720"/>
      </w:pPr>
      <w:r>
        <w:t xml:space="preserve">When for use on hair, the concentration of </w:t>
      </w:r>
      <w:proofErr w:type="spellStart"/>
      <w:r w:rsidRPr="002864D5">
        <w:rPr>
          <w:szCs w:val="22"/>
          <w:lang w:eastAsia="en-AU"/>
        </w:rPr>
        <w:t>arbutin</w:t>
      </w:r>
      <w:proofErr w:type="spellEnd"/>
      <w:r>
        <w:t xml:space="preserve"> in the medicine must be no more than 0.74 %.</w:t>
      </w:r>
    </w:p>
    <w:sectPr w:rsidR="008E168F" w:rsidRPr="00F47ACA" w:rsidSect="00F47AC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4E6" w:rsidRDefault="000664E6" w:rsidP="0048364F">
      <w:pPr>
        <w:spacing w:line="240" w:lineRule="auto"/>
      </w:pPr>
      <w:r>
        <w:separator/>
      </w:r>
    </w:p>
  </w:endnote>
  <w:endnote w:type="continuationSeparator" w:id="0">
    <w:p w:rsidR="000664E6" w:rsidRDefault="000664E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F03EDC" w:rsidRDefault="00B249A4" w:rsidP="00F03E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3EDC">
      <w:rPr>
        <w:i/>
        <w:sz w:val="18"/>
      </w:rPr>
      <w:t xml:space="preserve"> </w:t>
    </w:r>
    <w:r w:rsidR="00F03EDC" w:rsidRPr="00F03EDC">
      <w:rPr>
        <w:i/>
        <w:sz w:val="18"/>
      </w:rPr>
      <w:t>OPC62258 -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ED79B6" w:rsidRDefault="00B249A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F03EDC" w:rsidRDefault="00B249A4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249A4" w:rsidRPr="00F03EDC" w:rsidTr="005A03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249A4" w:rsidRPr="00F03EDC" w:rsidRDefault="00B249A4" w:rsidP="001D577B">
          <w:pPr>
            <w:spacing w:line="0" w:lineRule="atLeast"/>
            <w:rPr>
              <w:rFonts w:cs="Times New Roman"/>
              <w:i/>
              <w:sz w:val="18"/>
            </w:rPr>
          </w:pPr>
          <w:r w:rsidRPr="00F03EDC">
            <w:rPr>
              <w:rFonts w:cs="Times New Roman"/>
              <w:i/>
              <w:sz w:val="18"/>
            </w:rPr>
            <w:fldChar w:fldCharType="begin"/>
          </w:r>
          <w:r w:rsidRPr="00F03EDC">
            <w:rPr>
              <w:rFonts w:cs="Times New Roman"/>
              <w:i/>
              <w:sz w:val="18"/>
            </w:rPr>
            <w:instrText xml:space="preserve"> PAGE </w:instrText>
          </w:r>
          <w:r w:rsidRPr="00F03EDC">
            <w:rPr>
              <w:rFonts w:cs="Times New Roman"/>
              <w:i/>
              <w:sz w:val="18"/>
            </w:rPr>
            <w:fldChar w:fldCharType="separate"/>
          </w:r>
          <w:r w:rsidR="00772E3B">
            <w:rPr>
              <w:rFonts w:cs="Times New Roman"/>
              <w:i/>
              <w:noProof/>
              <w:sz w:val="18"/>
            </w:rPr>
            <w:t>ii</w:t>
          </w:r>
          <w:r w:rsidRPr="00F03ED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249A4" w:rsidRPr="00F03EDC" w:rsidRDefault="00B249A4" w:rsidP="001D577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03EDC">
            <w:rPr>
              <w:rFonts w:cs="Times New Roman"/>
              <w:i/>
              <w:sz w:val="18"/>
            </w:rPr>
            <w:fldChar w:fldCharType="begin"/>
          </w:r>
          <w:r w:rsidRPr="00F03EDC">
            <w:rPr>
              <w:rFonts w:cs="Times New Roman"/>
              <w:i/>
              <w:sz w:val="18"/>
            </w:rPr>
            <w:instrText xml:space="preserve"> DOCPROPERTY ShortT </w:instrText>
          </w:r>
          <w:r w:rsidRPr="00F03EDC">
            <w:rPr>
              <w:rFonts w:cs="Times New Roman"/>
              <w:i/>
              <w:sz w:val="18"/>
            </w:rPr>
            <w:fldChar w:fldCharType="separate"/>
          </w:r>
          <w:r w:rsidR="00B32A5F">
            <w:rPr>
              <w:rFonts w:cs="Times New Roman"/>
              <w:i/>
              <w:sz w:val="18"/>
            </w:rPr>
            <w:t>Therapeutic Goods (Permissible Ingredients) Amendment (2016 Measures No. 1) Determination 2016</w:t>
          </w:r>
          <w:r w:rsidRPr="00F03ED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249A4" w:rsidRPr="00F03EDC" w:rsidRDefault="00B249A4" w:rsidP="001D577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B249A4" w:rsidRPr="00F03EDC" w:rsidRDefault="00F03EDC" w:rsidP="00F03EDC">
    <w:pPr>
      <w:rPr>
        <w:rFonts w:cs="Times New Roman"/>
        <w:i/>
        <w:sz w:val="18"/>
      </w:rPr>
    </w:pPr>
    <w:r w:rsidRPr="00F03EDC">
      <w:rPr>
        <w:rFonts w:cs="Times New Roman"/>
        <w:i/>
        <w:sz w:val="18"/>
      </w:rPr>
      <w:t>OPC62258 -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E33C1C" w:rsidRDefault="00B249A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762"/>
      <w:gridCol w:w="710"/>
    </w:tblGrid>
    <w:tr w:rsidR="00220697" w:rsidTr="00617BCB">
      <w:tc>
        <w:tcPr>
          <w:tcW w:w="7762" w:type="dxa"/>
          <w:tcBorders>
            <w:top w:val="nil"/>
            <w:left w:val="nil"/>
            <w:bottom w:val="nil"/>
            <w:right w:val="nil"/>
          </w:tcBorders>
        </w:tcPr>
        <w:p w:rsidR="00220697" w:rsidRDefault="00220697" w:rsidP="00220697">
          <w:pPr>
            <w:spacing w:line="0" w:lineRule="atLeast"/>
            <w:jc w:val="right"/>
            <w:rPr>
              <w:sz w:val="18"/>
            </w:rPr>
          </w:pPr>
          <w:r w:rsidRPr="00220697">
            <w:rPr>
              <w:i/>
              <w:sz w:val="18"/>
            </w:rPr>
            <w:t>Therapeutic Goods (Permissible Ingredients) Amendment Determination No. 2 of 2018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220697" w:rsidRDefault="00220697" w:rsidP="001D57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70F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249A4" w:rsidRPr="00ED79B6" w:rsidRDefault="00B249A4" w:rsidP="006D558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F03EDC" w:rsidRDefault="00B249A4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249A4" w:rsidRPr="00F03EDC" w:rsidTr="005A03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249A4" w:rsidRPr="00F03EDC" w:rsidRDefault="00B249A4" w:rsidP="001D577B">
          <w:pPr>
            <w:spacing w:line="0" w:lineRule="atLeast"/>
            <w:rPr>
              <w:rFonts w:cs="Times New Roman"/>
              <w:i/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249A4" w:rsidRPr="00F03EDC" w:rsidRDefault="00B249A4" w:rsidP="006D5581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03EDC">
            <w:rPr>
              <w:rFonts w:cs="Times New Roman"/>
              <w:i/>
              <w:sz w:val="18"/>
            </w:rPr>
            <w:fldChar w:fldCharType="begin"/>
          </w:r>
          <w:r w:rsidRPr="00F03EDC">
            <w:rPr>
              <w:rFonts w:cs="Times New Roman"/>
              <w:i/>
              <w:sz w:val="18"/>
            </w:rPr>
            <w:instrText xml:space="preserve"> DOCPROPERTY ShortT </w:instrText>
          </w:r>
          <w:r w:rsidRPr="00F03EDC">
            <w:rPr>
              <w:rFonts w:cs="Times New Roman"/>
              <w:i/>
              <w:sz w:val="18"/>
            </w:rPr>
            <w:fldChar w:fldCharType="separate"/>
          </w:r>
          <w:r w:rsidR="00B32A5F">
            <w:rPr>
              <w:rFonts w:cs="Times New Roman"/>
              <w:i/>
              <w:sz w:val="18"/>
            </w:rPr>
            <w:t>Therapeutic Goods (Permissible Ingredients) Amendment (2016 Measures No. 1) Determination 2016</w:t>
          </w:r>
          <w:r w:rsidRPr="00F03ED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249A4" w:rsidRPr="00F03EDC" w:rsidRDefault="00B249A4" w:rsidP="001D577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B249A4" w:rsidRPr="00F03EDC" w:rsidRDefault="00B249A4" w:rsidP="006D5581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E33C1C" w:rsidRDefault="00B249A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763"/>
      <w:gridCol w:w="709"/>
    </w:tblGrid>
    <w:tr w:rsidR="00220697" w:rsidTr="005435CD">
      <w:tc>
        <w:tcPr>
          <w:tcW w:w="7763" w:type="dxa"/>
          <w:tcBorders>
            <w:top w:val="nil"/>
            <w:left w:val="nil"/>
            <w:bottom w:val="nil"/>
            <w:right w:val="nil"/>
          </w:tcBorders>
        </w:tcPr>
        <w:p w:rsidR="00220697" w:rsidRDefault="00220697" w:rsidP="00220697">
          <w:pPr>
            <w:spacing w:line="0" w:lineRule="atLeast"/>
            <w:jc w:val="center"/>
            <w:rPr>
              <w:sz w:val="18"/>
            </w:rPr>
          </w:pPr>
          <w:r w:rsidRPr="00220697">
            <w:rPr>
              <w:i/>
              <w:sz w:val="18"/>
            </w:rPr>
            <w:t>Therapeutic Goods (Permissible Ingredients) Amendment Determination No. 2 of 2018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20697" w:rsidRDefault="00220697" w:rsidP="001D57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70F9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249A4" w:rsidRPr="00ED79B6" w:rsidRDefault="00B249A4" w:rsidP="006D558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E33C1C" w:rsidRDefault="00B249A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249A4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249A4" w:rsidRDefault="00B249A4" w:rsidP="001D57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249A4" w:rsidRDefault="00B249A4" w:rsidP="001D57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2A5F">
            <w:rPr>
              <w:i/>
              <w:sz w:val="18"/>
            </w:rPr>
            <w:t>Therapeutic Goods (Permissible Ingredients) Amendment (2016 Measures No. 1)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249A4" w:rsidRDefault="00B249A4" w:rsidP="001D57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2E3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249A4" w:rsidRPr="00ED79B6" w:rsidRDefault="00B249A4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4E6" w:rsidRDefault="000664E6" w:rsidP="0048364F">
      <w:pPr>
        <w:spacing w:line="240" w:lineRule="auto"/>
      </w:pPr>
      <w:r>
        <w:separator/>
      </w:r>
    </w:p>
  </w:footnote>
  <w:footnote w:type="continuationSeparator" w:id="0">
    <w:p w:rsidR="000664E6" w:rsidRDefault="000664E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5F1388" w:rsidRDefault="00B249A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5F1388" w:rsidRDefault="00B249A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5F1388" w:rsidRDefault="00B249A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ED79B6" w:rsidRDefault="00B249A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ED79B6" w:rsidRDefault="00B249A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ED79B6" w:rsidRDefault="00B249A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A961C4" w:rsidRDefault="00B249A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B249A4" w:rsidRPr="00A961C4" w:rsidRDefault="00B249A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249A4" w:rsidRPr="00A961C4" w:rsidRDefault="00B249A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A961C4" w:rsidRDefault="00B249A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670F9">
      <w:rPr>
        <w:sz w:val="20"/>
      </w:rPr>
      <w:fldChar w:fldCharType="separate"/>
    </w:r>
    <w:r w:rsidR="007670F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670F9">
      <w:rPr>
        <w:b/>
        <w:sz w:val="20"/>
      </w:rPr>
      <w:fldChar w:fldCharType="separate"/>
    </w:r>
    <w:r w:rsidR="007670F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B249A4" w:rsidRPr="00A961C4" w:rsidRDefault="00B249A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249A4" w:rsidRPr="00A961C4" w:rsidRDefault="00B249A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A961C4" w:rsidRDefault="00B249A4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E53AA8"/>
    <w:multiLevelType w:val="hybridMultilevel"/>
    <w:tmpl w:val="1B481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BD"/>
    <w:rsid w:val="00000263"/>
    <w:rsid w:val="000113BC"/>
    <w:rsid w:val="000130C3"/>
    <w:rsid w:val="000136AF"/>
    <w:rsid w:val="00014DE1"/>
    <w:rsid w:val="0004044E"/>
    <w:rsid w:val="0005120E"/>
    <w:rsid w:val="00053F8F"/>
    <w:rsid w:val="00054577"/>
    <w:rsid w:val="000614BF"/>
    <w:rsid w:val="000664E6"/>
    <w:rsid w:val="0007007E"/>
    <w:rsid w:val="0007169C"/>
    <w:rsid w:val="000754DF"/>
    <w:rsid w:val="00077269"/>
    <w:rsid w:val="00077593"/>
    <w:rsid w:val="00083F48"/>
    <w:rsid w:val="000900A1"/>
    <w:rsid w:val="0009531A"/>
    <w:rsid w:val="000967A9"/>
    <w:rsid w:val="000A7DF9"/>
    <w:rsid w:val="000B67B6"/>
    <w:rsid w:val="000C56C2"/>
    <w:rsid w:val="000D05EF"/>
    <w:rsid w:val="000D2A6A"/>
    <w:rsid w:val="000D5485"/>
    <w:rsid w:val="000F21C1"/>
    <w:rsid w:val="0010114B"/>
    <w:rsid w:val="00102152"/>
    <w:rsid w:val="0010308C"/>
    <w:rsid w:val="00105D72"/>
    <w:rsid w:val="0010745C"/>
    <w:rsid w:val="00117277"/>
    <w:rsid w:val="0012556C"/>
    <w:rsid w:val="0013524E"/>
    <w:rsid w:val="001408BE"/>
    <w:rsid w:val="00160BD7"/>
    <w:rsid w:val="001643C9"/>
    <w:rsid w:val="00165568"/>
    <w:rsid w:val="00166082"/>
    <w:rsid w:val="00166C2F"/>
    <w:rsid w:val="001716C9"/>
    <w:rsid w:val="001810DD"/>
    <w:rsid w:val="00184261"/>
    <w:rsid w:val="00193461"/>
    <w:rsid w:val="001939E1"/>
    <w:rsid w:val="00195382"/>
    <w:rsid w:val="00196C0D"/>
    <w:rsid w:val="001A3B9F"/>
    <w:rsid w:val="001A65C0"/>
    <w:rsid w:val="001B0395"/>
    <w:rsid w:val="001B6456"/>
    <w:rsid w:val="001B7A5D"/>
    <w:rsid w:val="001C69C4"/>
    <w:rsid w:val="001D577B"/>
    <w:rsid w:val="001E0A8D"/>
    <w:rsid w:val="001E3590"/>
    <w:rsid w:val="001E4BC2"/>
    <w:rsid w:val="001E5A7E"/>
    <w:rsid w:val="001E7407"/>
    <w:rsid w:val="00201D27"/>
    <w:rsid w:val="0020300C"/>
    <w:rsid w:val="00214FCC"/>
    <w:rsid w:val="00220697"/>
    <w:rsid w:val="00220A0C"/>
    <w:rsid w:val="00223E4A"/>
    <w:rsid w:val="002302EA"/>
    <w:rsid w:val="00240749"/>
    <w:rsid w:val="002468D7"/>
    <w:rsid w:val="002646CF"/>
    <w:rsid w:val="00276C50"/>
    <w:rsid w:val="002837E1"/>
    <w:rsid w:val="00285CDD"/>
    <w:rsid w:val="00291167"/>
    <w:rsid w:val="002918D5"/>
    <w:rsid w:val="00297ECB"/>
    <w:rsid w:val="002B37D2"/>
    <w:rsid w:val="002B3C35"/>
    <w:rsid w:val="002B7F8A"/>
    <w:rsid w:val="002C152A"/>
    <w:rsid w:val="002C36FB"/>
    <w:rsid w:val="002D043A"/>
    <w:rsid w:val="00305B08"/>
    <w:rsid w:val="0031713F"/>
    <w:rsid w:val="003254BD"/>
    <w:rsid w:val="00332E0D"/>
    <w:rsid w:val="003415D3"/>
    <w:rsid w:val="003447E1"/>
    <w:rsid w:val="00346335"/>
    <w:rsid w:val="00352B0F"/>
    <w:rsid w:val="003552B8"/>
    <w:rsid w:val="003561B0"/>
    <w:rsid w:val="00367960"/>
    <w:rsid w:val="00367D94"/>
    <w:rsid w:val="00391C96"/>
    <w:rsid w:val="0039789D"/>
    <w:rsid w:val="003A0912"/>
    <w:rsid w:val="003A15AC"/>
    <w:rsid w:val="003A430D"/>
    <w:rsid w:val="003A56EB"/>
    <w:rsid w:val="003B0627"/>
    <w:rsid w:val="003B78E7"/>
    <w:rsid w:val="003C5F2B"/>
    <w:rsid w:val="003D0BFE"/>
    <w:rsid w:val="003D5700"/>
    <w:rsid w:val="003D693D"/>
    <w:rsid w:val="003F0F5A"/>
    <w:rsid w:val="003F4889"/>
    <w:rsid w:val="003F52E4"/>
    <w:rsid w:val="00400A30"/>
    <w:rsid w:val="004022CA"/>
    <w:rsid w:val="004116CD"/>
    <w:rsid w:val="00414ADE"/>
    <w:rsid w:val="00420C0B"/>
    <w:rsid w:val="00424CA9"/>
    <w:rsid w:val="004257BB"/>
    <w:rsid w:val="004261D9"/>
    <w:rsid w:val="0044291A"/>
    <w:rsid w:val="00460499"/>
    <w:rsid w:val="00463321"/>
    <w:rsid w:val="00467843"/>
    <w:rsid w:val="00474835"/>
    <w:rsid w:val="004778DF"/>
    <w:rsid w:val="004819C7"/>
    <w:rsid w:val="0048364F"/>
    <w:rsid w:val="00490BCE"/>
    <w:rsid w:val="00490F2E"/>
    <w:rsid w:val="00496DB3"/>
    <w:rsid w:val="00496F97"/>
    <w:rsid w:val="004A53EA"/>
    <w:rsid w:val="004C25CA"/>
    <w:rsid w:val="004C6A40"/>
    <w:rsid w:val="004F185E"/>
    <w:rsid w:val="004F1FAC"/>
    <w:rsid w:val="004F676E"/>
    <w:rsid w:val="00510EF0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8FA"/>
    <w:rsid w:val="00557C7A"/>
    <w:rsid w:val="00561204"/>
    <w:rsid w:val="00562A58"/>
    <w:rsid w:val="00575AFE"/>
    <w:rsid w:val="00581211"/>
    <w:rsid w:val="00584811"/>
    <w:rsid w:val="00593AA6"/>
    <w:rsid w:val="00594161"/>
    <w:rsid w:val="00594749"/>
    <w:rsid w:val="005A03F9"/>
    <w:rsid w:val="005A482B"/>
    <w:rsid w:val="005B4067"/>
    <w:rsid w:val="005C341A"/>
    <w:rsid w:val="005C3F41"/>
    <w:rsid w:val="005C7D72"/>
    <w:rsid w:val="005D168D"/>
    <w:rsid w:val="005D5EA1"/>
    <w:rsid w:val="005E61D3"/>
    <w:rsid w:val="005F7738"/>
    <w:rsid w:val="00600219"/>
    <w:rsid w:val="00604115"/>
    <w:rsid w:val="00604408"/>
    <w:rsid w:val="00606F51"/>
    <w:rsid w:val="00613EAD"/>
    <w:rsid w:val="006158AC"/>
    <w:rsid w:val="00615A55"/>
    <w:rsid w:val="006223C3"/>
    <w:rsid w:val="00637BF6"/>
    <w:rsid w:val="00640402"/>
    <w:rsid w:val="00640F78"/>
    <w:rsid w:val="00646E7B"/>
    <w:rsid w:val="0065309A"/>
    <w:rsid w:val="00655D6A"/>
    <w:rsid w:val="00656DE9"/>
    <w:rsid w:val="006676FE"/>
    <w:rsid w:val="00672ECA"/>
    <w:rsid w:val="00677CC2"/>
    <w:rsid w:val="00684FA2"/>
    <w:rsid w:val="00685F42"/>
    <w:rsid w:val="0068602C"/>
    <w:rsid w:val="006866A1"/>
    <w:rsid w:val="0069207B"/>
    <w:rsid w:val="006A4309"/>
    <w:rsid w:val="006B2FAF"/>
    <w:rsid w:val="006B687D"/>
    <w:rsid w:val="006B7006"/>
    <w:rsid w:val="006C383A"/>
    <w:rsid w:val="006C3E7C"/>
    <w:rsid w:val="006C7F8C"/>
    <w:rsid w:val="006D3C5E"/>
    <w:rsid w:val="006D5581"/>
    <w:rsid w:val="006D7AB9"/>
    <w:rsid w:val="00700B2C"/>
    <w:rsid w:val="00702F6B"/>
    <w:rsid w:val="00713084"/>
    <w:rsid w:val="00720FC2"/>
    <w:rsid w:val="00731E00"/>
    <w:rsid w:val="00732E9D"/>
    <w:rsid w:val="00733A41"/>
    <w:rsid w:val="0073491A"/>
    <w:rsid w:val="00741587"/>
    <w:rsid w:val="007440B7"/>
    <w:rsid w:val="00747993"/>
    <w:rsid w:val="00755A9E"/>
    <w:rsid w:val="007634AD"/>
    <w:rsid w:val="007670F9"/>
    <w:rsid w:val="007715C9"/>
    <w:rsid w:val="00772E3B"/>
    <w:rsid w:val="00774EDD"/>
    <w:rsid w:val="00775734"/>
    <w:rsid w:val="007757EC"/>
    <w:rsid w:val="00791373"/>
    <w:rsid w:val="00796390"/>
    <w:rsid w:val="00797607"/>
    <w:rsid w:val="007A35E6"/>
    <w:rsid w:val="007A3986"/>
    <w:rsid w:val="007A6863"/>
    <w:rsid w:val="007D45C1"/>
    <w:rsid w:val="007E7D4A"/>
    <w:rsid w:val="007F0B63"/>
    <w:rsid w:val="007F48ED"/>
    <w:rsid w:val="007F7947"/>
    <w:rsid w:val="007F7A77"/>
    <w:rsid w:val="00812F45"/>
    <w:rsid w:val="00821367"/>
    <w:rsid w:val="00824BC9"/>
    <w:rsid w:val="00826633"/>
    <w:rsid w:val="0084172C"/>
    <w:rsid w:val="00850B9A"/>
    <w:rsid w:val="00856A31"/>
    <w:rsid w:val="008754D0"/>
    <w:rsid w:val="008765BE"/>
    <w:rsid w:val="00877D48"/>
    <w:rsid w:val="0088345B"/>
    <w:rsid w:val="00887E4E"/>
    <w:rsid w:val="008972EB"/>
    <w:rsid w:val="008A04D6"/>
    <w:rsid w:val="008A16A5"/>
    <w:rsid w:val="008C2B5D"/>
    <w:rsid w:val="008C610C"/>
    <w:rsid w:val="008D0EE0"/>
    <w:rsid w:val="008D5B99"/>
    <w:rsid w:val="008D7A27"/>
    <w:rsid w:val="008E168F"/>
    <w:rsid w:val="008E4702"/>
    <w:rsid w:val="008E507F"/>
    <w:rsid w:val="008E69AA"/>
    <w:rsid w:val="008F4F1C"/>
    <w:rsid w:val="00922764"/>
    <w:rsid w:val="00932377"/>
    <w:rsid w:val="00943102"/>
    <w:rsid w:val="0094523D"/>
    <w:rsid w:val="00976A63"/>
    <w:rsid w:val="00983419"/>
    <w:rsid w:val="009B7020"/>
    <w:rsid w:val="009C3431"/>
    <w:rsid w:val="009C5989"/>
    <w:rsid w:val="009D08DA"/>
    <w:rsid w:val="009E2442"/>
    <w:rsid w:val="00A06860"/>
    <w:rsid w:val="00A136F5"/>
    <w:rsid w:val="00A20E9C"/>
    <w:rsid w:val="00A231E2"/>
    <w:rsid w:val="00A2550D"/>
    <w:rsid w:val="00A36851"/>
    <w:rsid w:val="00A40F55"/>
    <w:rsid w:val="00A4169B"/>
    <w:rsid w:val="00A50D55"/>
    <w:rsid w:val="00A5165B"/>
    <w:rsid w:val="00A52FDA"/>
    <w:rsid w:val="00A64912"/>
    <w:rsid w:val="00A70A74"/>
    <w:rsid w:val="00A77F6C"/>
    <w:rsid w:val="00A854D5"/>
    <w:rsid w:val="00AA0343"/>
    <w:rsid w:val="00AA0740"/>
    <w:rsid w:val="00AA2A5C"/>
    <w:rsid w:val="00AB78E9"/>
    <w:rsid w:val="00AC1100"/>
    <w:rsid w:val="00AD3467"/>
    <w:rsid w:val="00AD5641"/>
    <w:rsid w:val="00AE0F9B"/>
    <w:rsid w:val="00AF2707"/>
    <w:rsid w:val="00AF55FF"/>
    <w:rsid w:val="00AF6F48"/>
    <w:rsid w:val="00B032D8"/>
    <w:rsid w:val="00B03948"/>
    <w:rsid w:val="00B078F8"/>
    <w:rsid w:val="00B22B3F"/>
    <w:rsid w:val="00B249A4"/>
    <w:rsid w:val="00B26115"/>
    <w:rsid w:val="00B32A5F"/>
    <w:rsid w:val="00B32AE1"/>
    <w:rsid w:val="00B33B3C"/>
    <w:rsid w:val="00B3501C"/>
    <w:rsid w:val="00B40D74"/>
    <w:rsid w:val="00B42CBE"/>
    <w:rsid w:val="00B52663"/>
    <w:rsid w:val="00B56DCB"/>
    <w:rsid w:val="00B57042"/>
    <w:rsid w:val="00B622EF"/>
    <w:rsid w:val="00B770D2"/>
    <w:rsid w:val="00B848AD"/>
    <w:rsid w:val="00B93705"/>
    <w:rsid w:val="00B95F9E"/>
    <w:rsid w:val="00BA47A3"/>
    <w:rsid w:val="00BA5026"/>
    <w:rsid w:val="00BB6E79"/>
    <w:rsid w:val="00BC159D"/>
    <w:rsid w:val="00BD30B0"/>
    <w:rsid w:val="00BD6762"/>
    <w:rsid w:val="00BE3B31"/>
    <w:rsid w:val="00BE719A"/>
    <w:rsid w:val="00BE720A"/>
    <w:rsid w:val="00BF6650"/>
    <w:rsid w:val="00C046F1"/>
    <w:rsid w:val="00C067E5"/>
    <w:rsid w:val="00C10284"/>
    <w:rsid w:val="00C15397"/>
    <w:rsid w:val="00C164CA"/>
    <w:rsid w:val="00C34A49"/>
    <w:rsid w:val="00C40885"/>
    <w:rsid w:val="00C42BF8"/>
    <w:rsid w:val="00C460AE"/>
    <w:rsid w:val="00C50043"/>
    <w:rsid w:val="00C50A0F"/>
    <w:rsid w:val="00C510BA"/>
    <w:rsid w:val="00C7573B"/>
    <w:rsid w:val="00C76CF3"/>
    <w:rsid w:val="00C912FD"/>
    <w:rsid w:val="00CA2938"/>
    <w:rsid w:val="00CA52AA"/>
    <w:rsid w:val="00CA7844"/>
    <w:rsid w:val="00CB58EF"/>
    <w:rsid w:val="00CC0521"/>
    <w:rsid w:val="00CC6ED1"/>
    <w:rsid w:val="00CD3469"/>
    <w:rsid w:val="00CE7D64"/>
    <w:rsid w:val="00CF0BB2"/>
    <w:rsid w:val="00CF13D5"/>
    <w:rsid w:val="00CF630A"/>
    <w:rsid w:val="00D13441"/>
    <w:rsid w:val="00D243A3"/>
    <w:rsid w:val="00D2522A"/>
    <w:rsid w:val="00D3046A"/>
    <w:rsid w:val="00D3200B"/>
    <w:rsid w:val="00D33440"/>
    <w:rsid w:val="00D52EFE"/>
    <w:rsid w:val="00D56A0D"/>
    <w:rsid w:val="00D63EF6"/>
    <w:rsid w:val="00D65F39"/>
    <w:rsid w:val="00D66518"/>
    <w:rsid w:val="00D70DFB"/>
    <w:rsid w:val="00D71EEA"/>
    <w:rsid w:val="00D735CD"/>
    <w:rsid w:val="00D766DF"/>
    <w:rsid w:val="00D95891"/>
    <w:rsid w:val="00DB4F3B"/>
    <w:rsid w:val="00DB5CB4"/>
    <w:rsid w:val="00DD053A"/>
    <w:rsid w:val="00DE149E"/>
    <w:rsid w:val="00DF564A"/>
    <w:rsid w:val="00DF5B82"/>
    <w:rsid w:val="00E05704"/>
    <w:rsid w:val="00E12F1A"/>
    <w:rsid w:val="00E15854"/>
    <w:rsid w:val="00E21CFB"/>
    <w:rsid w:val="00E22935"/>
    <w:rsid w:val="00E54292"/>
    <w:rsid w:val="00E54E84"/>
    <w:rsid w:val="00E56F45"/>
    <w:rsid w:val="00E56F74"/>
    <w:rsid w:val="00E60191"/>
    <w:rsid w:val="00E62BAF"/>
    <w:rsid w:val="00E747E8"/>
    <w:rsid w:val="00E74DC7"/>
    <w:rsid w:val="00E8156C"/>
    <w:rsid w:val="00E87699"/>
    <w:rsid w:val="00E92E27"/>
    <w:rsid w:val="00E9586B"/>
    <w:rsid w:val="00E97334"/>
    <w:rsid w:val="00EB073E"/>
    <w:rsid w:val="00EB37A0"/>
    <w:rsid w:val="00EC2942"/>
    <w:rsid w:val="00ED24B7"/>
    <w:rsid w:val="00ED4928"/>
    <w:rsid w:val="00EE09FF"/>
    <w:rsid w:val="00EE1BC5"/>
    <w:rsid w:val="00EE6190"/>
    <w:rsid w:val="00EF2E3A"/>
    <w:rsid w:val="00EF3A31"/>
    <w:rsid w:val="00EF6402"/>
    <w:rsid w:val="00EF7050"/>
    <w:rsid w:val="00F03EDC"/>
    <w:rsid w:val="00F047E2"/>
    <w:rsid w:val="00F04D57"/>
    <w:rsid w:val="00F078DC"/>
    <w:rsid w:val="00F13E86"/>
    <w:rsid w:val="00F27621"/>
    <w:rsid w:val="00F32FCB"/>
    <w:rsid w:val="00F47ACA"/>
    <w:rsid w:val="00F65F7E"/>
    <w:rsid w:val="00F66E17"/>
    <w:rsid w:val="00F6709F"/>
    <w:rsid w:val="00F677A9"/>
    <w:rsid w:val="00F732EA"/>
    <w:rsid w:val="00F75F8B"/>
    <w:rsid w:val="00F84CF5"/>
    <w:rsid w:val="00F8612E"/>
    <w:rsid w:val="00F90481"/>
    <w:rsid w:val="00FA420B"/>
    <w:rsid w:val="00FE0781"/>
    <w:rsid w:val="00FF20E9"/>
    <w:rsid w:val="00FF39DE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03F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4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4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4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4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4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4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A03F9"/>
  </w:style>
  <w:style w:type="paragraph" w:customStyle="1" w:styleId="OPCParaBase">
    <w:name w:val="OPCParaBase"/>
    <w:qFormat/>
    <w:rsid w:val="005A03F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A03F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A03F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A03F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A03F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A03F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A03F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A03F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A03F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A03F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A03F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A03F9"/>
  </w:style>
  <w:style w:type="paragraph" w:customStyle="1" w:styleId="Blocks">
    <w:name w:val="Blocks"/>
    <w:aliases w:val="bb"/>
    <w:basedOn w:val="OPCParaBase"/>
    <w:qFormat/>
    <w:rsid w:val="005A03F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A03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A03F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A03F9"/>
    <w:rPr>
      <w:i/>
    </w:rPr>
  </w:style>
  <w:style w:type="paragraph" w:customStyle="1" w:styleId="BoxList">
    <w:name w:val="BoxList"/>
    <w:aliases w:val="bl"/>
    <w:basedOn w:val="BoxText"/>
    <w:qFormat/>
    <w:rsid w:val="005A03F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A03F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A03F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A03F9"/>
    <w:pPr>
      <w:ind w:left="1985" w:hanging="851"/>
    </w:pPr>
  </w:style>
  <w:style w:type="character" w:customStyle="1" w:styleId="CharAmPartNo">
    <w:name w:val="CharAmPartNo"/>
    <w:basedOn w:val="OPCCharBase"/>
    <w:qFormat/>
    <w:rsid w:val="005A03F9"/>
  </w:style>
  <w:style w:type="character" w:customStyle="1" w:styleId="CharAmPartText">
    <w:name w:val="CharAmPartText"/>
    <w:basedOn w:val="OPCCharBase"/>
    <w:qFormat/>
    <w:rsid w:val="005A03F9"/>
  </w:style>
  <w:style w:type="character" w:customStyle="1" w:styleId="CharAmSchNo">
    <w:name w:val="CharAmSchNo"/>
    <w:basedOn w:val="OPCCharBase"/>
    <w:qFormat/>
    <w:rsid w:val="005A03F9"/>
  </w:style>
  <w:style w:type="character" w:customStyle="1" w:styleId="CharAmSchText">
    <w:name w:val="CharAmSchText"/>
    <w:basedOn w:val="OPCCharBase"/>
    <w:qFormat/>
    <w:rsid w:val="005A03F9"/>
  </w:style>
  <w:style w:type="character" w:customStyle="1" w:styleId="CharBoldItalic">
    <w:name w:val="CharBoldItalic"/>
    <w:basedOn w:val="OPCCharBase"/>
    <w:uiPriority w:val="1"/>
    <w:qFormat/>
    <w:rsid w:val="005A03F9"/>
    <w:rPr>
      <w:b/>
      <w:i/>
    </w:rPr>
  </w:style>
  <w:style w:type="character" w:customStyle="1" w:styleId="CharChapNo">
    <w:name w:val="CharChapNo"/>
    <w:basedOn w:val="OPCCharBase"/>
    <w:uiPriority w:val="1"/>
    <w:qFormat/>
    <w:rsid w:val="005A03F9"/>
  </w:style>
  <w:style w:type="character" w:customStyle="1" w:styleId="CharChapText">
    <w:name w:val="CharChapText"/>
    <w:basedOn w:val="OPCCharBase"/>
    <w:uiPriority w:val="1"/>
    <w:qFormat/>
    <w:rsid w:val="005A03F9"/>
  </w:style>
  <w:style w:type="character" w:customStyle="1" w:styleId="CharDivNo">
    <w:name w:val="CharDivNo"/>
    <w:basedOn w:val="OPCCharBase"/>
    <w:uiPriority w:val="1"/>
    <w:qFormat/>
    <w:rsid w:val="005A03F9"/>
  </w:style>
  <w:style w:type="character" w:customStyle="1" w:styleId="CharDivText">
    <w:name w:val="CharDivText"/>
    <w:basedOn w:val="OPCCharBase"/>
    <w:uiPriority w:val="1"/>
    <w:qFormat/>
    <w:rsid w:val="005A03F9"/>
  </w:style>
  <w:style w:type="character" w:customStyle="1" w:styleId="CharItalic">
    <w:name w:val="CharItalic"/>
    <w:basedOn w:val="OPCCharBase"/>
    <w:uiPriority w:val="1"/>
    <w:qFormat/>
    <w:rsid w:val="005A03F9"/>
    <w:rPr>
      <w:i/>
    </w:rPr>
  </w:style>
  <w:style w:type="character" w:customStyle="1" w:styleId="CharPartNo">
    <w:name w:val="CharPartNo"/>
    <w:basedOn w:val="OPCCharBase"/>
    <w:uiPriority w:val="1"/>
    <w:qFormat/>
    <w:rsid w:val="005A03F9"/>
  </w:style>
  <w:style w:type="character" w:customStyle="1" w:styleId="CharPartText">
    <w:name w:val="CharPartText"/>
    <w:basedOn w:val="OPCCharBase"/>
    <w:uiPriority w:val="1"/>
    <w:qFormat/>
    <w:rsid w:val="005A03F9"/>
  </w:style>
  <w:style w:type="character" w:customStyle="1" w:styleId="CharSectno">
    <w:name w:val="CharSectno"/>
    <w:basedOn w:val="OPCCharBase"/>
    <w:qFormat/>
    <w:rsid w:val="005A03F9"/>
  </w:style>
  <w:style w:type="character" w:customStyle="1" w:styleId="CharSubdNo">
    <w:name w:val="CharSubdNo"/>
    <w:basedOn w:val="OPCCharBase"/>
    <w:uiPriority w:val="1"/>
    <w:qFormat/>
    <w:rsid w:val="005A03F9"/>
  </w:style>
  <w:style w:type="character" w:customStyle="1" w:styleId="CharSubdText">
    <w:name w:val="CharSubdText"/>
    <w:basedOn w:val="OPCCharBase"/>
    <w:uiPriority w:val="1"/>
    <w:qFormat/>
    <w:rsid w:val="005A03F9"/>
  </w:style>
  <w:style w:type="paragraph" w:customStyle="1" w:styleId="CTA--">
    <w:name w:val="CTA --"/>
    <w:basedOn w:val="OPCParaBase"/>
    <w:next w:val="Normal"/>
    <w:rsid w:val="005A03F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A03F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A03F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A03F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A03F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A03F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A03F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A03F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A03F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A03F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A03F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A03F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A03F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A03F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A03F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A03F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A03F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A03F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A03F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A03F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A03F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A03F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A03F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A03F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A03F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A03F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A03F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A03F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A03F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A03F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A03F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A03F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A03F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A03F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A03F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A03F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A03F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A03F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A03F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A03F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A03F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A03F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A03F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A03F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A03F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A03F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A03F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A03F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A03F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A03F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A03F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A03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A03F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A03F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A03F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A03F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A03F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A03F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A03F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A03F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A03F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A03F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A03F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A03F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A03F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A03F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A03F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A03F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A03F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A03F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A03F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A03F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A03F9"/>
    <w:rPr>
      <w:sz w:val="16"/>
    </w:rPr>
  </w:style>
  <w:style w:type="table" w:customStyle="1" w:styleId="CFlag">
    <w:name w:val="CFlag"/>
    <w:basedOn w:val="TableNormal"/>
    <w:uiPriority w:val="99"/>
    <w:rsid w:val="005A03F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A03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A03F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A03F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A03F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A03F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A03F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A03F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A03F9"/>
    <w:pPr>
      <w:spacing w:before="120"/>
    </w:pPr>
  </w:style>
  <w:style w:type="paragraph" w:customStyle="1" w:styleId="CompiledActNo">
    <w:name w:val="CompiledActNo"/>
    <w:basedOn w:val="OPCParaBase"/>
    <w:next w:val="Normal"/>
    <w:rsid w:val="005A03F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A03F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A03F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A03F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A03F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A03F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A03F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A03F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A03F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A03F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A03F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A03F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A03F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A03F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A03F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A03F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A03F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A03F9"/>
  </w:style>
  <w:style w:type="character" w:customStyle="1" w:styleId="CharSubPartNoCASA">
    <w:name w:val="CharSubPartNo(CASA)"/>
    <w:basedOn w:val="OPCCharBase"/>
    <w:uiPriority w:val="1"/>
    <w:rsid w:val="005A03F9"/>
  </w:style>
  <w:style w:type="paragraph" w:customStyle="1" w:styleId="ENoteTTIndentHeadingSub">
    <w:name w:val="ENoteTTIndentHeadingSub"/>
    <w:aliases w:val="enTTHis"/>
    <w:basedOn w:val="OPCParaBase"/>
    <w:rsid w:val="005A03F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A03F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A03F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A03F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A03F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A03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A03F9"/>
    <w:rPr>
      <w:sz w:val="22"/>
    </w:rPr>
  </w:style>
  <w:style w:type="paragraph" w:customStyle="1" w:styleId="SOTextNote">
    <w:name w:val="SO TextNote"/>
    <w:aliases w:val="sont"/>
    <w:basedOn w:val="SOText"/>
    <w:qFormat/>
    <w:rsid w:val="005A03F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A03F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A03F9"/>
    <w:rPr>
      <w:sz w:val="22"/>
    </w:rPr>
  </w:style>
  <w:style w:type="paragraph" w:customStyle="1" w:styleId="FileName">
    <w:name w:val="FileName"/>
    <w:basedOn w:val="Normal"/>
    <w:rsid w:val="005A03F9"/>
  </w:style>
  <w:style w:type="paragraph" w:customStyle="1" w:styleId="TableHeading">
    <w:name w:val="TableHeading"/>
    <w:aliases w:val="th"/>
    <w:basedOn w:val="OPCParaBase"/>
    <w:next w:val="Tabletext"/>
    <w:rsid w:val="005A03F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A03F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A03F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A03F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A03F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A03F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A03F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A03F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A03F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A03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A03F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A03F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254B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254B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4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4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4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4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4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4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4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2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2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5C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5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5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03F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4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4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4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4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4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4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A03F9"/>
  </w:style>
  <w:style w:type="paragraph" w:customStyle="1" w:styleId="OPCParaBase">
    <w:name w:val="OPCParaBase"/>
    <w:qFormat/>
    <w:rsid w:val="005A03F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A03F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A03F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A03F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A03F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A03F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A03F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A03F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A03F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A03F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A03F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A03F9"/>
  </w:style>
  <w:style w:type="paragraph" w:customStyle="1" w:styleId="Blocks">
    <w:name w:val="Blocks"/>
    <w:aliases w:val="bb"/>
    <w:basedOn w:val="OPCParaBase"/>
    <w:qFormat/>
    <w:rsid w:val="005A03F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A03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A03F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A03F9"/>
    <w:rPr>
      <w:i/>
    </w:rPr>
  </w:style>
  <w:style w:type="paragraph" w:customStyle="1" w:styleId="BoxList">
    <w:name w:val="BoxList"/>
    <w:aliases w:val="bl"/>
    <w:basedOn w:val="BoxText"/>
    <w:qFormat/>
    <w:rsid w:val="005A03F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A03F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A03F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A03F9"/>
    <w:pPr>
      <w:ind w:left="1985" w:hanging="851"/>
    </w:pPr>
  </w:style>
  <w:style w:type="character" w:customStyle="1" w:styleId="CharAmPartNo">
    <w:name w:val="CharAmPartNo"/>
    <w:basedOn w:val="OPCCharBase"/>
    <w:qFormat/>
    <w:rsid w:val="005A03F9"/>
  </w:style>
  <w:style w:type="character" w:customStyle="1" w:styleId="CharAmPartText">
    <w:name w:val="CharAmPartText"/>
    <w:basedOn w:val="OPCCharBase"/>
    <w:qFormat/>
    <w:rsid w:val="005A03F9"/>
  </w:style>
  <w:style w:type="character" w:customStyle="1" w:styleId="CharAmSchNo">
    <w:name w:val="CharAmSchNo"/>
    <w:basedOn w:val="OPCCharBase"/>
    <w:qFormat/>
    <w:rsid w:val="005A03F9"/>
  </w:style>
  <w:style w:type="character" w:customStyle="1" w:styleId="CharAmSchText">
    <w:name w:val="CharAmSchText"/>
    <w:basedOn w:val="OPCCharBase"/>
    <w:qFormat/>
    <w:rsid w:val="005A03F9"/>
  </w:style>
  <w:style w:type="character" w:customStyle="1" w:styleId="CharBoldItalic">
    <w:name w:val="CharBoldItalic"/>
    <w:basedOn w:val="OPCCharBase"/>
    <w:uiPriority w:val="1"/>
    <w:qFormat/>
    <w:rsid w:val="005A03F9"/>
    <w:rPr>
      <w:b/>
      <w:i/>
    </w:rPr>
  </w:style>
  <w:style w:type="character" w:customStyle="1" w:styleId="CharChapNo">
    <w:name w:val="CharChapNo"/>
    <w:basedOn w:val="OPCCharBase"/>
    <w:uiPriority w:val="1"/>
    <w:qFormat/>
    <w:rsid w:val="005A03F9"/>
  </w:style>
  <w:style w:type="character" w:customStyle="1" w:styleId="CharChapText">
    <w:name w:val="CharChapText"/>
    <w:basedOn w:val="OPCCharBase"/>
    <w:uiPriority w:val="1"/>
    <w:qFormat/>
    <w:rsid w:val="005A03F9"/>
  </w:style>
  <w:style w:type="character" w:customStyle="1" w:styleId="CharDivNo">
    <w:name w:val="CharDivNo"/>
    <w:basedOn w:val="OPCCharBase"/>
    <w:uiPriority w:val="1"/>
    <w:qFormat/>
    <w:rsid w:val="005A03F9"/>
  </w:style>
  <w:style w:type="character" w:customStyle="1" w:styleId="CharDivText">
    <w:name w:val="CharDivText"/>
    <w:basedOn w:val="OPCCharBase"/>
    <w:uiPriority w:val="1"/>
    <w:qFormat/>
    <w:rsid w:val="005A03F9"/>
  </w:style>
  <w:style w:type="character" w:customStyle="1" w:styleId="CharItalic">
    <w:name w:val="CharItalic"/>
    <w:basedOn w:val="OPCCharBase"/>
    <w:uiPriority w:val="1"/>
    <w:qFormat/>
    <w:rsid w:val="005A03F9"/>
    <w:rPr>
      <w:i/>
    </w:rPr>
  </w:style>
  <w:style w:type="character" w:customStyle="1" w:styleId="CharPartNo">
    <w:name w:val="CharPartNo"/>
    <w:basedOn w:val="OPCCharBase"/>
    <w:uiPriority w:val="1"/>
    <w:qFormat/>
    <w:rsid w:val="005A03F9"/>
  </w:style>
  <w:style w:type="character" w:customStyle="1" w:styleId="CharPartText">
    <w:name w:val="CharPartText"/>
    <w:basedOn w:val="OPCCharBase"/>
    <w:uiPriority w:val="1"/>
    <w:qFormat/>
    <w:rsid w:val="005A03F9"/>
  </w:style>
  <w:style w:type="character" w:customStyle="1" w:styleId="CharSectno">
    <w:name w:val="CharSectno"/>
    <w:basedOn w:val="OPCCharBase"/>
    <w:qFormat/>
    <w:rsid w:val="005A03F9"/>
  </w:style>
  <w:style w:type="character" w:customStyle="1" w:styleId="CharSubdNo">
    <w:name w:val="CharSubdNo"/>
    <w:basedOn w:val="OPCCharBase"/>
    <w:uiPriority w:val="1"/>
    <w:qFormat/>
    <w:rsid w:val="005A03F9"/>
  </w:style>
  <w:style w:type="character" w:customStyle="1" w:styleId="CharSubdText">
    <w:name w:val="CharSubdText"/>
    <w:basedOn w:val="OPCCharBase"/>
    <w:uiPriority w:val="1"/>
    <w:qFormat/>
    <w:rsid w:val="005A03F9"/>
  </w:style>
  <w:style w:type="paragraph" w:customStyle="1" w:styleId="CTA--">
    <w:name w:val="CTA --"/>
    <w:basedOn w:val="OPCParaBase"/>
    <w:next w:val="Normal"/>
    <w:rsid w:val="005A03F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A03F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A03F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A03F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A03F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A03F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A03F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A03F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A03F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A03F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A03F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A03F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A03F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A03F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A03F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A03F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A03F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A03F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A03F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A03F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A03F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A03F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A03F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A03F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A03F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A03F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A03F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A03F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A03F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A03F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A03F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A03F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A03F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A03F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A03F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A03F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A03F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A03F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A03F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A03F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A03F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A03F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A03F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A03F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A03F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A03F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A03F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A03F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A03F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A03F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A03F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A03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A03F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A03F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A03F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A03F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A03F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A03F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A03F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A03F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A03F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A03F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A03F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A03F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A03F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A03F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A03F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A03F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A03F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A03F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A03F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A03F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A03F9"/>
    <w:rPr>
      <w:sz w:val="16"/>
    </w:rPr>
  </w:style>
  <w:style w:type="table" w:customStyle="1" w:styleId="CFlag">
    <w:name w:val="CFlag"/>
    <w:basedOn w:val="TableNormal"/>
    <w:uiPriority w:val="99"/>
    <w:rsid w:val="005A03F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A03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A03F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A03F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A03F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A03F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A03F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A03F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A03F9"/>
    <w:pPr>
      <w:spacing w:before="120"/>
    </w:pPr>
  </w:style>
  <w:style w:type="paragraph" w:customStyle="1" w:styleId="CompiledActNo">
    <w:name w:val="CompiledActNo"/>
    <w:basedOn w:val="OPCParaBase"/>
    <w:next w:val="Normal"/>
    <w:rsid w:val="005A03F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A03F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A03F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A03F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A03F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A03F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A03F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A03F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A03F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A03F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A03F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A03F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A03F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A03F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A03F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A03F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A03F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A03F9"/>
  </w:style>
  <w:style w:type="character" w:customStyle="1" w:styleId="CharSubPartNoCASA">
    <w:name w:val="CharSubPartNo(CASA)"/>
    <w:basedOn w:val="OPCCharBase"/>
    <w:uiPriority w:val="1"/>
    <w:rsid w:val="005A03F9"/>
  </w:style>
  <w:style w:type="paragraph" w:customStyle="1" w:styleId="ENoteTTIndentHeadingSub">
    <w:name w:val="ENoteTTIndentHeadingSub"/>
    <w:aliases w:val="enTTHis"/>
    <w:basedOn w:val="OPCParaBase"/>
    <w:rsid w:val="005A03F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A03F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A03F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A03F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A03F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A03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A03F9"/>
    <w:rPr>
      <w:sz w:val="22"/>
    </w:rPr>
  </w:style>
  <w:style w:type="paragraph" w:customStyle="1" w:styleId="SOTextNote">
    <w:name w:val="SO TextNote"/>
    <w:aliases w:val="sont"/>
    <w:basedOn w:val="SOText"/>
    <w:qFormat/>
    <w:rsid w:val="005A03F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A03F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A03F9"/>
    <w:rPr>
      <w:sz w:val="22"/>
    </w:rPr>
  </w:style>
  <w:style w:type="paragraph" w:customStyle="1" w:styleId="FileName">
    <w:name w:val="FileName"/>
    <w:basedOn w:val="Normal"/>
    <w:rsid w:val="005A03F9"/>
  </w:style>
  <w:style w:type="paragraph" w:customStyle="1" w:styleId="TableHeading">
    <w:name w:val="TableHeading"/>
    <w:aliases w:val="th"/>
    <w:basedOn w:val="OPCParaBase"/>
    <w:next w:val="Tabletext"/>
    <w:rsid w:val="005A03F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A03F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A03F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A03F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A03F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A03F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A03F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A03F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A03F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A03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A03F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A03F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254B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254B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4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4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4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4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4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4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4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2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2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5C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5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955</Words>
  <Characters>5445</Characters>
  <Application>Microsoft Office Word</Application>
  <DocSecurity>0</DocSecurity>
  <PresentationFormat/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2016-09-23T08:32:00Z</cp:lastPrinted>
  <dcterms:created xsi:type="dcterms:W3CDTF">2018-07-03T01:02:00Z</dcterms:created>
  <dcterms:modified xsi:type="dcterms:W3CDTF">2018-07-03T01:02:00Z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Therapeutic Goods (Permissible Ingredients) Amendment (2016 Measures No. 1) Determination 2016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OPC62258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subsection 26BB(1) of the Therapeutic Goods Act 1989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30 September 2016</vt:lpwstr>
  </property>
</Properties>
</file>