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6550" w14:textId="6A8208AB" w:rsidR="003C5A03" w:rsidRPr="00F157AE" w:rsidRDefault="003C5A03" w:rsidP="003C5A03">
      <w:pPr>
        <w:keepNext/>
        <w:shd w:val="clear" w:color="auto" w:fill="FFFFFF"/>
        <w:spacing w:before="100" w:beforeAutospacing="1" w:after="0" w:line="240" w:lineRule="auto"/>
        <w:jc w:val="center"/>
        <w:rPr>
          <w:rFonts w:ascii="Arial" w:eastAsia="Times New Roman" w:hAnsi="Arial" w:cs="Arial"/>
          <w:sz w:val="19"/>
          <w:szCs w:val="19"/>
          <w:lang w:val="en-US" w:eastAsia="en-AU"/>
        </w:rPr>
      </w:pPr>
      <w:r w:rsidRPr="00F157AE">
        <w:rPr>
          <w:rFonts w:ascii="Times New Roman" w:eastAsia="Times New Roman" w:hAnsi="Times New Roman" w:cs="Times New Roman"/>
          <w:b/>
          <w:bCs/>
          <w:sz w:val="24"/>
          <w:szCs w:val="24"/>
          <w:u w:val="single"/>
          <w:lang w:eastAsia="en-AU"/>
        </w:rPr>
        <w:t>EXPLANATORY STATEMENT</w:t>
      </w:r>
    </w:p>
    <w:p w14:paraId="717C7CCF" w14:textId="77777777" w:rsidR="003C5A03" w:rsidRPr="00F157AE" w:rsidRDefault="003C5A03" w:rsidP="003C5A03">
      <w:pPr>
        <w:keepNext/>
        <w:shd w:val="clear" w:color="auto" w:fill="FFFFFF"/>
        <w:spacing w:before="100" w:beforeAutospacing="1" w:after="0" w:line="240" w:lineRule="auto"/>
        <w:jc w:val="center"/>
        <w:rPr>
          <w:rFonts w:ascii="Arial" w:eastAsia="Times New Roman" w:hAnsi="Arial" w:cs="Arial"/>
          <w:sz w:val="19"/>
          <w:szCs w:val="19"/>
          <w:lang w:val="en-US" w:eastAsia="en-AU"/>
        </w:rPr>
      </w:pPr>
      <w:r w:rsidRPr="00F157AE">
        <w:rPr>
          <w:rFonts w:ascii="Times New Roman" w:eastAsia="Times New Roman" w:hAnsi="Times New Roman" w:cs="Times New Roman"/>
          <w:b/>
          <w:bCs/>
          <w:sz w:val="24"/>
          <w:szCs w:val="24"/>
          <w:lang w:eastAsia="en-AU"/>
        </w:rPr>
        <w:t> </w:t>
      </w:r>
    </w:p>
    <w:p w14:paraId="4FCD0DBB" w14:textId="77777777" w:rsidR="003C5A03" w:rsidRPr="00F157AE" w:rsidRDefault="003C5A03" w:rsidP="003C5A03">
      <w:pPr>
        <w:shd w:val="clear" w:color="auto" w:fill="FFFFFF"/>
        <w:spacing w:before="100" w:beforeAutospacing="1" w:after="0" w:line="240" w:lineRule="auto"/>
        <w:jc w:val="center"/>
        <w:rPr>
          <w:rFonts w:ascii="Arial" w:eastAsia="Times New Roman" w:hAnsi="Arial" w:cs="Arial"/>
          <w:sz w:val="19"/>
          <w:szCs w:val="19"/>
          <w:lang w:val="en-US" w:eastAsia="en-AU"/>
        </w:rPr>
      </w:pPr>
      <w:r>
        <w:rPr>
          <w:rFonts w:ascii="Times New Roman" w:eastAsia="Times New Roman" w:hAnsi="Times New Roman" w:cs="Times New Roman"/>
          <w:sz w:val="24"/>
          <w:szCs w:val="24"/>
          <w:lang w:eastAsia="en-AU"/>
        </w:rPr>
        <w:t>Issued by the Minister for Home Affairs</w:t>
      </w:r>
    </w:p>
    <w:p w14:paraId="08949495" w14:textId="77777777" w:rsidR="003C5A03" w:rsidRPr="00F157AE" w:rsidRDefault="003C5A03" w:rsidP="003C5A03">
      <w:pPr>
        <w:shd w:val="clear" w:color="auto" w:fill="FFFFFF"/>
        <w:spacing w:before="100" w:beforeAutospacing="1" w:after="0" w:line="240" w:lineRule="auto"/>
        <w:jc w:val="center"/>
        <w:rPr>
          <w:rFonts w:ascii="Arial" w:eastAsia="Times New Roman" w:hAnsi="Arial" w:cs="Arial"/>
          <w:sz w:val="19"/>
          <w:szCs w:val="19"/>
          <w:lang w:val="en-US" w:eastAsia="en-AU"/>
        </w:rPr>
      </w:pPr>
      <w:r w:rsidRPr="00F157AE">
        <w:rPr>
          <w:rFonts w:ascii="Times New Roman" w:eastAsia="Times New Roman" w:hAnsi="Times New Roman" w:cs="Times New Roman"/>
          <w:sz w:val="24"/>
          <w:szCs w:val="24"/>
          <w:lang w:eastAsia="en-AU"/>
        </w:rPr>
        <w:t> </w:t>
      </w:r>
    </w:p>
    <w:p w14:paraId="4714BCD8" w14:textId="77777777" w:rsidR="003C5A03" w:rsidRPr="00F157AE" w:rsidRDefault="003C5A03" w:rsidP="003C5A03">
      <w:pPr>
        <w:shd w:val="clear" w:color="auto" w:fill="FFFFFF"/>
        <w:spacing w:before="100" w:beforeAutospacing="1" w:after="0" w:line="240" w:lineRule="auto"/>
        <w:jc w:val="center"/>
        <w:rPr>
          <w:rFonts w:ascii="Arial" w:eastAsia="Times New Roman" w:hAnsi="Arial" w:cs="Arial"/>
          <w:sz w:val="19"/>
          <w:szCs w:val="19"/>
          <w:lang w:val="en-US" w:eastAsia="en-AU"/>
        </w:rPr>
      </w:pPr>
      <w:r>
        <w:rPr>
          <w:rFonts w:ascii="Times New Roman" w:eastAsia="Times New Roman" w:hAnsi="Times New Roman" w:cs="Times New Roman"/>
          <w:i/>
          <w:iCs/>
          <w:sz w:val="24"/>
          <w:szCs w:val="24"/>
          <w:lang w:eastAsia="en-AU"/>
        </w:rPr>
        <w:t>Security of Critical Infrastructure Act 2018</w:t>
      </w:r>
    </w:p>
    <w:p w14:paraId="019D8476" w14:textId="77777777" w:rsidR="003C5A03" w:rsidRPr="00F157AE" w:rsidRDefault="003C5A03" w:rsidP="003C5A03">
      <w:pPr>
        <w:shd w:val="clear" w:color="auto" w:fill="FFFFFF"/>
        <w:spacing w:before="100" w:beforeAutospacing="1" w:after="0" w:line="240" w:lineRule="auto"/>
        <w:rPr>
          <w:rFonts w:ascii="Arial" w:eastAsia="Times New Roman" w:hAnsi="Arial" w:cs="Arial"/>
          <w:sz w:val="19"/>
          <w:szCs w:val="19"/>
          <w:lang w:val="en-US" w:eastAsia="en-AU"/>
        </w:rPr>
      </w:pPr>
      <w:r w:rsidRPr="00F157AE">
        <w:rPr>
          <w:rFonts w:ascii="Times New Roman" w:eastAsia="Times New Roman" w:hAnsi="Times New Roman" w:cs="Times New Roman"/>
          <w:sz w:val="24"/>
          <w:szCs w:val="24"/>
          <w:lang w:eastAsia="en-AU"/>
        </w:rPr>
        <w:t> </w:t>
      </w:r>
    </w:p>
    <w:p w14:paraId="12EF5C1E" w14:textId="77777777" w:rsidR="003C5A03" w:rsidRPr="00F157AE" w:rsidRDefault="003C5A03" w:rsidP="003C5A03">
      <w:pPr>
        <w:keepNext/>
        <w:shd w:val="clear" w:color="auto" w:fill="FFFFFF"/>
        <w:spacing w:before="100" w:beforeAutospacing="1" w:after="0" w:line="240" w:lineRule="auto"/>
        <w:jc w:val="center"/>
        <w:rPr>
          <w:rFonts w:ascii="Arial" w:eastAsia="Times New Roman" w:hAnsi="Arial" w:cs="Arial"/>
          <w:sz w:val="19"/>
          <w:szCs w:val="19"/>
          <w:lang w:val="en-US" w:eastAsia="en-AU"/>
        </w:rPr>
      </w:pPr>
      <w:r>
        <w:rPr>
          <w:rFonts w:ascii="Times New Roman" w:eastAsia="Times New Roman" w:hAnsi="Times New Roman" w:cs="Times New Roman"/>
          <w:i/>
          <w:iCs/>
          <w:sz w:val="24"/>
          <w:szCs w:val="24"/>
          <w:lang w:eastAsia="en-AU"/>
        </w:rPr>
        <w:t>Security of Critical Infrastructure Rules 2018</w:t>
      </w:r>
    </w:p>
    <w:p w14:paraId="03AD95B0" w14:textId="77777777" w:rsidR="003C5A03" w:rsidRPr="00F157AE" w:rsidRDefault="003C5A03" w:rsidP="003C5A03">
      <w:pPr>
        <w:keepNext/>
        <w:shd w:val="clear" w:color="auto" w:fill="FFFFFF"/>
        <w:spacing w:before="100" w:beforeAutospacing="1" w:after="0" w:line="240" w:lineRule="auto"/>
        <w:rPr>
          <w:rFonts w:ascii="Arial" w:eastAsia="Times New Roman" w:hAnsi="Arial" w:cs="Arial"/>
          <w:sz w:val="19"/>
          <w:szCs w:val="19"/>
          <w:lang w:val="en-US" w:eastAsia="en-AU"/>
        </w:rPr>
      </w:pPr>
      <w:r w:rsidRPr="00F157AE">
        <w:rPr>
          <w:rFonts w:ascii="Times New Roman" w:eastAsia="Times New Roman" w:hAnsi="Times New Roman" w:cs="Times New Roman"/>
          <w:sz w:val="24"/>
          <w:szCs w:val="24"/>
          <w:lang w:eastAsia="en-AU"/>
        </w:rPr>
        <w:t> </w:t>
      </w:r>
    </w:p>
    <w:p w14:paraId="3554350D" w14:textId="546BFD34" w:rsidR="003C5A03" w:rsidRPr="005F7189" w:rsidRDefault="003C5A03" w:rsidP="005271FA">
      <w:pPr>
        <w:pStyle w:val="ListParagraph"/>
        <w:keepNext/>
        <w:numPr>
          <w:ilvl w:val="0"/>
          <w:numId w:val="7"/>
        </w:numPr>
        <w:shd w:val="clear" w:color="auto" w:fill="FFFFFF"/>
        <w:spacing w:after="240" w:afterAutospacing="0"/>
        <w:rPr>
          <w:rFonts w:ascii="Arial" w:hAnsi="Arial" w:cs="Arial"/>
          <w:sz w:val="19"/>
          <w:szCs w:val="19"/>
          <w:lang w:val="en-US"/>
        </w:rPr>
      </w:pPr>
      <w:r w:rsidRPr="00384A61">
        <w:t xml:space="preserve">The </w:t>
      </w:r>
      <w:r w:rsidRPr="00384A61">
        <w:rPr>
          <w:i/>
          <w:iCs/>
        </w:rPr>
        <w:t>Security of Critical Infrastructure Act 2018</w:t>
      </w:r>
      <w:r w:rsidRPr="00384A61">
        <w:t xml:space="preserve"> (the SOCI Act) is designed to strengthen the Government’s capacity to manage the national security risks of espionage, sabotage and coercion arising from foreign involvement in Australia’s critical infrastructure. </w:t>
      </w:r>
      <w:r w:rsidR="009F691F" w:rsidRPr="005F7189">
        <w:t>It does this by</w:t>
      </w:r>
      <w:r w:rsidRPr="005F7189">
        <w:t xml:space="preserve"> creat</w:t>
      </w:r>
      <w:r w:rsidR="009F691F" w:rsidRPr="005F7189">
        <w:t>ing</w:t>
      </w:r>
      <w:r w:rsidRPr="005F7189">
        <w:t xml:space="preserve"> a Register of Critical Infrastructure Assets </w:t>
      </w:r>
      <w:r w:rsidR="009F691F" w:rsidRPr="005F7189">
        <w:t>that captures</w:t>
      </w:r>
      <w:r w:rsidRPr="005F7189">
        <w:t xml:space="preserve"> ownership and operational information, as well as </w:t>
      </w:r>
      <w:r w:rsidR="009F691F" w:rsidRPr="005F7189">
        <w:t xml:space="preserve">introducing </w:t>
      </w:r>
      <w:r w:rsidRPr="005F7189">
        <w:t xml:space="preserve">a Ministerial directions power and an information-gathering power.  </w:t>
      </w:r>
    </w:p>
    <w:p w14:paraId="312BBB6F" w14:textId="4FAB999B" w:rsidR="003C5A03" w:rsidRPr="00F73A5A" w:rsidRDefault="003C5A03" w:rsidP="005271FA">
      <w:pPr>
        <w:pStyle w:val="ListParagraph"/>
        <w:keepNext/>
        <w:numPr>
          <w:ilvl w:val="0"/>
          <w:numId w:val="7"/>
        </w:numPr>
        <w:shd w:val="clear" w:color="auto" w:fill="FFFFFF"/>
        <w:spacing w:after="240" w:afterAutospacing="0"/>
        <w:rPr>
          <w:rFonts w:ascii="Arial" w:hAnsi="Arial" w:cs="Arial"/>
          <w:sz w:val="19"/>
          <w:szCs w:val="19"/>
          <w:lang w:val="en-US"/>
        </w:rPr>
      </w:pPr>
      <w:r w:rsidRPr="00384A61">
        <w:t>Subsection 61(1) of the SOCI Act provides that the Minister may, by legislative instrument, make rules prescribing matters, which are required or permitted to be prescribed</w:t>
      </w:r>
      <w:r w:rsidR="009F691F" w:rsidRPr="005F7189">
        <w:t xml:space="preserve"> by the Act</w:t>
      </w:r>
      <w:r w:rsidRPr="005F7189">
        <w:t xml:space="preserve">; or are necessary or convenient to be prescribed for carrying out or giving effect to the Act. </w:t>
      </w:r>
    </w:p>
    <w:p w14:paraId="3B62C0CA" w14:textId="3599B6B4" w:rsidR="003C5A03" w:rsidRPr="00F73A5A" w:rsidRDefault="003C5A03" w:rsidP="005271FA">
      <w:pPr>
        <w:pStyle w:val="ListParagraph"/>
        <w:keepNext/>
        <w:numPr>
          <w:ilvl w:val="0"/>
          <w:numId w:val="7"/>
        </w:numPr>
        <w:shd w:val="clear" w:color="auto" w:fill="FFFFFF"/>
        <w:spacing w:after="240" w:afterAutospacing="0"/>
        <w:rPr>
          <w:rFonts w:ascii="Arial" w:hAnsi="Arial" w:cs="Arial"/>
          <w:sz w:val="19"/>
          <w:szCs w:val="19"/>
          <w:lang w:val="en-US"/>
        </w:rPr>
      </w:pPr>
      <w:r w:rsidRPr="00384A61">
        <w:t xml:space="preserve">Paragraphs 7(1)(f) and (g) of the SOCI Act provide that the Minister may, by rules, prescribe the meaning of ‘operational information’ under section 7 to include descriptions of the arrangements under which data relating to a critical infrastructure asset is maintained; and any further information to be provided for the purposes of the paragraph. </w:t>
      </w:r>
    </w:p>
    <w:p w14:paraId="265DB981" w14:textId="6502E9BC" w:rsidR="003C5A03" w:rsidRPr="00F73A5A" w:rsidRDefault="003C5A03" w:rsidP="005271FA">
      <w:pPr>
        <w:pStyle w:val="ListParagraph"/>
        <w:keepNext/>
        <w:numPr>
          <w:ilvl w:val="0"/>
          <w:numId w:val="7"/>
        </w:numPr>
        <w:shd w:val="clear" w:color="auto" w:fill="FFFFFF"/>
        <w:spacing w:after="240" w:afterAutospacing="0"/>
      </w:pPr>
      <w:r w:rsidRPr="00384A61">
        <w:t xml:space="preserve">Subsection 10(2) of the SOCI Act provides that the Minister may, by rules, prescribe the requirements for an electricity generation station to be critical to ensuring the security and reliability of electricity networks or systems in a particular State or </w:t>
      </w:r>
      <w:r w:rsidRPr="005F7189">
        <w:t xml:space="preserve">Territory.  </w:t>
      </w:r>
    </w:p>
    <w:p w14:paraId="130BD6C2" w14:textId="5FC02621" w:rsidR="003C5A03" w:rsidRPr="00F73A5A" w:rsidRDefault="003C5A03" w:rsidP="005271FA">
      <w:pPr>
        <w:pStyle w:val="ListParagraph"/>
        <w:keepNext/>
        <w:numPr>
          <w:ilvl w:val="0"/>
          <w:numId w:val="7"/>
        </w:numPr>
        <w:shd w:val="clear" w:color="auto" w:fill="FFFFFF"/>
        <w:spacing w:after="240" w:afterAutospacing="0"/>
        <w:rPr>
          <w:rFonts w:ascii="Arial" w:hAnsi="Arial" w:cs="Arial"/>
          <w:sz w:val="19"/>
          <w:szCs w:val="19"/>
          <w:lang w:val="en-US"/>
        </w:rPr>
      </w:pPr>
      <w:r w:rsidRPr="00384A61">
        <w:t xml:space="preserve">Paragraphs 12(2)(a) and (b) of the SOCI Act provide that the Minister may, by rules, prescribe specified gas transmission pipelines or the requirements for gas transmission pipelines to be critical to ensuring the security and reliability of a gas market.  </w:t>
      </w:r>
    </w:p>
    <w:p w14:paraId="7221D3B9" w14:textId="30A877B6" w:rsidR="00AD09A8" w:rsidRDefault="0031079F" w:rsidP="005271FA">
      <w:pPr>
        <w:pStyle w:val="ListParagraph"/>
        <w:keepNext/>
        <w:numPr>
          <w:ilvl w:val="0"/>
          <w:numId w:val="7"/>
        </w:numPr>
        <w:shd w:val="clear" w:color="auto" w:fill="FFFFFF"/>
        <w:spacing w:after="240" w:afterAutospacing="0"/>
      </w:pPr>
      <w:r>
        <w:t xml:space="preserve">The </w:t>
      </w:r>
      <w:r w:rsidRPr="005271FA">
        <w:t>Security of Critical Infrastructure Rules 2018</w:t>
      </w:r>
      <w:r>
        <w:rPr>
          <w:b/>
          <w:i/>
        </w:rPr>
        <w:t xml:space="preserve"> </w:t>
      </w:r>
      <w:r>
        <w:t>(the SOCI Rules)</w:t>
      </w:r>
      <w:r w:rsidRPr="002A7492" w:rsidDel="002A7492">
        <w:rPr>
          <w:b/>
          <w:i/>
        </w:rPr>
        <w:t xml:space="preserve"> </w:t>
      </w:r>
      <w:r w:rsidR="00AD09A8">
        <w:t>are in subordination to the SOCI Act and:</w:t>
      </w:r>
    </w:p>
    <w:p w14:paraId="1284513F" w14:textId="4A055FAD" w:rsidR="00D70738" w:rsidRPr="005271FA" w:rsidRDefault="00AD09A8" w:rsidP="005271FA">
      <w:pPr>
        <w:pStyle w:val="ListParagraph"/>
        <w:numPr>
          <w:ilvl w:val="1"/>
          <w:numId w:val="7"/>
        </w:numPr>
        <w:shd w:val="clear" w:color="auto" w:fill="FFFFFF"/>
        <w:spacing w:after="0"/>
        <w:rPr>
          <w:rFonts w:ascii="Arial" w:hAnsi="Arial" w:cs="Arial"/>
          <w:sz w:val="19"/>
          <w:szCs w:val="19"/>
          <w:lang w:val="en-US"/>
        </w:rPr>
      </w:pPr>
      <w:r>
        <w:t>specif</w:t>
      </w:r>
      <w:r w:rsidR="00BD4678">
        <w:t>y</w:t>
      </w:r>
      <w:r>
        <w:t xml:space="preserve"> the</w:t>
      </w:r>
      <w:r w:rsidR="00D70738">
        <w:t xml:space="preserve"> requirements for an</w:t>
      </w:r>
      <w:r>
        <w:t xml:space="preserve"> electricity generation</w:t>
      </w:r>
      <w:r w:rsidR="00D70738">
        <w:t xml:space="preserve"> station</w:t>
      </w:r>
      <w:r>
        <w:t xml:space="preserve"> and gas transmission pipeline </w:t>
      </w:r>
      <w:r w:rsidR="00D70738">
        <w:t>to be considered a</w:t>
      </w:r>
      <w:r>
        <w:t xml:space="preserve"> ‘</w:t>
      </w:r>
      <w:r w:rsidRPr="005271FA">
        <w:rPr>
          <w:bCs/>
          <w:iCs/>
        </w:rPr>
        <w:t>critical infrastructure asset</w:t>
      </w:r>
      <w:r>
        <w:rPr>
          <w:bCs/>
          <w:iCs/>
        </w:rPr>
        <w:t>’</w:t>
      </w:r>
      <w:r>
        <w:rPr>
          <w:b/>
          <w:bCs/>
          <w:i/>
          <w:iCs/>
          <w:color w:val="1F497D"/>
        </w:rPr>
        <w:t xml:space="preserve"> </w:t>
      </w:r>
      <w:r w:rsidRPr="009B18E6">
        <w:rPr>
          <w:color w:val="000000" w:themeColor="text1"/>
        </w:rPr>
        <w:t xml:space="preserve">for the purposes of subsection 10(2) </w:t>
      </w:r>
      <w:r>
        <w:rPr>
          <w:color w:val="000000" w:themeColor="text1"/>
        </w:rPr>
        <w:t xml:space="preserve">and subsection 12(2) of the SOCI Act, </w:t>
      </w:r>
    </w:p>
    <w:p w14:paraId="6DDADBC7" w14:textId="4B345287" w:rsidR="00AD09A8" w:rsidRPr="005271FA" w:rsidRDefault="00D70738" w:rsidP="005271FA">
      <w:pPr>
        <w:pStyle w:val="ListParagraph"/>
        <w:numPr>
          <w:ilvl w:val="1"/>
          <w:numId w:val="7"/>
        </w:numPr>
        <w:shd w:val="clear" w:color="auto" w:fill="FFFFFF"/>
        <w:spacing w:after="0"/>
        <w:rPr>
          <w:rFonts w:ascii="Arial" w:hAnsi="Arial" w:cs="Arial"/>
          <w:sz w:val="19"/>
          <w:szCs w:val="19"/>
          <w:lang w:val="en-US"/>
        </w:rPr>
      </w:pPr>
      <w:r>
        <w:rPr>
          <w:color w:val="000000" w:themeColor="text1"/>
        </w:rPr>
        <w:t xml:space="preserve">prescribe the Tasmanian Gas Pipeline as a ‘critical infrastructure asset,’ </w:t>
      </w:r>
      <w:r w:rsidR="00AD09A8">
        <w:rPr>
          <w:color w:val="000000" w:themeColor="text1"/>
        </w:rPr>
        <w:t>and</w:t>
      </w:r>
    </w:p>
    <w:p w14:paraId="08ED6D6B" w14:textId="0D726FBF" w:rsidR="003C5A03" w:rsidRPr="00F73A5A" w:rsidRDefault="00AD09A8" w:rsidP="005271FA">
      <w:pPr>
        <w:pStyle w:val="ListParagraph"/>
        <w:numPr>
          <w:ilvl w:val="1"/>
          <w:numId w:val="7"/>
        </w:numPr>
        <w:shd w:val="clear" w:color="auto" w:fill="FFFFFF"/>
        <w:spacing w:after="120" w:afterAutospacing="0"/>
        <w:ind w:left="1434" w:hanging="357"/>
        <w:rPr>
          <w:rFonts w:ascii="Arial" w:hAnsi="Arial" w:cs="Arial"/>
          <w:sz w:val="19"/>
          <w:szCs w:val="19"/>
          <w:lang w:val="en-US"/>
        </w:rPr>
      </w:pPr>
      <w:r>
        <w:rPr>
          <w:color w:val="000000" w:themeColor="text1"/>
        </w:rPr>
        <w:lastRenderedPageBreak/>
        <w:t xml:space="preserve">ensure </w:t>
      </w:r>
      <w:r>
        <w:t>the Government has access to ‘</w:t>
      </w:r>
      <w:r w:rsidRPr="005271FA">
        <w:rPr>
          <w:bCs/>
          <w:iCs/>
        </w:rPr>
        <w:t>operational information</w:t>
      </w:r>
      <w:r>
        <w:rPr>
          <w:bCs/>
          <w:iCs/>
        </w:rPr>
        <w:t>,’</w:t>
      </w:r>
      <w:r>
        <w:rPr>
          <w:b/>
          <w:bCs/>
        </w:rPr>
        <w:t xml:space="preserve"> </w:t>
      </w:r>
      <w:r>
        <w:t>including that which relates to data arrangements under clause 5, in order to determine the national security risks in ‘</w:t>
      </w:r>
      <w:r w:rsidRPr="005271FA">
        <w:rPr>
          <w:bCs/>
          <w:iCs/>
        </w:rPr>
        <w:t>critical infrastructure assets</w:t>
      </w:r>
      <w:r>
        <w:rPr>
          <w:bCs/>
          <w:iCs/>
        </w:rPr>
        <w:t>.’</w:t>
      </w:r>
      <w:r w:rsidR="0031079F">
        <w:t xml:space="preserve"> </w:t>
      </w:r>
    </w:p>
    <w:p w14:paraId="57F14205" w14:textId="4DAA47DF" w:rsidR="003C5A03" w:rsidRDefault="003C5A03" w:rsidP="005271FA">
      <w:pPr>
        <w:pStyle w:val="ListParagraph"/>
        <w:keepNext/>
        <w:numPr>
          <w:ilvl w:val="0"/>
          <w:numId w:val="7"/>
        </w:numPr>
        <w:shd w:val="clear" w:color="auto" w:fill="FFFFFF"/>
        <w:spacing w:after="240" w:afterAutospacing="0"/>
      </w:pPr>
      <w:r w:rsidRPr="00384A61">
        <w:t>The Critical Infrastructure Centre (the Centre)</w:t>
      </w:r>
      <w:r w:rsidR="00350768">
        <w:t>, on behalf of the Government,</w:t>
      </w:r>
      <w:r w:rsidRPr="00384A61">
        <w:t xml:space="preserve"> undertook extensive stakeholder consultation during the development of the</w:t>
      </w:r>
      <w:r w:rsidR="00613187">
        <w:t xml:space="preserve"> SOCI</w:t>
      </w:r>
      <w:r w:rsidRPr="00384A61">
        <w:t xml:space="preserve"> Act in 2017</w:t>
      </w:r>
      <w:r w:rsidR="00057E5B">
        <w:t>.</w:t>
      </w:r>
      <w:r w:rsidR="00AD09A8">
        <w:t xml:space="preserve"> </w:t>
      </w:r>
      <w:r w:rsidR="00350768">
        <w:t>Following the passage of the SOCI Act, the Government undertook nationwide forums in May 2018. These forums</w:t>
      </w:r>
      <w:r w:rsidR="00613187">
        <w:t xml:space="preserve"> in each jurisdiction </w:t>
      </w:r>
      <w:r w:rsidR="00BD4678">
        <w:t>involved further consultation</w:t>
      </w:r>
      <w:r w:rsidR="00613187">
        <w:t xml:space="preserve"> on the intended arrangements in the SOCI Rule</w:t>
      </w:r>
      <w:r w:rsidR="000C24F1">
        <w:t>s</w:t>
      </w:r>
      <w:r w:rsidR="00613187">
        <w:t xml:space="preserve"> and provide</w:t>
      </w:r>
      <w:r w:rsidR="00BD4678">
        <w:t>d</w:t>
      </w:r>
      <w:r w:rsidR="00613187">
        <w:t xml:space="preserve"> additional </w:t>
      </w:r>
      <w:r w:rsidR="001E7923">
        <w:t>guidance</w:t>
      </w:r>
      <w:r w:rsidR="00613187">
        <w:t xml:space="preserve"> on the powers, functions and obligations in the SOCI Act.</w:t>
      </w:r>
    </w:p>
    <w:p w14:paraId="5D075949" w14:textId="03C04605" w:rsidR="003C5A03" w:rsidRPr="00F73A5A" w:rsidRDefault="003C5A03" w:rsidP="005271FA">
      <w:pPr>
        <w:pStyle w:val="ListParagraph"/>
        <w:keepNext/>
        <w:numPr>
          <w:ilvl w:val="0"/>
          <w:numId w:val="7"/>
        </w:numPr>
        <w:shd w:val="clear" w:color="auto" w:fill="FFFFFF"/>
        <w:spacing w:after="240" w:afterAutospacing="0"/>
        <w:rPr>
          <w:rFonts w:ascii="Arial" w:hAnsi="Arial" w:cs="Arial"/>
          <w:sz w:val="19"/>
          <w:szCs w:val="19"/>
          <w:lang w:val="en-US"/>
        </w:rPr>
      </w:pPr>
      <w:r w:rsidRPr="00384A61">
        <w:t xml:space="preserve">Details of the SOCI Rules are set out in </w:t>
      </w:r>
      <w:r w:rsidRPr="00384A61">
        <w:rPr>
          <w:u w:val="single"/>
        </w:rPr>
        <w:t>Attachment A</w:t>
      </w:r>
      <w:r w:rsidRPr="00384A61">
        <w:t xml:space="preserve">.  In accordance with the </w:t>
      </w:r>
      <w:r w:rsidRPr="005F7189">
        <w:rPr>
          <w:i/>
          <w:iCs/>
        </w:rPr>
        <w:t>Human Rights (Parliamentary Scrutiny) Act 2011</w:t>
      </w:r>
      <w:r w:rsidRPr="005F7189">
        <w:t xml:space="preserve">, a Statement of Compatibility with Human Rights is at </w:t>
      </w:r>
      <w:r w:rsidRPr="005F7189">
        <w:rPr>
          <w:u w:val="single"/>
        </w:rPr>
        <w:t>Attachment B</w:t>
      </w:r>
      <w:r w:rsidRPr="005F7189">
        <w:t>.</w:t>
      </w:r>
    </w:p>
    <w:p w14:paraId="0D37551E" w14:textId="3D3DF9CD" w:rsidR="001724CF" w:rsidRPr="005271FA" w:rsidRDefault="003C5A03" w:rsidP="005271FA">
      <w:pPr>
        <w:pStyle w:val="ListParagraph"/>
        <w:keepNext/>
        <w:numPr>
          <w:ilvl w:val="0"/>
          <w:numId w:val="7"/>
        </w:numPr>
        <w:shd w:val="clear" w:color="auto" w:fill="FFFFFF"/>
        <w:spacing w:after="240" w:afterAutospacing="0"/>
        <w:rPr>
          <w:rFonts w:eastAsia="Calibri"/>
        </w:rPr>
      </w:pPr>
      <w:r w:rsidRPr="00384A61">
        <w:t xml:space="preserve">The SOCI Rules </w:t>
      </w:r>
      <w:r w:rsidR="00057E5B">
        <w:t>will</w:t>
      </w:r>
      <w:r w:rsidRPr="00384A61">
        <w:t xml:space="preserve"> commence on the same day as the Act, being 11 July 2018.    </w:t>
      </w:r>
    </w:p>
    <w:p w14:paraId="380F27D5" w14:textId="77777777" w:rsidR="001724CF" w:rsidRDefault="001724CF" w:rsidP="001724CF">
      <w:pPr>
        <w:spacing w:after="0" w:line="240" w:lineRule="auto"/>
        <w:rPr>
          <w:rFonts w:ascii="Times New Roman" w:eastAsia="Calibri" w:hAnsi="Times New Roman" w:cs="Times New Roman"/>
          <w:sz w:val="24"/>
          <w:szCs w:val="24"/>
          <w:lang w:eastAsia="en-AU"/>
        </w:rPr>
      </w:pPr>
    </w:p>
    <w:p w14:paraId="19887949" w14:textId="6909CD20" w:rsidR="001724CF" w:rsidRPr="001724CF" w:rsidRDefault="001724CF" w:rsidP="001724CF">
      <w:pPr>
        <w:spacing w:after="0" w:line="240" w:lineRule="auto"/>
        <w:rPr>
          <w:rFonts w:ascii="Times New Roman" w:eastAsia="Calibri" w:hAnsi="Times New Roman" w:cs="Times New Roman"/>
          <w:sz w:val="24"/>
          <w:szCs w:val="24"/>
          <w:lang w:eastAsia="en-AU"/>
        </w:rPr>
      </w:pPr>
      <w:r w:rsidRPr="001724CF">
        <w:rPr>
          <w:rFonts w:ascii="Times New Roman" w:eastAsia="Calibri" w:hAnsi="Times New Roman" w:cs="Times New Roman"/>
          <w:sz w:val="24"/>
          <w:szCs w:val="24"/>
          <w:lang w:eastAsia="en-AU"/>
        </w:rPr>
        <w:t>OPC62612 - A</w:t>
      </w:r>
    </w:p>
    <w:p w14:paraId="0656AC9E" w14:textId="4628D3E2" w:rsidR="001724CF" w:rsidRPr="00F157AE" w:rsidRDefault="001724CF" w:rsidP="003C5A03">
      <w:pPr>
        <w:shd w:val="clear" w:color="auto" w:fill="FFFFFF"/>
        <w:spacing w:before="100" w:beforeAutospacing="1" w:after="0" w:line="240" w:lineRule="auto"/>
        <w:rPr>
          <w:rFonts w:ascii="Arial" w:eastAsia="Times New Roman" w:hAnsi="Arial" w:cs="Arial"/>
          <w:sz w:val="19"/>
          <w:szCs w:val="19"/>
          <w:lang w:val="en-US" w:eastAsia="en-AU"/>
        </w:rPr>
      </w:pPr>
    </w:p>
    <w:p w14:paraId="67643647" w14:textId="77777777" w:rsidR="003C5A03" w:rsidRPr="00F157AE" w:rsidRDefault="003C5A03" w:rsidP="003C5A03">
      <w:pPr>
        <w:shd w:val="clear" w:color="auto" w:fill="FFFFFF"/>
        <w:spacing w:before="100" w:beforeAutospacing="1" w:after="0" w:line="240" w:lineRule="auto"/>
        <w:rPr>
          <w:rFonts w:ascii="Arial" w:eastAsia="Times New Roman" w:hAnsi="Arial" w:cs="Arial"/>
          <w:sz w:val="19"/>
          <w:szCs w:val="19"/>
          <w:lang w:val="en-US" w:eastAsia="en-AU"/>
        </w:rPr>
      </w:pPr>
      <w:r w:rsidRPr="00F157AE">
        <w:rPr>
          <w:rFonts w:ascii="Times New Roman" w:eastAsia="Times New Roman" w:hAnsi="Times New Roman" w:cs="Times New Roman"/>
          <w:i/>
          <w:iCs/>
          <w:sz w:val="24"/>
          <w:szCs w:val="24"/>
          <w:lang w:eastAsia="en-AU"/>
        </w:rPr>
        <w:br w:type="page"/>
      </w:r>
      <w:r w:rsidRPr="00F157AE">
        <w:rPr>
          <w:rFonts w:ascii="Times New Roman" w:eastAsia="Times New Roman" w:hAnsi="Times New Roman" w:cs="Times New Roman"/>
          <w:i/>
          <w:iCs/>
          <w:sz w:val="24"/>
          <w:szCs w:val="24"/>
          <w:lang w:eastAsia="en-AU"/>
        </w:rPr>
        <w:lastRenderedPageBreak/>
        <w:t> </w:t>
      </w:r>
    </w:p>
    <w:p w14:paraId="0A831E8F" w14:textId="77777777" w:rsidR="003C5A03" w:rsidRPr="00F157AE" w:rsidRDefault="003C5A03" w:rsidP="003C5A03">
      <w:pPr>
        <w:shd w:val="clear" w:color="auto" w:fill="FFFFFF"/>
        <w:spacing w:before="100" w:beforeAutospacing="1" w:after="0" w:line="240" w:lineRule="auto"/>
        <w:jc w:val="right"/>
        <w:rPr>
          <w:rFonts w:ascii="Arial" w:eastAsia="Times New Roman" w:hAnsi="Arial" w:cs="Arial"/>
          <w:sz w:val="19"/>
          <w:szCs w:val="19"/>
          <w:lang w:val="en-US" w:eastAsia="en-AU"/>
        </w:rPr>
      </w:pPr>
      <w:r w:rsidRPr="00F157AE">
        <w:rPr>
          <w:rFonts w:ascii="Times New Roman" w:eastAsia="Times New Roman" w:hAnsi="Times New Roman" w:cs="Times New Roman"/>
          <w:b/>
          <w:bCs/>
          <w:sz w:val="24"/>
          <w:szCs w:val="24"/>
          <w:u w:val="single"/>
          <w:lang w:eastAsia="en-AU"/>
        </w:rPr>
        <w:t>ATTACHMENT A</w:t>
      </w:r>
    </w:p>
    <w:p w14:paraId="57798DAC" w14:textId="77777777" w:rsidR="003C5A03" w:rsidRPr="00F157AE" w:rsidRDefault="003C5A03" w:rsidP="003C5A03">
      <w:pPr>
        <w:shd w:val="clear" w:color="auto" w:fill="FFFFFF"/>
        <w:spacing w:before="100" w:beforeAutospacing="1" w:after="0" w:line="240" w:lineRule="auto"/>
        <w:rPr>
          <w:rFonts w:ascii="Arial" w:eastAsia="Times New Roman" w:hAnsi="Arial" w:cs="Arial"/>
          <w:sz w:val="19"/>
          <w:szCs w:val="19"/>
          <w:lang w:val="en-US" w:eastAsia="en-AU"/>
        </w:rPr>
      </w:pPr>
      <w:r w:rsidRPr="00F157AE">
        <w:rPr>
          <w:rFonts w:ascii="Times New Roman" w:eastAsia="Times New Roman" w:hAnsi="Times New Roman" w:cs="Times New Roman"/>
          <w:b/>
          <w:bCs/>
          <w:sz w:val="24"/>
          <w:szCs w:val="24"/>
          <w:lang w:eastAsia="en-AU"/>
        </w:rPr>
        <w:t xml:space="preserve">Details of the </w:t>
      </w:r>
      <w:r>
        <w:rPr>
          <w:rFonts w:ascii="Times New Roman" w:eastAsia="Times New Roman" w:hAnsi="Times New Roman" w:cs="Times New Roman"/>
          <w:b/>
          <w:bCs/>
          <w:i/>
          <w:iCs/>
          <w:sz w:val="24"/>
          <w:szCs w:val="24"/>
          <w:lang w:eastAsia="en-AU"/>
        </w:rPr>
        <w:t>Security of Critical Infrastructure Rules 2018</w:t>
      </w:r>
    </w:p>
    <w:p w14:paraId="6D3CDB6B" w14:textId="22674874" w:rsidR="003C5A03" w:rsidRDefault="00044D40" w:rsidP="003C5A03">
      <w:pPr>
        <w:shd w:val="clear" w:color="auto" w:fill="FFFFFF"/>
        <w:spacing w:before="100" w:beforeAutospacing="1" w:after="0" w:line="240" w:lineRule="auto"/>
        <w:rPr>
          <w:rFonts w:ascii="Arial" w:eastAsia="Times New Roman" w:hAnsi="Arial" w:cs="Arial"/>
          <w:sz w:val="19"/>
          <w:szCs w:val="19"/>
          <w:lang w:val="en-US" w:eastAsia="en-AU"/>
        </w:rPr>
      </w:pPr>
      <w:r>
        <w:rPr>
          <w:rFonts w:ascii="Times New Roman" w:eastAsia="Times New Roman" w:hAnsi="Times New Roman" w:cs="Times New Roman"/>
          <w:sz w:val="24"/>
          <w:szCs w:val="24"/>
          <w:lang w:eastAsia="en-AU"/>
        </w:rPr>
        <w:t>PART 1- PRELIMINARY</w:t>
      </w:r>
    </w:p>
    <w:p w14:paraId="5AAE0B21" w14:textId="21A53F95" w:rsidR="003C5A03" w:rsidRPr="00F157AE" w:rsidRDefault="00F5495B" w:rsidP="003C5A03">
      <w:pPr>
        <w:shd w:val="clear" w:color="auto" w:fill="FFFFFF"/>
        <w:spacing w:before="100" w:beforeAutospacing="1" w:after="0" w:line="240" w:lineRule="auto"/>
        <w:rPr>
          <w:rFonts w:ascii="Arial" w:eastAsia="Times New Roman" w:hAnsi="Arial" w:cs="Arial"/>
          <w:sz w:val="19"/>
          <w:szCs w:val="19"/>
          <w:lang w:val="en-US" w:eastAsia="en-AU"/>
        </w:rPr>
      </w:pPr>
      <w:r w:rsidRPr="00F5495B">
        <w:rPr>
          <w:rFonts w:ascii="Times New Roman" w:eastAsia="Times New Roman" w:hAnsi="Times New Roman" w:cs="Times New Roman"/>
          <w:sz w:val="24"/>
          <w:szCs w:val="24"/>
          <w:u w:val="single"/>
          <w:lang w:val="en-US" w:eastAsia="en-AU"/>
        </w:rPr>
        <w:t xml:space="preserve">Clause </w:t>
      </w:r>
      <w:r w:rsidR="003C5A03" w:rsidRPr="00F157AE">
        <w:rPr>
          <w:rFonts w:ascii="Times New Roman" w:eastAsia="Times New Roman" w:hAnsi="Times New Roman" w:cs="Times New Roman"/>
          <w:sz w:val="24"/>
          <w:szCs w:val="24"/>
          <w:u w:val="single"/>
          <w:lang w:eastAsia="en-AU"/>
        </w:rPr>
        <w:t>1 – Name</w:t>
      </w:r>
    </w:p>
    <w:p w14:paraId="61EDD7A3" w14:textId="51DB8FFD" w:rsidR="003C5A03" w:rsidRPr="005F7189" w:rsidRDefault="003C5A03" w:rsidP="005F7189">
      <w:pPr>
        <w:pStyle w:val="ListParagraph"/>
        <w:numPr>
          <w:ilvl w:val="0"/>
          <w:numId w:val="7"/>
        </w:numPr>
        <w:shd w:val="clear" w:color="auto" w:fill="FFFFFF"/>
        <w:spacing w:after="0"/>
        <w:rPr>
          <w:rFonts w:ascii="Arial" w:hAnsi="Arial" w:cs="Arial"/>
          <w:sz w:val="19"/>
          <w:szCs w:val="19"/>
          <w:lang w:val="en-US"/>
        </w:rPr>
      </w:pPr>
      <w:r w:rsidRPr="00384A61">
        <w:t>This clause provides that the title of the instrument is the</w:t>
      </w:r>
      <w:r w:rsidRPr="00384A61">
        <w:rPr>
          <w:i/>
        </w:rPr>
        <w:t xml:space="preserve"> Security of Critical Infrastructure Rules 2018. </w:t>
      </w:r>
    </w:p>
    <w:p w14:paraId="56FD646A" w14:textId="473AAF9E" w:rsidR="003C5A03" w:rsidRPr="00F157AE" w:rsidRDefault="00F5495B" w:rsidP="003C5A03">
      <w:pPr>
        <w:keepNext/>
        <w:shd w:val="clear" w:color="auto" w:fill="FFFFFF"/>
        <w:spacing w:before="100" w:beforeAutospacing="1" w:after="0" w:line="240" w:lineRule="auto"/>
        <w:rPr>
          <w:rFonts w:ascii="Arial" w:eastAsia="Times New Roman" w:hAnsi="Arial" w:cs="Arial"/>
          <w:sz w:val="19"/>
          <w:szCs w:val="19"/>
          <w:lang w:val="en-US" w:eastAsia="en-AU"/>
        </w:rPr>
      </w:pPr>
      <w:r>
        <w:rPr>
          <w:rFonts w:ascii="Times New Roman" w:eastAsia="Times New Roman" w:hAnsi="Times New Roman" w:cs="Times New Roman"/>
          <w:sz w:val="24"/>
          <w:szCs w:val="24"/>
          <w:u w:val="single"/>
          <w:lang w:eastAsia="en-AU"/>
        </w:rPr>
        <w:t xml:space="preserve">Clause </w:t>
      </w:r>
      <w:r w:rsidR="003C5A03" w:rsidRPr="00F157AE">
        <w:rPr>
          <w:rFonts w:ascii="Times New Roman" w:eastAsia="Times New Roman" w:hAnsi="Times New Roman" w:cs="Times New Roman"/>
          <w:sz w:val="24"/>
          <w:szCs w:val="24"/>
          <w:u w:val="single"/>
          <w:lang w:eastAsia="en-AU"/>
        </w:rPr>
        <w:t>2 – Commencement</w:t>
      </w:r>
    </w:p>
    <w:p w14:paraId="43E3D66E" w14:textId="324731C0" w:rsidR="00DD1267" w:rsidRPr="005F7189" w:rsidRDefault="003C5A03" w:rsidP="005F7189">
      <w:pPr>
        <w:pStyle w:val="ListParagraph"/>
        <w:keepNext/>
        <w:numPr>
          <w:ilvl w:val="0"/>
          <w:numId w:val="7"/>
        </w:numPr>
        <w:shd w:val="clear" w:color="auto" w:fill="FFFFFF"/>
        <w:spacing w:after="240" w:afterAutospacing="0"/>
      </w:pPr>
      <w:r w:rsidRPr="00384A61">
        <w:t xml:space="preserve">This clause provides that the provisions in this instrument will come into effect on the day the instrument is registered, or the day the </w:t>
      </w:r>
      <w:r w:rsidRPr="00384A61">
        <w:rPr>
          <w:i/>
        </w:rPr>
        <w:t xml:space="preserve">Security of Critical Infrastructure Act 2018 </w:t>
      </w:r>
      <w:r w:rsidRPr="005F7189">
        <w:t>(the SOCI Act) commences, whichever occurs later.</w:t>
      </w:r>
    </w:p>
    <w:p w14:paraId="77D8715C" w14:textId="6BDE418A" w:rsidR="003C5A03" w:rsidRPr="005F7189" w:rsidRDefault="003C5A03" w:rsidP="005F7189">
      <w:pPr>
        <w:pStyle w:val="ListParagraph"/>
        <w:keepNext/>
        <w:numPr>
          <w:ilvl w:val="0"/>
          <w:numId w:val="7"/>
        </w:numPr>
        <w:shd w:val="clear" w:color="auto" w:fill="FFFFFF"/>
        <w:spacing w:after="0"/>
      </w:pPr>
      <w:r w:rsidRPr="005F7189">
        <w:t xml:space="preserve">The SOCI Act will commence on 11 July 2018.  It is intended that the Rules commence on the same day as the SOCI Act to ensure there is certainty about which electricity generation stations and gas transmission pipelines are captured under the SOCI Act.  These Rules also </w:t>
      </w:r>
      <w:r w:rsidR="0095009A" w:rsidRPr="005F7189">
        <w:t>further clarify what ‘</w:t>
      </w:r>
      <w:r w:rsidRPr="005F7189">
        <w:t>operational information</w:t>
      </w:r>
      <w:r w:rsidR="0095009A" w:rsidRPr="005F7189">
        <w:t>’ is</w:t>
      </w:r>
      <w:r w:rsidRPr="005F7189">
        <w:t xml:space="preserve"> required to be provided under the SOCI Act.     </w:t>
      </w:r>
    </w:p>
    <w:p w14:paraId="1D7BB342" w14:textId="6E19140C" w:rsidR="003C5A03" w:rsidRPr="00F157AE" w:rsidRDefault="00F5495B" w:rsidP="003C5A03">
      <w:pPr>
        <w:keepNext/>
        <w:shd w:val="clear" w:color="auto" w:fill="FFFFFF"/>
        <w:spacing w:before="100" w:beforeAutospacing="1" w:after="0" w:line="240" w:lineRule="auto"/>
        <w:rPr>
          <w:rFonts w:ascii="Arial" w:eastAsia="Times New Roman" w:hAnsi="Arial" w:cs="Arial"/>
          <w:sz w:val="19"/>
          <w:szCs w:val="19"/>
          <w:lang w:val="en-US" w:eastAsia="en-AU"/>
        </w:rPr>
      </w:pPr>
      <w:r>
        <w:rPr>
          <w:rFonts w:ascii="Times New Roman" w:eastAsia="Times New Roman" w:hAnsi="Times New Roman" w:cs="Times New Roman"/>
          <w:sz w:val="24"/>
          <w:szCs w:val="24"/>
          <w:u w:val="single"/>
          <w:lang w:eastAsia="en-AU"/>
        </w:rPr>
        <w:t xml:space="preserve">Clause </w:t>
      </w:r>
      <w:r w:rsidR="003C5A03" w:rsidRPr="00F157AE">
        <w:rPr>
          <w:rFonts w:ascii="Times New Roman" w:eastAsia="Times New Roman" w:hAnsi="Times New Roman" w:cs="Times New Roman"/>
          <w:sz w:val="24"/>
          <w:szCs w:val="24"/>
          <w:u w:val="single"/>
          <w:lang w:eastAsia="en-AU"/>
        </w:rPr>
        <w:t>3 – Authority</w:t>
      </w:r>
    </w:p>
    <w:p w14:paraId="562595BB" w14:textId="621D9872" w:rsidR="003C5A03" w:rsidRPr="00F157AE" w:rsidRDefault="003C5A03" w:rsidP="005F7189">
      <w:pPr>
        <w:pStyle w:val="ListParagraph"/>
        <w:numPr>
          <w:ilvl w:val="0"/>
          <w:numId w:val="7"/>
        </w:numPr>
        <w:rPr>
          <w:rFonts w:ascii="Arial" w:hAnsi="Arial" w:cs="Arial"/>
          <w:sz w:val="19"/>
          <w:szCs w:val="19"/>
          <w:lang w:val="en-US"/>
        </w:rPr>
      </w:pPr>
      <w:r w:rsidRPr="00384A61">
        <w:t xml:space="preserve">This clause sets out the authority under which these Rules are made, which is the </w:t>
      </w:r>
      <w:r w:rsidRPr="005F7189">
        <w:rPr>
          <w:iCs/>
        </w:rPr>
        <w:t>SOCI Act</w:t>
      </w:r>
      <w:r w:rsidRPr="005F7189">
        <w:t>.</w:t>
      </w:r>
    </w:p>
    <w:p w14:paraId="7AEE0172" w14:textId="032DBD34" w:rsidR="003C5A03" w:rsidRPr="00F157AE" w:rsidRDefault="00F5495B" w:rsidP="003C5A03">
      <w:pPr>
        <w:keepNext/>
        <w:shd w:val="clear" w:color="auto" w:fill="FFFFFF"/>
        <w:spacing w:before="100" w:beforeAutospacing="1" w:after="0" w:line="240" w:lineRule="auto"/>
        <w:rPr>
          <w:rFonts w:ascii="Arial" w:eastAsia="Times New Roman" w:hAnsi="Arial" w:cs="Arial"/>
          <w:sz w:val="19"/>
          <w:szCs w:val="19"/>
          <w:lang w:val="en-US" w:eastAsia="en-AU"/>
        </w:rPr>
      </w:pPr>
      <w:r>
        <w:rPr>
          <w:rFonts w:ascii="Times New Roman" w:eastAsia="Times New Roman" w:hAnsi="Times New Roman" w:cs="Times New Roman"/>
          <w:sz w:val="24"/>
          <w:szCs w:val="24"/>
          <w:u w:val="single"/>
          <w:lang w:eastAsia="en-AU"/>
        </w:rPr>
        <w:t xml:space="preserve">Clause </w:t>
      </w:r>
      <w:r w:rsidR="003C5A03">
        <w:rPr>
          <w:rFonts w:ascii="Times New Roman" w:eastAsia="Times New Roman" w:hAnsi="Times New Roman" w:cs="Times New Roman"/>
          <w:sz w:val="24"/>
          <w:szCs w:val="24"/>
          <w:u w:val="single"/>
          <w:lang w:eastAsia="en-AU"/>
        </w:rPr>
        <w:t>4 – Definitions</w:t>
      </w:r>
    </w:p>
    <w:p w14:paraId="17BA5C71" w14:textId="13FE61EF" w:rsidR="00C50D25" w:rsidRPr="005F7189" w:rsidRDefault="003C5A03" w:rsidP="005F7189">
      <w:pPr>
        <w:pStyle w:val="ListParagraph"/>
        <w:keepNext/>
        <w:numPr>
          <w:ilvl w:val="0"/>
          <w:numId w:val="7"/>
        </w:numPr>
        <w:shd w:val="clear" w:color="auto" w:fill="FFFFFF"/>
        <w:spacing w:after="240" w:afterAutospacing="0"/>
      </w:pPr>
      <w:r w:rsidRPr="00384A61">
        <w:rPr>
          <w:b/>
          <w:i/>
        </w:rPr>
        <w:t>Act</w:t>
      </w:r>
      <w:r w:rsidRPr="00384A61">
        <w:t xml:space="preserve"> in the Rules </w:t>
      </w:r>
      <w:r w:rsidR="00310927">
        <w:t xml:space="preserve">means </w:t>
      </w:r>
      <w:r w:rsidRPr="00384A61">
        <w:t>the SOCI Act</w:t>
      </w:r>
      <w:r w:rsidR="00C50D25" w:rsidRPr="00384A61">
        <w:t xml:space="preserve">. </w:t>
      </w:r>
    </w:p>
    <w:p w14:paraId="63790F6C" w14:textId="20FFCD5E" w:rsidR="003C5A03" w:rsidRPr="005F7189" w:rsidRDefault="00C50D25" w:rsidP="005F7189">
      <w:pPr>
        <w:pStyle w:val="ListParagraph"/>
        <w:keepNext/>
        <w:numPr>
          <w:ilvl w:val="0"/>
          <w:numId w:val="7"/>
        </w:numPr>
        <w:shd w:val="clear" w:color="auto" w:fill="FFFFFF"/>
        <w:spacing w:after="240" w:afterAutospacing="0"/>
      </w:pPr>
      <w:r w:rsidRPr="005F7189">
        <w:rPr>
          <w:b/>
          <w:i/>
        </w:rPr>
        <w:t>Nameplate rating</w:t>
      </w:r>
      <w:r w:rsidRPr="005F7189">
        <w:t xml:space="preserve"> </w:t>
      </w:r>
      <w:r w:rsidR="00310927">
        <w:t>relates</w:t>
      </w:r>
      <w:r w:rsidR="00310927" w:rsidRPr="005F7189">
        <w:t xml:space="preserve"> </w:t>
      </w:r>
      <w:r w:rsidRPr="005F7189">
        <w:t>to gas transmission pipelines specifically, and mean</w:t>
      </w:r>
      <w:r w:rsidR="00310927">
        <w:t>s</w:t>
      </w:r>
      <w:r w:rsidRPr="005F7189">
        <w:t xml:space="preserve"> the maximum quantity of gas that a specific gas transmission pipeline can transport on a day under normal operating conditions.  This</w:t>
      </w:r>
      <w:r w:rsidR="00633A14" w:rsidRPr="005F7189">
        <w:t xml:space="preserve"> definition</w:t>
      </w:r>
      <w:r w:rsidRPr="005F7189">
        <w:t xml:space="preserve"> is consistent with</w:t>
      </w:r>
      <w:r w:rsidR="00633A14" w:rsidRPr="005F7189">
        <w:t xml:space="preserve"> industry understanding and</w:t>
      </w:r>
      <w:r w:rsidRPr="005F7189">
        <w:t xml:space="preserve"> the regulations under which gas is transmitted by the Australian Energy Market Operator.</w:t>
      </w:r>
      <w:r w:rsidR="0024468F" w:rsidRPr="005F7189">
        <w:t xml:space="preserve">  While nameplate capacities can change frequently, they do not do so with such significance as would likely cause a particular gas pipeline to fall within and outside of the threshold on a regular basis.</w:t>
      </w:r>
      <w:r w:rsidR="003C5A03" w:rsidRPr="005F7189">
        <w:t xml:space="preserve">   </w:t>
      </w:r>
    </w:p>
    <w:p w14:paraId="3651A12A" w14:textId="2414C3BB" w:rsidR="00E173F9" w:rsidRPr="005F7189" w:rsidRDefault="0024468F" w:rsidP="005F7189">
      <w:pPr>
        <w:pStyle w:val="ListParagraph"/>
        <w:keepNext/>
        <w:numPr>
          <w:ilvl w:val="0"/>
          <w:numId w:val="7"/>
        </w:numPr>
        <w:shd w:val="clear" w:color="auto" w:fill="FFFFFF"/>
        <w:spacing w:after="240" w:afterAutospacing="0"/>
      </w:pPr>
      <w:r w:rsidRPr="005F7189">
        <w:rPr>
          <w:b/>
          <w:i/>
        </w:rPr>
        <w:t>Smart meter</w:t>
      </w:r>
      <w:r w:rsidR="002D1018" w:rsidRPr="005F7189">
        <w:rPr>
          <w:b/>
          <w:i/>
        </w:rPr>
        <w:t xml:space="preserve"> </w:t>
      </w:r>
      <w:r w:rsidR="002D1018" w:rsidRPr="005F7189">
        <w:t>means a meter or device that can measure and remotely communicate information relating to the usage or consumption of electricity, water, gas, or any other product, that is produced or supplied by an infrastructure asset.  Unlike meter</w:t>
      </w:r>
      <w:r w:rsidR="006202D0" w:rsidRPr="005F7189">
        <w:t>s that need to be manually read</w:t>
      </w:r>
      <w:r w:rsidR="002D1018" w:rsidRPr="005F7189">
        <w:t xml:space="preserve"> by a meter reader, smart meters are able to communicate information </w:t>
      </w:r>
      <w:r w:rsidR="00506B99" w:rsidRPr="005F7189">
        <w:t xml:space="preserve">remotely. </w:t>
      </w:r>
      <w:r w:rsidR="00AF4268" w:rsidRPr="005F7189">
        <w:t>Usage of elect</w:t>
      </w:r>
      <w:r w:rsidR="006202D0" w:rsidRPr="005F7189">
        <w:t xml:space="preserve">ricity, water, gas refer to </w:t>
      </w:r>
      <w:r w:rsidR="00AF4268" w:rsidRPr="005F7189">
        <w:t xml:space="preserve">three of </w:t>
      </w:r>
      <w:r w:rsidR="00AF4268" w:rsidRPr="005F7189">
        <w:lastRenderedPageBreak/>
        <w:t>the four sectors currently covered by the Act</w:t>
      </w:r>
      <w:r w:rsidR="00310927">
        <w:t xml:space="preserve">, as smart meters do not have the same direct relevance to </w:t>
      </w:r>
      <w:r w:rsidR="00AF4268" w:rsidRPr="005F7189">
        <w:t xml:space="preserve">the ports sector).  </w:t>
      </w:r>
    </w:p>
    <w:p w14:paraId="74A0968E" w14:textId="33BC893A" w:rsidR="00E173F9" w:rsidRPr="005F7189" w:rsidRDefault="00E173F9" w:rsidP="005F7189">
      <w:pPr>
        <w:pStyle w:val="ListParagraph"/>
        <w:keepNext/>
        <w:numPr>
          <w:ilvl w:val="0"/>
          <w:numId w:val="7"/>
        </w:numPr>
        <w:shd w:val="clear" w:color="auto" w:fill="FFFFFF"/>
        <w:spacing w:after="240" w:afterAutospacing="0"/>
      </w:pPr>
      <w:r w:rsidRPr="005F7189">
        <w:t xml:space="preserve">The terms </w:t>
      </w:r>
      <w:r w:rsidR="00AF4268" w:rsidRPr="005F7189">
        <w:t>‘</w:t>
      </w:r>
      <w:r w:rsidRPr="005F7189">
        <w:t>o</w:t>
      </w:r>
      <w:r w:rsidR="00AF4268" w:rsidRPr="005F7189">
        <w:t>r any other product’ is included as a measure to future-proof the d</w:t>
      </w:r>
      <w:r w:rsidR="006202D0" w:rsidRPr="005F7189">
        <w:t xml:space="preserve">efinition if at a later stage </w:t>
      </w:r>
      <w:r w:rsidR="00AF4268" w:rsidRPr="005F7189">
        <w:t xml:space="preserve">further sectors are included under the Act.  The terms ‘produced or supplied’ clarify that </w:t>
      </w:r>
      <w:r w:rsidRPr="005F7189">
        <w:t>w</w:t>
      </w:r>
      <w:r w:rsidR="006202D0" w:rsidRPr="005F7189">
        <w:t>hile some sectors may ‘produce’ the product</w:t>
      </w:r>
      <w:r w:rsidRPr="005F7189">
        <w:t xml:space="preserve"> </w:t>
      </w:r>
      <w:r w:rsidR="006202D0" w:rsidRPr="005F7189">
        <w:t>(</w:t>
      </w:r>
      <w:r w:rsidRPr="005F7189">
        <w:t>for example</w:t>
      </w:r>
      <w:r w:rsidR="006202D0" w:rsidRPr="005F7189">
        <w:t xml:space="preserve"> the energy sectors ‘produce’</w:t>
      </w:r>
      <w:r w:rsidRPr="005F7189">
        <w:t xml:space="preserve"> gas and electricity</w:t>
      </w:r>
      <w:r w:rsidR="006202D0" w:rsidRPr="005F7189">
        <w:t>)</w:t>
      </w:r>
      <w:r w:rsidRPr="005F7189">
        <w:t>,</w:t>
      </w:r>
      <w:r w:rsidR="006202D0" w:rsidRPr="005F7189">
        <w:t xml:space="preserve"> other sectors may only ‘supply’ the product (for example</w:t>
      </w:r>
      <w:r w:rsidRPr="005F7189">
        <w:t xml:space="preserve"> the water sector ‘supplies’ water, rather than a produces it</w:t>
      </w:r>
      <w:r w:rsidR="006202D0" w:rsidRPr="005F7189">
        <w:t>)</w:t>
      </w:r>
      <w:r w:rsidRPr="005F7189">
        <w:t xml:space="preserve">.    </w:t>
      </w:r>
    </w:p>
    <w:p w14:paraId="4FBCBEAB" w14:textId="62E951A2" w:rsidR="002D1018" w:rsidRPr="005F7189" w:rsidRDefault="00E173F9" w:rsidP="005F7189">
      <w:pPr>
        <w:pStyle w:val="ListParagraph"/>
        <w:keepNext/>
        <w:numPr>
          <w:ilvl w:val="0"/>
          <w:numId w:val="7"/>
        </w:numPr>
        <w:shd w:val="clear" w:color="auto" w:fill="FFFFFF"/>
        <w:spacing w:after="240" w:afterAutospacing="0"/>
      </w:pPr>
      <w:r w:rsidRPr="005F7189">
        <w:t xml:space="preserve">Read </w:t>
      </w:r>
      <w:r w:rsidR="00310927">
        <w:t>in conjunction</w:t>
      </w:r>
      <w:r w:rsidRPr="005F7189">
        <w:t>, the phrase ‘that is produced or supplied by an infrastructure asset’ ensures that the responsible entity for a critical infrastructure asset is only required to provide thi</w:t>
      </w:r>
      <w:r w:rsidR="003458DB" w:rsidRPr="005F7189">
        <w:t>s information in relation to that</w:t>
      </w:r>
      <w:r w:rsidRPr="005F7189">
        <w:t xml:space="preserve"> particular infrastructure asset.  For example, if a </w:t>
      </w:r>
      <w:r w:rsidR="003458DB" w:rsidRPr="005F7189">
        <w:t xml:space="preserve">responsible entity for a </w:t>
      </w:r>
      <w:r w:rsidRPr="005F7189">
        <w:t>critical electricity asset</w:t>
      </w:r>
      <w:r w:rsidR="003458DB" w:rsidRPr="005F7189">
        <w:t xml:space="preserve"> is providing operational information on the Register, but it also</w:t>
      </w:r>
      <w:r w:rsidRPr="005F7189">
        <w:t xml:space="preserve"> has access to smart meters</w:t>
      </w:r>
      <w:r w:rsidR="003458DB" w:rsidRPr="005F7189">
        <w:t xml:space="preserve"> or consumption information</w:t>
      </w:r>
      <w:r w:rsidRPr="005F7189">
        <w:t xml:space="preserve"> in relation to a critical gas asset, </w:t>
      </w:r>
      <w:r w:rsidR="003458DB" w:rsidRPr="005F7189">
        <w:t>it</w:t>
      </w:r>
      <w:r w:rsidR="007A0A5A" w:rsidRPr="005F7189">
        <w:t xml:space="preserve"> is not required to provide the gas asset information.  </w:t>
      </w:r>
    </w:p>
    <w:p w14:paraId="348B8315" w14:textId="2473698E" w:rsidR="00697693" w:rsidRPr="005271FA" w:rsidRDefault="00E173F9" w:rsidP="005F7189">
      <w:pPr>
        <w:pStyle w:val="ListParagraph"/>
        <w:numPr>
          <w:ilvl w:val="0"/>
          <w:numId w:val="7"/>
        </w:numPr>
        <w:spacing w:after="240" w:afterAutospacing="0"/>
        <w:rPr>
          <w:rFonts w:ascii="Segoe UI" w:eastAsiaTheme="minorHAnsi" w:hAnsi="Segoe UI" w:cs="Segoe UI"/>
          <w:color w:val="1F497D"/>
          <w:sz w:val="20"/>
          <w:szCs w:val="20"/>
        </w:rPr>
      </w:pPr>
      <w:r w:rsidRPr="005F7189">
        <w:rPr>
          <w:b/>
          <w:i/>
        </w:rPr>
        <w:t>Synchronous electricity generator</w:t>
      </w:r>
      <w:r w:rsidR="00E55265" w:rsidRPr="005F7189">
        <w:rPr>
          <w:b/>
          <w:i/>
        </w:rPr>
        <w:t xml:space="preserve"> </w:t>
      </w:r>
      <w:r w:rsidR="00E55265" w:rsidRPr="005F7189">
        <w:t xml:space="preserve">means a generator that is directly connected to an electricity network or electricity system (for example, the National Energy Market); and produces electricity via a rotating shaft with a stator and rotor; and by electromagnetic coupling; and at a speed equivalent to the frequency of the network or </w:t>
      </w:r>
      <w:r w:rsidR="007A0A5A" w:rsidRPr="005F7189">
        <w:t xml:space="preserve">system. </w:t>
      </w:r>
      <w:r w:rsidR="00697693">
        <w:t xml:space="preserve"> </w:t>
      </w:r>
      <w:r w:rsidR="00912DE7">
        <w:t>I</w:t>
      </w:r>
      <w:r w:rsidR="00697693">
        <w:t>n comparison to other</w:t>
      </w:r>
      <w:r w:rsidR="00912DE7">
        <w:t xml:space="preserve"> types of</w:t>
      </w:r>
      <w:r w:rsidR="00697693">
        <w:t xml:space="preserve"> electricity generators, </w:t>
      </w:r>
      <w:r w:rsidR="00912DE7">
        <w:t xml:space="preserve">the characteristics of a synchronous electricity generator </w:t>
      </w:r>
      <w:r w:rsidR="00697693">
        <w:t>allow it to be more resilient and more likely to positively respond to changes in the electricity market.</w:t>
      </w:r>
      <w:r w:rsidR="00912DE7" w:rsidRPr="00912DE7">
        <w:t xml:space="preserve"> Synchronous electricity generator</w:t>
      </w:r>
      <w:r w:rsidR="00912DE7">
        <w:t>s</w:t>
      </w:r>
      <w:r w:rsidR="00912DE7" w:rsidRPr="00912DE7">
        <w:t xml:space="preserve"> </w:t>
      </w:r>
      <w:r w:rsidR="00912DE7">
        <w:t>are more</w:t>
      </w:r>
      <w:r w:rsidR="00912DE7" w:rsidRPr="00F5495B">
        <w:t xml:space="preserve"> tolerant of changes to supply and demand (including faults), </w:t>
      </w:r>
      <w:r w:rsidR="00912DE7">
        <w:t>and</w:t>
      </w:r>
      <w:r w:rsidR="00912DE7" w:rsidRPr="00F5495B">
        <w:t xml:space="preserve"> support frequency and voltage control of the electrical system</w:t>
      </w:r>
      <w:r w:rsidR="00912DE7">
        <w:t>s.</w:t>
      </w:r>
    </w:p>
    <w:p w14:paraId="16EB9458" w14:textId="77183A8A" w:rsidR="00E173F9" w:rsidRPr="005F7189" w:rsidRDefault="00697693" w:rsidP="00912DE7">
      <w:pPr>
        <w:pStyle w:val="ListParagraph"/>
        <w:numPr>
          <w:ilvl w:val="0"/>
          <w:numId w:val="7"/>
        </w:numPr>
        <w:spacing w:after="240" w:afterAutospacing="0"/>
        <w:rPr>
          <w:rFonts w:ascii="Segoe UI" w:eastAsiaTheme="minorHAnsi" w:hAnsi="Segoe UI" w:cs="Segoe UI"/>
          <w:color w:val="1F497D"/>
          <w:sz w:val="20"/>
          <w:szCs w:val="20"/>
        </w:rPr>
      </w:pPr>
      <w:r>
        <w:t>As a result, s</w:t>
      </w:r>
      <w:r w:rsidR="00E55265" w:rsidRPr="005F7189">
        <w:t>ynchronous electricity generator</w:t>
      </w:r>
      <w:r w:rsidR="007A0A5A" w:rsidRPr="005F7189">
        <w:t xml:space="preserve">s </w:t>
      </w:r>
      <w:r w:rsidR="00E55265" w:rsidRPr="005F7189">
        <w:t xml:space="preserve">play </w:t>
      </w:r>
      <w:r w:rsidR="007A0A5A" w:rsidRPr="005F7189">
        <w:t xml:space="preserve">a significant role </w:t>
      </w:r>
      <w:r w:rsidR="00E55265" w:rsidRPr="005F7189">
        <w:t>in the security and reliability of an electricity system or network in a state or territory</w:t>
      </w:r>
      <w:r w:rsidR="00912DE7">
        <w:t>.</w:t>
      </w:r>
      <w:r w:rsidR="007A0A5A" w:rsidRPr="00F5495B">
        <w:t xml:space="preserve"> </w:t>
      </w:r>
      <w:r w:rsidR="00E55265" w:rsidRPr="005F7189">
        <w:t>The particular synchronous electricity generators captured under</w:t>
      </w:r>
      <w:r w:rsidR="00DF0E06" w:rsidRPr="005F7189">
        <w:t xml:space="preserve"> the Act are </w:t>
      </w:r>
      <w:r w:rsidR="00310927">
        <w:t xml:space="preserve">those that meet the threshold </w:t>
      </w:r>
      <w:r w:rsidR="00DF0E06" w:rsidRPr="005F7189">
        <w:t>MW</w:t>
      </w:r>
      <w:r w:rsidR="00E97031" w:rsidRPr="005F7189">
        <w:t xml:space="preserve"> </w:t>
      </w:r>
      <w:r w:rsidR="00E55265" w:rsidRPr="005F7189">
        <w:t xml:space="preserve">capacity for </w:t>
      </w:r>
      <w:r w:rsidR="00310927">
        <w:t xml:space="preserve">the </w:t>
      </w:r>
      <w:r w:rsidR="00E55265" w:rsidRPr="005F7189">
        <w:t>sta</w:t>
      </w:r>
      <w:r w:rsidR="007A0A5A" w:rsidRPr="005F7189">
        <w:t xml:space="preserve">te and territory </w:t>
      </w:r>
      <w:r w:rsidR="00310927">
        <w:t xml:space="preserve">in which they are located, as </w:t>
      </w:r>
      <w:r w:rsidR="007A0A5A" w:rsidRPr="005F7189">
        <w:t xml:space="preserve">set out at clause </w:t>
      </w:r>
      <w:r w:rsidR="00E55265" w:rsidRPr="005F7189">
        <w:t>6(1) of these Rules.</w:t>
      </w:r>
    </w:p>
    <w:p w14:paraId="66A6AEDC" w14:textId="7C443164" w:rsidR="00E55265" w:rsidRPr="005F7189" w:rsidRDefault="00AE50B6" w:rsidP="005F7189">
      <w:pPr>
        <w:pStyle w:val="ListParagraph"/>
        <w:keepNext/>
        <w:numPr>
          <w:ilvl w:val="0"/>
          <w:numId w:val="7"/>
        </w:numPr>
        <w:shd w:val="clear" w:color="auto" w:fill="FFFFFF"/>
        <w:spacing w:after="0" w:afterAutospacing="0"/>
      </w:pPr>
      <w:r w:rsidRPr="00384A61">
        <w:rPr>
          <w:b/>
          <w:i/>
        </w:rPr>
        <w:t xml:space="preserve">System restart ancillary service </w:t>
      </w:r>
      <w:r w:rsidR="00E97031" w:rsidRPr="00384A61">
        <w:t xml:space="preserve">is defined at clause </w:t>
      </w:r>
      <w:r w:rsidRPr="00384A61">
        <w:t>6(2) and means an electricity generation station that is able to start without an external power supply</w:t>
      </w:r>
      <w:r w:rsidR="00E97031" w:rsidRPr="005F7189">
        <w:t>;</w:t>
      </w:r>
      <w:r w:rsidRPr="005F7189">
        <w:t xml:space="preserve"> and connect and provide energy to an electricity network or an electricity system for the transmission of distribution of electricity.  </w:t>
      </w:r>
      <w:r w:rsidR="00044D40" w:rsidRPr="005F7189">
        <w:t xml:space="preserve">An electricity generation station includes all the generating units in the station.  Electricity generation stations that provide a </w:t>
      </w:r>
      <w:r w:rsidR="00044D40" w:rsidRPr="005F7189">
        <w:lastRenderedPageBreak/>
        <w:t>system restart ancillary service are able to restart generators in the electricity network and ultimately commence restoration of load</w:t>
      </w:r>
      <w:r w:rsidR="00E97031" w:rsidRPr="005F7189">
        <w:t xml:space="preserve"> in the event of a blackout</w:t>
      </w:r>
      <w:r w:rsidR="00044D40" w:rsidRPr="005F7189">
        <w:t xml:space="preserve">. </w:t>
      </w:r>
    </w:p>
    <w:p w14:paraId="238F2549" w14:textId="77777777" w:rsidR="00044D40" w:rsidRDefault="00044D40" w:rsidP="003C5A03">
      <w:pPr>
        <w:keepNext/>
        <w:shd w:val="clear" w:color="auto" w:fill="FFFFFF"/>
        <w:spacing w:before="100" w:beforeAutospacing="1"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PART 2 – MATTERS RELATING TO DEFINITIONS IN THE ACT</w:t>
      </w:r>
    </w:p>
    <w:p w14:paraId="4596228F" w14:textId="712B0F17" w:rsidR="00044D40" w:rsidRDefault="00F5495B" w:rsidP="003C5A03">
      <w:pPr>
        <w:keepNext/>
        <w:shd w:val="clear" w:color="auto" w:fill="FFFFFF"/>
        <w:spacing w:before="100" w:beforeAutospacing="1"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Clause </w:t>
      </w:r>
      <w:r w:rsidR="00044D40">
        <w:rPr>
          <w:rFonts w:ascii="Times New Roman" w:eastAsia="Times New Roman" w:hAnsi="Times New Roman" w:cs="Times New Roman"/>
          <w:sz w:val="24"/>
          <w:szCs w:val="24"/>
          <w:u w:val="single"/>
          <w:lang w:eastAsia="en-AU"/>
        </w:rPr>
        <w:t>5 – Description of arrangements under which data is maintained</w:t>
      </w:r>
    </w:p>
    <w:p w14:paraId="5587ECD1" w14:textId="135184D4" w:rsidR="006C3642" w:rsidRDefault="00044D40" w:rsidP="005F7189">
      <w:pPr>
        <w:pStyle w:val="ListParagraph"/>
        <w:keepNext/>
        <w:numPr>
          <w:ilvl w:val="0"/>
          <w:numId w:val="7"/>
        </w:numPr>
        <w:shd w:val="clear" w:color="auto" w:fill="FFFFFF"/>
        <w:spacing w:after="240" w:afterAutospacing="0"/>
      </w:pPr>
      <w:r w:rsidRPr="00384A61">
        <w:t xml:space="preserve">This clause sets out </w:t>
      </w:r>
      <w:r w:rsidR="00E97031" w:rsidRPr="00384A61">
        <w:t>what data arrangements responsible entities must report as</w:t>
      </w:r>
      <w:r w:rsidRPr="00384A61">
        <w:t xml:space="preserve"> ‘ope</w:t>
      </w:r>
      <w:r w:rsidR="00E97031" w:rsidRPr="005F7189">
        <w:t>rational information’</w:t>
      </w:r>
      <w:r w:rsidR="006C3642">
        <w:t xml:space="preserve"> on the Register of Critical Infrastructure Assets (the ‘Register’)</w:t>
      </w:r>
      <w:r w:rsidR="00E97031" w:rsidRPr="005F7189">
        <w:t xml:space="preserve"> as </w:t>
      </w:r>
      <w:r w:rsidRPr="005F7189">
        <w:t>authorised under paragraphs 7(1)(f) and (g)</w:t>
      </w:r>
      <w:r w:rsidR="00E97031" w:rsidRPr="005F7189">
        <w:t xml:space="preserve"> of the Act</w:t>
      </w:r>
      <w:r w:rsidRPr="005F7189">
        <w:t>.</w:t>
      </w:r>
      <w:r w:rsidR="005D2C43">
        <w:t xml:space="preserve"> </w:t>
      </w:r>
    </w:p>
    <w:p w14:paraId="3EFA75D9" w14:textId="6D8E2146" w:rsidR="00516FFD" w:rsidRDefault="00F63915" w:rsidP="00990A35">
      <w:pPr>
        <w:pStyle w:val="ListParagraph"/>
        <w:keepNext/>
        <w:numPr>
          <w:ilvl w:val="0"/>
          <w:numId w:val="7"/>
        </w:numPr>
        <w:shd w:val="clear" w:color="auto" w:fill="FFFFFF"/>
        <w:spacing w:after="240" w:afterAutospacing="0"/>
      </w:pPr>
      <w:r w:rsidRPr="00C9767E">
        <w:t xml:space="preserve">Part 2, Division 2 of the </w:t>
      </w:r>
      <w:r w:rsidR="005D2C43">
        <w:t xml:space="preserve">SOCI Act </w:t>
      </w:r>
      <w:r w:rsidR="00F73A5A">
        <w:t>establishes</w:t>
      </w:r>
      <w:r>
        <w:t xml:space="preserve"> the</w:t>
      </w:r>
      <w:r w:rsidRPr="00C9767E">
        <w:t xml:space="preserve"> </w:t>
      </w:r>
      <w:r>
        <w:t>‘</w:t>
      </w:r>
      <w:r w:rsidRPr="005271FA">
        <w:t>Register</w:t>
      </w:r>
      <w:r>
        <w:t>’</w:t>
      </w:r>
      <w:r w:rsidRPr="00C9767E">
        <w:t xml:space="preserve"> </w:t>
      </w:r>
      <w:r>
        <w:t>which provides</w:t>
      </w:r>
      <w:r w:rsidRPr="00C9767E">
        <w:t xml:space="preserve"> a more detailed understanding of who owns and controls </w:t>
      </w:r>
      <w:r>
        <w:t>‘</w:t>
      </w:r>
      <w:r w:rsidRPr="005271FA">
        <w:t>critical infrastructure assets</w:t>
      </w:r>
      <w:r w:rsidRPr="00C9767E">
        <w:t>.</w:t>
      </w:r>
      <w:r>
        <w:t>’</w:t>
      </w:r>
      <w:r w:rsidRPr="00C9767E">
        <w:t xml:space="preserve"> The </w:t>
      </w:r>
      <w:r>
        <w:t>‘</w:t>
      </w:r>
      <w:r w:rsidRPr="005271FA">
        <w:t>Register</w:t>
      </w:r>
      <w:r>
        <w:t>’</w:t>
      </w:r>
      <w:r w:rsidRPr="00C9767E">
        <w:t xml:space="preserve"> requires </w:t>
      </w:r>
      <w:r>
        <w:t>‘</w:t>
      </w:r>
      <w:r w:rsidRPr="005271FA">
        <w:t>reporting entities</w:t>
      </w:r>
      <w:r w:rsidRPr="00C9767E">
        <w:t>,</w:t>
      </w:r>
      <w:r>
        <w:t>’</w:t>
      </w:r>
      <w:r w:rsidRPr="00C9767E">
        <w:t xml:space="preserve"> who are either </w:t>
      </w:r>
      <w:r>
        <w:t>‘</w:t>
      </w:r>
      <w:r w:rsidRPr="005271FA">
        <w:t>direct interest holders</w:t>
      </w:r>
      <w:r>
        <w:t>’</w:t>
      </w:r>
      <w:r w:rsidRPr="00C9767E">
        <w:t xml:space="preserve"> or the </w:t>
      </w:r>
      <w:r>
        <w:t>‘</w:t>
      </w:r>
      <w:r w:rsidRPr="005271FA">
        <w:t>responsible entity</w:t>
      </w:r>
      <w:r>
        <w:t>’</w:t>
      </w:r>
      <w:r w:rsidRPr="00C9767E">
        <w:t xml:space="preserve"> of </w:t>
      </w:r>
      <w:r>
        <w:t>‘</w:t>
      </w:r>
      <w:r w:rsidRPr="005271FA">
        <w:t>critical infrastructure assets</w:t>
      </w:r>
      <w:r w:rsidRPr="00C9767E">
        <w:t>,</w:t>
      </w:r>
      <w:r>
        <w:t>’</w:t>
      </w:r>
      <w:r w:rsidRPr="00C9767E">
        <w:t xml:space="preserve"> to provide </w:t>
      </w:r>
      <w:r>
        <w:t>‘</w:t>
      </w:r>
      <w:r w:rsidRPr="005271FA">
        <w:t>interest and control information</w:t>
      </w:r>
      <w:r>
        <w:t>’</w:t>
      </w:r>
      <w:r w:rsidRPr="00990A35">
        <w:t xml:space="preserve"> and </w:t>
      </w:r>
      <w:r>
        <w:t>‘</w:t>
      </w:r>
      <w:r w:rsidRPr="005271FA">
        <w:t>operational information</w:t>
      </w:r>
      <w:r>
        <w:t>’</w:t>
      </w:r>
      <w:r w:rsidRPr="00C9767E">
        <w:t xml:space="preserve"> within a certain timeframe. This information will assist the Government to identify who owns and controls the asset, its board structure, ownership rights of interest holders, and operational, outsourcing and offshoring information.</w:t>
      </w:r>
      <w:r w:rsidR="00491D0C" w:rsidRPr="00491D0C">
        <w:t xml:space="preserve"> </w:t>
      </w:r>
    </w:p>
    <w:p w14:paraId="6A7411A4" w14:textId="37E98A88" w:rsidR="00491D0C" w:rsidRPr="00491D0C" w:rsidRDefault="00F73A5A" w:rsidP="005271FA">
      <w:pPr>
        <w:pStyle w:val="ListParagraph"/>
        <w:keepNext/>
        <w:numPr>
          <w:ilvl w:val="0"/>
          <w:numId w:val="7"/>
        </w:numPr>
        <w:shd w:val="clear" w:color="auto" w:fill="FFFFFF"/>
        <w:spacing w:after="240" w:afterAutospacing="0"/>
      </w:pPr>
      <w:r>
        <w:t xml:space="preserve">The information which will be required to be </w:t>
      </w:r>
      <w:r w:rsidR="005D2C43">
        <w:t xml:space="preserve">reported </w:t>
      </w:r>
      <w:r>
        <w:t xml:space="preserve">under clause 5 </w:t>
      </w:r>
      <w:r w:rsidR="005D2C43">
        <w:t xml:space="preserve">by the ‘responsible entity’ </w:t>
      </w:r>
      <w:r>
        <w:t xml:space="preserve">will </w:t>
      </w:r>
      <w:r w:rsidR="005D2C43">
        <w:t>provide the Government with visibility of those data arrangements</w:t>
      </w:r>
      <w:r w:rsidR="00C44B7F">
        <w:t xml:space="preserve"> in </w:t>
      </w:r>
      <w:r>
        <w:t xml:space="preserve">the </w:t>
      </w:r>
      <w:r w:rsidR="00C44B7F">
        <w:t>‘critical infrastructure assets’</w:t>
      </w:r>
      <w:r w:rsidR="005D2C43">
        <w:t xml:space="preserve"> </w:t>
      </w:r>
      <w:r>
        <w:t>covered by the Act</w:t>
      </w:r>
      <w:r w:rsidR="005D2C43">
        <w:t xml:space="preserve">. </w:t>
      </w:r>
      <w:r w:rsidR="00C44B7F">
        <w:t>This information contributes to the</w:t>
      </w:r>
      <w:r w:rsidR="005D2C43" w:rsidRPr="00E20157">
        <w:t xml:space="preserve"> Government</w:t>
      </w:r>
      <w:r w:rsidR="00FA7884">
        <w:t>’s</w:t>
      </w:r>
      <w:r w:rsidR="005D2C43" w:rsidRPr="00E20157">
        <w:t xml:space="preserve"> understanding of how the</w:t>
      </w:r>
      <w:r w:rsidR="005D2C43">
        <w:t xml:space="preserve"> ‘critical infrastructure</w:t>
      </w:r>
      <w:r w:rsidR="005D2C43" w:rsidRPr="00E20157">
        <w:t xml:space="preserve"> asset</w:t>
      </w:r>
      <w:r w:rsidR="00C44B7F">
        <w:t>’</w:t>
      </w:r>
      <w:r w:rsidR="005D2C43" w:rsidRPr="00E20157">
        <w:t xml:space="preserve"> and sector operates, and where there may be vulnerabilities.</w:t>
      </w:r>
      <w:r w:rsidR="00C44B7F">
        <w:t xml:space="preserve"> It</w:t>
      </w:r>
      <w:r w:rsidR="00C44B7F" w:rsidRPr="00E20157">
        <w:t xml:space="preserve"> also </w:t>
      </w:r>
      <w:r>
        <w:t>informs</w:t>
      </w:r>
      <w:r w:rsidR="00C44B7F" w:rsidRPr="00E20157">
        <w:t xml:space="preserve"> the Government’s ability to </w:t>
      </w:r>
      <w:r>
        <w:t xml:space="preserve">work cooperatively with industry to </w:t>
      </w:r>
      <w:r w:rsidR="00C44B7F" w:rsidRPr="00E20157">
        <w:t xml:space="preserve">develop strategies to mitigate or reduce </w:t>
      </w:r>
      <w:r w:rsidR="00C44B7F">
        <w:t>‘</w:t>
      </w:r>
      <w:r w:rsidR="00C44B7F" w:rsidRPr="005271FA">
        <w:t>national security</w:t>
      </w:r>
      <w:r w:rsidR="00C44B7F">
        <w:t>’</w:t>
      </w:r>
      <w:r w:rsidR="00C44B7F" w:rsidRPr="00E20157">
        <w:t xml:space="preserve"> risk.</w:t>
      </w:r>
    </w:p>
    <w:p w14:paraId="63352A4C" w14:textId="180F010E" w:rsidR="008E3164" w:rsidRPr="005F7189" w:rsidRDefault="008E3164" w:rsidP="005F7189">
      <w:pPr>
        <w:pStyle w:val="ListParagraph"/>
        <w:keepNext/>
        <w:numPr>
          <w:ilvl w:val="0"/>
          <w:numId w:val="7"/>
        </w:numPr>
        <w:shd w:val="clear" w:color="auto" w:fill="FFFFFF"/>
        <w:spacing w:after="240" w:afterAutospacing="0"/>
      </w:pPr>
      <w:r w:rsidRPr="005F7189">
        <w:t xml:space="preserve">Given the critical importance of data, and its potential attractiveness for espionage and sabotage purposes, this clause ensures </w:t>
      </w:r>
      <w:r w:rsidR="0034675B" w:rsidRPr="005F7189">
        <w:t xml:space="preserve">the Australian Government has </w:t>
      </w:r>
      <w:r w:rsidRPr="005F7189">
        <w:t>visibility of any outsourced and offshored arrangements relating to data.</w:t>
      </w:r>
      <w:r w:rsidR="007E69F2" w:rsidRPr="005F7189">
        <w:t xml:space="preserve"> Clause </w:t>
      </w:r>
      <w:r w:rsidRPr="005F7189">
        <w:t>5(2) clarifies that this provision only applies if</w:t>
      </w:r>
      <w:r w:rsidR="00310927">
        <w:t xml:space="preserve"> </w:t>
      </w:r>
      <w:r w:rsidRPr="005F7189">
        <w:t xml:space="preserve">the responsible entity for a critical infrastructure asset do not maintain </w:t>
      </w:r>
      <w:r w:rsidR="00310927">
        <w:t>the</w:t>
      </w:r>
      <w:r w:rsidR="00310927" w:rsidRPr="005F7189">
        <w:t xml:space="preserve"> </w:t>
      </w:r>
      <w:r w:rsidRPr="005F7189">
        <w:t xml:space="preserve">data </w:t>
      </w:r>
      <w:r w:rsidR="00310927">
        <w:t>itself</w:t>
      </w:r>
      <w:r w:rsidRPr="005F7189">
        <w:t xml:space="preserve">; or if </w:t>
      </w:r>
      <w:r w:rsidR="00310927">
        <w:t>it is main</w:t>
      </w:r>
      <w:r w:rsidR="00330815">
        <w:t>t</w:t>
      </w:r>
      <w:r w:rsidR="00310927">
        <w:t>ained by the responsible entity</w:t>
      </w:r>
      <w:r w:rsidRPr="005F7189">
        <w:t>, but at a location outside Australia.</w:t>
      </w:r>
    </w:p>
    <w:p w14:paraId="09A49149" w14:textId="60A80173" w:rsidR="008E3164" w:rsidRPr="005F7189" w:rsidRDefault="008E3164" w:rsidP="005F7189">
      <w:pPr>
        <w:pStyle w:val="ListParagraph"/>
        <w:keepNext/>
        <w:numPr>
          <w:ilvl w:val="0"/>
          <w:numId w:val="7"/>
        </w:numPr>
        <w:shd w:val="clear" w:color="auto" w:fill="FFFFFF"/>
        <w:spacing w:after="0"/>
      </w:pPr>
      <w:r w:rsidRPr="005F7189">
        <w:t>Clause 5(2)(c) specifies which sets of data are relevant for the purposes of this prov</w:t>
      </w:r>
      <w:r w:rsidR="00252E7D" w:rsidRPr="005F7189">
        <w:t>ision</w:t>
      </w:r>
      <w:r w:rsidRPr="005F7189">
        <w:t>:</w:t>
      </w:r>
    </w:p>
    <w:p w14:paraId="096651AC" w14:textId="7812F658" w:rsidR="008E3164" w:rsidRPr="005F7189" w:rsidRDefault="00DA0A49">
      <w:pPr>
        <w:pStyle w:val="ListParagraph"/>
        <w:keepNext/>
        <w:numPr>
          <w:ilvl w:val="0"/>
          <w:numId w:val="8"/>
        </w:numPr>
        <w:shd w:val="clear" w:color="auto" w:fill="FFFFFF"/>
        <w:spacing w:after="0"/>
      </w:pPr>
      <w:r>
        <w:t>‘</w:t>
      </w:r>
      <w:r w:rsidR="008E3164" w:rsidRPr="005F7189">
        <w:t>Personal information</w:t>
      </w:r>
      <w:r>
        <w:t>’</w:t>
      </w:r>
      <w:r w:rsidR="00382B74">
        <w:t xml:space="preserve"> is</w:t>
      </w:r>
      <w:r>
        <w:t xml:space="preserve"> defined in the </w:t>
      </w:r>
      <w:r>
        <w:rPr>
          <w:i/>
        </w:rPr>
        <w:t xml:space="preserve">Privacy Act 1988 </w:t>
      </w:r>
      <w:r>
        <w:t xml:space="preserve">as meaning information or an opinion about an identified individual, or an individual who is reasonably identifiable: whether the information or opinion is true or not; and whether the information or opinion is recorded in a material form or not. </w:t>
      </w:r>
      <w:r w:rsidR="00252E7D">
        <w:t xml:space="preserve">This clause is also limited </w:t>
      </w:r>
      <w:r w:rsidR="005271FA">
        <w:t>to bulk holdings of personal information, through the 20,000 persons threshold.</w:t>
      </w:r>
      <w:r w:rsidR="005029B6" w:rsidRPr="005029B6">
        <w:t xml:space="preserve"> This </w:t>
      </w:r>
      <w:r w:rsidR="005271FA">
        <w:t>ensures responsible entities do not bear an additional reporting burden if they hold some personal information that does not meet the 20,000 persons threshold.</w:t>
      </w:r>
      <w:r w:rsidR="005029B6" w:rsidRPr="005029B6">
        <w:t xml:space="preserve"> </w:t>
      </w:r>
    </w:p>
    <w:p w14:paraId="3557F725" w14:textId="334387A7" w:rsidR="008E3164" w:rsidRPr="005F7189" w:rsidRDefault="00FB29B7" w:rsidP="005F7189">
      <w:pPr>
        <w:pStyle w:val="ListParagraph"/>
        <w:keepNext/>
        <w:numPr>
          <w:ilvl w:val="0"/>
          <w:numId w:val="8"/>
        </w:numPr>
        <w:shd w:val="clear" w:color="auto" w:fill="FFFFFF"/>
        <w:spacing w:after="0"/>
      </w:pPr>
      <w:r>
        <w:t>‘</w:t>
      </w:r>
      <w:r w:rsidR="008E3164" w:rsidRPr="005F7189">
        <w:t>Sensitive information</w:t>
      </w:r>
      <w:r>
        <w:t xml:space="preserve">’ is defined in the </w:t>
      </w:r>
      <w:r>
        <w:rPr>
          <w:i/>
        </w:rPr>
        <w:t xml:space="preserve">Privacy Act 1988 </w:t>
      </w:r>
      <w:r w:rsidR="0004566E">
        <w:t xml:space="preserve">as meaning information or an opinion about an individual’s: racial or ethnic origin, political opinions, </w:t>
      </w:r>
      <w:r w:rsidR="0004566E">
        <w:lastRenderedPageBreak/>
        <w:t>membership of a political association,</w:t>
      </w:r>
      <w:r w:rsidR="00000467">
        <w:t xml:space="preserve"> religious belief</w:t>
      </w:r>
      <w:r w:rsidR="0004566E">
        <w:t xml:space="preserve">s or affiliations, philosophical beliefs, membership of a professional or trade association, membership of a trade union, sexual orientation or practices, criminal record, that is also personal information or health information about an individual, genetic information about an individual that is not otherwise health information, biometric information that is to be used for the purpose of automated biometric verification or biometric identification or biometric templates. </w:t>
      </w:r>
    </w:p>
    <w:p w14:paraId="5CFB94F0" w14:textId="6D6367F6" w:rsidR="00F0319D" w:rsidRDefault="00F0319D" w:rsidP="005F7189">
      <w:pPr>
        <w:pStyle w:val="ListParagraph"/>
        <w:keepNext/>
        <w:numPr>
          <w:ilvl w:val="0"/>
          <w:numId w:val="8"/>
        </w:numPr>
        <w:shd w:val="clear" w:color="auto" w:fill="FFFFFF"/>
      </w:pPr>
      <w:r w:rsidRPr="00296EFD">
        <w:t>Research and development information</w:t>
      </w:r>
      <w:r>
        <w:t xml:space="preserve"> such as technological or security </w:t>
      </w:r>
      <w:r w:rsidR="00252E7D">
        <w:t>research and development</w:t>
      </w:r>
      <w:r>
        <w:t xml:space="preserve"> information that if released, would have a material effect on the responsible entity’s business in relation to the operation of the asset</w:t>
      </w:r>
      <w:r w:rsidR="00D57B67">
        <w:t>.</w:t>
      </w:r>
      <w:r>
        <w:t xml:space="preserve"> </w:t>
      </w:r>
    </w:p>
    <w:p w14:paraId="484FDA68" w14:textId="2422B345" w:rsidR="00065C62" w:rsidRPr="005F7189" w:rsidRDefault="00065C62" w:rsidP="005F7189">
      <w:pPr>
        <w:pStyle w:val="ListParagraph"/>
        <w:keepNext/>
        <w:numPr>
          <w:ilvl w:val="0"/>
          <w:numId w:val="8"/>
        </w:numPr>
        <w:shd w:val="clear" w:color="auto" w:fill="FFFFFF"/>
        <w:spacing w:after="0"/>
      </w:pPr>
      <w:r w:rsidRPr="005F7189">
        <w:t>O</w:t>
      </w:r>
      <w:r w:rsidR="008E3164" w:rsidRPr="005F7189">
        <w:t>perationa</w:t>
      </w:r>
      <w:r w:rsidRPr="005F7189">
        <w:t>l systems information in relation to the asset</w:t>
      </w:r>
      <w:r w:rsidR="00F0319D">
        <w:t>, such as documents that provide instructions to operate critical component</w:t>
      </w:r>
      <w:r w:rsidR="00D57B67">
        <w:t>s</w:t>
      </w:r>
      <w:r w:rsidR="00F0319D">
        <w:t xml:space="preserve"> of the asset that, if switched off, would significantly interfere with the asset’s operations</w:t>
      </w:r>
      <w:r w:rsidR="00D57B67">
        <w:t xml:space="preserve">. </w:t>
      </w:r>
      <w:r w:rsidR="00FF313A">
        <w:t xml:space="preserve">For example, documents that provide material instructions in relation to an asset’s supervisory control and data acquisition (SCADA) systems.    </w:t>
      </w:r>
      <w:r w:rsidR="00D57B67">
        <w:t xml:space="preserve"> </w:t>
      </w:r>
      <w:r w:rsidR="00252E7D">
        <w:t xml:space="preserve"> </w:t>
      </w:r>
    </w:p>
    <w:p w14:paraId="3A7A9A34" w14:textId="6D37D7ED" w:rsidR="00065C62" w:rsidRPr="005F7189" w:rsidRDefault="00065C62" w:rsidP="005F7189">
      <w:pPr>
        <w:pStyle w:val="ListParagraph"/>
        <w:keepNext/>
        <w:numPr>
          <w:ilvl w:val="0"/>
          <w:numId w:val="8"/>
        </w:numPr>
        <w:shd w:val="clear" w:color="auto" w:fill="FFFFFF"/>
        <w:spacing w:after="0"/>
      </w:pPr>
      <w:r w:rsidRPr="005F7189">
        <w:t>Risk management and business continuity information in relation to the asset</w:t>
      </w:r>
      <w:r w:rsidR="00F0319D">
        <w:t>, such as any document that provides information on how the responsible entity manages business continuity risk</w:t>
      </w:r>
      <w:r w:rsidR="00D57B67">
        <w:t>.</w:t>
      </w:r>
    </w:p>
    <w:p w14:paraId="4BF44D4B" w14:textId="77777777" w:rsidR="00FF313A" w:rsidRDefault="00065C62" w:rsidP="005F7189">
      <w:pPr>
        <w:pStyle w:val="ListParagraph"/>
        <w:keepNext/>
        <w:numPr>
          <w:ilvl w:val="0"/>
          <w:numId w:val="8"/>
        </w:numPr>
        <w:shd w:val="clear" w:color="auto" w:fill="FFFFFF"/>
        <w:spacing w:after="0"/>
      </w:pPr>
      <w:r w:rsidRPr="005F7189">
        <w:t>Consumption information in relation to the product being produced or supplied by the asset</w:t>
      </w:r>
      <w:r w:rsidR="008E3164" w:rsidRPr="00061C0D">
        <w:t xml:space="preserve"> </w:t>
      </w:r>
      <w:r w:rsidR="00F0319D">
        <w:t>to a consumer, such as usage or load data.</w:t>
      </w:r>
      <w:r w:rsidR="00FF313A" w:rsidRPr="00FF313A">
        <w:t xml:space="preserve"> </w:t>
      </w:r>
    </w:p>
    <w:p w14:paraId="74421907" w14:textId="05313614" w:rsidR="00FF313A" w:rsidRDefault="00FF313A" w:rsidP="005F7189">
      <w:pPr>
        <w:pStyle w:val="ListParagraph"/>
        <w:keepNext/>
        <w:numPr>
          <w:ilvl w:val="2"/>
          <w:numId w:val="13"/>
        </w:numPr>
        <w:shd w:val="clear" w:color="auto" w:fill="FFFFFF"/>
        <w:spacing w:after="0"/>
      </w:pPr>
      <w:r w:rsidRPr="00E72B38">
        <w:t xml:space="preserve">The terms ‘or any other product’ is included as a measure to future-proof the definition if at a later stage further sectors are included under the Act.  The terms ‘produced or supplied’ are to clarify that while some sectors may ‘produce’ the product (for example the energy sectors ‘produce’ gas and electricity), other sectors may only ‘supply’ the product (for example the water sector ‘supplies’ water, rather than a produces it).  These terms ensure we capture both.  </w:t>
      </w:r>
    </w:p>
    <w:p w14:paraId="26C72305" w14:textId="12A83E65" w:rsidR="00FF313A" w:rsidRDefault="00FF313A" w:rsidP="005F7189">
      <w:pPr>
        <w:pStyle w:val="ListParagraph"/>
        <w:keepNext/>
        <w:numPr>
          <w:ilvl w:val="2"/>
          <w:numId w:val="13"/>
        </w:numPr>
        <w:shd w:val="clear" w:color="auto" w:fill="FFFFFF"/>
        <w:spacing w:after="0"/>
      </w:pPr>
      <w:r w:rsidRPr="00E72B38">
        <w:t xml:space="preserve">Read </w:t>
      </w:r>
      <w:r w:rsidR="00E65F75">
        <w:t>in conjunction</w:t>
      </w:r>
      <w:r w:rsidRPr="00E72B38">
        <w:t>, the phrase ‘that is produced or supplied by an infrastructure asset’ ensures that the responsible entity for a critical infrastructure asset is only required to provide this information in relation to that particular infrastructure asset.  For example, if a responsible entity for a critical electricity asset is providing operational information on the Register, but it also has access to smart</w:t>
      </w:r>
      <w:r>
        <w:t xml:space="preserve"> </w:t>
      </w:r>
      <w:r w:rsidRPr="00E72B38">
        <w:t xml:space="preserve">meters or consumption information in relation to a critical gas asset, it is not required to provide the gas asset information.  </w:t>
      </w:r>
    </w:p>
    <w:p w14:paraId="51F250E4" w14:textId="31941AB5" w:rsidR="00EE1DC7" w:rsidRPr="005271FA" w:rsidRDefault="00FF313A" w:rsidP="005271FA">
      <w:pPr>
        <w:pStyle w:val="ListParagraph"/>
        <w:keepNext/>
        <w:numPr>
          <w:ilvl w:val="0"/>
          <w:numId w:val="7"/>
        </w:numPr>
        <w:shd w:val="clear" w:color="auto" w:fill="FFFFFF"/>
        <w:spacing w:after="0"/>
      </w:pPr>
      <w:r w:rsidRPr="00384A61">
        <w:t xml:space="preserve">These data sets bear the highest level of risk in relation to acts of sabotage, espionage or coercion. This has been assessed with respect to each data set’s value and </w:t>
      </w:r>
      <w:r w:rsidRPr="00384A61">
        <w:lastRenderedPageBreak/>
        <w:t xml:space="preserve">vulnerability. </w:t>
      </w:r>
      <w:r w:rsidR="00EE1DC7" w:rsidRPr="005271FA">
        <w:t>The consequence of unintended disclosure of information will depend on the profile of that information</w:t>
      </w:r>
      <w:r w:rsidR="00EE1DC7">
        <w:t xml:space="preserve"> and </w:t>
      </w:r>
      <w:r w:rsidR="00EE1DC7" w:rsidRPr="005271FA">
        <w:t>could affect the:</w:t>
      </w:r>
    </w:p>
    <w:p w14:paraId="5816290C" w14:textId="77777777" w:rsidR="00EE1DC7" w:rsidRPr="005271FA" w:rsidRDefault="00EE1DC7" w:rsidP="005271FA">
      <w:pPr>
        <w:pStyle w:val="ListParagraph"/>
        <w:keepNext/>
        <w:numPr>
          <w:ilvl w:val="0"/>
          <w:numId w:val="11"/>
        </w:numPr>
        <w:shd w:val="clear" w:color="auto" w:fill="FFFFFF"/>
        <w:spacing w:after="0"/>
      </w:pPr>
      <w:r w:rsidRPr="005271FA">
        <w:t>confidentiality, integrity and availability of data</w:t>
      </w:r>
    </w:p>
    <w:p w14:paraId="6531929D" w14:textId="77777777" w:rsidR="00EE1DC7" w:rsidRPr="005271FA" w:rsidRDefault="00EE1DC7" w:rsidP="005271FA">
      <w:pPr>
        <w:pStyle w:val="ListParagraph"/>
        <w:keepNext/>
        <w:numPr>
          <w:ilvl w:val="0"/>
          <w:numId w:val="11"/>
        </w:numPr>
        <w:shd w:val="clear" w:color="auto" w:fill="FFFFFF"/>
        <w:spacing w:after="0"/>
      </w:pPr>
      <w:r w:rsidRPr="005271FA">
        <w:t>privacy and integrity of personal information about Australian citizens</w:t>
      </w:r>
    </w:p>
    <w:p w14:paraId="39D28866" w14:textId="77777777" w:rsidR="00EE1DC7" w:rsidRPr="005271FA" w:rsidRDefault="00EE1DC7" w:rsidP="005271FA">
      <w:pPr>
        <w:pStyle w:val="ListParagraph"/>
        <w:keepNext/>
        <w:numPr>
          <w:ilvl w:val="0"/>
          <w:numId w:val="11"/>
        </w:numPr>
        <w:shd w:val="clear" w:color="auto" w:fill="FFFFFF"/>
        <w:spacing w:after="0"/>
      </w:pPr>
      <w:r w:rsidRPr="005271FA">
        <w:t xml:space="preserve">the safety of persons </w:t>
      </w:r>
    </w:p>
    <w:p w14:paraId="5CC77217" w14:textId="77777777" w:rsidR="00EE1DC7" w:rsidRPr="005271FA" w:rsidRDefault="00EE1DC7" w:rsidP="005271FA">
      <w:pPr>
        <w:pStyle w:val="ListParagraph"/>
        <w:keepNext/>
        <w:numPr>
          <w:ilvl w:val="0"/>
          <w:numId w:val="11"/>
        </w:numPr>
        <w:shd w:val="clear" w:color="auto" w:fill="FFFFFF"/>
        <w:spacing w:after="0"/>
      </w:pPr>
      <w:r w:rsidRPr="005271FA">
        <w:t>public’s confidence in business</w:t>
      </w:r>
    </w:p>
    <w:p w14:paraId="6A70CFAB" w14:textId="77777777" w:rsidR="00EE1DC7" w:rsidRPr="005271FA" w:rsidRDefault="00EE1DC7" w:rsidP="005271FA">
      <w:pPr>
        <w:pStyle w:val="ListParagraph"/>
        <w:keepNext/>
        <w:numPr>
          <w:ilvl w:val="0"/>
          <w:numId w:val="11"/>
        </w:numPr>
        <w:shd w:val="clear" w:color="auto" w:fill="FFFFFF"/>
        <w:spacing w:after="0"/>
      </w:pPr>
      <w:r w:rsidRPr="005271FA">
        <w:t xml:space="preserve">market stability and commercial interests </w:t>
      </w:r>
    </w:p>
    <w:p w14:paraId="04DBC1DE" w14:textId="77777777" w:rsidR="00EE1DC7" w:rsidRPr="005271FA" w:rsidRDefault="00EE1DC7" w:rsidP="005271FA">
      <w:pPr>
        <w:pStyle w:val="ListParagraph"/>
        <w:keepNext/>
        <w:numPr>
          <w:ilvl w:val="0"/>
          <w:numId w:val="11"/>
        </w:numPr>
        <w:shd w:val="clear" w:color="auto" w:fill="FFFFFF"/>
        <w:spacing w:after="0"/>
      </w:pPr>
      <w:r w:rsidRPr="005271FA">
        <w:t xml:space="preserve">the competitive process, </w:t>
      </w:r>
    </w:p>
    <w:p w14:paraId="7DA926F4" w14:textId="77777777" w:rsidR="00EE1DC7" w:rsidRPr="005271FA" w:rsidRDefault="00EE1DC7" w:rsidP="005271FA">
      <w:pPr>
        <w:pStyle w:val="ListParagraph"/>
        <w:keepNext/>
        <w:numPr>
          <w:ilvl w:val="0"/>
          <w:numId w:val="11"/>
        </w:numPr>
        <w:shd w:val="clear" w:color="auto" w:fill="FFFFFF"/>
        <w:spacing w:after="0"/>
      </w:pPr>
      <w:r w:rsidRPr="005271FA">
        <w:t xml:space="preserve">compliance with legislation, and </w:t>
      </w:r>
    </w:p>
    <w:p w14:paraId="5D485F84" w14:textId="77777777" w:rsidR="00EE1DC7" w:rsidRPr="005271FA" w:rsidRDefault="00EE1DC7" w:rsidP="005271FA">
      <w:pPr>
        <w:pStyle w:val="ListParagraph"/>
        <w:keepNext/>
        <w:numPr>
          <w:ilvl w:val="0"/>
          <w:numId w:val="11"/>
        </w:numPr>
        <w:shd w:val="clear" w:color="auto" w:fill="FFFFFF"/>
        <w:spacing w:after="0"/>
      </w:pPr>
      <w:r w:rsidRPr="005271FA">
        <w:t>service delivery.</w:t>
      </w:r>
    </w:p>
    <w:p w14:paraId="54D5E289" w14:textId="18C82C28" w:rsidR="00E55265" w:rsidRPr="005F7189" w:rsidRDefault="00065C62">
      <w:pPr>
        <w:pStyle w:val="ListParagraph"/>
        <w:keepNext/>
        <w:numPr>
          <w:ilvl w:val="0"/>
          <w:numId w:val="7"/>
        </w:numPr>
        <w:shd w:val="clear" w:color="auto" w:fill="FFFFFF"/>
        <w:spacing w:after="0"/>
      </w:pPr>
      <w:r w:rsidRPr="00384A61">
        <w:t>Clause 5(3) provides a description of what information the responsible entity needs to provide in relation to its data arrangements</w:t>
      </w:r>
      <w:r w:rsidR="00E65F75">
        <w:t xml:space="preserve"> including</w:t>
      </w:r>
      <w:r w:rsidRPr="00384A61">
        <w:t>:</w:t>
      </w:r>
    </w:p>
    <w:p w14:paraId="2C6097A2" w14:textId="6214275F" w:rsidR="00065C62" w:rsidRDefault="00065C62" w:rsidP="005F7189">
      <w:pPr>
        <w:pStyle w:val="ListParagraph"/>
        <w:keepNext/>
        <w:numPr>
          <w:ilvl w:val="0"/>
          <w:numId w:val="11"/>
        </w:numPr>
        <w:shd w:val="clear" w:color="auto" w:fill="FFFFFF"/>
        <w:spacing w:after="0"/>
      </w:pPr>
      <w:r>
        <w:t xml:space="preserve">The name of the entity that maintains the data – this includes the name of the responsible entity, if it is indeed </w:t>
      </w:r>
      <w:r w:rsidR="003B1E24">
        <w:t>the responsible entity that</w:t>
      </w:r>
      <w:r>
        <w:t xml:space="preserve"> maintain</w:t>
      </w:r>
      <w:r w:rsidR="003B1E24">
        <w:t>s</w:t>
      </w:r>
      <w:r>
        <w:t xml:space="preserve"> the data, but does so at a location outside Australia (see clause 5(2)(b)(ii))</w:t>
      </w:r>
      <w:r w:rsidR="003B1E24">
        <w:t>.</w:t>
      </w:r>
    </w:p>
    <w:p w14:paraId="10A5F0FB" w14:textId="77777777" w:rsidR="00065C62" w:rsidRDefault="00065C62" w:rsidP="005F7189">
      <w:pPr>
        <w:pStyle w:val="ListParagraph"/>
        <w:keepNext/>
        <w:numPr>
          <w:ilvl w:val="0"/>
          <w:numId w:val="11"/>
        </w:numPr>
        <w:shd w:val="clear" w:color="auto" w:fill="FFFFFF"/>
        <w:spacing w:after="0"/>
      </w:pPr>
      <w:r>
        <w:t xml:space="preserve">If the data is not maintained by the responsible entity, then the responsible entity needs to provide: </w:t>
      </w:r>
    </w:p>
    <w:p w14:paraId="491A7977" w14:textId="77777777" w:rsidR="00065C62" w:rsidRDefault="00065C62" w:rsidP="005F7189">
      <w:pPr>
        <w:pStyle w:val="ListParagraph"/>
        <w:keepNext/>
        <w:numPr>
          <w:ilvl w:val="2"/>
          <w:numId w:val="12"/>
        </w:numPr>
        <w:shd w:val="clear" w:color="auto" w:fill="FFFFFF"/>
        <w:spacing w:after="0"/>
      </w:pPr>
      <w:r>
        <w:t>the ABN or similar business number if it is an overseas company</w:t>
      </w:r>
    </w:p>
    <w:p w14:paraId="17B2B17C" w14:textId="77777777" w:rsidR="00065C62" w:rsidRDefault="00065C62" w:rsidP="005F7189">
      <w:pPr>
        <w:pStyle w:val="ListParagraph"/>
        <w:keepNext/>
        <w:numPr>
          <w:ilvl w:val="2"/>
          <w:numId w:val="12"/>
        </w:numPr>
        <w:shd w:val="clear" w:color="auto" w:fill="FFFFFF"/>
        <w:spacing w:after="0"/>
      </w:pPr>
      <w:r>
        <w:t>the entity’s head office or principal place of business</w:t>
      </w:r>
    </w:p>
    <w:p w14:paraId="3D4FA110" w14:textId="022A4E40" w:rsidR="00184C0B" w:rsidRDefault="00065C62" w:rsidP="005F7189">
      <w:pPr>
        <w:pStyle w:val="ListParagraph"/>
        <w:keepNext/>
        <w:numPr>
          <w:ilvl w:val="2"/>
          <w:numId w:val="12"/>
        </w:numPr>
        <w:shd w:val="clear" w:color="auto" w:fill="FFFFFF"/>
        <w:spacing w:after="0"/>
      </w:pPr>
      <w:r>
        <w:t>the country in which the entity is incorporated, formed or created.</w:t>
      </w:r>
    </w:p>
    <w:p w14:paraId="2C089197" w14:textId="7992553C" w:rsidR="002A5DD8" w:rsidRDefault="002A5DD8" w:rsidP="005F7189">
      <w:pPr>
        <w:pStyle w:val="ListParagraph"/>
        <w:keepNext/>
        <w:numPr>
          <w:ilvl w:val="0"/>
          <w:numId w:val="11"/>
        </w:numPr>
        <w:shd w:val="clear" w:color="auto" w:fill="FFFFFF"/>
        <w:spacing w:after="0"/>
      </w:pPr>
      <w:r>
        <w:t>The address at which the data is held within Australia or outside Australia. This includes, to the extent practicable, the address at which computers or servers holding the data are located and whether or not those computers or serve</w:t>
      </w:r>
      <w:r w:rsidR="002F3E29">
        <w:t>rs are part of a cloud service</w:t>
      </w:r>
      <w:r w:rsidR="00FF313A">
        <w:t>.</w:t>
      </w:r>
      <w:r w:rsidR="00005934">
        <w:t xml:space="preserve"> </w:t>
      </w:r>
      <w:r w:rsidR="003C4306">
        <w:t xml:space="preserve">Where data is maintained at multiple addresses, each address at which data is held within Australia or outside Australia. The phrase ‘to the extent practicable’ is intended to provide flexibility to a responsible entity where an address cannot be obtained. For example, this may be as a result of </w:t>
      </w:r>
      <w:r w:rsidR="00206799">
        <w:t xml:space="preserve">a </w:t>
      </w:r>
      <w:r w:rsidR="003C4306">
        <w:t>data</w:t>
      </w:r>
      <w:r w:rsidR="00206799">
        <w:t xml:space="preserve"> set</w:t>
      </w:r>
      <w:r w:rsidR="003C4306">
        <w:t xml:space="preserve"> being held in a cloud service that does not utilise any fixed address for that data </w:t>
      </w:r>
      <w:r w:rsidR="00206799">
        <w:t xml:space="preserve">set </w:t>
      </w:r>
      <w:r w:rsidR="003C4306">
        <w:t xml:space="preserve">and therefore may not be able to be obtained.       </w:t>
      </w:r>
    </w:p>
    <w:p w14:paraId="5F89D044" w14:textId="256184A3" w:rsidR="002A5DD8" w:rsidRDefault="009E46A7" w:rsidP="005F7189">
      <w:pPr>
        <w:pStyle w:val="ListParagraph"/>
        <w:keepNext/>
        <w:numPr>
          <w:ilvl w:val="0"/>
          <w:numId w:val="11"/>
        </w:numPr>
        <w:shd w:val="clear" w:color="auto" w:fill="FFFFFF"/>
        <w:spacing w:after="0"/>
      </w:pPr>
      <w:r>
        <w:t>F</w:t>
      </w:r>
      <w:r w:rsidR="002A5DD8">
        <w:t xml:space="preserve">or applicable data arrangements, the name of the cloud service </w:t>
      </w:r>
      <w:r w:rsidR="00E65F75">
        <w:t>provider</w:t>
      </w:r>
      <w:r w:rsidR="002F3E29">
        <w:t>, and</w:t>
      </w:r>
    </w:p>
    <w:p w14:paraId="5124D20D" w14:textId="74BAAB46" w:rsidR="002A5DD8" w:rsidRDefault="009E46A7" w:rsidP="005F7189">
      <w:pPr>
        <w:pStyle w:val="ListParagraph"/>
        <w:keepNext/>
        <w:numPr>
          <w:ilvl w:val="0"/>
          <w:numId w:val="11"/>
        </w:numPr>
        <w:shd w:val="clear" w:color="auto" w:fill="FFFFFF"/>
        <w:spacing w:after="0"/>
      </w:pPr>
      <w:r>
        <w:t>T</w:t>
      </w:r>
      <w:r w:rsidR="002F3E29">
        <w:t>he kind of data mentioned in paragraphs (2)(c) that the entity maintains.</w:t>
      </w:r>
      <w:r w:rsidR="003C4306">
        <w:t xml:space="preserve"> For clarity, this would include details that would associate the entity and the particular data set(s) that entity manager on behalf of the responsible entity. For example, ‘Cloud service provider Pty Ltd holds research and development information and bulk personal information on behalf of the asset.’ </w:t>
      </w:r>
    </w:p>
    <w:p w14:paraId="32E2B370" w14:textId="3AF7A7AD" w:rsidR="00065C62" w:rsidRDefault="00065C62" w:rsidP="005271FA">
      <w:pPr>
        <w:pStyle w:val="ListParagraph"/>
        <w:keepNext/>
        <w:numPr>
          <w:ilvl w:val="0"/>
          <w:numId w:val="7"/>
        </w:numPr>
        <w:shd w:val="clear" w:color="auto" w:fill="FFFFFF"/>
        <w:spacing w:after="0"/>
      </w:pPr>
      <w:r w:rsidRPr="00184C0B">
        <w:t>Th</w:t>
      </w:r>
      <w:r w:rsidR="00E65F75">
        <w:t>e</w:t>
      </w:r>
      <w:r w:rsidRPr="00184C0B">
        <w:t xml:space="preserve"> information</w:t>
      </w:r>
      <w:r w:rsidR="00E65F75">
        <w:t xml:space="preserve"> required to be provided under </w:t>
      </w:r>
      <w:r w:rsidR="00F5495B">
        <w:t xml:space="preserve">clause </w:t>
      </w:r>
      <w:r w:rsidR="00184C0B">
        <w:t>5(3)(b)(i)-(iii)</w:t>
      </w:r>
      <w:r w:rsidRPr="00184C0B">
        <w:t xml:space="preserve"> is consistent with operational information the responsible entity is required to provide about itself and its operators under </w:t>
      </w:r>
      <w:r w:rsidR="00E65F75">
        <w:t xml:space="preserve">section 7 of </w:t>
      </w:r>
      <w:r w:rsidRPr="00184C0B">
        <w:t>the Act</w:t>
      </w:r>
      <w:r w:rsidR="00184C0B">
        <w:t>.</w:t>
      </w:r>
    </w:p>
    <w:p w14:paraId="0F36B4DF" w14:textId="550922E6" w:rsidR="004C0913" w:rsidRDefault="00F5495B" w:rsidP="004C0913">
      <w:pPr>
        <w:keepNext/>
        <w:shd w:val="clear" w:color="auto" w:fill="FFFFFF"/>
        <w:spacing w:before="100" w:beforeAutospacing="1"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Clause </w:t>
      </w:r>
      <w:r w:rsidR="004C0913">
        <w:rPr>
          <w:rFonts w:ascii="Times New Roman" w:eastAsia="Times New Roman" w:hAnsi="Times New Roman" w:cs="Times New Roman"/>
          <w:sz w:val="24"/>
          <w:szCs w:val="24"/>
          <w:u w:val="single"/>
          <w:lang w:eastAsia="en-AU"/>
        </w:rPr>
        <w:t xml:space="preserve">6 – </w:t>
      </w:r>
      <w:r w:rsidR="004C0913" w:rsidRPr="0046273E">
        <w:rPr>
          <w:rFonts w:ascii="Times New Roman" w:eastAsia="Times New Roman" w:hAnsi="Times New Roman" w:cs="Times New Roman"/>
          <w:sz w:val="24"/>
          <w:szCs w:val="24"/>
          <w:u w:val="single"/>
          <w:lang w:eastAsia="en-AU"/>
        </w:rPr>
        <w:t>Requirements for electricity generation stations</w:t>
      </w:r>
    </w:p>
    <w:p w14:paraId="5E5A015A" w14:textId="0DCE49EC" w:rsidR="00924357" w:rsidRDefault="00924357" w:rsidP="005271FA">
      <w:pPr>
        <w:pStyle w:val="ListParagraph"/>
        <w:numPr>
          <w:ilvl w:val="0"/>
          <w:numId w:val="7"/>
        </w:numPr>
        <w:shd w:val="clear" w:color="auto" w:fill="FFFFFF"/>
        <w:spacing w:after="240" w:afterAutospacing="0" w:line="256" w:lineRule="auto"/>
      </w:pPr>
      <w:r w:rsidRPr="00384A61">
        <w:t>The</w:t>
      </w:r>
      <w:r>
        <w:t xml:space="preserve"> SOCI</w:t>
      </w:r>
      <w:r w:rsidRPr="00384A61">
        <w:t xml:space="preserve"> Act contains a range of powers, functions and obligations that apply </w:t>
      </w:r>
      <w:r>
        <w:t>to those assets captured by the Act. The assets captured by the</w:t>
      </w:r>
      <w:r w:rsidR="00F61E39">
        <w:t xml:space="preserve"> SOCI</w:t>
      </w:r>
      <w:r>
        <w:t xml:space="preserve"> Act include </w:t>
      </w:r>
      <w:r w:rsidR="00B70BF6" w:rsidRPr="00C9767E">
        <w:lastRenderedPageBreak/>
        <w:t>network</w:t>
      </w:r>
      <w:r w:rsidR="00B70BF6">
        <w:t>s</w:t>
      </w:r>
      <w:r w:rsidR="00B70BF6" w:rsidRPr="00C9767E">
        <w:t>, system</w:t>
      </w:r>
      <w:r w:rsidR="00B70BF6">
        <w:t>s</w:t>
      </w:r>
      <w:r w:rsidR="00B70BF6" w:rsidRPr="00C9767E">
        <w:t xml:space="preserve"> or interconnector</w:t>
      </w:r>
      <w:r w:rsidR="00B70BF6">
        <w:t>s</w:t>
      </w:r>
      <w:r w:rsidR="00B70BF6" w:rsidRPr="00C9767E">
        <w:t xml:space="preserve"> used for </w:t>
      </w:r>
      <w:r w:rsidR="00B70BF6">
        <w:t xml:space="preserve">the </w:t>
      </w:r>
      <w:r w:rsidR="00B70BF6" w:rsidRPr="00C9767E">
        <w:t>transmission or distribution of electricity that ultimately service 100,000 customers</w:t>
      </w:r>
      <w:r>
        <w:t>. The</w:t>
      </w:r>
      <w:r w:rsidR="00F61E39">
        <w:t xml:space="preserve"> SOCI</w:t>
      </w:r>
      <w:r>
        <w:t xml:space="preserve"> Act also applies to </w:t>
      </w:r>
      <w:r w:rsidRPr="00384A61">
        <w:t>electricity generation stations that are critical to ensuring the security and reliability of an electricity system or network in a state or territory.</w:t>
      </w:r>
      <w:r>
        <w:t xml:space="preserve"> The SOCI Act enables the rules to prescribe the requirements for an electricity generation station to be critical.</w:t>
      </w:r>
    </w:p>
    <w:p w14:paraId="167D6E63" w14:textId="0BDD9C3E" w:rsidR="00F42441" w:rsidRDefault="004C0913" w:rsidP="005271FA">
      <w:pPr>
        <w:pStyle w:val="ListParagraph"/>
        <w:numPr>
          <w:ilvl w:val="0"/>
          <w:numId w:val="7"/>
        </w:numPr>
        <w:shd w:val="clear" w:color="auto" w:fill="FFFFFF"/>
        <w:spacing w:after="240" w:afterAutospacing="0" w:line="256" w:lineRule="auto"/>
      </w:pPr>
      <w:r w:rsidRPr="00384A61">
        <w:t xml:space="preserve">This clause prescribes the requirements for an electricity generation station to be a ‘critical electricity asset’ for the purposes of the </w:t>
      </w:r>
      <w:r w:rsidR="00025BC3">
        <w:t xml:space="preserve">SOCI </w:t>
      </w:r>
      <w:r w:rsidRPr="00384A61">
        <w:t>Act</w:t>
      </w:r>
      <w:r w:rsidR="00E65F75">
        <w:t>,</w:t>
      </w:r>
      <w:r w:rsidRPr="00384A61">
        <w:t xml:space="preserve"> as authorised by subsection</w:t>
      </w:r>
      <w:r w:rsidR="00F6079E">
        <w:t> </w:t>
      </w:r>
      <w:r w:rsidRPr="00384A61">
        <w:t>10(2).</w:t>
      </w:r>
      <w:r w:rsidR="00FE1ED1">
        <w:t xml:space="preserve"> </w:t>
      </w:r>
    </w:p>
    <w:p w14:paraId="75B2B57E" w14:textId="6D25EDD6" w:rsidR="004C0913" w:rsidRPr="005F7189" w:rsidRDefault="00F42441" w:rsidP="005271FA">
      <w:pPr>
        <w:pStyle w:val="ListParagraph"/>
        <w:numPr>
          <w:ilvl w:val="0"/>
          <w:numId w:val="7"/>
        </w:numPr>
        <w:shd w:val="clear" w:color="auto" w:fill="FFFFFF"/>
        <w:spacing w:after="240" w:afterAutospacing="0" w:line="256" w:lineRule="auto"/>
      </w:pPr>
      <w:r>
        <w:t>For the purposes of the SOCI Act, an</w:t>
      </w:r>
      <w:r w:rsidR="005E06F7">
        <w:t xml:space="preserve"> electricity generation station is a</w:t>
      </w:r>
      <w:r w:rsidR="00FE1ED1">
        <w:t xml:space="preserve"> ‘</w:t>
      </w:r>
      <w:r w:rsidR="005E06F7">
        <w:t>critical infrastructure asset</w:t>
      </w:r>
      <w:r w:rsidR="00FE1ED1">
        <w:t xml:space="preserve">’ </w:t>
      </w:r>
      <w:r w:rsidR="005E06F7">
        <w:t>if</w:t>
      </w:r>
      <w:r w:rsidR="00FE1ED1">
        <w:t xml:space="preserve"> </w:t>
      </w:r>
      <w:r w:rsidR="005E06F7">
        <w:t>it</w:t>
      </w:r>
      <w:r w:rsidR="00924357">
        <w:t xml:space="preserve"> meets specified thresholds or is contracted to provide system restart services.</w:t>
      </w:r>
    </w:p>
    <w:p w14:paraId="4FAFF145" w14:textId="33C364B7" w:rsidR="00924357" w:rsidRPr="005271FA" w:rsidRDefault="00924357" w:rsidP="005271FA">
      <w:pPr>
        <w:shd w:val="clear" w:color="auto" w:fill="FFFFFF"/>
        <w:spacing w:line="256" w:lineRule="auto"/>
        <w:rPr>
          <w:i/>
        </w:rPr>
      </w:pPr>
      <w:r w:rsidRPr="005271FA">
        <w:rPr>
          <w:rFonts w:ascii="Times New Roman" w:hAnsi="Times New Roman" w:cs="Times New Roman"/>
          <w:i/>
          <w:sz w:val="24"/>
          <w:szCs w:val="24"/>
        </w:rPr>
        <w:t>Jurisdictional thresholds</w:t>
      </w:r>
    </w:p>
    <w:p w14:paraId="63E98B26" w14:textId="632224CD" w:rsidR="004C0913" w:rsidRPr="00B511B2" w:rsidRDefault="00924357" w:rsidP="005271FA">
      <w:pPr>
        <w:pStyle w:val="ListParagraph"/>
        <w:numPr>
          <w:ilvl w:val="0"/>
          <w:numId w:val="7"/>
        </w:numPr>
        <w:shd w:val="clear" w:color="auto" w:fill="FFFFFF"/>
        <w:spacing w:after="240" w:afterAutospacing="0" w:line="256" w:lineRule="auto"/>
      </w:pPr>
      <w:r>
        <w:t xml:space="preserve">Clause 6(1) has the effect of applying the Act to synchronous electricity generation stations </w:t>
      </w:r>
      <w:r w:rsidR="004C0913" w:rsidRPr="00B511B2">
        <w:t xml:space="preserve">above a particular </w:t>
      </w:r>
      <w:r w:rsidR="000C24F1">
        <w:t>megawatt (</w:t>
      </w:r>
      <w:r w:rsidR="004C0913" w:rsidRPr="00B511B2">
        <w:t>MW</w:t>
      </w:r>
      <w:r w:rsidR="000C24F1">
        <w:t>)</w:t>
      </w:r>
      <w:r w:rsidR="004C0913" w:rsidRPr="00B511B2">
        <w:t xml:space="preserve"> threshold in the jurisdiction in which it is located. The thresholds</w:t>
      </w:r>
      <w:r w:rsidR="004C0913">
        <w:t xml:space="preserve"> for each jurisdiction</w:t>
      </w:r>
      <w:r w:rsidR="004C0913" w:rsidRPr="00B511B2">
        <w:t xml:space="preserve"> are:</w:t>
      </w:r>
    </w:p>
    <w:p w14:paraId="118C0BB2" w14:textId="77777777" w:rsidR="004C0913" w:rsidRPr="00B511B2" w:rsidRDefault="004C0913" w:rsidP="009E46A7">
      <w:pPr>
        <w:pStyle w:val="ListParagraph"/>
        <w:keepNext/>
        <w:numPr>
          <w:ilvl w:val="0"/>
          <w:numId w:val="11"/>
        </w:numPr>
        <w:shd w:val="clear" w:color="auto" w:fill="FFFFFF"/>
        <w:spacing w:after="0"/>
      </w:pPr>
      <w:r w:rsidRPr="00B511B2">
        <w:t>New South Wales – 1400MW</w:t>
      </w:r>
    </w:p>
    <w:p w14:paraId="44A96BCD" w14:textId="77777777" w:rsidR="004C0913" w:rsidRPr="00B511B2" w:rsidRDefault="004C0913" w:rsidP="009E46A7">
      <w:pPr>
        <w:pStyle w:val="ListParagraph"/>
        <w:keepNext/>
        <w:numPr>
          <w:ilvl w:val="0"/>
          <w:numId w:val="11"/>
        </w:numPr>
        <w:shd w:val="clear" w:color="auto" w:fill="FFFFFF"/>
        <w:spacing w:after="0"/>
      </w:pPr>
      <w:r w:rsidRPr="00B511B2">
        <w:t>Victoria – 1200MW</w:t>
      </w:r>
    </w:p>
    <w:p w14:paraId="329983E5" w14:textId="77777777" w:rsidR="004C0913" w:rsidRPr="00B511B2" w:rsidRDefault="004C0913" w:rsidP="009E46A7">
      <w:pPr>
        <w:pStyle w:val="ListParagraph"/>
        <w:keepNext/>
        <w:numPr>
          <w:ilvl w:val="0"/>
          <w:numId w:val="11"/>
        </w:numPr>
        <w:shd w:val="clear" w:color="auto" w:fill="FFFFFF"/>
        <w:spacing w:after="0"/>
      </w:pPr>
      <w:r w:rsidRPr="00B511B2">
        <w:t>Queensland – 1300MW</w:t>
      </w:r>
    </w:p>
    <w:p w14:paraId="4665BBA9" w14:textId="77777777" w:rsidR="004C0913" w:rsidRPr="00B511B2" w:rsidRDefault="004C0913" w:rsidP="009E46A7">
      <w:pPr>
        <w:pStyle w:val="ListParagraph"/>
        <w:keepNext/>
        <w:numPr>
          <w:ilvl w:val="0"/>
          <w:numId w:val="11"/>
        </w:numPr>
        <w:shd w:val="clear" w:color="auto" w:fill="FFFFFF"/>
        <w:spacing w:after="0"/>
      </w:pPr>
      <w:r w:rsidRPr="00B511B2">
        <w:t>Western Australia – 600MW</w:t>
      </w:r>
    </w:p>
    <w:p w14:paraId="47DD2992" w14:textId="77777777" w:rsidR="004C0913" w:rsidRPr="00B511B2" w:rsidRDefault="004C0913" w:rsidP="009E46A7">
      <w:pPr>
        <w:pStyle w:val="ListParagraph"/>
        <w:keepNext/>
        <w:numPr>
          <w:ilvl w:val="0"/>
          <w:numId w:val="11"/>
        </w:numPr>
        <w:shd w:val="clear" w:color="auto" w:fill="FFFFFF"/>
        <w:spacing w:after="0"/>
      </w:pPr>
      <w:r w:rsidRPr="00B511B2">
        <w:t>South Australia – 600MW</w:t>
      </w:r>
    </w:p>
    <w:p w14:paraId="0A90A474" w14:textId="77777777" w:rsidR="004C0913" w:rsidRPr="00B511B2" w:rsidRDefault="004C0913" w:rsidP="009E46A7">
      <w:pPr>
        <w:pStyle w:val="ListParagraph"/>
        <w:keepNext/>
        <w:numPr>
          <w:ilvl w:val="0"/>
          <w:numId w:val="11"/>
        </w:numPr>
        <w:shd w:val="clear" w:color="auto" w:fill="FFFFFF"/>
        <w:spacing w:after="0"/>
      </w:pPr>
      <w:r w:rsidRPr="00B511B2">
        <w:t>Tasmania – 700MW</w:t>
      </w:r>
    </w:p>
    <w:p w14:paraId="6A01A485" w14:textId="77777777" w:rsidR="004C0913" w:rsidRPr="00B511B2" w:rsidRDefault="004C0913" w:rsidP="009E46A7">
      <w:pPr>
        <w:pStyle w:val="ListParagraph"/>
        <w:keepNext/>
        <w:numPr>
          <w:ilvl w:val="0"/>
          <w:numId w:val="11"/>
        </w:numPr>
        <w:shd w:val="clear" w:color="auto" w:fill="FFFFFF"/>
        <w:spacing w:after="0"/>
      </w:pPr>
      <w:r w:rsidRPr="00B511B2">
        <w:t>Northern Territory – 300MW.</w:t>
      </w:r>
    </w:p>
    <w:p w14:paraId="5ADFDF81" w14:textId="03E8AAD0" w:rsidR="000C24F1" w:rsidRDefault="004C0913" w:rsidP="005271FA">
      <w:pPr>
        <w:pStyle w:val="ListParagraph"/>
        <w:numPr>
          <w:ilvl w:val="0"/>
          <w:numId w:val="7"/>
        </w:numPr>
        <w:shd w:val="clear" w:color="auto" w:fill="FFFFFF"/>
        <w:spacing w:after="240" w:afterAutospacing="0" w:line="256" w:lineRule="auto"/>
      </w:pPr>
      <w:r w:rsidRPr="00B511B2">
        <w:t>These thresholds are consistent with the MW capacities held in reserve for each jurisdiction (i.e. the system is designed to be able to withstand the loss of this level of MW capacity)</w:t>
      </w:r>
      <w:r w:rsidR="00F00758">
        <w:t xml:space="preserve">. </w:t>
      </w:r>
    </w:p>
    <w:p w14:paraId="41318E4E" w14:textId="3A9BD85A" w:rsidR="00F85D87" w:rsidRDefault="00F00758" w:rsidP="005271FA">
      <w:pPr>
        <w:pStyle w:val="ListParagraph"/>
        <w:numPr>
          <w:ilvl w:val="0"/>
          <w:numId w:val="7"/>
        </w:numPr>
        <w:shd w:val="clear" w:color="auto" w:fill="FFFFFF"/>
        <w:spacing w:line="256" w:lineRule="auto"/>
      </w:pPr>
      <w:r>
        <w:t>Synchronous electricity generators play a significant role in the security and reliability of an electricity system or network in a state or territory because their output frequency can be more easily regulated to remain at a constant value, and they can easily accommodate load power variations</w:t>
      </w:r>
      <w:r w:rsidR="00F85D87">
        <w:t>.</w:t>
      </w:r>
      <w:r w:rsidR="000C24F1">
        <w:t xml:space="preserve"> </w:t>
      </w:r>
    </w:p>
    <w:p w14:paraId="62A14D34" w14:textId="2418B932" w:rsidR="00F85D87" w:rsidRPr="005271FA" w:rsidRDefault="00924357" w:rsidP="005271FA">
      <w:pPr>
        <w:shd w:val="clear" w:color="auto" w:fill="FFFFFF"/>
        <w:spacing w:line="256" w:lineRule="auto"/>
        <w:rPr>
          <w:i/>
        </w:rPr>
      </w:pPr>
      <w:r w:rsidRPr="005271FA">
        <w:rPr>
          <w:rFonts w:ascii="Times New Roman" w:hAnsi="Times New Roman" w:cs="Times New Roman"/>
          <w:i/>
          <w:sz w:val="24"/>
          <w:szCs w:val="24"/>
        </w:rPr>
        <w:t>System restart service</w:t>
      </w:r>
    </w:p>
    <w:p w14:paraId="3CC91E10" w14:textId="45CB0F32" w:rsidR="00D601F6" w:rsidRDefault="00924357" w:rsidP="005271FA">
      <w:pPr>
        <w:pStyle w:val="ListParagraph"/>
        <w:numPr>
          <w:ilvl w:val="0"/>
          <w:numId w:val="7"/>
        </w:numPr>
        <w:shd w:val="clear" w:color="auto" w:fill="FFFFFF"/>
        <w:spacing w:after="240" w:afterAutospacing="0" w:line="257" w:lineRule="auto"/>
        <w:ind w:left="714" w:hanging="357"/>
      </w:pPr>
      <w:r>
        <w:t xml:space="preserve">Clause 6(1) also has the effect of applying the SOCI Act to </w:t>
      </w:r>
      <w:r w:rsidR="00F85D87">
        <w:t>electricity generation station</w:t>
      </w:r>
      <w:r>
        <w:t xml:space="preserve">s </w:t>
      </w:r>
      <w:r w:rsidR="004C0913" w:rsidRPr="00B03CB4">
        <w:t xml:space="preserve">contracted to provide a system restart </w:t>
      </w:r>
      <w:r w:rsidR="00F85D87">
        <w:t xml:space="preserve">ancillary </w:t>
      </w:r>
      <w:r w:rsidR="004C0913" w:rsidRPr="00B03CB4">
        <w:t>service</w:t>
      </w:r>
      <w:r w:rsidR="00F85D87">
        <w:t xml:space="preserve"> in the</w:t>
      </w:r>
      <w:r>
        <w:t xml:space="preserve"> station’s</w:t>
      </w:r>
      <w:r w:rsidR="00F85D87">
        <w:t xml:space="preserve"> State or Territory</w:t>
      </w:r>
      <w:r w:rsidR="004C0913" w:rsidRPr="00B03CB4">
        <w:t>.</w:t>
      </w:r>
    </w:p>
    <w:p w14:paraId="238A3F5E" w14:textId="5A17336E" w:rsidR="004C0913" w:rsidRDefault="004C0913" w:rsidP="005271FA">
      <w:pPr>
        <w:pStyle w:val="ListParagraph"/>
        <w:numPr>
          <w:ilvl w:val="0"/>
          <w:numId w:val="7"/>
        </w:numPr>
        <w:shd w:val="clear" w:color="auto" w:fill="FFFFFF"/>
        <w:spacing w:line="256" w:lineRule="auto"/>
      </w:pPr>
      <w:r w:rsidRPr="00B03CB4">
        <w:t xml:space="preserve">These generation stations </w:t>
      </w:r>
      <w:r w:rsidR="00924357">
        <w:t xml:space="preserve">are </w:t>
      </w:r>
      <w:r w:rsidRPr="00B03CB4">
        <w:t>able to start without an external power supply and</w:t>
      </w:r>
      <w:r>
        <w:t>,</w:t>
      </w:r>
      <w:r w:rsidRPr="00B03CB4">
        <w:t xml:space="preserve"> connect and provide energy to an electricity system or network for the transmission </w:t>
      </w:r>
      <w:r w:rsidR="00F85D87">
        <w:t xml:space="preserve">or distribution </w:t>
      </w:r>
      <w:r w:rsidRPr="00B03CB4">
        <w:t>of electricity. They provide the ability to restart generators in the electricity network and ultimately commence restoration of load</w:t>
      </w:r>
      <w:r w:rsidR="00E44835">
        <w:t>, such as in the event of a black out</w:t>
      </w:r>
      <w:r w:rsidRPr="00B03CB4">
        <w:t>.</w:t>
      </w:r>
      <w:r w:rsidR="00F00758">
        <w:t xml:space="preserve"> </w:t>
      </w:r>
    </w:p>
    <w:p w14:paraId="65B03EA3" w14:textId="2649239F" w:rsidR="004C0913" w:rsidRPr="00384A61" w:rsidRDefault="004C0913" w:rsidP="005271FA"/>
    <w:p w14:paraId="355FEE2C" w14:textId="0B3FB890" w:rsidR="004C0913" w:rsidRPr="00B511B2" w:rsidRDefault="00F5495B" w:rsidP="004C0913">
      <w:pPr>
        <w:keepNext/>
        <w:shd w:val="clear" w:color="auto" w:fill="FFFFFF"/>
        <w:spacing w:before="100" w:beforeAutospacing="1" w:after="0" w:line="240" w:lineRule="auto"/>
        <w:rPr>
          <w:rFonts w:ascii="Times New Roman" w:eastAsia="Times New Roman" w:hAnsi="Times New Roman" w:cs="Times New Roman"/>
          <w:sz w:val="24"/>
          <w:szCs w:val="24"/>
          <w:u w:val="single"/>
          <w:lang w:eastAsia="en-AU"/>
        </w:rPr>
      </w:pPr>
      <w:bookmarkStart w:id="0" w:name="_Toc515622738"/>
      <w:r>
        <w:rPr>
          <w:rFonts w:ascii="Times New Roman" w:eastAsia="Times New Roman" w:hAnsi="Times New Roman" w:cs="Times New Roman"/>
          <w:sz w:val="24"/>
          <w:szCs w:val="24"/>
          <w:u w:val="single"/>
          <w:lang w:eastAsia="en-AU"/>
        </w:rPr>
        <w:t>Clause</w:t>
      </w:r>
      <w:r w:rsidR="008D5FDB">
        <w:rPr>
          <w:rFonts w:ascii="Times New Roman" w:eastAsia="Times New Roman" w:hAnsi="Times New Roman" w:cs="Times New Roman"/>
          <w:sz w:val="24"/>
          <w:szCs w:val="24"/>
          <w:u w:val="single"/>
          <w:lang w:eastAsia="en-AU"/>
        </w:rPr>
        <w:t xml:space="preserve"> 7 </w:t>
      </w:r>
      <w:r w:rsidR="00025BC3">
        <w:rPr>
          <w:rFonts w:ascii="Times New Roman" w:eastAsia="Times New Roman" w:hAnsi="Times New Roman" w:cs="Times New Roman"/>
          <w:sz w:val="24"/>
          <w:szCs w:val="24"/>
          <w:u w:val="single"/>
          <w:lang w:eastAsia="en-AU"/>
        </w:rPr>
        <w:t>and</w:t>
      </w:r>
      <w:r>
        <w:rPr>
          <w:rFonts w:ascii="Times New Roman" w:eastAsia="Times New Roman" w:hAnsi="Times New Roman" w:cs="Times New Roman"/>
          <w:sz w:val="24"/>
          <w:szCs w:val="24"/>
          <w:u w:val="single"/>
          <w:lang w:eastAsia="en-AU"/>
        </w:rPr>
        <w:t xml:space="preserve"> </w:t>
      </w:r>
      <w:r w:rsidR="004C0913" w:rsidRPr="00B511B2">
        <w:rPr>
          <w:rFonts w:ascii="Times New Roman" w:eastAsia="Times New Roman" w:hAnsi="Times New Roman" w:cs="Times New Roman"/>
          <w:sz w:val="24"/>
          <w:szCs w:val="24"/>
          <w:u w:val="single"/>
          <w:lang w:eastAsia="en-AU"/>
        </w:rPr>
        <w:t xml:space="preserve">8 </w:t>
      </w:r>
      <w:r>
        <w:rPr>
          <w:rFonts w:ascii="Times New Roman" w:eastAsia="Times New Roman" w:hAnsi="Times New Roman" w:cs="Times New Roman"/>
          <w:sz w:val="24"/>
          <w:szCs w:val="24"/>
          <w:u w:val="single"/>
          <w:lang w:eastAsia="en-AU"/>
        </w:rPr>
        <w:t>-</w:t>
      </w:r>
      <w:r w:rsidR="004C0913" w:rsidRPr="00B511B2">
        <w:rPr>
          <w:rFonts w:ascii="Times New Roman" w:eastAsia="Times New Roman" w:hAnsi="Times New Roman" w:cs="Times New Roman"/>
          <w:sz w:val="24"/>
          <w:szCs w:val="24"/>
          <w:u w:val="single"/>
          <w:lang w:eastAsia="en-AU"/>
        </w:rPr>
        <w:t xml:space="preserve"> Requirements for gas transmission pipelines</w:t>
      </w:r>
      <w:bookmarkEnd w:id="0"/>
      <w:r w:rsidR="008D5FDB">
        <w:rPr>
          <w:rFonts w:ascii="Times New Roman" w:eastAsia="Times New Roman" w:hAnsi="Times New Roman" w:cs="Times New Roman"/>
          <w:sz w:val="24"/>
          <w:szCs w:val="24"/>
          <w:u w:val="single"/>
          <w:lang w:eastAsia="en-AU"/>
        </w:rPr>
        <w:t xml:space="preserve"> and </w:t>
      </w:r>
      <w:r w:rsidR="00BB481D">
        <w:rPr>
          <w:rFonts w:ascii="Times New Roman" w:eastAsia="Times New Roman" w:hAnsi="Times New Roman" w:cs="Times New Roman"/>
          <w:sz w:val="24"/>
          <w:szCs w:val="24"/>
          <w:u w:val="single"/>
          <w:lang w:eastAsia="en-AU"/>
        </w:rPr>
        <w:t>p</w:t>
      </w:r>
      <w:r w:rsidR="008D5FDB" w:rsidRPr="00B03CB4">
        <w:rPr>
          <w:rFonts w:ascii="Times New Roman" w:eastAsia="Times New Roman" w:hAnsi="Times New Roman" w:cs="Times New Roman"/>
          <w:sz w:val="24"/>
          <w:szCs w:val="24"/>
          <w:u w:val="single"/>
          <w:lang w:eastAsia="en-AU"/>
        </w:rPr>
        <w:t>rescribed gas transmission pipelines</w:t>
      </w:r>
    </w:p>
    <w:p w14:paraId="5A4D53F5" w14:textId="2995E20D" w:rsidR="00BB481D" w:rsidRDefault="00BB481D">
      <w:pPr>
        <w:pStyle w:val="ListParagraph"/>
        <w:numPr>
          <w:ilvl w:val="0"/>
          <w:numId w:val="7"/>
        </w:numPr>
        <w:shd w:val="clear" w:color="auto" w:fill="FFFFFF"/>
        <w:spacing w:after="240" w:afterAutospacing="0" w:line="256" w:lineRule="auto"/>
      </w:pPr>
      <w:r w:rsidRPr="00384A61">
        <w:t>The</w:t>
      </w:r>
      <w:r>
        <w:t xml:space="preserve"> SOCI</w:t>
      </w:r>
      <w:r w:rsidRPr="00384A61">
        <w:t xml:space="preserve"> Act contains a range of powers, functions and obligations that apply </w:t>
      </w:r>
      <w:r>
        <w:t>to assets captured by the Act.</w:t>
      </w:r>
      <w:r w:rsidR="00F61E39">
        <w:t xml:space="preserve"> </w:t>
      </w:r>
      <w:r w:rsidR="00025BC3">
        <w:t xml:space="preserve">Section 12 of the </w:t>
      </w:r>
      <w:r>
        <w:t>SOCI Act</w:t>
      </w:r>
      <w:r w:rsidR="00F61E39">
        <w:t xml:space="preserve"> </w:t>
      </w:r>
      <w:r w:rsidR="00025BC3">
        <w:t xml:space="preserve">sets out the gas assets which are captured by the Act. This includes storage, processing and distribution gas assets that meet certain specified </w:t>
      </w:r>
      <w:r w:rsidR="00F61E39">
        <w:t>thresholds</w:t>
      </w:r>
      <w:r w:rsidR="005029B6">
        <w:t xml:space="preserve">. The SOCI Act also captures those gas transmission pipelines </w:t>
      </w:r>
      <w:r w:rsidR="00025BC3">
        <w:t xml:space="preserve">critical to </w:t>
      </w:r>
      <w:r w:rsidR="005029B6" w:rsidRPr="00C9767E">
        <w:t xml:space="preserve">ensuring the security and </w:t>
      </w:r>
      <w:r w:rsidR="002D63BF">
        <w:t>reliability of a gas market</w:t>
      </w:r>
      <w:r w:rsidR="005029B6">
        <w:t>.</w:t>
      </w:r>
      <w:r>
        <w:t xml:space="preserve"> </w:t>
      </w:r>
      <w:r w:rsidR="005029B6">
        <w:t xml:space="preserve">The SOCI Act enables the rules to </w:t>
      </w:r>
      <w:r w:rsidR="00025BC3">
        <w:t xml:space="preserve">specify certain pipelines that are critical, or </w:t>
      </w:r>
      <w:r w:rsidR="005029B6">
        <w:t>prescribe the requirements for</w:t>
      </w:r>
      <w:r w:rsidR="00025BC3">
        <w:t xml:space="preserve"> a gas transmission pipeline to be critical</w:t>
      </w:r>
      <w:r w:rsidR="002D63BF">
        <w:t>, to ensuring the security and reliability of a gas market</w:t>
      </w:r>
      <w:r w:rsidR="00025BC3">
        <w:t>.</w:t>
      </w:r>
      <w:r w:rsidR="00025BC3" w:rsidDel="00025BC3">
        <w:t xml:space="preserve"> </w:t>
      </w:r>
    </w:p>
    <w:p w14:paraId="1163DD56" w14:textId="70A0BC8D" w:rsidR="00025BC3" w:rsidRPr="009E46A7" w:rsidRDefault="00025BC3" w:rsidP="009E46A7">
      <w:pPr>
        <w:shd w:val="clear" w:color="auto" w:fill="FFFFFF"/>
        <w:spacing w:after="240" w:line="256" w:lineRule="auto"/>
        <w:ind w:left="360"/>
        <w:rPr>
          <w:rFonts w:ascii="Times New Roman" w:hAnsi="Times New Roman" w:cs="Times New Roman"/>
          <w:i/>
          <w:sz w:val="24"/>
          <w:szCs w:val="24"/>
        </w:rPr>
      </w:pPr>
      <w:r w:rsidRPr="009E46A7">
        <w:rPr>
          <w:rFonts w:ascii="Times New Roman" w:hAnsi="Times New Roman" w:cs="Times New Roman"/>
          <w:i/>
          <w:sz w:val="24"/>
          <w:szCs w:val="24"/>
        </w:rPr>
        <w:t>Clause 7 – Prescribed gas transmission pipelines</w:t>
      </w:r>
    </w:p>
    <w:p w14:paraId="0780E922" w14:textId="23F92123" w:rsidR="00025BC3" w:rsidRDefault="00025BC3" w:rsidP="00025BC3">
      <w:pPr>
        <w:pStyle w:val="ListParagraph"/>
        <w:numPr>
          <w:ilvl w:val="0"/>
          <w:numId w:val="7"/>
        </w:numPr>
        <w:shd w:val="clear" w:color="auto" w:fill="FFFFFF"/>
        <w:spacing w:after="240" w:afterAutospacing="0" w:line="256" w:lineRule="auto"/>
      </w:pPr>
      <w:r w:rsidRPr="002D63BF">
        <w:t xml:space="preserve">Clause 7 prescribes the Tasmanian Gas Pipeline to </w:t>
      </w:r>
      <w:r w:rsidR="002D63BF" w:rsidRPr="002D63BF">
        <w:t xml:space="preserve">be </w:t>
      </w:r>
      <w:r w:rsidR="002D63BF" w:rsidRPr="005271FA">
        <w:t>critical to ensuring the security and reliability of a gas market</w:t>
      </w:r>
      <w:r w:rsidR="002D63BF" w:rsidRPr="002D63BF">
        <w:t xml:space="preserve"> </w:t>
      </w:r>
      <w:r w:rsidRPr="005F7189">
        <w:t xml:space="preserve">as authorised by paragraph 12(2)(a). </w:t>
      </w:r>
    </w:p>
    <w:p w14:paraId="777C83EE" w14:textId="77777777" w:rsidR="00025BC3" w:rsidRPr="005F7189" w:rsidRDefault="00025BC3" w:rsidP="00025BC3">
      <w:pPr>
        <w:pStyle w:val="ListParagraph"/>
        <w:keepNext/>
        <w:numPr>
          <w:ilvl w:val="0"/>
          <w:numId w:val="7"/>
        </w:numPr>
        <w:shd w:val="clear" w:color="auto" w:fill="FFFFFF"/>
        <w:spacing w:after="240" w:afterAutospacing="0"/>
      </w:pPr>
      <w:r w:rsidRPr="005F7189">
        <w:t xml:space="preserve">The Tasmanian Gas Pipeline does not meet the threshold for the gas market it services (as per clause 8 of the rules), as it only has a </w:t>
      </w:r>
      <w:r w:rsidRPr="005F7189">
        <w:rPr>
          <w:b/>
          <w:i/>
        </w:rPr>
        <w:t xml:space="preserve">nameplate rating </w:t>
      </w:r>
      <w:r w:rsidRPr="005F7189">
        <w:t xml:space="preserve">of 129 terajoules per day, which is below the 200 terajoules per day threshold for the Eastern gas market. However, the pipeline is critical for transporting gas from processing plants to a major demand centre for distribution networks or large gas users such as electricity generators and industrial users. </w:t>
      </w:r>
    </w:p>
    <w:p w14:paraId="7AB9949B" w14:textId="7EDE45B5" w:rsidR="00025BC3" w:rsidRDefault="00025BC3" w:rsidP="00025BC3">
      <w:pPr>
        <w:pStyle w:val="ListParagraph"/>
        <w:numPr>
          <w:ilvl w:val="0"/>
          <w:numId w:val="7"/>
        </w:numPr>
        <w:shd w:val="clear" w:color="auto" w:fill="FFFFFF"/>
        <w:spacing w:after="240" w:afterAutospacing="0" w:line="256" w:lineRule="auto"/>
      </w:pPr>
      <w:r w:rsidRPr="005F7189">
        <w:t xml:space="preserve">The Tasmanian Gas Pipeline is the sole gas transmission pipeline connecting Tasmania to mainland Australia. As Tasmania does not produce any of its own gas, it is wholly reliant on the Tasmanian Gas Pipeline as a source of gas for industrial, residential and electricity generation purposes. Furthermore, Tasmania’s reliance on gas for electricity generation increases in the event of a natural disaster </w:t>
      </w:r>
      <w:r>
        <w:t>(</w:t>
      </w:r>
      <w:r w:rsidRPr="005F7189">
        <w:t>such as drought</w:t>
      </w:r>
      <w:r>
        <w:t>)</w:t>
      </w:r>
      <w:r w:rsidRPr="005F7189">
        <w:t xml:space="preserve"> or if </w:t>
      </w:r>
      <w:r>
        <w:t>there are failures to key assets involved in maintaining the security and supply of electricity in Tasmania</w:t>
      </w:r>
      <w:r w:rsidRPr="005F7189">
        <w:t>.</w:t>
      </w:r>
    </w:p>
    <w:p w14:paraId="61C2EF86" w14:textId="74FA0E6B" w:rsidR="00025BC3" w:rsidRPr="009E46A7" w:rsidRDefault="00025BC3" w:rsidP="009E46A7">
      <w:pPr>
        <w:shd w:val="clear" w:color="auto" w:fill="FFFFFF"/>
        <w:spacing w:after="240" w:line="256" w:lineRule="auto"/>
        <w:ind w:left="360"/>
        <w:rPr>
          <w:rFonts w:ascii="Times New Roman" w:hAnsi="Times New Roman" w:cs="Times New Roman"/>
          <w:i/>
          <w:sz w:val="24"/>
          <w:szCs w:val="24"/>
        </w:rPr>
      </w:pPr>
      <w:r w:rsidRPr="009E46A7">
        <w:rPr>
          <w:rFonts w:ascii="Times New Roman" w:hAnsi="Times New Roman" w:cs="Times New Roman"/>
          <w:i/>
          <w:sz w:val="24"/>
          <w:szCs w:val="24"/>
        </w:rPr>
        <w:t>Clause 8 – Requirements for gas transmission pipelines</w:t>
      </w:r>
    </w:p>
    <w:p w14:paraId="1D6A39C2" w14:textId="2FD8258B" w:rsidR="00684CE6" w:rsidRDefault="00BB481D" w:rsidP="00BB481D">
      <w:pPr>
        <w:pStyle w:val="ListParagraph"/>
        <w:numPr>
          <w:ilvl w:val="0"/>
          <w:numId w:val="7"/>
        </w:numPr>
        <w:shd w:val="clear" w:color="auto" w:fill="FFFFFF"/>
        <w:spacing w:after="240" w:afterAutospacing="0" w:line="256" w:lineRule="auto"/>
      </w:pPr>
      <w:r>
        <w:t>Clause 8</w:t>
      </w:r>
      <w:r w:rsidR="004C0913" w:rsidRPr="00384A61">
        <w:t xml:space="preserve"> prescribes the </w:t>
      </w:r>
      <w:r w:rsidR="004C0913" w:rsidRPr="002D63BF">
        <w:t xml:space="preserve">requirements for a gas transmission pipeline to be </w:t>
      </w:r>
      <w:r w:rsidR="002D63BF" w:rsidRPr="005271FA">
        <w:t xml:space="preserve">critical to ensuring the security and reliability of a particular gas market </w:t>
      </w:r>
      <w:r w:rsidR="004C0913" w:rsidRPr="002D63BF">
        <w:t>for the purposes of the Act as authorised by paragraph</w:t>
      </w:r>
      <w:r w:rsidR="004C0913" w:rsidRPr="00384A61">
        <w:t> 12(2)(</w:t>
      </w:r>
      <w:r w:rsidR="002D63BF">
        <w:t>b</w:t>
      </w:r>
      <w:r w:rsidR="004C0913" w:rsidRPr="00384A61">
        <w:t xml:space="preserve">). </w:t>
      </w:r>
    </w:p>
    <w:p w14:paraId="3C40EA99" w14:textId="12251F6A" w:rsidR="004C0913" w:rsidRPr="00384A61" w:rsidRDefault="00684CE6" w:rsidP="005271FA">
      <w:pPr>
        <w:pStyle w:val="ListParagraph"/>
        <w:numPr>
          <w:ilvl w:val="0"/>
          <w:numId w:val="7"/>
        </w:numPr>
        <w:shd w:val="clear" w:color="auto" w:fill="FFFFFF"/>
        <w:spacing w:after="240" w:afterAutospacing="0" w:line="256" w:lineRule="auto"/>
      </w:pPr>
      <w:r>
        <w:t>For the purposes of the SOCI Act, a gas transmission pipeline is a ‘critical infrastructure asset’ if it meets the requirements in clause</w:t>
      </w:r>
      <w:r w:rsidR="00BB481D">
        <w:t xml:space="preserve"> 8</w:t>
      </w:r>
      <w:r>
        <w:t xml:space="preserve"> to be a ‘critical gas asset.’ </w:t>
      </w:r>
    </w:p>
    <w:p w14:paraId="2174B68B" w14:textId="7A8D0F49" w:rsidR="004C0913" w:rsidRPr="005F7189" w:rsidRDefault="004C0913" w:rsidP="00BB481D">
      <w:pPr>
        <w:pStyle w:val="ListParagraph"/>
        <w:keepNext/>
        <w:numPr>
          <w:ilvl w:val="0"/>
          <w:numId w:val="7"/>
        </w:numPr>
        <w:shd w:val="clear" w:color="auto" w:fill="FFFFFF"/>
        <w:spacing w:after="0"/>
      </w:pPr>
      <w:r w:rsidRPr="005F7189">
        <w:t xml:space="preserve">A gas transmission pipeline is a ‘critical gas asset’ if its </w:t>
      </w:r>
      <w:r w:rsidRPr="005F7189">
        <w:rPr>
          <w:b/>
          <w:i/>
        </w:rPr>
        <w:t xml:space="preserve">nameplate rating </w:t>
      </w:r>
      <w:r w:rsidRPr="005F7189">
        <w:t>meets the terajoule capacity per day for the particular market the pipeline services. The thresholds for each gas market are:</w:t>
      </w:r>
    </w:p>
    <w:p w14:paraId="158BA680" w14:textId="77777777" w:rsidR="004C0913" w:rsidRPr="00184FD5" w:rsidRDefault="004C0913" w:rsidP="004C0913">
      <w:pPr>
        <w:pStyle w:val="ListParagraph"/>
        <w:numPr>
          <w:ilvl w:val="0"/>
          <w:numId w:val="1"/>
        </w:numPr>
        <w:shd w:val="clear" w:color="auto" w:fill="FFFFFF"/>
        <w:spacing w:line="256" w:lineRule="auto"/>
      </w:pPr>
      <w:r w:rsidRPr="00184FD5">
        <w:t>Eastern gas market</w:t>
      </w:r>
      <w:r>
        <w:t xml:space="preserve"> – </w:t>
      </w:r>
      <w:r w:rsidRPr="00184FD5">
        <w:t>200 terajoules per day</w:t>
      </w:r>
    </w:p>
    <w:p w14:paraId="297F323A" w14:textId="77777777" w:rsidR="004C0913" w:rsidRPr="00184FD5" w:rsidRDefault="004C0913" w:rsidP="004C0913">
      <w:pPr>
        <w:pStyle w:val="ListParagraph"/>
        <w:numPr>
          <w:ilvl w:val="0"/>
          <w:numId w:val="1"/>
        </w:numPr>
        <w:shd w:val="clear" w:color="auto" w:fill="FFFFFF"/>
        <w:spacing w:line="256" w:lineRule="auto"/>
      </w:pPr>
      <w:r w:rsidRPr="00184FD5">
        <w:t>Northern gas market</w:t>
      </w:r>
      <w:r>
        <w:t xml:space="preserve"> – </w:t>
      </w:r>
      <w:r w:rsidRPr="00184FD5">
        <w:t>80 terajoules per day</w:t>
      </w:r>
    </w:p>
    <w:p w14:paraId="0FB6979E" w14:textId="23218656" w:rsidR="004C0913" w:rsidRDefault="004C0913" w:rsidP="004C0913">
      <w:pPr>
        <w:pStyle w:val="ListParagraph"/>
        <w:numPr>
          <w:ilvl w:val="0"/>
          <w:numId w:val="1"/>
        </w:numPr>
        <w:shd w:val="clear" w:color="auto" w:fill="FFFFFF"/>
        <w:spacing w:line="256" w:lineRule="auto"/>
      </w:pPr>
      <w:r w:rsidRPr="00184FD5">
        <w:t>Western gas market</w:t>
      </w:r>
      <w:r>
        <w:t xml:space="preserve"> – </w:t>
      </w:r>
      <w:r w:rsidRPr="00184FD5">
        <w:t>150 terajoules per day</w:t>
      </w:r>
    </w:p>
    <w:p w14:paraId="5B12DF4A" w14:textId="20C570C5" w:rsidR="008D5FDB" w:rsidRPr="005F7189" w:rsidRDefault="004069EF" w:rsidP="009E46A7">
      <w:pPr>
        <w:pStyle w:val="ListParagraph"/>
        <w:numPr>
          <w:ilvl w:val="0"/>
          <w:numId w:val="7"/>
        </w:numPr>
        <w:shd w:val="clear" w:color="auto" w:fill="FFFFFF"/>
        <w:spacing w:after="240" w:afterAutospacing="0" w:line="256" w:lineRule="auto"/>
      </w:pPr>
      <w:r w:rsidRPr="00384A61">
        <w:t xml:space="preserve">The thresholds for each gas market </w:t>
      </w:r>
      <w:r w:rsidR="00B371DB" w:rsidRPr="00384A61">
        <w:t xml:space="preserve">captures </w:t>
      </w:r>
      <w:r w:rsidR="000944E3" w:rsidRPr="00384A61">
        <w:t>those</w:t>
      </w:r>
      <w:r w:rsidR="00B371DB" w:rsidRPr="005F7189">
        <w:t xml:space="preserve"> pipelines</w:t>
      </w:r>
      <w:r w:rsidR="000944E3" w:rsidRPr="005F7189">
        <w:t xml:space="preserve"> that are critical to ensuring</w:t>
      </w:r>
      <w:r w:rsidR="00B371DB" w:rsidRPr="005F7189">
        <w:t xml:space="preserve"> the varying industrial, residential and export demands in each market</w:t>
      </w:r>
      <w:r w:rsidR="000944E3" w:rsidRPr="005F7189">
        <w:t xml:space="preserve"> are met</w:t>
      </w:r>
      <w:r w:rsidR="00B371DB" w:rsidRPr="005F7189">
        <w:t>.</w:t>
      </w:r>
      <w:r w:rsidR="00B607EC">
        <w:t xml:space="preserve"> </w:t>
      </w:r>
      <w:r w:rsidR="000944E3" w:rsidRPr="005F7189">
        <w:t>As a result, the thresholds ensure the Act only applies to</w:t>
      </w:r>
      <w:r w:rsidR="00B602FE" w:rsidRPr="005F7189">
        <w:t xml:space="preserve"> gas transmission pipelines that are critical for transporting gas from processing plants to major demand centres for distribution networks or large gas users such as electricity generators and industrial users, and to certain facilities and hubs for export purposes.</w:t>
      </w:r>
    </w:p>
    <w:p w14:paraId="2F9B0A09" w14:textId="2E7DB09C" w:rsidR="003C5A03" w:rsidRDefault="00F5495B" w:rsidP="003C5A03">
      <w:pPr>
        <w:shd w:val="clear" w:color="auto" w:fill="FFFFFF"/>
        <w:spacing w:before="100" w:beforeAutospacing="1" w:line="256"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Clause </w:t>
      </w:r>
      <w:r w:rsidR="00C81182" w:rsidRPr="005F7189">
        <w:rPr>
          <w:rFonts w:ascii="Times New Roman" w:eastAsia="Times New Roman" w:hAnsi="Times New Roman" w:cs="Times New Roman"/>
          <w:sz w:val="24"/>
          <w:szCs w:val="24"/>
          <w:u w:val="single"/>
          <w:lang w:eastAsia="en-AU"/>
        </w:rPr>
        <w:t xml:space="preserve">9 </w:t>
      </w:r>
      <w:r>
        <w:rPr>
          <w:rFonts w:ascii="Times New Roman" w:eastAsia="Times New Roman" w:hAnsi="Times New Roman" w:cs="Times New Roman"/>
          <w:sz w:val="24"/>
          <w:szCs w:val="24"/>
          <w:u w:val="single"/>
          <w:lang w:eastAsia="en-AU"/>
        </w:rPr>
        <w:t>-</w:t>
      </w:r>
      <w:r w:rsidR="00C81182" w:rsidRPr="005F7189">
        <w:rPr>
          <w:rFonts w:ascii="Times New Roman" w:eastAsia="Times New Roman" w:hAnsi="Times New Roman" w:cs="Times New Roman"/>
          <w:sz w:val="24"/>
          <w:szCs w:val="24"/>
          <w:u w:val="single"/>
          <w:lang w:eastAsia="en-AU"/>
        </w:rPr>
        <w:t xml:space="preserve"> Electricity generation stations and gas transmission pipelines that are not currently operational</w:t>
      </w:r>
    </w:p>
    <w:p w14:paraId="2E74443E" w14:textId="19838D29" w:rsidR="00C81182" w:rsidRPr="005F7189" w:rsidRDefault="00C81182" w:rsidP="00BB481D">
      <w:pPr>
        <w:pStyle w:val="ListParagraph"/>
        <w:numPr>
          <w:ilvl w:val="0"/>
          <w:numId w:val="7"/>
        </w:numPr>
        <w:shd w:val="clear" w:color="auto" w:fill="FFFFFF"/>
        <w:spacing w:after="240" w:afterAutospacing="0" w:line="256" w:lineRule="auto"/>
      </w:pPr>
      <w:r w:rsidRPr="00384A61">
        <w:t xml:space="preserve">This clause clarifies how the Act applies to those electricity generation stations or gas transmission pipelines </w:t>
      </w:r>
      <w:r w:rsidRPr="005F7189">
        <w:t>that are not operating.</w:t>
      </w:r>
      <w:r w:rsidR="00F75B37">
        <w:t xml:space="preserve"> </w:t>
      </w:r>
    </w:p>
    <w:p w14:paraId="0688D20C" w14:textId="138DF283" w:rsidR="000944E3" w:rsidRDefault="00C81182" w:rsidP="00BB481D">
      <w:pPr>
        <w:pStyle w:val="ListParagraph"/>
        <w:numPr>
          <w:ilvl w:val="0"/>
          <w:numId w:val="7"/>
        </w:numPr>
        <w:shd w:val="clear" w:color="auto" w:fill="FFFFFF"/>
        <w:spacing w:after="240" w:afterAutospacing="0" w:line="256" w:lineRule="auto"/>
      </w:pPr>
      <w:r w:rsidRPr="005F7189">
        <w:t>Subclause 9(1) clarifies that an electricity generation station or gas transmission pipeline is not captured by the Act if it has not begun to operate since first being built.</w:t>
      </w:r>
      <w:r w:rsidR="00A16AA1" w:rsidRPr="005F7189">
        <w:t xml:space="preserve"> </w:t>
      </w:r>
    </w:p>
    <w:p w14:paraId="3011B599" w14:textId="1D125A96" w:rsidR="003D1640" w:rsidRPr="00384A61" w:rsidRDefault="00B602FE" w:rsidP="00BB481D">
      <w:pPr>
        <w:pStyle w:val="ListParagraph"/>
        <w:numPr>
          <w:ilvl w:val="0"/>
          <w:numId w:val="7"/>
        </w:numPr>
        <w:shd w:val="clear" w:color="auto" w:fill="FFFFFF"/>
        <w:spacing w:line="256" w:lineRule="auto"/>
      </w:pPr>
      <w:r w:rsidRPr="00384A61">
        <w:t xml:space="preserve">This clause ensures that an electricity generation station or gas transmissions pipeline </w:t>
      </w:r>
      <w:r w:rsidR="00990A35">
        <w:t>is not captured by the Act if the station or pipeline</w:t>
      </w:r>
      <w:r w:rsidR="003D1640" w:rsidRPr="00384A61">
        <w:t>:</w:t>
      </w:r>
    </w:p>
    <w:p w14:paraId="39FE4D39" w14:textId="6429ECA1" w:rsidR="003D1640" w:rsidRDefault="003D1640" w:rsidP="003D1640">
      <w:pPr>
        <w:pStyle w:val="ListParagraph"/>
        <w:numPr>
          <w:ilvl w:val="0"/>
          <w:numId w:val="4"/>
        </w:numPr>
        <w:shd w:val="clear" w:color="auto" w:fill="FFFFFF"/>
        <w:spacing w:line="256" w:lineRule="auto"/>
      </w:pPr>
      <w:r>
        <w:t>meet</w:t>
      </w:r>
      <w:r w:rsidR="00990A35">
        <w:t>s</w:t>
      </w:r>
      <w:r>
        <w:t xml:space="preserve"> the thresholds or </w:t>
      </w:r>
      <w:r w:rsidR="00990A35">
        <w:t xml:space="preserve">is </w:t>
      </w:r>
      <w:r>
        <w:t>listed by the rules; and</w:t>
      </w:r>
    </w:p>
    <w:p w14:paraId="62951563" w14:textId="3767C8E9" w:rsidR="003D1640" w:rsidRDefault="00990A35" w:rsidP="003D1640">
      <w:pPr>
        <w:pStyle w:val="ListParagraph"/>
        <w:numPr>
          <w:ilvl w:val="0"/>
          <w:numId w:val="4"/>
        </w:numPr>
        <w:shd w:val="clear" w:color="auto" w:fill="FFFFFF"/>
        <w:spacing w:line="256" w:lineRule="auto"/>
      </w:pPr>
      <w:r>
        <w:t xml:space="preserve">has </w:t>
      </w:r>
      <w:r w:rsidR="003D1640">
        <w:t>been built;</w:t>
      </w:r>
      <w:r w:rsidR="00B602FE" w:rsidRPr="003D1640">
        <w:t xml:space="preserve"> but </w:t>
      </w:r>
    </w:p>
    <w:p w14:paraId="356C1FB3" w14:textId="77777777" w:rsidR="009E46A7" w:rsidRDefault="00990A35" w:rsidP="003D1640">
      <w:pPr>
        <w:pStyle w:val="ListParagraph"/>
        <w:numPr>
          <w:ilvl w:val="0"/>
          <w:numId w:val="4"/>
        </w:numPr>
        <w:shd w:val="clear" w:color="auto" w:fill="FFFFFF"/>
        <w:spacing w:line="256" w:lineRule="auto"/>
      </w:pPr>
      <w:r>
        <w:t>is</w:t>
      </w:r>
      <w:r w:rsidRPr="003D1640">
        <w:t xml:space="preserve"> </w:t>
      </w:r>
      <w:r w:rsidR="00B602FE" w:rsidRPr="003D1640">
        <w:t>not yet operating</w:t>
      </w:r>
      <w:r>
        <w:t>.</w:t>
      </w:r>
      <w:r w:rsidR="00791C61" w:rsidRPr="00791C61">
        <w:t xml:space="preserve"> </w:t>
      </w:r>
    </w:p>
    <w:p w14:paraId="6D993A50" w14:textId="17D7307E" w:rsidR="003D1640" w:rsidRDefault="00791C61" w:rsidP="009E46A7">
      <w:pPr>
        <w:pStyle w:val="ListParagraph"/>
        <w:numPr>
          <w:ilvl w:val="0"/>
          <w:numId w:val="7"/>
        </w:numPr>
        <w:shd w:val="clear" w:color="auto" w:fill="FFFFFF"/>
        <w:spacing w:after="240" w:afterAutospacing="0" w:line="256" w:lineRule="auto"/>
      </w:pPr>
      <w:r w:rsidRPr="005F7189">
        <w:t xml:space="preserve">An electricity generation station is considered to </w:t>
      </w:r>
      <w:r>
        <w:t xml:space="preserve">not be </w:t>
      </w:r>
      <w:r w:rsidRPr="005F7189">
        <w:t>operating if</w:t>
      </w:r>
      <w:r>
        <w:t xml:space="preserve"> it</w:t>
      </w:r>
      <w:r w:rsidRPr="005F7189">
        <w:t xml:space="preserve"> </w:t>
      </w:r>
      <w:r>
        <w:t>has not</w:t>
      </w:r>
      <w:r w:rsidRPr="005F7189">
        <w:t xml:space="preserve"> </w:t>
      </w:r>
      <w:r>
        <w:t>generated</w:t>
      </w:r>
      <w:r w:rsidRPr="005F7189">
        <w:t xml:space="preserve"> electricity</w:t>
      </w:r>
      <w:r w:rsidRPr="00384A61">
        <w:t xml:space="preserve"> to fulfil its function as a synchronous generator and/or contract to provide a system restart service.</w:t>
      </w:r>
      <w:r w:rsidRPr="005F7189">
        <w:t xml:space="preserve"> </w:t>
      </w:r>
      <w:r w:rsidRPr="00384A61">
        <w:t>A</w:t>
      </w:r>
      <w:r w:rsidRPr="005F7189">
        <w:t xml:space="preserve"> gas transmission pipeline is considered</w:t>
      </w:r>
      <w:r>
        <w:t xml:space="preserve"> to</w:t>
      </w:r>
      <w:r w:rsidRPr="005F7189">
        <w:t xml:space="preserve"> </w:t>
      </w:r>
      <w:r>
        <w:t>not be operating</w:t>
      </w:r>
      <w:r w:rsidRPr="005F7189">
        <w:t xml:space="preserve"> if it </w:t>
      </w:r>
      <w:r>
        <w:t>has not</w:t>
      </w:r>
      <w:r w:rsidRPr="005F7189">
        <w:t xml:space="preserve"> </w:t>
      </w:r>
      <w:r>
        <w:t>transported</w:t>
      </w:r>
      <w:r w:rsidRPr="005F7189">
        <w:t xml:space="preserve"> gas</w:t>
      </w:r>
      <w:r w:rsidRPr="00384A61">
        <w:t xml:space="preserve"> from processing plants to major demand centres and </w:t>
      </w:r>
      <w:r w:rsidRPr="005F7189">
        <w:t>to facilities and hubs for export purposes.</w:t>
      </w:r>
    </w:p>
    <w:p w14:paraId="7CF8174A" w14:textId="331E7CB9" w:rsidR="00C81182" w:rsidRPr="003D1640" w:rsidRDefault="00B602FE" w:rsidP="009E46A7">
      <w:pPr>
        <w:pStyle w:val="ListParagraph"/>
        <w:numPr>
          <w:ilvl w:val="0"/>
          <w:numId w:val="7"/>
        </w:numPr>
        <w:shd w:val="clear" w:color="auto" w:fill="FFFFFF"/>
        <w:spacing w:after="240" w:afterAutospacing="0" w:line="256" w:lineRule="auto"/>
      </w:pPr>
      <w:r w:rsidRPr="003D1640">
        <w:t xml:space="preserve">Understanding that there may be an intervening period between when an asset is built and when it </w:t>
      </w:r>
      <w:r w:rsidR="000944E3">
        <w:t>starts operating</w:t>
      </w:r>
      <w:r w:rsidRPr="003D1640">
        <w:t xml:space="preserve">, this provisions confirms that </w:t>
      </w:r>
      <w:r w:rsidR="003D1640">
        <w:t>during that intervening period, the asset is not captured under the Act</w:t>
      </w:r>
      <w:r w:rsidR="000C24F1">
        <w:t>.</w:t>
      </w:r>
    </w:p>
    <w:p w14:paraId="2A83AA1D" w14:textId="5C7276F7" w:rsidR="00803CAB" w:rsidRPr="005F7189" w:rsidRDefault="00C81182" w:rsidP="00BB481D">
      <w:pPr>
        <w:pStyle w:val="ListParagraph"/>
        <w:numPr>
          <w:ilvl w:val="0"/>
          <w:numId w:val="7"/>
        </w:numPr>
        <w:shd w:val="clear" w:color="auto" w:fill="FFFFFF"/>
        <w:spacing w:after="240" w:afterAutospacing="0" w:line="256" w:lineRule="auto"/>
      </w:pPr>
      <w:r w:rsidRPr="00384A61">
        <w:t>Subclause 9(2) clarifies that the Act applies to electricity generation stations or gas transmission pipelines that are not currently being operated but have previously operated since first being built</w:t>
      </w:r>
      <w:r w:rsidR="00426C20" w:rsidRPr="005F7189">
        <w:t>,</w:t>
      </w:r>
      <w:r w:rsidR="00C12394" w:rsidRPr="005F7189">
        <w:t xml:space="preserve"> and meet the requirements to be a ‘critical electricity asset’ or ‘critical gas asset.’</w:t>
      </w:r>
      <w:r w:rsidR="00803CAB" w:rsidRPr="005F7189">
        <w:t xml:space="preserve"> </w:t>
      </w:r>
      <w:r w:rsidR="00EC2F9B" w:rsidRPr="005F7189">
        <w:t xml:space="preserve">An electricity generation station is considered to have operated if it has generated electricity to fulfil its function as a synchronous generator and/or contract to provide a system restart service. A gas transmission pipeline is considered to have operated if it has transported gas from processing plants to major demand centres and to facilities and hubs for export purposes. </w:t>
      </w:r>
    </w:p>
    <w:p w14:paraId="5D333DD2" w14:textId="2F652DAC" w:rsidR="00D12712" w:rsidRDefault="00D12712" w:rsidP="00C12394">
      <w:pPr>
        <w:shd w:val="clear" w:color="auto" w:fill="FFFFFF"/>
        <w:spacing w:before="100" w:beforeAutospacing="1" w:line="256" w:lineRule="auto"/>
        <w:rPr>
          <w:rFonts w:ascii="Times New Roman" w:eastAsia="Times New Roman" w:hAnsi="Times New Roman" w:cs="Times New Roman"/>
          <w:sz w:val="24"/>
          <w:szCs w:val="24"/>
          <w:lang w:eastAsia="en-AU"/>
        </w:rPr>
      </w:pPr>
    </w:p>
    <w:p w14:paraId="61B2D077" w14:textId="77777777" w:rsidR="00056AC8" w:rsidRDefault="00056AC8">
      <w:pP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br w:type="page"/>
      </w:r>
    </w:p>
    <w:p w14:paraId="69DCBFFA" w14:textId="64BA7F4E" w:rsidR="003C5A03" w:rsidRPr="00F157AE" w:rsidRDefault="003C5A03" w:rsidP="003C5A03">
      <w:pPr>
        <w:shd w:val="clear" w:color="auto" w:fill="FFFFFF"/>
        <w:spacing w:before="100" w:beforeAutospacing="1" w:after="100" w:afterAutospacing="1" w:line="240" w:lineRule="auto"/>
        <w:jc w:val="right"/>
        <w:rPr>
          <w:rFonts w:ascii="Arial" w:eastAsia="Times New Roman" w:hAnsi="Arial" w:cs="Arial"/>
          <w:sz w:val="19"/>
          <w:szCs w:val="19"/>
          <w:lang w:val="en-US" w:eastAsia="en-AU"/>
        </w:rPr>
      </w:pPr>
      <w:r w:rsidRPr="00F157AE">
        <w:rPr>
          <w:rFonts w:ascii="Times New Roman" w:eastAsia="Times New Roman" w:hAnsi="Times New Roman" w:cs="Times New Roman"/>
          <w:b/>
          <w:bCs/>
          <w:sz w:val="24"/>
          <w:szCs w:val="24"/>
          <w:u w:val="single"/>
          <w:lang w:eastAsia="en-AU"/>
        </w:rPr>
        <w:lastRenderedPageBreak/>
        <w:t>ATTACHMENT B</w:t>
      </w:r>
    </w:p>
    <w:p w14:paraId="76E080DF" w14:textId="77777777" w:rsidR="00056AC8" w:rsidRPr="00D664E6" w:rsidRDefault="00056AC8" w:rsidP="00056AC8">
      <w:pPr>
        <w:spacing w:before="360" w:after="120"/>
        <w:jc w:val="center"/>
        <w:rPr>
          <w:rFonts w:ascii="Times New Roman" w:hAnsi="Times New Roman"/>
          <w:b/>
          <w:sz w:val="28"/>
          <w:szCs w:val="28"/>
        </w:rPr>
      </w:pPr>
      <w:r w:rsidRPr="00D664E6">
        <w:rPr>
          <w:rFonts w:ascii="Times New Roman" w:hAnsi="Times New Roman"/>
          <w:b/>
          <w:sz w:val="28"/>
          <w:szCs w:val="28"/>
        </w:rPr>
        <w:t>Statement of Compatibility with Human Rights</w:t>
      </w:r>
    </w:p>
    <w:p w14:paraId="1DBCD4D0" w14:textId="77777777" w:rsidR="00056AC8" w:rsidRPr="00D664E6" w:rsidRDefault="00056AC8" w:rsidP="00056AC8">
      <w:pPr>
        <w:spacing w:before="120" w:after="120"/>
        <w:jc w:val="center"/>
        <w:rPr>
          <w:rFonts w:ascii="Times New Roman" w:hAnsi="Times New Roman"/>
          <w:sz w:val="24"/>
          <w:szCs w:val="24"/>
        </w:rPr>
      </w:pPr>
      <w:r w:rsidRPr="00D664E6">
        <w:rPr>
          <w:rFonts w:ascii="Times New Roman" w:hAnsi="Times New Roman"/>
          <w:i/>
          <w:sz w:val="24"/>
          <w:szCs w:val="24"/>
        </w:rPr>
        <w:t>Prepared in accordance with Part 3 of the Human Rights (Parliamentary Scrutiny) Act 2011</w:t>
      </w:r>
    </w:p>
    <w:p w14:paraId="703CF551" w14:textId="77777777" w:rsidR="00056AC8" w:rsidRPr="00D664E6" w:rsidRDefault="00056AC8" w:rsidP="00056AC8">
      <w:pPr>
        <w:spacing w:before="120" w:after="120"/>
        <w:jc w:val="center"/>
        <w:rPr>
          <w:rFonts w:ascii="Times New Roman" w:hAnsi="Times New Roman"/>
          <w:sz w:val="24"/>
          <w:szCs w:val="24"/>
        </w:rPr>
      </w:pPr>
    </w:p>
    <w:p w14:paraId="6D9C28BF" w14:textId="77777777" w:rsidR="00056AC8" w:rsidRPr="0027532B" w:rsidRDefault="00056AC8" w:rsidP="00056AC8">
      <w:pPr>
        <w:spacing w:before="120" w:after="120"/>
        <w:jc w:val="center"/>
        <w:rPr>
          <w:rFonts w:ascii="Times New Roman" w:hAnsi="Times New Roman"/>
          <w:b/>
          <w:i/>
          <w:sz w:val="24"/>
          <w:szCs w:val="24"/>
        </w:rPr>
      </w:pPr>
      <w:r w:rsidRPr="0027532B">
        <w:rPr>
          <w:rFonts w:ascii="Times New Roman" w:hAnsi="Times New Roman"/>
          <w:b/>
          <w:i/>
          <w:sz w:val="24"/>
          <w:szCs w:val="24"/>
        </w:rPr>
        <w:t xml:space="preserve">Security of Critical Infrastructure </w:t>
      </w:r>
      <w:r>
        <w:rPr>
          <w:rFonts w:ascii="Times New Roman" w:hAnsi="Times New Roman"/>
          <w:b/>
          <w:i/>
          <w:sz w:val="24"/>
          <w:szCs w:val="24"/>
        </w:rPr>
        <w:t>Rules</w:t>
      </w:r>
      <w:r w:rsidRPr="0027532B">
        <w:rPr>
          <w:rFonts w:ascii="Times New Roman" w:hAnsi="Times New Roman"/>
          <w:b/>
          <w:i/>
          <w:sz w:val="24"/>
          <w:szCs w:val="24"/>
        </w:rPr>
        <w:t xml:space="preserve"> 2018</w:t>
      </w:r>
    </w:p>
    <w:p w14:paraId="1AD41F33" w14:textId="77777777" w:rsidR="00056AC8" w:rsidRPr="00D664E6" w:rsidRDefault="00056AC8" w:rsidP="00056AC8">
      <w:pPr>
        <w:spacing w:before="120" w:after="120"/>
        <w:jc w:val="center"/>
        <w:rPr>
          <w:rFonts w:ascii="Times New Roman" w:hAnsi="Times New Roman"/>
          <w:sz w:val="24"/>
          <w:szCs w:val="24"/>
        </w:rPr>
      </w:pPr>
    </w:p>
    <w:p w14:paraId="56BDAC16" w14:textId="77777777" w:rsidR="00056AC8" w:rsidRPr="00D664E6" w:rsidRDefault="00056AC8" w:rsidP="00056AC8">
      <w:pPr>
        <w:spacing w:before="120" w:after="120"/>
        <w:jc w:val="center"/>
        <w:rPr>
          <w:rFonts w:ascii="Times New Roman" w:hAnsi="Times New Roman"/>
          <w:sz w:val="24"/>
          <w:szCs w:val="24"/>
        </w:rPr>
      </w:pPr>
      <w:r w:rsidRPr="00D664E6">
        <w:rPr>
          <w:rFonts w:ascii="Times New Roman" w:hAnsi="Times New Roman"/>
          <w:sz w:val="24"/>
          <w:szCs w:val="24"/>
        </w:rPr>
        <w:t xml:space="preserve">This </w:t>
      </w:r>
      <w:r w:rsidRPr="00532CB2">
        <w:rPr>
          <w:rFonts w:ascii="Times New Roman" w:hAnsi="Times New Roman"/>
          <w:sz w:val="24"/>
          <w:szCs w:val="24"/>
        </w:rPr>
        <w:t xml:space="preserve">Legislative Instrument </w:t>
      </w:r>
      <w:r w:rsidRPr="00D664E6">
        <w:rPr>
          <w:rFonts w:ascii="Times New Roman" w:hAnsi="Times New Roman"/>
          <w:sz w:val="24"/>
          <w:szCs w:val="24"/>
        </w:rPr>
        <w:t xml:space="preserve">is compatible with the human rights and freedoms recognised or declared in the international instruments listed in section 3 of the </w:t>
      </w:r>
      <w:r w:rsidRPr="00D664E6">
        <w:rPr>
          <w:rFonts w:ascii="Times New Roman" w:hAnsi="Times New Roman"/>
          <w:i/>
          <w:sz w:val="24"/>
          <w:szCs w:val="24"/>
        </w:rPr>
        <w:t>Human Rights (Parliamentary Scrutiny) Act 2011</w:t>
      </w:r>
      <w:r w:rsidRPr="00D664E6">
        <w:rPr>
          <w:rFonts w:ascii="Times New Roman" w:hAnsi="Times New Roman"/>
          <w:sz w:val="24"/>
          <w:szCs w:val="24"/>
        </w:rPr>
        <w:t>.</w:t>
      </w:r>
    </w:p>
    <w:p w14:paraId="457FA98C" w14:textId="77777777" w:rsidR="00056AC8" w:rsidRPr="00D664E6" w:rsidRDefault="00056AC8" w:rsidP="00056AC8">
      <w:pPr>
        <w:spacing w:before="120" w:after="120"/>
        <w:jc w:val="center"/>
        <w:rPr>
          <w:rFonts w:ascii="Times New Roman" w:hAnsi="Times New Roman"/>
          <w:sz w:val="24"/>
          <w:szCs w:val="24"/>
        </w:rPr>
      </w:pPr>
    </w:p>
    <w:p w14:paraId="4D984CBB" w14:textId="77777777" w:rsidR="00056AC8" w:rsidRPr="00D664E6" w:rsidRDefault="00056AC8" w:rsidP="00056AC8">
      <w:pPr>
        <w:spacing w:before="120" w:after="120"/>
        <w:jc w:val="center"/>
        <w:rPr>
          <w:rFonts w:ascii="Times New Roman" w:hAnsi="Times New Roman"/>
          <w:sz w:val="24"/>
          <w:szCs w:val="24"/>
        </w:rPr>
      </w:pPr>
    </w:p>
    <w:p w14:paraId="66C478D9" w14:textId="77777777" w:rsidR="00056AC8" w:rsidRPr="00D664E6" w:rsidRDefault="00056AC8" w:rsidP="00056AC8">
      <w:pPr>
        <w:spacing w:before="120" w:after="120"/>
        <w:jc w:val="both"/>
        <w:rPr>
          <w:rFonts w:ascii="Times New Roman" w:hAnsi="Times New Roman"/>
          <w:b/>
          <w:sz w:val="24"/>
          <w:szCs w:val="24"/>
        </w:rPr>
      </w:pPr>
      <w:r w:rsidRPr="00D664E6">
        <w:rPr>
          <w:rFonts w:ascii="Times New Roman" w:hAnsi="Times New Roman"/>
          <w:b/>
          <w:sz w:val="24"/>
          <w:szCs w:val="24"/>
        </w:rPr>
        <w:t xml:space="preserve">Overview of the </w:t>
      </w:r>
      <w:r w:rsidRPr="00532CB2">
        <w:rPr>
          <w:rFonts w:ascii="Times New Roman" w:hAnsi="Times New Roman"/>
          <w:b/>
          <w:sz w:val="24"/>
          <w:szCs w:val="24"/>
        </w:rPr>
        <w:t>Legislative Instrument</w:t>
      </w:r>
    </w:p>
    <w:p w14:paraId="1A5D11A6" w14:textId="77777777" w:rsidR="00056AC8" w:rsidRPr="00E20157" w:rsidRDefault="00056AC8" w:rsidP="00B67462">
      <w:pPr>
        <w:pStyle w:val="ListParagraph"/>
        <w:numPr>
          <w:ilvl w:val="0"/>
          <w:numId w:val="24"/>
        </w:numPr>
        <w:shd w:val="clear" w:color="auto" w:fill="FFFFFF"/>
        <w:spacing w:after="240" w:afterAutospacing="0" w:line="256" w:lineRule="auto"/>
        <w:ind w:left="426"/>
      </w:pPr>
      <w:r w:rsidRPr="00363741">
        <w:t xml:space="preserve">Subsection 61(1) of the </w:t>
      </w:r>
      <w:r>
        <w:rPr>
          <w:i/>
        </w:rPr>
        <w:t>Security of Critical Infrastructure Act 2018</w:t>
      </w:r>
      <w:r w:rsidRPr="00363741">
        <w:t xml:space="preserve"> </w:t>
      </w:r>
      <w:r>
        <w:t xml:space="preserve">(the Act) </w:t>
      </w:r>
      <w:r w:rsidRPr="00363741">
        <w:t xml:space="preserve">provides that the Minister may, by legislative instrument, make </w:t>
      </w:r>
      <w:r w:rsidRPr="003E64D8">
        <w:rPr>
          <w:b/>
          <w:i/>
        </w:rPr>
        <w:t>rules</w:t>
      </w:r>
      <w:r w:rsidRPr="00363741">
        <w:t xml:space="preserve"> prescribing matters, which by the Act are required or permitted to be prescribed; or are necessary or convenient to be prescribed for carrying out or giving effect to the Act. </w:t>
      </w:r>
    </w:p>
    <w:p w14:paraId="7F7AC798" w14:textId="18C73C75" w:rsidR="00056AC8" w:rsidRPr="00643745" w:rsidRDefault="00056AC8" w:rsidP="00B67462">
      <w:pPr>
        <w:pStyle w:val="ListParagraph"/>
        <w:numPr>
          <w:ilvl w:val="0"/>
          <w:numId w:val="24"/>
        </w:numPr>
        <w:shd w:val="clear" w:color="auto" w:fill="FFFFFF"/>
        <w:spacing w:after="240" w:afterAutospacing="0" w:line="256" w:lineRule="auto"/>
        <w:ind w:left="426"/>
      </w:pPr>
      <w:r>
        <w:t xml:space="preserve">The Minister has authorised the </w:t>
      </w:r>
      <w:r w:rsidRPr="002A7492">
        <w:rPr>
          <w:b/>
          <w:i/>
        </w:rPr>
        <w:t>Security of Critical Infrastructure Rules 2018</w:t>
      </w:r>
      <w:r>
        <w:rPr>
          <w:b/>
          <w:i/>
        </w:rPr>
        <w:t xml:space="preserve"> </w:t>
      </w:r>
      <w:r>
        <w:t>(the Rules)</w:t>
      </w:r>
      <w:r w:rsidRPr="002A7492" w:rsidDel="002A7492">
        <w:rPr>
          <w:b/>
          <w:i/>
        </w:rPr>
        <w:t xml:space="preserve"> </w:t>
      </w:r>
      <w:r>
        <w:t xml:space="preserve">to commence on 11 July 2018 in relation to the following provisions </w:t>
      </w:r>
      <w:r w:rsidR="0095394E">
        <w:t>of</w:t>
      </w:r>
      <w:r>
        <w:t xml:space="preserve"> the Act:</w:t>
      </w:r>
    </w:p>
    <w:p w14:paraId="24481E90" w14:textId="534FD048" w:rsidR="00056AC8" w:rsidRDefault="00056AC8" w:rsidP="00B67462">
      <w:pPr>
        <w:pStyle w:val="ListParagraph"/>
        <w:numPr>
          <w:ilvl w:val="1"/>
          <w:numId w:val="7"/>
        </w:numPr>
        <w:shd w:val="clear" w:color="auto" w:fill="FFFFFF"/>
        <w:spacing w:after="0"/>
      </w:pPr>
      <w:r w:rsidRPr="00363741">
        <w:t xml:space="preserve">Paragraphs 7(1)(f) and (g) </w:t>
      </w:r>
      <w:r>
        <w:t>which provide</w:t>
      </w:r>
      <w:r w:rsidRPr="00363741">
        <w:t xml:space="preserve"> that the Minister may, by </w:t>
      </w:r>
      <w:r w:rsidRPr="00903D9E">
        <w:rPr>
          <w:b/>
          <w:i/>
        </w:rPr>
        <w:t>rules</w:t>
      </w:r>
      <w:r>
        <w:t xml:space="preserve">, prescribe the meaning of </w:t>
      </w:r>
      <w:r w:rsidRPr="00903D9E">
        <w:rPr>
          <w:b/>
          <w:i/>
        </w:rPr>
        <w:t>operational information</w:t>
      </w:r>
      <w:r w:rsidRPr="00363741">
        <w:t xml:space="preserve"> under section 7 to include descriptions of the arrangements under which data relating to a critical </w:t>
      </w:r>
      <w:r w:rsidRPr="00B67462">
        <w:rPr>
          <w:bCs/>
          <w:iCs/>
        </w:rPr>
        <w:t>infrastructure</w:t>
      </w:r>
      <w:r w:rsidRPr="00363741">
        <w:t xml:space="preserve"> asset is maintained; and any further information to be provided for th</w:t>
      </w:r>
      <w:r>
        <w:t xml:space="preserve">e purposes of the paragraph. </w:t>
      </w:r>
    </w:p>
    <w:p w14:paraId="7DC93607" w14:textId="77777777" w:rsidR="00056AC8" w:rsidRDefault="00056AC8" w:rsidP="00B67462">
      <w:pPr>
        <w:pStyle w:val="ListParagraph"/>
        <w:shd w:val="clear" w:color="auto" w:fill="FFFFFF"/>
        <w:spacing w:after="0"/>
        <w:ind w:left="1440"/>
      </w:pPr>
      <w:r>
        <w:t xml:space="preserve">The Rules require information in relation to the following data sets that have been determined to </w:t>
      </w:r>
      <w:r w:rsidRPr="00DE08C0">
        <w:t>bear the highest level of risk in relation to acts of sabotage, espionage or coercion</w:t>
      </w:r>
      <w:r>
        <w:t>:</w:t>
      </w:r>
    </w:p>
    <w:p w14:paraId="2B2AA1D5" w14:textId="77777777" w:rsidR="00056AC8" w:rsidRPr="00DE08C0" w:rsidRDefault="00056AC8" w:rsidP="00056AC8">
      <w:pPr>
        <w:pStyle w:val="ListParagraph"/>
        <w:numPr>
          <w:ilvl w:val="0"/>
          <w:numId w:val="16"/>
        </w:numPr>
        <w:spacing w:before="120" w:beforeAutospacing="0" w:after="120" w:afterAutospacing="0" w:line="276" w:lineRule="auto"/>
      </w:pPr>
      <w:r w:rsidRPr="00DE08C0">
        <w:t xml:space="preserve">personal information (within the meaning of the </w:t>
      </w:r>
      <w:r w:rsidRPr="003E64D8">
        <w:t>Privacy Act 1988</w:t>
      </w:r>
      <w:r w:rsidRPr="00DE08C0">
        <w:t xml:space="preserve">) of at least 20,000 persons; </w:t>
      </w:r>
    </w:p>
    <w:p w14:paraId="1D8F2273" w14:textId="77777777" w:rsidR="00056AC8" w:rsidRPr="00DE08C0" w:rsidRDefault="00056AC8" w:rsidP="00056AC8">
      <w:pPr>
        <w:pStyle w:val="ListParagraph"/>
        <w:numPr>
          <w:ilvl w:val="0"/>
          <w:numId w:val="16"/>
        </w:numPr>
        <w:spacing w:before="120" w:beforeAutospacing="0" w:after="120" w:afterAutospacing="0" w:line="276" w:lineRule="auto"/>
      </w:pPr>
      <w:r w:rsidRPr="00DE08C0">
        <w:t xml:space="preserve">sensitive information (within the meaning of that Act); </w:t>
      </w:r>
    </w:p>
    <w:p w14:paraId="172966DA" w14:textId="77777777" w:rsidR="00056AC8" w:rsidRPr="00DE08C0" w:rsidRDefault="00056AC8" w:rsidP="00056AC8">
      <w:pPr>
        <w:pStyle w:val="ListParagraph"/>
        <w:numPr>
          <w:ilvl w:val="0"/>
          <w:numId w:val="16"/>
        </w:numPr>
        <w:spacing w:before="120" w:beforeAutospacing="0" w:after="120" w:afterAutospacing="0" w:line="276" w:lineRule="auto"/>
      </w:pPr>
      <w:r w:rsidRPr="00DE08C0">
        <w:t xml:space="preserve">information relating to any research and development in relation to the asset; </w:t>
      </w:r>
    </w:p>
    <w:p w14:paraId="2A5B8134" w14:textId="77777777" w:rsidR="00056AC8" w:rsidRPr="00DE08C0" w:rsidRDefault="00056AC8" w:rsidP="00056AC8">
      <w:pPr>
        <w:pStyle w:val="ListParagraph"/>
        <w:numPr>
          <w:ilvl w:val="0"/>
          <w:numId w:val="16"/>
        </w:numPr>
        <w:spacing w:before="120" w:beforeAutospacing="0" w:after="120" w:afterAutospacing="0" w:line="276" w:lineRule="auto"/>
      </w:pPr>
      <w:r w:rsidRPr="00DE08C0">
        <w:t xml:space="preserve">information relating to any systems needed to operate the asset; </w:t>
      </w:r>
    </w:p>
    <w:p w14:paraId="137870B9" w14:textId="77777777" w:rsidR="00056AC8" w:rsidRDefault="00056AC8" w:rsidP="00056AC8">
      <w:pPr>
        <w:pStyle w:val="ListParagraph"/>
        <w:numPr>
          <w:ilvl w:val="0"/>
          <w:numId w:val="16"/>
        </w:numPr>
        <w:spacing w:before="120" w:beforeAutospacing="0" w:after="120" w:afterAutospacing="0" w:line="276" w:lineRule="auto"/>
      </w:pPr>
      <w:r w:rsidRPr="00DE08C0">
        <w:t xml:space="preserve">information relating to risk management and business continuity (however described) in relation to the asset; </w:t>
      </w:r>
    </w:p>
    <w:p w14:paraId="0E8931F7" w14:textId="77777777" w:rsidR="00056AC8" w:rsidRPr="003E64D8" w:rsidRDefault="00056AC8" w:rsidP="00056AC8">
      <w:pPr>
        <w:pStyle w:val="ListParagraph"/>
        <w:numPr>
          <w:ilvl w:val="0"/>
          <w:numId w:val="16"/>
        </w:numPr>
        <w:spacing w:before="120" w:beforeAutospacing="0" w:after="120" w:afterAutospacing="0" w:line="276" w:lineRule="auto"/>
      </w:pPr>
      <w:r w:rsidRPr="00DE08C0">
        <w:lastRenderedPageBreak/>
        <w:t>information about consumers’ consumption of electricity, water, gas, or any other product, that is produced or supplied by the asset (including data communicated by a smart meter).</w:t>
      </w:r>
    </w:p>
    <w:p w14:paraId="404E9285" w14:textId="77777777" w:rsidR="00056AC8" w:rsidRDefault="00056AC8" w:rsidP="00B67462">
      <w:pPr>
        <w:pStyle w:val="ListParagraph"/>
        <w:shd w:val="clear" w:color="auto" w:fill="FFFFFF"/>
        <w:spacing w:after="0"/>
        <w:ind w:left="1440"/>
      </w:pPr>
      <w:r>
        <w:t xml:space="preserve">The Rules will require the </w:t>
      </w:r>
      <w:r>
        <w:rPr>
          <w:b/>
          <w:i/>
        </w:rPr>
        <w:t xml:space="preserve">responsible entity </w:t>
      </w:r>
      <w:r>
        <w:t xml:space="preserve">to report the following information on the Register of Critical Infrastructure Assets (the </w:t>
      </w:r>
      <w:r w:rsidRPr="003E64D8">
        <w:rPr>
          <w:b/>
          <w:i/>
        </w:rPr>
        <w:t>Register</w:t>
      </w:r>
      <w:r>
        <w:t>) in relation to these data sets:</w:t>
      </w:r>
    </w:p>
    <w:p w14:paraId="2157BE3A" w14:textId="77777777" w:rsidR="00056AC8" w:rsidRPr="00DE08C0" w:rsidRDefault="00056AC8" w:rsidP="00056AC8">
      <w:pPr>
        <w:pStyle w:val="ListParagraph"/>
        <w:numPr>
          <w:ilvl w:val="0"/>
          <w:numId w:val="16"/>
        </w:numPr>
        <w:spacing w:before="120" w:beforeAutospacing="0" w:after="120" w:afterAutospacing="0" w:line="276" w:lineRule="auto"/>
      </w:pPr>
      <w:r w:rsidRPr="00DE08C0">
        <w:t xml:space="preserve">the name of the entity that maintains the data; and </w:t>
      </w:r>
    </w:p>
    <w:p w14:paraId="3E297C9B" w14:textId="77777777" w:rsidR="00056AC8" w:rsidRPr="00DE08C0" w:rsidRDefault="00056AC8" w:rsidP="00056AC8">
      <w:pPr>
        <w:pStyle w:val="ListParagraph"/>
        <w:numPr>
          <w:ilvl w:val="0"/>
          <w:numId w:val="16"/>
        </w:numPr>
        <w:spacing w:before="120" w:beforeAutospacing="0" w:after="120" w:afterAutospacing="0" w:line="276" w:lineRule="auto"/>
      </w:pPr>
      <w:r w:rsidRPr="00DE08C0">
        <w:t xml:space="preserve">if that entity is not the responsible entity for the asset: </w:t>
      </w:r>
    </w:p>
    <w:p w14:paraId="589E0F5D" w14:textId="77777777" w:rsidR="00056AC8" w:rsidRPr="00DE08C0" w:rsidRDefault="00056AC8" w:rsidP="00056AC8">
      <w:pPr>
        <w:pStyle w:val="ListParagraph"/>
        <w:numPr>
          <w:ilvl w:val="1"/>
          <w:numId w:val="16"/>
        </w:numPr>
        <w:spacing w:before="120" w:beforeAutospacing="0" w:after="120" w:afterAutospacing="0" w:line="276" w:lineRule="auto"/>
      </w:pPr>
      <w:r w:rsidRPr="00DE08C0">
        <w:t xml:space="preserve">the address at which the data is held (including, to the extent practicable, the address at which computers or servers holding the data are located, whether or not those computers or servers are part of a cloud service); and </w:t>
      </w:r>
    </w:p>
    <w:p w14:paraId="42C04072" w14:textId="77777777" w:rsidR="00056AC8" w:rsidRPr="00DE08C0" w:rsidRDefault="00056AC8" w:rsidP="00056AC8">
      <w:pPr>
        <w:pStyle w:val="ListParagraph"/>
        <w:numPr>
          <w:ilvl w:val="0"/>
          <w:numId w:val="16"/>
        </w:numPr>
        <w:spacing w:before="120" w:beforeAutospacing="0" w:after="120" w:afterAutospacing="0" w:line="276" w:lineRule="auto"/>
      </w:pPr>
      <w:r w:rsidRPr="00DE08C0">
        <w:t xml:space="preserve">for data held using a cloud service—the name of the cloud service; and </w:t>
      </w:r>
    </w:p>
    <w:p w14:paraId="64753133" w14:textId="77777777" w:rsidR="00056AC8" w:rsidRPr="008D6C26" w:rsidRDefault="00056AC8" w:rsidP="00056AC8">
      <w:pPr>
        <w:pStyle w:val="ListParagraph"/>
        <w:numPr>
          <w:ilvl w:val="0"/>
          <w:numId w:val="16"/>
        </w:numPr>
        <w:spacing w:before="120" w:beforeAutospacing="0" w:after="120" w:afterAutospacing="0" w:line="276" w:lineRule="auto"/>
      </w:pPr>
      <w:r>
        <w:t>the kind of data</w:t>
      </w:r>
      <w:r w:rsidRPr="00DE08C0">
        <w:t xml:space="preserve"> the entity maintains.</w:t>
      </w:r>
    </w:p>
    <w:p w14:paraId="7EED5EEB" w14:textId="77777777" w:rsidR="00056AC8" w:rsidRDefault="00056AC8" w:rsidP="00B67462">
      <w:pPr>
        <w:pStyle w:val="ListParagraph"/>
        <w:shd w:val="clear" w:color="auto" w:fill="FFFFFF"/>
        <w:spacing w:after="0"/>
        <w:ind w:left="1440"/>
      </w:pPr>
      <w:r>
        <w:t xml:space="preserve">The Rules will only apply to a </w:t>
      </w:r>
      <w:r w:rsidRPr="003E64D8">
        <w:rPr>
          <w:b/>
          <w:i/>
        </w:rPr>
        <w:t>responsible entity</w:t>
      </w:r>
      <w:r>
        <w:t xml:space="preserve"> if:</w:t>
      </w:r>
    </w:p>
    <w:p w14:paraId="735F6510" w14:textId="77777777" w:rsidR="00056AC8" w:rsidRDefault="00056AC8" w:rsidP="00056AC8">
      <w:pPr>
        <w:pStyle w:val="ListParagraph"/>
        <w:numPr>
          <w:ilvl w:val="0"/>
          <w:numId w:val="16"/>
        </w:numPr>
        <w:spacing w:before="120" w:beforeAutospacing="0" w:after="120" w:afterAutospacing="0" w:line="276" w:lineRule="auto"/>
      </w:pPr>
      <w:r>
        <w:t>the responsible entity does not maintain the data itself internally, or</w:t>
      </w:r>
    </w:p>
    <w:p w14:paraId="2DB51538" w14:textId="77777777" w:rsidR="00056AC8" w:rsidRDefault="00056AC8" w:rsidP="00056AC8">
      <w:pPr>
        <w:pStyle w:val="ListParagraph"/>
        <w:numPr>
          <w:ilvl w:val="0"/>
          <w:numId w:val="16"/>
        </w:numPr>
        <w:spacing w:before="120" w:beforeAutospacing="0" w:after="120" w:afterAutospacing="0" w:line="276" w:lineRule="auto"/>
      </w:pPr>
      <w:r>
        <w:t>if the responsible entity does maintain the data itself, but at a location outside Australia.</w:t>
      </w:r>
    </w:p>
    <w:p w14:paraId="16FBC94E" w14:textId="77777777" w:rsidR="00056AC8" w:rsidRDefault="00056AC8" w:rsidP="00B67462">
      <w:pPr>
        <w:pStyle w:val="ListParagraph"/>
        <w:numPr>
          <w:ilvl w:val="1"/>
          <w:numId w:val="7"/>
        </w:numPr>
        <w:shd w:val="clear" w:color="auto" w:fill="FFFFFF"/>
        <w:spacing w:after="0"/>
      </w:pPr>
      <w:r w:rsidRPr="00363741">
        <w:t xml:space="preserve">Subsection 10(2) </w:t>
      </w:r>
      <w:r>
        <w:t>which</w:t>
      </w:r>
      <w:r w:rsidRPr="00363741">
        <w:t xml:space="preserve"> provides that the Minister may, by </w:t>
      </w:r>
      <w:r w:rsidRPr="00903D9E">
        <w:rPr>
          <w:b/>
          <w:i/>
        </w:rPr>
        <w:t>rules</w:t>
      </w:r>
      <w:r w:rsidRPr="00363741">
        <w:t xml:space="preserve">, prescribe the requirements for an electricity generation station to be critical to ensuring the security and reliability of </w:t>
      </w:r>
      <w:r w:rsidRPr="00B67462">
        <w:rPr>
          <w:bCs/>
          <w:iCs/>
        </w:rPr>
        <w:t>electricity</w:t>
      </w:r>
      <w:r w:rsidRPr="00363741">
        <w:t xml:space="preserve"> networks or systems in a</w:t>
      </w:r>
      <w:r>
        <w:t xml:space="preserve"> particular State or Territory. Specifically, this captures an electricity generation station as a </w:t>
      </w:r>
      <w:r>
        <w:rPr>
          <w:b/>
          <w:i/>
        </w:rPr>
        <w:t>critical infrastructure asset</w:t>
      </w:r>
      <w:r>
        <w:t xml:space="preserve"> if it:</w:t>
      </w:r>
    </w:p>
    <w:p w14:paraId="54668582" w14:textId="77777777" w:rsidR="00056AC8" w:rsidRDefault="00056AC8" w:rsidP="00056AC8">
      <w:pPr>
        <w:pStyle w:val="ListParagraph"/>
        <w:numPr>
          <w:ilvl w:val="0"/>
          <w:numId w:val="16"/>
        </w:numPr>
        <w:spacing w:before="120" w:beforeAutospacing="0" w:after="120" w:afterAutospacing="0" w:line="276" w:lineRule="auto"/>
      </w:pPr>
      <w:r w:rsidRPr="004A0CA5">
        <w:t>is a synchronous generator which generates electricity above a particular MW threshold in the jurisdiction in which it is l</w:t>
      </w:r>
      <w:r>
        <w:t>ocated, and/or</w:t>
      </w:r>
    </w:p>
    <w:p w14:paraId="7C1CB3B3" w14:textId="77777777" w:rsidR="00056AC8" w:rsidRPr="00903D9E" w:rsidRDefault="00056AC8" w:rsidP="00056AC8">
      <w:pPr>
        <w:pStyle w:val="ListParagraph"/>
        <w:numPr>
          <w:ilvl w:val="0"/>
          <w:numId w:val="16"/>
        </w:numPr>
        <w:spacing w:before="120" w:beforeAutospacing="0" w:after="120" w:afterAutospacing="0" w:line="276" w:lineRule="auto"/>
      </w:pPr>
      <w:r w:rsidRPr="004A0CA5">
        <w:t>is contracted to provide a system restart service.</w:t>
      </w:r>
    </w:p>
    <w:p w14:paraId="7426D44F" w14:textId="5B9F174D" w:rsidR="00056AC8" w:rsidRDefault="00056AC8" w:rsidP="00B67462">
      <w:pPr>
        <w:pStyle w:val="ListParagraph"/>
        <w:numPr>
          <w:ilvl w:val="1"/>
          <w:numId w:val="7"/>
        </w:numPr>
        <w:shd w:val="clear" w:color="auto" w:fill="FFFFFF"/>
        <w:spacing w:after="0"/>
      </w:pPr>
      <w:r w:rsidRPr="00363741">
        <w:t xml:space="preserve">Paragraphs 12(2)(a) and (b) </w:t>
      </w:r>
      <w:r>
        <w:t xml:space="preserve">which </w:t>
      </w:r>
      <w:r w:rsidRPr="00363741">
        <w:t xml:space="preserve">provide that the Minister may, by </w:t>
      </w:r>
      <w:r w:rsidRPr="00903D9E">
        <w:rPr>
          <w:b/>
          <w:i/>
        </w:rPr>
        <w:t>rules</w:t>
      </w:r>
      <w:r w:rsidRPr="00363741">
        <w:t xml:space="preserve">, prescribe </w:t>
      </w:r>
      <w:r w:rsidRPr="00B67462">
        <w:rPr>
          <w:bCs/>
          <w:iCs/>
        </w:rPr>
        <w:t>specified</w:t>
      </w:r>
      <w:r w:rsidRPr="00363741">
        <w:t xml:space="preserve"> gas transmission pipelines or the requirements for gas transmission pipelines to be critical to ensuring the security and reliability of a gas market. </w:t>
      </w:r>
    </w:p>
    <w:p w14:paraId="10ABC553" w14:textId="77777777" w:rsidR="00056AC8" w:rsidRPr="003E64D8" w:rsidRDefault="00056AC8" w:rsidP="0095394E">
      <w:pPr>
        <w:pStyle w:val="ListParagraph"/>
        <w:shd w:val="clear" w:color="auto" w:fill="FFFFFF"/>
        <w:spacing w:after="0"/>
        <w:ind w:left="1440"/>
        <w:rPr>
          <w:b/>
          <w:i/>
        </w:rPr>
      </w:pPr>
      <w:r>
        <w:t>The Rules specify thresholds for each gas market to ensure the Act applies to</w:t>
      </w:r>
      <w:r w:rsidRPr="004A0CA5">
        <w:t xml:space="preserve"> those pipelines that are critical to ensuring the varying industrial, residential and export demands in each market are met.</w:t>
      </w:r>
      <w:r>
        <w:t xml:space="preserve"> Those gas transmission pipelines that meet the thresholds for the gas market they service are </w:t>
      </w:r>
      <w:r>
        <w:rPr>
          <w:b/>
          <w:i/>
        </w:rPr>
        <w:t>critical infrastructure assets.</w:t>
      </w:r>
    </w:p>
    <w:p w14:paraId="28BDC6EA" w14:textId="77777777" w:rsidR="00056AC8" w:rsidRPr="008D6C26" w:rsidRDefault="00056AC8" w:rsidP="0095394E">
      <w:pPr>
        <w:pStyle w:val="ListParagraph"/>
        <w:shd w:val="clear" w:color="auto" w:fill="FFFFFF"/>
        <w:spacing w:after="0"/>
        <w:ind w:left="1440"/>
      </w:pPr>
      <w:r>
        <w:lastRenderedPageBreak/>
        <w:t xml:space="preserve">The Rules also prescribe the Tasmanian Gas Pipeline as a </w:t>
      </w:r>
      <w:r>
        <w:rPr>
          <w:b/>
          <w:i/>
        </w:rPr>
        <w:t xml:space="preserve">critical infrastructure asset. </w:t>
      </w:r>
      <w:r>
        <w:t xml:space="preserve">The pipeline does not meet the threshold for the gas market it services (as per clause 8). However the pipeline is critical </w:t>
      </w:r>
      <w:r w:rsidRPr="00BD3958">
        <w:t>for transporting gas from processing plants to</w:t>
      </w:r>
      <w:r>
        <w:t xml:space="preserve"> a</w:t>
      </w:r>
      <w:r w:rsidRPr="00BD3958">
        <w:t xml:space="preserve"> major demand centre for distribution networks or large gas users such as electricity generators and industrial users.</w:t>
      </w:r>
    </w:p>
    <w:p w14:paraId="655E299B" w14:textId="77777777" w:rsidR="00056AC8" w:rsidRDefault="00056AC8" w:rsidP="0095394E">
      <w:pPr>
        <w:pStyle w:val="ListParagraph"/>
        <w:numPr>
          <w:ilvl w:val="1"/>
          <w:numId w:val="7"/>
        </w:numPr>
        <w:shd w:val="clear" w:color="auto" w:fill="FFFFFF"/>
        <w:spacing w:after="0"/>
      </w:pPr>
      <w:r>
        <w:t xml:space="preserve">The Rules also </w:t>
      </w:r>
      <w:r w:rsidRPr="00451C5C">
        <w:t>clarifies how the Act applies to those electricity generation stations or gas transmission pipelines that are not operating.</w:t>
      </w:r>
      <w:r>
        <w:t xml:space="preserve"> </w:t>
      </w:r>
      <w:r w:rsidRPr="00451C5C">
        <w:t>Subclause 9(1) clarifies that an electricity generation station or gas transmission pipeline is not captured by the Act if it has not begun to operate since first being built.</w:t>
      </w:r>
      <w:r>
        <w:t xml:space="preserve"> However Subclause 9(2) clarifies that the Act applies to </w:t>
      </w:r>
      <w:r w:rsidRPr="00C81182">
        <w:t>electricity generation stations or gas transmission pipelines</w:t>
      </w:r>
      <w:r>
        <w:t xml:space="preserve"> that are not currently being operated but have previously operated since first being built, and meet the requirements to be a </w:t>
      </w:r>
      <w:r w:rsidRPr="003E64D8">
        <w:rPr>
          <w:b/>
          <w:i/>
        </w:rPr>
        <w:t>critical electricity asset</w:t>
      </w:r>
      <w:r>
        <w:t xml:space="preserve"> or </w:t>
      </w:r>
      <w:r w:rsidRPr="003E64D8">
        <w:rPr>
          <w:b/>
          <w:i/>
        </w:rPr>
        <w:t>critical gas asset</w:t>
      </w:r>
      <w:r>
        <w:t>.</w:t>
      </w:r>
    </w:p>
    <w:p w14:paraId="22C24C84" w14:textId="77777777" w:rsidR="0095394E" w:rsidRDefault="0095394E" w:rsidP="0095394E">
      <w:pPr>
        <w:pStyle w:val="ListParagraph"/>
        <w:numPr>
          <w:ilvl w:val="0"/>
          <w:numId w:val="24"/>
        </w:numPr>
        <w:shd w:val="clear" w:color="auto" w:fill="FFFFFF"/>
        <w:spacing w:after="240" w:afterAutospacing="0" w:line="256" w:lineRule="auto"/>
        <w:ind w:left="426"/>
      </w:pPr>
      <w:r>
        <w:t xml:space="preserve">These matters are suitable to be dealt with through the making of a </w:t>
      </w:r>
      <w:r>
        <w:rPr>
          <w:b/>
          <w:i/>
        </w:rPr>
        <w:t xml:space="preserve">rule </w:t>
      </w:r>
      <w:r>
        <w:t>because they may require amendments over time depending on technological advances and changes to the market.</w:t>
      </w:r>
    </w:p>
    <w:p w14:paraId="686EFC38" w14:textId="77777777" w:rsidR="00056AC8" w:rsidRDefault="00056AC8" w:rsidP="00B67462">
      <w:pPr>
        <w:pStyle w:val="ListParagraph"/>
        <w:numPr>
          <w:ilvl w:val="0"/>
          <w:numId w:val="24"/>
        </w:numPr>
        <w:shd w:val="clear" w:color="auto" w:fill="FFFFFF"/>
        <w:spacing w:after="240" w:afterAutospacing="0" w:line="256" w:lineRule="auto"/>
        <w:ind w:left="426"/>
      </w:pPr>
      <w:r>
        <w:t xml:space="preserve">The Rules are in subordination to the Act and specify the electricity generation stations and gas transmission pipelines that are </w:t>
      </w:r>
      <w:r>
        <w:rPr>
          <w:b/>
          <w:bCs/>
          <w:i/>
          <w:iCs/>
        </w:rPr>
        <w:t>critical infrastructure assets</w:t>
      </w:r>
      <w:r>
        <w:rPr>
          <w:b/>
          <w:bCs/>
          <w:i/>
          <w:iCs/>
          <w:color w:val="1F497D"/>
        </w:rPr>
        <w:t xml:space="preserve"> </w:t>
      </w:r>
      <w:r w:rsidRPr="009B18E6">
        <w:rPr>
          <w:color w:val="000000" w:themeColor="text1"/>
        </w:rPr>
        <w:t>for the purposes of subsection 10(2) and subsection 12(2) of the Act.</w:t>
      </w:r>
    </w:p>
    <w:p w14:paraId="04CED32E" w14:textId="51650BC0" w:rsidR="00056AC8" w:rsidRPr="009B18E6" w:rsidRDefault="00056AC8" w:rsidP="00B67462">
      <w:pPr>
        <w:pStyle w:val="ListParagraph"/>
        <w:numPr>
          <w:ilvl w:val="0"/>
          <w:numId w:val="24"/>
        </w:numPr>
        <w:shd w:val="clear" w:color="auto" w:fill="FFFFFF"/>
        <w:spacing w:after="240" w:afterAutospacing="0" w:line="256" w:lineRule="auto"/>
        <w:ind w:left="426"/>
        <w:rPr>
          <w:rFonts w:cs="Calibri"/>
          <w:color w:val="0070C0"/>
        </w:rPr>
      </w:pPr>
      <w:r>
        <w:t xml:space="preserve">The Rules also ensure the Government has access to </w:t>
      </w:r>
      <w:r>
        <w:rPr>
          <w:b/>
          <w:bCs/>
          <w:i/>
          <w:iCs/>
        </w:rPr>
        <w:t>operational information,</w:t>
      </w:r>
      <w:r>
        <w:rPr>
          <w:b/>
          <w:bCs/>
        </w:rPr>
        <w:t xml:space="preserve"> </w:t>
      </w:r>
      <w:r>
        <w:t xml:space="preserve">including that which relates to data arrangements under clause 5, in order to determine the national security risks in </w:t>
      </w:r>
      <w:r>
        <w:rPr>
          <w:b/>
          <w:bCs/>
          <w:i/>
          <w:iCs/>
        </w:rPr>
        <w:t>critical infrastructure assets.</w:t>
      </w:r>
      <w:r>
        <w:t xml:space="preserve"> </w:t>
      </w:r>
      <w:r>
        <w:rPr>
          <w:b/>
          <w:bCs/>
          <w:i/>
          <w:iCs/>
        </w:rPr>
        <w:t>Operational information</w:t>
      </w:r>
      <w:r>
        <w:t xml:space="preserve"> assists in the Government’s understanding of who is in a position to influence the control and operation of </w:t>
      </w:r>
      <w:r>
        <w:rPr>
          <w:b/>
          <w:bCs/>
          <w:i/>
          <w:iCs/>
        </w:rPr>
        <w:t>critical infrastructure assets</w:t>
      </w:r>
      <w:r>
        <w:t xml:space="preserve">. Specifically, the information provided by the </w:t>
      </w:r>
      <w:r>
        <w:rPr>
          <w:b/>
          <w:bCs/>
          <w:i/>
          <w:iCs/>
        </w:rPr>
        <w:t>responsible entity</w:t>
      </w:r>
      <w:r>
        <w:t xml:space="preserve"> on the </w:t>
      </w:r>
      <w:r>
        <w:rPr>
          <w:b/>
          <w:bCs/>
          <w:i/>
          <w:iCs/>
        </w:rPr>
        <w:t>Register</w:t>
      </w:r>
      <w:r>
        <w:t xml:space="preserve">, including in fulfilling their obligations under clause 5, will assist the Secretary administering the Act to identify which </w:t>
      </w:r>
      <w:r>
        <w:rPr>
          <w:b/>
          <w:bCs/>
          <w:i/>
          <w:iCs/>
        </w:rPr>
        <w:t xml:space="preserve">critical infrastructure assets </w:t>
      </w:r>
      <w:r>
        <w:t>should be the subject of a risk assessment in accordance with section 57</w:t>
      </w:r>
      <w:r w:rsidR="007500F7">
        <w:t xml:space="preserve"> of the Act</w:t>
      </w:r>
      <w:r>
        <w:t xml:space="preserve">. </w:t>
      </w:r>
    </w:p>
    <w:p w14:paraId="0D882F3B" w14:textId="77777777" w:rsidR="00056AC8" w:rsidRPr="00D664E6" w:rsidRDefault="00056AC8" w:rsidP="00056AC8">
      <w:pPr>
        <w:spacing w:before="120" w:after="120"/>
        <w:rPr>
          <w:rFonts w:ascii="Times New Roman" w:hAnsi="Times New Roman"/>
          <w:b/>
          <w:sz w:val="24"/>
          <w:szCs w:val="24"/>
        </w:rPr>
      </w:pPr>
      <w:r w:rsidRPr="00D664E6">
        <w:rPr>
          <w:rFonts w:ascii="Times New Roman" w:hAnsi="Times New Roman"/>
          <w:b/>
          <w:sz w:val="24"/>
          <w:szCs w:val="24"/>
        </w:rPr>
        <w:t>Human rights implications</w:t>
      </w:r>
    </w:p>
    <w:p w14:paraId="3C88A1A8" w14:textId="77777777" w:rsidR="00056AC8" w:rsidRPr="002D5DF9" w:rsidRDefault="00056AC8" w:rsidP="00056AC8">
      <w:pPr>
        <w:spacing w:before="120" w:after="120"/>
        <w:rPr>
          <w:rFonts w:ascii="Times New Roman" w:hAnsi="Times New Roman"/>
          <w:b/>
          <w:i/>
          <w:sz w:val="24"/>
          <w:szCs w:val="24"/>
        </w:rPr>
      </w:pPr>
      <w:r>
        <w:rPr>
          <w:rFonts w:ascii="Times New Roman" w:hAnsi="Times New Roman"/>
          <w:b/>
          <w:i/>
          <w:sz w:val="24"/>
          <w:szCs w:val="24"/>
        </w:rPr>
        <w:t>Prohibition on Arbitrary or Unlawful Interference with</w:t>
      </w:r>
      <w:r w:rsidRPr="002D5DF9">
        <w:rPr>
          <w:rFonts w:ascii="Times New Roman" w:hAnsi="Times New Roman"/>
          <w:b/>
          <w:i/>
          <w:sz w:val="24"/>
          <w:szCs w:val="24"/>
        </w:rPr>
        <w:t xml:space="preserve"> </w:t>
      </w:r>
      <w:r>
        <w:rPr>
          <w:rFonts w:ascii="Times New Roman" w:hAnsi="Times New Roman"/>
          <w:b/>
          <w:i/>
          <w:sz w:val="24"/>
          <w:szCs w:val="24"/>
        </w:rPr>
        <w:t>P</w:t>
      </w:r>
      <w:r w:rsidRPr="002D5DF9">
        <w:rPr>
          <w:rFonts w:ascii="Times New Roman" w:hAnsi="Times New Roman"/>
          <w:b/>
          <w:i/>
          <w:sz w:val="24"/>
          <w:szCs w:val="24"/>
        </w:rPr>
        <w:t>rivacy – Article 17 of the ICCPR</w:t>
      </w:r>
    </w:p>
    <w:p w14:paraId="60AE7ED9" w14:textId="77777777" w:rsidR="00056AC8" w:rsidRDefault="00056AC8" w:rsidP="00B67462">
      <w:pPr>
        <w:pStyle w:val="ListParagraph"/>
        <w:numPr>
          <w:ilvl w:val="0"/>
          <w:numId w:val="24"/>
        </w:numPr>
        <w:shd w:val="clear" w:color="auto" w:fill="FFFFFF"/>
        <w:spacing w:after="240" w:afterAutospacing="0" w:line="256" w:lineRule="auto"/>
        <w:ind w:left="426"/>
      </w:pPr>
      <w:r w:rsidRPr="002D5DF9">
        <w:t>Article 17 of the ICCPR 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w:t>
      </w:r>
    </w:p>
    <w:p w14:paraId="21453C5A" w14:textId="77777777" w:rsidR="00056AC8" w:rsidRPr="00E20157" w:rsidRDefault="00056AC8" w:rsidP="00056AC8">
      <w:pPr>
        <w:spacing w:before="120" w:after="120"/>
        <w:rPr>
          <w:rFonts w:ascii="Times New Roman" w:hAnsi="Times New Roman"/>
          <w:i/>
          <w:sz w:val="24"/>
          <w:szCs w:val="24"/>
        </w:rPr>
      </w:pPr>
      <w:r w:rsidRPr="00101AD7">
        <w:rPr>
          <w:rFonts w:ascii="Times New Roman" w:hAnsi="Times New Roman"/>
          <w:i/>
          <w:sz w:val="24"/>
          <w:szCs w:val="24"/>
        </w:rPr>
        <w:t>Description of arrangements under which data is maintained</w:t>
      </w:r>
    </w:p>
    <w:p w14:paraId="78290349" w14:textId="77777777" w:rsidR="00056AC8" w:rsidRDefault="00056AC8" w:rsidP="00B67462">
      <w:pPr>
        <w:pStyle w:val="ListParagraph"/>
        <w:numPr>
          <w:ilvl w:val="0"/>
          <w:numId w:val="24"/>
        </w:numPr>
        <w:shd w:val="clear" w:color="auto" w:fill="FFFFFF"/>
        <w:spacing w:after="240" w:afterAutospacing="0" w:line="256" w:lineRule="auto"/>
        <w:ind w:left="426"/>
      </w:pPr>
      <w:r>
        <w:t xml:space="preserve">The </w:t>
      </w:r>
      <w:r w:rsidRPr="00B65E4C">
        <w:rPr>
          <w:b/>
          <w:i/>
        </w:rPr>
        <w:t>rule</w:t>
      </w:r>
      <w:r>
        <w:rPr>
          <w:b/>
          <w:i/>
        </w:rPr>
        <w:t xml:space="preserve"> </w:t>
      </w:r>
      <w:r>
        <w:t>which relates to p</w:t>
      </w:r>
      <w:r w:rsidRPr="00363741">
        <w:t xml:space="preserve">aragraphs 7(1)(f) and (g) </w:t>
      </w:r>
      <w:r>
        <w:t xml:space="preserve">of the Act and commences on 11 July </w:t>
      </w:r>
      <w:r w:rsidRPr="00B00816">
        <w:t xml:space="preserve">2018 </w:t>
      </w:r>
      <w:r>
        <w:t xml:space="preserve"> positively engages the prohibition on arbitrary or unlawful interference with privacy</w:t>
      </w:r>
      <w:r w:rsidRPr="001B6609">
        <w:t xml:space="preserve"> under</w:t>
      </w:r>
      <w:r>
        <w:t xml:space="preserve"> Article 17 of the ICCPR. This </w:t>
      </w:r>
      <w:r>
        <w:rPr>
          <w:b/>
          <w:i/>
        </w:rPr>
        <w:t xml:space="preserve">rule </w:t>
      </w:r>
      <w:r>
        <w:t xml:space="preserve">will give the Government visibility of how and where owners and operators of </w:t>
      </w:r>
      <w:r>
        <w:rPr>
          <w:b/>
          <w:i/>
        </w:rPr>
        <w:t xml:space="preserve">critical infrastructure assets </w:t>
      </w:r>
      <w:r>
        <w:t xml:space="preserve">are storing sensitive data. </w:t>
      </w:r>
    </w:p>
    <w:p w14:paraId="5870095E" w14:textId="45E258EC" w:rsidR="00056AC8" w:rsidRDefault="00056AC8" w:rsidP="00B67462">
      <w:pPr>
        <w:pStyle w:val="ListParagraph"/>
        <w:numPr>
          <w:ilvl w:val="0"/>
          <w:numId w:val="24"/>
        </w:numPr>
        <w:shd w:val="clear" w:color="auto" w:fill="FFFFFF"/>
        <w:spacing w:after="240" w:afterAutospacing="0" w:line="256" w:lineRule="auto"/>
        <w:ind w:left="426"/>
      </w:pPr>
      <w:r w:rsidRPr="00590248">
        <w:lastRenderedPageBreak/>
        <w:t xml:space="preserve">Certain critical infrastructure sectors may </w:t>
      </w:r>
      <w:r>
        <w:t>collect sensitive information</w:t>
      </w:r>
      <w:r w:rsidR="00532BF4">
        <w:t xml:space="preserve"> that </w:t>
      </w:r>
      <w:r w:rsidRPr="00590248">
        <w:t>is not publicly available.</w:t>
      </w:r>
      <w:r>
        <w:t xml:space="preserve"> Owners and operators of </w:t>
      </w:r>
      <w:r w:rsidRPr="00B65E4C">
        <w:rPr>
          <w:b/>
          <w:i/>
        </w:rPr>
        <w:t>critical infrastructure assets</w:t>
      </w:r>
      <w:r>
        <w:t xml:space="preserve"> have access to, and manage sensitive data sets including those identified in the Rules.</w:t>
      </w:r>
    </w:p>
    <w:p w14:paraId="5D24531B" w14:textId="77777777" w:rsidR="00056AC8" w:rsidRPr="00E20157" w:rsidRDefault="00056AC8" w:rsidP="00B67462">
      <w:pPr>
        <w:pStyle w:val="ListParagraph"/>
        <w:numPr>
          <w:ilvl w:val="0"/>
          <w:numId w:val="24"/>
        </w:numPr>
        <w:shd w:val="clear" w:color="auto" w:fill="FFFFFF"/>
        <w:spacing w:after="240" w:afterAutospacing="0" w:line="256" w:lineRule="auto"/>
        <w:ind w:left="426"/>
      </w:pPr>
      <w:r>
        <w:t xml:space="preserve">In order to assess risks to national security with regard to a particular </w:t>
      </w:r>
      <w:r>
        <w:rPr>
          <w:b/>
          <w:i/>
        </w:rPr>
        <w:t>critical infrastructure asset</w:t>
      </w:r>
      <w:r>
        <w:t>, the Government needs to have visibility of how these sets of sensitive data are maintained.  For clarity, the Rules do not permit the Government to obtain the data information itself.</w:t>
      </w:r>
    </w:p>
    <w:p w14:paraId="55952B98" w14:textId="77777777" w:rsidR="00056AC8" w:rsidRPr="00B83957" w:rsidRDefault="00056AC8" w:rsidP="00B67462">
      <w:pPr>
        <w:pStyle w:val="ListParagraph"/>
        <w:numPr>
          <w:ilvl w:val="0"/>
          <w:numId w:val="24"/>
        </w:numPr>
        <w:shd w:val="clear" w:color="auto" w:fill="FFFFFF"/>
        <w:spacing w:after="240" w:afterAutospacing="0" w:line="256" w:lineRule="auto"/>
        <w:ind w:left="426"/>
      </w:pPr>
      <w:r w:rsidRPr="00903D9E">
        <w:rPr>
          <w:b/>
          <w:i/>
        </w:rPr>
        <w:t xml:space="preserve">Responsible entities </w:t>
      </w:r>
      <w:r w:rsidRPr="00903D9E">
        <w:t>may outsource</w:t>
      </w:r>
      <w:r>
        <w:t xml:space="preserve"> or offshore</w:t>
      </w:r>
      <w:r w:rsidRPr="00903D9E">
        <w:t xml:space="preserve"> the management of this data in the absence of capability and infrastructure, and/or </w:t>
      </w:r>
      <w:r>
        <w:t xml:space="preserve">in order </w:t>
      </w:r>
      <w:r w:rsidRPr="00903D9E">
        <w:t>to reduce costs. However by</w:t>
      </w:r>
      <w:r>
        <w:t xml:space="preserve"> engaging in such arrangements, </w:t>
      </w:r>
      <w:r>
        <w:rPr>
          <w:b/>
          <w:i/>
        </w:rPr>
        <w:t>r</w:t>
      </w:r>
      <w:r w:rsidRPr="00903D9E">
        <w:rPr>
          <w:b/>
          <w:i/>
        </w:rPr>
        <w:t xml:space="preserve">esponsible entities </w:t>
      </w:r>
      <w:r>
        <w:t xml:space="preserve">may </w:t>
      </w:r>
      <w:r w:rsidRPr="00903D9E">
        <w:t>lack the appropriate oversight</w:t>
      </w:r>
      <w:r>
        <w:t xml:space="preserve">, or may be </w:t>
      </w:r>
      <w:r w:rsidRPr="00903D9E">
        <w:t xml:space="preserve">unable to ensure appropriate </w:t>
      </w:r>
      <w:r>
        <w:t>safeguards have been implemented to protect this data</w:t>
      </w:r>
      <w:r w:rsidRPr="00903D9E">
        <w:t>.</w:t>
      </w:r>
      <w:r>
        <w:t xml:space="preserve"> As a result, outsourcing or offshoring</w:t>
      </w:r>
      <w:r w:rsidRPr="00903D9E">
        <w:t xml:space="preserve"> </w:t>
      </w:r>
      <w:r>
        <w:t>data arrangements</w:t>
      </w:r>
      <w:r w:rsidRPr="00903D9E">
        <w:t xml:space="preserve"> </w:t>
      </w:r>
      <w:r>
        <w:t xml:space="preserve">can </w:t>
      </w:r>
      <w:r w:rsidRPr="00903D9E">
        <w:t>increase</w:t>
      </w:r>
      <w:r>
        <w:t xml:space="preserve"> the</w:t>
      </w:r>
      <w:r w:rsidRPr="00903D9E">
        <w:t xml:space="preserve"> susceptibility </w:t>
      </w:r>
      <w:r>
        <w:t>of the data</w:t>
      </w:r>
      <w:r w:rsidRPr="00903D9E">
        <w:t xml:space="preserve"> being</w:t>
      </w:r>
      <w:r>
        <w:t xml:space="preserve"> exposed to actors that are not approved to access the data, and this data being</w:t>
      </w:r>
      <w:r w:rsidRPr="00903D9E">
        <w:t xml:space="preserve"> used for espionage</w:t>
      </w:r>
      <w:r>
        <w:t>,</w:t>
      </w:r>
      <w:r w:rsidRPr="00903D9E">
        <w:t xml:space="preserve"> sabotage </w:t>
      </w:r>
      <w:r>
        <w:t xml:space="preserve">and coercion </w:t>
      </w:r>
      <w:r w:rsidRPr="00903D9E">
        <w:t>purpose</w:t>
      </w:r>
      <w:r>
        <w:t>s</w:t>
      </w:r>
      <w:r w:rsidRPr="00903D9E">
        <w:t xml:space="preserve">. </w:t>
      </w:r>
      <w:r w:rsidRPr="00B83957">
        <w:t xml:space="preserve">Consequences of these </w:t>
      </w:r>
      <w:r>
        <w:t xml:space="preserve">data sets being the subject of acts sabotage, espionage or coercion </w:t>
      </w:r>
      <w:r w:rsidRPr="00B83957">
        <w:t>may include:</w:t>
      </w:r>
    </w:p>
    <w:p w14:paraId="56B63890" w14:textId="77777777" w:rsidR="00056AC8" w:rsidRPr="00B67462" w:rsidRDefault="00056AC8" w:rsidP="00532BF4">
      <w:pPr>
        <w:pStyle w:val="ListParagraph"/>
        <w:numPr>
          <w:ilvl w:val="0"/>
          <w:numId w:val="25"/>
        </w:numPr>
        <w:shd w:val="clear" w:color="auto" w:fill="FFFFFF"/>
        <w:spacing w:after="0"/>
        <w:rPr>
          <w:bCs/>
          <w:iCs/>
        </w:rPr>
      </w:pPr>
      <w:r w:rsidRPr="00B83957">
        <w:t xml:space="preserve">exfiltration of </w:t>
      </w:r>
      <w:r w:rsidRPr="00B67462">
        <w:rPr>
          <w:bCs/>
          <w:iCs/>
        </w:rPr>
        <w:t>bulk data sets,</w:t>
      </w:r>
    </w:p>
    <w:p w14:paraId="27A4DE0E" w14:textId="77777777" w:rsidR="00056AC8" w:rsidRPr="00B67462" w:rsidRDefault="00056AC8" w:rsidP="00532BF4">
      <w:pPr>
        <w:pStyle w:val="ListParagraph"/>
        <w:numPr>
          <w:ilvl w:val="0"/>
          <w:numId w:val="25"/>
        </w:numPr>
        <w:shd w:val="clear" w:color="auto" w:fill="FFFFFF"/>
        <w:spacing w:after="0"/>
        <w:rPr>
          <w:bCs/>
          <w:iCs/>
        </w:rPr>
      </w:pPr>
      <w:r w:rsidRPr="00B67462">
        <w:rPr>
          <w:bCs/>
          <w:iCs/>
        </w:rPr>
        <w:t>use of sensitive information for coercion or exploitation,</w:t>
      </w:r>
    </w:p>
    <w:p w14:paraId="7AE78E95" w14:textId="77777777" w:rsidR="00056AC8" w:rsidRPr="00B67462" w:rsidRDefault="00056AC8" w:rsidP="00532BF4">
      <w:pPr>
        <w:pStyle w:val="ListParagraph"/>
        <w:numPr>
          <w:ilvl w:val="0"/>
          <w:numId w:val="25"/>
        </w:numPr>
        <w:shd w:val="clear" w:color="auto" w:fill="FFFFFF"/>
        <w:spacing w:after="0"/>
        <w:rPr>
          <w:bCs/>
          <w:iCs/>
        </w:rPr>
      </w:pPr>
      <w:r w:rsidRPr="00B67462">
        <w:rPr>
          <w:bCs/>
          <w:iCs/>
        </w:rPr>
        <w:t>theft of research and development information,</w:t>
      </w:r>
    </w:p>
    <w:p w14:paraId="2055DF9E" w14:textId="77777777" w:rsidR="00056AC8" w:rsidRPr="00B67462" w:rsidRDefault="00056AC8" w:rsidP="00532BF4">
      <w:pPr>
        <w:pStyle w:val="ListParagraph"/>
        <w:numPr>
          <w:ilvl w:val="0"/>
          <w:numId w:val="25"/>
        </w:numPr>
        <w:shd w:val="clear" w:color="auto" w:fill="FFFFFF"/>
        <w:spacing w:after="0"/>
        <w:rPr>
          <w:bCs/>
          <w:iCs/>
        </w:rPr>
      </w:pPr>
      <w:r w:rsidRPr="00B67462">
        <w:rPr>
          <w:bCs/>
          <w:iCs/>
        </w:rPr>
        <w:t>exploitation of vulnerabilities in security systems for pre-positioning for sabotage, and</w:t>
      </w:r>
    </w:p>
    <w:p w14:paraId="1970830C" w14:textId="77777777" w:rsidR="00056AC8" w:rsidRDefault="00056AC8" w:rsidP="00532BF4">
      <w:pPr>
        <w:pStyle w:val="ListParagraph"/>
        <w:numPr>
          <w:ilvl w:val="0"/>
          <w:numId w:val="25"/>
        </w:numPr>
        <w:shd w:val="clear" w:color="auto" w:fill="FFFFFF"/>
        <w:spacing w:after="0"/>
      </w:pPr>
      <w:r w:rsidRPr="00B67462">
        <w:rPr>
          <w:bCs/>
          <w:iCs/>
        </w:rPr>
        <w:t>disruption to service delivery</w:t>
      </w:r>
      <w:r w:rsidRPr="00B83957">
        <w:t>.</w:t>
      </w:r>
    </w:p>
    <w:p w14:paraId="0C602440" w14:textId="34358B06" w:rsidR="00056AC8" w:rsidRPr="00903D9E" w:rsidRDefault="00056AC8" w:rsidP="00B67462">
      <w:pPr>
        <w:pStyle w:val="ListParagraph"/>
        <w:numPr>
          <w:ilvl w:val="0"/>
          <w:numId w:val="24"/>
        </w:numPr>
        <w:shd w:val="clear" w:color="auto" w:fill="FFFFFF"/>
        <w:spacing w:after="240" w:afterAutospacing="0" w:line="256" w:lineRule="auto"/>
        <w:ind w:left="426"/>
      </w:pPr>
      <w:r w:rsidRPr="00903D9E">
        <w:t xml:space="preserve">For example, </w:t>
      </w:r>
      <w:r w:rsidRPr="00903D9E">
        <w:rPr>
          <w:b/>
          <w:i/>
        </w:rPr>
        <w:t>water utilities</w:t>
      </w:r>
      <w:r w:rsidRPr="00903D9E">
        <w:t xml:space="preserve"> hold</w:t>
      </w:r>
      <w:r w:rsidRPr="00903D9E">
        <w:rPr>
          <w:b/>
          <w:i/>
        </w:rPr>
        <w:t xml:space="preserve"> </w:t>
      </w:r>
      <w:r w:rsidRPr="00903D9E">
        <w:t xml:space="preserve">large data sets about customers, including sensitive personal information, and their usage. Outsourcing </w:t>
      </w:r>
      <w:r>
        <w:t xml:space="preserve">or offshoring </w:t>
      </w:r>
      <w:r w:rsidRPr="00903D9E">
        <w:t>the management of this data may place at risk the sensitive data of a significant part of Australia’s population</w:t>
      </w:r>
      <w:r w:rsidR="00532BF4">
        <w:t>.</w:t>
      </w:r>
    </w:p>
    <w:p w14:paraId="51088353" w14:textId="6F0FDD9B" w:rsidR="00056AC8" w:rsidRDefault="00532BF4" w:rsidP="00B67462">
      <w:pPr>
        <w:pStyle w:val="ListParagraph"/>
        <w:numPr>
          <w:ilvl w:val="0"/>
          <w:numId w:val="24"/>
        </w:numPr>
        <w:shd w:val="clear" w:color="auto" w:fill="FFFFFF"/>
        <w:spacing w:after="240" w:afterAutospacing="0" w:line="256" w:lineRule="auto"/>
        <w:ind w:left="426"/>
      </w:pPr>
      <w:r>
        <w:t xml:space="preserve">Providing </w:t>
      </w:r>
      <w:r w:rsidR="00056AC8">
        <w:t xml:space="preserve">the Government </w:t>
      </w:r>
      <w:r>
        <w:t>visibility</w:t>
      </w:r>
      <w:r w:rsidR="00056AC8">
        <w:t xml:space="preserve"> </w:t>
      </w:r>
      <w:r>
        <w:t xml:space="preserve">of how </w:t>
      </w:r>
      <w:r w:rsidR="00056AC8">
        <w:t xml:space="preserve">certain data sets </w:t>
      </w:r>
      <w:r>
        <w:t xml:space="preserve">are being managed </w:t>
      </w:r>
      <w:r w:rsidR="00056AC8">
        <w:t>through the Rules</w:t>
      </w:r>
      <w:r w:rsidR="00056AC8">
        <w:rPr>
          <w:b/>
          <w:i/>
        </w:rPr>
        <w:t xml:space="preserve"> </w:t>
      </w:r>
      <w:r w:rsidR="00056AC8">
        <w:t xml:space="preserve">will </w:t>
      </w:r>
      <w:r>
        <w:t xml:space="preserve">inform assessments of </w:t>
      </w:r>
      <w:r w:rsidR="00056AC8">
        <w:t xml:space="preserve">which </w:t>
      </w:r>
      <w:r w:rsidR="00056AC8">
        <w:rPr>
          <w:b/>
          <w:i/>
        </w:rPr>
        <w:t xml:space="preserve">critical infrastructure assets </w:t>
      </w:r>
      <w:r>
        <w:t xml:space="preserve">may be </w:t>
      </w:r>
      <w:r w:rsidR="00056AC8">
        <w:t>at risk to acts of espionage, sabotage and coercion through its offshoring or outsourcing arrangements. The Government will then be able to proactively engage with relevant owners and operators to address</w:t>
      </w:r>
      <w:r>
        <w:t xml:space="preserve"> understand and manage</w:t>
      </w:r>
      <w:r w:rsidR="00056AC8">
        <w:t xml:space="preserve"> these risks. This ensures sensitive information is afforded the appropriate protections, and mitigates the risk of </w:t>
      </w:r>
      <w:r w:rsidR="00056AC8" w:rsidRPr="00B65E4C">
        <w:t>arbitrary or unlawful interference</w:t>
      </w:r>
      <w:r w:rsidR="00056AC8">
        <w:t xml:space="preserve"> on privacy, and interference or attacks on reputation.</w:t>
      </w:r>
    </w:p>
    <w:p w14:paraId="4EA2F213" w14:textId="77777777" w:rsidR="00056AC8" w:rsidRPr="00E20157" w:rsidRDefault="00056AC8" w:rsidP="00056AC8">
      <w:pPr>
        <w:spacing w:before="240" w:after="0" w:line="240" w:lineRule="auto"/>
        <w:rPr>
          <w:rFonts w:ascii="Times New Roman" w:eastAsia="Times New Roman" w:hAnsi="Times New Roman"/>
          <w:i/>
          <w:sz w:val="24"/>
          <w:szCs w:val="24"/>
        </w:rPr>
      </w:pPr>
      <w:r w:rsidRPr="00E20157">
        <w:rPr>
          <w:rFonts w:ascii="Times New Roman" w:eastAsia="Times New Roman" w:hAnsi="Times New Roman"/>
          <w:i/>
          <w:sz w:val="24"/>
          <w:szCs w:val="24"/>
        </w:rPr>
        <w:t>Obligation</w:t>
      </w:r>
      <w:r>
        <w:rPr>
          <w:rFonts w:ascii="Times New Roman" w:eastAsia="Times New Roman" w:hAnsi="Times New Roman"/>
          <w:i/>
          <w:sz w:val="24"/>
          <w:szCs w:val="24"/>
        </w:rPr>
        <w:t xml:space="preserve"> to provide information on the </w:t>
      </w:r>
      <w:r w:rsidRPr="00E20157">
        <w:rPr>
          <w:rFonts w:ascii="Times New Roman" w:eastAsia="Times New Roman" w:hAnsi="Times New Roman"/>
          <w:b/>
          <w:i/>
          <w:sz w:val="24"/>
          <w:szCs w:val="24"/>
        </w:rPr>
        <w:t>Register</w:t>
      </w:r>
      <w:r>
        <w:rPr>
          <w:rFonts w:ascii="Times New Roman" w:eastAsia="Times New Roman" w:hAnsi="Times New Roman"/>
          <w:i/>
          <w:sz w:val="24"/>
          <w:szCs w:val="24"/>
        </w:rPr>
        <w:t xml:space="preserve"> and the Secretary’s information-gathering power</w:t>
      </w:r>
    </w:p>
    <w:p w14:paraId="5C2DA475" w14:textId="77777777" w:rsidR="00056AC8" w:rsidRDefault="00056AC8" w:rsidP="00B67462">
      <w:pPr>
        <w:pStyle w:val="ListParagraph"/>
        <w:numPr>
          <w:ilvl w:val="0"/>
          <w:numId w:val="24"/>
        </w:numPr>
        <w:shd w:val="clear" w:color="auto" w:fill="FFFFFF"/>
        <w:spacing w:after="240" w:afterAutospacing="0" w:line="256" w:lineRule="auto"/>
        <w:ind w:left="426"/>
      </w:pPr>
      <w:r>
        <w:lastRenderedPageBreak/>
        <w:t xml:space="preserve">In providing specific thresholds and listing a specific asset, the Rules specify which electricity generation stations and which gas transmission pipelines are </w:t>
      </w:r>
      <w:r>
        <w:rPr>
          <w:b/>
          <w:i/>
        </w:rPr>
        <w:t>critical electricity assets</w:t>
      </w:r>
      <w:r>
        <w:t xml:space="preserve"> (as per section 10 of the Act) and </w:t>
      </w:r>
      <w:r>
        <w:rPr>
          <w:b/>
          <w:i/>
        </w:rPr>
        <w:t>critical gas assets</w:t>
      </w:r>
      <w:r>
        <w:t xml:space="preserve"> (as per section 12 of the Act). The Act contains a </w:t>
      </w:r>
      <w:r w:rsidRPr="00395677">
        <w:t xml:space="preserve">range of powers, functions and obligations </w:t>
      </w:r>
      <w:r>
        <w:t>that will apply to these electricity generation</w:t>
      </w:r>
      <w:r w:rsidRPr="00395677">
        <w:t xml:space="preserve"> and gas transmission assets</w:t>
      </w:r>
      <w:r>
        <w:t xml:space="preserve"> as </w:t>
      </w:r>
      <w:r>
        <w:rPr>
          <w:b/>
          <w:i/>
        </w:rPr>
        <w:t xml:space="preserve">critical infrastructure assets. </w:t>
      </w:r>
      <w:r>
        <w:t>Some of these obligations and powers engage the prohibition on arbitrary or unlawful interference with privacy</w:t>
      </w:r>
      <w:r w:rsidRPr="001B6609">
        <w:t xml:space="preserve"> </w:t>
      </w:r>
      <w:r>
        <w:t>under Article 17 of the ICCPR.</w:t>
      </w:r>
    </w:p>
    <w:p w14:paraId="4183726D" w14:textId="77777777" w:rsidR="006D0B9F" w:rsidRDefault="006D0B9F" w:rsidP="00B67462">
      <w:pPr>
        <w:pStyle w:val="ListParagraph"/>
        <w:numPr>
          <w:ilvl w:val="0"/>
          <w:numId w:val="24"/>
        </w:numPr>
        <w:shd w:val="clear" w:color="auto" w:fill="FFFFFF"/>
        <w:spacing w:after="240" w:afterAutospacing="0" w:line="256" w:lineRule="auto"/>
        <w:ind w:left="426"/>
      </w:pPr>
      <w:r>
        <w:t>First</w:t>
      </w:r>
      <w:r w:rsidR="00056AC8">
        <w:t>, t</w:t>
      </w:r>
      <w:r w:rsidR="00056AC8" w:rsidRPr="00EF5964">
        <w:t xml:space="preserve">he </w:t>
      </w:r>
      <w:r w:rsidR="00056AC8" w:rsidRPr="00E20157">
        <w:rPr>
          <w:b/>
          <w:i/>
        </w:rPr>
        <w:t>reporting entit</w:t>
      </w:r>
      <w:r w:rsidR="00056AC8">
        <w:rPr>
          <w:b/>
          <w:i/>
        </w:rPr>
        <w:t xml:space="preserve">ies </w:t>
      </w:r>
      <w:r w:rsidR="00056AC8">
        <w:t>of these electricity generation and gas transmission assets will be</w:t>
      </w:r>
      <w:r w:rsidR="00056AC8" w:rsidRPr="00DD3587">
        <w:t xml:space="preserve"> required to provide high-level </w:t>
      </w:r>
      <w:r w:rsidR="00056AC8">
        <w:rPr>
          <w:b/>
          <w:i/>
        </w:rPr>
        <w:t xml:space="preserve">interest and control </w:t>
      </w:r>
      <w:r w:rsidR="00056AC8" w:rsidRPr="00AA0ADE">
        <w:rPr>
          <w:b/>
          <w:i/>
        </w:rPr>
        <w:t>information</w:t>
      </w:r>
      <w:r w:rsidR="00056AC8">
        <w:rPr>
          <w:b/>
          <w:i/>
        </w:rPr>
        <w:t xml:space="preserve"> </w:t>
      </w:r>
      <w:r>
        <w:t>(</w:t>
      </w:r>
      <w:r w:rsidR="00056AC8">
        <w:t xml:space="preserve">which includes </w:t>
      </w:r>
      <w:r w:rsidR="00056AC8" w:rsidRPr="00AA0ADE">
        <w:t>information</w:t>
      </w:r>
      <w:r w:rsidR="00056AC8" w:rsidRPr="00DD3587">
        <w:t xml:space="preserve"> on who ultimately controls or influences an asset though ownership</w:t>
      </w:r>
      <w:r w:rsidR="00056AC8" w:rsidRPr="00AA0ADE">
        <w:t xml:space="preserve"> </w:t>
      </w:r>
      <w:r w:rsidR="00056AC8" w:rsidRPr="00DD3587">
        <w:t>including beneficial</w:t>
      </w:r>
      <w:r w:rsidR="00056AC8">
        <w:t xml:space="preserve"> </w:t>
      </w:r>
      <w:r w:rsidR="00056AC8" w:rsidRPr="00DD3587">
        <w:t>ownership</w:t>
      </w:r>
      <w:r>
        <w:t>)</w:t>
      </w:r>
      <w:r w:rsidR="00056AC8" w:rsidRPr="00DD3587">
        <w:t xml:space="preserve">, </w:t>
      </w:r>
      <w:r>
        <w:t>and</w:t>
      </w:r>
      <w:r w:rsidR="00056AC8">
        <w:t xml:space="preserve"> </w:t>
      </w:r>
      <w:r w:rsidR="00056AC8">
        <w:rPr>
          <w:b/>
          <w:i/>
        </w:rPr>
        <w:t>operational information</w:t>
      </w:r>
      <w:r w:rsidR="00056AC8">
        <w:t xml:space="preserve"> </w:t>
      </w:r>
      <w:r>
        <w:t>(</w:t>
      </w:r>
      <w:r w:rsidR="00056AC8">
        <w:t xml:space="preserve">which includes an asset’s </w:t>
      </w:r>
      <w:r w:rsidR="00056AC8" w:rsidRPr="00DD3587">
        <w:t>operation</w:t>
      </w:r>
      <w:r w:rsidR="00056AC8">
        <w:t>al</w:t>
      </w:r>
      <w:r w:rsidR="00056AC8" w:rsidRPr="00DD3587">
        <w:t xml:space="preserve"> arrangements, such as outsourcing arrangements</w:t>
      </w:r>
      <w:r>
        <w:t>)</w:t>
      </w:r>
      <w:r w:rsidR="00056AC8" w:rsidRPr="00DD3587">
        <w:t>.</w:t>
      </w:r>
      <w:r w:rsidR="00056AC8" w:rsidRPr="00101AD7">
        <w:t xml:space="preserve"> </w:t>
      </w:r>
    </w:p>
    <w:p w14:paraId="5E0B0960" w14:textId="0B5B1D65" w:rsidR="00056AC8" w:rsidRPr="00EF5964" w:rsidRDefault="00056AC8" w:rsidP="00B67462">
      <w:pPr>
        <w:pStyle w:val="ListParagraph"/>
        <w:numPr>
          <w:ilvl w:val="0"/>
          <w:numId w:val="24"/>
        </w:numPr>
        <w:shd w:val="clear" w:color="auto" w:fill="FFFFFF"/>
        <w:spacing w:after="240" w:afterAutospacing="0" w:line="256" w:lineRule="auto"/>
        <w:ind w:left="426"/>
      </w:pPr>
      <w:r>
        <w:t xml:space="preserve">The </w:t>
      </w:r>
      <w:r w:rsidRPr="00E20157">
        <w:rPr>
          <w:b/>
          <w:i/>
        </w:rPr>
        <w:t>reporting entity</w:t>
      </w:r>
      <w:r>
        <w:t xml:space="preserve"> is required, under the Act, to provide this information on the </w:t>
      </w:r>
      <w:r w:rsidRPr="003E64D8">
        <w:rPr>
          <w:b/>
          <w:i/>
        </w:rPr>
        <w:t>Register</w:t>
      </w:r>
      <w:r>
        <w:t xml:space="preserve">. This information may include personal and/or commercially sensitive information, thereby engaging the prohibition on arbitrary or unlawful interference with privacy in Article 17.  </w:t>
      </w:r>
      <w:r w:rsidRPr="00EF5964">
        <w:t xml:space="preserve">However, </w:t>
      </w:r>
      <w:r>
        <w:t>any</w:t>
      </w:r>
      <w:r w:rsidRPr="00EF5964">
        <w:t xml:space="preserve"> limitation is permissible as the collection of personal information would be lawful, would not be arbitrary and would be reasonable, necessary and proportionate to achieving a legitimate </w:t>
      </w:r>
      <w:r w:rsidRPr="00EF5964">
        <w:rPr>
          <w:b/>
          <w:i/>
        </w:rPr>
        <w:t>national security</w:t>
      </w:r>
      <w:r w:rsidRPr="00EF5964">
        <w:t xml:space="preserve"> objective.</w:t>
      </w:r>
    </w:p>
    <w:p w14:paraId="68737ECA" w14:textId="419E7C51" w:rsidR="00056AC8" w:rsidRPr="00E20157" w:rsidRDefault="00056AC8" w:rsidP="00B67462">
      <w:pPr>
        <w:pStyle w:val="ListParagraph"/>
        <w:numPr>
          <w:ilvl w:val="0"/>
          <w:numId w:val="24"/>
        </w:numPr>
        <w:shd w:val="clear" w:color="auto" w:fill="FFFFFF"/>
        <w:spacing w:after="240" w:afterAutospacing="0" w:line="256" w:lineRule="auto"/>
        <w:ind w:left="426"/>
      </w:pPr>
      <w:r w:rsidRPr="00E20157">
        <w:t xml:space="preserve">The </w:t>
      </w:r>
      <w:r w:rsidRPr="00E20157">
        <w:rPr>
          <w:b/>
          <w:i/>
        </w:rPr>
        <w:t>Register</w:t>
      </w:r>
      <w:r w:rsidRPr="00E20157">
        <w:t xml:space="preserve"> is used by the Government to prioritise and inform risk assessments to identify and manage </w:t>
      </w:r>
      <w:r w:rsidRPr="00E20157">
        <w:rPr>
          <w:b/>
          <w:i/>
        </w:rPr>
        <w:t>national security</w:t>
      </w:r>
      <w:r w:rsidRPr="00E20157">
        <w:t xml:space="preserve"> risks in </w:t>
      </w:r>
      <w:r w:rsidRPr="00E20157">
        <w:rPr>
          <w:b/>
          <w:i/>
        </w:rPr>
        <w:t>critical infrastructure assets</w:t>
      </w:r>
      <w:r w:rsidRPr="00E20157">
        <w:t xml:space="preserve">. The </w:t>
      </w:r>
      <w:r w:rsidRPr="00E20157">
        <w:rPr>
          <w:b/>
          <w:i/>
        </w:rPr>
        <w:t>interest and control information</w:t>
      </w:r>
      <w:r w:rsidRPr="00E20157">
        <w:t xml:space="preserve"> and </w:t>
      </w:r>
      <w:r w:rsidRPr="00E20157">
        <w:rPr>
          <w:b/>
          <w:i/>
        </w:rPr>
        <w:t>operational information</w:t>
      </w:r>
      <w:r w:rsidRPr="00E20157">
        <w:t xml:space="preserve"> on the </w:t>
      </w:r>
      <w:r w:rsidRPr="00E20157">
        <w:rPr>
          <w:b/>
          <w:i/>
        </w:rPr>
        <w:t>Register</w:t>
      </w:r>
      <w:r w:rsidRPr="00E20157">
        <w:t xml:space="preserve"> provides the Government with a more comprehensive understanding of how the asset and sector operates, and where there may be vulnerabilities. </w:t>
      </w:r>
      <w:r>
        <w:t>It</w:t>
      </w:r>
      <w:r w:rsidRPr="00E20157">
        <w:t xml:space="preserve"> also influences the Government’s ability to develop strategies </w:t>
      </w:r>
      <w:r w:rsidR="006D0B9F">
        <w:t xml:space="preserve">in collaboration with industry on how best </w:t>
      </w:r>
      <w:r w:rsidRPr="00E20157">
        <w:t xml:space="preserve">to mitigate or reduce </w:t>
      </w:r>
      <w:r w:rsidRPr="00E20157">
        <w:rPr>
          <w:b/>
          <w:i/>
        </w:rPr>
        <w:t>national security</w:t>
      </w:r>
      <w:r w:rsidRPr="00E20157">
        <w:t xml:space="preserve"> risk for </w:t>
      </w:r>
      <w:r w:rsidR="006D0B9F">
        <w:t xml:space="preserve">these </w:t>
      </w:r>
      <w:r w:rsidRPr="00E20157">
        <w:t>assets.</w:t>
      </w:r>
    </w:p>
    <w:p w14:paraId="31D40032" w14:textId="77777777" w:rsidR="00056AC8" w:rsidRPr="00E20157" w:rsidRDefault="00056AC8" w:rsidP="00B67462">
      <w:pPr>
        <w:pStyle w:val="ListParagraph"/>
        <w:numPr>
          <w:ilvl w:val="0"/>
          <w:numId w:val="24"/>
        </w:numPr>
        <w:shd w:val="clear" w:color="auto" w:fill="FFFFFF"/>
        <w:spacing w:after="240" w:afterAutospacing="0" w:line="256" w:lineRule="auto"/>
        <w:ind w:left="426"/>
      </w:pPr>
      <w:r w:rsidRPr="00E20157">
        <w:t>Secondly,</w:t>
      </w:r>
      <w:r>
        <w:rPr>
          <w:b/>
          <w:i/>
        </w:rPr>
        <w:t xml:space="preserve"> </w:t>
      </w:r>
      <w:r>
        <w:t xml:space="preserve">the Act includes an information-gathering power that allows the </w:t>
      </w:r>
      <w:r>
        <w:rPr>
          <w:b/>
          <w:i/>
        </w:rPr>
        <w:t xml:space="preserve">Secretary </w:t>
      </w:r>
      <w:r>
        <w:t xml:space="preserve">to request further information from </w:t>
      </w:r>
      <w:r w:rsidRPr="00E20157">
        <w:rPr>
          <w:b/>
          <w:i/>
        </w:rPr>
        <w:t>reporting entities</w:t>
      </w:r>
      <w:r>
        <w:t xml:space="preserve"> and </w:t>
      </w:r>
      <w:r w:rsidRPr="00E20157">
        <w:rPr>
          <w:b/>
          <w:i/>
        </w:rPr>
        <w:t>operators</w:t>
      </w:r>
      <w:r>
        <w:t xml:space="preserve"> of </w:t>
      </w:r>
      <w:r w:rsidRPr="00E20157">
        <w:rPr>
          <w:b/>
          <w:i/>
        </w:rPr>
        <w:t>critical infrastructure assets</w:t>
      </w:r>
      <w:r>
        <w:rPr>
          <w:b/>
          <w:i/>
        </w:rPr>
        <w:t xml:space="preserve"> </w:t>
      </w:r>
      <w:r>
        <w:t>in certain circumstances</w:t>
      </w:r>
      <w:r w:rsidRPr="00E20157">
        <w:rPr>
          <w:b/>
          <w:i/>
        </w:rPr>
        <w:t>.</w:t>
      </w:r>
      <w:r>
        <w:rPr>
          <w:b/>
          <w:i/>
        </w:rPr>
        <w:t xml:space="preserve"> </w:t>
      </w:r>
      <w:r>
        <w:t>T</w:t>
      </w:r>
      <w:r w:rsidRPr="00E20157">
        <w:t xml:space="preserve">he </w:t>
      </w:r>
      <w:r w:rsidRPr="00E20157">
        <w:rPr>
          <w:b/>
          <w:i/>
        </w:rPr>
        <w:t>Secretary</w:t>
      </w:r>
      <w:r w:rsidRPr="004B7324">
        <w:t xml:space="preserve"> can</w:t>
      </w:r>
      <w:r w:rsidRPr="00E20157">
        <w:t xml:space="preserve"> request information or documents that may be relevant to:</w:t>
      </w:r>
    </w:p>
    <w:p w14:paraId="2D185ED3" w14:textId="77777777" w:rsidR="00056AC8" w:rsidRPr="00E20157" w:rsidRDefault="00056AC8" w:rsidP="00B67462">
      <w:pPr>
        <w:pStyle w:val="ListParagraph"/>
        <w:keepNext/>
        <w:numPr>
          <w:ilvl w:val="0"/>
          <w:numId w:val="8"/>
        </w:numPr>
        <w:shd w:val="clear" w:color="auto" w:fill="FFFFFF"/>
        <w:spacing w:after="0"/>
      </w:pPr>
      <w:r w:rsidRPr="00E20157">
        <w:t xml:space="preserve">the </w:t>
      </w:r>
      <w:r w:rsidRPr="00E20157">
        <w:rPr>
          <w:b/>
          <w:i/>
        </w:rPr>
        <w:t>Secretary</w:t>
      </w:r>
      <w:r w:rsidRPr="00E20157">
        <w:t xml:space="preserve">’s duty and function to keep a </w:t>
      </w:r>
      <w:r w:rsidRPr="00E20157">
        <w:rPr>
          <w:b/>
          <w:i/>
        </w:rPr>
        <w:t>Register</w:t>
      </w:r>
      <w:r w:rsidRPr="00E20157">
        <w:t xml:space="preserve"> under clause 19 </w:t>
      </w:r>
    </w:p>
    <w:p w14:paraId="1AFA8445" w14:textId="77777777" w:rsidR="00056AC8" w:rsidRPr="00E20157" w:rsidRDefault="00056AC8" w:rsidP="00B67462">
      <w:pPr>
        <w:pStyle w:val="ListParagraph"/>
        <w:keepNext/>
        <w:numPr>
          <w:ilvl w:val="0"/>
          <w:numId w:val="8"/>
        </w:numPr>
        <w:shd w:val="clear" w:color="auto" w:fill="FFFFFF"/>
        <w:spacing w:after="0"/>
      </w:pPr>
      <w:r w:rsidRPr="00E20157">
        <w:t>the Minister’s power to issue a direction under subclause 32(2), and</w:t>
      </w:r>
    </w:p>
    <w:p w14:paraId="17B106B6" w14:textId="77777777" w:rsidR="00056AC8" w:rsidRPr="00E20157" w:rsidRDefault="00056AC8" w:rsidP="00B67462">
      <w:pPr>
        <w:pStyle w:val="ListParagraph"/>
        <w:keepNext/>
        <w:numPr>
          <w:ilvl w:val="0"/>
          <w:numId w:val="8"/>
        </w:numPr>
        <w:shd w:val="clear" w:color="auto" w:fill="FFFFFF"/>
        <w:spacing w:after="0"/>
      </w:pPr>
      <w:r w:rsidRPr="00E20157">
        <w:t xml:space="preserve">the </w:t>
      </w:r>
      <w:r w:rsidRPr="00E20157">
        <w:rPr>
          <w:b/>
          <w:i/>
        </w:rPr>
        <w:t>Secretary</w:t>
      </w:r>
      <w:r w:rsidRPr="00E20157">
        <w:t xml:space="preserve">’s power to undertake an assessment of a </w:t>
      </w:r>
      <w:r w:rsidRPr="00E20157">
        <w:rPr>
          <w:b/>
          <w:i/>
        </w:rPr>
        <w:t>critical infrastructure asset</w:t>
      </w:r>
      <w:r w:rsidRPr="00E20157">
        <w:t xml:space="preserve"> to determine if there is a </w:t>
      </w:r>
      <w:r w:rsidRPr="00E20157">
        <w:rPr>
          <w:b/>
          <w:i/>
        </w:rPr>
        <w:t>national security</w:t>
      </w:r>
      <w:r w:rsidRPr="00E20157">
        <w:t xml:space="preserve"> risk under clause 57.</w:t>
      </w:r>
    </w:p>
    <w:p w14:paraId="7D5B3E11" w14:textId="77777777" w:rsidR="00056AC8" w:rsidRPr="00E20157" w:rsidRDefault="00056AC8" w:rsidP="00B67462">
      <w:pPr>
        <w:pStyle w:val="ListParagraph"/>
        <w:numPr>
          <w:ilvl w:val="0"/>
          <w:numId w:val="24"/>
        </w:numPr>
        <w:shd w:val="clear" w:color="auto" w:fill="FFFFFF"/>
        <w:spacing w:after="240" w:afterAutospacing="0" w:line="256" w:lineRule="auto"/>
        <w:ind w:left="426"/>
      </w:pPr>
      <w:r w:rsidRPr="00E20157">
        <w:t xml:space="preserve">The information requested may include procurement plans, tender documentation, contracts, name and citizenship of board members and other documents specifying business operations. The notice may require personal information which </w:t>
      </w:r>
      <w:r>
        <w:t>engages the prohibition on arbitrary or unlawful interference with privacy</w:t>
      </w:r>
      <w:r w:rsidRPr="00E20157">
        <w:t xml:space="preserve">. </w:t>
      </w:r>
    </w:p>
    <w:p w14:paraId="30691D18" w14:textId="77777777" w:rsidR="00056AC8" w:rsidRPr="00E20157" w:rsidRDefault="00056AC8" w:rsidP="00B67462">
      <w:pPr>
        <w:pStyle w:val="ListParagraph"/>
        <w:numPr>
          <w:ilvl w:val="0"/>
          <w:numId w:val="24"/>
        </w:numPr>
        <w:shd w:val="clear" w:color="auto" w:fill="FFFFFF"/>
        <w:spacing w:after="240" w:afterAutospacing="0" w:line="256" w:lineRule="auto"/>
        <w:ind w:left="426"/>
      </w:pPr>
      <w:r w:rsidRPr="00E20157">
        <w:t xml:space="preserve">The information gathering power is limited to obtaining information or documents that are directly relevant to the purposes of the legislation, as stated in the objects of the Act, </w:t>
      </w:r>
      <w:r w:rsidRPr="00E20157">
        <w:lastRenderedPageBreak/>
        <w:t xml:space="preserve">as well as the functions, duties, powers and purposes prescribed in the Act. Any personal information collected is incidental to the key objective of developing a more detailed understanding of possible </w:t>
      </w:r>
      <w:r w:rsidRPr="00E20157">
        <w:rPr>
          <w:b/>
          <w:i/>
        </w:rPr>
        <w:t>national security</w:t>
      </w:r>
      <w:r w:rsidRPr="00E20157">
        <w:t xml:space="preserve"> risks. </w:t>
      </w:r>
    </w:p>
    <w:p w14:paraId="4B8DF291" w14:textId="77777777" w:rsidR="00056AC8" w:rsidRPr="00E20157" w:rsidRDefault="00056AC8" w:rsidP="00B67462">
      <w:pPr>
        <w:pStyle w:val="ListParagraph"/>
        <w:numPr>
          <w:ilvl w:val="0"/>
          <w:numId w:val="24"/>
        </w:numPr>
        <w:shd w:val="clear" w:color="auto" w:fill="FFFFFF"/>
        <w:spacing w:after="240" w:afterAutospacing="0" w:line="256" w:lineRule="auto"/>
        <w:ind w:left="426"/>
      </w:pPr>
      <w:r>
        <w:t>This</w:t>
      </w:r>
      <w:r w:rsidRPr="00E20157">
        <w:t xml:space="preserve"> power has been drafted with reference to the Administrative Review Council’s best practice principles for implementing and exercising information gathering powers in its 2008 report, </w:t>
      </w:r>
      <w:r w:rsidRPr="00E20157">
        <w:rPr>
          <w:i/>
        </w:rPr>
        <w:t>Coercive Information Gathering Powers of Government Agencies</w:t>
      </w:r>
      <w:r w:rsidRPr="00E20157">
        <w:t>.</w:t>
      </w:r>
    </w:p>
    <w:p w14:paraId="1F9F7E24" w14:textId="03CA1C0B" w:rsidR="00056AC8" w:rsidRPr="00E20157" w:rsidRDefault="00056AC8" w:rsidP="00B67462">
      <w:pPr>
        <w:pStyle w:val="ListParagraph"/>
        <w:numPr>
          <w:ilvl w:val="0"/>
          <w:numId w:val="24"/>
        </w:numPr>
        <w:shd w:val="clear" w:color="auto" w:fill="FFFFFF"/>
        <w:spacing w:after="240" w:afterAutospacing="0" w:line="256" w:lineRule="auto"/>
        <w:ind w:left="426"/>
      </w:pPr>
      <w:r w:rsidRPr="00E20157">
        <w:t xml:space="preserve">In practice, </w:t>
      </w:r>
      <w:r>
        <w:t>the Government agency responsible for administering the Act</w:t>
      </w:r>
      <w:r w:rsidRPr="00E20157">
        <w:t xml:space="preserve"> will engage with the relevant </w:t>
      </w:r>
      <w:r w:rsidRPr="00E20157">
        <w:rPr>
          <w:b/>
          <w:i/>
        </w:rPr>
        <w:t>entity</w:t>
      </w:r>
      <w:r w:rsidRPr="00E20157">
        <w:t xml:space="preserve"> prior to issuing a notice to discuss the nature of the information required and, if necessary, the terms of the notice. This ensures the </w:t>
      </w:r>
      <w:r w:rsidRPr="00E20157">
        <w:rPr>
          <w:b/>
          <w:i/>
        </w:rPr>
        <w:t>Secretary</w:t>
      </w:r>
      <w:r w:rsidRPr="00E20157">
        <w:t xml:space="preserve">’s notice is a proportionate response which has regard to a range of matters including the </w:t>
      </w:r>
      <w:r>
        <w:t>prohibition on arbitrary or unlawful interference with privacy</w:t>
      </w:r>
      <w:r w:rsidRPr="00E20157">
        <w:t>.</w:t>
      </w:r>
    </w:p>
    <w:p w14:paraId="44B70046" w14:textId="08E8DB3C" w:rsidR="00056AC8" w:rsidRPr="00E20157" w:rsidRDefault="00056AC8" w:rsidP="00B67462">
      <w:pPr>
        <w:pStyle w:val="ListParagraph"/>
        <w:numPr>
          <w:ilvl w:val="0"/>
          <w:numId w:val="24"/>
        </w:numPr>
        <w:shd w:val="clear" w:color="auto" w:fill="FFFFFF"/>
        <w:spacing w:after="240" w:afterAutospacing="0" w:line="256" w:lineRule="auto"/>
        <w:ind w:left="426"/>
      </w:pPr>
      <w:r w:rsidRPr="00177A6A">
        <w:t xml:space="preserve">The Government has taken sufficient steps to ensure that </w:t>
      </w:r>
      <w:r>
        <w:t>any</w:t>
      </w:r>
      <w:r w:rsidRPr="00177A6A">
        <w:t xml:space="preserve"> limitations on privacy </w:t>
      </w:r>
      <w:r>
        <w:t xml:space="preserve">imposed by these obligations and power to require information, </w:t>
      </w:r>
      <w:r w:rsidRPr="00177A6A">
        <w:t>are no more restrictive than necessary</w:t>
      </w:r>
      <w:r>
        <w:t xml:space="preserve">. Under the Act, </w:t>
      </w:r>
      <w:r w:rsidRPr="005F5244">
        <w:t xml:space="preserve">information </w:t>
      </w:r>
      <w:r w:rsidRPr="00E20157">
        <w:t>provided</w:t>
      </w:r>
      <w:r>
        <w:t xml:space="preserve"> under the </w:t>
      </w:r>
      <w:r>
        <w:rPr>
          <w:b/>
          <w:i/>
        </w:rPr>
        <w:t>Register</w:t>
      </w:r>
      <w:r>
        <w:t xml:space="preserve"> or</w:t>
      </w:r>
      <w:r w:rsidRPr="00E20157">
        <w:t xml:space="preserve"> to the </w:t>
      </w:r>
      <w:r w:rsidRPr="00E20157">
        <w:rPr>
          <w:b/>
          <w:i/>
        </w:rPr>
        <w:t>Secretary</w:t>
      </w:r>
      <w:r w:rsidRPr="005F5244">
        <w:t xml:space="preserve"> is</w:t>
      </w:r>
      <w:r w:rsidRPr="00E20157">
        <w:t xml:space="preserve"> </w:t>
      </w:r>
      <w:r w:rsidRPr="00E20157">
        <w:rPr>
          <w:b/>
          <w:i/>
        </w:rPr>
        <w:t>protected information</w:t>
      </w:r>
      <w:r>
        <w:t>. T</w:t>
      </w:r>
      <w:r w:rsidRPr="00E20157">
        <w:t xml:space="preserve">he use and disclosure </w:t>
      </w:r>
      <w:r>
        <w:t xml:space="preserve">of </w:t>
      </w:r>
      <w:r>
        <w:rPr>
          <w:b/>
          <w:i/>
        </w:rPr>
        <w:t xml:space="preserve">protected information </w:t>
      </w:r>
      <w:r w:rsidRPr="00E20157">
        <w:t xml:space="preserve">is restricted </w:t>
      </w:r>
      <w:r>
        <w:t>under</w:t>
      </w:r>
      <w:r w:rsidRPr="005F5244">
        <w:t xml:space="preserve"> Part 4, Division 3</w:t>
      </w:r>
      <w:r>
        <w:t>, Subdivision A</w:t>
      </w:r>
      <w:r w:rsidRPr="005F5244">
        <w:t xml:space="preserve"> of the Act</w:t>
      </w:r>
      <w:r w:rsidRPr="00E20157">
        <w:t xml:space="preserve">. This Division enables disclosure </w:t>
      </w:r>
      <w:r>
        <w:t xml:space="preserve">to specified classes of persons responsible </w:t>
      </w:r>
      <w:r w:rsidRPr="00E20157">
        <w:t xml:space="preserve">for </w:t>
      </w:r>
      <w:r w:rsidRPr="00E20157">
        <w:rPr>
          <w:b/>
          <w:i/>
        </w:rPr>
        <w:t>national security</w:t>
      </w:r>
      <w:r w:rsidRPr="00E20157">
        <w:t xml:space="preserve">, </w:t>
      </w:r>
      <w:r>
        <w:t xml:space="preserve">law enforcement, </w:t>
      </w:r>
      <w:r w:rsidRPr="00E20157">
        <w:t xml:space="preserve">foreign investment in Australia, taxation policy, industry policy, defence purposes or to assist regulatory bodies with oversight of any </w:t>
      </w:r>
      <w:r w:rsidRPr="00E20157">
        <w:rPr>
          <w:b/>
          <w:i/>
        </w:rPr>
        <w:t>relevant industry</w:t>
      </w:r>
      <w:r w:rsidRPr="00E20157">
        <w:t xml:space="preserve"> for the </w:t>
      </w:r>
      <w:r w:rsidRPr="00E20157">
        <w:rPr>
          <w:b/>
          <w:i/>
        </w:rPr>
        <w:t>critical infrastructure asset</w:t>
      </w:r>
      <w:r w:rsidRPr="00E20157">
        <w:t>. Part 4, Divis</w:t>
      </w:r>
      <w:r w:rsidRPr="005F5244">
        <w:t>ion 3, Subdivision B of the Act</w:t>
      </w:r>
      <w:r w:rsidRPr="00E20157">
        <w:t xml:space="preserve"> provides criminal penalties </w:t>
      </w:r>
      <w:r>
        <w:t xml:space="preserve">for unauthorised use or disclosure of </w:t>
      </w:r>
      <w:r w:rsidRPr="00E20157">
        <w:rPr>
          <w:b/>
          <w:i/>
        </w:rPr>
        <w:t>protected information</w:t>
      </w:r>
      <w:r w:rsidRPr="00E20157">
        <w:t>.</w:t>
      </w:r>
    </w:p>
    <w:p w14:paraId="3B924510" w14:textId="1C24CBCF" w:rsidR="00056AC8" w:rsidRPr="00E20157" w:rsidRDefault="00056AC8" w:rsidP="00B67462">
      <w:pPr>
        <w:pStyle w:val="ListParagraph"/>
        <w:numPr>
          <w:ilvl w:val="0"/>
          <w:numId w:val="24"/>
        </w:numPr>
        <w:shd w:val="clear" w:color="auto" w:fill="FFFFFF"/>
        <w:spacing w:after="240" w:afterAutospacing="0" w:line="256" w:lineRule="auto"/>
        <w:ind w:left="426"/>
      </w:pPr>
      <w:r w:rsidRPr="00E20157">
        <w:t>The</w:t>
      </w:r>
      <w:r w:rsidRPr="005F5244">
        <w:t xml:space="preserve"> </w:t>
      </w:r>
      <w:r>
        <w:rPr>
          <w:b/>
          <w:i/>
        </w:rPr>
        <w:t>protected information</w:t>
      </w:r>
      <w:r w:rsidRPr="00E20157">
        <w:t xml:space="preserve"> may be shared with the relevant states a</w:t>
      </w:r>
      <w:r w:rsidRPr="005F5244">
        <w:t>nd territories because it</w:t>
      </w:r>
      <w:r w:rsidRPr="00E20157">
        <w:t xml:space="preserve"> may have broader policy implicat</w:t>
      </w:r>
      <w:r w:rsidRPr="005F5244">
        <w:t>ions for jurisdictions.  For example</w:t>
      </w:r>
      <w:r>
        <w:t xml:space="preserve">, it may impact </w:t>
      </w:r>
      <w:r w:rsidR="00154BE3">
        <w:t xml:space="preserve">the </w:t>
      </w:r>
      <w:r w:rsidRPr="00E20157">
        <w:rPr>
          <w:b/>
          <w:i/>
        </w:rPr>
        <w:t>security</w:t>
      </w:r>
      <w:r w:rsidRPr="00E20157">
        <w:t xml:space="preserve"> and resilience of </w:t>
      </w:r>
      <w:r w:rsidRPr="00E20157">
        <w:rPr>
          <w:b/>
          <w:i/>
        </w:rPr>
        <w:t>critical infrastructure assets</w:t>
      </w:r>
      <w:r w:rsidRPr="00E20157">
        <w:t xml:space="preserve"> critical for their jurisdiction. This acknowledges that the states and territories, as owners and regulators of </w:t>
      </w:r>
      <w:r w:rsidRPr="00E20157">
        <w:rPr>
          <w:b/>
          <w:i/>
        </w:rPr>
        <w:t>critical infrastructure assets</w:t>
      </w:r>
      <w:r w:rsidRPr="00E20157">
        <w:t xml:space="preserve"> share the responsibility with the Government to manage </w:t>
      </w:r>
      <w:r w:rsidRPr="00E20157">
        <w:rPr>
          <w:b/>
          <w:i/>
        </w:rPr>
        <w:t>national security</w:t>
      </w:r>
      <w:r w:rsidRPr="00E20157">
        <w:t xml:space="preserve"> risks.</w:t>
      </w:r>
    </w:p>
    <w:p w14:paraId="75704329" w14:textId="77777777" w:rsidR="00056AC8" w:rsidRDefault="00056AC8" w:rsidP="00B67462">
      <w:pPr>
        <w:pStyle w:val="ListParagraph"/>
        <w:numPr>
          <w:ilvl w:val="0"/>
          <w:numId w:val="24"/>
        </w:numPr>
        <w:shd w:val="clear" w:color="auto" w:fill="FFFFFF"/>
        <w:spacing w:after="240" w:afterAutospacing="0" w:line="256" w:lineRule="auto"/>
        <w:ind w:left="426"/>
      </w:pPr>
      <w:r w:rsidRPr="00E20157">
        <w:t xml:space="preserve">Further, safeguards for the protection of personal information specified in the Australian Privacy Principles (APPs) under the </w:t>
      </w:r>
      <w:r w:rsidRPr="00E20157">
        <w:rPr>
          <w:i/>
          <w:iCs/>
        </w:rPr>
        <w:t xml:space="preserve">Privacy Act 1988 </w:t>
      </w:r>
      <w:r w:rsidRPr="00E20157">
        <w:t xml:space="preserve">will apply to </w:t>
      </w:r>
      <w:r w:rsidRPr="00E20157">
        <w:rPr>
          <w:b/>
          <w:i/>
        </w:rPr>
        <w:t>interest and control information</w:t>
      </w:r>
      <w:r w:rsidRPr="00E20157">
        <w:t xml:space="preserve">, and </w:t>
      </w:r>
      <w:r w:rsidRPr="00E20157">
        <w:rPr>
          <w:b/>
          <w:i/>
        </w:rPr>
        <w:t>operational information</w:t>
      </w:r>
      <w:r w:rsidRPr="00E20157">
        <w:t xml:space="preserve"> gathered und</w:t>
      </w:r>
      <w:r w:rsidRPr="005F5244">
        <w:t>er Part 2 and Part 4 of the Act</w:t>
      </w:r>
      <w:r w:rsidRPr="00E20157">
        <w:t xml:space="preserve">. This includes requirements regarding the </w:t>
      </w:r>
      <w:r w:rsidRPr="00E20157">
        <w:rPr>
          <w:b/>
          <w:i/>
        </w:rPr>
        <w:t>security</w:t>
      </w:r>
      <w:r w:rsidRPr="00E20157">
        <w:t xml:space="preserve"> of personal information specified under Australian Privacy Principle 11 and requirements regarding use or disclosure under Australian Privacy Principle 6.</w:t>
      </w:r>
      <w:r w:rsidRPr="00C9767E">
        <w:t xml:space="preserve"> </w:t>
      </w:r>
    </w:p>
    <w:p w14:paraId="6ECD7F9E" w14:textId="77777777" w:rsidR="00056AC8" w:rsidRPr="007F2051" w:rsidRDefault="00056AC8" w:rsidP="00056AC8">
      <w:pPr>
        <w:spacing w:before="120" w:after="120"/>
        <w:rPr>
          <w:rFonts w:ascii="Times New Roman" w:hAnsi="Times New Roman"/>
          <w:b/>
          <w:i/>
          <w:sz w:val="24"/>
          <w:szCs w:val="24"/>
        </w:rPr>
      </w:pPr>
      <w:r w:rsidRPr="007F2051">
        <w:rPr>
          <w:rFonts w:ascii="Times New Roman" w:hAnsi="Times New Roman"/>
          <w:b/>
          <w:i/>
          <w:sz w:val="24"/>
          <w:szCs w:val="24"/>
        </w:rPr>
        <w:t>Right to a fair trial and fair hearing – Article 14 of the ICCPR</w:t>
      </w:r>
    </w:p>
    <w:p w14:paraId="5CA5B6D3" w14:textId="77777777" w:rsidR="00056AC8" w:rsidRPr="007F2051" w:rsidRDefault="00056AC8" w:rsidP="00B67462">
      <w:pPr>
        <w:pStyle w:val="ListParagraph"/>
        <w:numPr>
          <w:ilvl w:val="0"/>
          <w:numId w:val="24"/>
        </w:numPr>
        <w:shd w:val="clear" w:color="auto" w:fill="FFFFFF"/>
        <w:spacing w:after="240" w:afterAutospacing="0" w:line="256" w:lineRule="auto"/>
        <w:ind w:left="426"/>
      </w:pPr>
      <w:r w:rsidRPr="007F2051">
        <w:t>Article 14 of the ICCPR provides for</w:t>
      </w:r>
      <w:r>
        <w:t xml:space="preserve"> the</w:t>
      </w:r>
      <w:r w:rsidRPr="007F2051">
        <w:t xml:space="preserve"> right of protection against self-incrimination. </w:t>
      </w:r>
    </w:p>
    <w:p w14:paraId="5C63A22E" w14:textId="77777777" w:rsidR="00056AC8" w:rsidRPr="004B14CD" w:rsidRDefault="00056AC8" w:rsidP="00B67462">
      <w:pPr>
        <w:pStyle w:val="ListParagraph"/>
        <w:numPr>
          <w:ilvl w:val="0"/>
          <w:numId w:val="24"/>
        </w:numPr>
        <w:shd w:val="clear" w:color="auto" w:fill="FFFFFF"/>
        <w:spacing w:after="240" w:afterAutospacing="0" w:line="256" w:lineRule="auto"/>
        <w:ind w:left="426"/>
      </w:pPr>
      <w:r>
        <w:t>Section</w:t>
      </w:r>
      <w:r w:rsidRPr="00A26D42">
        <w:t xml:space="preserve"> 40 </w:t>
      </w:r>
      <w:r>
        <w:t xml:space="preserve">of the Act </w:t>
      </w:r>
      <w:r w:rsidRPr="00A26D42">
        <w:t xml:space="preserve">requires an </w:t>
      </w:r>
      <w:r w:rsidRPr="00A26D42">
        <w:rPr>
          <w:b/>
          <w:i/>
        </w:rPr>
        <w:t>entity</w:t>
      </w:r>
      <w:r w:rsidRPr="00A26D42">
        <w:t xml:space="preserve"> to abide with a notice under the </w:t>
      </w:r>
      <w:r w:rsidRPr="00A26D42">
        <w:rPr>
          <w:b/>
          <w:i/>
        </w:rPr>
        <w:t>Secretary</w:t>
      </w:r>
      <w:r w:rsidRPr="00A26D42">
        <w:t xml:space="preserve">’s </w:t>
      </w:r>
      <w:bookmarkStart w:id="1" w:name="_GoBack"/>
      <w:bookmarkEnd w:id="1"/>
      <w:r w:rsidRPr="00A26D42">
        <w:t xml:space="preserve">information gathering power even if it exposes the person (an individual or a body </w:t>
      </w:r>
      <w:r w:rsidRPr="00A26D42">
        <w:lastRenderedPageBreak/>
        <w:t xml:space="preserve">corporate) to criminal or civil liability. </w:t>
      </w:r>
      <w:r>
        <w:t xml:space="preserve">This power will apply to the </w:t>
      </w:r>
      <w:r>
        <w:rPr>
          <w:b/>
          <w:i/>
        </w:rPr>
        <w:t xml:space="preserve">reporting entities </w:t>
      </w:r>
      <w:r>
        <w:t xml:space="preserve">and </w:t>
      </w:r>
      <w:r>
        <w:rPr>
          <w:b/>
          <w:i/>
        </w:rPr>
        <w:t xml:space="preserve">operators </w:t>
      </w:r>
      <w:r>
        <w:t xml:space="preserve">of those </w:t>
      </w:r>
      <w:r w:rsidRPr="004B14CD">
        <w:t>electricity generation and gas transmission assets</w:t>
      </w:r>
      <w:r>
        <w:t xml:space="preserve"> which meet the specific thresholds or are specifically listed in the Rules</w:t>
      </w:r>
      <w:r>
        <w:rPr>
          <w:b/>
          <w:i/>
        </w:rPr>
        <w:t>.</w:t>
      </w:r>
    </w:p>
    <w:p w14:paraId="75519D44" w14:textId="77777777" w:rsidR="00056AC8" w:rsidRPr="00A26D42" w:rsidRDefault="00056AC8" w:rsidP="00B67462">
      <w:pPr>
        <w:pStyle w:val="ListParagraph"/>
        <w:numPr>
          <w:ilvl w:val="0"/>
          <w:numId w:val="24"/>
        </w:numPr>
        <w:shd w:val="clear" w:color="auto" w:fill="FFFFFF"/>
        <w:spacing w:after="240" w:afterAutospacing="0" w:line="256" w:lineRule="auto"/>
        <w:ind w:left="426"/>
      </w:pPr>
      <w:r>
        <w:t>The information gathering power</w:t>
      </w:r>
      <w:r w:rsidRPr="00A26D42">
        <w:t xml:space="preserve"> has been modelled on the </w:t>
      </w:r>
      <w:r w:rsidRPr="00A26D42">
        <w:rPr>
          <w:i/>
        </w:rPr>
        <w:t>Evidence Act 1995</w:t>
      </w:r>
      <w:r w:rsidRPr="00A26D42">
        <w:t xml:space="preserve">, which abolishes the privilege against self-incrimination for bodies corporate, including where the body corporate is required to answer a question, give information or produce a document under a law of the Commonwealth. </w:t>
      </w:r>
    </w:p>
    <w:p w14:paraId="570B42BF" w14:textId="77777777" w:rsidR="00056AC8" w:rsidRPr="00A26D42" w:rsidRDefault="00056AC8" w:rsidP="00B67462">
      <w:pPr>
        <w:pStyle w:val="ListParagraph"/>
        <w:numPr>
          <w:ilvl w:val="0"/>
          <w:numId w:val="24"/>
        </w:numPr>
        <w:shd w:val="clear" w:color="auto" w:fill="FFFFFF"/>
        <w:spacing w:after="240" w:afterAutospacing="0" w:line="256" w:lineRule="auto"/>
        <w:ind w:left="426"/>
        <w:rPr>
          <w:b/>
        </w:rPr>
      </w:pPr>
      <w:r w:rsidRPr="00A26D42">
        <w:t>However, sub</w:t>
      </w:r>
      <w:r>
        <w:t>section</w:t>
      </w:r>
      <w:r w:rsidRPr="00A26D42">
        <w:t xml:space="preserve"> 40(2) </w:t>
      </w:r>
      <w:r>
        <w:t xml:space="preserve">of the Act </w:t>
      </w:r>
      <w:r w:rsidRPr="00A26D42">
        <w:t xml:space="preserve">provides broad protections for individuals against criminal or civil proceedings if the information is self-incriminating. It clarifies that the documents or information cannot be used in evidence in any criminal or civil proceedings against the individual with the exception of Commonwealth criminal proceedings for providing false or misleading information or documents or civil proceedings to recover a penalty for non-compliance with the exercise of the information gathering power itself. This does not prevent the information or document being used if obtained through means unrelated to </w:t>
      </w:r>
      <w:r>
        <w:t>the</w:t>
      </w:r>
      <w:r w:rsidRPr="00A26D42">
        <w:t xml:space="preserve"> </w:t>
      </w:r>
      <w:r>
        <w:t>Act</w:t>
      </w:r>
      <w:r w:rsidRPr="00A26D42">
        <w:t>.</w:t>
      </w:r>
    </w:p>
    <w:p w14:paraId="660C7BC4" w14:textId="77777777" w:rsidR="00056AC8" w:rsidRPr="007F2051" w:rsidRDefault="00056AC8" w:rsidP="00056AC8">
      <w:pPr>
        <w:spacing w:before="240" w:after="0"/>
        <w:rPr>
          <w:rFonts w:ascii="Times New Roman" w:hAnsi="Times New Roman"/>
          <w:b/>
          <w:sz w:val="24"/>
          <w:szCs w:val="24"/>
        </w:rPr>
      </w:pPr>
      <w:r w:rsidRPr="007F2051">
        <w:rPr>
          <w:rFonts w:ascii="Times New Roman" w:hAnsi="Times New Roman"/>
          <w:b/>
          <w:sz w:val="24"/>
          <w:szCs w:val="24"/>
        </w:rPr>
        <w:t xml:space="preserve">Conclusion </w:t>
      </w:r>
    </w:p>
    <w:p w14:paraId="07F4FB01" w14:textId="77777777" w:rsidR="00056AC8" w:rsidRDefault="00056AC8" w:rsidP="00B67462">
      <w:pPr>
        <w:pStyle w:val="ListParagraph"/>
        <w:numPr>
          <w:ilvl w:val="0"/>
          <w:numId w:val="24"/>
        </w:numPr>
        <w:shd w:val="clear" w:color="auto" w:fill="FFFFFF"/>
        <w:spacing w:after="240" w:afterAutospacing="0" w:line="256" w:lineRule="auto"/>
        <w:ind w:left="426"/>
      </w:pPr>
      <w:r>
        <w:t xml:space="preserve">The Rules </w:t>
      </w:r>
      <w:r w:rsidRPr="00B41012">
        <w:t xml:space="preserve">are compatible </w:t>
      </w:r>
      <w:r>
        <w:t xml:space="preserve">with the applicable </w:t>
      </w:r>
      <w:r w:rsidRPr="00B41012">
        <w:t xml:space="preserve">human rights and freedoms recognised or declared in the international instruments listed in the definition of human rights in section 3 of the </w:t>
      </w:r>
      <w:r w:rsidRPr="00B41012">
        <w:rPr>
          <w:i/>
        </w:rPr>
        <w:t>Human Rights (Parliamentary Scrutiny) Act 2011</w:t>
      </w:r>
      <w:r w:rsidRPr="00B41012">
        <w:t xml:space="preserve">. </w:t>
      </w:r>
      <w:r>
        <w:t>Specifically, the Rules are</w:t>
      </w:r>
      <w:r w:rsidRPr="00D664E6">
        <w:t xml:space="preserve"> compatible with human rights because</w:t>
      </w:r>
      <w:r>
        <w:t xml:space="preserve"> it protects the prohibition on arbitrary or unlawful interference with privacy </w:t>
      </w:r>
      <w:r w:rsidRPr="001B6609">
        <w:t>under</w:t>
      </w:r>
      <w:r>
        <w:t xml:space="preserve"> Article 17 of the ICCPR</w:t>
      </w:r>
    </w:p>
    <w:p w14:paraId="5C4DFEF2" w14:textId="77777777" w:rsidR="00056AC8" w:rsidRPr="00D664E6" w:rsidRDefault="00056AC8" w:rsidP="00B67462">
      <w:pPr>
        <w:pStyle w:val="ListParagraph"/>
        <w:numPr>
          <w:ilvl w:val="0"/>
          <w:numId w:val="24"/>
        </w:numPr>
        <w:shd w:val="clear" w:color="auto" w:fill="FFFFFF"/>
        <w:spacing w:after="240" w:afterAutospacing="0" w:line="256" w:lineRule="auto"/>
        <w:ind w:left="426"/>
      </w:pPr>
      <w:r w:rsidRPr="00B41012">
        <w:t>To the extent that th</w:t>
      </w:r>
      <w:r>
        <w:t>e</w:t>
      </w:r>
      <w:r w:rsidRPr="00B41012">
        <w:t xml:space="preserve"> measures </w:t>
      </w:r>
      <w:r>
        <w:t xml:space="preserve">in the Rules </w:t>
      </w:r>
      <w:r w:rsidRPr="00B41012">
        <w:t>may limit those rights and freedoms</w:t>
      </w:r>
      <w:r>
        <w:t xml:space="preserve"> </w:t>
      </w:r>
      <w:r w:rsidRPr="001B6609">
        <w:t>under</w:t>
      </w:r>
      <w:r>
        <w:t xml:space="preserve"> Article 17 of the ICCPR</w:t>
      </w:r>
      <w:r w:rsidRPr="00B41012">
        <w:t xml:space="preserve">, such limitations are reasonable, necessary and proportionate in achieving the </w:t>
      </w:r>
      <w:r>
        <w:t xml:space="preserve">legitimate objectives of managing </w:t>
      </w:r>
      <w:r>
        <w:rPr>
          <w:b/>
          <w:i/>
        </w:rPr>
        <w:t xml:space="preserve">national security </w:t>
      </w:r>
      <w:r>
        <w:t xml:space="preserve">risks from foreign involvement in </w:t>
      </w:r>
      <w:r>
        <w:rPr>
          <w:b/>
          <w:i/>
        </w:rPr>
        <w:t xml:space="preserve">critical </w:t>
      </w:r>
      <w:r w:rsidRPr="007F29E7">
        <w:rPr>
          <w:b/>
          <w:i/>
        </w:rPr>
        <w:t>infrastructure assets</w:t>
      </w:r>
      <w:r>
        <w:t>.</w:t>
      </w:r>
      <w:r w:rsidRPr="00D664E6">
        <w:t xml:space="preserve"> </w:t>
      </w:r>
      <w:r w:rsidDel="008D6C26">
        <w:t xml:space="preserve"> </w:t>
      </w:r>
      <w:r w:rsidRPr="00D664E6">
        <w:t xml:space="preserve"> </w:t>
      </w:r>
    </w:p>
    <w:p w14:paraId="373A82D9" w14:textId="77777777" w:rsidR="00056AC8" w:rsidRPr="00D664E6" w:rsidRDefault="00056AC8" w:rsidP="00056AC8">
      <w:pPr>
        <w:spacing w:before="120" w:after="120"/>
        <w:rPr>
          <w:rFonts w:ascii="Times New Roman" w:hAnsi="Times New Roman"/>
          <w:sz w:val="24"/>
          <w:szCs w:val="24"/>
        </w:rPr>
      </w:pPr>
    </w:p>
    <w:p w14:paraId="5ABA9F1D" w14:textId="77777777" w:rsidR="00056AC8" w:rsidRPr="00D664E6" w:rsidRDefault="00056AC8" w:rsidP="00056AC8">
      <w:pPr>
        <w:spacing w:before="120" w:after="120"/>
        <w:jc w:val="center"/>
        <w:rPr>
          <w:rFonts w:ascii="Times New Roman" w:hAnsi="Times New Roman"/>
          <w:sz w:val="24"/>
          <w:szCs w:val="24"/>
        </w:rPr>
      </w:pPr>
    </w:p>
    <w:p w14:paraId="44770509" w14:textId="77777777" w:rsidR="00056AC8" w:rsidRPr="00D664E6" w:rsidRDefault="00056AC8" w:rsidP="00056AC8">
      <w:pPr>
        <w:spacing w:before="120" w:after="120"/>
        <w:jc w:val="center"/>
        <w:rPr>
          <w:rFonts w:ascii="Times New Roman" w:hAnsi="Times New Roman"/>
          <w:b/>
          <w:sz w:val="24"/>
          <w:szCs w:val="24"/>
        </w:rPr>
      </w:pPr>
      <w:r w:rsidRPr="00D664E6">
        <w:rPr>
          <w:rFonts w:ascii="Times New Roman" w:hAnsi="Times New Roman"/>
          <w:b/>
          <w:sz w:val="24"/>
          <w:szCs w:val="24"/>
        </w:rPr>
        <w:t>[</w:t>
      </w:r>
      <w:r>
        <w:rPr>
          <w:rFonts w:ascii="Times New Roman" w:hAnsi="Times New Roman"/>
          <w:b/>
          <w:sz w:val="24"/>
          <w:szCs w:val="24"/>
        </w:rPr>
        <w:t>The Honourable Peter Dutton MP, Minister for Home Affairs and the Minister for Immigration and Border Protection</w:t>
      </w:r>
      <w:r w:rsidRPr="00D664E6">
        <w:rPr>
          <w:rFonts w:ascii="Times New Roman" w:hAnsi="Times New Roman"/>
          <w:b/>
          <w:sz w:val="24"/>
          <w:szCs w:val="24"/>
        </w:rPr>
        <w:t>]</w:t>
      </w:r>
    </w:p>
    <w:p w14:paraId="2508FA85" w14:textId="77777777" w:rsidR="00056AC8" w:rsidRPr="00D664E6" w:rsidRDefault="00056AC8" w:rsidP="00056AC8">
      <w:pPr>
        <w:pStyle w:val="Header"/>
        <w:pBdr>
          <w:top w:val="single" w:sz="4" w:space="1" w:color="auto"/>
          <w:left w:val="single" w:sz="4" w:space="0" w:color="auto"/>
          <w:bottom w:val="single" w:sz="4" w:space="1" w:color="auto"/>
          <w:right w:val="single" w:sz="4" w:space="4" w:color="auto"/>
        </w:pBdr>
        <w:jc w:val="both"/>
        <w:rPr>
          <w:rFonts w:ascii="Times New Roman" w:hAnsi="Times New Roman"/>
          <w:sz w:val="24"/>
          <w:szCs w:val="24"/>
        </w:rPr>
      </w:pPr>
      <w:r w:rsidRPr="00D664E6">
        <w:rPr>
          <w:rFonts w:ascii="Times New Roman" w:hAnsi="Times New Roman"/>
          <w:sz w:val="24"/>
          <w:szCs w:val="24"/>
        </w:rPr>
        <w:t xml:space="preserve">This material is provided to persons who have a role in Commonwealth legislation, policy and programs as general guidance only and is not to be relied upon as legal advice.  Commonwealth agencies subject to the </w:t>
      </w:r>
      <w:r w:rsidRPr="00D664E6">
        <w:rPr>
          <w:rFonts w:ascii="Times New Roman" w:hAnsi="Times New Roman"/>
          <w:i/>
          <w:iCs/>
          <w:sz w:val="24"/>
          <w:szCs w:val="24"/>
        </w:rPr>
        <w:t>Legal Services Directions 2005</w:t>
      </w:r>
      <w:r w:rsidRPr="00D664E6">
        <w:rPr>
          <w:rFonts w:ascii="Times New Roman" w:hAnsi="Times New Roman"/>
          <w:iCs/>
          <w:sz w:val="24"/>
          <w:szCs w:val="24"/>
        </w:rPr>
        <w:t> </w:t>
      </w:r>
      <w:r w:rsidRPr="00D664E6">
        <w:rPr>
          <w:rFonts w:ascii="Times New Roman" w:hAnsi="Times New Roman"/>
          <w:sz w:val="24"/>
          <w:szCs w:val="24"/>
        </w:rPr>
        <w:t xml:space="preserve">requiring legal advice in relation to matters raised in connection with this template must seek that advice in accordance with the </w:t>
      </w:r>
      <w:r w:rsidRPr="00D664E6">
        <w:rPr>
          <w:rFonts w:ascii="Times New Roman" w:hAnsi="Times New Roman"/>
          <w:i/>
          <w:iCs/>
          <w:sz w:val="24"/>
          <w:szCs w:val="24"/>
        </w:rPr>
        <w:t>Directions</w:t>
      </w:r>
      <w:r w:rsidRPr="00D664E6">
        <w:rPr>
          <w:rFonts w:ascii="Times New Roman" w:hAnsi="Times New Roman"/>
          <w:sz w:val="24"/>
          <w:szCs w:val="24"/>
        </w:rPr>
        <w:t>.</w:t>
      </w:r>
    </w:p>
    <w:p w14:paraId="647F8865" w14:textId="77777777" w:rsidR="00056AC8" w:rsidRDefault="00056AC8" w:rsidP="00056AC8"/>
    <w:p w14:paraId="0BA080DB" w14:textId="77777777" w:rsidR="00056AC8" w:rsidRDefault="00056AC8" w:rsidP="00056AC8"/>
    <w:p w14:paraId="592C95D4" w14:textId="1FB14F76" w:rsidR="00071D2D" w:rsidRPr="003C5A03" w:rsidRDefault="00154BE3" w:rsidP="003C5A03">
      <w:bookmarkStart w:id="2" w:name="BK_S3P3L26C42"/>
      <w:bookmarkEnd w:id="2"/>
    </w:p>
    <w:sectPr w:rsidR="00071D2D" w:rsidRPr="003C5A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934F8" w14:textId="77777777" w:rsidR="00A60DFD" w:rsidRDefault="00A60DFD" w:rsidP="00A60DFD">
      <w:pPr>
        <w:spacing w:after="0" w:line="240" w:lineRule="auto"/>
      </w:pPr>
      <w:r>
        <w:separator/>
      </w:r>
    </w:p>
  </w:endnote>
  <w:endnote w:type="continuationSeparator" w:id="0">
    <w:p w14:paraId="31CBE7B1" w14:textId="77777777" w:rsidR="00A60DFD" w:rsidRDefault="00A60DFD" w:rsidP="00A6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61770"/>
      <w:docPartObj>
        <w:docPartGallery w:val="Page Numbers (Bottom of Page)"/>
        <w:docPartUnique/>
      </w:docPartObj>
    </w:sdtPr>
    <w:sdtEndPr>
      <w:rPr>
        <w:noProof/>
      </w:rPr>
    </w:sdtEndPr>
    <w:sdtContent>
      <w:p w14:paraId="2828AB9B" w14:textId="6AC6F860" w:rsidR="00A60DFD" w:rsidRDefault="00A60DFD">
        <w:pPr>
          <w:pStyle w:val="Footer"/>
          <w:jc w:val="right"/>
        </w:pPr>
        <w:r>
          <w:fldChar w:fldCharType="begin"/>
        </w:r>
        <w:r>
          <w:instrText xml:space="preserve"> PAGE   \* MERGEFORMAT </w:instrText>
        </w:r>
        <w:r>
          <w:fldChar w:fldCharType="separate"/>
        </w:r>
        <w:r w:rsidR="00154BE3">
          <w:rPr>
            <w:noProof/>
          </w:rPr>
          <w:t>16</w:t>
        </w:r>
        <w:r>
          <w:rPr>
            <w:noProof/>
          </w:rPr>
          <w:fldChar w:fldCharType="end"/>
        </w:r>
      </w:p>
    </w:sdtContent>
  </w:sdt>
  <w:p w14:paraId="280C5A1B" w14:textId="77777777" w:rsidR="00A60DFD" w:rsidRDefault="00A6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D217" w14:textId="77777777" w:rsidR="00A60DFD" w:rsidRDefault="00A60DFD" w:rsidP="00A60DFD">
      <w:pPr>
        <w:spacing w:after="0" w:line="240" w:lineRule="auto"/>
      </w:pPr>
      <w:r>
        <w:separator/>
      </w:r>
    </w:p>
  </w:footnote>
  <w:footnote w:type="continuationSeparator" w:id="0">
    <w:p w14:paraId="7AF68A06" w14:textId="77777777" w:rsidR="00A60DFD" w:rsidRDefault="00A60DFD" w:rsidP="00A60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427C3C55"/>
    <w:lvl w:ilvl="0" w:tplc="5AB0AC6A">
      <w:numFmt w:val="decimal"/>
      <w:pStyle w:val="Bullet1"/>
      <w:lvlText w:val=""/>
      <w:lvlJc w:val="left"/>
      <w:pPr>
        <w:ind w:left="0" w:firstLine="0"/>
      </w:pPr>
    </w:lvl>
    <w:lvl w:ilvl="1" w:tplc="075E160A">
      <w:numFmt w:val="decimal"/>
      <w:pStyle w:val="Bullet2"/>
      <w:lvlText w:val=""/>
      <w:lvlJc w:val="left"/>
      <w:pPr>
        <w:ind w:left="0" w:firstLine="0"/>
      </w:pPr>
    </w:lvl>
    <w:lvl w:ilvl="2" w:tplc="DE526F30">
      <w:numFmt w:val="decimal"/>
      <w:pStyle w:val="Bullet3"/>
      <w:lvlText w:val=""/>
      <w:lvlJc w:val="left"/>
      <w:pPr>
        <w:ind w:left="0" w:firstLine="0"/>
      </w:pPr>
    </w:lvl>
    <w:lvl w:ilvl="3" w:tplc="F8F0CF12">
      <w:numFmt w:val="decimal"/>
      <w:lvlText w:val=""/>
      <w:lvlJc w:val="left"/>
      <w:pPr>
        <w:ind w:left="0" w:firstLine="0"/>
      </w:pPr>
    </w:lvl>
    <w:lvl w:ilvl="4" w:tplc="677EC648">
      <w:numFmt w:val="decimal"/>
      <w:lvlText w:val=""/>
      <w:lvlJc w:val="left"/>
      <w:pPr>
        <w:ind w:left="0" w:firstLine="0"/>
      </w:pPr>
    </w:lvl>
    <w:lvl w:ilvl="5" w:tplc="33EAE3D6">
      <w:numFmt w:val="decimal"/>
      <w:lvlText w:val=""/>
      <w:lvlJc w:val="left"/>
      <w:pPr>
        <w:ind w:left="0" w:firstLine="0"/>
      </w:pPr>
    </w:lvl>
    <w:lvl w:ilvl="6" w:tplc="2A3A7BF6">
      <w:numFmt w:val="decimal"/>
      <w:lvlText w:val=""/>
      <w:lvlJc w:val="left"/>
      <w:pPr>
        <w:ind w:left="0" w:firstLine="0"/>
      </w:pPr>
    </w:lvl>
    <w:lvl w:ilvl="7" w:tplc="0AFA5750">
      <w:numFmt w:val="decimal"/>
      <w:lvlText w:val=""/>
      <w:lvlJc w:val="left"/>
      <w:pPr>
        <w:ind w:left="0" w:firstLine="0"/>
      </w:pPr>
    </w:lvl>
    <w:lvl w:ilvl="8" w:tplc="FB28BA72">
      <w:numFmt w:val="decimal"/>
      <w:lvlText w:val=""/>
      <w:lvlJc w:val="left"/>
      <w:pPr>
        <w:ind w:left="0" w:firstLine="0"/>
      </w:pPr>
    </w:lvl>
  </w:abstractNum>
  <w:abstractNum w:abstractNumId="1" w15:restartNumberingAfterBreak="0">
    <w:nsid w:val="0B711BEF"/>
    <w:multiLevelType w:val="hybridMultilevel"/>
    <w:tmpl w:val="BF188D12"/>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E0B7B5F"/>
    <w:multiLevelType w:val="hybridMultilevel"/>
    <w:tmpl w:val="855A6638"/>
    <w:lvl w:ilvl="0" w:tplc="471C586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5969D8"/>
    <w:multiLevelType w:val="hybridMultilevel"/>
    <w:tmpl w:val="472A63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B66CB9"/>
    <w:multiLevelType w:val="hybridMultilevel"/>
    <w:tmpl w:val="61E8885A"/>
    <w:lvl w:ilvl="0" w:tplc="82B61D06">
      <w:start w:val="1"/>
      <w:numFmt w:val="bullet"/>
      <w:lvlText w:val="-"/>
      <w:lvlJc w:val="left"/>
      <w:pPr>
        <w:ind w:left="2160" w:hanging="360"/>
      </w:pPr>
      <w:rPr>
        <w:rFonts w:ascii="Times New Roman" w:eastAsia="Times New Roman" w:hAnsi="Times New Roman" w:cs="Times New Roman"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AAE1496"/>
    <w:multiLevelType w:val="hybridMultilevel"/>
    <w:tmpl w:val="700AAA3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BE123F7"/>
    <w:multiLevelType w:val="hybridMultilevel"/>
    <w:tmpl w:val="9A80C774"/>
    <w:lvl w:ilvl="0" w:tplc="284EB5EC">
      <w:start w:val="1"/>
      <w:numFmt w:val="decimal"/>
      <w:lvlText w:val="%1."/>
      <w:lvlJc w:val="left"/>
      <w:pPr>
        <w:ind w:left="720" w:hanging="360"/>
      </w:pPr>
      <w:rPr>
        <w:rFonts w:ascii="Times New Roman" w:hAnsi="Times New Roman" w:cs="Times New Roman" w:hint="default"/>
        <w:b w:val="0"/>
        <w:color w:val="auto"/>
        <w:sz w:val="24"/>
      </w:rPr>
    </w:lvl>
    <w:lvl w:ilvl="1" w:tplc="3CB2C9C4">
      <w:start w:val="1"/>
      <w:numFmt w:val="lowerLetter"/>
      <w:lvlText w:val="%2."/>
      <w:lvlJc w:val="left"/>
      <w:pPr>
        <w:ind w:left="1440" w:hanging="360"/>
      </w:pPr>
      <w:rPr>
        <w:rFonts w:ascii="Times New Roman" w:hAnsi="Times New Roman"/>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F12FA3"/>
    <w:multiLevelType w:val="hybridMultilevel"/>
    <w:tmpl w:val="2C180336"/>
    <w:lvl w:ilvl="0" w:tplc="83F0EE94">
      <w:start w:val="1"/>
      <w:numFmt w:val="bullet"/>
      <w:pStyle w:val="Dotpoints"/>
      <w:lvlText w:val=""/>
      <w:lvlJc w:val="left"/>
      <w:pPr>
        <w:ind w:left="1434" w:hanging="360"/>
      </w:pPr>
      <w:rPr>
        <w:rFonts w:ascii="Symbol" w:hAnsi="Symbol" w:hint="default"/>
        <w:color w:val="auto"/>
        <w:sz w:val="22"/>
        <w:szCs w:val="22"/>
      </w:rPr>
    </w:lvl>
    <w:lvl w:ilvl="1" w:tplc="0C090001">
      <w:start w:val="1"/>
      <w:numFmt w:val="bullet"/>
      <w:lvlText w:val=""/>
      <w:lvlJc w:val="left"/>
      <w:pPr>
        <w:ind w:left="1500" w:hanging="360"/>
      </w:pPr>
      <w:rPr>
        <w:rFonts w:ascii="Symbol" w:hAnsi="Symbol" w:hint="default"/>
      </w:rPr>
    </w:lvl>
    <w:lvl w:ilvl="2" w:tplc="D90ACCF4">
      <w:start w:val="1"/>
      <w:numFmt w:val="bullet"/>
      <w:pStyle w:val="Dotpoint-sub"/>
      <w:lvlText w:val="­"/>
      <w:lvlJc w:val="left"/>
      <w:pPr>
        <w:ind w:left="1925" w:hanging="360"/>
      </w:pPr>
      <w:rPr>
        <w:rFonts w:ascii="Courier New" w:hAnsi="Courier New" w:hint="default"/>
        <w:color w:val="auto"/>
      </w:rPr>
    </w:lvl>
    <w:lvl w:ilvl="3" w:tplc="0C090003">
      <w:start w:val="1"/>
      <w:numFmt w:val="bullet"/>
      <w:lvlText w:val="o"/>
      <w:lvlJc w:val="left"/>
      <w:pPr>
        <w:ind w:left="3594" w:hanging="360"/>
      </w:pPr>
      <w:rPr>
        <w:rFonts w:ascii="Courier New" w:hAnsi="Courier New" w:cs="Courier New" w:hint="default"/>
      </w:rPr>
    </w:lvl>
    <w:lvl w:ilvl="4" w:tplc="0C090003">
      <w:start w:val="1"/>
      <w:numFmt w:val="bullet"/>
      <w:lvlText w:val="o"/>
      <w:lvlJc w:val="left"/>
      <w:pPr>
        <w:ind w:left="4314" w:hanging="360"/>
      </w:pPr>
      <w:rPr>
        <w:rFonts w:ascii="Courier New" w:hAnsi="Courier New" w:cs="Courier New" w:hint="default"/>
      </w:rPr>
    </w:lvl>
    <w:lvl w:ilvl="5" w:tplc="0C090005">
      <w:start w:val="1"/>
      <w:numFmt w:val="bullet"/>
      <w:lvlText w:val=""/>
      <w:lvlJc w:val="left"/>
      <w:pPr>
        <w:ind w:left="5034" w:hanging="360"/>
      </w:pPr>
      <w:rPr>
        <w:rFonts w:ascii="Wingdings" w:hAnsi="Wingdings" w:hint="default"/>
      </w:rPr>
    </w:lvl>
    <w:lvl w:ilvl="6" w:tplc="0C090001">
      <w:start w:val="1"/>
      <w:numFmt w:val="bullet"/>
      <w:lvlText w:val=""/>
      <w:lvlJc w:val="left"/>
      <w:pPr>
        <w:ind w:left="5754" w:hanging="360"/>
      </w:pPr>
      <w:rPr>
        <w:rFonts w:ascii="Symbol" w:hAnsi="Symbol" w:hint="default"/>
      </w:rPr>
    </w:lvl>
    <w:lvl w:ilvl="7" w:tplc="0C090003">
      <w:start w:val="1"/>
      <w:numFmt w:val="bullet"/>
      <w:lvlText w:val="o"/>
      <w:lvlJc w:val="left"/>
      <w:pPr>
        <w:ind w:left="6474" w:hanging="360"/>
      </w:pPr>
      <w:rPr>
        <w:rFonts w:ascii="Courier New" w:hAnsi="Courier New" w:cs="Courier New" w:hint="default"/>
      </w:rPr>
    </w:lvl>
    <w:lvl w:ilvl="8" w:tplc="0C090005">
      <w:start w:val="1"/>
      <w:numFmt w:val="bullet"/>
      <w:lvlText w:val=""/>
      <w:lvlJc w:val="left"/>
      <w:pPr>
        <w:ind w:left="7194" w:hanging="360"/>
      </w:pPr>
      <w:rPr>
        <w:rFonts w:ascii="Wingdings" w:hAnsi="Wingdings" w:hint="default"/>
      </w:rPr>
    </w:lvl>
  </w:abstractNum>
  <w:abstractNum w:abstractNumId="8" w15:restartNumberingAfterBreak="0">
    <w:nsid w:val="38C21814"/>
    <w:multiLevelType w:val="hybridMultilevel"/>
    <w:tmpl w:val="D9B45E08"/>
    <w:lvl w:ilvl="0" w:tplc="3CB2C9C4">
      <w:start w:val="1"/>
      <w:numFmt w:val="lowerLetter"/>
      <w:lvlText w:val="%1."/>
      <w:lvlJc w:val="left"/>
      <w:pPr>
        <w:ind w:left="1440" w:hanging="360"/>
      </w:pPr>
      <w:rPr>
        <w:rFonts w:ascii="Times New Roman" w:hAnsi="Times New Roman"/>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8202D9"/>
    <w:multiLevelType w:val="hybridMultilevel"/>
    <w:tmpl w:val="F008E84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0" w15:restartNumberingAfterBreak="0">
    <w:nsid w:val="41B46879"/>
    <w:multiLevelType w:val="hybridMultilevel"/>
    <w:tmpl w:val="81040E86"/>
    <w:lvl w:ilvl="0" w:tplc="395E12DE">
      <w:start w:val="1"/>
      <w:numFmt w:val="decimal"/>
      <w:lvlText w:val="%1."/>
      <w:lvlJc w:val="left"/>
      <w:pPr>
        <w:ind w:left="786" w:hanging="360"/>
      </w:pPr>
      <w:rPr>
        <w:rFonts w:cs="Times New Roman"/>
        <w:b w:val="0"/>
        <w:i w:val="0"/>
        <w:sz w:val="22"/>
      </w:rPr>
    </w:lvl>
    <w:lvl w:ilvl="1" w:tplc="0C090019">
      <w:start w:val="1"/>
      <w:numFmt w:val="lowerLetter"/>
      <w:lvlText w:val="%2."/>
      <w:lvlJc w:val="left"/>
      <w:pPr>
        <w:ind w:left="4048" w:hanging="360"/>
      </w:pPr>
      <w:rPr>
        <w:rFonts w:cs="Times New Roman"/>
      </w:rPr>
    </w:lvl>
    <w:lvl w:ilvl="2" w:tplc="0C09001B" w:tentative="1">
      <w:start w:val="1"/>
      <w:numFmt w:val="lowerRoman"/>
      <w:lvlText w:val="%3."/>
      <w:lvlJc w:val="right"/>
      <w:pPr>
        <w:ind w:left="4768" w:hanging="180"/>
      </w:pPr>
      <w:rPr>
        <w:rFonts w:cs="Times New Roman"/>
      </w:rPr>
    </w:lvl>
    <w:lvl w:ilvl="3" w:tplc="0C09000F" w:tentative="1">
      <w:start w:val="1"/>
      <w:numFmt w:val="decimal"/>
      <w:lvlText w:val="%4."/>
      <w:lvlJc w:val="left"/>
      <w:pPr>
        <w:ind w:left="5488" w:hanging="360"/>
      </w:pPr>
      <w:rPr>
        <w:rFonts w:cs="Times New Roman"/>
      </w:rPr>
    </w:lvl>
    <w:lvl w:ilvl="4" w:tplc="0C090019" w:tentative="1">
      <w:start w:val="1"/>
      <w:numFmt w:val="lowerLetter"/>
      <w:lvlText w:val="%5."/>
      <w:lvlJc w:val="left"/>
      <w:pPr>
        <w:ind w:left="6208" w:hanging="360"/>
      </w:pPr>
      <w:rPr>
        <w:rFonts w:cs="Times New Roman"/>
      </w:rPr>
    </w:lvl>
    <w:lvl w:ilvl="5" w:tplc="0C09001B" w:tentative="1">
      <w:start w:val="1"/>
      <w:numFmt w:val="lowerRoman"/>
      <w:lvlText w:val="%6."/>
      <w:lvlJc w:val="right"/>
      <w:pPr>
        <w:ind w:left="6928" w:hanging="180"/>
      </w:pPr>
      <w:rPr>
        <w:rFonts w:cs="Times New Roman"/>
      </w:rPr>
    </w:lvl>
    <w:lvl w:ilvl="6" w:tplc="0C09000F" w:tentative="1">
      <w:start w:val="1"/>
      <w:numFmt w:val="decimal"/>
      <w:lvlText w:val="%7."/>
      <w:lvlJc w:val="left"/>
      <w:pPr>
        <w:ind w:left="7648" w:hanging="360"/>
      </w:pPr>
      <w:rPr>
        <w:rFonts w:cs="Times New Roman"/>
      </w:rPr>
    </w:lvl>
    <w:lvl w:ilvl="7" w:tplc="0C090019" w:tentative="1">
      <w:start w:val="1"/>
      <w:numFmt w:val="lowerLetter"/>
      <w:lvlText w:val="%8."/>
      <w:lvlJc w:val="left"/>
      <w:pPr>
        <w:ind w:left="8368" w:hanging="360"/>
      </w:pPr>
      <w:rPr>
        <w:rFonts w:cs="Times New Roman"/>
      </w:rPr>
    </w:lvl>
    <w:lvl w:ilvl="8" w:tplc="0C09001B" w:tentative="1">
      <w:start w:val="1"/>
      <w:numFmt w:val="lowerRoman"/>
      <w:lvlText w:val="%9."/>
      <w:lvlJc w:val="right"/>
      <w:pPr>
        <w:ind w:left="9088" w:hanging="180"/>
      </w:pPr>
      <w:rPr>
        <w:rFonts w:cs="Times New Roman"/>
      </w:rPr>
    </w:lvl>
  </w:abstractNum>
  <w:abstractNum w:abstractNumId="11" w15:restartNumberingAfterBreak="0">
    <w:nsid w:val="44470B28"/>
    <w:multiLevelType w:val="hybridMultilevel"/>
    <w:tmpl w:val="A732D234"/>
    <w:lvl w:ilvl="0" w:tplc="91981824">
      <w:start w:val="1"/>
      <w:numFmt w:val="decimal"/>
      <w:lvlText w:val="%1."/>
      <w:lvlJc w:val="left"/>
      <w:pPr>
        <w:ind w:left="720" w:hanging="360"/>
      </w:pPr>
      <w:rPr>
        <w:rFonts w:ascii="Times New Roman" w:hAnsi="Times New Roman" w:cs="Times New Roman" w:hint="default"/>
        <w:color w:val="auto"/>
        <w:sz w:val="24"/>
      </w:rPr>
    </w:lvl>
    <w:lvl w:ilvl="1" w:tplc="3CB2C9C4">
      <w:start w:val="1"/>
      <w:numFmt w:val="lowerLetter"/>
      <w:lvlText w:val="%2."/>
      <w:lvlJc w:val="left"/>
      <w:pPr>
        <w:ind w:left="1440" w:hanging="360"/>
      </w:pPr>
      <w:rPr>
        <w:rFonts w:ascii="Times New Roman" w:hAnsi="Times New Roman"/>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A3F47"/>
    <w:multiLevelType w:val="hybridMultilevel"/>
    <w:tmpl w:val="424A7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5E5942"/>
    <w:multiLevelType w:val="hybridMultilevel"/>
    <w:tmpl w:val="154C42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1374A1"/>
    <w:multiLevelType w:val="hybridMultilevel"/>
    <w:tmpl w:val="4DB81B26"/>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3">
      <w:start w:val="1"/>
      <w:numFmt w:val="bullet"/>
      <w:lvlText w:val="o"/>
      <w:lvlJc w:val="left"/>
      <w:pPr>
        <w:ind w:left="1860" w:hanging="360"/>
      </w:pPr>
      <w:rPr>
        <w:rFonts w:ascii="Courier New" w:hAnsi="Courier New" w:cs="Courier New"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4E78187B"/>
    <w:multiLevelType w:val="hybridMultilevel"/>
    <w:tmpl w:val="C0762AF0"/>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3">
      <w:start w:val="1"/>
      <w:numFmt w:val="bullet"/>
      <w:lvlText w:val="o"/>
      <w:lvlJc w:val="left"/>
      <w:pPr>
        <w:ind w:left="1860" w:hanging="360"/>
      </w:pPr>
      <w:rPr>
        <w:rFonts w:ascii="Courier New" w:hAnsi="Courier New" w:cs="Courier New"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5508646B"/>
    <w:multiLevelType w:val="hybridMultilevel"/>
    <w:tmpl w:val="6A20AB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754933"/>
    <w:multiLevelType w:val="hybridMultilevel"/>
    <w:tmpl w:val="C66CAF76"/>
    <w:lvl w:ilvl="0" w:tplc="B7F827E4">
      <w:start w:val="1"/>
      <w:numFmt w:val="decimal"/>
      <w:lvlText w:val="%1."/>
      <w:lvlJc w:val="left"/>
      <w:pPr>
        <w:ind w:left="720" w:hanging="360"/>
      </w:pPr>
      <w:rPr>
        <w:rFonts w:ascii="Times New Roman" w:hAnsi="Times New Roman" w:cs="Times New Roman"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75495"/>
    <w:multiLevelType w:val="hybridMultilevel"/>
    <w:tmpl w:val="4B5C7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F33001F"/>
    <w:multiLevelType w:val="multilevel"/>
    <w:tmpl w:val="AD5A02BE"/>
    <w:lvl w:ilvl="0">
      <w:start w:val="1"/>
      <w:numFmt w:val="bullet"/>
      <w:lvlText w:val=""/>
      <w:lvlJc w:val="left"/>
      <w:pPr>
        <w:ind w:left="794" w:hanging="397"/>
      </w:pPr>
      <w:rPr>
        <w:rFonts w:ascii="Symbol" w:hAnsi="Symbol" w:hint="default"/>
        <w:color w:val="282177"/>
        <w:w w:val="100"/>
        <w:sz w:val="20"/>
        <w:szCs w:val="20"/>
      </w:rPr>
    </w:lvl>
    <w:lvl w:ilvl="1">
      <w:start w:val="1"/>
      <w:numFmt w:val="bullet"/>
      <w:lvlText w:val="–"/>
      <w:lvlJc w:val="left"/>
      <w:pPr>
        <w:ind w:left="1191" w:hanging="397"/>
      </w:pPr>
      <w:rPr>
        <w:rFonts w:ascii="Arial" w:eastAsia="Arial" w:hAnsi="Arial" w:cs="Times New Roman" w:hint="default"/>
        <w:color w:val="1E9D83"/>
        <w:w w:val="100"/>
        <w:sz w:val="20"/>
        <w:szCs w:val="20"/>
      </w:rPr>
    </w:lvl>
    <w:lvl w:ilvl="2">
      <w:start w:val="1"/>
      <w:numFmt w:val="bullet"/>
      <w:lvlText w:val="»"/>
      <w:lvlJc w:val="left"/>
      <w:pPr>
        <w:ind w:left="1588" w:hanging="397"/>
      </w:pPr>
      <w:rPr>
        <w:rFonts w:ascii="Arial" w:eastAsia="Arial" w:hAnsi="Arial" w:cs="Times New Roman" w:hint="default"/>
        <w:color w:val="9C2968"/>
        <w:w w:val="100"/>
        <w:sz w:val="20"/>
        <w:szCs w:val="20"/>
      </w:rPr>
    </w:lvl>
    <w:lvl w:ilvl="3">
      <w:start w:val="1"/>
      <w:numFmt w:val="decimal"/>
      <w:lvlText w:val="(%4)"/>
      <w:lvlJc w:val="left"/>
      <w:pPr>
        <w:ind w:left="1420" w:hanging="284"/>
      </w:pPr>
    </w:lvl>
    <w:lvl w:ilvl="4">
      <w:start w:val="1"/>
      <w:numFmt w:val="lowerLetter"/>
      <w:lvlText w:val="(%5)"/>
      <w:lvlJc w:val="left"/>
      <w:pPr>
        <w:ind w:left="1704" w:hanging="284"/>
      </w:pPr>
    </w:lvl>
    <w:lvl w:ilvl="5">
      <w:start w:val="1"/>
      <w:numFmt w:val="lowerRoman"/>
      <w:lvlText w:val="(%6)"/>
      <w:lvlJc w:val="left"/>
      <w:pPr>
        <w:ind w:left="1988" w:hanging="284"/>
      </w:pPr>
    </w:lvl>
    <w:lvl w:ilvl="6">
      <w:start w:val="2"/>
      <w:numFmt w:val="decimal"/>
      <w:lvlText w:val="%7."/>
      <w:lvlJc w:val="left"/>
      <w:pPr>
        <w:ind w:left="2272" w:hanging="284"/>
      </w:pPr>
    </w:lvl>
    <w:lvl w:ilvl="7">
      <w:start w:val="1"/>
      <w:numFmt w:val="lowerLetter"/>
      <w:lvlText w:val="%8."/>
      <w:lvlJc w:val="left"/>
      <w:pPr>
        <w:ind w:left="2556" w:hanging="284"/>
      </w:pPr>
    </w:lvl>
    <w:lvl w:ilvl="8">
      <w:start w:val="1"/>
      <w:numFmt w:val="lowerRoman"/>
      <w:lvlText w:val="%9."/>
      <w:lvlJc w:val="left"/>
      <w:pPr>
        <w:ind w:left="2840" w:hanging="284"/>
      </w:pPr>
    </w:lvl>
  </w:abstractNum>
  <w:abstractNum w:abstractNumId="20" w15:restartNumberingAfterBreak="0">
    <w:nsid w:val="6C4D1339"/>
    <w:multiLevelType w:val="multilevel"/>
    <w:tmpl w:val="68644322"/>
    <w:lvl w:ilvl="0">
      <w:start w:val="1"/>
      <w:numFmt w:val="bullet"/>
      <w:lvlText w:val="-"/>
      <w:lvlJc w:val="left"/>
      <w:pPr>
        <w:ind w:left="794" w:hanging="397"/>
      </w:pPr>
      <w:rPr>
        <w:rFonts w:ascii="Times New Roman" w:eastAsia="Times New Roman" w:hAnsi="Times New Roman" w:cs="Times New Roman" w:hint="default"/>
        <w:color w:val="282177"/>
        <w:w w:val="100"/>
        <w:sz w:val="20"/>
        <w:szCs w:val="20"/>
      </w:rPr>
    </w:lvl>
    <w:lvl w:ilvl="1">
      <w:start w:val="1"/>
      <w:numFmt w:val="bullet"/>
      <w:lvlText w:val="–"/>
      <w:lvlJc w:val="left"/>
      <w:pPr>
        <w:ind w:left="1191" w:hanging="397"/>
      </w:pPr>
      <w:rPr>
        <w:rFonts w:ascii="Arial" w:eastAsia="Arial" w:hAnsi="Arial" w:cs="Times New Roman" w:hint="default"/>
        <w:color w:val="1E9D83"/>
        <w:w w:val="100"/>
        <w:sz w:val="20"/>
        <w:szCs w:val="20"/>
      </w:rPr>
    </w:lvl>
    <w:lvl w:ilvl="2">
      <w:start w:val="1"/>
      <w:numFmt w:val="bullet"/>
      <w:lvlText w:val="»"/>
      <w:lvlJc w:val="left"/>
      <w:pPr>
        <w:ind w:left="1588" w:hanging="397"/>
      </w:pPr>
      <w:rPr>
        <w:rFonts w:ascii="Arial" w:eastAsia="Arial" w:hAnsi="Arial" w:cs="Times New Roman" w:hint="default"/>
        <w:color w:val="9C2968"/>
        <w:w w:val="100"/>
        <w:sz w:val="20"/>
        <w:szCs w:val="20"/>
      </w:rPr>
    </w:lvl>
    <w:lvl w:ilvl="3">
      <w:start w:val="1"/>
      <w:numFmt w:val="decimal"/>
      <w:lvlText w:val="(%4)"/>
      <w:lvlJc w:val="left"/>
      <w:pPr>
        <w:ind w:left="1420" w:hanging="284"/>
      </w:pPr>
    </w:lvl>
    <w:lvl w:ilvl="4">
      <w:start w:val="1"/>
      <w:numFmt w:val="lowerLetter"/>
      <w:lvlText w:val="(%5)"/>
      <w:lvlJc w:val="left"/>
      <w:pPr>
        <w:ind w:left="1704" w:hanging="284"/>
      </w:pPr>
    </w:lvl>
    <w:lvl w:ilvl="5">
      <w:start w:val="1"/>
      <w:numFmt w:val="lowerRoman"/>
      <w:lvlText w:val="(%6)"/>
      <w:lvlJc w:val="left"/>
      <w:pPr>
        <w:ind w:left="1988" w:hanging="284"/>
      </w:pPr>
    </w:lvl>
    <w:lvl w:ilvl="6">
      <w:start w:val="2"/>
      <w:numFmt w:val="decimal"/>
      <w:lvlText w:val="%7."/>
      <w:lvlJc w:val="left"/>
      <w:pPr>
        <w:ind w:left="2272" w:hanging="284"/>
      </w:pPr>
    </w:lvl>
    <w:lvl w:ilvl="7">
      <w:start w:val="1"/>
      <w:numFmt w:val="lowerLetter"/>
      <w:lvlText w:val="%8."/>
      <w:lvlJc w:val="left"/>
      <w:pPr>
        <w:ind w:left="2556" w:hanging="284"/>
      </w:pPr>
    </w:lvl>
    <w:lvl w:ilvl="8">
      <w:start w:val="1"/>
      <w:numFmt w:val="lowerRoman"/>
      <w:lvlText w:val="%9."/>
      <w:lvlJc w:val="left"/>
      <w:pPr>
        <w:ind w:left="2840" w:hanging="284"/>
      </w:pPr>
    </w:lvl>
  </w:abstractNum>
  <w:abstractNum w:abstractNumId="21" w15:restartNumberingAfterBreak="0">
    <w:nsid w:val="6C8907F9"/>
    <w:multiLevelType w:val="hybridMultilevel"/>
    <w:tmpl w:val="25162262"/>
    <w:lvl w:ilvl="0" w:tplc="82B61D06">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22" w15:restartNumberingAfterBreak="0">
    <w:nsid w:val="700C422A"/>
    <w:multiLevelType w:val="hybridMultilevel"/>
    <w:tmpl w:val="33E2B80E"/>
    <w:lvl w:ilvl="0" w:tplc="82B61D06">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BB0232"/>
    <w:multiLevelType w:val="hybridMultilevel"/>
    <w:tmpl w:val="03B6BDD6"/>
    <w:lvl w:ilvl="0" w:tplc="B7F827E4">
      <w:start w:val="1"/>
      <w:numFmt w:val="decimal"/>
      <w:lvlText w:val="%1."/>
      <w:lvlJc w:val="left"/>
      <w:pPr>
        <w:ind w:left="720" w:hanging="360"/>
      </w:pPr>
      <w:rPr>
        <w:rFonts w:ascii="Times New Roman" w:hAnsi="Times New Roman" w:cs="Times New Roman" w:hint="default"/>
        <w:sz w:val="24"/>
      </w:rPr>
    </w:lvl>
    <w:lvl w:ilvl="1" w:tplc="3CB2C9C4">
      <w:start w:val="1"/>
      <w:numFmt w:val="lowerLetter"/>
      <w:lvlText w:val="%2."/>
      <w:lvlJc w:val="left"/>
      <w:pPr>
        <w:ind w:left="1440" w:hanging="360"/>
      </w:pPr>
      <w:rPr>
        <w:rFonts w:ascii="Times New Roman" w:hAnsi="Times New Roman"/>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A259BE"/>
    <w:multiLevelType w:val="hybridMultilevel"/>
    <w:tmpl w:val="14845E14"/>
    <w:lvl w:ilvl="0" w:tplc="81D6530C">
      <w:start w:val="1"/>
      <w:numFmt w:val="decimal"/>
      <w:lvlText w:val="%1."/>
      <w:lvlJc w:val="left"/>
      <w:pPr>
        <w:ind w:left="360" w:hanging="360"/>
      </w:pPr>
      <w:rPr>
        <w:b w:val="0"/>
      </w:rPr>
    </w:lvl>
    <w:lvl w:ilvl="1" w:tplc="36AAA8B4">
      <w:start w:val="1"/>
      <w:numFmt w:val="lowerLetter"/>
      <w:lvlText w:val="%2."/>
      <w:lvlJc w:val="left"/>
      <w:pPr>
        <w:ind w:left="1080" w:hanging="360"/>
      </w:pPr>
      <w:rPr>
        <w:color w:val="auto"/>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1"/>
  </w:num>
  <w:num w:numId="3">
    <w:abstractNumId w:val="1"/>
  </w:num>
  <w:num w:numId="4">
    <w:abstractNumId w:val="5"/>
  </w:num>
  <w:num w:numId="5">
    <w:abstractNumId w:val="0"/>
  </w:num>
  <w:num w:numId="6">
    <w:abstractNumId w:val="20"/>
  </w:num>
  <w:num w:numId="7">
    <w:abstractNumId w:val="11"/>
  </w:num>
  <w:num w:numId="8">
    <w:abstractNumId w:val="13"/>
  </w:num>
  <w:num w:numId="9">
    <w:abstractNumId w:val="19"/>
  </w:num>
  <w:num w:numId="10">
    <w:abstractNumId w:val="9"/>
  </w:num>
  <w:num w:numId="11">
    <w:abstractNumId w:val="16"/>
  </w:num>
  <w:num w:numId="12">
    <w:abstractNumId w:val="15"/>
  </w:num>
  <w:num w:numId="13">
    <w:abstractNumId w:val="14"/>
  </w:num>
  <w:num w:numId="14">
    <w:abstractNumId w:val="24"/>
  </w:num>
  <w:num w:numId="15">
    <w:abstractNumId w:val="7"/>
  </w:num>
  <w:num w:numId="16">
    <w:abstractNumId w:val="4"/>
  </w:num>
  <w:num w:numId="17">
    <w:abstractNumId w:val="10"/>
  </w:num>
  <w:num w:numId="18">
    <w:abstractNumId w:val="22"/>
  </w:num>
  <w:num w:numId="19">
    <w:abstractNumId w:val="2"/>
  </w:num>
  <w:num w:numId="20">
    <w:abstractNumId w:val="17"/>
  </w:num>
  <w:num w:numId="21">
    <w:abstractNumId w:val="12"/>
  </w:num>
  <w:num w:numId="22">
    <w:abstractNumId w:val="18"/>
  </w:num>
  <w:num w:numId="23">
    <w:abstractNumId w:val="23"/>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AE"/>
    <w:rsid w:val="00000467"/>
    <w:rsid w:val="00005934"/>
    <w:rsid w:val="00022C4F"/>
    <w:rsid w:val="00025BC3"/>
    <w:rsid w:val="000315DD"/>
    <w:rsid w:val="00044D40"/>
    <w:rsid w:val="0004566E"/>
    <w:rsid w:val="00056AC8"/>
    <w:rsid w:val="00057E5B"/>
    <w:rsid w:val="00061C0D"/>
    <w:rsid w:val="00065C62"/>
    <w:rsid w:val="000944E3"/>
    <w:rsid w:val="000A29C5"/>
    <w:rsid w:val="000B3FF0"/>
    <w:rsid w:val="000B714E"/>
    <w:rsid w:val="000C24F1"/>
    <w:rsid w:val="000E2DB8"/>
    <w:rsid w:val="000E6CBD"/>
    <w:rsid w:val="00154BE3"/>
    <w:rsid w:val="001724CF"/>
    <w:rsid w:val="0017665C"/>
    <w:rsid w:val="00184C0B"/>
    <w:rsid w:val="001E7923"/>
    <w:rsid w:val="00206799"/>
    <w:rsid w:val="00220F1C"/>
    <w:rsid w:val="0024468F"/>
    <w:rsid w:val="00252E7D"/>
    <w:rsid w:val="00296D61"/>
    <w:rsid w:val="002A5DD8"/>
    <w:rsid w:val="002B735E"/>
    <w:rsid w:val="002D1018"/>
    <w:rsid w:val="002D63BF"/>
    <w:rsid w:val="002F3E29"/>
    <w:rsid w:val="0031079F"/>
    <w:rsid w:val="00310927"/>
    <w:rsid w:val="00330815"/>
    <w:rsid w:val="003458DB"/>
    <w:rsid w:val="0034675B"/>
    <w:rsid w:val="00350768"/>
    <w:rsid w:val="00382B74"/>
    <w:rsid w:val="00384A61"/>
    <w:rsid w:val="003B1E24"/>
    <w:rsid w:val="003C4306"/>
    <w:rsid w:val="003C5A03"/>
    <w:rsid w:val="003D1640"/>
    <w:rsid w:val="003D7097"/>
    <w:rsid w:val="003F1CB2"/>
    <w:rsid w:val="004069EF"/>
    <w:rsid w:val="0040754D"/>
    <w:rsid w:val="004160C6"/>
    <w:rsid w:val="00417152"/>
    <w:rsid w:val="00426C20"/>
    <w:rsid w:val="00491D0C"/>
    <w:rsid w:val="004C0913"/>
    <w:rsid w:val="004C34B1"/>
    <w:rsid w:val="004C373A"/>
    <w:rsid w:val="005029B6"/>
    <w:rsid w:val="00506B99"/>
    <w:rsid w:val="00511676"/>
    <w:rsid w:val="00516FFD"/>
    <w:rsid w:val="005271FA"/>
    <w:rsid w:val="00532BF4"/>
    <w:rsid w:val="00571128"/>
    <w:rsid w:val="005D2C43"/>
    <w:rsid w:val="005E06F7"/>
    <w:rsid w:val="005E1BC6"/>
    <w:rsid w:val="005F7189"/>
    <w:rsid w:val="00611D0F"/>
    <w:rsid w:val="00613187"/>
    <w:rsid w:val="006202D0"/>
    <w:rsid w:val="00633A14"/>
    <w:rsid w:val="0067415A"/>
    <w:rsid w:val="00684CE6"/>
    <w:rsid w:val="00686AD9"/>
    <w:rsid w:val="00686BF9"/>
    <w:rsid w:val="00697693"/>
    <w:rsid w:val="006C3642"/>
    <w:rsid w:val="006D0B9F"/>
    <w:rsid w:val="0073044E"/>
    <w:rsid w:val="007500F7"/>
    <w:rsid w:val="00791C61"/>
    <w:rsid w:val="007A0A5A"/>
    <w:rsid w:val="007A429F"/>
    <w:rsid w:val="007E69F2"/>
    <w:rsid w:val="00803CAB"/>
    <w:rsid w:val="008438DA"/>
    <w:rsid w:val="0086635A"/>
    <w:rsid w:val="008721D4"/>
    <w:rsid w:val="0088022F"/>
    <w:rsid w:val="008873FE"/>
    <w:rsid w:val="008961FB"/>
    <w:rsid w:val="00897283"/>
    <w:rsid w:val="00897E86"/>
    <w:rsid w:val="008D5FDB"/>
    <w:rsid w:val="008E3164"/>
    <w:rsid w:val="00912DE7"/>
    <w:rsid w:val="00924357"/>
    <w:rsid w:val="00947D28"/>
    <w:rsid w:val="0095009A"/>
    <w:rsid w:val="0095394E"/>
    <w:rsid w:val="00963EA1"/>
    <w:rsid w:val="00990A35"/>
    <w:rsid w:val="009A315C"/>
    <w:rsid w:val="009C49B5"/>
    <w:rsid w:val="009D68D6"/>
    <w:rsid w:val="009E46A7"/>
    <w:rsid w:val="009F691F"/>
    <w:rsid w:val="00A16AA1"/>
    <w:rsid w:val="00A50BA9"/>
    <w:rsid w:val="00A60DFD"/>
    <w:rsid w:val="00AB16A8"/>
    <w:rsid w:val="00AB23A2"/>
    <w:rsid w:val="00AB508C"/>
    <w:rsid w:val="00AD09A8"/>
    <w:rsid w:val="00AE50B6"/>
    <w:rsid w:val="00AF4268"/>
    <w:rsid w:val="00AF73CA"/>
    <w:rsid w:val="00B03596"/>
    <w:rsid w:val="00B144E2"/>
    <w:rsid w:val="00B371DB"/>
    <w:rsid w:val="00B602FE"/>
    <w:rsid w:val="00B607EC"/>
    <w:rsid w:val="00B67462"/>
    <w:rsid w:val="00B70BF6"/>
    <w:rsid w:val="00B772B1"/>
    <w:rsid w:val="00B908F7"/>
    <w:rsid w:val="00BB481D"/>
    <w:rsid w:val="00BD4678"/>
    <w:rsid w:val="00BD71A0"/>
    <w:rsid w:val="00C06BCE"/>
    <w:rsid w:val="00C12394"/>
    <w:rsid w:val="00C44B7F"/>
    <w:rsid w:val="00C50D25"/>
    <w:rsid w:val="00C81182"/>
    <w:rsid w:val="00C87E39"/>
    <w:rsid w:val="00CD555E"/>
    <w:rsid w:val="00CF2EA2"/>
    <w:rsid w:val="00D12712"/>
    <w:rsid w:val="00D20C1F"/>
    <w:rsid w:val="00D501F8"/>
    <w:rsid w:val="00D57B67"/>
    <w:rsid w:val="00D601F6"/>
    <w:rsid w:val="00D70738"/>
    <w:rsid w:val="00DA0A49"/>
    <w:rsid w:val="00DD1267"/>
    <w:rsid w:val="00DF0E06"/>
    <w:rsid w:val="00E06364"/>
    <w:rsid w:val="00E173F9"/>
    <w:rsid w:val="00E44835"/>
    <w:rsid w:val="00E55265"/>
    <w:rsid w:val="00E65F75"/>
    <w:rsid w:val="00E97031"/>
    <w:rsid w:val="00EC2F9B"/>
    <w:rsid w:val="00EC5BD9"/>
    <w:rsid w:val="00EE1DC7"/>
    <w:rsid w:val="00F00758"/>
    <w:rsid w:val="00F0319D"/>
    <w:rsid w:val="00F157AE"/>
    <w:rsid w:val="00F42441"/>
    <w:rsid w:val="00F5495B"/>
    <w:rsid w:val="00F6079E"/>
    <w:rsid w:val="00F61E39"/>
    <w:rsid w:val="00F63915"/>
    <w:rsid w:val="00F73A5A"/>
    <w:rsid w:val="00F75B37"/>
    <w:rsid w:val="00F85D87"/>
    <w:rsid w:val="00FA7884"/>
    <w:rsid w:val="00FB29B7"/>
    <w:rsid w:val="00FD43F6"/>
    <w:rsid w:val="00FD4C23"/>
    <w:rsid w:val="00FE1ED1"/>
    <w:rsid w:val="00FF313A"/>
    <w:rsid w:val="00FF5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3CC3"/>
  <w15:chartTrackingRefBased/>
  <w15:docId w15:val="{026E7518-BB41-468D-BE00-143CF87D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A03"/>
  </w:style>
  <w:style w:type="paragraph" w:styleId="Heading2">
    <w:name w:val="heading 2"/>
    <w:basedOn w:val="Normal"/>
    <w:link w:val="Heading2Char"/>
    <w:uiPriority w:val="9"/>
    <w:qFormat/>
    <w:rsid w:val="00F157A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157A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57A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157AE"/>
    <w:rPr>
      <w:rFonts w:ascii="Times New Roman" w:eastAsia="Times New Roman" w:hAnsi="Times New Roman" w:cs="Times New Roman"/>
      <w:b/>
      <w:bCs/>
      <w:sz w:val="27"/>
      <w:szCs w:val="27"/>
      <w:lang w:eastAsia="en-AU"/>
    </w:rPr>
  </w:style>
  <w:style w:type="paragraph" w:styleId="ListParagraph">
    <w:name w:val="List Paragraph"/>
    <w:aliases w:val="List Bullet Cab,CAB - List Bullet,Recommendation,List Paragraph1,List Paragraph11,L,CV text,Table text,F5 List Paragraph,Dot pt,List Paragraph111,Medium Grid 1 - Accent 21,Numbered Paragraph,List Paragraph2,Bulit List -  Paragraph"/>
    <w:basedOn w:val="Normal"/>
    <w:link w:val="ListParagraphChar"/>
    <w:uiPriority w:val="34"/>
    <w:qFormat/>
    <w:rsid w:val="00F157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2D1018"/>
    <w:pPr>
      <w:spacing w:after="15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65C62"/>
    <w:rPr>
      <w:sz w:val="16"/>
      <w:szCs w:val="16"/>
    </w:rPr>
  </w:style>
  <w:style w:type="paragraph" w:styleId="CommentText">
    <w:name w:val="annotation text"/>
    <w:basedOn w:val="Normal"/>
    <w:link w:val="CommentTextChar"/>
    <w:uiPriority w:val="99"/>
    <w:semiHidden/>
    <w:unhideWhenUsed/>
    <w:rsid w:val="00065C62"/>
    <w:pPr>
      <w:spacing w:line="240" w:lineRule="auto"/>
    </w:pPr>
    <w:rPr>
      <w:sz w:val="20"/>
      <w:szCs w:val="20"/>
    </w:rPr>
  </w:style>
  <w:style w:type="character" w:customStyle="1" w:styleId="CommentTextChar">
    <w:name w:val="Comment Text Char"/>
    <w:basedOn w:val="DefaultParagraphFont"/>
    <w:link w:val="CommentText"/>
    <w:uiPriority w:val="99"/>
    <w:semiHidden/>
    <w:rsid w:val="00065C62"/>
    <w:rPr>
      <w:sz w:val="20"/>
      <w:szCs w:val="20"/>
    </w:rPr>
  </w:style>
  <w:style w:type="paragraph" w:styleId="CommentSubject">
    <w:name w:val="annotation subject"/>
    <w:basedOn w:val="CommentText"/>
    <w:next w:val="CommentText"/>
    <w:link w:val="CommentSubjectChar"/>
    <w:uiPriority w:val="99"/>
    <w:semiHidden/>
    <w:unhideWhenUsed/>
    <w:rsid w:val="00065C62"/>
    <w:rPr>
      <w:b/>
      <w:bCs/>
    </w:rPr>
  </w:style>
  <w:style w:type="character" w:customStyle="1" w:styleId="CommentSubjectChar">
    <w:name w:val="Comment Subject Char"/>
    <w:basedOn w:val="CommentTextChar"/>
    <w:link w:val="CommentSubject"/>
    <w:uiPriority w:val="99"/>
    <w:semiHidden/>
    <w:rsid w:val="00065C62"/>
    <w:rPr>
      <w:b/>
      <w:bCs/>
      <w:sz w:val="20"/>
      <w:szCs w:val="20"/>
    </w:rPr>
  </w:style>
  <w:style w:type="paragraph" w:styleId="BalloonText">
    <w:name w:val="Balloon Text"/>
    <w:basedOn w:val="Normal"/>
    <w:link w:val="BalloonTextChar"/>
    <w:uiPriority w:val="99"/>
    <w:semiHidden/>
    <w:unhideWhenUsed/>
    <w:rsid w:val="00065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62"/>
    <w:rPr>
      <w:rFonts w:ascii="Segoe UI" w:hAnsi="Segoe UI" w:cs="Segoe UI"/>
      <w:sz w:val="18"/>
      <w:szCs w:val="18"/>
    </w:rPr>
  </w:style>
  <w:style w:type="paragraph" w:customStyle="1" w:styleId="Bullet1">
    <w:name w:val="Bullet 1"/>
    <w:basedOn w:val="Normal"/>
    <w:qFormat/>
    <w:rsid w:val="00FF313A"/>
    <w:pPr>
      <w:numPr>
        <w:numId w:val="5"/>
      </w:numPr>
      <w:spacing w:after="0" w:line="240" w:lineRule="auto"/>
    </w:pPr>
    <w:rPr>
      <w:rFonts w:ascii="Calibri" w:eastAsia="Times New Roman" w:hAnsi="Calibri" w:cs="Times New Roman"/>
      <w:color w:val="000000"/>
      <w:sz w:val="20"/>
      <w:szCs w:val="20"/>
      <w:lang w:eastAsia="en-AU"/>
    </w:rPr>
  </w:style>
  <w:style w:type="paragraph" w:customStyle="1" w:styleId="Bullet2">
    <w:name w:val="Bullet 2"/>
    <w:basedOn w:val="Normal"/>
    <w:qFormat/>
    <w:rsid w:val="00FF313A"/>
    <w:pPr>
      <w:numPr>
        <w:ilvl w:val="1"/>
        <w:numId w:val="5"/>
      </w:numPr>
      <w:spacing w:after="0" w:line="240" w:lineRule="auto"/>
    </w:pPr>
    <w:rPr>
      <w:rFonts w:ascii="Calibri" w:eastAsia="Times New Roman" w:hAnsi="Calibri" w:cs="Times New Roman"/>
      <w:color w:val="000000"/>
      <w:sz w:val="20"/>
      <w:szCs w:val="20"/>
      <w:lang w:eastAsia="en-AU"/>
    </w:rPr>
  </w:style>
  <w:style w:type="paragraph" w:customStyle="1" w:styleId="Bullet3">
    <w:name w:val="Bullet 3"/>
    <w:basedOn w:val="Normal"/>
    <w:qFormat/>
    <w:rsid w:val="00FF313A"/>
    <w:pPr>
      <w:numPr>
        <w:ilvl w:val="2"/>
        <w:numId w:val="5"/>
      </w:numPr>
      <w:spacing w:after="0" w:line="240" w:lineRule="auto"/>
    </w:pPr>
    <w:rPr>
      <w:rFonts w:ascii="Calibri" w:eastAsia="Times New Roman" w:hAnsi="Calibri" w:cs="Times New Roman"/>
      <w:color w:val="000000"/>
      <w:sz w:val="20"/>
      <w:szCs w:val="20"/>
      <w:lang w:eastAsia="en-AU"/>
    </w:rPr>
  </w:style>
  <w:style w:type="paragraph" w:styleId="Header">
    <w:name w:val="header"/>
    <w:basedOn w:val="Normal"/>
    <w:link w:val="HeaderChar"/>
    <w:uiPriority w:val="99"/>
    <w:unhideWhenUsed/>
    <w:rsid w:val="00A60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DFD"/>
  </w:style>
  <w:style w:type="paragraph" w:styleId="Footer">
    <w:name w:val="footer"/>
    <w:basedOn w:val="Normal"/>
    <w:link w:val="FooterChar"/>
    <w:uiPriority w:val="99"/>
    <w:unhideWhenUsed/>
    <w:rsid w:val="00A60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DFD"/>
  </w:style>
  <w:style w:type="character" w:customStyle="1" w:styleId="ListParagraphChar">
    <w:name w:val="List Paragraph Char"/>
    <w:aliases w:val="List Bullet Cab Char,CAB - List Bullet Char,Recommendation Char,List Paragraph1 Char,List Paragraph11 Char,L Char,CV text Char,Table text Char,F5 List Paragraph Char,Dot pt Char,List Paragraph111 Char,Medium Grid 1 - Accent 21 Char"/>
    <w:link w:val="ListParagraph"/>
    <w:uiPriority w:val="34"/>
    <w:qFormat/>
    <w:locked/>
    <w:rsid w:val="00C87E39"/>
    <w:rPr>
      <w:rFonts w:ascii="Times New Roman" w:eastAsia="Times New Roman" w:hAnsi="Times New Roman" w:cs="Times New Roman"/>
      <w:sz w:val="24"/>
      <w:szCs w:val="24"/>
      <w:lang w:eastAsia="en-AU"/>
    </w:rPr>
  </w:style>
  <w:style w:type="paragraph" w:customStyle="1" w:styleId="Dotpoints">
    <w:name w:val="Dot points"/>
    <w:basedOn w:val="Normal"/>
    <w:link w:val="DotpointsChar"/>
    <w:qFormat/>
    <w:rsid w:val="00C87E39"/>
    <w:pPr>
      <w:numPr>
        <w:numId w:val="15"/>
      </w:numPr>
      <w:spacing w:before="120" w:after="0" w:line="240" w:lineRule="auto"/>
    </w:pPr>
    <w:rPr>
      <w:rFonts w:cs="Times New Roman"/>
    </w:rPr>
  </w:style>
  <w:style w:type="character" w:customStyle="1" w:styleId="DotpointsChar">
    <w:name w:val="Dot points Char"/>
    <w:basedOn w:val="DefaultParagraphFont"/>
    <w:link w:val="Dotpoints"/>
    <w:rsid w:val="00C87E39"/>
    <w:rPr>
      <w:rFonts w:cs="Times New Roman"/>
    </w:rPr>
  </w:style>
  <w:style w:type="paragraph" w:customStyle="1" w:styleId="Dotpoint-sub">
    <w:name w:val="Dot point - sub"/>
    <w:basedOn w:val="Dotpoints"/>
    <w:qFormat/>
    <w:rsid w:val="00C87E39"/>
    <w:pPr>
      <w:numPr>
        <w:ilvl w:val="2"/>
      </w:numPr>
      <w:ind w:left="2160" w:hanging="180"/>
    </w:pPr>
  </w:style>
  <w:style w:type="character" w:styleId="FootnoteReference">
    <w:name w:val="footnote reference"/>
    <w:basedOn w:val="DefaultParagraphFont"/>
    <w:uiPriority w:val="99"/>
    <w:semiHidden/>
    <w:unhideWhenUsed/>
    <w:rsid w:val="00C87E39"/>
    <w:rPr>
      <w:rFonts w:cs="Times New Roman"/>
      <w:vertAlign w:val="superscript"/>
    </w:rPr>
  </w:style>
  <w:style w:type="paragraph" w:styleId="FootnoteText">
    <w:name w:val="footnote text"/>
    <w:basedOn w:val="Normal"/>
    <w:link w:val="FootnoteTextChar"/>
    <w:uiPriority w:val="99"/>
    <w:semiHidden/>
    <w:unhideWhenUsed/>
    <w:rsid w:val="00C87E39"/>
    <w:pPr>
      <w:spacing w:after="0" w:line="240" w:lineRule="auto"/>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C87E39"/>
    <w:rPr>
      <w:rFonts w:ascii="Cambria" w:eastAsia="Times New Roman" w:hAnsi="Cambria" w:cs="Times New Roman"/>
      <w:sz w:val="20"/>
      <w:szCs w:val="20"/>
    </w:rPr>
  </w:style>
  <w:style w:type="paragraph" w:styleId="Revision">
    <w:name w:val="Revision"/>
    <w:hidden/>
    <w:uiPriority w:val="99"/>
    <w:semiHidden/>
    <w:rsid w:val="00D60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3028">
      <w:bodyDiv w:val="1"/>
      <w:marLeft w:val="0"/>
      <w:marRight w:val="0"/>
      <w:marTop w:val="0"/>
      <w:marBottom w:val="0"/>
      <w:divBdr>
        <w:top w:val="none" w:sz="0" w:space="0" w:color="auto"/>
        <w:left w:val="none" w:sz="0" w:space="0" w:color="auto"/>
        <w:bottom w:val="none" w:sz="0" w:space="0" w:color="auto"/>
        <w:right w:val="none" w:sz="0" w:space="0" w:color="auto"/>
      </w:divBdr>
    </w:div>
    <w:div w:id="425422457">
      <w:bodyDiv w:val="1"/>
      <w:marLeft w:val="0"/>
      <w:marRight w:val="0"/>
      <w:marTop w:val="0"/>
      <w:marBottom w:val="0"/>
      <w:divBdr>
        <w:top w:val="none" w:sz="0" w:space="0" w:color="auto"/>
        <w:left w:val="none" w:sz="0" w:space="0" w:color="auto"/>
        <w:bottom w:val="none" w:sz="0" w:space="0" w:color="auto"/>
        <w:right w:val="none" w:sz="0" w:space="0" w:color="auto"/>
      </w:divBdr>
    </w:div>
    <w:div w:id="689138458">
      <w:bodyDiv w:val="1"/>
      <w:marLeft w:val="0"/>
      <w:marRight w:val="0"/>
      <w:marTop w:val="0"/>
      <w:marBottom w:val="0"/>
      <w:divBdr>
        <w:top w:val="none" w:sz="0" w:space="0" w:color="auto"/>
        <w:left w:val="none" w:sz="0" w:space="0" w:color="auto"/>
        <w:bottom w:val="none" w:sz="0" w:space="0" w:color="auto"/>
        <w:right w:val="none" w:sz="0" w:space="0" w:color="auto"/>
      </w:divBdr>
    </w:div>
    <w:div w:id="938677898">
      <w:bodyDiv w:val="1"/>
      <w:marLeft w:val="0"/>
      <w:marRight w:val="0"/>
      <w:marTop w:val="0"/>
      <w:marBottom w:val="0"/>
      <w:divBdr>
        <w:top w:val="none" w:sz="0" w:space="0" w:color="auto"/>
        <w:left w:val="none" w:sz="0" w:space="0" w:color="auto"/>
        <w:bottom w:val="none" w:sz="0" w:space="0" w:color="auto"/>
        <w:right w:val="none" w:sz="0" w:space="0" w:color="auto"/>
      </w:divBdr>
    </w:div>
    <w:div w:id="1343315842">
      <w:bodyDiv w:val="1"/>
      <w:marLeft w:val="0"/>
      <w:marRight w:val="0"/>
      <w:marTop w:val="0"/>
      <w:marBottom w:val="0"/>
      <w:divBdr>
        <w:top w:val="none" w:sz="0" w:space="0" w:color="auto"/>
        <w:left w:val="none" w:sz="0" w:space="0" w:color="auto"/>
        <w:bottom w:val="none" w:sz="0" w:space="0" w:color="auto"/>
        <w:right w:val="none" w:sz="0" w:space="0" w:color="auto"/>
      </w:divBdr>
      <w:divsChild>
        <w:div w:id="1301114586">
          <w:marLeft w:val="0"/>
          <w:marRight w:val="0"/>
          <w:marTop w:val="0"/>
          <w:marBottom w:val="0"/>
          <w:divBdr>
            <w:top w:val="none" w:sz="0" w:space="0" w:color="auto"/>
            <w:left w:val="none" w:sz="0" w:space="0" w:color="auto"/>
            <w:bottom w:val="none" w:sz="0" w:space="0" w:color="auto"/>
            <w:right w:val="none" w:sz="0" w:space="0" w:color="auto"/>
          </w:divBdr>
          <w:divsChild>
            <w:div w:id="1252005631">
              <w:marLeft w:val="-225"/>
              <w:marRight w:val="-225"/>
              <w:marTop w:val="0"/>
              <w:marBottom w:val="0"/>
              <w:divBdr>
                <w:top w:val="none" w:sz="0" w:space="0" w:color="auto"/>
                <w:left w:val="none" w:sz="0" w:space="0" w:color="auto"/>
                <w:bottom w:val="none" w:sz="0" w:space="0" w:color="auto"/>
                <w:right w:val="none" w:sz="0" w:space="0" w:color="auto"/>
              </w:divBdr>
              <w:divsChild>
                <w:div w:id="863330262">
                  <w:marLeft w:val="0"/>
                  <w:marRight w:val="0"/>
                  <w:marTop w:val="0"/>
                  <w:marBottom w:val="0"/>
                  <w:divBdr>
                    <w:top w:val="none" w:sz="0" w:space="0" w:color="auto"/>
                    <w:left w:val="none" w:sz="0" w:space="0" w:color="auto"/>
                    <w:bottom w:val="none" w:sz="0" w:space="0" w:color="auto"/>
                    <w:right w:val="none" w:sz="0" w:space="0" w:color="auto"/>
                  </w:divBdr>
                  <w:divsChild>
                    <w:div w:id="1778209469">
                      <w:marLeft w:val="0"/>
                      <w:marRight w:val="0"/>
                      <w:marTop w:val="0"/>
                      <w:marBottom w:val="0"/>
                      <w:divBdr>
                        <w:top w:val="none" w:sz="0" w:space="0" w:color="auto"/>
                        <w:left w:val="none" w:sz="0" w:space="0" w:color="auto"/>
                        <w:bottom w:val="none" w:sz="0" w:space="0" w:color="auto"/>
                        <w:right w:val="none" w:sz="0" w:space="0" w:color="auto"/>
                      </w:divBdr>
                      <w:divsChild>
                        <w:div w:id="1084380649">
                          <w:marLeft w:val="0"/>
                          <w:marRight w:val="0"/>
                          <w:marTop w:val="0"/>
                          <w:marBottom w:val="0"/>
                          <w:divBdr>
                            <w:top w:val="none" w:sz="0" w:space="0" w:color="auto"/>
                            <w:left w:val="none" w:sz="0" w:space="0" w:color="auto"/>
                            <w:bottom w:val="none" w:sz="0" w:space="0" w:color="auto"/>
                            <w:right w:val="none" w:sz="0" w:space="0" w:color="auto"/>
                          </w:divBdr>
                          <w:divsChild>
                            <w:div w:id="144208519">
                              <w:marLeft w:val="0"/>
                              <w:marRight w:val="0"/>
                              <w:marTop w:val="0"/>
                              <w:marBottom w:val="0"/>
                              <w:divBdr>
                                <w:top w:val="none" w:sz="0" w:space="0" w:color="auto"/>
                                <w:left w:val="none" w:sz="0" w:space="0" w:color="auto"/>
                                <w:bottom w:val="none" w:sz="0" w:space="0" w:color="auto"/>
                                <w:right w:val="none" w:sz="0" w:space="0" w:color="auto"/>
                              </w:divBdr>
                              <w:divsChild>
                                <w:div w:id="11575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602769">
      <w:bodyDiv w:val="1"/>
      <w:marLeft w:val="0"/>
      <w:marRight w:val="0"/>
      <w:marTop w:val="0"/>
      <w:marBottom w:val="0"/>
      <w:divBdr>
        <w:top w:val="none" w:sz="0" w:space="0" w:color="auto"/>
        <w:left w:val="none" w:sz="0" w:space="0" w:color="auto"/>
        <w:bottom w:val="none" w:sz="0" w:space="0" w:color="auto"/>
        <w:right w:val="none" w:sz="0" w:space="0" w:color="auto"/>
      </w:divBdr>
      <w:divsChild>
        <w:div w:id="1863283082">
          <w:marLeft w:val="0"/>
          <w:marRight w:val="0"/>
          <w:marTop w:val="0"/>
          <w:marBottom w:val="0"/>
          <w:divBdr>
            <w:top w:val="none" w:sz="0" w:space="0" w:color="auto"/>
            <w:left w:val="none" w:sz="0" w:space="0" w:color="auto"/>
            <w:bottom w:val="none" w:sz="0" w:space="0" w:color="auto"/>
            <w:right w:val="none" w:sz="0" w:space="0" w:color="auto"/>
          </w:divBdr>
          <w:divsChild>
            <w:div w:id="646596692">
              <w:marLeft w:val="0"/>
              <w:marRight w:val="0"/>
              <w:marTop w:val="0"/>
              <w:marBottom w:val="0"/>
              <w:divBdr>
                <w:top w:val="none" w:sz="0" w:space="0" w:color="auto"/>
                <w:left w:val="none" w:sz="0" w:space="0" w:color="auto"/>
                <w:bottom w:val="none" w:sz="0" w:space="0" w:color="auto"/>
                <w:right w:val="none" w:sz="0" w:space="0" w:color="auto"/>
              </w:divBdr>
              <w:divsChild>
                <w:div w:id="1445807146">
                  <w:marLeft w:val="0"/>
                  <w:marRight w:val="0"/>
                  <w:marTop w:val="0"/>
                  <w:marBottom w:val="0"/>
                  <w:divBdr>
                    <w:top w:val="none" w:sz="0" w:space="0" w:color="auto"/>
                    <w:left w:val="none" w:sz="0" w:space="0" w:color="auto"/>
                    <w:bottom w:val="none" w:sz="0" w:space="0" w:color="auto"/>
                    <w:right w:val="none" w:sz="0" w:space="0" w:color="auto"/>
                  </w:divBdr>
                  <w:divsChild>
                    <w:div w:id="836967591">
                      <w:marLeft w:val="0"/>
                      <w:marRight w:val="0"/>
                      <w:marTop w:val="0"/>
                      <w:marBottom w:val="0"/>
                      <w:divBdr>
                        <w:top w:val="none" w:sz="0" w:space="0" w:color="auto"/>
                        <w:left w:val="none" w:sz="0" w:space="0" w:color="auto"/>
                        <w:bottom w:val="none" w:sz="0" w:space="0" w:color="auto"/>
                        <w:right w:val="none" w:sz="0" w:space="0" w:color="auto"/>
                      </w:divBdr>
                      <w:divsChild>
                        <w:div w:id="1944066938">
                          <w:marLeft w:val="0"/>
                          <w:marRight w:val="0"/>
                          <w:marTop w:val="0"/>
                          <w:marBottom w:val="0"/>
                          <w:divBdr>
                            <w:top w:val="none" w:sz="0" w:space="0" w:color="auto"/>
                            <w:left w:val="none" w:sz="0" w:space="0" w:color="auto"/>
                            <w:bottom w:val="none" w:sz="0" w:space="0" w:color="auto"/>
                            <w:right w:val="none" w:sz="0" w:space="0" w:color="auto"/>
                          </w:divBdr>
                          <w:divsChild>
                            <w:div w:id="1146778979">
                              <w:marLeft w:val="0"/>
                              <w:marRight w:val="0"/>
                              <w:marTop w:val="0"/>
                              <w:marBottom w:val="0"/>
                              <w:divBdr>
                                <w:top w:val="none" w:sz="0" w:space="0" w:color="auto"/>
                                <w:left w:val="none" w:sz="0" w:space="0" w:color="auto"/>
                                <w:bottom w:val="none" w:sz="0" w:space="0" w:color="auto"/>
                                <w:right w:val="none" w:sz="0" w:space="0" w:color="auto"/>
                              </w:divBdr>
                              <w:divsChild>
                                <w:div w:id="995304182">
                                  <w:marLeft w:val="0"/>
                                  <w:marRight w:val="0"/>
                                  <w:marTop w:val="0"/>
                                  <w:marBottom w:val="0"/>
                                  <w:divBdr>
                                    <w:top w:val="none" w:sz="0" w:space="0" w:color="auto"/>
                                    <w:left w:val="none" w:sz="0" w:space="0" w:color="auto"/>
                                    <w:bottom w:val="none" w:sz="0" w:space="0" w:color="auto"/>
                                    <w:right w:val="none" w:sz="0" w:space="0" w:color="auto"/>
                                  </w:divBdr>
                                  <w:divsChild>
                                    <w:div w:id="993484358">
                                      <w:marLeft w:val="0"/>
                                      <w:marRight w:val="0"/>
                                      <w:marTop w:val="0"/>
                                      <w:marBottom w:val="0"/>
                                      <w:divBdr>
                                        <w:top w:val="none" w:sz="0" w:space="0" w:color="auto"/>
                                        <w:left w:val="none" w:sz="0" w:space="0" w:color="auto"/>
                                        <w:bottom w:val="none" w:sz="0" w:space="0" w:color="auto"/>
                                        <w:right w:val="none" w:sz="0" w:space="0" w:color="auto"/>
                                      </w:divBdr>
                                      <w:divsChild>
                                        <w:div w:id="376127270">
                                          <w:marLeft w:val="0"/>
                                          <w:marRight w:val="0"/>
                                          <w:marTop w:val="0"/>
                                          <w:marBottom w:val="0"/>
                                          <w:divBdr>
                                            <w:top w:val="none" w:sz="0" w:space="0" w:color="auto"/>
                                            <w:left w:val="none" w:sz="0" w:space="0" w:color="auto"/>
                                            <w:bottom w:val="none" w:sz="0" w:space="0" w:color="auto"/>
                                            <w:right w:val="none" w:sz="0" w:space="0" w:color="auto"/>
                                          </w:divBdr>
                                          <w:divsChild>
                                            <w:div w:id="2058820514">
                                              <w:marLeft w:val="0"/>
                                              <w:marRight w:val="0"/>
                                              <w:marTop w:val="0"/>
                                              <w:marBottom w:val="0"/>
                                              <w:divBdr>
                                                <w:top w:val="none" w:sz="0" w:space="0" w:color="auto"/>
                                                <w:left w:val="none" w:sz="0" w:space="0" w:color="auto"/>
                                                <w:bottom w:val="none" w:sz="0" w:space="0" w:color="auto"/>
                                                <w:right w:val="none" w:sz="0" w:space="0" w:color="auto"/>
                                              </w:divBdr>
                                              <w:divsChild>
                                                <w:div w:id="1484350517">
                                                  <w:marLeft w:val="0"/>
                                                  <w:marRight w:val="0"/>
                                                  <w:marTop w:val="0"/>
                                                  <w:marBottom w:val="0"/>
                                                  <w:divBdr>
                                                    <w:top w:val="none" w:sz="0" w:space="0" w:color="auto"/>
                                                    <w:left w:val="none" w:sz="0" w:space="0" w:color="auto"/>
                                                    <w:bottom w:val="none" w:sz="0" w:space="0" w:color="auto"/>
                                                    <w:right w:val="none" w:sz="0" w:space="0" w:color="auto"/>
                                                  </w:divBdr>
                                                  <w:divsChild>
                                                    <w:div w:id="668102543">
                                                      <w:marLeft w:val="0"/>
                                                      <w:marRight w:val="0"/>
                                                      <w:marTop w:val="0"/>
                                                      <w:marBottom w:val="0"/>
                                                      <w:divBdr>
                                                        <w:top w:val="none" w:sz="0" w:space="0" w:color="auto"/>
                                                        <w:left w:val="none" w:sz="0" w:space="0" w:color="auto"/>
                                                        <w:bottom w:val="none" w:sz="0" w:space="0" w:color="auto"/>
                                                        <w:right w:val="none" w:sz="0" w:space="0" w:color="auto"/>
                                                      </w:divBdr>
                                                      <w:divsChild>
                                                        <w:div w:id="11070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27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AD1C1-0C5E-4FE2-B36E-7EB89F1C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17</Pages>
  <Words>6212</Words>
  <Characters>35412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Seeta FRAHM-JENSEN</dc:creator>
  <cp:keywords/>
  <dc:description/>
  <cp:lastModifiedBy>Andrew KILEY</cp:lastModifiedBy>
  <cp:revision>90</cp:revision>
  <dcterms:created xsi:type="dcterms:W3CDTF">2018-05-30T02:59:00Z</dcterms:created>
  <dcterms:modified xsi:type="dcterms:W3CDTF">2018-06-09T06:14:00Z</dcterms:modified>
</cp:coreProperties>
</file>