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B3" w:rsidRPr="005D1ABF" w:rsidRDefault="001813AC" w:rsidP="00511B9B">
      <w:pPr>
        <w:spacing w:after="0" w:line="240" w:lineRule="auto"/>
        <w:jc w:val="center"/>
        <w:rPr>
          <w:rFonts w:ascii="Times New Roman" w:hAnsi="Times New Roman" w:cs="Times New Roman"/>
          <w:b/>
          <w:caps/>
          <w:sz w:val="24"/>
          <w:szCs w:val="24"/>
          <w:u w:val="single"/>
        </w:rPr>
      </w:pPr>
      <w:bookmarkStart w:id="0" w:name="_GoBack"/>
      <w:bookmarkEnd w:id="0"/>
      <w:r w:rsidRPr="005D1ABF">
        <w:rPr>
          <w:rFonts w:ascii="Times New Roman" w:hAnsi="Times New Roman" w:cs="Times New Roman"/>
          <w:b/>
          <w:caps/>
          <w:sz w:val="24"/>
          <w:szCs w:val="24"/>
          <w:u w:val="single"/>
        </w:rPr>
        <w:t>Explanatory Statement</w:t>
      </w:r>
    </w:p>
    <w:p w:rsidR="005D1ABF" w:rsidRPr="005D1ABF" w:rsidRDefault="005D1ABF" w:rsidP="00511B9B">
      <w:pPr>
        <w:spacing w:after="0" w:line="240" w:lineRule="auto"/>
        <w:jc w:val="center"/>
        <w:rPr>
          <w:rFonts w:ascii="Times New Roman" w:hAnsi="Times New Roman" w:cs="Times New Roman"/>
          <w:b/>
          <w:caps/>
          <w:sz w:val="24"/>
          <w:szCs w:val="24"/>
          <w:u w:val="single"/>
        </w:rPr>
      </w:pPr>
    </w:p>
    <w:p w:rsidR="00A82A52" w:rsidRPr="00A82A52" w:rsidRDefault="00A82A52" w:rsidP="00A82A52">
      <w:pPr>
        <w:spacing w:line="240" w:lineRule="auto"/>
        <w:jc w:val="center"/>
        <w:rPr>
          <w:rFonts w:ascii="Times New Roman" w:hAnsi="Times New Roman"/>
          <w:sz w:val="24"/>
          <w:szCs w:val="24"/>
          <w:u w:val="single"/>
        </w:rPr>
      </w:pPr>
      <w:r w:rsidRPr="00A82A52">
        <w:rPr>
          <w:rFonts w:ascii="Times New Roman" w:hAnsi="Times New Roman"/>
          <w:sz w:val="24"/>
          <w:szCs w:val="24"/>
          <w:u w:val="single"/>
        </w:rPr>
        <w:t>Issued by the Authority of the Minister for Agriculture and Water Resources</w:t>
      </w:r>
    </w:p>
    <w:p w:rsidR="002B1DB3" w:rsidRPr="00BD68AE" w:rsidRDefault="002B1DB3" w:rsidP="00511B9B">
      <w:pPr>
        <w:spacing w:after="0" w:line="240" w:lineRule="auto"/>
        <w:jc w:val="center"/>
        <w:rPr>
          <w:rFonts w:ascii="Times New Roman" w:hAnsi="Times New Roman" w:cs="Times New Roman"/>
          <w:sz w:val="24"/>
          <w:szCs w:val="24"/>
        </w:rPr>
      </w:pPr>
    </w:p>
    <w:p w:rsidR="002B1DB3" w:rsidRPr="00BD68AE" w:rsidRDefault="00166169" w:rsidP="00511B9B">
      <w:pPr>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u w:val="single"/>
        </w:rPr>
        <w:t>Water Act 2007</w:t>
      </w:r>
    </w:p>
    <w:p w:rsidR="002B1DB3" w:rsidRPr="00BD68AE" w:rsidRDefault="002B1DB3" w:rsidP="00511B9B">
      <w:pPr>
        <w:spacing w:after="0" w:line="240" w:lineRule="auto"/>
        <w:jc w:val="center"/>
        <w:rPr>
          <w:rFonts w:ascii="Times New Roman" w:hAnsi="Times New Roman" w:cs="Times New Roman"/>
          <w:sz w:val="24"/>
          <w:szCs w:val="24"/>
        </w:rPr>
      </w:pPr>
    </w:p>
    <w:p w:rsidR="00E7142E" w:rsidRDefault="00E7142E" w:rsidP="006020E8">
      <w:pPr>
        <w:spacing w:after="0" w:line="240" w:lineRule="auto"/>
        <w:jc w:val="center"/>
        <w:rPr>
          <w:rFonts w:ascii="Times New Roman" w:hAnsi="Times New Roman" w:cs="Times New Roman"/>
          <w:i/>
          <w:sz w:val="24"/>
          <w:szCs w:val="24"/>
          <w:u w:val="single"/>
        </w:rPr>
      </w:pPr>
      <w:r w:rsidRPr="00E7142E">
        <w:rPr>
          <w:rFonts w:ascii="Times New Roman" w:hAnsi="Times New Roman" w:cs="Times New Roman"/>
          <w:i/>
          <w:sz w:val="24"/>
          <w:szCs w:val="24"/>
          <w:u w:val="single"/>
        </w:rPr>
        <w:t>Basin Plan Am</w:t>
      </w:r>
      <w:r>
        <w:rPr>
          <w:rFonts w:ascii="Times New Roman" w:hAnsi="Times New Roman" w:cs="Times New Roman"/>
          <w:i/>
          <w:sz w:val="24"/>
          <w:szCs w:val="24"/>
          <w:u w:val="single"/>
        </w:rPr>
        <w:t>endment Instrument (No. 1) 2018</w:t>
      </w:r>
    </w:p>
    <w:p w:rsidR="001C09FB" w:rsidRPr="00003855" w:rsidRDefault="001C09FB" w:rsidP="00511B9B">
      <w:pPr>
        <w:spacing w:after="0" w:line="240" w:lineRule="auto"/>
        <w:jc w:val="center"/>
        <w:rPr>
          <w:rFonts w:ascii="Times New Roman" w:hAnsi="Times New Roman" w:cs="Times New Roman"/>
          <w:i/>
          <w:sz w:val="24"/>
          <w:szCs w:val="24"/>
        </w:rPr>
      </w:pPr>
    </w:p>
    <w:p w:rsidR="00192D07" w:rsidRDefault="007048C3" w:rsidP="00511B9B">
      <w:pPr>
        <w:tabs>
          <w:tab w:val="left" w:pos="1701"/>
          <w:tab w:val="right" w:pos="9072"/>
        </w:tabs>
        <w:spacing w:after="0" w:line="240" w:lineRule="auto"/>
        <w:rPr>
          <w:rFonts w:ascii="Times New Roman" w:hAnsi="Times New Roman" w:cs="Times New Roman"/>
          <w:sz w:val="24"/>
        </w:rPr>
        <w:sectPr w:rsidR="00192D07" w:rsidSect="00941551">
          <w:footerReference w:type="default" r:id="rId11"/>
          <w:footerReference w:type="first" r:id="rId12"/>
          <w:pgSz w:w="11907" w:h="16840" w:code="9"/>
          <w:pgMar w:top="1418" w:right="1418" w:bottom="1418" w:left="1418" w:header="284" w:footer="318" w:gutter="0"/>
          <w:pgNumType w:start="1"/>
          <w:cols w:space="720"/>
          <w:titlePg/>
          <w:docGrid w:linePitch="360"/>
        </w:sectPr>
      </w:pPr>
      <w:r>
        <w:rPr>
          <w:rFonts w:ascii="Times New Roman" w:hAnsi="Times New Roman" w:cs="Times New Roman"/>
          <w:sz w:val="24"/>
        </w:rPr>
        <w:t>T</w:t>
      </w:r>
      <w:r w:rsidRPr="00D01BF9">
        <w:rPr>
          <w:rFonts w:ascii="Times New Roman" w:hAnsi="Times New Roman" w:cs="Times New Roman"/>
          <w:sz w:val="24"/>
        </w:rPr>
        <w:t xml:space="preserve">he </w:t>
      </w:r>
      <w:r w:rsidRPr="006D7481">
        <w:rPr>
          <w:rFonts w:ascii="Times New Roman" w:hAnsi="Times New Roman" w:cs="Times New Roman"/>
          <w:i/>
          <w:sz w:val="24"/>
        </w:rPr>
        <w:t>Basin Plan 2012</w:t>
      </w:r>
      <w:r w:rsidRPr="00D01BF9">
        <w:rPr>
          <w:rFonts w:ascii="Times New Roman" w:hAnsi="Times New Roman" w:cs="Times New Roman"/>
          <w:sz w:val="24"/>
        </w:rPr>
        <w:t xml:space="preserve"> (the Basin Plan)</w:t>
      </w:r>
      <w:r>
        <w:rPr>
          <w:rFonts w:ascii="Times New Roman" w:hAnsi="Times New Roman" w:cs="Times New Roman"/>
          <w:sz w:val="24"/>
        </w:rPr>
        <w:t xml:space="preserve"> provides f</w:t>
      </w:r>
      <w:r w:rsidR="00511B9B">
        <w:rPr>
          <w:rFonts w:ascii="Times New Roman" w:hAnsi="Times New Roman" w:cs="Times New Roman"/>
          <w:sz w:val="24"/>
        </w:rPr>
        <w:t xml:space="preserve">or the integrated management of </w:t>
      </w:r>
    </w:p>
    <w:p w:rsidR="00075C1C" w:rsidRDefault="00D4419D" w:rsidP="00511B9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Murray</w:t>
      </w:r>
      <w:r w:rsidR="002B42B9">
        <w:rPr>
          <w:rFonts w:ascii="Times New Roman" w:hAnsi="Times New Roman" w:cs="Times New Roman"/>
          <w:sz w:val="24"/>
        </w:rPr>
        <w:t>-</w:t>
      </w:r>
      <w:r w:rsidR="00544AAB">
        <w:rPr>
          <w:rFonts w:ascii="Times New Roman" w:hAnsi="Times New Roman" w:cs="Times New Roman"/>
          <w:sz w:val="24"/>
        </w:rPr>
        <w:t xml:space="preserve">Darling </w:t>
      </w:r>
      <w:r w:rsidR="007048C3">
        <w:rPr>
          <w:rFonts w:ascii="Times New Roman" w:hAnsi="Times New Roman" w:cs="Times New Roman"/>
          <w:sz w:val="24"/>
        </w:rPr>
        <w:t xml:space="preserve">Basin water resources in a way that promotes the objects of the </w:t>
      </w:r>
      <w:r w:rsidR="007048C3" w:rsidRPr="00D22A65">
        <w:rPr>
          <w:rFonts w:ascii="Times New Roman" w:hAnsi="Times New Roman" w:cs="Times New Roman"/>
          <w:i/>
          <w:sz w:val="24"/>
        </w:rPr>
        <w:t>Water Act 2007</w:t>
      </w:r>
      <w:r w:rsidR="007048C3" w:rsidRPr="00D22A65">
        <w:rPr>
          <w:rFonts w:ascii="Times New Roman" w:hAnsi="Times New Roman" w:cs="Times New Roman"/>
          <w:sz w:val="24"/>
        </w:rPr>
        <w:t xml:space="preserve"> (the Water Act)</w:t>
      </w:r>
      <w:r w:rsidR="007048C3" w:rsidRPr="00D01BF9">
        <w:rPr>
          <w:rFonts w:ascii="Times New Roman" w:hAnsi="Times New Roman" w:cs="Times New Roman"/>
          <w:sz w:val="24"/>
        </w:rPr>
        <w:t>.</w:t>
      </w:r>
    </w:p>
    <w:p w:rsidR="00075C1C" w:rsidRDefault="00075C1C" w:rsidP="00511B9B">
      <w:pPr>
        <w:tabs>
          <w:tab w:val="left" w:pos="1701"/>
          <w:tab w:val="right" w:pos="9072"/>
        </w:tabs>
        <w:spacing w:after="0" w:line="240" w:lineRule="auto"/>
        <w:rPr>
          <w:rFonts w:ascii="Times New Roman" w:hAnsi="Times New Roman" w:cs="Times New Roman"/>
          <w:sz w:val="24"/>
        </w:rPr>
      </w:pPr>
    </w:p>
    <w:p w:rsidR="00403878" w:rsidRPr="00403878" w:rsidRDefault="00312B0C" w:rsidP="00403878">
      <w:pPr>
        <w:tabs>
          <w:tab w:val="left" w:pos="1701"/>
          <w:tab w:val="right" w:pos="9072"/>
        </w:tabs>
        <w:spacing w:after="0" w:line="240" w:lineRule="auto"/>
        <w:rPr>
          <w:rFonts w:ascii="Times New Roman" w:hAnsi="Times New Roman" w:cs="Times New Roman"/>
          <w:sz w:val="24"/>
          <w:szCs w:val="24"/>
        </w:rPr>
      </w:pPr>
      <w:r w:rsidRPr="00403878">
        <w:rPr>
          <w:rFonts w:ascii="Times New Roman" w:hAnsi="Times New Roman" w:cs="Times New Roman"/>
          <w:sz w:val="24"/>
          <w:szCs w:val="24"/>
        </w:rPr>
        <w:t xml:space="preserve">The </w:t>
      </w:r>
      <w:r w:rsidR="00E7142E" w:rsidRPr="00403878">
        <w:rPr>
          <w:rFonts w:ascii="Times New Roman" w:hAnsi="Times New Roman" w:cs="Times New Roman"/>
          <w:i/>
          <w:sz w:val="24"/>
          <w:szCs w:val="24"/>
        </w:rPr>
        <w:t xml:space="preserve">Basin Plan Amendment Instrument (No. 1) 2018 </w:t>
      </w:r>
      <w:r w:rsidRPr="00403878">
        <w:rPr>
          <w:rFonts w:ascii="Times New Roman" w:hAnsi="Times New Roman" w:cs="Times New Roman"/>
          <w:sz w:val="24"/>
          <w:szCs w:val="24"/>
        </w:rPr>
        <w:t xml:space="preserve">(the Amendment Instrument) </w:t>
      </w:r>
      <w:r w:rsidR="00075C1C" w:rsidRPr="00403878">
        <w:rPr>
          <w:rFonts w:ascii="Times New Roman" w:hAnsi="Times New Roman" w:cs="Times New Roman"/>
          <w:sz w:val="24"/>
          <w:szCs w:val="24"/>
        </w:rPr>
        <w:t>was</w:t>
      </w:r>
      <w:r w:rsidR="00697877" w:rsidRPr="00403878">
        <w:rPr>
          <w:rFonts w:ascii="Times New Roman" w:hAnsi="Times New Roman" w:cs="Times New Roman"/>
          <w:sz w:val="24"/>
          <w:szCs w:val="24"/>
        </w:rPr>
        <w:t xml:space="preserve"> </w:t>
      </w:r>
      <w:r w:rsidR="004345AD">
        <w:rPr>
          <w:rFonts w:ascii="Times New Roman" w:hAnsi="Times New Roman" w:cs="Times New Roman"/>
          <w:sz w:val="24"/>
          <w:szCs w:val="24"/>
        </w:rPr>
        <w:t>prepared by the Murray-</w:t>
      </w:r>
      <w:r w:rsidR="0001696D" w:rsidRPr="00017BE4">
        <w:rPr>
          <w:rFonts w:ascii="Times New Roman" w:hAnsi="Times New Roman" w:cs="Times New Roman"/>
          <w:sz w:val="24"/>
          <w:szCs w:val="24"/>
        </w:rPr>
        <w:t>Darling B</w:t>
      </w:r>
      <w:r w:rsidR="0001696D" w:rsidRPr="00E05466">
        <w:rPr>
          <w:rFonts w:ascii="Times New Roman" w:hAnsi="Times New Roman" w:cs="Times New Roman"/>
          <w:sz w:val="24"/>
          <w:szCs w:val="24"/>
        </w:rPr>
        <w:t xml:space="preserve">asin Authority (the Authority) following </w:t>
      </w:r>
      <w:r w:rsidR="004345AD">
        <w:rPr>
          <w:rFonts w:ascii="Times New Roman" w:hAnsi="Times New Roman" w:cs="Times New Roman"/>
          <w:sz w:val="24"/>
          <w:szCs w:val="24"/>
        </w:rPr>
        <w:t xml:space="preserve">a </w:t>
      </w:r>
      <w:r w:rsidR="0001696D" w:rsidRPr="00E05466">
        <w:rPr>
          <w:rFonts w:ascii="Times New Roman" w:hAnsi="Times New Roman" w:cs="Times New Roman"/>
          <w:sz w:val="24"/>
          <w:szCs w:val="24"/>
        </w:rPr>
        <w:t xml:space="preserve">direction from the Minister made under section 49AA of the Water Act. The Amendment Instrument </w:t>
      </w:r>
      <w:r w:rsidR="004345AD">
        <w:rPr>
          <w:rFonts w:ascii="Times New Roman" w:hAnsi="Times New Roman" w:cs="Times New Roman"/>
          <w:sz w:val="24"/>
          <w:szCs w:val="24"/>
        </w:rPr>
        <w:t xml:space="preserve">is </w:t>
      </w:r>
      <w:r w:rsidR="00403878" w:rsidRPr="00D37CDC">
        <w:rPr>
          <w:rFonts w:ascii="Times New Roman" w:hAnsi="Times New Roman" w:cs="Times New Roman"/>
          <w:sz w:val="24"/>
          <w:szCs w:val="24"/>
        </w:rPr>
        <w:t>the</w:t>
      </w:r>
      <w:r w:rsidR="0001696D" w:rsidRPr="00403878">
        <w:rPr>
          <w:rFonts w:ascii="Times New Roman" w:hAnsi="Times New Roman" w:cs="Times New Roman"/>
          <w:sz w:val="24"/>
          <w:szCs w:val="24"/>
        </w:rPr>
        <w:t xml:space="preserve"> same </w:t>
      </w:r>
      <w:r w:rsidR="00403878" w:rsidRPr="00D37CDC">
        <w:rPr>
          <w:rFonts w:ascii="Times New Roman" w:hAnsi="Times New Roman" w:cs="Times New Roman"/>
          <w:sz w:val="24"/>
          <w:szCs w:val="24"/>
        </w:rPr>
        <w:t xml:space="preserve">in </w:t>
      </w:r>
      <w:r w:rsidR="0001696D" w:rsidRPr="00403878">
        <w:rPr>
          <w:rFonts w:ascii="Times New Roman" w:hAnsi="Times New Roman" w:cs="Times New Roman"/>
          <w:sz w:val="24"/>
          <w:szCs w:val="24"/>
        </w:rPr>
        <w:t xml:space="preserve">effect </w:t>
      </w:r>
      <w:r w:rsidR="0001696D" w:rsidRPr="00D37CDC">
        <w:rPr>
          <w:rFonts w:ascii="Times New Roman" w:hAnsi="Times New Roman" w:cs="Times New Roman"/>
          <w:sz w:val="24"/>
          <w:szCs w:val="24"/>
        </w:rPr>
        <w:t>as a Basin Plan amendment that has previously been disallowed, or taken to have been disallowed</w:t>
      </w:r>
      <w:r w:rsidR="004345AD" w:rsidRPr="006445EB">
        <w:rPr>
          <w:rFonts w:ascii="Times New Roman" w:hAnsi="Times New Roman" w:cs="Times New Roman"/>
          <w:sz w:val="24"/>
          <w:szCs w:val="24"/>
        </w:rPr>
        <w:t>, by either House of Parliament, that is</w:t>
      </w:r>
      <w:r w:rsidR="004345AD">
        <w:rPr>
          <w:rFonts w:ascii="Times New Roman" w:hAnsi="Times New Roman" w:cs="Times New Roman"/>
          <w:sz w:val="24"/>
          <w:szCs w:val="24"/>
        </w:rPr>
        <w:t>,</w:t>
      </w:r>
      <w:r w:rsidR="004345AD" w:rsidRPr="006445EB">
        <w:rPr>
          <w:rFonts w:ascii="Times New Roman" w:hAnsi="Times New Roman" w:cs="Times New Roman"/>
          <w:sz w:val="24"/>
          <w:szCs w:val="24"/>
        </w:rPr>
        <w:t xml:space="preserve"> the </w:t>
      </w:r>
      <w:r w:rsidR="004345AD" w:rsidRPr="00D37CDC">
        <w:rPr>
          <w:rFonts w:ascii="Times New Roman" w:hAnsi="Times New Roman" w:cs="Times New Roman"/>
          <w:i/>
          <w:sz w:val="24"/>
          <w:szCs w:val="24"/>
        </w:rPr>
        <w:t>Basin Plan</w:t>
      </w:r>
      <w:r w:rsidR="0001696D" w:rsidRPr="00D37CDC">
        <w:rPr>
          <w:rFonts w:ascii="Times New Roman" w:hAnsi="Times New Roman" w:cs="Times New Roman"/>
          <w:i/>
          <w:sz w:val="24"/>
          <w:szCs w:val="24"/>
        </w:rPr>
        <w:t xml:space="preserve"> </w:t>
      </w:r>
      <w:r w:rsidR="00403878" w:rsidRPr="006445EB">
        <w:rPr>
          <w:rFonts w:ascii="Times New Roman" w:hAnsi="Times New Roman" w:cs="Times New Roman"/>
          <w:i/>
          <w:sz w:val="24"/>
          <w:szCs w:val="24"/>
        </w:rPr>
        <w:t xml:space="preserve">Amendment </w:t>
      </w:r>
      <w:r w:rsidR="00403878" w:rsidRPr="00403878">
        <w:rPr>
          <w:rFonts w:ascii="Times New Roman" w:hAnsi="Times New Roman" w:cs="Times New Roman"/>
          <w:i/>
          <w:sz w:val="24"/>
          <w:szCs w:val="24"/>
        </w:rPr>
        <w:t>Instrument 2017 (No. 1)</w:t>
      </w:r>
      <w:r w:rsidR="00522306">
        <w:rPr>
          <w:rFonts w:ascii="Times New Roman" w:hAnsi="Times New Roman" w:cs="Times New Roman"/>
          <w:sz w:val="24"/>
          <w:szCs w:val="24"/>
        </w:rPr>
        <w:t xml:space="preserve"> (the Disallowed Instrument)</w:t>
      </w:r>
      <w:r w:rsidR="004345AD">
        <w:rPr>
          <w:rFonts w:ascii="Times New Roman" w:hAnsi="Times New Roman" w:cs="Times New Roman"/>
          <w:i/>
          <w:sz w:val="24"/>
          <w:szCs w:val="24"/>
        </w:rPr>
        <w:t xml:space="preserve">. </w:t>
      </w:r>
      <w:r w:rsidR="004345AD">
        <w:rPr>
          <w:rFonts w:ascii="Times New Roman" w:hAnsi="Times New Roman" w:cs="Times New Roman"/>
          <w:sz w:val="24"/>
          <w:szCs w:val="24"/>
        </w:rPr>
        <w:t>This instrument</w:t>
      </w:r>
      <w:r w:rsidR="00403878" w:rsidRPr="00D37CDC">
        <w:rPr>
          <w:rFonts w:ascii="Times New Roman" w:hAnsi="Times New Roman" w:cs="Times New Roman"/>
          <w:sz w:val="24"/>
          <w:szCs w:val="24"/>
        </w:rPr>
        <w:t xml:space="preserve"> </w:t>
      </w:r>
      <w:r w:rsidR="00403878" w:rsidRPr="00403878">
        <w:rPr>
          <w:rFonts w:ascii="Times New Roman" w:hAnsi="Times New Roman" w:cs="Times New Roman"/>
          <w:sz w:val="24"/>
          <w:szCs w:val="24"/>
        </w:rPr>
        <w:t xml:space="preserve">was disallowed by the Senate on 14 February 2018. </w:t>
      </w:r>
    </w:p>
    <w:p w:rsidR="00403878" w:rsidRDefault="00403878" w:rsidP="00403878">
      <w:pPr>
        <w:tabs>
          <w:tab w:val="left" w:pos="1701"/>
          <w:tab w:val="right" w:pos="9072"/>
        </w:tabs>
        <w:spacing w:after="0" w:line="240" w:lineRule="auto"/>
        <w:rPr>
          <w:rFonts w:ascii="Times New Roman" w:hAnsi="Times New Roman" w:cs="Times New Roman"/>
          <w:sz w:val="24"/>
        </w:rPr>
      </w:pPr>
    </w:p>
    <w:p w:rsidR="00403878" w:rsidRPr="00403878" w:rsidRDefault="00403878" w:rsidP="00B52150">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As this amendment is the same in effect as the </w:t>
      </w:r>
      <w:r w:rsidR="00522306">
        <w:rPr>
          <w:rFonts w:ascii="Times New Roman" w:hAnsi="Times New Roman" w:cs="Times New Roman"/>
          <w:sz w:val="24"/>
        </w:rPr>
        <w:t>D</w:t>
      </w:r>
      <w:r>
        <w:rPr>
          <w:rFonts w:ascii="Times New Roman" w:hAnsi="Times New Roman" w:cs="Times New Roman"/>
          <w:sz w:val="24"/>
        </w:rPr>
        <w:t xml:space="preserve">isallowed </w:t>
      </w:r>
      <w:r w:rsidR="00522306" w:rsidRPr="00522306">
        <w:rPr>
          <w:rFonts w:ascii="Times New Roman" w:hAnsi="Times New Roman" w:cs="Times New Roman"/>
          <w:sz w:val="24"/>
        </w:rPr>
        <w:t>Instrument</w:t>
      </w:r>
      <w:r w:rsidRPr="00522306">
        <w:rPr>
          <w:rFonts w:ascii="Times New Roman" w:hAnsi="Times New Roman" w:cs="Times New Roman"/>
          <w:sz w:val="24"/>
        </w:rPr>
        <w:t xml:space="preserve"> </w:t>
      </w:r>
      <w:r>
        <w:rPr>
          <w:rFonts w:ascii="Times New Roman" w:hAnsi="Times New Roman" w:cs="Times New Roman"/>
          <w:sz w:val="24"/>
        </w:rPr>
        <w:t xml:space="preserve">and prepared under section 49AA of the Water Act, </w:t>
      </w:r>
      <w:r w:rsidRPr="00D37CDC">
        <w:rPr>
          <w:rFonts w:ascii="Times New Roman" w:hAnsi="Times New Roman" w:cs="Times New Roman"/>
          <w:sz w:val="24"/>
        </w:rPr>
        <w:t xml:space="preserve">the Authority </w:t>
      </w:r>
      <w:r w:rsidR="004345AD">
        <w:rPr>
          <w:rFonts w:ascii="Times New Roman" w:hAnsi="Times New Roman" w:cs="Times New Roman"/>
          <w:sz w:val="24"/>
        </w:rPr>
        <w:t xml:space="preserve">is not required </w:t>
      </w:r>
      <w:r w:rsidR="00166169">
        <w:rPr>
          <w:rFonts w:ascii="Times New Roman" w:hAnsi="Times New Roman" w:cs="Times New Roman"/>
          <w:sz w:val="24"/>
        </w:rPr>
        <w:t xml:space="preserve">under subsection 49AA(4) </w:t>
      </w:r>
      <w:r w:rsidR="004345AD">
        <w:rPr>
          <w:rFonts w:ascii="Times New Roman" w:hAnsi="Times New Roman" w:cs="Times New Roman"/>
          <w:sz w:val="24"/>
        </w:rPr>
        <w:t>to</w:t>
      </w:r>
      <w:r>
        <w:rPr>
          <w:rFonts w:ascii="Times New Roman" w:hAnsi="Times New Roman" w:cs="Times New Roman"/>
          <w:sz w:val="24"/>
        </w:rPr>
        <w:t xml:space="preserve"> undertake the extensive consultation process under sections 46-48 of the Water Act. </w:t>
      </w:r>
    </w:p>
    <w:p w:rsidR="00403878" w:rsidRDefault="00403878" w:rsidP="00B52150">
      <w:pPr>
        <w:tabs>
          <w:tab w:val="left" w:pos="1701"/>
          <w:tab w:val="right" w:pos="9072"/>
        </w:tabs>
        <w:spacing w:after="0" w:line="240" w:lineRule="auto"/>
        <w:rPr>
          <w:rFonts w:ascii="Times New Roman" w:hAnsi="Times New Roman" w:cs="Times New Roman"/>
          <w:sz w:val="24"/>
        </w:rPr>
      </w:pPr>
    </w:p>
    <w:p w:rsidR="007048C3" w:rsidRPr="00D01BF9" w:rsidRDefault="00312B0C" w:rsidP="00511B9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sidR="00697877">
        <w:rPr>
          <w:rFonts w:ascii="Times New Roman" w:hAnsi="Times New Roman" w:cs="Times New Roman"/>
          <w:sz w:val="24"/>
        </w:rPr>
        <w:t>A</w:t>
      </w:r>
      <w:r w:rsidR="005A0DDB">
        <w:rPr>
          <w:rFonts w:ascii="Times New Roman" w:hAnsi="Times New Roman" w:cs="Times New Roman"/>
          <w:sz w:val="24"/>
        </w:rPr>
        <w:t>mendment Instrument</w:t>
      </w:r>
      <w:r>
        <w:rPr>
          <w:rFonts w:ascii="Times New Roman" w:hAnsi="Times New Roman" w:cs="Times New Roman"/>
          <w:sz w:val="24"/>
        </w:rPr>
        <w:t xml:space="preserve"> </w:t>
      </w:r>
      <w:r w:rsidR="007048C3" w:rsidRPr="00D01BF9">
        <w:rPr>
          <w:rFonts w:ascii="Times New Roman" w:hAnsi="Times New Roman" w:cs="Times New Roman"/>
          <w:sz w:val="24"/>
        </w:rPr>
        <w:t>amends</w:t>
      </w:r>
      <w:r w:rsidR="007048C3">
        <w:rPr>
          <w:rFonts w:ascii="Times New Roman" w:hAnsi="Times New Roman" w:cs="Times New Roman"/>
          <w:sz w:val="24"/>
        </w:rPr>
        <w:t xml:space="preserve"> the Basin Plan to implement changes to the Basin Plan arising from several reviews: the Northern Basin Review of sustainable diversion limits</w:t>
      </w:r>
      <w:r w:rsidR="00226300">
        <w:rPr>
          <w:rFonts w:ascii="Times New Roman" w:hAnsi="Times New Roman" w:cs="Times New Roman"/>
          <w:sz w:val="24"/>
        </w:rPr>
        <w:t xml:space="preserve"> (SDLs)</w:t>
      </w:r>
      <w:r w:rsidR="007048C3">
        <w:rPr>
          <w:rFonts w:ascii="Times New Roman" w:hAnsi="Times New Roman" w:cs="Times New Roman"/>
          <w:sz w:val="24"/>
        </w:rPr>
        <w:t xml:space="preserve">; a review of </w:t>
      </w:r>
      <w:r w:rsidR="00226300">
        <w:rPr>
          <w:rFonts w:ascii="Times New Roman" w:hAnsi="Times New Roman" w:cs="Times New Roman"/>
          <w:sz w:val="24"/>
        </w:rPr>
        <w:t>SDLs</w:t>
      </w:r>
      <w:r w:rsidR="007048C3">
        <w:rPr>
          <w:rFonts w:ascii="Times New Roman" w:hAnsi="Times New Roman" w:cs="Times New Roman"/>
          <w:sz w:val="24"/>
        </w:rPr>
        <w:t xml:space="preserve"> for three groundwater areas; and the Australian Government’s response to the independent review of the Water Act. The </w:t>
      </w:r>
      <w:r w:rsidR="00766648">
        <w:rPr>
          <w:rFonts w:ascii="Times New Roman" w:hAnsi="Times New Roman" w:cs="Times New Roman"/>
          <w:sz w:val="24"/>
        </w:rPr>
        <w:t xml:space="preserve">Amendment </w:t>
      </w:r>
      <w:r w:rsidR="00611040">
        <w:rPr>
          <w:rFonts w:ascii="Times New Roman" w:hAnsi="Times New Roman" w:cs="Times New Roman"/>
          <w:sz w:val="24"/>
        </w:rPr>
        <w:t>I</w:t>
      </w:r>
      <w:r w:rsidR="00766648">
        <w:rPr>
          <w:rFonts w:ascii="Times New Roman" w:hAnsi="Times New Roman" w:cs="Times New Roman"/>
          <w:sz w:val="24"/>
        </w:rPr>
        <w:t xml:space="preserve">nstrument </w:t>
      </w:r>
      <w:r w:rsidR="00BC5347">
        <w:rPr>
          <w:rFonts w:ascii="Times New Roman" w:hAnsi="Times New Roman" w:cs="Times New Roman"/>
          <w:sz w:val="24"/>
        </w:rPr>
        <w:t xml:space="preserve">also </w:t>
      </w:r>
      <w:r w:rsidR="007048C3">
        <w:rPr>
          <w:rFonts w:ascii="Times New Roman" w:hAnsi="Times New Roman" w:cs="Times New Roman"/>
          <w:sz w:val="24"/>
        </w:rPr>
        <w:t>include</w:t>
      </w:r>
      <w:r w:rsidR="00766648">
        <w:rPr>
          <w:rFonts w:ascii="Times New Roman" w:hAnsi="Times New Roman" w:cs="Times New Roman"/>
          <w:sz w:val="24"/>
        </w:rPr>
        <w:t>s</w:t>
      </w:r>
      <w:r w:rsidR="007048C3">
        <w:rPr>
          <w:rFonts w:ascii="Times New Roman" w:hAnsi="Times New Roman" w:cs="Times New Roman"/>
          <w:sz w:val="24"/>
        </w:rPr>
        <w:t xml:space="preserve"> a number of other technical amendments to ensure the smooth operation of the Basin Plan. These include better aligning water resource plan (WRP) areas with state water planning boundaries; </w:t>
      </w:r>
      <w:r w:rsidR="00226300">
        <w:rPr>
          <w:rFonts w:ascii="Times New Roman" w:hAnsi="Times New Roman" w:cs="Times New Roman"/>
          <w:sz w:val="24"/>
        </w:rPr>
        <w:t xml:space="preserve">modifications to SDL resource unit boundaries; </w:t>
      </w:r>
      <w:r w:rsidR="007048C3">
        <w:rPr>
          <w:rFonts w:ascii="Times New Roman" w:hAnsi="Times New Roman" w:cs="Times New Roman"/>
          <w:sz w:val="24"/>
        </w:rPr>
        <w:t xml:space="preserve">clarifying certain water trading rules; allowing additional time for states to nominate a preferred allocation of the shared reduction amounts; providing separate requirements for groundwater water quality management plans; and </w:t>
      </w:r>
      <w:r w:rsidR="00226300">
        <w:rPr>
          <w:rFonts w:ascii="Times New Roman" w:hAnsi="Times New Roman" w:cs="Times New Roman"/>
          <w:sz w:val="24"/>
        </w:rPr>
        <w:t>clarifying</w:t>
      </w:r>
      <w:r w:rsidR="007048C3">
        <w:rPr>
          <w:rFonts w:ascii="Times New Roman" w:hAnsi="Times New Roman" w:cs="Times New Roman"/>
          <w:sz w:val="24"/>
        </w:rPr>
        <w:t xml:space="preserve"> requirements relating to determining compliance with </w:t>
      </w:r>
      <w:r w:rsidR="00226300">
        <w:rPr>
          <w:rFonts w:ascii="Times New Roman" w:hAnsi="Times New Roman" w:cs="Times New Roman"/>
          <w:sz w:val="24"/>
        </w:rPr>
        <w:t>SDLs</w:t>
      </w:r>
      <w:r w:rsidR="007048C3">
        <w:rPr>
          <w:rFonts w:ascii="Times New Roman" w:hAnsi="Times New Roman" w:cs="Times New Roman"/>
          <w:sz w:val="24"/>
        </w:rPr>
        <w:t>.</w:t>
      </w:r>
      <w:r w:rsidR="002B42B9">
        <w:rPr>
          <w:rFonts w:ascii="Times New Roman" w:hAnsi="Times New Roman" w:cs="Times New Roman"/>
          <w:sz w:val="24"/>
        </w:rPr>
        <w:t xml:space="preserve"> </w:t>
      </w:r>
    </w:p>
    <w:p w:rsidR="007048C3" w:rsidRDefault="007048C3" w:rsidP="00511B9B">
      <w:pPr>
        <w:tabs>
          <w:tab w:val="left" w:pos="1701"/>
          <w:tab w:val="right" w:pos="9072"/>
        </w:tabs>
        <w:spacing w:after="0" w:line="240" w:lineRule="auto"/>
        <w:rPr>
          <w:rFonts w:ascii="Times New Roman" w:hAnsi="Times New Roman" w:cs="Times New Roman"/>
          <w:sz w:val="24"/>
        </w:rPr>
      </w:pPr>
    </w:p>
    <w:p w:rsidR="007048C3" w:rsidRPr="00D01BF9" w:rsidRDefault="007048C3" w:rsidP="00511B9B">
      <w:pPr>
        <w:tabs>
          <w:tab w:val="left" w:pos="1701"/>
          <w:tab w:val="right" w:pos="9072"/>
        </w:tabs>
        <w:spacing w:after="0" w:line="240" w:lineRule="auto"/>
        <w:rPr>
          <w:rFonts w:ascii="Times New Roman" w:hAnsi="Times New Roman" w:cs="Times New Roman"/>
          <w:b/>
          <w:sz w:val="24"/>
          <w:szCs w:val="24"/>
        </w:rPr>
      </w:pPr>
      <w:r w:rsidRPr="00D01BF9">
        <w:rPr>
          <w:rFonts w:ascii="Times New Roman" w:hAnsi="Times New Roman" w:cs="Times New Roman"/>
          <w:b/>
          <w:sz w:val="24"/>
          <w:szCs w:val="24"/>
        </w:rPr>
        <w:t>Legislative Authority</w:t>
      </w:r>
    </w:p>
    <w:p w:rsidR="0088724A" w:rsidRDefault="0088724A" w:rsidP="00511B9B">
      <w:pPr>
        <w:tabs>
          <w:tab w:val="left" w:pos="1701"/>
          <w:tab w:val="right" w:pos="9072"/>
        </w:tabs>
        <w:spacing w:after="0" w:line="240" w:lineRule="auto"/>
        <w:rPr>
          <w:rFonts w:ascii="Times New Roman" w:hAnsi="Times New Roman" w:cs="Times New Roman"/>
          <w:sz w:val="24"/>
        </w:rPr>
      </w:pPr>
    </w:p>
    <w:p w:rsidR="002F629E" w:rsidRDefault="002F629E" w:rsidP="00511B9B">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rPr>
        <w:t>Th</w:t>
      </w:r>
      <w:r w:rsidR="00A116C5">
        <w:rPr>
          <w:rFonts w:ascii="Times New Roman" w:hAnsi="Times New Roman" w:cs="Times New Roman"/>
          <w:sz w:val="24"/>
        </w:rPr>
        <w:t>is</w:t>
      </w:r>
      <w:r>
        <w:rPr>
          <w:rFonts w:ascii="Times New Roman" w:hAnsi="Times New Roman" w:cs="Times New Roman"/>
          <w:sz w:val="24"/>
        </w:rPr>
        <w:t xml:space="preserve"> </w:t>
      </w:r>
      <w:r w:rsidR="00A116C5" w:rsidRPr="00FF1EC8">
        <w:rPr>
          <w:rFonts w:ascii="Times New Roman" w:hAnsi="Times New Roman" w:cs="Times New Roman"/>
          <w:sz w:val="24"/>
          <w:szCs w:val="24"/>
        </w:rPr>
        <w:t>Amendment Instrument</w:t>
      </w:r>
      <w:r>
        <w:rPr>
          <w:rFonts w:ascii="Times New Roman" w:hAnsi="Times New Roman" w:cs="Times New Roman"/>
          <w:i/>
          <w:sz w:val="24"/>
          <w:szCs w:val="24"/>
        </w:rPr>
        <w:t xml:space="preserve"> </w:t>
      </w:r>
      <w:r>
        <w:rPr>
          <w:rFonts w:ascii="Times New Roman" w:hAnsi="Times New Roman" w:cs="Times New Roman"/>
          <w:sz w:val="24"/>
          <w:szCs w:val="24"/>
        </w:rPr>
        <w:t xml:space="preserve">was </w:t>
      </w:r>
      <w:r w:rsidR="00166169">
        <w:rPr>
          <w:rFonts w:ascii="Times New Roman" w:hAnsi="Times New Roman" w:cs="Times New Roman"/>
          <w:sz w:val="24"/>
          <w:szCs w:val="24"/>
        </w:rPr>
        <w:t>adopted</w:t>
      </w:r>
      <w:r>
        <w:rPr>
          <w:rFonts w:ascii="Times New Roman" w:hAnsi="Times New Roman" w:cs="Times New Roman"/>
          <w:sz w:val="24"/>
          <w:szCs w:val="24"/>
        </w:rPr>
        <w:t xml:space="preserve"> under section 49AA of the Water Act</w:t>
      </w:r>
      <w:r w:rsidR="004345AD">
        <w:rPr>
          <w:rFonts w:ascii="Times New Roman" w:hAnsi="Times New Roman" w:cs="Times New Roman"/>
          <w:sz w:val="24"/>
          <w:szCs w:val="24"/>
        </w:rPr>
        <w:t xml:space="preserve">. </w:t>
      </w:r>
      <w:r w:rsidR="005E60BD" w:rsidRPr="005E60BD">
        <w:rPr>
          <w:rFonts w:ascii="Times New Roman" w:hAnsi="Times New Roman" w:cs="Times New Roman"/>
          <w:sz w:val="24"/>
          <w:szCs w:val="24"/>
        </w:rPr>
        <w:t xml:space="preserve">The Disallowed Instrument was prepared under sections 45 to 48 of the Water Act. </w:t>
      </w:r>
      <w:r w:rsidR="004345AD">
        <w:rPr>
          <w:rFonts w:ascii="Times New Roman" w:hAnsi="Times New Roman" w:cs="Times New Roman"/>
          <w:sz w:val="24"/>
          <w:szCs w:val="24"/>
        </w:rPr>
        <w:t>As the Amendment I</w:t>
      </w:r>
      <w:r>
        <w:rPr>
          <w:rFonts w:ascii="Times New Roman" w:hAnsi="Times New Roman" w:cs="Times New Roman"/>
          <w:sz w:val="24"/>
          <w:szCs w:val="24"/>
        </w:rPr>
        <w:t xml:space="preserve">nstrument is the same in effect as the </w:t>
      </w:r>
      <w:r w:rsidR="00683974">
        <w:rPr>
          <w:rFonts w:ascii="Times New Roman" w:hAnsi="Times New Roman" w:cs="Times New Roman"/>
          <w:sz w:val="24"/>
          <w:szCs w:val="24"/>
        </w:rPr>
        <w:t>Disallowed Instrument</w:t>
      </w:r>
      <w:r>
        <w:rPr>
          <w:rFonts w:ascii="Times New Roman" w:hAnsi="Times New Roman" w:cs="Times New Roman"/>
          <w:sz w:val="24"/>
          <w:szCs w:val="24"/>
        </w:rPr>
        <w:t xml:space="preserve">, both legislative processes are described </w:t>
      </w:r>
      <w:r w:rsidR="005E60BD">
        <w:rPr>
          <w:rFonts w:ascii="Times New Roman" w:hAnsi="Times New Roman" w:cs="Times New Roman"/>
          <w:sz w:val="24"/>
          <w:szCs w:val="24"/>
        </w:rPr>
        <w:t>under the heading ‘</w:t>
      </w:r>
      <w:r w:rsidR="005E60BD" w:rsidRPr="005E60BD">
        <w:rPr>
          <w:rFonts w:ascii="Times New Roman" w:hAnsi="Times New Roman" w:cs="Times New Roman"/>
          <w:sz w:val="24"/>
          <w:szCs w:val="24"/>
        </w:rPr>
        <w:t>Consultation</w:t>
      </w:r>
      <w:r w:rsidR="005E60BD">
        <w:rPr>
          <w:rFonts w:ascii="Times New Roman" w:hAnsi="Times New Roman" w:cs="Times New Roman"/>
          <w:sz w:val="24"/>
          <w:szCs w:val="24"/>
        </w:rPr>
        <w:t xml:space="preserve">’ </w:t>
      </w:r>
      <w:r>
        <w:rPr>
          <w:rFonts w:ascii="Times New Roman" w:hAnsi="Times New Roman" w:cs="Times New Roman"/>
          <w:sz w:val="24"/>
          <w:szCs w:val="24"/>
        </w:rPr>
        <w:t>below.</w:t>
      </w:r>
    </w:p>
    <w:p w:rsidR="00D92D8D" w:rsidRDefault="00D92D8D" w:rsidP="00511B9B">
      <w:pPr>
        <w:tabs>
          <w:tab w:val="left" w:pos="1701"/>
          <w:tab w:val="right" w:pos="9072"/>
        </w:tabs>
        <w:spacing w:after="0" w:line="240" w:lineRule="auto"/>
        <w:rPr>
          <w:rFonts w:ascii="Times New Roman" w:hAnsi="Times New Roman" w:cs="Times New Roman"/>
          <w:sz w:val="24"/>
          <w:szCs w:val="24"/>
        </w:rPr>
      </w:pPr>
    </w:p>
    <w:p w:rsidR="005E60BD" w:rsidRPr="005E60BD" w:rsidRDefault="005E60BD" w:rsidP="005E60BD">
      <w:pPr>
        <w:tabs>
          <w:tab w:val="left" w:pos="1701"/>
          <w:tab w:val="right" w:pos="9072"/>
        </w:tabs>
        <w:spacing w:after="0" w:line="240" w:lineRule="auto"/>
        <w:rPr>
          <w:rFonts w:ascii="Times New Roman" w:hAnsi="Times New Roman" w:cs="Times New Roman"/>
          <w:b/>
          <w:sz w:val="24"/>
          <w:szCs w:val="24"/>
        </w:rPr>
      </w:pPr>
      <w:r w:rsidRPr="005E60BD">
        <w:rPr>
          <w:rFonts w:ascii="Times New Roman" w:hAnsi="Times New Roman" w:cs="Times New Roman"/>
          <w:b/>
          <w:sz w:val="24"/>
          <w:szCs w:val="24"/>
        </w:rPr>
        <w:t>Background</w:t>
      </w:r>
    </w:p>
    <w:p w:rsidR="005E60BD" w:rsidRPr="005E60BD" w:rsidRDefault="005E60BD" w:rsidP="005E60BD">
      <w:pPr>
        <w:tabs>
          <w:tab w:val="left" w:pos="1701"/>
          <w:tab w:val="right" w:pos="9072"/>
        </w:tabs>
        <w:spacing w:after="0" w:line="240" w:lineRule="auto"/>
        <w:rPr>
          <w:rFonts w:ascii="Times New Roman" w:hAnsi="Times New Roman" w:cs="Times New Roman"/>
          <w:b/>
          <w:sz w:val="24"/>
          <w:szCs w:val="24"/>
        </w:rPr>
      </w:pPr>
    </w:p>
    <w:p w:rsidR="005E60BD" w:rsidRPr="005E60BD" w:rsidRDefault="005E60BD" w:rsidP="005E60BD">
      <w:pPr>
        <w:tabs>
          <w:tab w:val="left" w:pos="1701"/>
          <w:tab w:val="right" w:pos="9072"/>
        </w:tabs>
        <w:spacing w:after="0" w:line="240" w:lineRule="auto"/>
        <w:rPr>
          <w:rFonts w:ascii="Times New Roman" w:hAnsi="Times New Roman" w:cs="Times New Roman"/>
          <w:sz w:val="24"/>
          <w:szCs w:val="24"/>
        </w:rPr>
      </w:pPr>
      <w:r w:rsidRPr="005E60BD">
        <w:rPr>
          <w:rFonts w:ascii="Times New Roman" w:hAnsi="Times New Roman" w:cs="Times New Roman"/>
          <w:sz w:val="24"/>
          <w:szCs w:val="24"/>
        </w:rPr>
        <w:t xml:space="preserve">The background to each of the following parts of the Amendment Instrument is detailed below in </w:t>
      </w:r>
      <w:r w:rsidRPr="005E60BD">
        <w:rPr>
          <w:rFonts w:ascii="Times New Roman" w:hAnsi="Times New Roman" w:cs="Times New Roman"/>
          <w:sz w:val="24"/>
          <w:szCs w:val="24"/>
          <w:u w:val="single"/>
        </w:rPr>
        <w:t>Attachment A</w:t>
      </w:r>
      <w:r w:rsidRPr="005E60BD">
        <w:rPr>
          <w:rFonts w:ascii="Times New Roman" w:hAnsi="Times New Roman" w:cs="Times New Roman"/>
          <w:sz w:val="24"/>
          <w:szCs w:val="24"/>
        </w:rPr>
        <w:t>, in the following order:</w:t>
      </w:r>
    </w:p>
    <w:p w:rsidR="005E60BD" w:rsidRPr="005E60BD" w:rsidRDefault="005E60BD" w:rsidP="005E60BD">
      <w:pPr>
        <w:tabs>
          <w:tab w:val="left" w:pos="1701"/>
          <w:tab w:val="right" w:pos="9072"/>
        </w:tabs>
        <w:spacing w:after="0" w:line="240" w:lineRule="auto"/>
        <w:rPr>
          <w:rFonts w:ascii="Times New Roman" w:hAnsi="Times New Roman" w:cs="Times New Roman"/>
          <w:sz w:val="24"/>
          <w:szCs w:val="24"/>
        </w:rPr>
      </w:pPr>
      <w:r w:rsidRPr="005E60BD">
        <w:rPr>
          <w:rFonts w:ascii="Times New Roman" w:hAnsi="Times New Roman" w:cs="Times New Roman"/>
          <w:sz w:val="24"/>
          <w:szCs w:val="24"/>
        </w:rPr>
        <w:t>1. Northern Basin Review amendments;</w:t>
      </w:r>
    </w:p>
    <w:p w:rsidR="005E60BD" w:rsidRPr="005E60BD" w:rsidRDefault="005E60BD" w:rsidP="005E60BD">
      <w:pPr>
        <w:tabs>
          <w:tab w:val="left" w:pos="1701"/>
          <w:tab w:val="right" w:pos="9072"/>
        </w:tabs>
        <w:spacing w:after="0" w:line="240" w:lineRule="auto"/>
        <w:rPr>
          <w:rFonts w:ascii="Times New Roman" w:hAnsi="Times New Roman" w:cs="Times New Roman"/>
          <w:sz w:val="24"/>
          <w:szCs w:val="24"/>
        </w:rPr>
      </w:pPr>
      <w:r w:rsidRPr="005E60BD">
        <w:rPr>
          <w:rFonts w:ascii="Times New Roman" w:hAnsi="Times New Roman" w:cs="Times New Roman"/>
          <w:sz w:val="24"/>
          <w:szCs w:val="24"/>
        </w:rPr>
        <w:t>2. Groundwater Reviews and other groundwater amendments;</w:t>
      </w:r>
    </w:p>
    <w:p w:rsidR="005E60BD" w:rsidRPr="005E60BD" w:rsidRDefault="005E60BD" w:rsidP="005E60BD">
      <w:pPr>
        <w:tabs>
          <w:tab w:val="left" w:pos="1701"/>
          <w:tab w:val="right" w:pos="9072"/>
        </w:tabs>
        <w:spacing w:after="0" w:line="240" w:lineRule="auto"/>
        <w:rPr>
          <w:rFonts w:ascii="Times New Roman" w:hAnsi="Times New Roman" w:cs="Times New Roman"/>
          <w:sz w:val="24"/>
          <w:szCs w:val="24"/>
        </w:rPr>
      </w:pPr>
      <w:r w:rsidRPr="005E60BD">
        <w:rPr>
          <w:rFonts w:ascii="Times New Roman" w:hAnsi="Times New Roman" w:cs="Times New Roman"/>
          <w:sz w:val="24"/>
          <w:szCs w:val="24"/>
        </w:rPr>
        <w:t>3. Water Act Review amendments; and</w:t>
      </w:r>
    </w:p>
    <w:p w:rsidR="005E60BD" w:rsidRPr="005E60BD" w:rsidRDefault="005E60BD" w:rsidP="005E60BD">
      <w:pPr>
        <w:tabs>
          <w:tab w:val="left" w:pos="1701"/>
          <w:tab w:val="right" w:pos="9072"/>
        </w:tabs>
        <w:spacing w:after="0" w:line="240" w:lineRule="auto"/>
        <w:rPr>
          <w:rFonts w:ascii="Times New Roman" w:hAnsi="Times New Roman" w:cs="Times New Roman"/>
          <w:sz w:val="24"/>
          <w:szCs w:val="24"/>
        </w:rPr>
      </w:pPr>
      <w:r w:rsidRPr="005E60BD">
        <w:rPr>
          <w:rFonts w:ascii="Times New Roman" w:hAnsi="Times New Roman" w:cs="Times New Roman"/>
          <w:sz w:val="24"/>
          <w:szCs w:val="24"/>
        </w:rPr>
        <w:lastRenderedPageBreak/>
        <w:t>4. Other technical amendments.</w:t>
      </w:r>
    </w:p>
    <w:p w:rsidR="005E60BD" w:rsidRPr="005E60BD" w:rsidRDefault="005E60BD" w:rsidP="005E60BD">
      <w:pPr>
        <w:tabs>
          <w:tab w:val="left" w:pos="1701"/>
          <w:tab w:val="right" w:pos="9072"/>
        </w:tabs>
        <w:spacing w:after="0" w:line="240" w:lineRule="auto"/>
        <w:rPr>
          <w:rFonts w:ascii="Times New Roman" w:hAnsi="Times New Roman" w:cs="Times New Roman"/>
          <w:sz w:val="24"/>
          <w:szCs w:val="24"/>
        </w:rPr>
      </w:pPr>
    </w:p>
    <w:p w:rsidR="00D92D8D" w:rsidRDefault="00D92D8D" w:rsidP="00D92D8D">
      <w:pPr>
        <w:tabs>
          <w:tab w:val="left" w:pos="1701"/>
          <w:tab w:val="right" w:pos="9072"/>
        </w:tabs>
        <w:spacing w:after="0" w:line="240" w:lineRule="auto"/>
        <w:rPr>
          <w:rFonts w:ascii="Times New Roman" w:hAnsi="Times New Roman" w:cs="Times New Roman"/>
          <w:sz w:val="24"/>
          <w:szCs w:val="24"/>
        </w:rPr>
      </w:pPr>
      <w:r w:rsidRPr="00D92D8D">
        <w:rPr>
          <w:rFonts w:ascii="Times New Roman" w:hAnsi="Times New Roman" w:cs="Times New Roman"/>
          <w:b/>
          <w:sz w:val="24"/>
          <w:szCs w:val="24"/>
        </w:rPr>
        <w:t>Consultation</w:t>
      </w:r>
      <w:r w:rsidRPr="00D92D8D">
        <w:rPr>
          <w:rFonts w:ascii="Times New Roman" w:hAnsi="Times New Roman" w:cs="Times New Roman"/>
          <w:b/>
          <w:sz w:val="24"/>
          <w:szCs w:val="24"/>
        </w:rPr>
        <w:br/>
      </w:r>
      <w:r w:rsidRPr="00D92D8D">
        <w:rPr>
          <w:rFonts w:ascii="Times New Roman" w:hAnsi="Times New Roman" w:cs="Times New Roman"/>
          <w:b/>
          <w:sz w:val="24"/>
          <w:szCs w:val="24"/>
        </w:rPr>
        <w:br/>
      </w:r>
      <w:r w:rsidRPr="00D92D8D">
        <w:rPr>
          <w:rFonts w:ascii="Times New Roman" w:hAnsi="Times New Roman" w:cs="Times New Roman"/>
          <w:sz w:val="24"/>
          <w:szCs w:val="24"/>
        </w:rPr>
        <w:t xml:space="preserve">The Authority prepared the Disallowed Instrument in accordance with the consultation requirements detailed in sections 46 to 48 of the Water Act, as summarised </w:t>
      </w:r>
      <w:r>
        <w:rPr>
          <w:rFonts w:ascii="Times New Roman" w:hAnsi="Times New Roman" w:cs="Times New Roman"/>
          <w:sz w:val="24"/>
          <w:szCs w:val="24"/>
        </w:rPr>
        <w:t>below</w:t>
      </w:r>
      <w:r w:rsidRPr="00D92D8D">
        <w:rPr>
          <w:rFonts w:ascii="Times New Roman" w:hAnsi="Times New Roman" w:cs="Times New Roman"/>
          <w:sz w:val="24"/>
          <w:szCs w:val="24"/>
        </w:rPr>
        <w:t>. As the Amendment Instrument has been prepared unde</w:t>
      </w:r>
      <w:r w:rsidR="00166169">
        <w:rPr>
          <w:rFonts w:ascii="Times New Roman" w:hAnsi="Times New Roman" w:cs="Times New Roman"/>
          <w:sz w:val="24"/>
          <w:szCs w:val="24"/>
        </w:rPr>
        <w:t xml:space="preserve">r section 49AA of the Water Act, the Authority is not required to undertake the extensive consultation process under sections 46-48 of the Water Act. </w:t>
      </w:r>
      <w:r w:rsidR="00446A72">
        <w:rPr>
          <w:rFonts w:ascii="Times New Roman" w:hAnsi="Times New Roman" w:cs="Times New Roman"/>
          <w:sz w:val="24"/>
          <w:szCs w:val="24"/>
        </w:rPr>
        <w:t xml:space="preserve"> The consultation process</w:t>
      </w:r>
      <w:r w:rsidRPr="00D92D8D">
        <w:rPr>
          <w:rFonts w:ascii="Times New Roman" w:hAnsi="Times New Roman" w:cs="Times New Roman"/>
          <w:sz w:val="24"/>
          <w:szCs w:val="24"/>
        </w:rPr>
        <w:t xml:space="preserve"> undertaken for the </w:t>
      </w:r>
      <w:r w:rsidR="00446A72">
        <w:rPr>
          <w:rFonts w:ascii="Times New Roman" w:hAnsi="Times New Roman" w:cs="Times New Roman"/>
          <w:sz w:val="24"/>
          <w:szCs w:val="24"/>
        </w:rPr>
        <w:t>Disallowed Instrument is</w:t>
      </w:r>
      <w:r w:rsidRPr="00D92D8D">
        <w:rPr>
          <w:rFonts w:ascii="Times New Roman" w:hAnsi="Times New Roman" w:cs="Times New Roman"/>
          <w:sz w:val="24"/>
          <w:szCs w:val="24"/>
        </w:rPr>
        <w:t xml:space="preserve"> outlined below.  </w:t>
      </w:r>
    </w:p>
    <w:p w:rsidR="00286BA9" w:rsidRDefault="00286BA9" w:rsidP="00D92D8D">
      <w:pPr>
        <w:tabs>
          <w:tab w:val="left" w:pos="1701"/>
          <w:tab w:val="right" w:pos="9072"/>
        </w:tabs>
        <w:spacing w:after="0" w:line="240" w:lineRule="auto"/>
        <w:rPr>
          <w:rFonts w:ascii="Times New Roman" w:hAnsi="Times New Roman" w:cs="Times New Roman"/>
          <w:sz w:val="24"/>
          <w:szCs w:val="24"/>
        </w:rPr>
      </w:pPr>
    </w:p>
    <w:p w:rsidR="00286BA9" w:rsidRPr="006D57A4" w:rsidRDefault="00286BA9" w:rsidP="00286BA9">
      <w:pPr>
        <w:tabs>
          <w:tab w:val="left" w:pos="1701"/>
          <w:tab w:val="right" w:pos="9070"/>
        </w:tabs>
        <w:spacing w:after="0" w:line="240" w:lineRule="auto"/>
        <w:rPr>
          <w:rFonts w:ascii="Times New Roman" w:hAnsi="Times New Roman" w:cs="Times New Roman"/>
          <w:sz w:val="24"/>
          <w:szCs w:val="24"/>
        </w:rPr>
      </w:pPr>
      <w:r w:rsidRPr="006D57A4">
        <w:rPr>
          <w:rFonts w:ascii="Times New Roman" w:hAnsi="Times New Roman" w:cs="Times New Roman"/>
          <w:sz w:val="24"/>
          <w:szCs w:val="24"/>
        </w:rPr>
        <w:t xml:space="preserve">There are </w:t>
      </w:r>
      <w:r w:rsidR="00725442" w:rsidRPr="006D57A4">
        <w:rPr>
          <w:rFonts w:ascii="Times New Roman" w:hAnsi="Times New Roman" w:cs="Times New Roman"/>
          <w:sz w:val="24"/>
          <w:szCs w:val="24"/>
        </w:rPr>
        <w:t xml:space="preserve">a number of limitations on the section 49AA </w:t>
      </w:r>
      <w:r w:rsidRPr="006D57A4">
        <w:rPr>
          <w:rFonts w:ascii="Times New Roman" w:hAnsi="Times New Roman" w:cs="Times New Roman"/>
          <w:sz w:val="24"/>
          <w:szCs w:val="24"/>
        </w:rPr>
        <w:t>directions power to ensure that it is not used inappropriately</w:t>
      </w:r>
      <w:r w:rsidR="00725442" w:rsidRPr="006D57A4">
        <w:rPr>
          <w:rFonts w:ascii="Times New Roman" w:hAnsi="Times New Roman" w:cs="Times New Roman"/>
          <w:sz w:val="24"/>
          <w:szCs w:val="24"/>
        </w:rPr>
        <w:t xml:space="preserve">, </w:t>
      </w:r>
      <w:r w:rsidR="008157A8" w:rsidRPr="006D57A4">
        <w:rPr>
          <w:rFonts w:ascii="Times New Roman" w:hAnsi="Times New Roman" w:cs="Times New Roman"/>
          <w:sz w:val="24"/>
          <w:szCs w:val="24"/>
        </w:rPr>
        <w:t xml:space="preserve">as </w:t>
      </w:r>
      <w:r w:rsidR="00725442" w:rsidRPr="006D57A4">
        <w:rPr>
          <w:rFonts w:ascii="Times New Roman" w:hAnsi="Times New Roman" w:cs="Times New Roman"/>
          <w:sz w:val="24"/>
          <w:szCs w:val="24"/>
        </w:rPr>
        <w:t>discussed further below</w:t>
      </w:r>
      <w:r w:rsidRPr="006D57A4">
        <w:rPr>
          <w:rFonts w:ascii="Times New Roman" w:hAnsi="Times New Roman" w:cs="Times New Roman"/>
          <w:sz w:val="24"/>
          <w:szCs w:val="24"/>
        </w:rPr>
        <w:t xml:space="preserve">. For any Basin Plan amendment prepared by the Authority under this power, it must be the same in effect as the disallowed amendment. This safeguard ensures that the Authority cannot propose changes to the </w:t>
      </w:r>
      <w:r w:rsidR="008157A8" w:rsidRPr="006D57A4">
        <w:rPr>
          <w:rFonts w:ascii="Times New Roman" w:hAnsi="Times New Roman" w:cs="Times New Roman"/>
          <w:sz w:val="24"/>
          <w:szCs w:val="24"/>
        </w:rPr>
        <w:t xml:space="preserve">Basin Plan </w:t>
      </w:r>
      <w:r w:rsidRPr="006D57A4">
        <w:rPr>
          <w:rFonts w:ascii="Times New Roman" w:hAnsi="Times New Roman" w:cs="Times New Roman"/>
          <w:sz w:val="24"/>
          <w:szCs w:val="24"/>
        </w:rPr>
        <w:t>amendment that have not previously been subject to the detailed process in the Water Act, including the Authority’s consultations with the Basin Officials Committee, Basin Community Committee, the Basin States, the Murray-Darling Basin Ministerial Council and the public.</w:t>
      </w:r>
      <w:r w:rsidR="008157A8" w:rsidRPr="006D57A4">
        <w:rPr>
          <w:rFonts w:ascii="Times New Roman" w:hAnsi="Times New Roman" w:cs="Times New Roman"/>
          <w:sz w:val="24"/>
          <w:szCs w:val="24"/>
        </w:rPr>
        <w:t xml:space="preserve"> </w:t>
      </w:r>
    </w:p>
    <w:p w:rsidR="00286BA9" w:rsidRPr="006D57A4" w:rsidRDefault="00286BA9" w:rsidP="00286BA9">
      <w:pPr>
        <w:tabs>
          <w:tab w:val="left" w:pos="1701"/>
          <w:tab w:val="right" w:pos="9070"/>
        </w:tabs>
        <w:spacing w:after="0" w:line="240" w:lineRule="auto"/>
        <w:rPr>
          <w:rFonts w:ascii="Times New Roman" w:hAnsi="Times New Roman" w:cs="Times New Roman"/>
          <w:sz w:val="24"/>
          <w:szCs w:val="24"/>
        </w:rPr>
      </w:pPr>
    </w:p>
    <w:p w:rsidR="00286BA9" w:rsidRPr="00D92D8D" w:rsidRDefault="008157A8" w:rsidP="00D92D8D">
      <w:pPr>
        <w:tabs>
          <w:tab w:val="left" w:pos="1701"/>
          <w:tab w:val="right" w:pos="9072"/>
        </w:tabs>
        <w:spacing w:after="0" w:line="240" w:lineRule="auto"/>
        <w:rPr>
          <w:rFonts w:ascii="Times New Roman" w:hAnsi="Times New Roman" w:cs="Times New Roman"/>
          <w:sz w:val="24"/>
          <w:szCs w:val="24"/>
        </w:rPr>
      </w:pPr>
      <w:r w:rsidRPr="006D57A4">
        <w:rPr>
          <w:rFonts w:ascii="Times New Roman" w:hAnsi="Times New Roman" w:cs="Times New Roman"/>
          <w:sz w:val="24"/>
          <w:szCs w:val="24"/>
        </w:rPr>
        <w:t>In addition, the section 49AA</w:t>
      </w:r>
      <w:r w:rsidR="00286BA9" w:rsidRPr="006D57A4">
        <w:rPr>
          <w:rFonts w:ascii="Times New Roman" w:hAnsi="Times New Roman" w:cs="Times New Roman"/>
          <w:sz w:val="24"/>
          <w:szCs w:val="24"/>
        </w:rPr>
        <w:t xml:space="preserve"> directions power is limited to amendments which have been disallowed in the previous 12 months. This limitation ensures that the issues raised through all consultations (including public consultation) undertaken by the Authority on the disallowed amendment under sections 46 to 48 of the Water Act remain both relevant and timely. </w:t>
      </w:r>
      <w:r w:rsidRPr="006D57A4">
        <w:rPr>
          <w:rFonts w:ascii="Times New Roman" w:hAnsi="Times New Roman" w:cs="Times New Roman"/>
          <w:sz w:val="24"/>
          <w:szCs w:val="24"/>
        </w:rPr>
        <w:t>In</w:t>
      </w:r>
      <w:r>
        <w:rPr>
          <w:rFonts w:ascii="Times New Roman" w:hAnsi="Times New Roman" w:cs="Times New Roman"/>
          <w:sz w:val="24"/>
          <w:szCs w:val="24"/>
        </w:rPr>
        <w:t xml:space="preserve"> this case</w:t>
      </w:r>
      <w:r w:rsidR="006D57A4">
        <w:rPr>
          <w:rFonts w:ascii="Times New Roman" w:hAnsi="Times New Roman" w:cs="Times New Roman"/>
          <w:sz w:val="24"/>
          <w:szCs w:val="24"/>
        </w:rPr>
        <w:t xml:space="preserve"> for the Amendment Instrument</w:t>
      </w:r>
      <w:r>
        <w:rPr>
          <w:rFonts w:ascii="Times New Roman" w:hAnsi="Times New Roman" w:cs="Times New Roman"/>
          <w:sz w:val="24"/>
          <w:szCs w:val="24"/>
        </w:rPr>
        <w:t xml:space="preserve">, the section 49AA direction (the </w:t>
      </w:r>
      <w:r w:rsidRPr="008157A8">
        <w:rPr>
          <w:rFonts w:ascii="Times New Roman" w:hAnsi="Times New Roman" w:cs="Times New Roman"/>
          <w:i/>
          <w:sz w:val="24"/>
          <w:szCs w:val="24"/>
        </w:rPr>
        <w:t>Water Act (Northern Basin Review and Other Measures) Direction 2018</w:t>
      </w:r>
      <w:r>
        <w:rPr>
          <w:rFonts w:ascii="Times New Roman" w:hAnsi="Times New Roman" w:cs="Times New Roman"/>
          <w:sz w:val="24"/>
          <w:szCs w:val="24"/>
        </w:rPr>
        <w:t xml:space="preserve">) </w:t>
      </w:r>
      <w:r w:rsidR="006D57A4">
        <w:rPr>
          <w:rFonts w:ascii="Times New Roman" w:hAnsi="Times New Roman" w:cs="Times New Roman"/>
          <w:sz w:val="24"/>
          <w:szCs w:val="24"/>
        </w:rPr>
        <w:t xml:space="preserve">relating to the Disallowed Instrument </w:t>
      </w:r>
      <w:r>
        <w:rPr>
          <w:rFonts w:ascii="Times New Roman" w:hAnsi="Times New Roman" w:cs="Times New Roman"/>
          <w:sz w:val="24"/>
          <w:szCs w:val="24"/>
        </w:rPr>
        <w:t>commenced on 29 June 2018</w:t>
      </w:r>
      <w:r w:rsidR="006D57A4">
        <w:rPr>
          <w:rFonts w:ascii="Times New Roman" w:hAnsi="Times New Roman" w:cs="Times New Roman"/>
          <w:sz w:val="24"/>
          <w:szCs w:val="24"/>
        </w:rPr>
        <w:t xml:space="preserve"> and this is less than six months from the date of disallowance of the Disallowed Instrument, that is, 14 February 2018.</w:t>
      </w:r>
    </w:p>
    <w:p w:rsidR="00D92D8D" w:rsidRPr="00D92D8D" w:rsidRDefault="00D92D8D" w:rsidP="00D92D8D">
      <w:pPr>
        <w:tabs>
          <w:tab w:val="left" w:pos="1701"/>
          <w:tab w:val="right" w:pos="9072"/>
        </w:tabs>
        <w:spacing w:after="0" w:line="240" w:lineRule="auto"/>
        <w:rPr>
          <w:rFonts w:ascii="Times New Roman" w:hAnsi="Times New Roman" w:cs="Times New Roman"/>
          <w:sz w:val="24"/>
          <w:szCs w:val="24"/>
        </w:rPr>
      </w:pPr>
    </w:p>
    <w:p w:rsidR="002F629E" w:rsidRPr="00522306" w:rsidRDefault="004345AD" w:rsidP="00511B9B">
      <w:pPr>
        <w:tabs>
          <w:tab w:val="left" w:pos="1701"/>
          <w:tab w:val="right" w:pos="9072"/>
        </w:tabs>
        <w:spacing w:after="0" w:line="240" w:lineRule="auto"/>
        <w:rPr>
          <w:rFonts w:ascii="Times New Roman" w:hAnsi="Times New Roman" w:cs="Times New Roman"/>
          <w:b/>
          <w:sz w:val="24"/>
        </w:rPr>
      </w:pPr>
      <w:r>
        <w:rPr>
          <w:rFonts w:ascii="Times New Roman" w:hAnsi="Times New Roman" w:cs="Times New Roman"/>
          <w:b/>
          <w:sz w:val="24"/>
          <w:szCs w:val="24"/>
        </w:rPr>
        <w:t xml:space="preserve">Consultation for the preparation of </w:t>
      </w:r>
      <w:r w:rsidR="003F3017">
        <w:rPr>
          <w:rFonts w:ascii="Times New Roman" w:hAnsi="Times New Roman" w:cs="Times New Roman"/>
          <w:b/>
          <w:sz w:val="24"/>
          <w:szCs w:val="24"/>
        </w:rPr>
        <w:t>t</w:t>
      </w:r>
      <w:r w:rsidR="002F629E" w:rsidRPr="00D37CDC">
        <w:rPr>
          <w:rFonts w:ascii="Times New Roman" w:hAnsi="Times New Roman" w:cs="Times New Roman"/>
          <w:b/>
          <w:sz w:val="24"/>
          <w:szCs w:val="24"/>
        </w:rPr>
        <w:t xml:space="preserve">he </w:t>
      </w:r>
      <w:r w:rsidR="002F629E" w:rsidRPr="00D37CDC">
        <w:rPr>
          <w:rFonts w:ascii="Times New Roman" w:hAnsi="Times New Roman" w:cs="Times New Roman"/>
          <w:b/>
          <w:i/>
          <w:sz w:val="24"/>
          <w:szCs w:val="24"/>
        </w:rPr>
        <w:t>Basin Plan</w:t>
      </w:r>
      <w:r w:rsidR="002F629E" w:rsidRPr="00D37CDC">
        <w:rPr>
          <w:rFonts w:ascii="Times New Roman" w:hAnsi="Times New Roman" w:cs="Times New Roman"/>
          <w:b/>
          <w:sz w:val="24"/>
          <w:szCs w:val="24"/>
        </w:rPr>
        <w:t xml:space="preserve"> </w:t>
      </w:r>
      <w:r w:rsidR="002F629E" w:rsidRPr="00D37CDC">
        <w:rPr>
          <w:rFonts w:ascii="Times New Roman" w:hAnsi="Times New Roman" w:cs="Times New Roman"/>
          <w:b/>
          <w:i/>
          <w:sz w:val="24"/>
          <w:szCs w:val="24"/>
        </w:rPr>
        <w:t>Amendment Instrument 2017 (No. 1)</w:t>
      </w:r>
      <w:r w:rsidR="00522306">
        <w:rPr>
          <w:rFonts w:ascii="Times New Roman" w:hAnsi="Times New Roman" w:cs="Times New Roman"/>
          <w:b/>
          <w:i/>
          <w:sz w:val="24"/>
          <w:szCs w:val="24"/>
        </w:rPr>
        <w:t xml:space="preserve"> </w:t>
      </w:r>
      <w:r w:rsidR="00522306" w:rsidRPr="00522306">
        <w:rPr>
          <w:rFonts w:ascii="Times New Roman" w:hAnsi="Times New Roman" w:cs="Times New Roman"/>
          <w:b/>
          <w:sz w:val="24"/>
          <w:szCs w:val="24"/>
        </w:rPr>
        <w:t>(the Disallowed Instrument)</w:t>
      </w:r>
    </w:p>
    <w:p w:rsidR="002F629E" w:rsidRPr="00522306" w:rsidRDefault="002F629E" w:rsidP="00511B9B">
      <w:pPr>
        <w:tabs>
          <w:tab w:val="left" w:pos="1701"/>
          <w:tab w:val="right" w:pos="9072"/>
        </w:tabs>
        <w:spacing w:after="0" w:line="240" w:lineRule="auto"/>
        <w:rPr>
          <w:rFonts w:ascii="Times New Roman" w:hAnsi="Times New Roman" w:cs="Times New Roman"/>
          <w:sz w:val="24"/>
        </w:rPr>
      </w:pPr>
    </w:p>
    <w:p w:rsidR="00B52150" w:rsidRDefault="006E0B17" w:rsidP="00511B9B">
      <w:pPr>
        <w:tabs>
          <w:tab w:val="left" w:pos="1701"/>
          <w:tab w:val="right" w:pos="9072"/>
        </w:tabs>
        <w:spacing w:after="0" w:line="240" w:lineRule="auto"/>
        <w:rPr>
          <w:rFonts w:ascii="Times New Roman" w:hAnsi="Times New Roman" w:cs="Times New Roman"/>
          <w:sz w:val="24"/>
        </w:rPr>
      </w:pPr>
      <w:r w:rsidRPr="006E0B17">
        <w:rPr>
          <w:rFonts w:ascii="Times New Roman" w:hAnsi="Times New Roman" w:cs="Times New Roman"/>
          <w:sz w:val="24"/>
        </w:rPr>
        <w:t xml:space="preserve">The </w:t>
      </w:r>
      <w:r w:rsidR="00766648">
        <w:rPr>
          <w:rFonts w:ascii="Times New Roman" w:hAnsi="Times New Roman" w:cs="Times New Roman"/>
          <w:sz w:val="24"/>
        </w:rPr>
        <w:t>Authority</w:t>
      </w:r>
      <w:r w:rsidRPr="006E0B17">
        <w:rPr>
          <w:rFonts w:ascii="Times New Roman" w:hAnsi="Times New Roman" w:cs="Times New Roman"/>
          <w:sz w:val="24"/>
        </w:rPr>
        <w:t xml:space="preserve"> may prepare an amendment of the Basin Plan and give the proposed amendment to the Minister for adoption (</w:t>
      </w:r>
      <w:r w:rsidR="00623AD0">
        <w:rPr>
          <w:rFonts w:ascii="Times New Roman" w:hAnsi="Times New Roman" w:cs="Times New Roman"/>
          <w:sz w:val="24"/>
        </w:rPr>
        <w:t xml:space="preserve">under </w:t>
      </w:r>
      <w:r w:rsidRPr="006E0B17">
        <w:rPr>
          <w:rFonts w:ascii="Times New Roman" w:hAnsi="Times New Roman" w:cs="Times New Roman"/>
          <w:sz w:val="24"/>
        </w:rPr>
        <w:t>section 45</w:t>
      </w:r>
      <w:r w:rsidR="00623AD0">
        <w:rPr>
          <w:rFonts w:ascii="Times New Roman" w:hAnsi="Times New Roman" w:cs="Times New Roman"/>
          <w:sz w:val="24"/>
        </w:rPr>
        <w:t xml:space="preserve"> of the</w:t>
      </w:r>
      <w:r w:rsidRPr="006E0B17">
        <w:rPr>
          <w:rFonts w:ascii="Times New Roman" w:hAnsi="Times New Roman" w:cs="Times New Roman"/>
          <w:sz w:val="24"/>
        </w:rPr>
        <w:t xml:space="preserve"> Water Act).</w:t>
      </w:r>
    </w:p>
    <w:p w:rsidR="00B52150" w:rsidRDefault="00B52150" w:rsidP="00511B9B">
      <w:pPr>
        <w:tabs>
          <w:tab w:val="left" w:pos="1701"/>
          <w:tab w:val="right" w:pos="9072"/>
        </w:tabs>
        <w:spacing w:after="0" w:line="240" w:lineRule="auto"/>
        <w:rPr>
          <w:rFonts w:ascii="Times New Roman" w:hAnsi="Times New Roman" w:cs="Times New Roman"/>
          <w:sz w:val="24"/>
        </w:rPr>
      </w:pPr>
    </w:p>
    <w:p w:rsidR="00126584" w:rsidRPr="0066356F" w:rsidRDefault="006E0B17" w:rsidP="00511B9B">
      <w:pPr>
        <w:tabs>
          <w:tab w:val="left" w:pos="1701"/>
          <w:tab w:val="right" w:pos="9072"/>
        </w:tabs>
        <w:spacing w:after="0" w:line="240" w:lineRule="auto"/>
        <w:rPr>
          <w:rFonts w:ascii="Times New Roman" w:hAnsi="Times New Roman" w:cs="Times New Roman"/>
          <w:sz w:val="24"/>
        </w:rPr>
      </w:pPr>
      <w:r w:rsidRPr="006E0B17">
        <w:rPr>
          <w:rFonts w:ascii="Times New Roman" w:hAnsi="Times New Roman" w:cs="Times New Roman"/>
          <w:sz w:val="24"/>
        </w:rPr>
        <w:t xml:space="preserve">In preparing </w:t>
      </w:r>
      <w:r w:rsidR="00403878">
        <w:rPr>
          <w:rFonts w:ascii="Times New Roman" w:hAnsi="Times New Roman" w:cs="Times New Roman"/>
          <w:sz w:val="24"/>
        </w:rPr>
        <w:t xml:space="preserve">the </w:t>
      </w:r>
      <w:r w:rsidR="00522306">
        <w:rPr>
          <w:rFonts w:ascii="Times New Roman" w:hAnsi="Times New Roman" w:cs="Times New Roman"/>
          <w:sz w:val="24"/>
        </w:rPr>
        <w:t>Disallowed Instrument</w:t>
      </w:r>
      <w:r w:rsidR="00544AAB">
        <w:rPr>
          <w:rFonts w:ascii="Times New Roman" w:hAnsi="Times New Roman" w:cs="Times New Roman"/>
          <w:sz w:val="24"/>
        </w:rPr>
        <w:t>,</w:t>
      </w:r>
      <w:r w:rsidRPr="006E0B17">
        <w:rPr>
          <w:rFonts w:ascii="Times New Roman" w:hAnsi="Times New Roman" w:cs="Times New Roman"/>
          <w:sz w:val="24"/>
        </w:rPr>
        <w:t xml:space="preserve"> the Authority</w:t>
      </w:r>
      <w:r w:rsidR="00403878">
        <w:rPr>
          <w:rFonts w:ascii="Times New Roman" w:hAnsi="Times New Roman" w:cs="Times New Roman"/>
          <w:sz w:val="24"/>
        </w:rPr>
        <w:t xml:space="preserve"> undertook the consultation processes </w:t>
      </w:r>
      <w:r w:rsidR="000112C4">
        <w:rPr>
          <w:rFonts w:ascii="Times New Roman" w:hAnsi="Times New Roman" w:cs="Times New Roman"/>
          <w:sz w:val="24"/>
        </w:rPr>
        <w:t xml:space="preserve">detailed in </w:t>
      </w:r>
      <w:r w:rsidR="00403878">
        <w:rPr>
          <w:rFonts w:ascii="Times New Roman" w:hAnsi="Times New Roman" w:cs="Times New Roman"/>
          <w:sz w:val="24"/>
        </w:rPr>
        <w:t>section</w:t>
      </w:r>
      <w:r w:rsidR="004345AD">
        <w:rPr>
          <w:rFonts w:ascii="Times New Roman" w:hAnsi="Times New Roman" w:cs="Times New Roman"/>
          <w:sz w:val="24"/>
        </w:rPr>
        <w:t>s</w:t>
      </w:r>
      <w:r w:rsidR="00403878">
        <w:rPr>
          <w:rFonts w:ascii="Times New Roman" w:hAnsi="Times New Roman" w:cs="Times New Roman"/>
          <w:sz w:val="24"/>
        </w:rPr>
        <w:t xml:space="preserve"> 46-48 of the Water Act. </w:t>
      </w:r>
      <w:r w:rsidR="002F629E">
        <w:rPr>
          <w:rFonts w:ascii="Times New Roman" w:hAnsi="Times New Roman" w:cs="Times New Roman"/>
          <w:sz w:val="24"/>
        </w:rPr>
        <w:t>Under section</w:t>
      </w:r>
      <w:r w:rsidR="004345AD">
        <w:rPr>
          <w:rFonts w:ascii="Times New Roman" w:hAnsi="Times New Roman" w:cs="Times New Roman"/>
          <w:sz w:val="24"/>
        </w:rPr>
        <w:t>s</w:t>
      </w:r>
      <w:r w:rsidR="002F629E">
        <w:rPr>
          <w:rFonts w:ascii="Times New Roman" w:hAnsi="Times New Roman" w:cs="Times New Roman"/>
          <w:sz w:val="24"/>
        </w:rPr>
        <w:t xml:space="preserve"> 46-48 of the Water Act, the Authority</w:t>
      </w:r>
      <w:r w:rsidRPr="006E0B17">
        <w:rPr>
          <w:rFonts w:ascii="Times New Roman" w:hAnsi="Times New Roman" w:cs="Times New Roman"/>
          <w:sz w:val="24"/>
        </w:rPr>
        <w:t xml:space="preserve"> must consult with Basin States, the Basin Officials Committee and the Basin Community Committee (</w:t>
      </w:r>
      <w:r w:rsidR="00544AAB">
        <w:rPr>
          <w:rFonts w:ascii="Times New Roman" w:hAnsi="Times New Roman" w:cs="Times New Roman"/>
          <w:sz w:val="24"/>
        </w:rPr>
        <w:t>sub</w:t>
      </w:r>
      <w:r w:rsidRPr="006E0B17">
        <w:rPr>
          <w:rFonts w:ascii="Times New Roman" w:hAnsi="Times New Roman" w:cs="Times New Roman"/>
          <w:sz w:val="24"/>
        </w:rPr>
        <w:t>section 46(1)</w:t>
      </w:r>
      <w:r>
        <w:rPr>
          <w:rFonts w:ascii="Times New Roman" w:hAnsi="Times New Roman" w:cs="Times New Roman"/>
          <w:sz w:val="24"/>
        </w:rPr>
        <w:t>,</w:t>
      </w:r>
      <w:r w:rsidRPr="006E0B17">
        <w:rPr>
          <w:rFonts w:ascii="Times New Roman" w:hAnsi="Times New Roman" w:cs="Times New Roman"/>
          <w:sz w:val="24"/>
        </w:rPr>
        <w:t xml:space="preserve"> Water Act). The Authority must obtain, and have regard to, the advice of the Australian Competition and Consumer Commission in preparing any amendment of the water trading rules in</w:t>
      </w:r>
      <w:r>
        <w:rPr>
          <w:rFonts w:ascii="Times New Roman" w:hAnsi="Times New Roman" w:cs="Times New Roman"/>
          <w:sz w:val="24"/>
        </w:rPr>
        <w:t xml:space="preserve"> </w:t>
      </w:r>
      <w:r w:rsidRPr="006E0B17">
        <w:rPr>
          <w:rFonts w:ascii="Times New Roman" w:hAnsi="Times New Roman" w:cs="Times New Roman"/>
          <w:sz w:val="24"/>
        </w:rPr>
        <w:t>Chapter 12 of the Basin Plan (</w:t>
      </w:r>
      <w:r w:rsidR="00544AAB">
        <w:rPr>
          <w:rFonts w:ascii="Times New Roman" w:hAnsi="Times New Roman" w:cs="Times New Roman"/>
          <w:sz w:val="24"/>
        </w:rPr>
        <w:t>sub</w:t>
      </w:r>
      <w:r w:rsidRPr="006E0B17">
        <w:rPr>
          <w:rFonts w:ascii="Times New Roman" w:hAnsi="Times New Roman" w:cs="Times New Roman"/>
          <w:sz w:val="24"/>
        </w:rPr>
        <w:t>section 46(2)</w:t>
      </w:r>
      <w:r>
        <w:rPr>
          <w:rFonts w:ascii="Times New Roman" w:hAnsi="Times New Roman" w:cs="Times New Roman"/>
          <w:sz w:val="24"/>
        </w:rPr>
        <w:t>,</w:t>
      </w:r>
      <w:r w:rsidRPr="006E0B17">
        <w:rPr>
          <w:rFonts w:ascii="Times New Roman" w:hAnsi="Times New Roman" w:cs="Times New Roman"/>
          <w:sz w:val="24"/>
        </w:rPr>
        <w:t xml:space="preserve"> Water Act).</w:t>
      </w:r>
      <w:r>
        <w:rPr>
          <w:rFonts w:ascii="Times New Roman" w:hAnsi="Times New Roman" w:cs="Times New Roman"/>
          <w:sz w:val="24"/>
        </w:rPr>
        <w:t xml:space="preserve"> </w:t>
      </w:r>
      <w:r w:rsidRPr="006E0B17">
        <w:rPr>
          <w:rFonts w:ascii="Times New Roman" w:hAnsi="Times New Roman" w:cs="Times New Roman"/>
          <w:sz w:val="24"/>
        </w:rPr>
        <w:t>Once the Authority has prepared a proposed amendment</w:t>
      </w:r>
      <w:r w:rsidR="00544AAB">
        <w:rPr>
          <w:rFonts w:ascii="Times New Roman" w:hAnsi="Times New Roman" w:cs="Times New Roman"/>
          <w:sz w:val="24"/>
        </w:rPr>
        <w:t>,</w:t>
      </w:r>
      <w:r w:rsidRPr="006E0B17">
        <w:rPr>
          <w:rFonts w:ascii="Times New Roman" w:hAnsi="Times New Roman" w:cs="Times New Roman"/>
          <w:sz w:val="24"/>
        </w:rPr>
        <w:t xml:space="preserve"> the Authority must allow the public and the Basin States a minimum of eight weeks to make submission</w:t>
      </w:r>
      <w:r w:rsidR="00B86137">
        <w:rPr>
          <w:rFonts w:ascii="Times New Roman" w:hAnsi="Times New Roman" w:cs="Times New Roman"/>
          <w:sz w:val="24"/>
        </w:rPr>
        <w:t>s</w:t>
      </w:r>
      <w:r w:rsidRPr="006E0B17">
        <w:rPr>
          <w:rFonts w:ascii="Times New Roman" w:hAnsi="Times New Roman" w:cs="Times New Roman"/>
          <w:sz w:val="24"/>
        </w:rPr>
        <w:t xml:space="preserve"> on the proposed amendment to the Basin Plan (section 47</w:t>
      </w:r>
      <w:r>
        <w:rPr>
          <w:rFonts w:ascii="Times New Roman" w:hAnsi="Times New Roman" w:cs="Times New Roman"/>
          <w:sz w:val="24"/>
        </w:rPr>
        <w:t xml:space="preserve">, Water </w:t>
      </w:r>
      <w:r w:rsidRPr="0066356F">
        <w:rPr>
          <w:rFonts w:ascii="Times New Roman" w:hAnsi="Times New Roman" w:cs="Times New Roman"/>
          <w:sz w:val="24"/>
        </w:rPr>
        <w:t xml:space="preserve">Act). </w:t>
      </w:r>
    </w:p>
    <w:p w:rsidR="00126584" w:rsidRPr="0066356F" w:rsidRDefault="00126584" w:rsidP="00511B9B">
      <w:pPr>
        <w:tabs>
          <w:tab w:val="left" w:pos="1701"/>
          <w:tab w:val="right" w:pos="9072"/>
        </w:tabs>
        <w:spacing w:after="0" w:line="240" w:lineRule="auto"/>
        <w:rPr>
          <w:rFonts w:ascii="Times New Roman" w:hAnsi="Times New Roman" w:cs="Times New Roman"/>
          <w:sz w:val="24"/>
        </w:rPr>
      </w:pPr>
    </w:p>
    <w:p w:rsidR="006A6D1F" w:rsidRPr="006A6D1F" w:rsidRDefault="006A6D1F" w:rsidP="006A6D1F">
      <w:pPr>
        <w:tabs>
          <w:tab w:val="left" w:pos="1701"/>
          <w:tab w:val="right" w:pos="9072"/>
        </w:tabs>
        <w:spacing w:after="0" w:line="240" w:lineRule="auto"/>
        <w:rPr>
          <w:rFonts w:ascii="Times New Roman" w:hAnsi="Times New Roman" w:cs="Times New Roman"/>
          <w:sz w:val="24"/>
        </w:rPr>
      </w:pPr>
      <w:r w:rsidRPr="006A6D1F">
        <w:rPr>
          <w:rFonts w:ascii="Times New Roman" w:hAnsi="Times New Roman" w:cs="Times New Roman"/>
          <w:sz w:val="24"/>
        </w:rPr>
        <w:t xml:space="preserve">The Authority consulted with the public and the Basin States on the proposed Disallowed Instrument from 22 November 2016 until 24 February 2017. Members of the public were invited to provide feedback on the proposed amendments and information sessions were held throughout the Basin. The Authority received 2,144 submissions and held 50 meetings during this public consultation period. The Authority held meetings and talks with community </w:t>
      </w:r>
      <w:r w:rsidRPr="006A6D1F">
        <w:rPr>
          <w:rFonts w:ascii="Times New Roman" w:hAnsi="Times New Roman" w:cs="Times New Roman"/>
          <w:sz w:val="24"/>
        </w:rPr>
        <w:lastRenderedPageBreak/>
        <w:t xml:space="preserve">members, as well as irrigators, floodplain graziers, Indigenous people and groups, conservation groups, local government, natural resource management groups and Basin State governments. The Authority considered the issues raised by the Basin States and the public during consultation, and the </w:t>
      </w:r>
      <w:r>
        <w:rPr>
          <w:rFonts w:ascii="Times New Roman" w:hAnsi="Times New Roman" w:cs="Times New Roman"/>
          <w:sz w:val="24"/>
        </w:rPr>
        <w:t xml:space="preserve">community </w:t>
      </w:r>
      <w:r w:rsidRPr="006A6D1F">
        <w:rPr>
          <w:rFonts w:ascii="Times New Roman" w:hAnsi="Times New Roman" w:cs="Times New Roman"/>
          <w:sz w:val="24"/>
        </w:rPr>
        <w:t>consultation report was published on the Authority’s website.</w:t>
      </w:r>
      <w:r w:rsidRPr="006A6D1F">
        <w:rPr>
          <w:rFonts w:ascii="Times New Roman" w:hAnsi="Times New Roman" w:cs="Times New Roman"/>
          <w:b/>
          <w:sz w:val="24"/>
        </w:rPr>
        <w:br/>
      </w:r>
      <w:r w:rsidRPr="006A6D1F">
        <w:rPr>
          <w:rFonts w:ascii="Times New Roman" w:hAnsi="Times New Roman" w:cs="Times New Roman"/>
          <w:b/>
          <w:sz w:val="24"/>
        </w:rPr>
        <w:br/>
      </w:r>
      <w:r>
        <w:rPr>
          <w:rFonts w:ascii="Times New Roman" w:hAnsi="Times New Roman" w:cs="Times New Roman"/>
          <w:sz w:val="24"/>
        </w:rPr>
        <w:t>Following the public and Basin State consultation, t</w:t>
      </w:r>
      <w:r w:rsidRPr="006A6D1F">
        <w:rPr>
          <w:rFonts w:ascii="Times New Roman" w:hAnsi="Times New Roman" w:cs="Times New Roman"/>
          <w:sz w:val="24"/>
        </w:rPr>
        <w:t xml:space="preserve">he </w:t>
      </w:r>
      <w:r w:rsidR="00AD5326">
        <w:rPr>
          <w:rFonts w:ascii="Times New Roman" w:hAnsi="Times New Roman" w:cs="Times New Roman"/>
          <w:sz w:val="24"/>
        </w:rPr>
        <w:t xml:space="preserve">Authority gave the Murray-Darling Basin </w:t>
      </w:r>
      <w:r w:rsidRPr="006A6D1F">
        <w:rPr>
          <w:rFonts w:ascii="Times New Roman" w:hAnsi="Times New Roman" w:cs="Times New Roman"/>
          <w:sz w:val="24"/>
        </w:rPr>
        <w:t xml:space="preserve">Ministerial Council </w:t>
      </w:r>
      <w:r w:rsidR="00AD5326">
        <w:rPr>
          <w:rFonts w:ascii="Times New Roman" w:hAnsi="Times New Roman" w:cs="Times New Roman"/>
          <w:sz w:val="24"/>
        </w:rPr>
        <w:t xml:space="preserve">(the Ministerial Council) </w:t>
      </w:r>
      <w:r w:rsidRPr="006A6D1F">
        <w:rPr>
          <w:rFonts w:ascii="Times New Roman" w:hAnsi="Times New Roman" w:cs="Times New Roman"/>
          <w:sz w:val="24"/>
        </w:rPr>
        <w:t>the proposed Disallowed Instrument</w:t>
      </w:r>
      <w:r w:rsidRPr="006A6D1F">
        <w:rPr>
          <w:rFonts w:ascii="Times New Roman" w:hAnsi="Times New Roman" w:cs="Times New Roman"/>
          <w:i/>
          <w:sz w:val="24"/>
        </w:rPr>
        <w:t xml:space="preserve"> </w:t>
      </w:r>
      <w:r w:rsidRPr="006A6D1F">
        <w:rPr>
          <w:rFonts w:ascii="Times New Roman" w:hAnsi="Times New Roman" w:cs="Times New Roman"/>
          <w:sz w:val="24"/>
        </w:rPr>
        <w:t>for comment on 11 May 2017 for a six wee</w:t>
      </w:r>
      <w:r>
        <w:rPr>
          <w:rFonts w:ascii="Times New Roman" w:hAnsi="Times New Roman" w:cs="Times New Roman"/>
          <w:sz w:val="24"/>
        </w:rPr>
        <w:t>k period. On 16 </w:t>
      </w:r>
      <w:r w:rsidRPr="006A6D1F">
        <w:rPr>
          <w:rFonts w:ascii="Times New Roman" w:hAnsi="Times New Roman" w:cs="Times New Roman"/>
          <w:sz w:val="24"/>
        </w:rPr>
        <w:t xml:space="preserve">June 2017, the Ministerial Council provided a notice with two consensus comments on the proposed Disallowed Instrument. The Authority incorporated further amendments that addressed these comments to the proposed Disallowed Instrument and provided it back to the Ministerial Council for comment on 26 June 2017 for a three week period. The Ministerial Council had no comments on the proposed Disallowed Instrument by 17 July 2017. </w:t>
      </w:r>
    </w:p>
    <w:p w:rsidR="006A6D1F" w:rsidRPr="006A6D1F" w:rsidRDefault="006A6D1F" w:rsidP="006A6D1F">
      <w:pPr>
        <w:tabs>
          <w:tab w:val="left" w:pos="1701"/>
          <w:tab w:val="right" w:pos="9072"/>
        </w:tabs>
        <w:spacing w:after="0" w:line="240" w:lineRule="auto"/>
        <w:rPr>
          <w:rFonts w:ascii="Times New Roman" w:hAnsi="Times New Roman" w:cs="Times New Roman"/>
          <w:b/>
          <w:sz w:val="24"/>
        </w:rPr>
      </w:pPr>
    </w:p>
    <w:p w:rsidR="00DF03A3" w:rsidRPr="00DF03A3" w:rsidRDefault="00281CE5" w:rsidP="004C5E4F">
      <w:pPr>
        <w:tabs>
          <w:tab w:val="left" w:pos="1701"/>
          <w:tab w:val="right" w:pos="9072"/>
        </w:tabs>
        <w:spacing w:after="0" w:line="240" w:lineRule="auto"/>
        <w:rPr>
          <w:rFonts w:ascii="Times New Roman" w:hAnsi="Times New Roman" w:cs="Times New Roman"/>
          <w:sz w:val="24"/>
        </w:rPr>
      </w:pPr>
      <w:r w:rsidRPr="00281CE5">
        <w:rPr>
          <w:rFonts w:ascii="Times New Roman" w:hAnsi="Times New Roman" w:cs="Times New Roman"/>
          <w:sz w:val="24"/>
        </w:rPr>
        <w:t xml:space="preserve">The Authority </w:t>
      </w:r>
      <w:r w:rsidR="006A13FB">
        <w:rPr>
          <w:rFonts w:ascii="Times New Roman" w:hAnsi="Times New Roman" w:cs="Times New Roman"/>
          <w:sz w:val="24"/>
        </w:rPr>
        <w:t>then provided the proposed Disallowed Instrument</w:t>
      </w:r>
      <w:r w:rsidRPr="00281CE5">
        <w:rPr>
          <w:rFonts w:ascii="Times New Roman" w:hAnsi="Times New Roman" w:cs="Times New Roman"/>
          <w:sz w:val="24"/>
        </w:rPr>
        <w:t xml:space="preserve"> to the Minister for adopti</w:t>
      </w:r>
      <w:r w:rsidR="006A13FB">
        <w:rPr>
          <w:rFonts w:ascii="Times New Roman" w:hAnsi="Times New Roman" w:cs="Times New Roman"/>
          <w:sz w:val="24"/>
        </w:rPr>
        <w:t>on, noting that the Minister had</w:t>
      </w:r>
      <w:r w:rsidRPr="00281CE5">
        <w:rPr>
          <w:rFonts w:ascii="Times New Roman" w:hAnsi="Times New Roman" w:cs="Times New Roman"/>
          <w:sz w:val="24"/>
        </w:rPr>
        <w:t xml:space="preserve"> the opportunity to provide suggestions and directions, in accordance with the requirements of this section (section 48, Water Act). </w:t>
      </w:r>
      <w:r w:rsidR="0089165F">
        <w:rPr>
          <w:rFonts w:ascii="Times New Roman" w:hAnsi="Times New Roman" w:cs="Times New Roman"/>
          <w:sz w:val="24"/>
        </w:rPr>
        <w:t xml:space="preserve">The </w:t>
      </w:r>
      <w:r w:rsidR="00522306" w:rsidRPr="00CC06BE">
        <w:rPr>
          <w:rFonts w:ascii="Times New Roman" w:hAnsi="Times New Roman" w:cs="Times New Roman"/>
          <w:sz w:val="24"/>
          <w:szCs w:val="24"/>
        </w:rPr>
        <w:t>Disallowed Instrument</w:t>
      </w:r>
      <w:r w:rsidR="0089165F" w:rsidRPr="00CC06BE">
        <w:rPr>
          <w:rFonts w:ascii="Times New Roman" w:hAnsi="Times New Roman" w:cs="Times New Roman"/>
          <w:sz w:val="24"/>
        </w:rPr>
        <w:t xml:space="preserve"> was</w:t>
      </w:r>
      <w:r w:rsidR="0089165F">
        <w:rPr>
          <w:rFonts w:ascii="Times New Roman" w:hAnsi="Times New Roman" w:cs="Times New Roman"/>
          <w:sz w:val="24"/>
        </w:rPr>
        <w:t xml:space="preserve"> </w:t>
      </w:r>
      <w:r>
        <w:rPr>
          <w:rFonts w:ascii="Times New Roman" w:hAnsi="Times New Roman" w:cs="Times New Roman"/>
          <w:sz w:val="24"/>
        </w:rPr>
        <w:t xml:space="preserve">adopted by the Assistant Minister for Agriculture and Water Resources on </w:t>
      </w:r>
      <w:r w:rsidR="00F620CB">
        <w:rPr>
          <w:rFonts w:ascii="Times New Roman" w:hAnsi="Times New Roman" w:cs="Times New Roman"/>
          <w:sz w:val="24"/>
        </w:rPr>
        <w:t xml:space="preserve">13 November 2017 and commenced in law on 14 November 2017. The Disallowed Instrument was subsequently </w:t>
      </w:r>
      <w:r w:rsidR="00DF03A3">
        <w:rPr>
          <w:rFonts w:ascii="Times New Roman" w:hAnsi="Times New Roman" w:cs="Times New Roman"/>
          <w:sz w:val="24"/>
        </w:rPr>
        <w:t>tabled</w:t>
      </w:r>
      <w:r w:rsidR="0089165F">
        <w:rPr>
          <w:rFonts w:ascii="Times New Roman" w:hAnsi="Times New Roman" w:cs="Times New Roman"/>
          <w:sz w:val="24"/>
        </w:rPr>
        <w:t xml:space="preserve"> in </w:t>
      </w:r>
      <w:r w:rsidR="00F620CB">
        <w:rPr>
          <w:rFonts w:ascii="Times New Roman" w:hAnsi="Times New Roman" w:cs="Times New Roman"/>
          <w:sz w:val="24"/>
        </w:rPr>
        <w:t xml:space="preserve">both Houses of </w:t>
      </w:r>
      <w:r w:rsidR="0089165F">
        <w:rPr>
          <w:rFonts w:ascii="Times New Roman" w:hAnsi="Times New Roman" w:cs="Times New Roman"/>
          <w:sz w:val="24"/>
        </w:rPr>
        <w:t xml:space="preserve">Parliament </w:t>
      </w:r>
      <w:r w:rsidR="00DF03A3">
        <w:rPr>
          <w:rFonts w:ascii="Times New Roman" w:hAnsi="Times New Roman" w:cs="Times New Roman"/>
          <w:sz w:val="24"/>
        </w:rPr>
        <w:t xml:space="preserve">and was subject to disallowance in accordance with the requirements of the </w:t>
      </w:r>
      <w:r w:rsidR="00DF03A3" w:rsidRPr="006E0B17">
        <w:rPr>
          <w:rFonts w:ascii="Times New Roman" w:hAnsi="Times New Roman" w:cs="Times New Roman"/>
          <w:i/>
          <w:sz w:val="24"/>
        </w:rPr>
        <w:t>Legislation Act 2003</w:t>
      </w:r>
      <w:r w:rsidR="00DF03A3" w:rsidRPr="00B34C06">
        <w:rPr>
          <w:rFonts w:ascii="Times New Roman" w:hAnsi="Times New Roman" w:cs="Times New Roman"/>
          <w:sz w:val="24"/>
        </w:rPr>
        <w:t>.</w:t>
      </w:r>
      <w:r w:rsidR="00DF03A3">
        <w:rPr>
          <w:rFonts w:ascii="Times New Roman" w:hAnsi="Times New Roman" w:cs="Times New Roman"/>
          <w:i/>
          <w:sz w:val="24"/>
        </w:rPr>
        <w:t xml:space="preserve"> </w:t>
      </w:r>
      <w:r w:rsidR="00DF03A3">
        <w:rPr>
          <w:rFonts w:ascii="Times New Roman" w:hAnsi="Times New Roman" w:cs="Times New Roman"/>
          <w:sz w:val="24"/>
        </w:rPr>
        <w:t>On 14 February 2018 this instrument was disallowed</w:t>
      </w:r>
      <w:r w:rsidR="004345AD">
        <w:rPr>
          <w:rFonts w:ascii="Times New Roman" w:hAnsi="Times New Roman" w:cs="Times New Roman"/>
          <w:sz w:val="24"/>
        </w:rPr>
        <w:t xml:space="preserve"> by the Senate</w:t>
      </w:r>
      <w:r w:rsidR="00DF03A3">
        <w:rPr>
          <w:rFonts w:ascii="Times New Roman" w:hAnsi="Times New Roman" w:cs="Times New Roman"/>
          <w:sz w:val="24"/>
        </w:rPr>
        <w:t xml:space="preserve">. </w:t>
      </w:r>
    </w:p>
    <w:p w:rsidR="00E95098" w:rsidRDefault="00E95098" w:rsidP="00511B9B">
      <w:pPr>
        <w:tabs>
          <w:tab w:val="left" w:pos="1701"/>
          <w:tab w:val="right" w:pos="9072"/>
        </w:tabs>
        <w:spacing w:after="0" w:line="240" w:lineRule="auto"/>
        <w:rPr>
          <w:rFonts w:ascii="Times New Roman" w:hAnsi="Times New Roman" w:cs="Times New Roman"/>
          <w:sz w:val="24"/>
        </w:rPr>
      </w:pPr>
    </w:p>
    <w:p w:rsidR="002F629E" w:rsidRPr="00522306" w:rsidRDefault="00E2693A" w:rsidP="00A116C5">
      <w:pPr>
        <w:spacing w:after="0" w:line="240" w:lineRule="auto"/>
        <w:rPr>
          <w:rFonts w:ascii="Times New Roman" w:hAnsi="Times New Roman" w:cs="Times New Roman"/>
          <w:b/>
          <w:sz w:val="24"/>
          <w:szCs w:val="24"/>
        </w:rPr>
      </w:pPr>
      <w:r w:rsidRPr="006445EB">
        <w:rPr>
          <w:rFonts w:ascii="Times New Roman" w:hAnsi="Times New Roman" w:cs="Times New Roman"/>
          <w:b/>
          <w:sz w:val="24"/>
          <w:szCs w:val="24"/>
        </w:rPr>
        <w:t xml:space="preserve">Consultation for the </w:t>
      </w:r>
      <w:r w:rsidR="002F629E" w:rsidRPr="00A116C5">
        <w:rPr>
          <w:rFonts w:ascii="Times New Roman" w:hAnsi="Times New Roman" w:cs="Times New Roman"/>
          <w:b/>
          <w:i/>
          <w:sz w:val="24"/>
          <w:szCs w:val="24"/>
        </w:rPr>
        <w:t>Basin Plan Amendment Instrument (No. 1) 2018</w:t>
      </w:r>
      <w:r w:rsidR="00522306">
        <w:rPr>
          <w:rFonts w:ascii="Times New Roman" w:hAnsi="Times New Roman" w:cs="Times New Roman"/>
          <w:b/>
          <w:i/>
          <w:sz w:val="24"/>
          <w:szCs w:val="24"/>
        </w:rPr>
        <w:t xml:space="preserve"> </w:t>
      </w:r>
      <w:r w:rsidR="00522306" w:rsidRPr="00522306">
        <w:rPr>
          <w:rFonts w:ascii="Times New Roman" w:hAnsi="Times New Roman" w:cs="Times New Roman"/>
          <w:b/>
          <w:sz w:val="24"/>
          <w:szCs w:val="24"/>
        </w:rPr>
        <w:t>(the Amendment Instrument)</w:t>
      </w:r>
    </w:p>
    <w:p w:rsidR="005A0DDB" w:rsidRPr="006445EB" w:rsidRDefault="005A0DDB" w:rsidP="00511B9B">
      <w:pPr>
        <w:tabs>
          <w:tab w:val="left" w:pos="1701"/>
          <w:tab w:val="right" w:pos="9072"/>
        </w:tabs>
        <w:spacing w:after="0" w:line="240" w:lineRule="auto"/>
        <w:rPr>
          <w:rFonts w:ascii="Times New Roman" w:hAnsi="Times New Roman" w:cs="Times New Roman"/>
          <w:sz w:val="24"/>
        </w:rPr>
      </w:pPr>
    </w:p>
    <w:p w:rsidR="00897D8B" w:rsidRDefault="004C5E4F" w:rsidP="00511B9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w:t>
      </w:r>
      <w:r w:rsidR="002F629E">
        <w:rPr>
          <w:rFonts w:ascii="Times New Roman" w:hAnsi="Times New Roman" w:cs="Times New Roman"/>
          <w:sz w:val="24"/>
        </w:rPr>
        <w:t xml:space="preserve">he </w:t>
      </w:r>
      <w:r w:rsidR="00DF03A3">
        <w:rPr>
          <w:rFonts w:ascii="Times New Roman" w:hAnsi="Times New Roman" w:cs="Times New Roman"/>
          <w:sz w:val="24"/>
        </w:rPr>
        <w:t xml:space="preserve">Minister may direct the Authority to prepare an amendment of the Basin Plan </w:t>
      </w:r>
      <w:r>
        <w:rPr>
          <w:rFonts w:ascii="Times New Roman" w:hAnsi="Times New Roman" w:cs="Times New Roman"/>
          <w:sz w:val="24"/>
        </w:rPr>
        <w:t>under s</w:t>
      </w:r>
      <w:r w:rsidR="00B34C06">
        <w:rPr>
          <w:rFonts w:ascii="Times New Roman" w:hAnsi="Times New Roman" w:cs="Times New Roman"/>
          <w:sz w:val="24"/>
        </w:rPr>
        <w:t>ubs</w:t>
      </w:r>
      <w:r>
        <w:rPr>
          <w:rFonts w:ascii="Times New Roman" w:hAnsi="Times New Roman" w:cs="Times New Roman"/>
          <w:sz w:val="24"/>
        </w:rPr>
        <w:t>ection 49AA</w:t>
      </w:r>
      <w:r w:rsidR="00B34C06">
        <w:rPr>
          <w:rFonts w:ascii="Times New Roman" w:hAnsi="Times New Roman" w:cs="Times New Roman"/>
          <w:sz w:val="24"/>
        </w:rPr>
        <w:t>(1)</w:t>
      </w:r>
      <w:r w:rsidR="004345AD">
        <w:rPr>
          <w:rFonts w:ascii="Times New Roman" w:hAnsi="Times New Roman" w:cs="Times New Roman"/>
          <w:sz w:val="24"/>
        </w:rPr>
        <w:t xml:space="preserve"> of the Water Act</w:t>
      </w:r>
      <w:r w:rsidR="00E2693A">
        <w:rPr>
          <w:rFonts w:ascii="Times New Roman" w:hAnsi="Times New Roman" w:cs="Times New Roman"/>
          <w:sz w:val="24"/>
        </w:rPr>
        <w:t>,</w:t>
      </w:r>
      <w:r w:rsidR="00897D8B">
        <w:rPr>
          <w:rFonts w:ascii="Times New Roman" w:hAnsi="Times New Roman" w:cs="Times New Roman"/>
          <w:sz w:val="24"/>
        </w:rPr>
        <w:t xml:space="preserve"> that has been disallowed</w:t>
      </w:r>
      <w:r w:rsidR="00E2693A">
        <w:rPr>
          <w:rFonts w:ascii="Times New Roman" w:hAnsi="Times New Roman" w:cs="Times New Roman"/>
          <w:sz w:val="24"/>
        </w:rPr>
        <w:t xml:space="preserve"> </w:t>
      </w:r>
      <w:r w:rsidR="00897D8B">
        <w:rPr>
          <w:rFonts w:ascii="Times New Roman" w:hAnsi="Times New Roman" w:cs="Times New Roman"/>
          <w:sz w:val="24"/>
        </w:rPr>
        <w:t xml:space="preserve">(or is taken to have been disallowed) under subsection 42(1) or (2) of the </w:t>
      </w:r>
      <w:r w:rsidR="00897D8B">
        <w:rPr>
          <w:rFonts w:ascii="Times New Roman" w:hAnsi="Times New Roman" w:cs="Times New Roman"/>
          <w:i/>
          <w:sz w:val="24"/>
        </w:rPr>
        <w:t>Legislation Act 2003</w:t>
      </w:r>
      <w:r w:rsidR="00897D8B" w:rsidRPr="00B34C06">
        <w:rPr>
          <w:rFonts w:ascii="Times New Roman" w:hAnsi="Times New Roman" w:cs="Times New Roman"/>
          <w:sz w:val="24"/>
        </w:rPr>
        <w:t>,</w:t>
      </w:r>
      <w:r w:rsidR="00897D8B">
        <w:rPr>
          <w:rFonts w:ascii="Times New Roman" w:hAnsi="Times New Roman" w:cs="Times New Roman"/>
          <w:sz w:val="24"/>
        </w:rPr>
        <w:t xml:space="preserve"> </w:t>
      </w:r>
      <w:r w:rsidR="00E2693A">
        <w:rPr>
          <w:rFonts w:ascii="Times New Roman" w:hAnsi="Times New Roman" w:cs="Times New Roman"/>
          <w:sz w:val="24"/>
        </w:rPr>
        <w:t xml:space="preserve">without going through the full consultation process under sections 46 to 48 of the Water Act. Section 49AA of the Water Act was inserted following amendments made by the </w:t>
      </w:r>
      <w:r w:rsidR="00E2693A" w:rsidRPr="00AC2A76">
        <w:rPr>
          <w:rFonts w:ascii="Times New Roman" w:hAnsi="Times New Roman" w:cs="Times New Roman"/>
          <w:i/>
          <w:sz w:val="24"/>
        </w:rPr>
        <w:t>Water Amendment Act 2018</w:t>
      </w:r>
      <w:r w:rsidR="00E2693A">
        <w:rPr>
          <w:rFonts w:ascii="Times New Roman" w:hAnsi="Times New Roman" w:cs="Times New Roman"/>
          <w:i/>
          <w:sz w:val="24"/>
        </w:rPr>
        <w:t xml:space="preserve"> </w:t>
      </w:r>
      <w:r w:rsidR="00897D8B">
        <w:rPr>
          <w:rFonts w:ascii="Times New Roman" w:hAnsi="Times New Roman" w:cs="Times New Roman"/>
          <w:sz w:val="24"/>
        </w:rPr>
        <w:t>which commenced</w:t>
      </w:r>
      <w:r w:rsidR="00E2693A">
        <w:rPr>
          <w:rFonts w:ascii="Times New Roman" w:hAnsi="Times New Roman" w:cs="Times New Roman"/>
          <w:sz w:val="24"/>
        </w:rPr>
        <w:t xml:space="preserve"> on </w:t>
      </w:r>
      <w:r w:rsidR="00897D8B" w:rsidRPr="00A116C5">
        <w:rPr>
          <w:rFonts w:ascii="Times New Roman" w:hAnsi="Times New Roman" w:cs="Times New Roman"/>
          <w:sz w:val="24"/>
        </w:rPr>
        <w:t>28 June 2018</w:t>
      </w:r>
      <w:r w:rsidR="00E2693A" w:rsidRPr="00A116C5">
        <w:rPr>
          <w:rFonts w:ascii="Times New Roman" w:hAnsi="Times New Roman" w:cs="Times New Roman"/>
          <w:sz w:val="24"/>
        </w:rPr>
        <w:t>.</w:t>
      </w:r>
      <w:r w:rsidR="00E2693A">
        <w:rPr>
          <w:rFonts w:ascii="Times New Roman" w:hAnsi="Times New Roman" w:cs="Times New Roman"/>
          <w:sz w:val="24"/>
        </w:rPr>
        <w:t xml:space="preserve"> </w:t>
      </w:r>
    </w:p>
    <w:p w:rsidR="00897D8B" w:rsidRDefault="00897D8B" w:rsidP="00511B9B">
      <w:pPr>
        <w:tabs>
          <w:tab w:val="left" w:pos="1701"/>
          <w:tab w:val="right" w:pos="9072"/>
        </w:tabs>
        <w:spacing w:after="0" w:line="240" w:lineRule="auto"/>
        <w:rPr>
          <w:rFonts w:ascii="Times New Roman" w:hAnsi="Times New Roman" w:cs="Times New Roman"/>
          <w:sz w:val="24"/>
        </w:rPr>
      </w:pPr>
    </w:p>
    <w:p w:rsidR="00897D8B" w:rsidRDefault="00897D8B" w:rsidP="00511B9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On </w:t>
      </w:r>
      <w:r w:rsidR="007861F5">
        <w:rPr>
          <w:rFonts w:ascii="Times New Roman" w:hAnsi="Times New Roman" w:cs="Times New Roman"/>
          <w:sz w:val="24"/>
        </w:rPr>
        <w:t>29</w:t>
      </w:r>
      <w:r w:rsidRPr="00A116C5">
        <w:rPr>
          <w:rFonts w:ascii="Times New Roman" w:hAnsi="Times New Roman" w:cs="Times New Roman"/>
          <w:sz w:val="24"/>
        </w:rPr>
        <w:t xml:space="preserve"> June 2018</w:t>
      </w:r>
      <w:r>
        <w:rPr>
          <w:rFonts w:ascii="Times New Roman" w:hAnsi="Times New Roman" w:cs="Times New Roman"/>
          <w:sz w:val="24"/>
        </w:rPr>
        <w:t>, the Minister directed the Authority</w:t>
      </w:r>
      <w:r w:rsidR="007861F5">
        <w:rPr>
          <w:rFonts w:ascii="Times New Roman" w:hAnsi="Times New Roman" w:cs="Times New Roman"/>
          <w:sz w:val="24"/>
        </w:rPr>
        <w:t xml:space="preserve">, pursuant to the </w:t>
      </w:r>
      <w:r w:rsidR="007861F5" w:rsidRPr="007861F5">
        <w:rPr>
          <w:rFonts w:ascii="Times New Roman" w:hAnsi="Times New Roman" w:cs="Times New Roman"/>
          <w:i/>
          <w:sz w:val="24"/>
        </w:rPr>
        <w:t>Water Act (Northern Basin Review and Other Measures) Direction 2018</w:t>
      </w:r>
      <w:r w:rsidR="007861F5">
        <w:rPr>
          <w:rFonts w:ascii="Times New Roman" w:hAnsi="Times New Roman" w:cs="Times New Roman"/>
          <w:sz w:val="24"/>
        </w:rPr>
        <w:t>,</w:t>
      </w:r>
      <w:r>
        <w:rPr>
          <w:rFonts w:ascii="Times New Roman" w:hAnsi="Times New Roman" w:cs="Times New Roman"/>
          <w:sz w:val="24"/>
        </w:rPr>
        <w:t xml:space="preserve"> to prepare a Basin Plan amendment the same in effect as </w:t>
      </w:r>
      <w:r w:rsidRPr="00CC06BE">
        <w:rPr>
          <w:rFonts w:ascii="Times New Roman" w:hAnsi="Times New Roman" w:cs="Times New Roman"/>
          <w:sz w:val="24"/>
        </w:rPr>
        <w:t xml:space="preserve">the </w:t>
      </w:r>
      <w:r w:rsidR="00522306" w:rsidRPr="00CC06BE">
        <w:rPr>
          <w:rFonts w:ascii="Times New Roman" w:hAnsi="Times New Roman" w:cs="Times New Roman"/>
          <w:sz w:val="24"/>
          <w:szCs w:val="24"/>
        </w:rPr>
        <w:t>Disallowed Instrument</w:t>
      </w:r>
      <w:r w:rsidR="007861F5">
        <w:rPr>
          <w:rFonts w:ascii="Times New Roman" w:hAnsi="Times New Roman" w:cs="Times New Roman"/>
          <w:sz w:val="24"/>
          <w:szCs w:val="24"/>
        </w:rPr>
        <w:t>, which was</w:t>
      </w:r>
      <w:r w:rsidR="0065533A">
        <w:rPr>
          <w:rFonts w:ascii="Times New Roman" w:hAnsi="Times New Roman" w:cs="Times New Roman"/>
          <w:i/>
          <w:sz w:val="24"/>
          <w:szCs w:val="24"/>
        </w:rPr>
        <w:t xml:space="preserve"> </w:t>
      </w:r>
      <w:r>
        <w:rPr>
          <w:rFonts w:ascii="Times New Roman" w:hAnsi="Times New Roman" w:cs="Times New Roman"/>
          <w:sz w:val="24"/>
          <w:szCs w:val="24"/>
        </w:rPr>
        <w:t>was disallowed by the Senate on 14 February 2018.</w:t>
      </w:r>
      <w:r>
        <w:rPr>
          <w:rFonts w:ascii="Times New Roman" w:hAnsi="Times New Roman" w:cs="Times New Roman"/>
          <w:sz w:val="24"/>
        </w:rPr>
        <w:t xml:space="preserve"> </w:t>
      </w:r>
      <w:r w:rsidR="004C5E4F">
        <w:rPr>
          <w:rFonts w:ascii="Times New Roman" w:hAnsi="Times New Roman" w:cs="Times New Roman"/>
          <w:sz w:val="24"/>
        </w:rPr>
        <w:t>T</w:t>
      </w:r>
      <w:r w:rsidR="00041C68">
        <w:rPr>
          <w:rFonts w:ascii="Times New Roman" w:hAnsi="Times New Roman" w:cs="Times New Roman"/>
          <w:sz w:val="24"/>
        </w:rPr>
        <w:t>h</w:t>
      </w:r>
      <w:r w:rsidR="00981437">
        <w:rPr>
          <w:rFonts w:ascii="Times New Roman" w:hAnsi="Times New Roman" w:cs="Times New Roman"/>
          <w:sz w:val="24"/>
        </w:rPr>
        <w:t>is</w:t>
      </w:r>
      <w:r w:rsidR="00041C68">
        <w:rPr>
          <w:rFonts w:ascii="Times New Roman" w:hAnsi="Times New Roman" w:cs="Times New Roman"/>
          <w:sz w:val="24"/>
        </w:rPr>
        <w:t xml:space="preserve"> </w:t>
      </w:r>
      <w:r>
        <w:rPr>
          <w:rFonts w:ascii="Times New Roman" w:hAnsi="Times New Roman" w:cs="Times New Roman"/>
          <w:sz w:val="24"/>
        </w:rPr>
        <w:t>Amendment Instrument</w:t>
      </w:r>
      <w:r w:rsidR="00981437">
        <w:rPr>
          <w:rFonts w:ascii="Times New Roman" w:hAnsi="Times New Roman" w:cs="Times New Roman"/>
          <w:sz w:val="24"/>
        </w:rPr>
        <w:t>,</w:t>
      </w:r>
      <w:r>
        <w:rPr>
          <w:rFonts w:ascii="Times New Roman" w:hAnsi="Times New Roman" w:cs="Times New Roman"/>
          <w:sz w:val="24"/>
        </w:rPr>
        <w:t xml:space="preserve"> made following </w:t>
      </w:r>
      <w:r w:rsidR="009E677B">
        <w:rPr>
          <w:rFonts w:ascii="Times New Roman" w:hAnsi="Times New Roman" w:cs="Times New Roman"/>
          <w:sz w:val="24"/>
        </w:rPr>
        <w:t>the section 49AA direction on 29</w:t>
      </w:r>
      <w:r>
        <w:rPr>
          <w:rFonts w:ascii="Times New Roman" w:hAnsi="Times New Roman" w:cs="Times New Roman"/>
          <w:sz w:val="24"/>
        </w:rPr>
        <w:t xml:space="preserve"> June 2018</w:t>
      </w:r>
      <w:r w:rsidR="00981437">
        <w:rPr>
          <w:rFonts w:ascii="Times New Roman" w:hAnsi="Times New Roman" w:cs="Times New Roman"/>
          <w:sz w:val="24"/>
        </w:rPr>
        <w:t>,</w:t>
      </w:r>
      <w:r>
        <w:rPr>
          <w:rFonts w:ascii="Times New Roman" w:hAnsi="Times New Roman" w:cs="Times New Roman"/>
          <w:sz w:val="24"/>
        </w:rPr>
        <w:t xml:space="preserve"> is </w:t>
      </w:r>
      <w:r w:rsidR="00041C68">
        <w:rPr>
          <w:rFonts w:ascii="Times New Roman" w:hAnsi="Times New Roman" w:cs="Times New Roman"/>
          <w:sz w:val="24"/>
        </w:rPr>
        <w:t xml:space="preserve">the same in effect as </w:t>
      </w:r>
      <w:r w:rsidR="00981437">
        <w:rPr>
          <w:rFonts w:ascii="Times New Roman" w:hAnsi="Times New Roman" w:cs="Times New Roman"/>
          <w:sz w:val="24"/>
        </w:rPr>
        <w:t>the</w:t>
      </w:r>
      <w:r w:rsidR="004345AD">
        <w:rPr>
          <w:rFonts w:ascii="Times New Roman" w:hAnsi="Times New Roman" w:cs="Times New Roman"/>
          <w:sz w:val="24"/>
        </w:rPr>
        <w:t xml:space="preserve"> </w:t>
      </w:r>
      <w:r w:rsidR="00522306">
        <w:rPr>
          <w:rFonts w:ascii="Times New Roman" w:hAnsi="Times New Roman" w:cs="Times New Roman"/>
          <w:sz w:val="24"/>
        </w:rPr>
        <w:t>Disallowed Instrument</w:t>
      </w:r>
      <w:r>
        <w:rPr>
          <w:rFonts w:ascii="Times New Roman" w:hAnsi="Times New Roman" w:cs="Times New Roman"/>
          <w:sz w:val="24"/>
        </w:rPr>
        <w:t>.</w:t>
      </w:r>
    </w:p>
    <w:p w:rsidR="00897D8B" w:rsidRDefault="00897D8B" w:rsidP="00511B9B">
      <w:pPr>
        <w:tabs>
          <w:tab w:val="left" w:pos="1701"/>
          <w:tab w:val="right" w:pos="9072"/>
        </w:tabs>
        <w:spacing w:after="0" w:line="240" w:lineRule="auto"/>
        <w:rPr>
          <w:rFonts w:ascii="Times New Roman" w:hAnsi="Times New Roman" w:cs="Times New Roman"/>
          <w:sz w:val="24"/>
        </w:rPr>
      </w:pPr>
    </w:p>
    <w:p w:rsidR="00897D8B" w:rsidRDefault="00897D8B" w:rsidP="00897D8B">
      <w:pPr>
        <w:tabs>
          <w:tab w:val="left" w:pos="1701"/>
          <w:tab w:val="right" w:pos="9072"/>
        </w:tabs>
        <w:spacing w:after="0" w:line="240" w:lineRule="auto"/>
        <w:rPr>
          <w:rFonts w:ascii="Times New Roman" w:hAnsi="Times New Roman" w:cs="Times New Roman"/>
          <w:sz w:val="24"/>
        </w:rPr>
      </w:pPr>
      <w:r w:rsidRPr="00A116C5">
        <w:rPr>
          <w:rFonts w:ascii="Times New Roman" w:hAnsi="Times New Roman" w:cs="Times New Roman"/>
          <w:sz w:val="24"/>
        </w:rPr>
        <w:t>Sections 46 to 48</w:t>
      </w:r>
      <w:r>
        <w:rPr>
          <w:rFonts w:ascii="Times New Roman" w:hAnsi="Times New Roman" w:cs="Times New Roman"/>
          <w:sz w:val="24"/>
        </w:rPr>
        <w:t xml:space="preserve"> of the Water Act do not apply to an amendment of the Basin Plan that is prepared or adopted under subsection 49AA(4) of the Water Act. Under s</w:t>
      </w:r>
      <w:r w:rsidR="00CC06BE">
        <w:rPr>
          <w:rFonts w:ascii="Times New Roman" w:hAnsi="Times New Roman" w:cs="Times New Roman"/>
          <w:sz w:val="24"/>
        </w:rPr>
        <w:t>ubs</w:t>
      </w:r>
      <w:r>
        <w:rPr>
          <w:rFonts w:ascii="Times New Roman" w:hAnsi="Times New Roman" w:cs="Times New Roman"/>
          <w:sz w:val="24"/>
        </w:rPr>
        <w:t>ection 49AA</w:t>
      </w:r>
      <w:r w:rsidR="00CC06BE">
        <w:rPr>
          <w:rFonts w:ascii="Times New Roman" w:hAnsi="Times New Roman" w:cs="Times New Roman"/>
          <w:sz w:val="24"/>
        </w:rPr>
        <w:t>(6)</w:t>
      </w:r>
      <w:r>
        <w:rPr>
          <w:rFonts w:ascii="Times New Roman" w:hAnsi="Times New Roman" w:cs="Times New Roman"/>
          <w:sz w:val="24"/>
        </w:rPr>
        <w:t xml:space="preserve"> of the Water Act, a </w:t>
      </w:r>
      <w:r w:rsidR="006A13FB">
        <w:rPr>
          <w:rFonts w:ascii="Times New Roman" w:hAnsi="Times New Roman" w:cs="Times New Roman"/>
          <w:sz w:val="24"/>
        </w:rPr>
        <w:t xml:space="preserve">number of changes are specified as </w:t>
      </w:r>
      <w:r w:rsidR="006A13FB" w:rsidRPr="006A13FB">
        <w:rPr>
          <w:rFonts w:ascii="Times New Roman" w:hAnsi="Times New Roman" w:cs="Times New Roman"/>
          <w:sz w:val="24"/>
        </w:rPr>
        <w:t>not prevent</w:t>
      </w:r>
      <w:r w:rsidR="006A13FB">
        <w:rPr>
          <w:rFonts w:ascii="Times New Roman" w:hAnsi="Times New Roman" w:cs="Times New Roman"/>
          <w:sz w:val="24"/>
        </w:rPr>
        <w:t>ing</w:t>
      </w:r>
      <w:r w:rsidR="006A13FB" w:rsidRPr="006A13FB">
        <w:rPr>
          <w:rFonts w:ascii="Times New Roman" w:hAnsi="Times New Roman" w:cs="Times New Roman"/>
          <w:sz w:val="24"/>
        </w:rPr>
        <w:t xml:space="preserve"> </w:t>
      </w:r>
      <w:r w:rsidR="00406294">
        <w:rPr>
          <w:rFonts w:ascii="Times New Roman" w:hAnsi="Times New Roman" w:cs="Times New Roman"/>
          <w:sz w:val="24"/>
        </w:rPr>
        <w:t>an</w:t>
      </w:r>
      <w:r w:rsidR="006A13FB" w:rsidRPr="006A13FB">
        <w:rPr>
          <w:rFonts w:ascii="Times New Roman" w:hAnsi="Times New Roman" w:cs="Times New Roman"/>
          <w:sz w:val="24"/>
        </w:rPr>
        <w:t xml:space="preserve"> amendment from being the same in effect as </w:t>
      </w:r>
      <w:r w:rsidR="00406294">
        <w:rPr>
          <w:rFonts w:ascii="Times New Roman" w:hAnsi="Times New Roman" w:cs="Times New Roman"/>
          <w:sz w:val="24"/>
        </w:rPr>
        <w:t>the</w:t>
      </w:r>
      <w:r w:rsidR="006A13FB" w:rsidRPr="006A13FB">
        <w:rPr>
          <w:rFonts w:ascii="Times New Roman" w:hAnsi="Times New Roman" w:cs="Times New Roman"/>
          <w:sz w:val="24"/>
        </w:rPr>
        <w:t xml:space="preserve"> earlier amendment</w:t>
      </w:r>
      <w:r w:rsidR="00406294">
        <w:rPr>
          <w:rFonts w:ascii="Times New Roman" w:hAnsi="Times New Roman" w:cs="Times New Roman"/>
          <w:sz w:val="24"/>
        </w:rPr>
        <w:t xml:space="preserve"> (as defined in section 49AA)</w:t>
      </w:r>
      <w:r w:rsidR="006A13FB">
        <w:rPr>
          <w:rFonts w:ascii="Times New Roman" w:hAnsi="Times New Roman" w:cs="Times New Roman"/>
          <w:sz w:val="24"/>
        </w:rPr>
        <w:t>. These include: a</w:t>
      </w:r>
      <w:r w:rsidR="006A13FB" w:rsidRPr="006A13FB">
        <w:rPr>
          <w:rFonts w:ascii="Times New Roman" w:hAnsi="Times New Roman" w:cs="Times New Roman"/>
          <w:sz w:val="24"/>
        </w:rPr>
        <w:t xml:space="preserve"> </w:t>
      </w:r>
      <w:r>
        <w:rPr>
          <w:rFonts w:ascii="Times New Roman" w:hAnsi="Times New Roman" w:cs="Times New Roman"/>
          <w:sz w:val="24"/>
        </w:rPr>
        <w:t xml:space="preserve">change </w:t>
      </w:r>
      <w:r w:rsidRPr="004C5E4F">
        <w:rPr>
          <w:rFonts w:ascii="Times New Roman" w:hAnsi="Times New Roman" w:cs="Times New Roman"/>
          <w:sz w:val="24"/>
        </w:rPr>
        <w:t>that is required because another amendment of the Basin Plan has commenced after the commenc</w:t>
      </w:r>
      <w:r>
        <w:rPr>
          <w:rFonts w:ascii="Times New Roman" w:hAnsi="Times New Roman" w:cs="Times New Roman"/>
          <w:sz w:val="24"/>
        </w:rPr>
        <w:t>ement of the earlier amendment;</w:t>
      </w:r>
      <w:r w:rsidR="006A13FB">
        <w:rPr>
          <w:rFonts w:ascii="Times New Roman" w:hAnsi="Times New Roman" w:cs="Times New Roman"/>
          <w:sz w:val="24"/>
        </w:rPr>
        <w:t xml:space="preserve"> or</w:t>
      </w:r>
      <w:r>
        <w:rPr>
          <w:rFonts w:ascii="Times New Roman" w:hAnsi="Times New Roman" w:cs="Times New Roman"/>
          <w:sz w:val="24"/>
        </w:rPr>
        <w:t xml:space="preserve"> </w:t>
      </w:r>
      <w:r w:rsidRPr="004C5E4F">
        <w:rPr>
          <w:rFonts w:ascii="Times New Roman" w:hAnsi="Times New Roman" w:cs="Times New Roman"/>
          <w:sz w:val="24"/>
        </w:rPr>
        <w:t>a change that is required because a requirement under the Basin Plan has already occurred, or been met, after the commen</w:t>
      </w:r>
      <w:r>
        <w:rPr>
          <w:rFonts w:ascii="Times New Roman" w:hAnsi="Times New Roman" w:cs="Times New Roman"/>
          <w:sz w:val="24"/>
        </w:rPr>
        <w:t xml:space="preserve">cement of the earlier amendment. </w:t>
      </w:r>
    </w:p>
    <w:p w:rsidR="00897D8B" w:rsidRDefault="00897D8B" w:rsidP="00897D8B">
      <w:pPr>
        <w:tabs>
          <w:tab w:val="left" w:pos="1701"/>
          <w:tab w:val="right" w:pos="9072"/>
        </w:tabs>
        <w:spacing w:after="0" w:line="240" w:lineRule="auto"/>
        <w:rPr>
          <w:rFonts w:ascii="Times New Roman" w:hAnsi="Times New Roman" w:cs="Times New Roman"/>
          <w:sz w:val="24"/>
        </w:rPr>
      </w:pPr>
    </w:p>
    <w:p w:rsidR="0050708B" w:rsidRPr="0050708B" w:rsidRDefault="0050708B" w:rsidP="0050708B">
      <w:pPr>
        <w:tabs>
          <w:tab w:val="left" w:pos="1701"/>
          <w:tab w:val="right" w:pos="9072"/>
        </w:tabs>
        <w:spacing w:after="0" w:line="240" w:lineRule="auto"/>
        <w:rPr>
          <w:rFonts w:ascii="Times New Roman" w:hAnsi="Times New Roman" w:cs="Times New Roman"/>
          <w:sz w:val="24"/>
        </w:rPr>
      </w:pPr>
      <w:r w:rsidRPr="0050708B">
        <w:rPr>
          <w:rFonts w:ascii="Times New Roman" w:hAnsi="Times New Roman" w:cs="Times New Roman"/>
          <w:sz w:val="24"/>
        </w:rPr>
        <w:t xml:space="preserve">In directing the Authority to prepare a Basin Plan amendment the same in effect as the Disallowed Instrument, the Minister directed the Authority to include the matters specified in paragraphs 2(2)(a), (b) and (c) of Schedule 10 to the </w:t>
      </w:r>
      <w:r w:rsidR="00240117">
        <w:rPr>
          <w:rFonts w:ascii="Times New Roman" w:hAnsi="Times New Roman" w:cs="Times New Roman"/>
          <w:sz w:val="24"/>
        </w:rPr>
        <w:t xml:space="preserve">Water </w:t>
      </w:r>
      <w:r w:rsidRPr="0050708B">
        <w:rPr>
          <w:rFonts w:ascii="Times New Roman" w:hAnsi="Times New Roman" w:cs="Times New Roman"/>
          <w:sz w:val="24"/>
        </w:rPr>
        <w:t>Act. These paragraphs provide that certain amendments to the Basin Plan made in response to a request by the Minister to remake the Disallowed Instrument do not prevent those amendments from being the same in effect as the Disallowed Instrument.</w:t>
      </w:r>
    </w:p>
    <w:p w:rsidR="0050708B" w:rsidRPr="0050708B" w:rsidRDefault="0050708B" w:rsidP="0050708B">
      <w:pPr>
        <w:pStyle w:val="ListParagraph"/>
        <w:numPr>
          <w:ilvl w:val="0"/>
          <w:numId w:val="23"/>
        </w:numPr>
        <w:tabs>
          <w:tab w:val="left" w:pos="1701"/>
          <w:tab w:val="right" w:pos="9072"/>
        </w:tabs>
        <w:spacing w:after="0" w:line="240" w:lineRule="auto"/>
        <w:rPr>
          <w:rFonts w:ascii="Times New Roman" w:hAnsi="Times New Roman" w:cs="Times New Roman"/>
          <w:sz w:val="24"/>
        </w:rPr>
      </w:pPr>
      <w:r w:rsidRPr="0050708B">
        <w:rPr>
          <w:rFonts w:ascii="Times New Roman" w:hAnsi="Times New Roman" w:cs="Times New Roman"/>
          <w:sz w:val="24"/>
        </w:rPr>
        <w:t xml:space="preserve">Paragraph 2(2)(a) provides for a change to the definition of re-allocation adjustment request to enable a request to be made in anticipation of this provision being amended in the Basin Plan; </w:t>
      </w:r>
    </w:p>
    <w:p w:rsidR="0050708B" w:rsidRPr="0050708B" w:rsidRDefault="0050708B" w:rsidP="0050708B">
      <w:pPr>
        <w:pStyle w:val="ListParagraph"/>
        <w:numPr>
          <w:ilvl w:val="0"/>
          <w:numId w:val="23"/>
        </w:numPr>
        <w:tabs>
          <w:tab w:val="left" w:pos="1701"/>
          <w:tab w:val="right" w:pos="9072"/>
        </w:tabs>
        <w:spacing w:after="0" w:line="240" w:lineRule="auto"/>
        <w:rPr>
          <w:rFonts w:ascii="Times New Roman" w:hAnsi="Times New Roman" w:cs="Times New Roman"/>
          <w:sz w:val="24"/>
        </w:rPr>
      </w:pPr>
      <w:r w:rsidRPr="0050708B">
        <w:rPr>
          <w:rFonts w:ascii="Times New Roman" w:hAnsi="Times New Roman" w:cs="Times New Roman"/>
          <w:sz w:val="24"/>
        </w:rPr>
        <w:t xml:space="preserve">Paragraph 2(2)(b) provides for a change in subsection 6.05(13) to provide that the Authority must publish variations to the SDL resource unit shared reduction amounts on its website, even when there has not been an initial re-allocation adjustment requirement; and </w:t>
      </w:r>
    </w:p>
    <w:p w:rsidR="0050708B" w:rsidRPr="0050708B" w:rsidRDefault="0050708B" w:rsidP="0050708B">
      <w:pPr>
        <w:pStyle w:val="ListParagraph"/>
        <w:numPr>
          <w:ilvl w:val="0"/>
          <w:numId w:val="23"/>
        </w:numPr>
        <w:tabs>
          <w:tab w:val="left" w:pos="1701"/>
          <w:tab w:val="right" w:pos="9072"/>
        </w:tabs>
        <w:spacing w:after="0" w:line="240" w:lineRule="auto"/>
        <w:rPr>
          <w:rFonts w:ascii="Times New Roman" w:hAnsi="Times New Roman" w:cs="Times New Roman"/>
          <w:sz w:val="24"/>
        </w:rPr>
      </w:pPr>
      <w:r w:rsidRPr="0050708B">
        <w:rPr>
          <w:rFonts w:ascii="Times New Roman" w:hAnsi="Times New Roman" w:cs="Times New Roman"/>
          <w:sz w:val="24"/>
        </w:rPr>
        <w:t xml:space="preserve">Paragraph 2(2)(c) provides for a change to section 7.14A that will reflect that the 2017 sustainable diversion limit adjustments have already occurred. </w:t>
      </w:r>
    </w:p>
    <w:p w:rsidR="00897D8B" w:rsidRPr="00126584" w:rsidRDefault="0050708B" w:rsidP="0050708B">
      <w:pPr>
        <w:tabs>
          <w:tab w:val="left" w:pos="1701"/>
          <w:tab w:val="right" w:pos="9072"/>
        </w:tabs>
        <w:spacing w:after="0" w:line="240" w:lineRule="auto"/>
        <w:rPr>
          <w:rFonts w:ascii="Times New Roman" w:hAnsi="Times New Roman" w:cs="Times New Roman"/>
          <w:sz w:val="24"/>
        </w:rPr>
      </w:pPr>
      <w:r w:rsidRPr="0050708B">
        <w:rPr>
          <w:rFonts w:ascii="Times New Roman" w:hAnsi="Times New Roman" w:cs="Times New Roman"/>
          <w:sz w:val="24"/>
        </w:rPr>
        <w:br/>
      </w:r>
      <w:r w:rsidR="00897D8B" w:rsidRPr="006E0B17">
        <w:rPr>
          <w:rFonts w:ascii="Times New Roman" w:hAnsi="Times New Roman" w:cs="Times New Roman"/>
          <w:sz w:val="24"/>
        </w:rPr>
        <w:t>The Amendment Instrument</w:t>
      </w:r>
      <w:r w:rsidR="00240117">
        <w:rPr>
          <w:rFonts w:ascii="Times New Roman" w:hAnsi="Times New Roman" w:cs="Times New Roman"/>
          <w:sz w:val="24"/>
        </w:rPr>
        <w:t xml:space="preserve"> </w:t>
      </w:r>
      <w:r w:rsidR="00897D8B" w:rsidRPr="006E0B17">
        <w:rPr>
          <w:rFonts w:ascii="Times New Roman" w:hAnsi="Times New Roman" w:cs="Times New Roman"/>
          <w:sz w:val="24"/>
        </w:rPr>
        <w:t xml:space="preserve">is a legislative instrument, which is required to be tabled in Parliament </w:t>
      </w:r>
      <w:r w:rsidR="00897D8B">
        <w:rPr>
          <w:rFonts w:ascii="Times New Roman" w:hAnsi="Times New Roman" w:cs="Times New Roman"/>
          <w:sz w:val="24"/>
        </w:rPr>
        <w:t>and is subject to disallowance</w:t>
      </w:r>
      <w:r w:rsidR="00897D8B" w:rsidRPr="006E0B17">
        <w:rPr>
          <w:rFonts w:ascii="Times New Roman" w:hAnsi="Times New Roman" w:cs="Times New Roman"/>
          <w:sz w:val="24"/>
        </w:rPr>
        <w:t xml:space="preserve"> in accordance with the requirements of the </w:t>
      </w:r>
      <w:r w:rsidR="00897D8B" w:rsidRPr="006E0B17">
        <w:rPr>
          <w:rFonts w:ascii="Times New Roman" w:hAnsi="Times New Roman" w:cs="Times New Roman"/>
          <w:i/>
          <w:sz w:val="24"/>
        </w:rPr>
        <w:t xml:space="preserve">Legislation Act </w:t>
      </w:r>
      <w:r w:rsidR="00897D8B" w:rsidRPr="005A5CC6">
        <w:rPr>
          <w:rFonts w:ascii="Times New Roman" w:hAnsi="Times New Roman" w:cs="Times New Roman"/>
          <w:i/>
          <w:sz w:val="24"/>
        </w:rPr>
        <w:t>2003</w:t>
      </w:r>
      <w:r w:rsidR="00897D8B" w:rsidRPr="00CC06BE">
        <w:rPr>
          <w:rFonts w:ascii="Times New Roman" w:hAnsi="Times New Roman" w:cs="Times New Roman"/>
          <w:sz w:val="24"/>
        </w:rPr>
        <w:t>.</w:t>
      </w:r>
      <w:r w:rsidR="00126584" w:rsidRPr="005A5CC6">
        <w:rPr>
          <w:rFonts w:ascii="Times New Roman" w:hAnsi="Times New Roman" w:cs="Times New Roman"/>
          <w:sz w:val="24"/>
        </w:rPr>
        <w:t xml:space="preserve"> This provides for the same parliamentary scrutiny of the Amendment Instrument as for the </w:t>
      </w:r>
      <w:r w:rsidR="003661B1">
        <w:rPr>
          <w:rFonts w:ascii="Times New Roman" w:hAnsi="Times New Roman" w:cs="Times New Roman"/>
          <w:sz w:val="24"/>
        </w:rPr>
        <w:t>Disallowed Instrument</w:t>
      </w:r>
      <w:r w:rsidR="00126584" w:rsidRPr="005A5CC6">
        <w:rPr>
          <w:rFonts w:ascii="Times New Roman" w:hAnsi="Times New Roman" w:cs="Times New Roman"/>
          <w:sz w:val="24"/>
        </w:rPr>
        <w:t>.</w:t>
      </w:r>
      <w:r w:rsidR="00126584">
        <w:rPr>
          <w:rFonts w:ascii="Times New Roman" w:hAnsi="Times New Roman" w:cs="Times New Roman"/>
          <w:sz w:val="24"/>
        </w:rPr>
        <w:t xml:space="preserve"> </w:t>
      </w:r>
    </w:p>
    <w:p w:rsidR="0050708B" w:rsidRDefault="0050708B" w:rsidP="00E2693A">
      <w:pPr>
        <w:pStyle w:val="BodyText1"/>
        <w:rPr>
          <w:b/>
        </w:rPr>
      </w:pPr>
    </w:p>
    <w:p w:rsidR="00E2693A" w:rsidRPr="00664749" w:rsidRDefault="00E2693A" w:rsidP="00E2693A">
      <w:pPr>
        <w:pStyle w:val="BodyText1"/>
        <w:rPr>
          <w:b/>
        </w:rPr>
      </w:pPr>
      <w:r w:rsidRPr="00664749">
        <w:rPr>
          <w:b/>
        </w:rPr>
        <w:t>Limitations on the directions power</w:t>
      </w:r>
    </w:p>
    <w:p w:rsidR="00E2693A" w:rsidRPr="0076180D" w:rsidRDefault="00E2693A" w:rsidP="00E2693A">
      <w:pPr>
        <w:pStyle w:val="BodyText1"/>
      </w:pPr>
      <w:r w:rsidRPr="00897D8B">
        <w:t>Section 49AA of the Water Act</w:t>
      </w:r>
      <w:r>
        <w:t xml:space="preserve"> </w:t>
      </w:r>
      <w:r w:rsidRPr="0076180D">
        <w:t>provides that the power</w:t>
      </w:r>
      <w:r>
        <w:t xml:space="preserve"> of the Minister</w:t>
      </w:r>
      <w:r w:rsidRPr="0076180D">
        <w:t xml:space="preserve"> to give a direction to the Authority to prepare another Basin Plan amendment is subject to limitations to ensure it is not used inappropriately. These limitations are paramount to ensure that the integrity of the consultation process conducted for the disallowed amendment is retained and that the Authority does not propose any amendments to the Basin Plan that have not been subject to the consultation already undertaken for the disallowed amendment. The extensive consultation process for a Basin Plan amendment requires consultation with the Basin Officials Committee, Basin Community Committee, the Basin States, the Murray-Darling Basin Ministerial Council and the public.</w:t>
      </w:r>
    </w:p>
    <w:p w:rsidR="00E2693A" w:rsidRPr="0076180D" w:rsidRDefault="00E2693A" w:rsidP="00E2693A">
      <w:pPr>
        <w:pStyle w:val="BodyText1"/>
      </w:pPr>
      <w:r w:rsidRPr="0076180D">
        <w:t>The limitations on the Minister’s power to direct the Authority under section 49AA are as follows:</w:t>
      </w:r>
    </w:p>
    <w:p w:rsidR="00E2693A" w:rsidRPr="0076180D" w:rsidRDefault="00E2693A" w:rsidP="00E2693A">
      <w:pPr>
        <w:pStyle w:val="BodyText1"/>
        <w:numPr>
          <w:ilvl w:val="0"/>
          <w:numId w:val="22"/>
        </w:numPr>
      </w:pPr>
      <w:r w:rsidRPr="0076180D">
        <w:t>an amendment prepared under the Minister’s direction must be the same in effect as a disallowed amendment which was originally prepared under Subdivision F of Division 1 of Part 2 of the Water Act (that is, in accordance with the consultation req</w:t>
      </w:r>
      <w:r w:rsidR="00BA3404">
        <w:t>uirements set out in sections 46</w:t>
      </w:r>
      <w:r w:rsidRPr="0076180D">
        <w:t xml:space="preserve"> to 48 of the Water Act). This limitation ensures that the </w:t>
      </w:r>
      <w:r w:rsidRPr="00DE2A2C">
        <w:t xml:space="preserve">amendments have already been subject to the consultation requirements of the Water Act and </w:t>
      </w:r>
      <w:r w:rsidR="003D1E54" w:rsidRPr="00DE2A2C">
        <w:t xml:space="preserve">provides a safeguard to ensure that </w:t>
      </w:r>
      <w:r w:rsidRPr="00DE2A2C">
        <w:t xml:space="preserve">the Authority cannot include </w:t>
      </w:r>
      <w:r w:rsidR="003D1E54" w:rsidRPr="00DE2A2C">
        <w:t xml:space="preserve">any </w:t>
      </w:r>
      <w:r w:rsidRPr="00DE2A2C">
        <w:t>new or different amendments</w:t>
      </w:r>
      <w:r w:rsidR="00BA3404">
        <w:t xml:space="preserve"> (except as permitted under section 49AA and the transitional provisions in Schedule 10 to the Water Act)</w:t>
      </w:r>
      <w:r w:rsidRPr="00DE2A2C">
        <w:t>, as</w:t>
      </w:r>
      <w:r w:rsidRPr="0076180D">
        <w:t xml:space="preserve"> these would not achieve the same effect as the disallowed amendment.</w:t>
      </w:r>
    </w:p>
    <w:p w:rsidR="00E2693A" w:rsidRPr="0076180D" w:rsidRDefault="00E2693A" w:rsidP="00E2693A">
      <w:pPr>
        <w:pStyle w:val="BodyText1"/>
        <w:numPr>
          <w:ilvl w:val="0"/>
          <w:numId w:val="22"/>
        </w:numPr>
      </w:pPr>
      <w:r w:rsidRPr="0076180D">
        <w:t xml:space="preserve">the directions power is limited to amendments which have been disallowed in the previous 12 months. This limitation ensures that the public consultation that took place on the disallowed amendment is still relevant and timely. </w:t>
      </w:r>
    </w:p>
    <w:p w:rsidR="00E2693A" w:rsidRPr="0076180D" w:rsidRDefault="00E2693A" w:rsidP="00E2693A">
      <w:pPr>
        <w:pStyle w:val="BodyText1"/>
        <w:numPr>
          <w:ilvl w:val="0"/>
          <w:numId w:val="22"/>
        </w:numPr>
      </w:pPr>
      <w:r w:rsidRPr="0076180D">
        <w:t xml:space="preserve">the Minister’s power to direct the Authority cannot be delegated to an </w:t>
      </w:r>
      <w:r w:rsidR="00446A72">
        <w:t xml:space="preserve">executive or officer of </w:t>
      </w:r>
      <w:r w:rsidR="00EB5390">
        <w:t>t</w:t>
      </w:r>
      <w:r w:rsidR="00EB5390" w:rsidRPr="00EB5390">
        <w:t>he Department of Agriculture and Water Resources (the Department)</w:t>
      </w:r>
      <w:r w:rsidRPr="0076180D">
        <w:t xml:space="preserve">. This means that the power can only be exercised by the Minister. </w:t>
      </w:r>
    </w:p>
    <w:p w:rsidR="00E2693A" w:rsidRPr="0076180D" w:rsidRDefault="00E2693A" w:rsidP="00E2693A">
      <w:pPr>
        <w:pStyle w:val="BodyText1"/>
        <w:numPr>
          <w:ilvl w:val="0"/>
          <w:numId w:val="22"/>
        </w:numPr>
      </w:pPr>
      <w:r w:rsidRPr="0076180D">
        <w:t xml:space="preserve">an amendment prepared </w:t>
      </w:r>
      <w:r w:rsidR="00BA3404">
        <w:t>pursuant to a direction under section 49AA</w:t>
      </w:r>
      <w:r w:rsidRPr="0076180D">
        <w:t xml:space="preserve"> is still required to be tabled in both Houses of Parliament for 15 sitting days as a disallowable legislative instrument. This provides for the same parliamentary scrutiny of the B</w:t>
      </w:r>
      <w:r w:rsidR="00BA3404">
        <w:t>asin Plan amendment as for the Disallowed Instrument</w:t>
      </w:r>
      <w:r w:rsidRPr="0076180D">
        <w:t xml:space="preserve">, which means that the amendment prepared under the power </w:t>
      </w:r>
      <w:r w:rsidR="00EB5390">
        <w:t>is a disallowable instrument</w:t>
      </w:r>
      <w:r w:rsidR="00BA3404">
        <w:t>. If an am</w:t>
      </w:r>
      <w:r w:rsidRPr="0076180D">
        <w:t>endment</w:t>
      </w:r>
      <w:r w:rsidR="00BA3404">
        <w:t xml:space="preserve"> made under section 49AA</w:t>
      </w:r>
      <w:r w:rsidRPr="0076180D">
        <w:t xml:space="preserve"> is subsequently disallowed (that is, disallowed a second time), the Minister will not be able to direct the Authority to prepare another amendment under section 49AA.</w:t>
      </w:r>
    </w:p>
    <w:p w:rsidR="0050708B" w:rsidRDefault="0050708B" w:rsidP="0050708B">
      <w:pPr>
        <w:pStyle w:val="BodyText1"/>
        <w:rPr>
          <w:b/>
        </w:rPr>
      </w:pPr>
    </w:p>
    <w:p w:rsidR="00E76AB5" w:rsidRPr="00D01BF9" w:rsidRDefault="00E76AB5" w:rsidP="0050708B">
      <w:pPr>
        <w:pStyle w:val="BodyText1"/>
      </w:pPr>
      <w:r w:rsidRPr="00D01BF9">
        <w:rPr>
          <w:b/>
        </w:rPr>
        <w:t>Details/ Operation</w:t>
      </w:r>
      <w:r w:rsidR="0075739A">
        <w:rPr>
          <w:b/>
        </w:rPr>
        <w:br/>
      </w:r>
      <w:r w:rsidR="0075739A">
        <w:rPr>
          <w:b/>
        </w:rPr>
        <w:br/>
      </w:r>
      <w:r w:rsidR="004A2C24">
        <w:t>Further d</w:t>
      </w:r>
      <w:r w:rsidRPr="00D01BF9">
        <w:t xml:space="preserve">etails of the </w:t>
      </w:r>
      <w:r w:rsidR="004A2C24">
        <w:t>Amendment Instrument</w:t>
      </w:r>
      <w:r w:rsidR="008E3A45">
        <w:t xml:space="preserve"> </w:t>
      </w:r>
      <w:r w:rsidRPr="00D01BF9">
        <w:t xml:space="preserve">are set out in the </w:t>
      </w:r>
      <w:r w:rsidRPr="00D01BF9">
        <w:rPr>
          <w:u w:val="single"/>
        </w:rPr>
        <w:t>Attachment A</w:t>
      </w:r>
      <w:r w:rsidRPr="00D01BF9">
        <w:t>.</w:t>
      </w:r>
    </w:p>
    <w:p w:rsidR="00B66DFF" w:rsidRPr="00D01BF9" w:rsidRDefault="00B66DFF" w:rsidP="00511B9B">
      <w:pPr>
        <w:tabs>
          <w:tab w:val="left" w:pos="1701"/>
          <w:tab w:val="right" w:pos="9072"/>
        </w:tabs>
        <w:spacing w:after="0" w:line="240" w:lineRule="auto"/>
        <w:rPr>
          <w:rFonts w:ascii="Times New Roman" w:hAnsi="Times New Roman" w:cs="Times New Roman"/>
          <w:sz w:val="24"/>
          <w:szCs w:val="24"/>
        </w:rPr>
      </w:pPr>
    </w:p>
    <w:p w:rsidR="00E76AB5" w:rsidRPr="00D01BF9" w:rsidRDefault="00E76AB5" w:rsidP="00511B9B">
      <w:pPr>
        <w:tabs>
          <w:tab w:val="left" w:pos="1701"/>
          <w:tab w:val="right" w:pos="9072"/>
        </w:tabs>
        <w:spacing w:after="0" w:line="240" w:lineRule="auto"/>
        <w:rPr>
          <w:rFonts w:ascii="Times New Roman" w:hAnsi="Times New Roman" w:cs="Times New Roman"/>
          <w:sz w:val="24"/>
          <w:szCs w:val="24"/>
        </w:rPr>
      </w:pPr>
      <w:r w:rsidRPr="00D01BF9">
        <w:rPr>
          <w:rFonts w:ascii="Times New Roman" w:hAnsi="Times New Roman" w:cs="Times New Roman"/>
          <w:b/>
          <w:sz w:val="24"/>
          <w:szCs w:val="24"/>
        </w:rPr>
        <w:t>Other</w:t>
      </w:r>
    </w:p>
    <w:p w:rsidR="001C09FB" w:rsidRPr="00D01BF9" w:rsidRDefault="001C09FB" w:rsidP="00511B9B">
      <w:pPr>
        <w:tabs>
          <w:tab w:val="left" w:pos="1701"/>
          <w:tab w:val="right" w:pos="9072"/>
        </w:tabs>
        <w:spacing w:after="0" w:line="240" w:lineRule="auto"/>
        <w:rPr>
          <w:rFonts w:ascii="Times New Roman" w:hAnsi="Times New Roman" w:cs="Times New Roman"/>
          <w:sz w:val="24"/>
          <w:szCs w:val="24"/>
          <w:highlight w:val="yellow"/>
        </w:rPr>
      </w:pPr>
    </w:p>
    <w:p w:rsidR="00867732" w:rsidRPr="00867732" w:rsidRDefault="00867732" w:rsidP="00867732">
      <w:pPr>
        <w:tabs>
          <w:tab w:val="left" w:pos="1701"/>
          <w:tab w:val="right" w:pos="9072"/>
        </w:tabs>
        <w:spacing w:after="0" w:line="240" w:lineRule="auto"/>
        <w:rPr>
          <w:rFonts w:ascii="Times New Roman" w:hAnsi="Times New Roman" w:cs="Times New Roman"/>
          <w:sz w:val="24"/>
          <w:szCs w:val="24"/>
        </w:rPr>
      </w:pPr>
      <w:r w:rsidRPr="00867732">
        <w:rPr>
          <w:rFonts w:ascii="Times New Roman" w:hAnsi="Times New Roman" w:cs="Times New Roman"/>
          <w:sz w:val="24"/>
          <w:szCs w:val="24"/>
        </w:rPr>
        <w:t xml:space="preserve">The Authority certified to the Office of Best Practice Regulation that it had completed a regulatory impact statement-like process for the Disallowed Instrument. The Office of Best Practice Regulation confirmed there were no impacts on regulatory burden associated with the Disallowed Instrument, identification number 20794. The Amendment Instrument is the same in effect as the Disallowed Instrument, that is, </w:t>
      </w:r>
      <w:r w:rsidR="00EB5390">
        <w:rPr>
          <w:rFonts w:ascii="Times New Roman" w:hAnsi="Times New Roman" w:cs="Times New Roman"/>
          <w:sz w:val="24"/>
          <w:szCs w:val="24"/>
        </w:rPr>
        <w:t xml:space="preserve">it achieves the same outcomes. The Department </w:t>
      </w:r>
      <w:r w:rsidRPr="00867732">
        <w:rPr>
          <w:rFonts w:ascii="Times New Roman" w:hAnsi="Times New Roman" w:cs="Times New Roman"/>
          <w:sz w:val="24"/>
          <w:szCs w:val="24"/>
        </w:rPr>
        <w:t xml:space="preserve">has certified </w:t>
      </w:r>
      <w:r w:rsidR="00EB5390">
        <w:rPr>
          <w:rFonts w:ascii="Times New Roman" w:hAnsi="Times New Roman" w:cs="Times New Roman"/>
          <w:sz w:val="24"/>
          <w:szCs w:val="24"/>
        </w:rPr>
        <w:t xml:space="preserve">to the Office of Best Practice Regulation </w:t>
      </w:r>
      <w:r w:rsidRPr="00867732">
        <w:rPr>
          <w:rFonts w:ascii="Times New Roman" w:hAnsi="Times New Roman" w:cs="Times New Roman"/>
          <w:sz w:val="24"/>
          <w:szCs w:val="24"/>
        </w:rPr>
        <w:t xml:space="preserve">that the analysis undertaken by the Authority for the Disallowed Instrument is sufficient, identification number </w:t>
      </w:r>
      <w:r w:rsidR="00EB5390">
        <w:rPr>
          <w:rFonts w:ascii="Times New Roman" w:hAnsi="Times New Roman" w:cs="Times New Roman"/>
          <w:sz w:val="24"/>
          <w:szCs w:val="24"/>
        </w:rPr>
        <w:t>20794</w:t>
      </w:r>
      <w:r w:rsidRPr="00867732">
        <w:rPr>
          <w:rFonts w:ascii="Times New Roman" w:hAnsi="Times New Roman" w:cs="Times New Roman"/>
          <w:sz w:val="24"/>
          <w:szCs w:val="24"/>
        </w:rPr>
        <w:t xml:space="preserve">. </w:t>
      </w:r>
    </w:p>
    <w:p w:rsidR="00867732" w:rsidRPr="00867732" w:rsidRDefault="00867732" w:rsidP="00867732">
      <w:pPr>
        <w:tabs>
          <w:tab w:val="left" w:pos="1701"/>
          <w:tab w:val="right" w:pos="9072"/>
        </w:tabs>
        <w:spacing w:after="0" w:line="240" w:lineRule="auto"/>
        <w:rPr>
          <w:rFonts w:ascii="Times New Roman" w:hAnsi="Times New Roman" w:cs="Times New Roman"/>
          <w:sz w:val="24"/>
          <w:szCs w:val="24"/>
        </w:rPr>
      </w:pPr>
    </w:p>
    <w:p w:rsidR="00E76AB5" w:rsidRPr="00A21378" w:rsidRDefault="00A21378" w:rsidP="00511B9B">
      <w:pPr>
        <w:tabs>
          <w:tab w:val="left" w:pos="1701"/>
          <w:tab w:val="right" w:pos="9072"/>
        </w:tabs>
        <w:spacing w:after="0" w:line="240" w:lineRule="auto"/>
        <w:rPr>
          <w:rFonts w:ascii="Times New Roman" w:hAnsi="Times New Roman" w:cs="Times New Roman"/>
          <w:sz w:val="24"/>
          <w:szCs w:val="24"/>
        </w:rPr>
      </w:pPr>
      <w:r w:rsidRPr="00A21378">
        <w:rPr>
          <w:rFonts w:ascii="Times New Roman" w:hAnsi="Times New Roman" w:cs="Times New Roman"/>
          <w:sz w:val="24"/>
          <w:szCs w:val="24"/>
        </w:rPr>
        <w:t>The A</w:t>
      </w:r>
      <w:r w:rsidR="00840C12">
        <w:rPr>
          <w:rFonts w:ascii="Times New Roman" w:hAnsi="Times New Roman" w:cs="Times New Roman"/>
          <w:sz w:val="24"/>
          <w:szCs w:val="24"/>
        </w:rPr>
        <w:t>mendment Instrument is compatib</w:t>
      </w:r>
      <w:r w:rsidRPr="00A21378">
        <w:rPr>
          <w:rFonts w:ascii="Times New Roman" w:hAnsi="Times New Roman" w:cs="Times New Roman"/>
          <w:sz w:val="24"/>
          <w:szCs w:val="24"/>
        </w:rPr>
        <w:t>le</w:t>
      </w:r>
      <w:r w:rsidR="00E76AB5" w:rsidRPr="00A21378">
        <w:rPr>
          <w:rFonts w:ascii="Times New Roman" w:hAnsi="Times New Roman" w:cs="Times New Roman"/>
          <w:sz w:val="24"/>
          <w:szCs w:val="24"/>
        </w:rPr>
        <w:t xml:space="preserve"> with the human rights and freedoms recognised or declared under section 3 of the </w:t>
      </w:r>
      <w:r w:rsidR="00E76AB5" w:rsidRPr="00A21378">
        <w:rPr>
          <w:rFonts w:ascii="Times New Roman" w:hAnsi="Times New Roman" w:cs="Times New Roman"/>
          <w:i/>
          <w:sz w:val="24"/>
          <w:szCs w:val="24"/>
        </w:rPr>
        <w:t>Human Rights (Parliamentary Scrutiny) Act 2011.</w:t>
      </w:r>
      <w:r w:rsidR="00E76AB5" w:rsidRPr="00A21378">
        <w:rPr>
          <w:rFonts w:ascii="Times New Roman" w:hAnsi="Times New Roman" w:cs="Times New Roman"/>
          <w:sz w:val="24"/>
          <w:szCs w:val="24"/>
        </w:rPr>
        <w:t xml:space="preserve"> A full statement of compatibility is set out in </w:t>
      </w:r>
      <w:r w:rsidR="00E76AB5" w:rsidRPr="000658AA">
        <w:rPr>
          <w:rFonts w:ascii="Times New Roman" w:hAnsi="Times New Roman" w:cs="Times New Roman"/>
          <w:sz w:val="24"/>
          <w:szCs w:val="24"/>
          <w:u w:val="single"/>
        </w:rPr>
        <w:t>Attachment B</w:t>
      </w:r>
      <w:r w:rsidR="00E76AB5" w:rsidRPr="000658AA">
        <w:rPr>
          <w:rFonts w:ascii="Times New Roman" w:hAnsi="Times New Roman" w:cs="Times New Roman"/>
          <w:sz w:val="24"/>
          <w:szCs w:val="24"/>
        </w:rPr>
        <w:t>.</w:t>
      </w:r>
    </w:p>
    <w:p w:rsidR="00E76AB5" w:rsidRPr="00A21378" w:rsidRDefault="00E76AB5" w:rsidP="00511B9B">
      <w:pPr>
        <w:tabs>
          <w:tab w:val="left" w:pos="1701"/>
          <w:tab w:val="right" w:pos="9072"/>
        </w:tabs>
        <w:spacing w:after="0" w:line="240" w:lineRule="auto"/>
        <w:rPr>
          <w:rFonts w:ascii="Times New Roman" w:hAnsi="Times New Roman" w:cs="Times New Roman"/>
          <w:sz w:val="24"/>
          <w:szCs w:val="24"/>
        </w:rPr>
      </w:pPr>
    </w:p>
    <w:p w:rsidR="00840C12" w:rsidRPr="00840C12" w:rsidRDefault="00840C12" w:rsidP="00511B9B">
      <w:pPr>
        <w:pStyle w:val="Normal-em"/>
        <w:spacing w:after="0" w:line="240" w:lineRule="auto"/>
        <w:rPr>
          <w:iCs/>
          <w:szCs w:val="24"/>
        </w:rPr>
      </w:pPr>
      <w:r w:rsidRPr="00840C12">
        <w:rPr>
          <w:iCs/>
          <w:szCs w:val="24"/>
        </w:rPr>
        <w:t xml:space="preserve">The Amendment Instrument is a legislative instrument for the purposes of the </w:t>
      </w:r>
      <w:r w:rsidRPr="00840C12">
        <w:rPr>
          <w:i/>
          <w:iCs/>
          <w:szCs w:val="24"/>
        </w:rPr>
        <w:t>Legislation Act 2003</w:t>
      </w:r>
      <w:r w:rsidRPr="00840C12">
        <w:rPr>
          <w:iCs/>
          <w:szCs w:val="24"/>
        </w:rPr>
        <w:t>.</w:t>
      </w:r>
    </w:p>
    <w:p w:rsidR="00840C12" w:rsidRDefault="00840C12" w:rsidP="00511B9B">
      <w:pPr>
        <w:pStyle w:val="Normal-em"/>
        <w:spacing w:after="0" w:line="240" w:lineRule="auto"/>
        <w:rPr>
          <w:iCs/>
          <w:szCs w:val="24"/>
        </w:rPr>
      </w:pPr>
    </w:p>
    <w:p w:rsidR="00A6288A" w:rsidRDefault="001A02C0" w:rsidP="00511B9B">
      <w:pPr>
        <w:pStyle w:val="Normal-em"/>
        <w:spacing w:after="0" w:line="240" w:lineRule="auto"/>
        <w:rPr>
          <w:iCs/>
          <w:szCs w:val="24"/>
        </w:rPr>
      </w:pPr>
      <w:r w:rsidRPr="001A02C0">
        <w:rPr>
          <w:iCs/>
          <w:szCs w:val="24"/>
        </w:rPr>
        <w:t xml:space="preserve">Items </w:t>
      </w:r>
      <w:r w:rsidR="00E7142E" w:rsidRPr="001A02C0">
        <w:rPr>
          <w:iCs/>
          <w:szCs w:val="24"/>
        </w:rPr>
        <w:t>6</w:t>
      </w:r>
      <w:r w:rsidR="00E7142E">
        <w:rPr>
          <w:iCs/>
          <w:szCs w:val="24"/>
        </w:rPr>
        <w:t>2</w:t>
      </w:r>
      <w:r w:rsidR="00E7142E" w:rsidRPr="001A02C0">
        <w:rPr>
          <w:iCs/>
          <w:szCs w:val="24"/>
        </w:rPr>
        <w:t xml:space="preserve"> </w:t>
      </w:r>
      <w:r w:rsidRPr="001A02C0">
        <w:rPr>
          <w:iCs/>
          <w:szCs w:val="24"/>
        </w:rPr>
        <w:t>to 6</w:t>
      </w:r>
      <w:r w:rsidR="00E7142E">
        <w:rPr>
          <w:iCs/>
          <w:szCs w:val="24"/>
        </w:rPr>
        <w:t>7</w:t>
      </w:r>
      <w:r w:rsidRPr="001A02C0">
        <w:rPr>
          <w:iCs/>
          <w:szCs w:val="24"/>
        </w:rPr>
        <w:t xml:space="preserve"> commence on the commencement of item </w:t>
      </w:r>
      <w:r w:rsidR="00036E22">
        <w:rPr>
          <w:iCs/>
          <w:szCs w:val="24"/>
        </w:rPr>
        <w:t>1</w:t>
      </w:r>
      <w:r w:rsidRPr="001A02C0">
        <w:rPr>
          <w:iCs/>
          <w:szCs w:val="24"/>
        </w:rPr>
        <w:t xml:space="preserve"> of Schedule 1 to the </w:t>
      </w:r>
      <w:r w:rsidRPr="00612FEB">
        <w:rPr>
          <w:i/>
          <w:iCs/>
          <w:szCs w:val="24"/>
        </w:rPr>
        <w:t xml:space="preserve">Water Amendment </w:t>
      </w:r>
      <w:r w:rsidR="00036E22">
        <w:rPr>
          <w:i/>
          <w:iCs/>
          <w:szCs w:val="24"/>
        </w:rPr>
        <w:t xml:space="preserve">(Review Implementation and Other Measures) </w:t>
      </w:r>
      <w:r w:rsidRPr="00612FEB">
        <w:rPr>
          <w:i/>
          <w:iCs/>
          <w:szCs w:val="24"/>
        </w:rPr>
        <w:t>Act 201</w:t>
      </w:r>
      <w:r w:rsidR="00036E22">
        <w:rPr>
          <w:i/>
          <w:iCs/>
          <w:szCs w:val="24"/>
        </w:rPr>
        <w:t>6</w:t>
      </w:r>
      <w:r>
        <w:rPr>
          <w:iCs/>
          <w:szCs w:val="24"/>
        </w:rPr>
        <w:t xml:space="preserve">. </w:t>
      </w:r>
      <w:r w:rsidRPr="001A02C0">
        <w:rPr>
          <w:iCs/>
          <w:szCs w:val="24"/>
        </w:rPr>
        <w:t xml:space="preserve">All other </w:t>
      </w:r>
      <w:r w:rsidR="002D6351">
        <w:rPr>
          <w:iCs/>
          <w:szCs w:val="24"/>
        </w:rPr>
        <w:t>items</w:t>
      </w:r>
      <w:r w:rsidRPr="001A02C0">
        <w:rPr>
          <w:iCs/>
          <w:szCs w:val="24"/>
        </w:rPr>
        <w:t xml:space="preserve"> commence </w:t>
      </w:r>
      <w:r w:rsidR="00B11262">
        <w:rPr>
          <w:iCs/>
          <w:szCs w:val="24"/>
        </w:rPr>
        <w:t xml:space="preserve">on </w:t>
      </w:r>
      <w:r w:rsidRPr="001A02C0">
        <w:rPr>
          <w:iCs/>
          <w:szCs w:val="24"/>
        </w:rPr>
        <w:t>the day after registration</w:t>
      </w:r>
      <w:r w:rsidR="00A6288A">
        <w:rPr>
          <w:iCs/>
          <w:szCs w:val="24"/>
        </w:rPr>
        <w:t>.</w:t>
      </w:r>
    </w:p>
    <w:p w:rsidR="00511B9B" w:rsidRDefault="00511B9B" w:rsidP="00511B9B">
      <w:pPr>
        <w:pStyle w:val="Normal-em"/>
        <w:spacing w:after="0" w:line="240" w:lineRule="auto"/>
        <w:rPr>
          <w:iCs/>
          <w:szCs w:val="24"/>
        </w:rPr>
      </w:pPr>
    </w:p>
    <w:p w:rsidR="007D57D5" w:rsidRDefault="007D57D5" w:rsidP="00511B9B">
      <w:pPr>
        <w:pStyle w:val="Normal-em"/>
        <w:spacing w:after="0" w:line="240" w:lineRule="auto"/>
        <w:rPr>
          <w:iCs/>
          <w:szCs w:val="24"/>
        </w:rPr>
        <w:sectPr w:rsidR="007D57D5" w:rsidSect="00290270">
          <w:footerReference w:type="first" r:id="rId13"/>
          <w:type w:val="continuous"/>
          <w:pgSz w:w="11907" w:h="16840" w:code="9"/>
          <w:pgMar w:top="1418" w:right="1418" w:bottom="1418" w:left="1418" w:header="284" w:footer="318" w:gutter="0"/>
          <w:pgNumType w:start="1"/>
          <w:cols w:space="720"/>
          <w:titlePg/>
          <w:docGrid w:linePitch="360"/>
        </w:sectPr>
      </w:pPr>
    </w:p>
    <w:p w:rsidR="002B1DB3" w:rsidRPr="0084335B" w:rsidRDefault="002B1DB3" w:rsidP="00511B9B">
      <w:pPr>
        <w:pStyle w:val="Normal-em"/>
        <w:spacing w:after="0" w:line="240" w:lineRule="auto"/>
        <w:jc w:val="right"/>
        <w:rPr>
          <w:iCs/>
          <w:szCs w:val="24"/>
        </w:rPr>
      </w:pPr>
      <w:r w:rsidRPr="005D1ABF">
        <w:rPr>
          <w:b/>
          <w:caps/>
          <w:szCs w:val="24"/>
          <w:u w:val="single"/>
        </w:rPr>
        <w:t>Attachment</w:t>
      </w:r>
      <w:r w:rsidR="004D37A7">
        <w:rPr>
          <w:b/>
          <w:caps/>
          <w:szCs w:val="24"/>
          <w:u w:val="single"/>
        </w:rPr>
        <w:t xml:space="preserve"> A</w:t>
      </w:r>
    </w:p>
    <w:p w:rsidR="002B1DB3" w:rsidRPr="00A116C5" w:rsidRDefault="002B1DB3" w:rsidP="00511B9B">
      <w:pPr>
        <w:pStyle w:val="Normal-em"/>
        <w:spacing w:after="0" w:line="240" w:lineRule="auto"/>
        <w:rPr>
          <w:color w:val="auto"/>
          <w:szCs w:val="24"/>
          <w:u w:val="single"/>
        </w:rPr>
      </w:pPr>
    </w:p>
    <w:p w:rsidR="002B1DB3" w:rsidRPr="00664749" w:rsidRDefault="002B1DB3" w:rsidP="00511B9B">
      <w:pPr>
        <w:pStyle w:val="Normal-em"/>
        <w:spacing w:after="0" w:line="240" w:lineRule="auto"/>
        <w:rPr>
          <w:b/>
          <w:color w:val="auto"/>
          <w:szCs w:val="24"/>
          <w:u w:val="single"/>
        </w:rPr>
      </w:pPr>
      <w:r w:rsidRPr="006445EB">
        <w:rPr>
          <w:b/>
          <w:iCs/>
          <w:color w:val="auto"/>
          <w:szCs w:val="24"/>
          <w:u w:val="single"/>
        </w:rPr>
        <w:t xml:space="preserve">Details of the </w:t>
      </w:r>
      <w:r w:rsidR="00057399" w:rsidRPr="00A116C5">
        <w:rPr>
          <w:b/>
          <w:i/>
          <w:color w:val="auto"/>
          <w:szCs w:val="24"/>
          <w:u w:val="single"/>
        </w:rPr>
        <w:t xml:space="preserve">Basin Plan Amendment Instrument (No. 1) </w:t>
      </w:r>
      <w:r w:rsidR="00057399" w:rsidRPr="00995536">
        <w:rPr>
          <w:b/>
          <w:color w:val="auto"/>
          <w:szCs w:val="24"/>
          <w:u w:val="single"/>
        </w:rPr>
        <w:t>2018</w:t>
      </w:r>
      <w:r w:rsidR="00A116C5">
        <w:rPr>
          <w:b/>
          <w:color w:val="auto"/>
          <w:szCs w:val="24"/>
          <w:u w:val="single"/>
        </w:rPr>
        <w:t xml:space="preserve"> (the Amendment Instrument)</w:t>
      </w:r>
      <w:r w:rsidRPr="00664749">
        <w:rPr>
          <w:b/>
          <w:i/>
          <w:color w:val="auto"/>
          <w:szCs w:val="24"/>
          <w:u w:val="single"/>
        </w:rPr>
        <w:t xml:space="preserve"> </w:t>
      </w:r>
    </w:p>
    <w:p w:rsidR="00DF3F6E" w:rsidRPr="005D1ABF" w:rsidRDefault="00DF3F6E" w:rsidP="00511B9B">
      <w:pPr>
        <w:pStyle w:val="Normal-em"/>
        <w:spacing w:after="0" w:line="240" w:lineRule="auto"/>
        <w:rPr>
          <w:color w:val="auto"/>
          <w:szCs w:val="24"/>
        </w:rPr>
      </w:pPr>
    </w:p>
    <w:p w:rsidR="002B1DB3" w:rsidRPr="005D1ABF" w:rsidRDefault="00DF3F6E" w:rsidP="00511B9B">
      <w:pPr>
        <w:pStyle w:val="Normal-em"/>
        <w:spacing w:after="0" w:line="240" w:lineRule="auto"/>
        <w:ind w:left="1440" w:hanging="1440"/>
        <w:rPr>
          <w:color w:val="auto"/>
          <w:szCs w:val="24"/>
          <w:u w:val="single"/>
        </w:rPr>
      </w:pPr>
      <w:r w:rsidRPr="005D1ABF">
        <w:rPr>
          <w:color w:val="auto"/>
          <w:szCs w:val="24"/>
          <w:u w:val="single"/>
        </w:rPr>
        <w:t>Section 1 – Name</w:t>
      </w:r>
      <w:r w:rsidR="00CB570B">
        <w:rPr>
          <w:color w:val="auto"/>
          <w:szCs w:val="24"/>
          <w:u w:val="single"/>
        </w:rPr>
        <w:t xml:space="preserve"> of instrument</w:t>
      </w:r>
    </w:p>
    <w:p w:rsidR="002B1DB3" w:rsidRPr="005D1ABF" w:rsidRDefault="002B1DB3" w:rsidP="00511B9B">
      <w:pPr>
        <w:pStyle w:val="Normal-em"/>
        <w:spacing w:after="0" w:line="240" w:lineRule="auto"/>
        <w:ind w:left="1440" w:hanging="1440"/>
        <w:rPr>
          <w:b/>
          <w:color w:val="auto"/>
          <w:szCs w:val="24"/>
        </w:rPr>
      </w:pPr>
    </w:p>
    <w:p w:rsidR="002B1DB3" w:rsidRPr="00FB0FEC" w:rsidRDefault="002B1DB3" w:rsidP="00511B9B">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 xml:space="preserve">that the name of </w:t>
      </w:r>
      <w:r w:rsidR="00DF3F6E" w:rsidRPr="00FB0FEC">
        <w:rPr>
          <w:color w:val="auto"/>
          <w:szCs w:val="24"/>
        </w:rPr>
        <w:t xml:space="preserve">the </w:t>
      </w:r>
      <w:r w:rsidR="00FB0FEC" w:rsidRPr="00FB0FEC">
        <w:rPr>
          <w:color w:val="auto"/>
          <w:szCs w:val="24"/>
        </w:rPr>
        <w:t xml:space="preserve">instrument </w:t>
      </w:r>
      <w:r w:rsidR="00DF3F6E" w:rsidRPr="00FB0FEC">
        <w:rPr>
          <w:color w:val="auto"/>
          <w:szCs w:val="24"/>
        </w:rPr>
        <w:t xml:space="preserve">is the </w:t>
      </w:r>
      <w:r w:rsidR="00E7142E" w:rsidRPr="00057399">
        <w:rPr>
          <w:i/>
          <w:color w:val="auto"/>
          <w:szCs w:val="24"/>
        </w:rPr>
        <w:t>Basin Plan Amendment Instrument (No. 1) 2018</w:t>
      </w:r>
      <w:r w:rsidR="00E7142E" w:rsidRPr="00572BFA">
        <w:rPr>
          <w:color w:val="auto"/>
          <w:szCs w:val="24"/>
        </w:rPr>
        <w:t>.</w:t>
      </w:r>
      <w:r w:rsidR="00E7142E" w:rsidRPr="00E7142E" w:rsidDel="00E7142E">
        <w:rPr>
          <w:i/>
          <w:color w:val="auto"/>
          <w:szCs w:val="24"/>
        </w:rPr>
        <w:t xml:space="preserve"> </w:t>
      </w:r>
    </w:p>
    <w:p w:rsidR="002B1DB3" w:rsidRPr="00FB0FEC" w:rsidRDefault="002B1DB3" w:rsidP="00511B9B">
      <w:pPr>
        <w:pStyle w:val="Normal-em"/>
        <w:spacing w:after="0" w:line="240" w:lineRule="auto"/>
        <w:rPr>
          <w:color w:val="auto"/>
          <w:szCs w:val="24"/>
        </w:rPr>
      </w:pPr>
    </w:p>
    <w:p w:rsidR="002B1DB3" w:rsidRPr="005D1ABF" w:rsidRDefault="002B1DB3" w:rsidP="00511B9B">
      <w:pPr>
        <w:pStyle w:val="Normal-em"/>
        <w:spacing w:after="0" w:line="240" w:lineRule="auto"/>
        <w:rPr>
          <w:color w:val="auto"/>
          <w:szCs w:val="24"/>
          <w:u w:val="single"/>
        </w:rPr>
      </w:pPr>
      <w:r w:rsidRPr="005D1ABF">
        <w:rPr>
          <w:color w:val="auto"/>
          <w:szCs w:val="24"/>
          <w:u w:val="single"/>
        </w:rPr>
        <w:t>Section 2 – Commencement</w:t>
      </w:r>
    </w:p>
    <w:p w:rsidR="002B1DB3" w:rsidRPr="005D1ABF" w:rsidRDefault="002B1DB3" w:rsidP="00511B9B">
      <w:pPr>
        <w:pStyle w:val="Normal-em"/>
        <w:spacing w:after="0" w:line="240" w:lineRule="auto"/>
        <w:rPr>
          <w:color w:val="auto"/>
          <w:szCs w:val="24"/>
        </w:rPr>
      </w:pPr>
    </w:p>
    <w:p w:rsidR="00A21378" w:rsidRDefault="00DF3F6E" w:rsidP="00511B9B">
      <w:pPr>
        <w:pStyle w:val="Normal-em"/>
        <w:spacing w:after="0" w:line="240" w:lineRule="auto"/>
        <w:rPr>
          <w:color w:val="auto"/>
          <w:szCs w:val="24"/>
        </w:rPr>
      </w:pPr>
      <w:r w:rsidRPr="005D1ABF">
        <w:rPr>
          <w:color w:val="auto"/>
          <w:szCs w:val="24"/>
        </w:rPr>
        <w:t>This s</w:t>
      </w:r>
      <w:r w:rsidR="002B1DB3" w:rsidRPr="005D1ABF">
        <w:rPr>
          <w:color w:val="auto"/>
          <w:szCs w:val="24"/>
        </w:rPr>
        <w:t xml:space="preserve">ection provides </w:t>
      </w:r>
      <w:r w:rsidR="00EF25F6">
        <w:rPr>
          <w:color w:val="auto"/>
          <w:szCs w:val="24"/>
        </w:rPr>
        <w:t>that</w:t>
      </w:r>
      <w:r w:rsidR="00EF25F6" w:rsidRPr="005D1ABF">
        <w:rPr>
          <w:color w:val="auto"/>
          <w:szCs w:val="24"/>
        </w:rPr>
        <w:t xml:space="preserve"> </w:t>
      </w:r>
      <w:r w:rsidRPr="008C1FD9">
        <w:rPr>
          <w:color w:val="000000" w:themeColor="text1"/>
          <w:szCs w:val="24"/>
        </w:rPr>
        <w:t xml:space="preserve">the </w:t>
      </w:r>
      <w:r w:rsidR="00A21378">
        <w:rPr>
          <w:color w:val="000000" w:themeColor="text1"/>
          <w:szCs w:val="24"/>
        </w:rPr>
        <w:t>Amendment I</w:t>
      </w:r>
      <w:r w:rsidR="00FB0FEC" w:rsidRPr="008C1FD9">
        <w:rPr>
          <w:color w:val="000000" w:themeColor="text1"/>
          <w:szCs w:val="24"/>
        </w:rPr>
        <w:t>nstrument (excepting items 6</w:t>
      </w:r>
      <w:r w:rsidR="00E7142E">
        <w:rPr>
          <w:color w:val="000000" w:themeColor="text1"/>
          <w:szCs w:val="24"/>
        </w:rPr>
        <w:t>2</w:t>
      </w:r>
      <w:r w:rsidR="00FB0FEC" w:rsidRPr="008C1FD9">
        <w:rPr>
          <w:color w:val="000000" w:themeColor="text1"/>
          <w:szCs w:val="24"/>
        </w:rPr>
        <w:t xml:space="preserve"> to 6</w:t>
      </w:r>
      <w:r w:rsidR="00E7142E">
        <w:rPr>
          <w:color w:val="000000" w:themeColor="text1"/>
          <w:szCs w:val="24"/>
        </w:rPr>
        <w:t>7</w:t>
      </w:r>
      <w:r w:rsidR="00FB0FEC" w:rsidRPr="008C1FD9">
        <w:rPr>
          <w:color w:val="000000" w:themeColor="text1"/>
          <w:szCs w:val="24"/>
        </w:rPr>
        <w:t>)</w:t>
      </w:r>
      <w:r w:rsidRPr="008C1FD9">
        <w:rPr>
          <w:color w:val="000000" w:themeColor="text1"/>
          <w:szCs w:val="24"/>
        </w:rPr>
        <w:t xml:space="preserve"> commence</w:t>
      </w:r>
      <w:r w:rsidR="00EF25F6">
        <w:rPr>
          <w:color w:val="000000" w:themeColor="text1"/>
          <w:szCs w:val="24"/>
        </w:rPr>
        <w:t>s</w:t>
      </w:r>
      <w:r w:rsidRPr="008C1FD9">
        <w:rPr>
          <w:color w:val="000000" w:themeColor="text1"/>
          <w:szCs w:val="24"/>
        </w:rPr>
        <w:t xml:space="preserve"> on </w:t>
      </w:r>
      <w:r w:rsidR="00FB0FEC" w:rsidRPr="008C1FD9">
        <w:rPr>
          <w:color w:val="000000" w:themeColor="text1"/>
          <w:szCs w:val="24"/>
        </w:rPr>
        <w:t>the day after it is registered</w:t>
      </w:r>
      <w:r w:rsidR="002B1DB3" w:rsidRPr="008C1FD9">
        <w:rPr>
          <w:color w:val="000000" w:themeColor="text1"/>
          <w:szCs w:val="24"/>
        </w:rPr>
        <w:t>.</w:t>
      </w:r>
      <w:r w:rsidR="00A21378">
        <w:rPr>
          <w:color w:val="000000" w:themeColor="text1"/>
          <w:szCs w:val="24"/>
        </w:rPr>
        <w:t xml:space="preserve"> </w:t>
      </w:r>
      <w:r w:rsidR="00FB0FEC" w:rsidRPr="008C1FD9">
        <w:rPr>
          <w:color w:val="000000" w:themeColor="text1"/>
          <w:szCs w:val="24"/>
        </w:rPr>
        <w:t>Items 6</w:t>
      </w:r>
      <w:r w:rsidR="00E7142E">
        <w:rPr>
          <w:color w:val="000000" w:themeColor="text1"/>
          <w:szCs w:val="24"/>
        </w:rPr>
        <w:t>2</w:t>
      </w:r>
      <w:r w:rsidR="00FB0FEC" w:rsidRPr="008C1FD9">
        <w:rPr>
          <w:color w:val="000000" w:themeColor="text1"/>
          <w:szCs w:val="24"/>
        </w:rPr>
        <w:t xml:space="preserve"> to 6</w:t>
      </w:r>
      <w:r w:rsidR="00E7142E">
        <w:rPr>
          <w:color w:val="000000" w:themeColor="text1"/>
          <w:szCs w:val="24"/>
        </w:rPr>
        <w:t>7</w:t>
      </w:r>
      <w:r w:rsidR="00FB0FEC" w:rsidRPr="008C1FD9">
        <w:rPr>
          <w:color w:val="000000" w:themeColor="text1"/>
          <w:szCs w:val="24"/>
        </w:rPr>
        <w:t xml:space="preserve"> </w:t>
      </w:r>
      <w:r w:rsidR="00FB0FEC">
        <w:rPr>
          <w:color w:val="auto"/>
          <w:szCs w:val="24"/>
        </w:rPr>
        <w:t xml:space="preserve">commence on the </w:t>
      </w:r>
      <w:r w:rsidR="00036E22" w:rsidRPr="00036E22">
        <w:rPr>
          <w:iCs/>
          <w:color w:val="auto"/>
          <w:szCs w:val="24"/>
        </w:rPr>
        <w:t xml:space="preserve">commencement of item 1 of Schedule 1 to the </w:t>
      </w:r>
      <w:r w:rsidR="00036E22" w:rsidRPr="00036E22">
        <w:rPr>
          <w:i/>
          <w:iCs/>
          <w:color w:val="auto"/>
          <w:szCs w:val="24"/>
        </w:rPr>
        <w:t>Water Amendment (Review Implementation and Other Measures) Act 2016</w:t>
      </w:r>
      <w:r w:rsidR="00A21378">
        <w:rPr>
          <w:color w:val="auto"/>
          <w:szCs w:val="24"/>
        </w:rPr>
        <w:t>.</w:t>
      </w:r>
      <w:r w:rsidR="00A21378" w:rsidRPr="00A21378">
        <w:rPr>
          <w:color w:val="auto"/>
          <w:szCs w:val="24"/>
        </w:rPr>
        <w:t xml:space="preserve"> </w:t>
      </w:r>
    </w:p>
    <w:p w:rsidR="00A21378" w:rsidRDefault="00A21378" w:rsidP="00511B9B">
      <w:pPr>
        <w:pStyle w:val="Normal-em"/>
        <w:spacing w:after="0" w:line="240" w:lineRule="auto"/>
        <w:rPr>
          <w:color w:val="auto"/>
          <w:szCs w:val="24"/>
        </w:rPr>
      </w:pPr>
    </w:p>
    <w:p w:rsidR="00DF3F6E" w:rsidRPr="005D1ABF" w:rsidRDefault="0088627B" w:rsidP="00511B9B">
      <w:pPr>
        <w:pStyle w:val="Normal-em"/>
        <w:spacing w:after="0" w:line="240" w:lineRule="auto"/>
        <w:rPr>
          <w:color w:val="auto"/>
          <w:szCs w:val="24"/>
          <w:u w:val="single"/>
        </w:rPr>
      </w:pPr>
      <w:r>
        <w:rPr>
          <w:color w:val="auto"/>
          <w:szCs w:val="24"/>
          <w:u w:val="single"/>
        </w:rPr>
        <w:t>Section 3</w:t>
      </w:r>
      <w:r w:rsidR="00DF3F6E" w:rsidRPr="005D1ABF">
        <w:rPr>
          <w:color w:val="auto"/>
          <w:szCs w:val="24"/>
          <w:u w:val="single"/>
        </w:rPr>
        <w:t xml:space="preserve"> – </w:t>
      </w:r>
      <w:r>
        <w:rPr>
          <w:color w:val="auto"/>
          <w:szCs w:val="24"/>
          <w:u w:val="single"/>
        </w:rPr>
        <w:t>Amendment of the Basin Plan</w:t>
      </w:r>
    </w:p>
    <w:p w:rsidR="00DF3F6E" w:rsidRPr="005D1ABF" w:rsidRDefault="00DF3F6E" w:rsidP="00511B9B">
      <w:pPr>
        <w:pStyle w:val="Normal-em"/>
        <w:spacing w:after="0" w:line="240" w:lineRule="auto"/>
        <w:rPr>
          <w:color w:val="auto"/>
          <w:szCs w:val="24"/>
        </w:rPr>
      </w:pPr>
    </w:p>
    <w:p w:rsidR="00DF3F6E" w:rsidRPr="0088627B" w:rsidRDefault="00DF3F6E" w:rsidP="00511B9B">
      <w:pPr>
        <w:pStyle w:val="Normal-em"/>
        <w:spacing w:after="0" w:line="240" w:lineRule="auto"/>
        <w:rPr>
          <w:color w:val="000000" w:themeColor="text1"/>
          <w:szCs w:val="24"/>
        </w:rPr>
      </w:pPr>
      <w:r w:rsidRPr="005D1ABF">
        <w:rPr>
          <w:color w:val="auto"/>
          <w:szCs w:val="24"/>
        </w:rPr>
        <w:t xml:space="preserve">This section provides that </w:t>
      </w:r>
      <w:r w:rsidRPr="0088627B">
        <w:rPr>
          <w:color w:val="000000" w:themeColor="text1"/>
          <w:szCs w:val="24"/>
        </w:rPr>
        <w:t xml:space="preserve">the </w:t>
      </w:r>
      <w:r w:rsidR="0088627B" w:rsidRPr="0088627B">
        <w:rPr>
          <w:i/>
          <w:color w:val="000000" w:themeColor="text1"/>
          <w:szCs w:val="24"/>
        </w:rPr>
        <w:t>Basin Plan 2012</w:t>
      </w:r>
      <w:r w:rsidR="00D44C3C">
        <w:rPr>
          <w:color w:val="000000" w:themeColor="text1"/>
          <w:szCs w:val="24"/>
        </w:rPr>
        <w:t xml:space="preserve"> (the Basin Plan)</w:t>
      </w:r>
      <w:r w:rsidRPr="0088627B">
        <w:rPr>
          <w:i/>
          <w:color w:val="000000" w:themeColor="text1"/>
          <w:szCs w:val="24"/>
        </w:rPr>
        <w:t xml:space="preserve"> </w:t>
      </w:r>
      <w:r w:rsidRPr="0088627B">
        <w:rPr>
          <w:color w:val="000000" w:themeColor="text1"/>
          <w:szCs w:val="24"/>
        </w:rPr>
        <w:t xml:space="preserve">is amended as set out in </w:t>
      </w:r>
      <w:r w:rsidR="0088627B" w:rsidRPr="0088627B">
        <w:rPr>
          <w:color w:val="000000" w:themeColor="text1"/>
          <w:szCs w:val="24"/>
        </w:rPr>
        <w:t>Schedule 1</w:t>
      </w:r>
      <w:r w:rsidRPr="0088627B">
        <w:rPr>
          <w:color w:val="000000" w:themeColor="text1"/>
          <w:szCs w:val="24"/>
        </w:rPr>
        <w:t>.</w:t>
      </w:r>
    </w:p>
    <w:p w:rsidR="00DF3F6E" w:rsidRPr="0088627B" w:rsidRDefault="00DF3F6E" w:rsidP="00511B9B">
      <w:pPr>
        <w:pStyle w:val="Normal-em"/>
        <w:spacing w:after="0" w:line="240" w:lineRule="auto"/>
        <w:rPr>
          <w:color w:val="000000" w:themeColor="text1"/>
          <w:szCs w:val="24"/>
          <w:u w:val="single"/>
        </w:rPr>
      </w:pPr>
    </w:p>
    <w:p w:rsidR="002B1DB3" w:rsidRPr="005D1ABF" w:rsidRDefault="002B1DB3" w:rsidP="00511B9B">
      <w:pPr>
        <w:pStyle w:val="Normal-em"/>
        <w:spacing w:after="0" w:line="240" w:lineRule="auto"/>
        <w:rPr>
          <w:color w:val="auto"/>
          <w:szCs w:val="24"/>
        </w:rPr>
      </w:pPr>
      <w:r w:rsidRPr="005D1ABF">
        <w:rPr>
          <w:color w:val="auto"/>
          <w:szCs w:val="24"/>
          <w:u w:val="single"/>
        </w:rPr>
        <w:t>Schedule 1 – Amendments</w:t>
      </w:r>
      <w:r w:rsidR="00305F96">
        <w:rPr>
          <w:color w:val="auto"/>
          <w:szCs w:val="24"/>
          <w:u w:val="single"/>
        </w:rPr>
        <w:t xml:space="preserve"> </w:t>
      </w:r>
      <w:r w:rsidR="00305F96" w:rsidRPr="00305F96">
        <w:rPr>
          <w:i/>
          <w:color w:val="auto"/>
          <w:szCs w:val="24"/>
          <w:u w:val="single"/>
        </w:rPr>
        <w:t>Basin Plan 2012</w:t>
      </w:r>
    </w:p>
    <w:p w:rsidR="002B1DB3" w:rsidRDefault="002B1DB3" w:rsidP="00511B9B">
      <w:pPr>
        <w:pStyle w:val="Normal-em"/>
        <w:spacing w:after="0" w:line="240" w:lineRule="auto"/>
        <w:rPr>
          <w:iCs/>
          <w:color w:val="auto"/>
          <w:szCs w:val="24"/>
        </w:rPr>
      </w:pPr>
    </w:p>
    <w:p w:rsidR="00EE0F8E" w:rsidRPr="00EE0F8E" w:rsidRDefault="00EE0F8E" w:rsidP="00EE0F8E">
      <w:pPr>
        <w:pStyle w:val="Normal-em"/>
        <w:rPr>
          <w:iCs/>
          <w:szCs w:val="24"/>
        </w:rPr>
      </w:pPr>
      <w:r w:rsidRPr="00EE0F8E">
        <w:rPr>
          <w:iCs/>
          <w:szCs w:val="24"/>
        </w:rPr>
        <w:t>The background to each of the following parts of the Amendment Instrument is detailed below, in the following order:</w:t>
      </w:r>
    </w:p>
    <w:p w:rsidR="00EE0F8E" w:rsidRPr="00EE0F8E" w:rsidRDefault="00EE0F8E" w:rsidP="00EE0F8E">
      <w:pPr>
        <w:pStyle w:val="Normal-em"/>
        <w:rPr>
          <w:iCs/>
          <w:szCs w:val="24"/>
        </w:rPr>
      </w:pPr>
      <w:r w:rsidRPr="00EE0F8E">
        <w:rPr>
          <w:iCs/>
          <w:szCs w:val="24"/>
        </w:rPr>
        <w:t>1. Northern Basin Review amendments;</w:t>
      </w:r>
    </w:p>
    <w:p w:rsidR="00EE0F8E" w:rsidRPr="00EE0F8E" w:rsidRDefault="00EE0F8E" w:rsidP="00EE0F8E">
      <w:pPr>
        <w:pStyle w:val="Normal-em"/>
        <w:rPr>
          <w:iCs/>
          <w:szCs w:val="24"/>
        </w:rPr>
      </w:pPr>
      <w:r w:rsidRPr="00EE0F8E">
        <w:rPr>
          <w:iCs/>
          <w:szCs w:val="24"/>
        </w:rPr>
        <w:t>2. Groundwater Reviews and other groundwater amendments;</w:t>
      </w:r>
    </w:p>
    <w:p w:rsidR="00EE0F8E" w:rsidRPr="00EE0F8E" w:rsidRDefault="00EE0F8E" w:rsidP="00EE0F8E">
      <w:pPr>
        <w:pStyle w:val="Normal-em"/>
        <w:rPr>
          <w:iCs/>
          <w:szCs w:val="24"/>
        </w:rPr>
      </w:pPr>
      <w:r w:rsidRPr="00EE0F8E">
        <w:rPr>
          <w:iCs/>
          <w:szCs w:val="24"/>
        </w:rPr>
        <w:t>3. Water Act Review amendments; and</w:t>
      </w:r>
    </w:p>
    <w:p w:rsidR="00EE0F8E" w:rsidRPr="00EE0F8E" w:rsidRDefault="00EE0F8E" w:rsidP="00EE0F8E">
      <w:pPr>
        <w:pStyle w:val="Normal-em"/>
        <w:rPr>
          <w:iCs/>
          <w:szCs w:val="24"/>
        </w:rPr>
      </w:pPr>
      <w:r w:rsidRPr="00EE0F8E">
        <w:rPr>
          <w:iCs/>
          <w:szCs w:val="24"/>
        </w:rPr>
        <w:t>4. Other technical amendments.</w:t>
      </w:r>
    </w:p>
    <w:p w:rsidR="00EE0F8E" w:rsidRPr="005D1ABF" w:rsidRDefault="00EE0F8E" w:rsidP="00511B9B">
      <w:pPr>
        <w:pStyle w:val="Normal-em"/>
        <w:spacing w:after="0" w:line="240" w:lineRule="auto"/>
        <w:rPr>
          <w:iCs/>
          <w:color w:val="auto"/>
          <w:szCs w:val="24"/>
        </w:rPr>
      </w:pPr>
    </w:p>
    <w:p w:rsidR="008A58FE" w:rsidRPr="00515061" w:rsidRDefault="008A58FE" w:rsidP="00511B9B">
      <w:p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1. Northern Basin Review amendments</w:t>
      </w:r>
      <w:r w:rsidR="00523158" w:rsidRPr="00515061">
        <w:rPr>
          <w:rFonts w:ascii="Times New Roman" w:hAnsi="Times New Roman" w:cs="Times New Roman"/>
          <w:b/>
          <w:sz w:val="24"/>
          <w:szCs w:val="24"/>
        </w:rPr>
        <w:t xml:space="preserve"> (</w:t>
      </w:r>
      <w:r w:rsidRPr="00515061">
        <w:rPr>
          <w:rFonts w:ascii="Times New Roman" w:hAnsi="Times New Roman" w:cs="Times New Roman"/>
          <w:b/>
          <w:sz w:val="24"/>
          <w:szCs w:val="24"/>
        </w:rPr>
        <w:t>Items 14 to 17, 7</w:t>
      </w:r>
      <w:r w:rsidR="00E7142E">
        <w:rPr>
          <w:rFonts w:ascii="Times New Roman" w:hAnsi="Times New Roman" w:cs="Times New Roman"/>
          <w:b/>
          <w:sz w:val="24"/>
          <w:szCs w:val="24"/>
        </w:rPr>
        <w:t>4</w:t>
      </w:r>
      <w:r w:rsidRPr="00515061">
        <w:rPr>
          <w:rFonts w:ascii="Times New Roman" w:hAnsi="Times New Roman" w:cs="Times New Roman"/>
          <w:b/>
          <w:sz w:val="24"/>
          <w:szCs w:val="24"/>
        </w:rPr>
        <w:t>, 7</w:t>
      </w:r>
      <w:r w:rsidR="00E7142E">
        <w:rPr>
          <w:rFonts w:ascii="Times New Roman" w:hAnsi="Times New Roman" w:cs="Times New Roman"/>
          <w:b/>
          <w:sz w:val="24"/>
          <w:szCs w:val="24"/>
        </w:rPr>
        <w:t>6</w:t>
      </w:r>
      <w:r w:rsidRPr="00515061">
        <w:rPr>
          <w:rFonts w:ascii="Times New Roman" w:hAnsi="Times New Roman" w:cs="Times New Roman"/>
          <w:b/>
          <w:sz w:val="24"/>
          <w:szCs w:val="24"/>
        </w:rPr>
        <w:t>, 7</w:t>
      </w:r>
      <w:r w:rsidR="00E7142E">
        <w:rPr>
          <w:rFonts w:ascii="Times New Roman" w:hAnsi="Times New Roman" w:cs="Times New Roman"/>
          <w:b/>
          <w:sz w:val="24"/>
          <w:szCs w:val="24"/>
        </w:rPr>
        <w:t>9</w:t>
      </w:r>
      <w:r w:rsidRPr="00515061">
        <w:rPr>
          <w:rFonts w:ascii="Times New Roman" w:hAnsi="Times New Roman" w:cs="Times New Roman"/>
          <w:b/>
          <w:sz w:val="24"/>
          <w:szCs w:val="24"/>
        </w:rPr>
        <w:t xml:space="preserve"> and </w:t>
      </w:r>
      <w:r w:rsidR="00E7142E">
        <w:rPr>
          <w:rFonts w:ascii="Times New Roman" w:hAnsi="Times New Roman" w:cs="Times New Roman"/>
          <w:b/>
          <w:sz w:val="24"/>
          <w:szCs w:val="24"/>
        </w:rPr>
        <w:t>80</w:t>
      </w:r>
      <w:r w:rsidR="00523158" w:rsidRPr="00515061">
        <w:rPr>
          <w:rFonts w:ascii="Times New Roman" w:hAnsi="Times New Roman" w:cs="Times New Roman"/>
          <w:b/>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bookmarkStart w:id="1" w:name="_Toc465693942"/>
      <w:r w:rsidRPr="00515061">
        <w:rPr>
          <w:rFonts w:ascii="Times New Roman" w:hAnsi="Times New Roman" w:cs="Times New Roman"/>
          <w:sz w:val="24"/>
          <w:szCs w:val="24"/>
        </w:rPr>
        <w:t xml:space="preserve">In finalising the Basin Plan in 2012, the </w:t>
      </w:r>
      <w:r w:rsidR="00D44C3C" w:rsidRPr="00515061">
        <w:rPr>
          <w:rFonts w:ascii="Times New Roman" w:hAnsi="Times New Roman" w:cs="Times New Roman"/>
          <w:sz w:val="24"/>
          <w:szCs w:val="24"/>
        </w:rPr>
        <w:t xml:space="preserve">Murray-Darling Basin </w:t>
      </w:r>
      <w:r w:rsidRPr="00515061">
        <w:rPr>
          <w:rFonts w:ascii="Times New Roman" w:hAnsi="Times New Roman" w:cs="Times New Roman"/>
          <w:sz w:val="24"/>
          <w:szCs w:val="24"/>
        </w:rPr>
        <w:t xml:space="preserve">Authority </w:t>
      </w:r>
      <w:r w:rsidR="001A21FE" w:rsidRPr="00515061">
        <w:rPr>
          <w:rFonts w:ascii="Times New Roman" w:hAnsi="Times New Roman" w:cs="Times New Roman"/>
          <w:sz w:val="24"/>
          <w:szCs w:val="24"/>
        </w:rPr>
        <w:t xml:space="preserve">(the Authority) </w:t>
      </w:r>
      <w:r w:rsidRPr="00515061">
        <w:rPr>
          <w:rFonts w:ascii="Times New Roman" w:hAnsi="Times New Roman" w:cs="Times New Roman"/>
          <w:sz w:val="24"/>
          <w:szCs w:val="24"/>
        </w:rPr>
        <w:t>undertook to conduct research and investigations into aspects of the Basin Plan in the northern Basin (the Northern Basin Review), including the basis for long-term average sustainable diversion limits (SDLs) for surface water SDL resource units</w:t>
      </w:r>
      <w:r w:rsidR="0021669C" w:rsidRPr="00515061">
        <w:rPr>
          <w:rFonts w:ascii="Times New Roman" w:hAnsi="Times New Roman" w:cs="Times New Roman"/>
          <w:sz w:val="24"/>
          <w:szCs w:val="24"/>
        </w:rPr>
        <w:t xml:space="preserve"> </w:t>
      </w:r>
      <w:r w:rsidR="004F6C0D" w:rsidRPr="00515061">
        <w:rPr>
          <w:rFonts w:ascii="Times New Roman" w:hAnsi="Times New Roman" w:cs="Times New Roman"/>
          <w:sz w:val="24"/>
          <w:szCs w:val="24"/>
        </w:rPr>
        <w:t>(see n</w:t>
      </w:r>
      <w:r w:rsidR="0021669C" w:rsidRPr="00515061">
        <w:rPr>
          <w:rFonts w:ascii="Times New Roman" w:hAnsi="Times New Roman" w:cs="Times New Roman"/>
          <w:sz w:val="24"/>
          <w:szCs w:val="24"/>
        </w:rPr>
        <w:t xml:space="preserve">ote to </w:t>
      </w:r>
      <w:r w:rsidR="00EF25F6" w:rsidRPr="00515061">
        <w:rPr>
          <w:rFonts w:ascii="Times New Roman" w:hAnsi="Times New Roman" w:cs="Times New Roman"/>
          <w:sz w:val="24"/>
          <w:szCs w:val="24"/>
        </w:rPr>
        <w:t>sub</w:t>
      </w:r>
      <w:r w:rsidR="0021669C" w:rsidRPr="00515061">
        <w:rPr>
          <w:rFonts w:ascii="Times New Roman" w:hAnsi="Times New Roman" w:cs="Times New Roman"/>
          <w:sz w:val="24"/>
          <w:szCs w:val="24"/>
        </w:rPr>
        <w:t>section 6.06(1) of the Basin Plan)</w:t>
      </w:r>
      <w:r w:rsidRPr="00515061">
        <w:rPr>
          <w:rFonts w:ascii="Times New Roman" w:hAnsi="Times New Roman" w:cs="Times New Roman"/>
          <w:sz w:val="24"/>
          <w:szCs w:val="24"/>
        </w:rPr>
        <w:t>. The purpose of the Northern Basin Review was to improve the Authority’s knowledge of the northern Basin, including the water needs of water-dependent ecosystems, and how water recovery has affected communities. The Authority’s Northern Basin</w:t>
      </w:r>
      <w:r w:rsidR="004F6C0D" w:rsidRPr="00515061">
        <w:rPr>
          <w:rFonts w:ascii="Times New Roman" w:hAnsi="Times New Roman" w:cs="Times New Roman"/>
          <w:sz w:val="24"/>
          <w:szCs w:val="24"/>
        </w:rPr>
        <w:t xml:space="preserve"> Review report is published at </w:t>
      </w:r>
      <w:hyperlink r:id="rId14" w:history="1">
        <w:r w:rsidR="004F6C0D" w:rsidRPr="00515061">
          <w:rPr>
            <w:rStyle w:val="Hyperlink"/>
            <w:rFonts w:ascii="Times New Roman" w:hAnsi="Times New Roman" w:cs="Times New Roman"/>
            <w:sz w:val="24"/>
            <w:szCs w:val="24"/>
          </w:rPr>
          <w:t>https://www.mdba.gov.au/basin-plan-roll-out/basin-plan-amendments/basin-plan-amendments-northern-basin</w:t>
        </w:r>
      </w:hyperlink>
      <w:r w:rsidR="004F6C0D" w:rsidRPr="00515061">
        <w:rPr>
          <w:rFonts w:ascii="Times New Roman" w:hAnsi="Times New Roman" w:cs="Times New Roman"/>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changes the SDLs for some northern Basin surface water SDL resource units to reflect the outcomes of the Northern Basin Review. The Authority concluded that the </w:t>
      </w:r>
      <w:r w:rsidR="000D4A99" w:rsidRPr="00515061">
        <w:rPr>
          <w:rFonts w:ascii="Times New Roman" w:hAnsi="Times New Roman" w:cs="Times New Roman"/>
          <w:sz w:val="24"/>
          <w:szCs w:val="24"/>
        </w:rPr>
        <w:t xml:space="preserve">increase, in net terms, to the SDLs in the northern Basin and the </w:t>
      </w:r>
      <w:r w:rsidRPr="00515061">
        <w:rPr>
          <w:rFonts w:ascii="Times New Roman" w:hAnsi="Times New Roman" w:cs="Times New Roman"/>
          <w:sz w:val="24"/>
          <w:szCs w:val="24"/>
        </w:rPr>
        <w:t xml:space="preserve">reduction </w:t>
      </w:r>
      <w:r w:rsidR="00FD49D9" w:rsidRPr="00515061">
        <w:rPr>
          <w:rFonts w:ascii="Times New Roman" w:hAnsi="Times New Roman" w:cs="Times New Roman"/>
          <w:sz w:val="24"/>
          <w:szCs w:val="24"/>
        </w:rPr>
        <w:t xml:space="preserve">in the water recovery target </w:t>
      </w:r>
      <w:r w:rsidRPr="00515061">
        <w:rPr>
          <w:rFonts w:ascii="Times New Roman" w:hAnsi="Times New Roman" w:cs="Times New Roman"/>
          <w:sz w:val="24"/>
          <w:szCs w:val="24"/>
        </w:rPr>
        <w:t xml:space="preserve">minimises socio-economic impacts in northern Basin communities and delivers almost equivalent environmental outcomes. The </w:t>
      </w:r>
      <w:r w:rsidR="00D44C3C" w:rsidRPr="00515061">
        <w:rPr>
          <w:rFonts w:ascii="Times New Roman" w:hAnsi="Times New Roman" w:cs="Times New Roman"/>
          <w:sz w:val="24"/>
          <w:szCs w:val="24"/>
        </w:rPr>
        <w:t xml:space="preserve">Murray-Darling Basin </w:t>
      </w:r>
      <w:r w:rsidRPr="00515061">
        <w:rPr>
          <w:rFonts w:ascii="Times New Roman" w:hAnsi="Times New Roman" w:cs="Times New Roman"/>
          <w:sz w:val="24"/>
          <w:szCs w:val="24"/>
        </w:rPr>
        <w:t>Ministerial Council</w:t>
      </w:r>
      <w:r w:rsidR="00D44C3C" w:rsidRPr="00515061">
        <w:rPr>
          <w:rFonts w:ascii="Times New Roman" w:hAnsi="Times New Roman" w:cs="Times New Roman"/>
          <w:sz w:val="24"/>
          <w:szCs w:val="24"/>
        </w:rPr>
        <w:t xml:space="preserve"> (the Ministerial Council)</w:t>
      </w:r>
      <w:r w:rsidR="00351F14" w:rsidRPr="00515061">
        <w:rPr>
          <w:rFonts w:ascii="Times New Roman" w:hAnsi="Times New Roman" w:cs="Times New Roman"/>
          <w:sz w:val="24"/>
          <w:szCs w:val="24"/>
        </w:rPr>
        <w:t xml:space="preserve">, in considering the </w:t>
      </w:r>
      <w:r w:rsidR="00446A72">
        <w:rPr>
          <w:rFonts w:ascii="Times New Roman" w:hAnsi="Times New Roman" w:cs="Times New Roman"/>
          <w:sz w:val="24"/>
          <w:szCs w:val="24"/>
        </w:rPr>
        <w:t>proposed Disallowed Instrument</w:t>
      </w:r>
      <w:r w:rsidR="00351F14" w:rsidRPr="00515061">
        <w:rPr>
          <w:rFonts w:ascii="Times New Roman" w:hAnsi="Times New Roman" w:cs="Times New Roman"/>
          <w:sz w:val="24"/>
          <w:szCs w:val="24"/>
        </w:rPr>
        <w:t xml:space="preserve"> under section 47A of the Water Act</w:t>
      </w:r>
      <w:r w:rsidRPr="00515061">
        <w:rPr>
          <w:rFonts w:ascii="Times New Roman" w:hAnsi="Times New Roman" w:cs="Times New Roman"/>
          <w:sz w:val="24"/>
          <w:szCs w:val="24"/>
        </w:rPr>
        <w:t xml:space="preserve">, </w:t>
      </w:r>
      <w:r w:rsidR="00351F14" w:rsidRPr="00515061">
        <w:rPr>
          <w:rFonts w:ascii="Times New Roman" w:hAnsi="Times New Roman" w:cs="Times New Roman"/>
          <w:sz w:val="24"/>
          <w:szCs w:val="24"/>
        </w:rPr>
        <w:t xml:space="preserve">agreed </w:t>
      </w:r>
      <w:r w:rsidRPr="00515061">
        <w:rPr>
          <w:rFonts w:ascii="Times New Roman" w:hAnsi="Times New Roman" w:cs="Times New Roman"/>
          <w:sz w:val="24"/>
          <w:szCs w:val="24"/>
        </w:rPr>
        <w:t xml:space="preserve">to the proposed reduction in the water recovery target in the northern Basin from 390 </w:t>
      </w:r>
      <w:r w:rsidR="004E3514" w:rsidRPr="00515061">
        <w:rPr>
          <w:rFonts w:ascii="Times New Roman" w:hAnsi="Times New Roman" w:cs="Times New Roman"/>
          <w:sz w:val="24"/>
          <w:szCs w:val="24"/>
        </w:rPr>
        <w:t>gigalitres (</w:t>
      </w:r>
      <w:r w:rsidRPr="00515061">
        <w:rPr>
          <w:rFonts w:ascii="Times New Roman" w:hAnsi="Times New Roman" w:cs="Times New Roman"/>
          <w:sz w:val="24"/>
          <w:szCs w:val="24"/>
        </w:rPr>
        <w:t>GL</w:t>
      </w:r>
      <w:r w:rsidR="004E3514" w:rsidRPr="00515061">
        <w:rPr>
          <w:rFonts w:ascii="Times New Roman" w:hAnsi="Times New Roman" w:cs="Times New Roman"/>
          <w:sz w:val="24"/>
          <w:szCs w:val="24"/>
        </w:rPr>
        <w:t>)</w:t>
      </w:r>
      <w:r w:rsidRPr="00515061">
        <w:rPr>
          <w:rFonts w:ascii="Times New Roman" w:hAnsi="Times New Roman" w:cs="Times New Roman"/>
          <w:sz w:val="24"/>
          <w:szCs w:val="24"/>
        </w:rPr>
        <w:t xml:space="preserve"> to 320 GL. </w:t>
      </w:r>
      <w:r w:rsidR="00351F14" w:rsidRPr="00515061">
        <w:rPr>
          <w:rFonts w:ascii="Times New Roman" w:hAnsi="Times New Roman" w:cs="Times New Roman"/>
          <w:sz w:val="24"/>
          <w:szCs w:val="24"/>
        </w:rPr>
        <w:t>T</w:t>
      </w:r>
      <w:r w:rsidRPr="00515061">
        <w:rPr>
          <w:rFonts w:ascii="Times New Roman" w:hAnsi="Times New Roman" w:cs="Times New Roman"/>
          <w:sz w:val="24"/>
          <w:szCs w:val="24"/>
        </w:rPr>
        <w:t xml:space="preserve">he Ministerial Council </w:t>
      </w:r>
      <w:r w:rsidR="000D4A99" w:rsidRPr="00515061">
        <w:rPr>
          <w:rFonts w:ascii="Times New Roman" w:hAnsi="Times New Roman" w:cs="Times New Roman"/>
          <w:sz w:val="24"/>
          <w:szCs w:val="24"/>
        </w:rPr>
        <w:t>also agreed</w:t>
      </w:r>
      <w:r w:rsidR="009F3224">
        <w:rPr>
          <w:rFonts w:ascii="Times New Roman" w:hAnsi="Times New Roman" w:cs="Times New Roman"/>
          <w:sz w:val="24"/>
          <w:szCs w:val="24"/>
        </w:rPr>
        <w:t xml:space="preserve"> to</w:t>
      </w:r>
      <w:r w:rsidRPr="00515061">
        <w:rPr>
          <w:rFonts w:ascii="Times New Roman" w:hAnsi="Times New Roman" w:cs="Times New Roman"/>
          <w:sz w:val="24"/>
          <w:szCs w:val="24"/>
        </w:rPr>
        <w:t xml:space="preserve"> an in-principle commitment to the implementation of a comprehensive suite of </w:t>
      </w:r>
      <w:r w:rsidR="008628DE" w:rsidRPr="00515061">
        <w:rPr>
          <w:rFonts w:ascii="Times New Roman" w:hAnsi="Times New Roman" w:cs="Times New Roman"/>
          <w:sz w:val="24"/>
          <w:szCs w:val="24"/>
        </w:rPr>
        <w:t xml:space="preserve">environmental outcomes </w:t>
      </w:r>
      <w:r w:rsidRPr="00515061">
        <w:rPr>
          <w:rFonts w:ascii="Times New Roman" w:hAnsi="Times New Roman" w:cs="Times New Roman"/>
          <w:sz w:val="24"/>
          <w:szCs w:val="24"/>
        </w:rPr>
        <w:t>for the northern Basin, subject to funding</w:t>
      </w:r>
      <w:r w:rsidR="008628DE" w:rsidRPr="00515061">
        <w:rPr>
          <w:rFonts w:ascii="Times New Roman" w:hAnsi="Times New Roman" w:cs="Times New Roman"/>
          <w:sz w:val="24"/>
          <w:szCs w:val="24"/>
        </w:rPr>
        <w:t xml:space="preserve"> being available. These agreed </w:t>
      </w:r>
      <w:r w:rsidR="00463D8F">
        <w:rPr>
          <w:rFonts w:ascii="Times New Roman" w:hAnsi="Times New Roman" w:cs="Times New Roman"/>
          <w:sz w:val="24"/>
          <w:szCs w:val="24"/>
        </w:rPr>
        <w:t xml:space="preserve">environmental works and </w:t>
      </w:r>
      <w:r w:rsidR="008628DE" w:rsidRPr="00515061">
        <w:rPr>
          <w:rFonts w:ascii="Times New Roman" w:hAnsi="Times New Roman" w:cs="Times New Roman"/>
          <w:sz w:val="24"/>
          <w:szCs w:val="24"/>
        </w:rPr>
        <w:t>measure</w:t>
      </w:r>
      <w:r w:rsidRPr="00515061">
        <w:rPr>
          <w:rFonts w:ascii="Times New Roman" w:hAnsi="Times New Roman" w:cs="Times New Roman"/>
          <w:sz w:val="24"/>
          <w:szCs w:val="24"/>
        </w:rPr>
        <w:t xml:space="preserve">s (referred to as </w:t>
      </w:r>
      <w:r w:rsidR="00462B73" w:rsidRPr="00515061">
        <w:rPr>
          <w:rFonts w:ascii="Times New Roman" w:hAnsi="Times New Roman" w:cs="Times New Roman"/>
          <w:sz w:val="24"/>
          <w:szCs w:val="24"/>
        </w:rPr>
        <w:t>toolkit measures</w:t>
      </w:r>
      <w:r w:rsidR="00463D8F">
        <w:rPr>
          <w:rFonts w:ascii="Times New Roman" w:hAnsi="Times New Roman" w:cs="Times New Roman"/>
          <w:sz w:val="24"/>
          <w:szCs w:val="24"/>
        </w:rPr>
        <w:t xml:space="preserve"> in the Northern Basin Review</w:t>
      </w:r>
      <w:r w:rsidRPr="00515061">
        <w:rPr>
          <w:rFonts w:ascii="Times New Roman" w:hAnsi="Times New Roman" w:cs="Times New Roman"/>
          <w:sz w:val="24"/>
          <w:szCs w:val="24"/>
        </w:rPr>
        <w:t>) target improved water management and environmental outcomes across the northern Basin.</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also includes changes to the northern Basin zone shared reduction amount. The northern Basin zone will be divided into two zones, the northern Basin Queensland zone and the northern Basin New South Wales zone, each with its own shared reduction target.</w:t>
      </w:r>
    </w:p>
    <w:p w:rsidR="008A58FE" w:rsidRPr="00515061" w:rsidRDefault="008A58FE" w:rsidP="00511B9B">
      <w:pPr>
        <w:tabs>
          <w:tab w:val="right" w:pos="9072"/>
        </w:tabs>
        <w:spacing w:after="0" w:line="240" w:lineRule="auto"/>
        <w:rPr>
          <w:rFonts w:ascii="Times New Roman" w:hAnsi="Times New Roman" w:cs="Times New Roman"/>
          <w:sz w:val="24"/>
          <w:szCs w:val="24"/>
        </w:rPr>
      </w:pPr>
      <w:bookmarkStart w:id="2" w:name="_Toc466982391"/>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r w:rsidRPr="00515061">
        <w:rPr>
          <w:rFonts w:ascii="Times New Roman" w:hAnsi="Times New Roman" w:cs="Times New Roman"/>
          <w:bCs/>
          <w:sz w:val="24"/>
          <w:szCs w:val="24"/>
          <w:u w:val="single"/>
        </w:rPr>
        <w:t>Changes to surface water sustainable diversion limit resource units</w:t>
      </w:r>
      <w:bookmarkEnd w:id="1"/>
      <w:bookmarkEnd w:id="2"/>
    </w:p>
    <w:p w:rsidR="00A44169" w:rsidRPr="00515061" w:rsidRDefault="00A44169"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bookmarkStart w:id="3" w:name="_Toc465693946"/>
      <w:r w:rsidRPr="00515061">
        <w:rPr>
          <w:rFonts w:ascii="Times New Roman" w:hAnsi="Times New Roman" w:cs="Times New Roman"/>
          <w:sz w:val="24"/>
          <w:szCs w:val="24"/>
        </w:rPr>
        <w:t xml:space="preserve">The Basin Plan sets long-term average SDLs for all </w:t>
      </w:r>
      <w:r w:rsidR="00916136" w:rsidRPr="00515061">
        <w:rPr>
          <w:rFonts w:ascii="Times New Roman" w:hAnsi="Times New Roman" w:cs="Times New Roman"/>
          <w:sz w:val="24"/>
          <w:szCs w:val="24"/>
        </w:rPr>
        <w:t>B</w:t>
      </w:r>
      <w:r w:rsidRPr="00515061">
        <w:rPr>
          <w:rFonts w:ascii="Times New Roman" w:hAnsi="Times New Roman" w:cs="Times New Roman"/>
          <w:sz w:val="24"/>
          <w:szCs w:val="24"/>
        </w:rPr>
        <w:t xml:space="preserve">asin water resources. SDLs represent the maximum long-term annual average quantities of water that can be taken on a sustainable basis from Basin water resources as a whole, and from each SDL resource unit. A surface water SDL resource unit describes the geographical area which contains a set of water resources, generally based on catchments. The </w:t>
      </w:r>
      <w:r w:rsidR="00725442">
        <w:rPr>
          <w:rFonts w:ascii="Times New Roman" w:hAnsi="Times New Roman" w:cs="Times New Roman"/>
          <w:i/>
          <w:sz w:val="24"/>
          <w:szCs w:val="24"/>
        </w:rPr>
        <w:t>Water Act 2007</w:t>
      </w:r>
      <w:r w:rsidR="00D44C3C" w:rsidRPr="00515061">
        <w:rPr>
          <w:rFonts w:ascii="Times New Roman" w:hAnsi="Times New Roman" w:cs="Times New Roman"/>
          <w:sz w:val="24"/>
          <w:szCs w:val="24"/>
        </w:rPr>
        <w:t xml:space="preserve"> (the </w:t>
      </w:r>
      <w:r w:rsidRPr="00515061">
        <w:rPr>
          <w:rFonts w:ascii="Times New Roman" w:hAnsi="Times New Roman" w:cs="Times New Roman"/>
          <w:sz w:val="24"/>
          <w:szCs w:val="24"/>
        </w:rPr>
        <w:t>Water Act</w:t>
      </w:r>
      <w:r w:rsidR="00D44C3C" w:rsidRPr="00515061">
        <w:rPr>
          <w:rFonts w:ascii="Times New Roman" w:hAnsi="Times New Roman" w:cs="Times New Roman"/>
          <w:sz w:val="24"/>
          <w:szCs w:val="24"/>
        </w:rPr>
        <w:t>)</w:t>
      </w:r>
      <w:r w:rsidRPr="00515061">
        <w:rPr>
          <w:rFonts w:ascii="Times New Roman" w:hAnsi="Times New Roman" w:cs="Times New Roman"/>
          <w:sz w:val="24"/>
          <w:szCs w:val="24"/>
        </w:rPr>
        <w:t xml:space="preserve"> requires that SDLs reflect an environmentally sustainable level of take.</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When the Basin Plan was prepared</w:t>
      </w:r>
      <w:r w:rsidR="001A21FE" w:rsidRPr="00515061">
        <w:rPr>
          <w:rFonts w:ascii="Times New Roman" w:hAnsi="Times New Roman" w:cs="Times New Roman"/>
          <w:sz w:val="24"/>
          <w:szCs w:val="24"/>
        </w:rPr>
        <w:t xml:space="preserve"> in 2012</w:t>
      </w:r>
      <w:r w:rsidRPr="00515061">
        <w:rPr>
          <w:rFonts w:ascii="Times New Roman" w:hAnsi="Times New Roman" w:cs="Times New Roman"/>
          <w:sz w:val="24"/>
          <w:szCs w:val="24"/>
        </w:rPr>
        <w:t>, it was estimated that water users in the northern Basin were extracting 3,858 GL a year on average. The Basin Plan set the limit for consumptive use in the north</w:t>
      </w:r>
      <w:r w:rsidR="00DB616B" w:rsidRPr="00515061">
        <w:rPr>
          <w:rFonts w:ascii="Times New Roman" w:hAnsi="Times New Roman" w:cs="Times New Roman"/>
          <w:sz w:val="24"/>
          <w:szCs w:val="24"/>
        </w:rPr>
        <w:t>ern Basin</w:t>
      </w:r>
      <w:r w:rsidRPr="00515061">
        <w:rPr>
          <w:rFonts w:ascii="Times New Roman" w:hAnsi="Times New Roman" w:cs="Times New Roman"/>
          <w:sz w:val="24"/>
          <w:szCs w:val="24"/>
        </w:rPr>
        <w:t xml:space="preserve"> at </w:t>
      </w:r>
      <w:r w:rsidR="00C64B9F" w:rsidRPr="00515061">
        <w:rPr>
          <w:rFonts w:ascii="Times New Roman" w:hAnsi="Times New Roman" w:cs="Times New Roman"/>
          <w:sz w:val="24"/>
          <w:szCs w:val="24"/>
        </w:rPr>
        <w:t xml:space="preserve">an estimated </w:t>
      </w:r>
      <w:r w:rsidRPr="00515061">
        <w:rPr>
          <w:rFonts w:ascii="Times New Roman" w:hAnsi="Times New Roman" w:cs="Times New Roman"/>
          <w:sz w:val="24"/>
          <w:szCs w:val="24"/>
        </w:rPr>
        <w:t xml:space="preserve">3,468 GL — around 10% or 390 GL less for consumptive use on average a year.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w:t>
      </w:r>
      <w:r w:rsidR="00326BDE" w:rsidRPr="00515061">
        <w:rPr>
          <w:rFonts w:ascii="Times New Roman" w:hAnsi="Times New Roman" w:cs="Times New Roman"/>
          <w:sz w:val="24"/>
          <w:szCs w:val="24"/>
        </w:rPr>
        <w:t>increases, in net terms, the</w:t>
      </w:r>
      <w:r w:rsidR="009F43BB">
        <w:rPr>
          <w:rFonts w:ascii="Times New Roman" w:hAnsi="Times New Roman" w:cs="Times New Roman"/>
          <w:sz w:val="24"/>
          <w:szCs w:val="24"/>
        </w:rPr>
        <w:t xml:space="preserve"> </w:t>
      </w:r>
      <w:r w:rsidR="00326BDE" w:rsidRPr="00515061">
        <w:rPr>
          <w:rFonts w:ascii="Times New Roman" w:hAnsi="Times New Roman" w:cs="Times New Roman"/>
          <w:sz w:val="24"/>
          <w:szCs w:val="24"/>
        </w:rPr>
        <w:t xml:space="preserve">SDLs in the northern Basin and </w:t>
      </w:r>
      <w:r w:rsidRPr="00515061">
        <w:rPr>
          <w:rFonts w:ascii="Times New Roman" w:hAnsi="Times New Roman" w:cs="Times New Roman"/>
          <w:sz w:val="24"/>
          <w:szCs w:val="24"/>
        </w:rPr>
        <w:t>changes the reduction amount for the northern Basin SDLs from 390 GL a year to 320 GL a year</w:t>
      </w:r>
      <w:r w:rsidR="006445EB">
        <w:rPr>
          <w:rFonts w:ascii="Times New Roman" w:hAnsi="Times New Roman" w:cs="Times New Roman"/>
          <w:sz w:val="24"/>
          <w:szCs w:val="24"/>
        </w:rPr>
        <w:t xml:space="preserve">. </w:t>
      </w:r>
      <w:r w:rsidR="00C57A6A" w:rsidRPr="00515061">
        <w:rPr>
          <w:rFonts w:ascii="Times New Roman" w:hAnsi="Times New Roman" w:cs="Times New Roman"/>
          <w:sz w:val="24"/>
          <w:szCs w:val="24"/>
        </w:rPr>
        <w:t xml:space="preserve">The Authority is satisfied that this change represents an environmentally sustainable level of take and strikes the best balance in ensuring healthy river systems while </w:t>
      </w:r>
      <w:r w:rsidR="00102662" w:rsidRPr="00515061">
        <w:rPr>
          <w:rFonts w:ascii="Times New Roman" w:hAnsi="Times New Roman" w:cs="Times New Roman"/>
          <w:sz w:val="24"/>
          <w:szCs w:val="24"/>
        </w:rPr>
        <w:t>minimis</w:t>
      </w:r>
      <w:r w:rsidR="00C57A6A" w:rsidRPr="00515061">
        <w:rPr>
          <w:rFonts w:ascii="Times New Roman" w:hAnsi="Times New Roman" w:cs="Times New Roman"/>
          <w:sz w:val="24"/>
          <w:szCs w:val="24"/>
        </w:rPr>
        <w:t xml:space="preserve">ing the impacts on communities. </w:t>
      </w:r>
      <w:r w:rsidR="006E54E5" w:rsidRPr="00515061">
        <w:rPr>
          <w:rFonts w:ascii="Times New Roman" w:hAnsi="Times New Roman" w:cs="Times New Roman"/>
          <w:b/>
          <w:sz w:val="24"/>
          <w:szCs w:val="24"/>
        </w:rPr>
        <w:t>Item 15</w:t>
      </w:r>
      <w:r w:rsidR="006E54E5" w:rsidRPr="00515061">
        <w:rPr>
          <w:rFonts w:ascii="Times New Roman" w:hAnsi="Times New Roman" w:cs="Times New Roman"/>
          <w:sz w:val="24"/>
          <w:szCs w:val="24"/>
        </w:rPr>
        <w:t xml:space="preserve"> includes a note</w:t>
      </w:r>
      <w:r w:rsidRPr="00515061">
        <w:rPr>
          <w:rFonts w:ascii="Times New Roman" w:hAnsi="Times New Roman" w:cs="Times New Roman"/>
          <w:sz w:val="24"/>
          <w:szCs w:val="24"/>
        </w:rPr>
        <w:t xml:space="preserve"> at subsection 6.04(3) of the Basin Plan that states this change in the reduction amou</w:t>
      </w:r>
      <w:r w:rsidR="006E54E5" w:rsidRPr="00515061">
        <w:rPr>
          <w:rFonts w:ascii="Times New Roman" w:hAnsi="Times New Roman" w:cs="Times New Roman"/>
          <w:sz w:val="24"/>
          <w:szCs w:val="24"/>
        </w:rPr>
        <w:t>nt for the northern Basin SDLs</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6E54E5"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14</w:t>
      </w:r>
      <w:r w:rsidRPr="00515061">
        <w:rPr>
          <w:rFonts w:ascii="Times New Roman" w:hAnsi="Times New Roman" w:cs="Times New Roman"/>
          <w:sz w:val="24"/>
          <w:szCs w:val="24"/>
        </w:rPr>
        <w:t xml:space="preserve"> of t</w:t>
      </w:r>
      <w:r w:rsidR="008A58FE" w:rsidRPr="00515061">
        <w:rPr>
          <w:rFonts w:ascii="Times New Roman" w:hAnsi="Times New Roman" w:cs="Times New Roman"/>
          <w:sz w:val="24"/>
          <w:szCs w:val="24"/>
        </w:rPr>
        <w:t xml:space="preserve">he Amendment Instrument also updates the note at subsection 6.04(2) to reflect this change </w:t>
      </w:r>
      <w:r w:rsidR="004F6C0D" w:rsidRPr="00515061">
        <w:rPr>
          <w:rFonts w:ascii="Times New Roman" w:hAnsi="Times New Roman" w:cs="Times New Roman"/>
          <w:sz w:val="24"/>
          <w:szCs w:val="24"/>
        </w:rPr>
        <w:t xml:space="preserve">to the northern Basin SDLs </w:t>
      </w:r>
      <w:r w:rsidR="008A58FE" w:rsidRPr="00515061">
        <w:rPr>
          <w:rFonts w:ascii="Times New Roman" w:hAnsi="Times New Roman" w:cs="Times New Roman"/>
          <w:sz w:val="24"/>
          <w:szCs w:val="24"/>
        </w:rPr>
        <w:t xml:space="preserve">at a </w:t>
      </w:r>
      <w:r w:rsidR="003D0B5A" w:rsidRPr="00515061">
        <w:rPr>
          <w:rFonts w:ascii="Times New Roman" w:hAnsi="Times New Roman" w:cs="Times New Roman"/>
          <w:sz w:val="24"/>
          <w:szCs w:val="24"/>
        </w:rPr>
        <w:t>B</w:t>
      </w:r>
      <w:r w:rsidR="008A58FE" w:rsidRPr="00515061">
        <w:rPr>
          <w:rFonts w:ascii="Times New Roman" w:hAnsi="Times New Roman" w:cs="Times New Roman"/>
          <w:sz w:val="24"/>
          <w:szCs w:val="24"/>
        </w:rPr>
        <w:t>asin-wide level</w:t>
      </w:r>
      <w:r w:rsidR="001A21FE" w:rsidRPr="00515061">
        <w:rPr>
          <w:rFonts w:ascii="Times New Roman" w:hAnsi="Times New Roman" w:cs="Times New Roman"/>
          <w:sz w:val="24"/>
          <w:szCs w:val="24"/>
        </w:rPr>
        <w:t xml:space="preserve"> and the increase in the estimate of the baseline diversion limit for the Australian Capital Territory</w:t>
      </w:r>
      <w:r w:rsidR="003F42B2" w:rsidRPr="00515061">
        <w:rPr>
          <w:rFonts w:ascii="Times New Roman" w:hAnsi="Times New Roman" w:cs="Times New Roman"/>
          <w:sz w:val="24"/>
          <w:szCs w:val="24"/>
        </w:rPr>
        <w:t xml:space="preserve"> (ACT)</w:t>
      </w:r>
      <w:r w:rsidR="001A21FE" w:rsidRPr="00515061">
        <w:rPr>
          <w:rFonts w:ascii="Times New Roman" w:hAnsi="Times New Roman" w:cs="Times New Roman"/>
          <w:sz w:val="24"/>
          <w:szCs w:val="24"/>
        </w:rPr>
        <w:t xml:space="preserve">, as discussed below in </w:t>
      </w:r>
      <w:r w:rsidR="00326BDE" w:rsidRPr="00515061">
        <w:rPr>
          <w:rFonts w:ascii="Times New Roman" w:hAnsi="Times New Roman" w:cs="Times New Roman"/>
          <w:b/>
          <w:sz w:val="24"/>
          <w:szCs w:val="24"/>
        </w:rPr>
        <w:t>item </w:t>
      </w:r>
      <w:r w:rsidR="001A21FE" w:rsidRPr="00515061">
        <w:rPr>
          <w:rFonts w:ascii="Times New Roman" w:hAnsi="Times New Roman" w:cs="Times New Roman"/>
          <w:b/>
          <w:sz w:val="24"/>
          <w:szCs w:val="24"/>
        </w:rPr>
        <w:t>9</w:t>
      </w:r>
      <w:r w:rsidR="00577485">
        <w:rPr>
          <w:rFonts w:ascii="Times New Roman" w:hAnsi="Times New Roman" w:cs="Times New Roman"/>
          <w:b/>
          <w:sz w:val="24"/>
          <w:szCs w:val="24"/>
        </w:rPr>
        <w:t>4</w:t>
      </w:r>
      <w:r w:rsidR="008A58FE" w:rsidRPr="00515061">
        <w:rPr>
          <w:rFonts w:ascii="Times New Roman" w:hAnsi="Times New Roman" w:cs="Times New Roman"/>
          <w:sz w:val="24"/>
          <w:szCs w:val="24"/>
        </w:rPr>
        <w:t xml:space="preserve">. The note now states that the Authority </w:t>
      </w:r>
      <w:r w:rsidR="006445EB">
        <w:rPr>
          <w:rFonts w:ascii="Times New Roman" w:hAnsi="Times New Roman" w:cs="Times New Roman"/>
          <w:sz w:val="24"/>
          <w:szCs w:val="24"/>
        </w:rPr>
        <w:t xml:space="preserve">had </w:t>
      </w:r>
      <w:r w:rsidR="008A58FE" w:rsidRPr="00515061">
        <w:rPr>
          <w:rFonts w:ascii="Times New Roman" w:hAnsi="Times New Roman" w:cs="Times New Roman"/>
          <w:sz w:val="24"/>
          <w:szCs w:val="24"/>
        </w:rPr>
        <w:t>estimate</w:t>
      </w:r>
      <w:r w:rsidR="006445EB">
        <w:rPr>
          <w:rFonts w:ascii="Times New Roman" w:hAnsi="Times New Roman" w:cs="Times New Roman"/>
          <w:sz w:val="24"/>
          <w:szCs w:val="24"/>
        </w:rPr>
        <w:t>d, as at 14 November 2017,</w:t>
      </w:r>
      <w:r w:rsidR="008A58FE" w:rsidRPr="00515061">
        <w:rPr>
          <w:rFonts w:ascii="Times New Roman" w:hAnsi="Times New Roman" w:cs="Times New Roman"/>
          <w:sz w:val="24"/>
          <w:szCs w:val="24"/>
        </w:rPr>
        <w:t xml:space="preserve"> the long-term average </w:t>
      </w:r>
      <w:r w:rsidR="00916136" w:rsidRPr="00515061">
        <w:rPr>
          <w:rFonts w:ascii="Times New Roman" w:hAnsi="Times New Roman" w:cs="Times New Roman"/>
          <w:sz w:val="24"/>
          <w:szCs w:val="24"/>
        </w:rPr>
        <w:t>SDL</w:t>
      </w:r>
      <w:r w:rsidR="008A58FE" w:rsidRPr="00515061">
        <w:rPr>
          <w:rFonts w:ascii="Times New Roman" w:hAnsi="Times New Roman" w:cs="Times New Roman"/>
          <w:sz w:val="24"/>
          <w:szCs w:val="24"/>
        </w:rPr>
        <w:t xml:space="preserve"> for all surface water SDL resource units to be 10,945 GL per year, which reflects a reduction of 2,680 GL per year from the Authority’s estimate o</w:t>
      </w:r>
      <w:r w:rsidR="00B65FE9" w:rsidRPr="00515061">
        <w:rPr>
          <w:rFonts w:ascii="Times New Roman" w:hAnsi="Times New Roman" w:cs="Times New Roman"/>
          <w:sz w:val="24"/>
          <w:szCs w:val="24"/>
        </w:rPr>
        <w:t>f the baseline diversion limit.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Basin Plan divides </w:t>
      </w:r>
      <w:r w:rsidR="00916136" w:rsidRPr="00515061">
        <w:rPr>
          <w:rFonts w:ascii="Times New Roman" w:hAnsi="Times New Roman" w:cs="Times New Roman"/>
          <w:sz w:val="24"/>
          <w:szCs w:val="24"/>
        </w:rPr>
        <w:t xml:space="preserve">the </w:t>
      </w:r>
      <w:r w:rsidRPr="00515061">
        <w:rPr>
          <w:rFonts w:ascii="Times New Roman" w:hAnsi="Times New Roman" w:cs="Times New Roman"/>
          <w:sz w:val="24"/>
          <w:szCs w:val="24"/>
        </w:rPr>
        <w:t xml:space="preserve">320 GL reduction amount for the northern Basin into a volume to meet local environmental needs </w:t>
      </w:r>
      <w:r w:rsidR="001A21FE" w:rsidRPr="00515061">
        <w:rPr>
          <w:rFonts w:ascii="Times New Roman" w:hAnsi="Times New Roman" w:cs="Times New Roman"/>
          <w:sz w:val="24"/>
          <w:szCs w:val="24"/>
        </w:rPr>
        <w:t xml:space="preserve">(the local reduction amount) </w:t>
      </w:r>
      <w:r w:rsidRPr="00515061">
        <w:rPr>
          <w:rFonts w:ascii="Times New Roman" w:hAnsi="Times New Roman" w:cs="Times New Roman"/>
          <w:sz w:val="24"/>
          <w:szCs w:val="24"/>
        </w:rPr>
        <w:t xml:space="preserve">and a volume that contributes to a shared reduction amount to meet the environmental needs of the Barwon–Darling River.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F24725" w:rsidRDefault="00F24725" w:rsidP="00511B9B">
      <w:pPr>
        <w:tabs>
          <w:tab w:val="right" w:pos="9072"/>
        </w:tabs>
        <w:spacing w:after="0" w:line="240" w:lineRule="auto"/>
        <w:rPr>
          <w:rFonts w:ascii="Times New Roman" w:hAnsi="Times New Roman" w:cs="Times New Roman"/>
          <w:bCs/>
          <w:sz w:val="24"/>
          <w:szCs w:val="24"/>
          <w:u w:val="single"/>
        </w:rPr>
      </w:pPr>
      <w:bookmarkStart w:id="4" w:name="_Toc466982392"/>
    </w:p>
    <w:p w:rsidR="00F24725" w:rsidRDefault="00F24725"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r w:rsidRPr="00515061">
        <w:rPr>
          <w:rFonts w:ascii="Times New Roman" w:hAnsi="Times New Roman" w:cs="Times New Roman"/>
          <w:bCs/>
          <w:sz w:val="24"/>
          <w:szCs w:val="24"/>
          <w:u w:val="single"/>
        </w:rPr>
        <w:t>Changes to surface water SDL resource unit local reduction amounts</w:t>
      </w:r>
      <w:bookmarkEnd w:id="3"/>
      <w:bookmarkEnd w:id="4"/>
    </w:p>
    <w:p w:rsidR="0009187A" w:rsidRPr="00515061" w:rsidRDefault="0009187A"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sets out various changes to Schedule 2 (Matters relating to surface water SDL resource units) of the Basin Plan, which sets out the long-term average SDLs for all surface water SDL resource units in the Murray</w:t>
      </w:r>
      <w:r w:rsidR="002B42B9" w:rsidRPr="00515061">
        <w:rPr>
          <w:rFonts w:ascii="Times New Roman" w:hAnsi="Times New Roman" w:cs="Times New Roman"/>
          <w:sz w:val="24"/>
          <w:szCs w:val="24"/>
        </w:rPr>
        <w:t>-</w:t>
      </w:r>
      <w:r w:rsidRPr="00515061">
        <w:rPr>
          <w:rFonts w:ascii="Times New Roman" w:hAnsi="Times New Roman" w:cs="Times New Roman"/>
          <w:sz w:val="24"/>
          <w:szCs w:val="24"/>
        </w:rPr>
        <w:t xml:space="preserve">Darling Basin. The Amendment Instrument changes the local reduction amount specified in Schedule 2 for several northern Basin SDL resource units (see </w:t>
      </w:r>
      <w:r w:rsidR="006E54E5" w:rsidRPr="00515061">
        <w:rPr>
          <w:rFonts w:ascii="Times New Roman" w:hAnsi="Times New Roman" w:cs="Times New Roman"/>
          <w:b/>
          <w:sz w:val="24"/>
          <w:szCs w:val="24"/>
        </w:rPr>
        <w:t xml:space="preserve">items </w:t>
      </w:r>
      <w:r w:rsidR="00577485" w:rsidRPr="00515061">
        <w:rPr>
          <w:rFonts w:ascii="Times New Roman" w:hAnsi="Times New Roman" w:cs="Times New Roman"/>
          <w:b/>
          <w:sz w:val="24"/>
          <w:szCs w:val="24"/>
        </w:rPr>
        <w:t>7</w:t>
      </w:r>
      <w:r w:rsidR="00577485">
        <w:rPr>
          <w:rFonts w:ascii="Times New Roman" w:hAnsi="Times New Roman" w:cs="Times New Roman"/>
          <w:b/>
          <w:sz w:val="24"/>
          <w:szCs w:val="24"/>
        </w:rPr>
        <w:t>4</w:t>
      </w:r>
      <w:r w:rsidRPr="00515061">
        <w:rPr>
          <w:rFonts w:ascii="Times New Roman" w:hAnsi="Times New Roman" w:cs="Times New Roman"/>
          <w:b/>
          <w:sz w:val="24"/>
          <w:szCs w:val="24"/>
        </w:rPr>
        <w:t>, 7</w:t>
      </w:r>
      <w:r w:rsidR="00577485">
        <w:rPr>
          <w:rFonts w:ascii="Times New Roman" w:hAnsi="Times New Roman" w:cs="Times New Roman"/>
          <w:b/>
          <w:sz w:val="24"/>
          <w:szCs w:val="24"/>
        </w:rPr>
        <w:t>6</w:t>
      </w:r>
      <w:r w:rsidRPr="00515061">
        <w:rPr>
          <w:rFonts w:ascii="Times New Roman" w:hAnsi="Times New Roman" w:cs="Times New Roman"/>
          <w:b/>
          <w:sz w:val="24"/>
          <w:szCs w:val="24"/>
        </w:rPr>
        <w:t>, 7</w:t>
      </w:r>
      <w:r w:rsidR="00577485">
        <w:rPr>
          <w:rFonts w:ascii="Times New Roman" w:hAnsi="Times New Roman" w:cs="Times New Roman"/>
          <w:b/>
          <w:sz w:val="24"/>
          <w:szCs w:val="24"/>
        </w:rPr>
        <w:t>9</w:t>
      </w:r>
      <w:r w:rsidRPr="00515061">
        <w:rPr>
          <w:rFonts w:ascii="Times New Roman" w:hAnsi="Times New Roman" w:cs="Times New Roman"/>
          <w:b/>
          <w:sz w:val="24"/>
          <w:szCs w:val="24"/>
        </w:rPr>
        <w:t xml:space="preserve"> and </w:t>
      </w:r>
      <w:r w:rsidR="00577485">
        <w:rPr>
          <w:rFonts w:ascii="Times New Roman" w:hAnsi="Times New Roman" w:cs="Times New Roman"/>
          <w:b/>
          <w:sz w:val="24"/>
          <w:szCs w:val="24"/>
        </w:rPr>
        <w:t>80</w:t>
      </w:r>
      <w:r w:rsidR="00742C55" w:rsidRPr="00515061">
        <w:rPr>
          <w:rFonts w:ascii="Times New Roman" w:hAnsi="Times New Roman" w:cs="Times New Roman"/>
          <w:sz w:val="24"/>
          <w:szCs w:val="24"/>
        </w:rPr>
        <w:t>)</w:t>
      </w:r>
      <w:r w:rsidRPr="00515061">
        <w:rPr>
          <w:rFonts w:ascii="Times New Roman" w:hAnsi="Times New Roman" w:cs="Times New Roman"/>
          <w:sz w:val="24"/>
          <w:szCs w:val="24"/>
        </w:rPr>
        <w:t>.</w:t>
      </w:r>
      <w:r w:rsidR="006445EB">
        <w:rPr>
          <w:rFonts w:ascii="Times New Roman" w:hAnsi="Times New Roman" w:cs="Times New Roman"/>
          <w:sz w:val="24"/>
          <w:szCs w:val="24"/>
        </w:rPr>
        <w:t xml:space="preserve"> Following the amendments to the Basin Plan</w:t>
      </w:r>
      <w:r w:rsidRPr="00515061">
        <w:rPr>
          <w:rFonts w:ascii="Times New Roman" w:hAnsi="Times New Roman" w:cs="Times New Roman"/>
          <w:sz w:val="24"/>
          <w:szCs w:val="24"/>
        </w:rPr>
        <w:t xml:space="preserve"> </w:t>
      </w:r>
      <w:r w:rsidR="006445EB">
        <w:rPr>
          <w:rFonts w:ascii="Times New Roman" w:hAnsi="Times New Roman" w:cs="Times New Roman"/>
          <w:sz w:val="24"/>
          <w:szCs w:val="24"/>
        </w:rPr>
        <w:t xml:space="preserve">made by the </w:t>
      </w:r>
      <w:r w:rsidR="006445EB" w:rsidRPr="009F43BB">
        <w:rPr>
          <w:rFonts w:ascii="Times New Roman" w:hAnsi="Times New Roman" w:cs="Times New Roman"/>
          <w:i/>
          <w:sz w:val="24"/>
          <w:szCs w:val="24"/>
        </w:rPr>
        <w:t xml:space="preserve">Basin Plan </w:t>
      </w:r>
      <w:r w:rsidR="006445EB">
        <w:rPr>
          <w:rFonts w:ascii="Times New Roman" w:hAnsi="Times New Roman" w:cs="Times New Roman"/>
          <w:i/>
          <w:sz w:val="24"/>
          <w:szCs w:val="24"/>
        </w:rPr>
        <w:t>Amendment (</w:t>
      </w:r>
      <w:r w:rsidR="006445EB" w:rsidRPr="009F43BB">
        <w:rPr>
          <w:rFonts w:ascii="Times New Roman" w:hAnsi="Times New Roman" w:cs="Times New Roman"/>
          <w:i/>
          <w:sz w:val="24"/>
          <w:szCs w:val="24"/>
        </w:rPr>
        <w:t>SDL Adjustment</w:t>
      </w:r>
      <w:r w:rsidR="006445EB">
        <w:rPr>
          <w:rFonts w:ascii="Times New Roman" w:hAnsi="Times New Roman" w:cs="Times New Roman"/>
          <w:i/>
          <w:sz w:val="24"/>
          <w:szCs w:val="24"/>
        </w:rPr>
        <w:t>s)</w:t>
      </w:r>
      <w:r w:rsidR="006445EB" w:rsidRPr="009F43BB">
        <w:rPr>
          <w:rFonts w:ascii="Times New Roman" w:hAnsi="Times New Roman" w:cs="Times New Roman"/>
          <w:i/>
          <w:sz w:val="24"/>
          <w:szCs w:val="24"/>
        </w:rPr>
        <w:t xml:space="preserve"> Instrument 2017</w:t>
      </w:r>
      <w:r w:rsidR="006445EB">
        <w:rPr>
          <w:rFonts w:ascii="Times New Roman" w:hAnsi="Times New Roman" w:cs="Times New Roman"/>
          <w:sz w:val="24"/>
          <w:szCs w:val="24"/>
        </w:rPr>
        <w:t>, the SDL adjustment amount has been added to the formula for calculating SDL</w:t>
      </w:r>
      <w:r w:rsidR="009F43BB">
        <w:rPr>
          <w:rFonts w:ascii="Times New Roman" w:hAnsi="Times New Roman" w:cs="Times New Roman"/>
          <w:sz w:val="24"/>
          <w:szCs w:val="24"/>
        </w:rPr>
        <w:t>s</w:t>
      </w:r>
      <w:r w:rsidR="006445EB">
        <w:rPr>
          <w:rFonts w:ascii="Times New Roman" w:hAnsi="Times New Roman" w:cs="Times New Roman"/>
          <w:sz w:val="24"/>
          <w:szCs w:val="24"/>
        </w:rPr>
        <w:t xml:space="preserve"> in these previously mentioned items. </w:t>
      </w:r>
      <w:r w:rsidRPr="00515061">
        <w:rPr>
          <w:rFonts w:ascii="Times New Roman" w:hAnsi="Times New Roman" w:cs="Times New Roman"/>
          <w:sz w:val="24"/>
          <w:szCs w:val="24"/>
        </w:rPr>
        <w:t xml:space="preserve">Table 1 (below) </w:t>
      </w:r>
      <w:r w:rsidR="00D1040B" w:rsidRPr="00515061">
        <w:rPr>
          <w:rFonts w:ascii="Times New Roman" w:hAnsi="Times New Roman" w:cs="Times New Roman"/>
          <w:sz w:val="24"/>
          <w:szCs w:val="24"/>
        </w:rPr>
        <w:t>sets out the previous</w:t>
      </w:r>
      <w:r w:rsidRPr="00515061">
        <w:rPr>
          <w:rFonts w:ascii="Times New Roman" w:hAnsi="Times New Roman" w:cs="Times New Roman"/>
          <w:sz w:val="24"/>
          <w:szCs w:val="24"/>
        </w:rPr>
        <w:t xml:space="preserve"> local </w:t>
      </w:r>
      <w:r w:rsidR="00D1040B" w:rsidRPr="00515061">
        <w:rPr>
          <w:rFonts w:ascii="Times New Roman" w:hAnsi="Times New Roman" w:cs="Times New Roman"/>
          <w:sz w:val="24"/>
          <w:szCs w:val="24"/>
        </w:rPr>
        <w:t xml:space="preserve">and shared </w:t>
      </w:r>
      <w:r w:rsidRPr="00515061">
        <w:rPr>
          <w:rFonts w:ascii="Times New Roman" w:hAnsi="Times New Roman" w:cs="Times New Roman"/>
          <w:sz w:val="24"/>
          <w:szCs w:val="24"/>
        </w:rPr>
        <w:t xml:space="preserve">reduction amounts, and the </w:t>
      </w:r>
      <w:r w:rsidR="00D1040B" w:rsidRPr="00515061">
        <w:rPr>
          <w:rFonts w:ascii="Times New Roman" w:hAnsi="Times New Roman" w:cs="Times New Roman"/>
          <w:sz w:val="24"/>
          <w:szCs w:val="24"/>
        </w:rPr>
        <w:t xml:space="preserve">current </w:t>
      </w:r>
      <w:r w:rsidRPr="00515061">
        <w:rPr>
          <w:rFonts w:ascii="Times New Roman" w:hAnsi="Times New Roman" w:cs="Times New Roman"/>
          <w:sz w:val="24"/>
          <w:szCs w:val="24"/>
        </w:rPr>
        <w:t xml:space="preserve">local </w:t>
      </w:r>
      <w:r w:rsidR="00D1040B" w:rsidRPr="00515061">
        <w:rPr>
          <w:rFonts w:ascii="Times New Roman" w:hAnsi="Times New Roman" w:cs="Times New Roman"/>
          <w:sz w:val="24"/>
          <w:szCs w:val="24"/>
        </w:rPr>
        <w:t xml:space="preserve">and shared </w:t>
      </w:r>
      <w:r w:rsidRPr="00515061">
        <w:rPr>
          <w:rFonts w:ascii="Times New Roman" w:hAnsi="Times New Roman" w:cs="Times New Roman"/>
          <w:sz w:val="24"/>
          <w:szCs w:val="24"/>
        </w:rPr>
        <w:t>reduction amounts in the Amendment Instrument for all northern Basin su</w:t>
      </w:r>
      <w:r w:rsidR="004F6C0D" w:rsidRPr="00515061">
        <w:rPr>
          <w:rFonts w:ascii="Times New Roman" w:hAnsi="Times New Roman" w:cs="Times New Roman"/>
          <w:sz w:val="24"/>
          <w:szCs w:val="24"/>
        </w:rPr>
        <w:t xml:space="preserve">rface water SDL resource units. </w:t>
      </w:r>
    </w:p>
    <w:p w:rsidR="004F6C0D" w:rsidRPr="00515061" w:rsidRDefault="004F6C0D"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Table 1</w:t>
      </w:r>
      <w:r w:rsidR="0009187A" w:rsidRPr="00515061">
        <w:rPr>
          <w:rFonts w:ascii="Times New Roman" w:hAnsi="Times New Roman" w:cs="Times New Roman"/>
          <w:b/>
          <w:bCs/>
          <w:sz w:val="24"/>
          <w:szCs w:val="24"/>
        </w:rPr>
        <w:t>:</w:t>
      </w:r>
      <w:r w:rsidRPr="00515061">
        <w:rPr>
          <w:rFonts w:ascii="Times New Roman" w:hAnsi="Times New Roman" w:cs="Times New Roman"/>
          <w:b/>
          <w:bCs/>
          <w:sz w:val="24"/>
          <w:szCs w:val="24"/>
        </w:rPr>
        <w:t xml:space="preserve"> </w:t>
      </w:r>
      <w:r w:rsidR="004233E0" w:rsidRPr="00515061">
        <w:rPr>
          <w:rFonts w:ascii="Times New Roman" w:hAnsi="Times New Roman" w:cs="Times New Roman"/>
          <w:b/>
          <w:bCs/>
          <w:sz w:val="24"/>
          <w:szCs w:val="24"/>
        </w:rPr>
        <w:t>C</w:t>
      </w:r>
      <w:r w:rsidRPr="00515061">
        <w:rPr>
          <w:rFonts w:ascii="Times New Roman" w:hAnsi="Times New Roman" w:cs="Times New Roman"/>
          <w:b/>
          <w:bCs/>
          <w:sz w:val="24"/>
          <w:szCs w:val="24"/>
        </w:rPr>
        <w:t xml:space="preserve">hanges to the </w:t>
      </w:r>
      <w:r w:rsidR="00BC5347" w:rsidRPr="00515061">
        <w:rPr>
          <w:rFonts w:ascii="Times New Roman" w:hAnsi="Times New Roman" w:cs="Times New Roman"/>
          <w:b/>
          <w:bCs/>
          <w:sz w:val="24"/>
          <w:szCs w:val="24"/>
        </w:rPr>
        <w:t>local and shared reduction amounts</w:t>
      </w:r>
      <w:r w:rsidRPr="00515061">
        <w:rPr>
          <w:rFonts w:ascii="Times New Roman" w:hAnsi="Times New Roman" w:cs="Times New Roman"/>
          <w:b/>
          <w:bCs/>
          <w:sz w:val="24"/>
          <w:szCs w:val="24"/>
        </w:rPr>
        <w:t xml:space="preserve"> for northern Basin surface water SDL resource units</w:t>
      </w:r>
    </w:p>
    <w:p w:rsidR="003755DC" w:rsidRPr="00515061" w:rsidRDefault="003755DC" w:rsidP="00511B9B">
      <w:pPr>
        <w:tabs>
          <w:tab w:val="right" w:pos="9072"/>
        </w:tabs>
        <w:spacing w:after="0" w:line="240" w:lineRule="auto"/>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the proposed changes to the long-term sustainable diversion limits in  Queensland and NSW"/>
      </w:tblPr>
      <w:tblGrid>
        <w:gridCol w:w="1203"/>
        <w:gridCol w:w="3608"/>
        <w:gridCol w:w="2287"/>
        <w:gridCol w:w="1963"/>
      </w:tblGrid>
      <w:tr w:rsidR="006B4584" w:rsidRPr="00515061" w:rsidTr="004233E0">
        <w:trPr>
          <w:jc w:val="center"/>
        </w:trPr>
        <w:tc>
          <w:tcPr>
            <w:tcW w:w="4669" w:type="dxa"/>
            <w:gridSpan w:val="2"/>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Sustainable diversion limit resource unit</w:t>
            </w:r>
          </w:p>
        </w:tc>
        <w:tc>
          <w:tcPr>
            <w:tcW w:w="2356" w:type="dxa"/>
            <w:shd w:val="clear" w:color="auto" w:fill="DDD9C3" w:themeFill="background2" w:themeFillShade="E6"/>
            <w:vAlign w:val="center"/>
          </w:tcPr>
          <w:p w:rsidR="008A58FE"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Previous</w:t>
            </w:r>
            <w:r w:rsidR="008A58FE" w:rsidRPr="00515061">
              <w:rPr>
                <w:rFonts w:ascii="Times New Roman" w:hAnsi="Times New Roman" w:cs="Times New Roman"/>
                <w:b/>
                <w:sz w:val="24"/>
                <w:szCs w:val="24"/>
              </w:rPr>
              <w:br/>
              <w:t>(in GL per year)</w:t>
            </w:r>
          </w:p>
        </w:tc>
        <w:tc>
          <w:tcPr>
            <w:tcW w:w="2036" w:type="dxa"/>
            <w:shd w:val="clear" w:color="auto" w:fill="DDD9C3" w:themeFill="background2" w:themeFillShade="E6"/>
            <w:vAlign w:val="center"/>
          </w:tcPr>
          <w:p w:rsidR="008A58FE"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Current</w:t>
            </w:r>
            <w:r w:rsidR="008A58FE" w:rsidRPr="00515061">
              <w:rPr>
                <w:rFonts w:ascii="Times New Roman" w:hAnsi="Times New Roman" w:cs="Times New Roman"/>
                <w:b/>
                <w:sz w:val="24"/>
                <w:szCs w:val="24"/>
              </w:rPr>
              <w:br/>
              <w:t>(in GL per year)</w:t>
            </w:r>
          </w:p>
        </w:tc>
      </w:tr>
      <w:tr w:rsidR="006B4584" w:rsidRPr="00515061" w:rsidTr="002C0EC6">
        <w:trPr>
          <w:jc w:val="center"/>
        </w:trPr>
        <w:tc>
          <w:tcPr>
            <w:tcW w:w="920" w:type="dxa"/>
            <w:vMerge w:val="restart"/>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QLD</w:t>
            </w:r>
            <w:r w:rsidR="006B4584" w:rsidRPr="00515061">
              <w:rPr>
                <w:rFonts w:ascii="Times New Roman" w:hAnsi="Times New Roman" w:cs="Times New Roman"/>
                <w:b/>
                <w:sz w:val="24"/>
                <w:szCs w:val="24"/>
              </w:rPr>
              <w:t xml:space="preserve"> local reduction amounts</w:t>
            </w: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Paroo (SS29)</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Warrego (SS28)</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8</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8</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Nebine (SS27)</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Condamine</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Balonne (SS26)</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100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100</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Moonie (SS25)</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r>
      <w:tr w:rsidR="006B4584" w:rsidRPr="00515061" w:rsidTr="003755DC">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Borders>
              <w:bottom w:val="single" w:sz="4" w:space="0" w:color="auto"/>
            </w:tcBorders>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Queensland Border Rivers (SS24)</w:t>
            </w:r>
          </w:p>
        </w:tc>
        <w:tc>
          <w:tcPr>
            <w:tcW w:w="2466"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8</w:t>
            </w:r>
          </w:p>
        </w:tc>
        <w:tc>
          <w:tcPr>
            <w:tcW w:w="2109"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14</w:t>
            </w:r>
          </w:p>
        </w:tc>
      </w:tr>
      <w:tr w:rsidR="006B4584" w:rsidRPr="00515061" w:rsidTr="003755DC">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shd w:val="clear" w:color="auto" w:fill="DDD9C3" w:themeFill="background2" w:themeFillShade="E6"/>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Queensland total local reduction</w:t>
            </w:r>
          </w:p>
        </w:tc>
        <w:tc>
          <w:tcPr>
            <w:tcW w:w="2466" w:type="dxa"/>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117</w:t>
            </w:r>
          </w:p>
        </w:tc>
        <w:tc>
          <w:tcPr>
            <w:tcW w:w="2109" w:type="dxa"/>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123</w:t>
            </w:r>
          </w:p>
        </w:tc>
      </w:tr>
      <w:tr w:rsidR="006B4584" w:rsidRPr="00515061" w:rsidTr="002C0EC6">
        <w:trPr>
          <w:jc w:val="center"/>
        </w:trPr>
        <w:tc>
          <w:tcPr>
            <w:tcW w:w="920" w:type="dxa"/>
            <w:vMerge w:val="restart"/>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NSW</w:t>
            </w:r>
            <w:r w:rsidR="006B4584" w:rsidRPr="00515061">
              <w:rPr>
                <w:rFonts w:ascii="Times New Roman" w:hAnsi="Times New Roman" w:cs="Times New Roman"/>
                <w:b/>
                <w:sz w:val="24"/>
                <w:szCs w:val="24"/>
              </w:rPr>
              <w:t xml:space="preserve"> local reduction amounts</w:t>
            </w: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Intersecting Streams (SS17)</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Barwon</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Watercourse (SS19)</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6</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32</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NSW Border Rivers (SS23)</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7</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7</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Gwydir (SS22)</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42</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42</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Namoi (SS21)</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20</w:t>
            </w:r>
          </w:p>
        </w:tc>
      </w:tr>
      <w:tr w:rsidR="006B4584" w:rsidRPr="00515061" w:rsidTr="00253AB7">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Borders>
              <w:bottom w:val="single" w:sz="4" w:space="0" w:color="auto"/>
            </w:tcBorders>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Macquarie</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Castlereagh (SS20)</w:t>
            </w:r>
          </w:p>
        </w:tc>
        <w:tc>
          <w:tcPr>
            <w:tcW w:w="2466"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65</w:t>
            </w:r>
          </w:p>
        </w:tc>
        <w:tc>
          <w:tcPr>
            <w:tcW w:w="2109"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55</w:t>
            </w:r>
          </w:p>
        </w:tc>
      </w:tr>
      <w:tr w:rsidR="006B4584" w:rsidRPr="00515061" w:rsidTr="00253AB7">
        <w:trPr>
          <w:jc w:val="center"/>
        </w:trPr>
        <w:tc>
          <w:tcPr>
            <w:tcW w:w="920" w:type="dxa"/>
            <w:vMerge/>
            <w:tcBorders>
              <w:bottom w:val="single" w:sz="4" w:space="0" w:color="auto"/>
            </w:tcBorders>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Borders>
              <w:bottom w:val="single" w:sz="4" w:space="0" w:color="auto"/>
            </w:tcBorders>
            <w:shd w:val="clear" w:color="auto" w:fill="DDD9C3" w:themeFill="background2" w:themeFillShade="E6"/>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NSW total local reduction</w:t>
            </w:r>
          </w:p>
        </w:tc>
        <w:tc>
          <w:tcPr>
            <w:tcW w:w="2466" w:type="dxa"/>
            <w:tcBorders>
              <w:bottom w:val="single" w:sz="4" w:space="0" w:color="auto"/>
            </w:tcBorders>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130</w:t>
            </w:r>
          </w:p>
        </w:tc>
        <w:tc>
          <w:tcPr>
            <w:tcW w:w="2109" w:type="dxa"/>
            <w:tcBorders>
              <w:bottom w:val="single" w:sz="4" w:space="0" w:color="auto"/>
            </w:tcBorders>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156</w:t>
            </w:r>
          </w:p>
        </w:tc>
      </w:tr>
      <w:tr w:rsidR="008A58FE" w:rsidRPr="00515061" w:rsidTr="004233E0">
        <w:trPr>
          <w:jc w:val="center"/>
        </w:trPr>
        <w:tc>
          <w:tcPr>
            <w:tcW w:w="4878" w:type="dxa"/>
            <w:gridSpan w:val="2"/>
            <w:tcBorders>
              <w:bottom w:val="single" w:sz="4" w:space="0" w:color="auto"/>
            </w:tcBorders>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total local reduction</w:t>
            </w:r>
          </w:p>
        </w:tc>
        <w:tc>
          <w:tcPr>
            <w:tcW w:w="2466" w:type="dxa"/>
            <w:tcBorders>
              <w:bottom w:val="single" w:sz="4" w:space="0" w:color="auto"/>
            </w:tcBorders>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247</w:t>
            </w:r>
          </w:p>
        </w:tc>
        <w:tc>
          <w:tcPr>
            <w:tcW w:w="2109" w:type="dxa"/>
            <w:tcBorders>
              <w:bottom w:val="single" w:sz="4" w:space="0" w:color="auto"/>
            </w:tcBorders>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279</w:t>
            </w:r>
          </w:p>
        </w:tc>
      </w:tr>
      <w:tr w:rsidR="004233E0" w:rsidRPr="00515061" w:rsidTr="004233E0">
        <w:trPr>
          <w:jc w:val="center"/>
        </w:trPr>
        <w:tc>
          <w:tcPr>
            <w:tcW w:w="4878" w:type="dxa"/>
            <w:gridSpan w:val="2"/>
            <w:shd w:val="clear" w:color="auto" w:fill="auto"/>
            <w:vAlign w:val="center"/>
          </w:tcPr>
          <w:p w:rsidR="004233E0"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QLD zone shared reduction</w:t>
            </w:r>
          </w:p>
        </w:tc>
        <w:tc>
          <w:tcPr>
            <w:tcW w:w="2466" w:type="dxa"/>
            <w:vMerge w:val="restart"/>
            <w:shd w:val="clear" w:color="auto" w:fill="auto"/>
          </w:tcPr>
          <w:p w:rsidR="004233E0" w:rsidRPr="00515061" w:rsidRDefault="004233E0" w:rsidP="004233E0">
            <w:pPr>
              <w:tabs>
                <w:tab w:val="right" w:pos="9072"/>
              </w:tabs>
              <w:spacing w:after="0"/>
              <w:rPr>
                <w:rFonts w:ascii="Times New Roman" w:hAnsi="Times New Roman" w:cs="Times New Roman"/>
                <w:b/>
                <w:bCs/>
                <w:sz w:val="24"/>
                <w:szCs w:val="24"/>
              </w:rPr>
            </w:pPr>
          </w:p>
          <w:p w:rsidR="004233E0" w:rsidRPr="00515061" w:rsidRDefault="004233E0" w:rsidP="004233E0">
            <w:pPr>
              <w:tabs>
                <w:tab w:val="right" w:pos="9072"/>
              </w:tabs>
              <w:spacing w:after="0"/>
              <w:rPr>
                <w:rFonts w:ascii="Times New Roman" w:hAnsi="Times New Roman" w:cs="Times New Roman"/>
                <w:b/>
                <w:bCs/>
                <w:sz w:val="24"/>
                <w:szCs w:val="24"/>
              </w:rPr>
            </w:pPr>
            <w:r w:rsidRPr="00515061">
              <w:rPr>
                <w:rFonts w:ascii="Times New Roman" w:hAnsi="Times New Roman" w:cs="Times New Roman"/>
                <w:b/>
                <w:bCs/>
                <w:sz w:val="24"/>
                <w:szCs w:val="24"/>
              </w:rPr>
              <w:t>143 (the previous Northern Basin zone)</w:t>
            </w:r>
          </w:p>
        </w:tc>
        <w:tc>
          <w:tcPr>
            <w:tcW w:w="2109" w:type="dxa"/>
            <w:shd w:val="clear" w:color="auto" w:fill="auto"/>
            <w:vAlign w:val="center"/>
          </w:tcPr>
          <w:p w:rsidR="004233E0" w:rsidRPr="00515061" w:rsidRDefault="004233E0" w:rsidP="00511B9B">
            <w:pPr>
              <w:tabs>
                <w:tab w:val="right" w:pos="9072"/>
              </w:tabs>
              <w:spacing w:after="0"/>
              <w:rPr>
                <w:rFonts w:ascii="Times New Roman" w:hAnsi="Times New Roman" w:cs="Times New Roman"/>
                <w:b/>
                <w:bCs/>
                <w:sz w:val="24"/>
                <w:szCs w:val="24"/>
              </w:rPr>
            </w:pPr>
            <w:r w:rsidRPr="00515061">
              <w:rPr>
                <w:rFonts w:ascii="Times New Roman" w:hAnsi="Times New Roman" w:cs="Times New Roman"/>
                <w:b/>
                <w:bCs/>
                <w:sz w:val="24"/>
                <w:szCs w:val="24"/>
              </w:rPr>
              <w:t>17</w:t>
            </w:r>
          </w:p>
        </w:tc>
      </w:tr>
      <w:tr w:rsidR="004233E0" w:rsidRPr="00515061" w:rsidTr="004233E0">
        <w:trPr>
          <w:jc w:val="center"/>
        </w:trPr>
        <w:tc>
          <w:tcPr>
            <w:tcW w:w="4669" w:type="dxa"/>
            <w:gridSpan w:val="2"/>
            <w:shd w:val="clear" w:color="auto" w:fill="auto"/>
            <w:vAlign w:val="center"/>
          </w:tcPr>
          <w:p w:rsidR="004233E0"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NSW zone shared reduction</w:t>
            </w:r>
          </w:p>
        </w:tc>
        <w:tc>
          <w:tcPr>
            <w:tcW w:w="2356" w:type="dxa"/>
            <w:vMerge/>
            <w:shd w:val="clear" w:color="auto" w:fill="auto"/>
          </w:tcPr>
          <w:p w:rsidR="004233E0" w:rsidRPr="00515061" w:rsidRDefault="004233E0" w:rsidP="00511B9B">
            <w:pPr>
              <w:tabs>
                <w:tab w:val="right" w:pos="9072"/>
              </w:tabs>
              <w:spacing w:after="0"/>
              <w:rPr>
                <w:rFonts w:ascii="Times New Roman" w:hAnsi="Times New Roman" w:cs="Times New Roman"/>
                <w:b/>
                <w:bCs/>
                <w:sz w:val="24"/>
                <w:szCs w:val="24"/>
              </w:rPr>
            </w:pPr>
          </w:p>
        </w:tc>
        <w:tc>
          <w:tcPr>
            <w:tcW w:w="2036" w:type="dxa"/>
            <w:shd w:val="clear" w:color="auto" w:fill="auto"/>
            <w:vAlign w:val="center"/>
          </w:tcPr>
          <w:p w:rsidR="004233E0" w:rsidRPr="00515061" w:rsidRDefault="004233E0" w:rsidP="00511B9B">
            <w:pPr>
              <w:tabs>
                <w:tab w:val="right" w:pos="9072"/>
              </w:tabs>
              <w:spacing w:after="0"/>
              <w:rPr>
                <w:rFonts w:ascii="Times New Roman" w:hAnsi="Times New Roman" w:cs="Times New Roman"/>
                <w:b/>
                <w:bCs/>
                <w:sz w:val="24"/>
                <w:szCs w:val="24"/>
              </w:rPr>
            </w:pPr>
            <w:r w:rsidRPr="00515061">
              <w:rPr>
                <w:rFonts w:ascii="Times New Roman" w:hAnsi="Times New Roman" w:cs="Times New Roman"/>
                <w:b/>
                <w:bCs/>
                <w:sz w:val="24"/>
                <w:szCs w:val="24"/>
              </w:rPr>
              <w:t>24</w:t>
            </w:r>
          </w:p>
        </w:tc>
      </w:tr>
      <w:tr w:rsidR="006B4584" w:rsidRPr="00515061" w:rsidTr="004233E0">
        <w:trPr>
          <w:jc w:val="center"/>
        </w:trPr>
        <w:tc>
          <w:tcPr>
            <w:tcW w:w="4669" w:type="dxa"/>
            <w:gridSpan w:val="2"/>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total</w:t>
            </w:r>
            <w:r w:rsidRPr="00515061">
              <w:rPr>
                <w:rFonts w:ascii="Times New Roman" w:hAnsi="Times New Roman" w:cs="Times New Roman"/>
                <w:b/>
                <w:bCs/>
                <w:sz w:val="24"/>
                <w:szCs w:val="24"/>
              </w:rPr>
              <w:t xml:space="preserve"> shared reduction</w:t>
            </w:r>
          </w:p>
        </w:tc>
        <w:tc>
          <w:tcPr>
            <w:tcW w:w="2356" w:type="dxa"/>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bCs/>
                <w:sz w:val="24"/>
                <w:szCs w:val="24"/>
              </w:rPr>
              <w:t>143</w:t>
            </w:r>
          </w:p>
        </w:tc>
        <w:tc>
          <w:tcPr>
            <w:tcW w:w="2036" w:type="dxa"/>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bCs/>
                <w:sz w:val="24"/>
                <w:szCs w:val="24"/>
              </w:rPr>
              <w:t>41</w:t>
            </w:r>
          </w:p>
        </w:tc>
      </w:tr>
      <w:tr w:rsidR="006B4584" w:rsidRPr="00515061" w:rsidTr="004233E0">
        <w:trPr>
          <w:jc w:val="center"/>
        </w:trPr>
        <w:tc>
          <w:tcPr>
            <w:tcW w:w="4669" w:type="dxa"/>
            <w:gridSpan w:val="2"/>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total</w:t>
            </w:r>
            <w:r w:rsidR="004233E0" w:rsidRPr="00515061">
              <w:rPr>
                <w:rFonts w:ascii="Times New Roman" w:hAnsi="Times New Roman" w:cs="Times New Roman"/>
                <w:b/>
                <w:sz w:val="24"/>
                <w:szCs w:val="24"/>
              </w:rPr>
              <w:t xml:space="preserve"> local and shared reduction</w:t>
            </w:r>
          </w:p>
        </w:tc>
        <w:tc>
          <w:tcPr>
            <w:tcW w:w="2356" w:type="dxa"/>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390</w:t>
            </w:r>
          </w:p>
        </w:tc>
        <w:tc>
          <w:tcPr>
            <w:tcW w:w="2036" w:type="dxa"/>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320</w:t>
            </w:r>
          </w:p>
        </w:tc>
      </w:tr>
    </w:tbl>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5" w:name="_Toc465693947"/>
      <w:bookmarkStart w:id="6" w:name="_Toc466982393"/>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r w:rsidRPr="00515061">
        <w:rPr>
          <w:rFonts w:ascii="Times New Roman" w:hAnsi="Times New Roman" w:cs="Times New Roman"/>
          <w:bCs/>
          <w:sz w:val="24"/>
          <w:szCs w:val="24"/>
          <w:u w:val="single"/>
        </w:rPr>
        <w:t>Changes to surface water SDL resource unit shared reduction amounts</w:t>
      </w:r>
      <w:bookmarkEnd w:id="5"/>
      <w:bookmarkEnd w:id="6"/>
      <w:r w:rsidRPr="00515061">
        <w:rPr>
          <w:rFonts w:ascii="Times New Roman" w:hAnsi="Times New Roman" w:cs="Times New Roman"/>
          <w:bCs/>
          <w:sz w:val="24"/>
          <w:szCs w:val="24"/>
          <w:u w:val="single"/>
        </w:rPr>
        <w:t xml:space="preserve"> </w:t>
      </w:r>
    </w:p>
    <w:p w:rsidR="0009187A" w:rsidRPr="00515061" w:rsidRDefault="0009187A" w:rsidP="00511B9B">
      <w:pPr>
        <w:tabs>
          <w:tab w:val="right" w:pos="9072"/>
        </w:tabs>
        <w:spacing w:after="0" w:line="240" w:lineRule="auto"/>
        <w:rPr>
          <w:rFonts w:ascii="Times New Roman" w:hAnsi="Times New Roman" w:cs="Times New Roman"/>
          <w:bCs/>
          <w:sz w:val="24"/>
          <w:szCs w:val="24"/>
          <w:u w:val="single"/>
        </w:rPr>
      </w:pPr>
    </w:p>
    <w:p w:rsidR="008A58FE" w:rsidRPr="00515061" w:rsidRDefault="001A02C0"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of the </w:t>
      </w:r>
      <w:r w:rsidR="008A58FE" w:rsidRPr="00515061">
        <w:rPr>
          <w:rFonts w:ascii="Times New Roman" w:hAnsi="Times New Roman" w:cs="Times New Roman"/>
          <w:sz w:val="24"/>
          <w:szCs w:val="24"/>
        </w:rPr>
        <w:t xml:space="preserve">Amendment Instrument </w:t>
      </w:r>
      <w:r w:rsidRPr="00515061">
        <w:rPr>
          <w:rFonts w:ascii="Times New Roman" w:hAnsi="Times New Roman" w:cs="Times New Roman"/>
          <w:sz w:val="24"/>
          <w:szCs w:val="24"/>
        </w:rPr>
        <w:t xml:space="preserve">amends </w:t>
      </w:r>
      <w:r w:rsidR="00143D86" w:rsidRPr="00515061">
        <w:rPr>
          <w:rFonts w:ascii="Times New Roman" w:hAnsi="Times New Roman" w:cs="Times New Roman"/>
          <w:sz w:val="24"/>
          <w:szCs w:val="24"/>
        </w:rPr>
        <w:t>sub</w:t>
      </w:r>
      <w:r w:rsidRPr="00515061">
        <w:rPr>
          <w:rFonts w:ascii="Times New Roman" w:hAnsi="Times New Roman" w:cs="Times New Roman"/>
          <w:sz w:val="24"/>
          <w:szCs w:val="24"/>
        </w:rPr>
        <w:t>section 6.05(2) of the Basin Plan</w:t>
      </w:r>
      <w:r w:rsidR="00D1040B" w:rsidRPr="00515061">
        <w:rPr>
          <w:rFonts w:ascii="Times New Roman" w:hAnsi="Times New Roman" w:cs="Times New Roman"/>
          <w:sz w:val="24"/>
          <w:szCs w:val="24"/>
        </w:rPr>
        <w:t>,</w:t>
      </w:r>
      <w:r w:rsidRPr="00515061">
        <w:rPr>
          <w:rFonts w:ascii="Times New Roman" w:hAnsi="Times New Roman" w:cs="Times New Roman"/>
          <w:sz w:val="24"/>
          <w:szCs w:val="24"/>
        </w:rPr>
        <w:t xml:space="preserve"> replacing the northern Basin zone (covering Queensland and New South Wales) with the northern Basin Queensland zone and the northern Basin New South Wales zone. This change assists each </w:t>
      </w:r>
      <w:r w:rsidR="001F57B9" w:rsidRPr="00515061">
        <w:rPr>
          <w:rFonts w:ascii="Times New Roman" w:hAnsi="Times New Roman" w:cs="Times New Roman"/>
          <w:sz w:val="24"/>
          <w:szCs w:val="24"/>
        </w:rPr>
        <w:t>Basin S</w:t>
      </w:r>
      <w:r w:rsidRPr="00515061">
        <w:rPr>
          <w:rFonts w:ascii="Times New Roman" w:hAnsi="Times New Roman" w:cs="Times New Roman"/>
          <w:sz w:val="24"/>
          <w:szCs w:val="24"/>
        </w:rPr>
        <w:t xml:space="preserve">tate to administer the allocation of the shared reduction in the SDL resource units in each of their respective zones. </w:t>
      </w: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also changes </w:t>
      </w:r>
      <w:r w:rsidR="008A58FE" w:rsidRPr="00515061">
        <w:rPr>
          <w:rFonts w:ascii="Times New Roman" w:hAnsi="Times New Roman" w:cs="Times New Roman"/>
          <w:sz w:val="24"/>
          <w:szCs w:val="24"/>
        </w:rPr>
        <w:t>the northern Basin zone shared reduction</w:t>
      </w:r>
      <w:r w:rsidR="00742C55" w:rsidRPr="00515061">
        <w:rPr>
          <w:rFonts w:ascii="Times New Roman" w:hAnsi="Times New Roman" w:cs="Times New Roman"/>
          <w:sz w:val="24"/>
          <w:szCs w:val="24"/>
        </w:rPr>
        <w:t xml:space="preserve"> amount from 143 GL a year and splits </w:t>
      </w:r>
      <w:r w:rsidR="00B233F6" w:rsidRPr="00515061">
        <w:rPr>
          <w:rFonts w:ascii="Times New Roman" w:hAnsi="Times New Roman" w:cs="Times New Roman"/>
          <w:sz w:val="24"/>
          <w:szCs w:val="24"/>
        </w:rPr>
        <w:t xml:space="preserve">the shared reduction into </w:t>
      </w:r>
      <w:r w:rsidR="00742C55" w:rsidRPr="00515061">
        <w:rPr>
          <w:rFonts w:ascii="Times New Roman" w:hAnsi="Times New Roman" w:cs="Times New Roman"/>
          <w:sz w:val="24"/>
          <w:szCs w:val="24"/>
        </w:rPr>
        <w:t>17</w:t>
      </w:r>
      <w:r w:rsidR="008A58FE" w:rsidRPr="00515061">
        <w:rPr>
          <w:rFonts w:ascii="Times New Roman" w:hAnsi="Times New Roman" w:cs="Times New Roman"/>
          <w:sz w:val="24"/>
          <w:szCs w:val="24"/>
        </w:rPr>
        <w:t xml:space="preserve"> GL a year</w:t>
      </w:r>
      <w:r w:rsidR="00742C55" w:rsidRPr="00515061">
        <w:rPr>
          <w:rFonts w:ascii="Times New Roman" w:hAnsi="Times New Roman" w:cs="Times New Roman"/>
          <w:sz w:val="24"/>
          <w:szCs w:val="24"/>
        </w:rPr>
        <w:t xml:space="preserve"> for the northern Basin Queensland zone and 24</w:t>
      </w:r>
      <w:r w:rsidR="004F6C0D" w:rsidRPr="00515061">
        <w:rPr>
          <w:rFonts w:ascii="Times New Roman" w:hAnsi="Times New Roman" w:cs="Times New Roman"/>
          <w:sz w:val="24"/>
          <w:szCs w:val="24"/>
        </w:rPr>
        <w:t xml:space="preserve"> </w:t>
      </w:r>
      <w:r w:rsidR="00742C55" w:rsidRPr="00515061">
        <w:rPr>
          <w:rFonts w:ascii="Times New Roman" w:hAnsi="Times New Roman" w:cs="Times New Roman"/>
          <w:sz w:val="24"/>
          <w:szCs w:val="24"/>
        </w:rPr>
        <w:t>GL per year for the northern Basin New South Wales zone</w:t>
      </w:r>
      <w:r w:rsidR="008A58FE" w:rsidRPr="00515061">
        <w:rPr>
          <w:rFonts w:ascii="Times New Roman" w:hAnsi="Times New Roman" w:cs="Times New Roman"/>
          <w:sz w:val="24"/>
          <w:szCs w:val="24"/>
        </w:rPr>
        <w:t xml:space="preserve">. This change relates to subsection 6.05(3) of the Basin Plan (see </w:t>
      </w:r>
      <w:r w:rsidR="008A58FE" w:rsidRPr="00515061">
        <w:rPr>
          <w:rFonts w:ascii="Times New Roman" w:hAnsi="Times New Roman" w:cs="Times New Roman"/>
          <w:b/>
          <w:sz w:val="24"/>
          <w:szCs w:val="24"/>
        </w:rPr>
        <w:t>Item 16</w:t>
      </w:r>
      <w:r w:rsidR="008A58FE"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following SDL resource units comprise the </w:t>
      </w:r>
      <w:r w:rsidRPr="00515061">
        <w:rPr>
          <w:rFonts w:ascii="Times New Roman" w:hAnsi="Times New Roman" w:cs="Times New Roman"/>
          <w:b/>
          <w:i/>
          <w:sz w:val="24"/>
          <w:szCs w:val="24"/>
        </w:rPr>
        <w:t>northern Basin Queensland zone</w:t>
      </w:r>
      <w:r w:rsidRPr="00515061">
        <w:rPr>
          <w:rFonts w:ascii="Times New Roman" w:hAnsi="Times New Roman" w:cs="Times New Roman"/>
          <w:sz w:val="24"/>
          <w:szCs w:val="24"/>
        </w:rPr>
        <w:t xml:space="preserve">: </w:t>
      </w:r>
    </w:p>
    <w:p w:rsidR="008A58FE" w:rsidRPr="00515061" w:rsidRDefault="008A58FE"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Condamine</w:t>
      </w:r>
      <w:r w:rsidR="00DA6FE3" w:rsidRPr="00515061">
        <w:rPr>
          <w:rFonts w:ascii="Times New Roman" w:hAnsi="Times New Roman" w:cs="Times New Roman"/>
          <w:sz w:val="24"/>
          <w:szCs w:val="24"/>
        </w:rPr>
        <w:t>-</w:t>
      </w:r>
      <w:r w:rsidR="00142A3A" w:rsidRPr="00515061">
        <w:rPr>
          <w:rFonts w:ascii="Times New Roman" w:hAnsi="Times New Roman" w:cs="Times New Roman"/>
          <w:sz w:val="24"/>
          <w:szCs w:val="24"/>
        </w:rPr>
        <w:t>Balonne</w:t>
      </w:r>
    </w:p>
    <w:p w:rsidR="008A58FE" w:rsidRPr="00515061" w:rsidRDefault="00142A3A"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Moonie</w:t>
      </w:r>
    </w:p>
    <w:p w:rsidR="008A58FE" w:rsidRPr="00515061" w:rsidRDefault="00142A3A"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Nebine</w:t>
      </w:r>
    </w:p>
    <w:p w:rsidR="008A58FE" w:rsidRPr="00515061" w:rsidRDefault="00142A3A"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Paroo</w:t>
      </w:r>
    </w:p>
    <w:p w:rsidR="008A58FE" w:rsidRPr="00515061" w:rsidRDefault="008A58FE"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Queensland</w:t>
      </w:r>
      <w:r w:rsidR="00142A3A" w:rsidRPr="00515061">
        <w:rPr>
          <w:rFonts w:ascii="Times New Roman" w:hAnsi="Times New Roman" w:cs="Times New Roman"/>
          <w:sz w:val="24"/>
          <w:szCs w:val="24"/>
        </w:rPr>
        <w:t xml:space="preserve"> Border Rivers</w:t>
      </w:r>
    </w:p>
    <w:p w:rsidR="008A58FE" w:rsidRPr="00515061" w:rsidRDefault="008A58FE"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Warrego (SS28). </w:t>
      </w:r>
    </w:p>
    <w:p w:rsidR="008A58FE" w:rsidRPr="00515061" w:rsidRDefault="008A58FE" w:rsidP="00511B9B">
      <w:pPr>
        <w:tabs>
          <w:tab w:val="right" w:pos="9072"/>
        </w:tabs>
        <w:spacing w:after="0" w:line="240" w:lineRule="auto"/>
        <w:ind w:left="720"/>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following SDL resource units com</w:t>
      </w:r>
      <w:r w:rsidR="00903F27" w:rsidRPr="00515061">
        <w:rPr>
          <w:rFonts w:ascii="Times New Roman" w:hAnsi="Times New Roman" w:cs="Times New Roman"/>
          <w:sz w:val="24"/>
          <w:szCs w:val="24"/>
        </w:rPr>
        <w:t>prise the</w:t>
      </w:r>
      <w:r w:rsidRPr="00515061">
        <w:rPr>
          <w:rFonts w:ascii="Times New Roman" w:hAnsi="Times New Roman" w:cs="Times New Roman"/>
          <w:sz w:val="24"/>
          <w:szCs w:val="24"/>
        </w:rPr>
        <w:t xml:space="preserve"> </w:t>
      </w:r>
      <w:r w:rsidRPr="00515061">
        <w:rPr>
          <w:rFonts w:ascii="Times New Roman" w:hAnsi="Times New Roman" w:cs="Times New Roman"/>
          <w:b/>
          <w:i/>
          <w:sz w:val="24"/>
          <w:szCs w:val="24"/>
        </w:rPr>
        <w:t>northern Basin New South Wales zone</w:t>
      </w:r>
      <w:r w:rsidRPr="00515061">
        <w:rPr>
          <w:rFonts w:ascii="Times New Roman" w:hAnsi="Times New Roman" w:cs="Times New Roman"/>
          <w:sz w:val="24"/>
          <w:szCs w:val="24"/>
        </w:rPr>
        <w:t xml:space="preserve">: </w:t>
      </w:r>
    </w:p>
    <w:p w:rsidR="008A58FE" w:rsidRPr="00515061" w:rsidRDefault="008A58FE"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Barwon</w:t>
      </w:r>
      <w:r w:rsidR="00DA6FE3" w:rsidRPr="00515061">
        <w:rPr>
          <w:rFonts w:ascii="Times New Roman" w:hAnsi="Times New Roman" w:cs="Times New Roman"/>
          <w:sz w:val="24"/>
          <w:szCs w:val="24"/>
        </w:rPr>
        <w:t>-</w:t>
      </w:r>
      <w:r w:rsidR="00142A3A" w:rsidRPr="00515061">
        <w:rPr>
          <w:rFonts w:ascii="Times New Roman" w:hAnsi="Times New Roman" w:cs="Times New Roman"/>
          <w:sz w:val="24"/>
          <w:szCs w:val="24"/>
        </w:rPr>
        <w:t>Darling Watercourse</w:t>
      </w:r>
    </w:p>
    <w:p w:rsidR="008A58FE" w:rsidRPr="00515061" w:rsidRDefault="00142A3A"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Gwydir</w:t>
      </w:r>
    </w:p>
    <w:p w:rsidR="008A58FE" w:rsidRPr="00515061" w:rsidRDefault="00142A3A"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Intersecting Streams</w:t>
      </w:r>
      <w:r w:rsidR="008A58FE" w:rsidRPr="00515061">
        <w:rPr>
          <w:rFonts w:ascii="Times New Roman" w:hAnsi="Times New Roman" w:cs="Times New Roman"/>
          <w:sz w:val="24"/>
          <w:szCs w:val="24"/>
        </w:rPr>
        <w:t xml:space="preserve"> </w:t>
      </w:r>
    </w:p>
    <w:p w:rsidR="008A58FE" w:rsidRPr="00515061" w:rsidRDefault="008A58FE"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Macquarie</w:t>
      </w:r>
      <w:r w:rsidR="00DA6FE3" w:rsidRPr="00515061">
        <w:rPr>
          <w:rFonts w:ascii="Times New Roman" w:hAnsi="Times New Roman" w:cs="Times New Roman"/>
          <w:sz w:val="24"/>
          <w:szCs w:val="24"/>
        </w:rPr>
        <w:t>-</w:t>
      </w:r>
      <w:r w:rsidR="00142A3A" w:rsidRPr="00515061">
        <w:rPr>
          <w:rFonts w:ascii="Times New Roman" w:hAnsi="Times New Roman" w:cs="Times New Roman"/>
          <w:sz w:val="24"/>
          <w:szCs w:val="24"/>
        </w:rPr>
        <w:t>Castlereagh</w:t>
      </w:r>
    </w:p>
    <w:p w:rsidR="008A58FE" w:rsidRPr="00515061" w:rsidRDefault="00142A3A"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Namoi</w:t>
      </w:r>
    </w:p>
    <w:p w:rsidR="008A58FE" w:rsidRPr="00515061" w:rsidRDefault="008A58FE"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N</w:t>
      </w:r>
      <w:r w:rsidR="00142A3A" w:rsidRPr="00515061">
        <w:rPr>
          <w:rFonts w:ascii="Times New Roman" w:hAnsi="Times New Roman" w:cs="Times New Roman"/>
          <w:sz w:val="24"/>
          <w:szCs w:val="24"/>
        </w:rPr>
        <w:t>SW Border Rivers</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ind w:left="720"/>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of the Amendment Instrument, subsection 6.05(3), details that the shared reduction targets for the two new northern Basin zones are as follows:</w:t>
      </w:r>
    </w:p>
    <w:p w:rsidR="008A58FE" w:rsidRPr="00515061" w:rsidRDefault="008A58FE" w:rsidP="00511B9B">
      <w:pPr>
        <w:numPr>
          <w:ilvl w:val="0"/>
          <w:numId w:val="4"/>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i/>
          <w:sz w:val="24"/>
          <w:szCs w:val="24"/>
        </w:rPr>
        <w:t>northern Basin Queensland zone</w:t>
      </w:r>
      <w:r w:rsidRPr="00515061">
        <w:rPr>
          <w:rFonts w:ascii="Times New Roman" w:hAnsi="Times New Roman" w:cs="Times New Roman"/>
          <w:sz w:val="24"/>
          <w:szCs w:val="24"/>
        </w:rPr>
        <w:t xml:space="preserve"> — 17 GL per year </w:t>
      </w:r>
    </w:p>
    <w:p w:rsidR="008A58FE" w:rsidRPr="00515061" w:rsidRDefault="008A58FE" w:rsidP="00511B9B">
      <w:pPr>
        <w:numPr>
          <w:ilvl w:val="0"/>
          <w:numId w:val="4"/>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i/>
          <w:sz w:val="24"/>
          <w:szCs w:val="24"/>
        </w:rPr>
        <w:t>northern Basin New South Wales zone</w:t>
      </w:r>
      <w:r w:rsidRPr="00515061">
        <w:rPr>
          <w:rFonts w:ascii="Times New Roman" w:hAnsi="Times New Roman" w:cs="Times New Roman"/>
          <w:sz w:val="24"/>
          <w:szCs w:val="24"/>
        </w:rPr>
        <w:t xml:space="preserve"> — 24 GL per year.</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These volumes have been calculated using the formula set out in subsection 6.05(4) of the Basin Plan</w:t>
      </w:r>
      <w:r w:rsidR="00143D86"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allocates the reduction target for the zone in proportion to the amount of its baseline diversion limit, including any component of water diverted for urban water use, but excluding any component due to interception activities.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Authority may update the distribution of these shared reduction volumes assigned to </w:t>
      </w:r>
      <w:r w:rsidR="0055431F" w:rsidRPr="00515061">
        <w:rPr>
          <w:rFonts w:ascii="Times New Roman" w:hAnsi="Times New Roman" w:cs="Times New Roman"/>
          <w:sz w:val="24"/>
          <w:szCs w:val="24"/>
        </w:rPr>
        <w:t xml:space="preserve">each of </w:t>
      </w:r>
      <w:r w:rsidRPr="00515061">
        <w:rPr>
          <w:rFonts w:ascii="Times New Roman" w:hAnsi="Times New Roman" w:cs="Times New Roman"/>
          <w:sz w:val="24"/>
          <w:szCs w:val="24"/>
        </w:rPr>
        <w:t xml:space="preserve">these zones on the provision of a re-allocation adjustment request by </w:t>
      </w:r>
      <w:r w:rsidR="0055431F" w:rsidRPr="00515061">
        <w:rPr>
          <w:rFonts w:ascii="Times New Roman" w:hAnsi="Times New Roman" w:cs="Times New Roman"/>
          <w:sz w:val="24"/>
          <w:szCs w:val="24"/>
        </w:rPr>
        <w:t xml:space="preserve">either </w:t>
      </w:r>
      <w:r w:rsidRPr="00515061">
        <w:rPr>
          <w:rFonts w:ascii="Times New Roman" w:hAnsi="Times New Roman" w:cs="Times New Roman"/>
          <w:sz w:val="24"/>
          <w:szCs w:val="24"/>
        </w:rPr>
        <w:t xml:space="preserve">the Queensland </w:t>
      </w:r>
      <w:r w:rsidR="0055431F" w:rsidRPr="00515061">
        <w:rPr>
          <w:rFonts w:ascii="Times New Roman" w:hAnsi="Times New Roman" w:cs="Times New Roman"/>
          <w:sz w:val="24"/>
          <w:szCs w:val="24"/>
        </w:rPr>
        <w:t>government, in respect of the northern Basin Queensland zone, and New South Wales government</w:t>
      </w:r>
      <w:r w:rsidRPr="00515061">
        <w:rPr>
          <w:rFonts w:ascii="Times New Roman" w:hAnsi="Times New Roman" w:cs="Times New Roman"/>
          <w:sz w:val="24"/>
          <w:szCs w:val="24"/>
        </w:rPr>
        <w:t>,</w:t>
      </w:r>
      <w:r w:rsidR="0055431F" w:rsidRPr="00515061">
        <w:rPr>
          <w:rFonts w:ascii="Times New Roman" w:hAnsi="Times New Roman" w:cs="Times New Roman"/>
          <w:sz w:val="24"/>
          <w:szCs w:val="24"/>
        </w:rPr>
        <w:t xml:space="preserve"> in respect of the northern Basin New South Wales zone,</w:t>
      </w:r>
      <w:r w:rsidRPr="00515061">
        <w:rPr>
          <w:rFonts w:ascii="Times New Roman" w:hAnsi="Times New Roman" w:cs="Times New Roman"/>
          <w:sz w:val="24"/>
          <w:szCs w:val="24"/>
        </w:rPr>
        <w:t xml:space="preserve"> in accordance with the provisions of section 6.05 of the Basin Plan. Note that </w:t>
      </w: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is also discussed below </w:t>
      </w:r>
      <w:r w:rsidR="00961BAD" w:rsidRPr="00515061">
        <w:rPr>
          <w:rFonts w:ascii="Times New Roman" w:hAnsi="Times New Roman" w:cs="Times New Roman"/>
          <w:sz w:val="24"/>
          <w:szCs w:val="24"/>
        </w:rPr>
        <w:t>in</w:t>
      </w:r>
      <w:r w:rsidR="00666C1A" w:rsidRPr="00515061">
        <w:rPr>
          <w:rFonts w:ascii="Times New Roman" w:hAnsi="Times New Roman" w:cs="Times New Roman"/>
          <w:sz w:val="24"/>
          <w:szCs w:val="24"/>
        </w:rPr>
        <w:t xml:space="preserve"> </w:t>
      </w:r>
      <w:r w:rsidR="00D1040B" w:rsidRPr="00515061">
        <w:rPr>
          <w:rFonts w:ascii="Times New Roman" w:hAnsi="Times New Roman" w:cs="Times New Roman"/>
          <w:sz w:val="24"/>
          <w:szCs w:val="24"/>
        </w:rPr>
        <w:t>4. </w:t>
      </w:r>
      <w:r w:rsidRPr="00515061">
        <w:rPr>
          <w:rFonts w:ascii="Times New Roman" w:hAnsi="Times New Roman" w:cs="Times New Roman"/>
          <w:i/>
          <w:sz w:val="24"/>
          <w:szCs w:val="24"/>
        </w:rPr>
        <w:t>Other Technical Amendments – Shared reduction amount methodology</w:t>
      </w:r>
      <w:r w:rsidR="00961BAD" w:rsidRPr="00515061">
        <w:rPr>
          <w:rFonts w:ascii="Times New Roman" w:hAnsi="Times New Roman" w:cs="Times New Roman"/>
          <w:sz w:val="24"/>
          <w:szCs w:val="24"/>
        </w:rPr>
        <w:t xml:space="preserve"> of this explanatory statement</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EE4EF7" w:rsidP="00511B9B">
      <w:pPr>
        <w:tabs>
          <w:tab w:val="right" w:pos="9072"/>
        </w:tabs>
        <w:spacing w:after="0" w:line="240" w:lineRule="auto"/>
        <w:rPr>
          <w:rFonts w:ascii="Times New Roman" w:hAnsi="Times New Roman" w:cs="Times New Roman"/>
          <w:bCs/>
          <w:sz w:val="24"/>
          <w:szCs w:val="24"/>
          <w:u w:val="single"/>
        </w:rPr>
      </w:pPr>
      <w:bookmarkStart w:id="7" w:name="_Toc465693948"/>
      <w:bookmarkStart w:id="8" w:name="_Toc466982394"/>
      <w:r>
        <w:rPr>
          <w:rFonts w:ascii="Times New Roman" w:hAnsi="Times New Roman" w:cs="Times New Roman"/>
          <w:bCs/>
          <w:sz w:val="24"/>
          <w:szCs w:val="24"/>
          <w:u w:val="single"/>
        </w:rPr>
        <w:t>Environmental works and measures (referred to as t</w:t>
      </w:r>
      <w:r w:rsidR="008A58FE" w:rsidRPr="00515061">
        <w:rPr>
          <w:rFonts w:ascii="Times New Roman" w:hAnsi="Times New Roman" w:cs="Times New Roman"/>
          <w:bCs/>
          <w:sz w:val="24"/>
          <w:szCs w:val="24"/>
          <w:u w:val="single"/>
        </w:rPr>
        <w:t>oolkit measures</w:t>
      </w:r>
      <w:bookmarkEnd w:id="7"/>
      <w:bookmarkEnd w:id="8"/>
      <w:r>
        <w:rPr>
          <w:rFonts w:ascii="Times New Roman" w:hAnsi="Times New Roman" w:cs="Times New Roman"/>
          <w:bCs/>
          <w:sz w:val="24"/>
          <w:szCs w:val="24"/>
          <w:u w:val="single"/>
        </w:rPr>
        <w:t>)</w:t>
      </w:r>
      <w:r w:rsidR="008A58FE" w:rsidRPr="00515061">
        <w:rPr>
          <w:rFonts w:ascii="Times New Roman" w:hAnsi="Times New Roman" w:cs="Times New Roman"/>
          <w:bCs/>
          <w:sz w:val="24"/>
          <w:szCs w:val="24"/>
          <w:u w:val="single"/>
        </w:rPr>
        <w:t xml:space="preserve"> </w:t>
      </w:r>
    </w:p>
    <w:p w:rsidR="0009187A" w:rsidRPr="00515061" w:rsidRDefault="0009187A"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changes the northern Basin reduction amount from 390 GL a year to 320 GL a year</w:t>
      </w:r>
      <w:r w:rsidR="00DE40C0"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r w:rsidR="000F2F4B">
        <w:rPr>
          <w:rFonts w:ascii="Times New Roman" w:hAnsi="Times New Roman" w:cs="Times New Roman"/>
          <w:sz w:val="24"/>
          <w:szCs w:val="24"/>
        </w:rPr>
        <w:t>In addition,</w:t>
      </w:r>
      <w:r w:rsidR="00DE40C0"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the Australian, New South Wales and Queensland governments </w:t>
      </w:r>
      <w:r w:rsidR="00DE40C0" w:rsidRPr="00515061">
        <w:rPr>
          <w:rFonts w:ascii="Times New Roman" w:hAnsi="Times New Roman" w:cs="Times New Roman"/>
          <w:sz w:val="24"/>
          <w:szCs w:val="24"/>
        </w:rPr>
        <w:t xml:space="preserve">have </w:t>
      </w:r>
      <w:r w:rsidRPr="00515061">
        <w:rPr>
          <w:rFonts w:ascii="Times New Roman" w:hAnsi="Times New Roman" w:cs="Times New Roman"/>
          <w:sz w:val="24"/>
          <w:szCs w:val="24"/>
        </w:rPr>
        <w:t>commit</w:t>
      </w:r>
      <w:r w:rsidR="00462B73" w:rsidRPr="00515061">
        <w:rPr>
          <w:rFonts w:ascii="Times New Roman" w:hAnsi="Times New Roman" w:cs="Times New Roman"/>
          <w:sz w:val="24"/>
          <w:szCs w:val="24"/>
        </w:rPr>
        <w:t>t</w:t>
      </w:r>
      <w:r w:rsidR="00DE40C0" w:rsidRPr="00515061">
        <w:rPr>
          <w:rFonts w:ascii="Times New Roman" w:hAnsi="Times New Roman" w:cs="Times New Roman"/>
          <w:sz w:val="24"/>
          <w:szCs w:val="24"/>
        </w:rPr>
        <w:t>ed</w:t>
      </w:r>
      <w:r w:rsidRPr="00515061">
        <w:rPr>
          <w:rFonts w:ascii="Times New Roman" w:hAnsi="Times New Roman" w:cs="Times New Roman"/>
          <w:sz w:val="24"/>
          <w:szCs w:val="24"/>
        </w:rPr>
        <w:t xml:space="preserve"> to implementing a number of </w:t>
      </w:r>
      <w:r w:rsidR="00462B73" w:rsidRPr="00515061">
        <w:rPr>
          <w:rFonts w:ascii="Times New Roman" w:hAnsi="Times New Roman" w:cs="Times New Roman"/>
          <w:sz w:val="24"/>
          <w:szCs w:val="24"/>
        </w:rPr>
        <w:t>toolkit measures</w:t>
      </w:r>
      <w:r w:rsidRPr="00515061">
        <w:rPr>
          <w:rFonts w:ascii="Times New Roman" w:hAnsi="Times New Roman" w:cs="Times New Roman"/>
          <w:sz w:val="24"/>
          <w:szCs w:val="24"/>
        </w:rPr>
        <w:t xml:space="preserve"> designed to improve water management. These </w:t>
      </w:r>
      <w:r w:rsidR="00462B73" w:rsidRPr="00515061">
        <w:rPr>
          <w:rFonts w:ascii="Times New Roman" w:hAnsi="Times New Roman" w:cs="Times New Roman"/>
          <w:sz w:val="24"/>
          <w:szCs w:val="24"/>
        </w:rPr>
        <w:t>toolkit measures</w:t>
      </w:r>
      <w:r w:rsidRPr="00515061">
        <w:rPr>
          <w:rFonts w:ascii="Times New Roman" w:hAnsi="Times New Roman" w:cs="Times New Roman"/>
          <w:sz w:val="24"/>
          <w:szCs w:val="24"/>
        </w:rPr>
        <w:t xml:space="preserve"> include arrangements to protect environmental flows, targeted recovery of water, event-based mechanisms (such as options for pum</w:t>
      </w:r>
      <w:r w:rsidR="006E0B17" w:rsidRPr="00515061">
        <w:rPr>
          <w:rFonts w:ascii="Times New Roman" w:hAnsi="Times New Roman" w:cs="Times New Roman"/>
          <w:sz w:val="24"/>
          <w:szCs w:val="24"/>
        </w:rPr>
        <w:t xml:space="preserve">ping and store-and-release), </w:t>
      </w:r>
      <w:r w:rsidRPr="00515061">
        <w:rPr>
          <w:rFonts w:ascii="Times New Roman" w:hAnsi="Times New Roman" w:cs="Times New Roman"/>
          <w:sz w:val="24"/>
          <w:szCs w:val="24"/>
        </w:rPr>
        <w:t>improving the coordination and delivery of environmental water</w:t>
      </w:r>
      <w:r w:rsidR="006E0B17" w:rsidRPr="00515061">
        <w:rPr>
          <w:rFonts w:ascii="Times New Roman" w:hAnsi="Times New Roman" w:cs="Times New Roman"/>
          <w:sz w:val="24"/>
          <w:szCs w:val="24"/>
        </w:rPr>
        <w:t>, and environmental works and measures to promote fish movement and habitat</w:t>
      </w:r>
      <w:r w:rsidRPr="00515061">
        <w:rPr>
          <w:rFonts w:ascii="Times New Roman" w:hAnsi="Times New Roman" w:cs="Times New Roman"/>
          <w:sz w:val="24"/>
          <w:szCs w:val="24"/>
        </w:rPr>
        <w:t xml:space="preserve">. In the Gwydir in particular, this includes measures to remove constraints and manage flows to the wetlands.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0B0AC3"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15</w:t>
      </w:r>
      <w:r w:rsidRPr="00515061">
        <w:rPr>
          <w:rFonts w:ascii="Times New Roman" w:hAnsi="Times New Roman" w:cs="Times New Roman"/>
          <w:sz w:val="24"/>
          <w:szCs w:val="24"/>
        </w:rPr>
        <w:t xml:space="preserve"> of t</w:t>
      </w:r>
      <w:r w:rsidR="008A58FE" w:rsidRPr="00515061">
        <w:rPr>
          <w:rFonts w:ascii="Times New Roman" w:hAnsi="Times New Roman" w:cs="Times New Roman"/>
          <w:sz w:val="24"/>
          <w:szCs w:val="24"/>
        </w:rPr>
        <w:t xml:space="preserve">he Amendment Instrument includes a note at subsection 6.04(3) that recognises the importance of implementing a package of </w:t>
      </w:r>
      <w:r w:rsidR="00462B73" w:rsidRPr="00515061">
        <w:rPr>
          <w:rFonts w:ascii="Times New Roman" w:hAnsi="Times New Roman" w:cs="Times New Roman"/>
          <w:sz w:val="24"/>
          <w:szCs w:val="24"/>
        </w:rPr>
        <w:t>toolkit measures</w:t>
      </w:r>
      <w:r w:rsidR="008A58FE" w:rsidRPr="00515061">
        <w:rPr>
          <w:rFonts w:ascii="Times New Roman" w:hAnsi="Times New Roman" w:cs="Times New Roman"/>
          <w:sz w:val="24"/>
          <w:szCs w:val="24"/>
        </w:rPr>
        <w:t xml:space="preserve"> and the need for commitment from the State and Commonwealth governments. </w:t>
      </w:r>
    </w:p>
    <w:p w:rsidR="00766648" w:rsidRPr="00515061" w:rsidRDefault="00766648"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Item 17</w:t>
      </w:r>
      <w:r w:rsidRPr="00515061">
        <w:rPr>
          <w:rFonts w:ascii="Times New Roman" w:hAnsi="Times New Roman" w:cs="Times New Roman"/>
          <w:sz w:val="24"/>
          <w:szCs w:val="24"/>
        </w:rPr>
        <w:t xml:space="preserve"> repeals the note below subsection 6.06(1). This is a spent provision as the research and investigations in 2015 into certain aspects of the Basi</w:t>
      </w:r>
      <w:r w:rsidR="000B0AC3" w:rsidRPr="00515061">
        <w:rPr>
          <w:rFonts w:ascii="Times New Roman" w:hAnsi="Times New Roman" w:cs="Times New Roman"/>
          <w:sz w:val="24"/>
          <w:szCs w:val="24"/>
        </w:rPr>
        <w:t>n</w:t>
      </w:r>
      <w:r w:rsidR="00E17750" w:rsidRPr="00515061">
        <w:rPr>
          <w:rFonts w:ascii="Times New Roman" w:hAnsi="Times New Roman" w:cs="Times New Roman"/>
          <w:sz w:val="24"/>
          <w:szCs w:val="24"/>
        </w:rPr>
        <w:t xml:space="preserve"> Plan in the northern Basin have no</w:t>
      </w:r>
      <w:r w:rsidRPr="00515061">
        <w:rPr>
          <w:rFonts w:ascii="Times New Roman" w:hAnsi="Times New Roman" w:cs="Times New Roman"/>
          <w:sz w:val="24"/>
          <w:szCs w:val="24"/>
        </w:rPr>
        <w:t xml:space="preserve">w been completed. </w:t>
      </w:r>
    </w:p>
    <w:p w:rsidR="00602D63" w:rsidRPr="00515061" w:rsidRDefault="00602D63" w:rsidP="00511B9B">
      <w:pPr>
        <w:tabs>
          <w:tab w:val="right" w:pos="9072"/>
        </w:tabs>
        <w:spacing w:after="0" w:line="240" w:lineRule="auto"/>
        <w:rPr>
          <w:rFonts w:ascii="Times New Roman" w:hAnsi="Times New Roman" w:cs="Times New Roman"/>
          <w:b/>
          <w:sz w:val="24"/>
          <w:szCs w:val="24"/>
        </w:rPr>
      </w:pPr>
    </w:p>
    <w:p w:rsidR="008A58FE" w:rsidRPr="00515061" w:rsidRDefault="008A58FE" w:rsidP="00511B9B">
      <w:p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 xml:space="preserve">2. Groundwater </w:t>
      </w:r>
      <w:r w:rsidR="00B80FF5" w:rsidRPr="00515061">
        <w:rPr>
          <w:rFonts w:ascii="Times New Roman" w:hAnsi="Times New Roman" w:cs="Times New Roman"/>
          <w:b/>
          <w:sz w:val="24"/>
          <w:szCs w:val="24"/>
        </w:rPr>
        <w:t>R</w:t>
      </w:r>
      <w:r w:rsidRPr="00515061">
        <w:rPr>
          <w:rFonts w:ascii="Times New Roman" w:hAnsi="Times New Roman" w:cs="Times New Roman"/>
          <w:b/>
          <w:sz w:val="24"/>
          <w:szCs w:val="24"/>
        </w:rPr>
        <w:t>eviews and other groundwater amendments</w:t>
      </w:r>
      <w:r w:rsidR="00271068" w:rsidRPr="00515061">
        <w:rPr>
          <w:rFonts w:ascii="Times New Roman" w:hAnsi="Times New Roman" w:cs="Times New Roman"/>
          <w:b/>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makes a numbe</w:t>
      </w:r>
      <w:r w:rsidR="006E14A5" w:rsidRPr="00515061">
        <w:rPr>
          <w:rFonts w:ascii="Times New Roman" w:hAnsi="Times New Roman" w:cs="Times New Roman"/>
          <w:sz w:val="24"/>
          <w:szCs w:val="24"/>
        </w:rPr>
        <w:t xml:space="preserve">r of amendments to various </w:t>
      </w:r>
      <w:r w:rsidRPr="00515061">
        <w:rPr>
          <w:rFonts w:ascii="Times New Roman" w:hAnsi="Times New Roman" w:cs="Times New Roman"/>
          <w:sz w:val="24"/>
          <w:szCs w:val="24"/>
        </w:rPr>
        <w:t>provisions in the Basin Plan</w:t>
      </w:r>
      <w:r w:rsidR="006E14A5" w:rsidRPr="00515061">
        <w:rPr>
          <w:rFonts w:ascii="Times New Roman" w:hAnsi="Times New Roman" w:cs="Times New Roman"/>
          <w:sz w:val="24"/>
          <w:szCs w:val="24"/>
        </w:rPr>
        <w:t xml:space="preserve"> that are specific to groundwater</w:t>
      </w:r>
      <w:r w:rsidRPr="00515061">
        <w:rPr>
          <w:rFonts w:ascii="Times New Roman" w:hAnsi="Times New Roman" w:cs="Times New Roman"/>
          <w:sz w:val="24"/>
          <w:szCs w:val="24"/>
        </w:rPr>
        <w:t>, including:</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Amendments to implement the </w:t>
      </w:r>
      <w:r w:rsidR="006E14A5" w:rsidRPr="00515061">
        <w:rPr>
          <w:rFonts w:ascii="Times New Roman" w:hAnsi="Times New Roman" w:cs="Times New Roman"/>
          <w:sz w:val="24"/>
          <w:szCs w:val="24"/>
        </w:rPr>
        <w:t>outcomes</w:t>
      </w:r>
      <w:r w:rsidRPr="00515061">
        <w:rPr>
          <w:rFonts w:ascii="Times New Roman" w:hAnsi="Times New Roman" w:cs="Times New Roman"/>
          <w:sz w:val="24"/>
          <w:szCs w:val="24"/>
        </w:rPr>
        <w:t xml:space="preserve"> of three groundwater reviews;</w:t>
      </w:r>
    </w:p>
    <w:p w:rsidR="0090284E" w:rsidRPr="00515061" w:rsidRDefault="0090284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Other groundwater baseline diversion limit and SDL changes;</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Changes to certain groundwater </w:t>
      </w:r>
      <w:r w:rsidR="00305F96" w:rsidRPr="00515061">
        <w:rPr>
          <w:rFonts w:ascii="Times New Roman" w:hAnsi="Times New Roman" w:cs="Times New Roman"/>
          <w:sz w:val="24"/>
          <w:szCs w:val="24"/>
        </w:rPr>
        <w:t>water resource plan (</w:t>
      </w:r>
      <w:r w:rsidRPr="00515061">
        <w:rPr>
          <w:rFonts w:ascii="Times New Roman" w:hAnsi="Times New Roman" w:cs="Times New Roman"/>
          <w:sz w:val="24"/>
          <w:szCs w:val="24"/>
        </w:rPr>
        <w:t>WRP</w:t>
      </w:r>
      <w:r w:rsidR="00305F96" w:rsidRPr="00515061">
        <w:rPr>
          <w:rFonts w:ascii="Times New Roman" w:hAnsi="Times New Roman" w:cs="Times New Roman"/>
          <w:sz w:val="24"/>
          <w:szCs w:val="24"/>
        </w:rPr>
        <w:t>)</w:t>
      </w:r>
      <w:r w:rsidRPr="00515061">
        <w:rPr>
          <w:rFonts w:ascii="Times New Roman" w:hAnsi="Times New Roman" w:cs="Times New Roman"/>
          <w:sz w:val="24"/>
          <w:szCs w:val="24"/>
        </w:rPr>
        <w:t xml:space="preserve"> area boundaries;</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Changes to certain groundwater </w:t>
      </w:r>
      <w:r w:rsidR="00602D63" w:rsidRPr="00515061">
        <w:rPr>
          <w:rFonts w:ascii="Times New Roman" w:hAnsi="Times New Roman" w:cs="Times New Roman"/>
          <w:sz w:val="24"/>
          <w:szCs w:val="24"/>
        </w:rPr>
        <w:t>SDL resource unit</w:t>
      </w:r>
      <w:r w:rsidR="0090284E" w:rsidRPr="00515061">
        <w:rPr>
          <w:rFonts w:ascii="Times New Roman" w:hAnsi="Times New Roman" w:cs="Times New Roman"/>
          <w:sz w:val="24"/>
          <w:szCs w:val="24"/>
        </w:rPr>
        <w:t xml:space="preserve"> boundaries</w:t>
      </w:r>
      <w:r w:rsidRPr="00515061">
        <w:rPr>
          <w:rFonts w:ascii="Times New Roman" w:hAnsi="Times New Roman" w:cs="Times New Roman"/>
          <w:sz w:val="24"/>
          <w:szCs w:val="24"/>
        </w:rPr>
        <w:t>;</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Introducing a new compliance test for groundwater SDL resource units;</w:t>
      </w:r>
      <w:r w:rsidR="00143D86" w:rsidRPr="00515061">
        <w:rPr>
          <w:rFonts w:ascii="Times New Roman" w:hAnsi="Times New Roman" w:cs="Times New Roman"/>
          <w:sz w:val="24"/>
          <w:szCs w:val="24"/>
        </w:rPr>
        <w:t xml:space="preserve"> and</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Providing separate requirements for groundwater water quality management plans.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 xml:space="preserve">Amendments to implement the </w:t>
      </w:r>
      <w:r w:rsidR="006E14A5" w:rsidRPr="00515061">
        <w:rPr>
          <w:rFonts w:ascii="Times New Roman" w:hAnsi="Times New Roman" w:cs="Times New Roman"/>
          <w:b/>
          <w:sz w:val="24"/>
          <w:szCs w:val="24"/>
        </w:rPr>
        <w:t>outcomes</w:t>
      </w:r>
      <w:r w:rsidRPr="00515061">
        <w:rPr>
          <w:rFonts w:ascii="Times New Roman" w:hAnsi="Times New Roman" w:cs="Times New Roman"/>
          <w:b/>
          <w:sz w:val="24"/>
          <w:szCs w:val="24"/>
        </w:rPr>
        <w:t xml:space="preserve"> of three groundwater reviews (items 18, </w:t>
      </w:r>
      <w:r w:rsidR="000F2F4B" w:rsidRPr="00664749">
        <w:rPr>
          <w:rFonts w:ascii="Times New Roman" w:hAnsi="Times New Roman" w:cs="Times New Roman"/>
          <w:b/>
          <w:sz w:val="24"/>
          <w:szCs w:val="24"/>
        </w:rPr>
        <w:t>44,</w:t>
      </w:r>
      <w:r w:rsidR="000F2F4B">
        <w:rPr>
          <w:rFonts w:ascii="Times New Roman" w:hAnsi="Times New Roman" w:cs="Times New Roman"/>
          <w:b/>
          <w:sz w:val="24"/>
          <w:szCs w:val="24"/>
        </w:rPr>
        <w:t xml:space="preserve"> </w:t>
      </w:r>
      <w:r w:rsidRPr="00515061">
        <w:rPr>
          <w:rFonts w:ascii="Times New Roman" w:hAnsi="Times New Roman" w:cs="Times New Roman"/>
          <w:b/>
          <w:sz w:val="24"/>
          <w:szCs w:val="24"/>
        </w:rPr>
        <w:t>4</w:t>
      </w:r>
      <w:r w:rsidR="00E944E7">
        <w:rPr>
          <w:rFonts w:ascii="Times New Roman" w:hAnsi="Times New Roman" w:cs="Times New Roman"/>
          <w:b/>
          <w:sz w:val="24"/>
          <w:szCs w:val="24"/>
        </w:rPr>
        <w:t>5</w:t>
      </w:r>
      <w:r w:rsidRPr="00515061">
        <w:rPr>
          <w:rFonts w:ascii="Times New Roman" w:hAnsi="Times New Roman" w:cs="Times New Roman"/>
          <w:b/>
          <w:sz w:val="24"/>
          <w:szCs w:val="24"/>
        </w:rPr>
        <w:t>, 5</w:t>
      </w:r>
      <w:r w:rsidR="00E944E7">
        <w:rPr>
          <w:rFonts w:ascii="Times New Roman" w:hAnsi="Times New Roman" w:cs="Times New Roman"/>
          <w:b/>
          <w:sz w:val="24"/>
          <w:szCs w:val="24"/>
        </w:rPr>
        <w:t>1</w:t>
      </w:r>
      <w:r w:rsidRPr="00515061">
        <w:rPr>
          <w:rFonts w:ascii="Times New Roman" w:hAnsi="Times New Roman" w:cs="Times New Roman"/>
          <w:b/>
          <w:sz w:val="24"/>
          <w:szCs w:val="24"/>
        </w:rPr>
        <w:t>, 9</w:t>
      </w:r>
      <w:r w:rsidR="00AB3BA4">
        <w:rPr>
          <w:rFonts w:ascii="Times New Roman" w:hAnsi="Times New Roman" w:cs="Times New Roman"/>
          <w:b/>
          <w:sz w:val="24"/>
          <w:szCs w:val="24"/>
        </w:rPr>
        <w:t>5</w:t>
      </w:r>
      <w:r w:rsidR="00860CA6" w:rsidRPr="00515061">
        <w:rPr>
          <w:rFonts w:ascii="Times New Roman" w:hAnsi="Times New Roman" w:cs="Times New Roman"/>
          <w:b/>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4B61BB"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Basin Plan introduced, for the first time, SDLs</w:t>
      </w:r>
      <w:r w:rsidR="00602D63" w:rsidRPr="00515061">
        <w:rPr>
          <w:rFonts w:ascii="Times New Roman" w:hAnsi="Times New Roman" w:cs="Times New Roman"/>
          <w:sz w:val="24"/>
          <w:szCs w:val="24"/>
        </w:rPr>
        <w:t xml:space="preserve"> on all groundwater use in the B</w:t>
      </w:r>
      <w:r w:rsidRPr="00515061">
        <w:rPr>
          <w:rFonts w:ascii="Times New Roman" w:hAnsi="Times New Roman" w:cs="Times New Roman"/>
          <w:sz w:val="24"/>
          <w:szCs w:val="24"/>
        </w:rPr>
        <w:t>asin. S</w:t>
      </w:r>
      <w:r w:rsidR="00B80FF5" w:rsidRPr="00515061">
        <w:rPr>
          <w:rFonts w:ascii="Times New Roman" w:hAnsi="Times New Roman" w:cs="Times New Roman"/>
          <w:sz w:val="24"/>
          <w:szCs w:val="24"/>
        </w:rPr>
        <w:t>ubs</w:t>
      </w:r>
      <w:r w:rsidRPr="00515061">
        <w:rPr>
          <w:rFonts w:ascii="Times New Roman" w:hAnsi="Times New Roman" w:cs="Times New Roman"/>
          <w:sz w:val="24"/>
          <w:szCs w:val="24"/>
        </w:rPr>
        <w:t>ections 6.06(6)</w:t>
      </w:r>
      <w:r w:rsidR="00856AD6" w:rsidRPr="00515061">
        <w:rPr>
          <w:rFonts w:ascii="Times New Roman" w:hAnsi="Times New Roman" w:cs="Times New Roman"/>
          <w:sz w:val="24"/>
          <w:szCs w:val="24"/>
        </w:rPr>
        <w:t>–</w:t>
      </w:r>
      <w:r w:rsidRPr="00515061">
        <w:rPr>
          <w:rFonts w:ascii="Times New Roman" w:hAnsi="Times New Roman" w:cs="Times New Roman"/>
          <w:sz w:val="24"/>
          <w:szCs w:val="24"/>
        </w:rPr>
        <w:t xml:space="preserve">(9) of the Basin Plan </w:t>
      </w:r>
      <w:r w:rsidR="008A58FE" w:rsidRPr="00515061">
        <w:rPr>
          <w:rFonts w:ascii="Times New Roman" w:hAnsi="Times New Roman" w:cs="Times New Roman"/>
          <w:sz w:val="24"/>
          <w:szCs w:val="24"/>
        </w:rPr>
        <w:t>included a requirement for reviews of the baseline diversion limits and SDLs for three groundwater areas:</w:t>
      </w:r>
    </w:p>
    <w:p w:rsidR="008A58FE" w:rsidRPr="00515061" w:rsidRDefault="008A58FE" w:rsidP="00511B9B">
      <w:pPr>
        <w:numPr>
          <w:ilvl w:val="0"/>
          <w:numId w:val="8"/>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Western Porou</w:t>
      </w:r>
      <w:r w:rsidR="00142A3A" w:rsidRPr="00515061">
        <w:rPr>
          <w:rFonts w:ascii="Times New Roman" w:hAnsi="Times New Roman" w:cs="Times New Roman"/>
          <w:sz w:val="24"/>
          <w:szCs w:val="24"/>
        </w:rPr>
        <w:t xml:space="preserve">s Rock SDL resource unit </w:t>
      </w:r>
      <w:r w:rsidRPr="00515061">
        <w:rPr>
          <w:rFonts w:ascii="Times New Roman" w:hAnsi="Times New Roman" w:cs="Times New Roman"/>
          <w:sz w:val="24"/>
          <w:szCs w:val="24"/>
        </w:rPr>
        <w:t>(NSW)</w:t>
      </w:r>
      <w:r w:rsidR="00602D63" w:rsidRPr="00515061">
        <w:rPr>
          <w:rFonts w:ascii="Times New Roman" w:hAnsi="Times New Roman" w:cs="Times New Roman"/>
          <w:sz w:val="24"/>
          <w:szCs w:val="24"/>
        </w:rPr>
        <w:t>;</w:t>
      </w:r>
    </w:p>
    <w:p w:rsidR="008A58FE" w:rsidRPr="00515061" w:rsidRDefault="008A58FE" w:rsidP="00511B9B">
      <w:pPr>
        <w:numPr>
          <w:ilvl w:val="0"/>
          <w:numId w:val="8"/>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Eastern Porous Rock WRP</w:t>
      </w:r>
      <w:r w:rsidR="00142A3A" w:rsidRPr="00515061">
        <w:rPr>
          <w:rFonts w:ascii="Times New Roman" w:hAnsi="Times New Roman" w:cs="Times New Roman"/>
          <w:sz w:val="24"/>
          <w:szCs w:val="24"/>
        </w:rPr>
        <w:t xml:space="preserve"> area</w:t>
      </w:r>
      <w:r w:rsidRPr="00515061">
        <w:rPr>
          <w:rFonts w:ascii="Times New Roman" w:hAnsi="Times New Roman" w:cs="Times New Roman"/>
          <w:sz w:val="24"/>
          <w:szCs w:val="24"/>
        </w:rPr>
        <w:t xml:space="preserve"> (NSW)</w:t>
      </w:r>
      <w:r w:rsidR="00602D63" w:rsidRPr="00515061">
        <w:rPr>
          <w:rFonts w:ascii="Times New Roman" w:hAnsi="Times New Roman" w:cs="Times New Roman"/>
          <w:sz w:val="24"/>
          <w:szCs w:val="24"/>
        </w:rPr>
        <w:t>; and</w:t>
      </w:r>
    </w:p>
    <w:p w:rsidR="008A58FE" w:rsidRPr="00515061" w:rsidRDefault="008A58FE" w:rsidP="00511B9B">
      <w:pPr>
        <w:numPr>
          <w:ilvl w:val="0"/>
          <w:numId w:val="8"/>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Goulburn</w:t>
      </w:r>
      <w:r w:rsidR="00856AD6" w:rsidRPr="00515061">
        <w:rPr>
          <w:rFonts w:ascii="Times New Roman" w:hAnsi="Times New Roman" w:cs="Times New Roman"/>
          <w:sz w:val="24"/>
          <w:szCs w:val="24"/>
        </w:rPr>
        <w:t>-</w:t>
      </w:r>
      <w:r w:rsidR="00602D63" w:rsidRPr="00515061">
        <w:rPr>
          <w:rFonts w:ascii="Times New Roman" w:hAnsi="Times New Roman" w:cs="Times New Roman"/>
          <w:sz w:val="24"/>
          <w:szCs w:val="24"/>
        </w:rPr>
        <w:t>Murray: Sedimentary P</w:t>
      </w:r>
      <w:r w:rsidR="00142A3A" w:rsidRPr="00515061">
        <w:rPr>
          <w:rFonts w:ascii="Times New Roman" w:hAnsi="Times New Roman" w:cs="Times New Roman"/>
          <w:sz w:val="24"/>
          <w:szCs w:val="24"/>
        </w:rPr>
        <w:t>lain SDL resource unit</w:t>
      </w:r>
      <w:r w:rsidRPr="00515061">
        <w:rPr>
          <w:rFonts w:ascii="Times New Roman" w:hAnsi="Times New Roman" w:cs="Times New Roman"/>
          <w:sz w:val="24"/>
          <w:szCs w:val="24"/>
        </w:rPr>
        <w:t xml:space="preserve"> (Victoria).</w:t>
      </w:r>
    </w:p>
    <w:p w:rsidR="00EA3216" w:rsidRPr="00515061" w:rsidRDefault="00EA3216"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Authority engaged </w:t>
      </w:r>
      <w:r w:rsidR="00B34C03" w:rsidRPr="00515061">
        <w:rPr>
          <w:rFonts w:ascii="Times New Roman" w:hAnsi="Times New Roman" w:cs="Times New Roman"/>
          <w:sz w:val="24"/>
          <w:szCs w:val="24"/>
        </w:rPr>
        <w:t xml:space="preserve">three </w:t>
      </w:r>
      <w:r w:rsidRPr="00515061">
        <w:rPr>
          <w:rFonts w:ascii="Times New Roman" w:hAnsi="Times New Roman" w:cs="Times New Roman"/>
          <w:sz w:val="24"/>
          <w:szCs w:val="24"/>
        </w:rPr>
        <w:t xml:space="preserve">expert panels to </w:t>
      </w:r>
      <w:r w:rsidR="00B34C03" w:rsidRPr="00515061">
        <w:rPr>
          <w:rFonts w:ascii="Times New Roman" w:hAnsi="Times New Roman" w:cs="Times New Roman"/>
          <w:sz w:val="24"/>
          <w:szCs w:val="24"/>
        </w:rPr>
        <w:t xml:space="preserve">separately </w:t>
      </w:r>
      <w:r w:rsidRPr="00515061">
        <w:rPr>
          <w:rFonts w:ascii="Times New Roman" w:hAnsi="Times New Roman" w:cs="Times New Roman"/>
          <w:sz w:val="24"/>
          <w:szCs w:val="24"/>
        </w:rPr>
        <w:t xml:space="preserve">review the limits for </w:t>
      </w:r>
      <w:r w:rsidR="00B34C03" w:rsidRPr="00515061">
        <w:rPr>
          <w:rFonts w:ascii="Times New Roman" w:hAnsi="Times New Roman" w:cs="Times New Roman"/>
          <w:sz w:val="24"/>
          <w:szCs w:val="24"/>
        </w:rPr>
        <w:t xml:space="preserve">each of </w:t>
      </w:r>
      <w:r w:rsidRPr="00515061">
        <w:rPr>
          <w:rFonts w:ascii="Times New Roman" w:hAnsi="Times New Roman" w:cs="Times New Roman"/>
          <w:sz w:val="24"/>
          <w:szCs w:val="24"/>
        </w:rPr>
        <w:t>the three groundwater areas following a request from the governments of New South Wales and Victoria (the Groundwater Reviews)</w:t>
      </w:r>
      <w:r w:rsidR="005E59B8" w:rsidRPr="00515061">
        <w:rPr>
          <w:rFonts w:ascii="Times New Roman" w:hAnsi="Times New Roman" w:cs="Times New Roman"/>
          <w:sz w:val="24"/>
          <w:szCs w:val="24"/>
        </w:rPr>
        <w:t>. The Groundwater Reviews are published</w:t>
      </w:r>
      <w:r w:rsidR="00B34C03" w:rsidRPr="00515061">
        <w:rPr>
          <w:rFonts w:ascii="Times New Roman" w:hAnsi="Times New Roman" w:cs="Times New Roman"/>
          <w:sz w:val="24"/>
          <w:szCs w:val="24"/>
        </w:rPr>
        <w:t xml:space="preserve"> on the Authority’s website at </w:t>
      </w:r>
      <w:hyperlink r:id="rId15" w:history="1">
        <w:r w:rsidR="00B34C03" w:rsidRPr="00515061">
          <w:rPr>
            <w:rStyle w:val="Hyperlink"/>
            <w:rFonts w:ascii="Times New Roman" w:hAnsi="Times New Roman" w:cs="Times New Roman"/>
            <w:sz w:val="24"/>
            <w:szCs w:val="24"/>
          </w:rPr>
          <w:t>https://www.mdba.gov.au/basin-plan-roll-out/basin-plan-amendments/basin-plan-amendments-groundwater</w:t>
        </w:r>
      </w:hyperlink>
      <w:r w:rsidR="00B34C03" w:rsidRPr="00515061">
        <w:rPr>
          <w:rFonts w:ascii="Times New Roman" w:hAnsi="Times New Roman" w:cs="Times New Roman"/>
          <w:sz w:val="24"/>
          <w:szCs w:val="24"/>
        </w:rPr>
        <w:t xml:space="preserve">. </w:t>
      </w:r>
      <w:r w:rsidRPr="00515061">
        <w:rPr>
          <w:rFonts w:ascii="Times New Roman" w:hAnsi="Times New Roman" w:cs="Times New Roman"/>
          <w:b/>
          <w:sz w:val="24"/>
          <w:szCs w:val="24"/>
        </w:rPr>
        <w:t>Item 18</w:t>
      </w:r>
      <w:r w:rsidRPr="00515061">
        <w:rPr>
          <w:rFonts w:ascii="Times New Roman" w:hAnsi="Times New Roman" w:cs="Times New Roman"/>
          <w:sz w:val="24"/>
          <w:szCs w:val="24"/>
        </w:rPr>
        <w:t xml:space="preserve"> deletes subsections 6.06(6)-(9) of the Basin Plan as the three Groundwater Reviews have been undertaken, so these provisions are now spent.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As a result of these Groundwater Reviews, and subsequent requests from Basin State governments, the Amendment Instrument changes a number of Basin Plan provisions dealing with how groundwater is </w:t>
      </w:r>
      <w:r w:rsidRPr="00515061">
        <w:rPr>
          <w:rFonts w:ascii="Times New Roman" w:hAnsi="Times New Roman" w:cs="Times New Roman"/>
          <w:bCs/>
          <w:sz w:val="24"/>
          <w:szCs w:val="24"/>
        </w:rPr>
        <w:t>managed</w:t>
      </w:r>
      <w:r w:rsidR="00B34C03" w:rsidRPr="00515061">
        <w:rPr>
          <w:rFonts w:ascii="Times New Roman" w:hAnsi="Times New Roman" w:cs="Times New Roman"/>
          <w:bCs/>
          <w:sz w:val="24"/>
          <w:szCs w:val="24"/>
        </w:rPr>
        <w:t xml:space="preserve"> in the review areas</w:t>
      </w:r>
      <w:r w:rsidRPr="00515061">
        <w:rPr>
          <w:rFonts w:ascii="Times New Roman" w:hAnsi="Times New Roman" w:cs="Times New Roman"/>
          <w:bCs/>
          <w:sz w:val="24"/>
          <w:szCs w:val="24"/>
        </w:rPr>
        <w:t>.</w:t>
      </w:r>
      <w:r w:rsidR="00B34C03" w:rsidRPr="00515061">
        <w:rPr>
          <w:rFonts w:ascii="Times New Roman" w:hAnsi="Times New Roman" w:cs="Times New Roman"/>
          <w:sz w:val="24"/>
          <w:szCs w:val="24"/>
        </w:rPr>
        <w:t xml:space="preserve"> </w:t>
      </w:r>
      <w:r w:rsidR="00B34C03" w:rsidRPr="00515061">
        <w:rPr>
          <w:rFonts w:ascii="Times New Roman" w:hAnsi="Times New Roman" w:cs="Times New Roman"/>
          <w:bCs/>
          <w:sz w:val="24"/>
          <w:szCs w:val="24"/>
        </w:rPr>
        <w:t>The Groundwater Reviews found that the long</w:t>
      </w:r>
      <w:r w:rsidR="009F3224">
        <w:rPr>
          <w:rFonts w:ascii="Times New Roman" w:hAnsi="Times New Roman" w:cs="Times New Roman"/>
          <w:bCs/>
          <w:sz w:val="24"/>
          <w:szCs w:val="24"/>
        </w:rPr>
        <w:t>-</w:t>
      </w:r>
      <w:r w:rsidR="00B34C03" w:rsidRPr="00515061">
        <w:rPr>
          <w:rFonts w:ascii="Times New Roman" w:hAnsi="Times New Roman" w:cs="Times New Roman"/>
          <w:bCs/>
          <w:sz w:val="24"/>
          <w:szCs w:val="24"/>
        </w:rPr>
        <w:t xml:space="preserve">term environmentally sustainable level of take in these areas could be increased as long as the </w:t>
      </w:r>
      <w:r w:rsidR="00CA2439" w:rsidRPr="00515061">
        <w:rPr>
          <w:rFonts w:ascii="Times New Roman" w:hAnsi="Times New Roman" w:cs="Times New Roman"/>
          <w:bCs/>
          <w:sz w:val="24"/>
          <w:szCs w:val="24"/>
        </w:rPr>
        <w:t>Basin S</w:t>
      </w:r>
      <w:r w:rsidR="00B34C03" w:rsidRPr="00515061">
        <w:rPr>
          <w:rFonts w:ascii="Times New Roman" w:hAnsi="Times New Roman" w:cs="Times New Roman"/>
          <w:bCs/>
          <w:sz w:val="24"/>
          <w:szCs w:val="24"/>
        </w:rPr>
        <w:t>tates enforced specific local management rules. The increase in the extraction limits will have minimal potential impact on the environment, as mandatory rules will be in place for Basin State governments to offset any effects.</w:t>
      </w:r>
    </w:p>
    <w:p w:rsidR="008A58FE" w:rsidRPr="00515061" w:rsidRDefault="008A58FE" w:rsidP="00511B9B">
      <w:pPr>
        <w:tabs>
          <w:tab w:val="right" w:pos="9072"/>
        </w:tabs>
        <w:spacing w:after="0" w:line="240" w:lineRule="auto"/>
        <w:rPr>
          <w:rFonts w:ascii="Times New Roman" w:hAnsi="Times New Roman" w:cs="Times New Roman"/>
          <w:bCs/>
          <w:sz w:val="24"/>
          <w:szCs w:val="24"/>
        </w:rPr>
      </w:pPr>
      <w:bookmarkStart w:id="9" w:name="_Toc465685237"/>
      <w:bookmarkStart w:id="10" w:name="_Toc466982399"/>
    </w:p>
    <w:p w:rsidR="00737359" w:rsidRDefault="00737359" w:rsidP="00511B9B">
      <w:pPr>
        <w:tabs>
          <w:tab w:val="right" w:pos="9072"/>
        </w:tabs>
        <w:spacing w:after="0" w:line="240" w:lineRule="auto"/>
        <w:rPr>
          <w:rFonts w:ascii="Times New Roman" w:hAnsi="Times New Roman" w:cs="Times New Roman"/>
          <w:bCs/>
          <w:sz w:val="24"/>
          <w:szCs w:val="24"/>
          <w:u w:val="single"/>
        </w:rPr>
      </w:pPr>
      <w:bookmarkStart w:id="11" w:name="_Toc466982404"/>
    </w:p>
    <w:p w:rsidR="00737359" w:rsidRDefault="00737359"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r w:rsidRPr="00515061">
        <w:rPr>
          <w:rFonts w:ascii="Times New Roman" w:hAnsi="Times New Roman" w:cs="Times New Roman"/>
          <w:bCs/>
          <w:sz w:val="24"/>
          <w:szCs w:val="24"/>
          <w:u w:val="single"/>
        </w:rPr>
        <w:t>Local management rules and adjustment to review provision</w:t>
      </w:r>
      <w:bookmarkEnd w:id="11"/>
    </w:p>
    <w:p w:rsidR="003755DC" w:rsidRPr="00515061" w:rsidRDefault="003755DC"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Amendment Instrument implements the recommendations of the review panels of the three groundwater areas covered by the Groundwater Reviews. In particular the Authority and Basin States focused on allowing more water to be taken from the three groundwater areas once the states demonstrate how they will limit impacts to acceptable levels.</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To implement these recommendations of the review panels, </w:t>
      </w:r>
      <w:r w:rsidR="006B2A71" w:rsidRPr="00515061">
        <w:rPr>
          <w:rFonts w:ascii="Times New Roman" w:hAnsi="Times New Roman" w:cs="Times New Roman"/>
          <w:b/>
          <w:bCs/>
          <w:sz w:val="24"/>
          <w:szCs w:val="24"/>
        </w:rPr>
        <w:t>item 4</w:t>
      </w:r>
      <w:r w:rsidR="00E944E7">
        <w:rPr>
          <w:rFonts w:ascii="Times New Roman" w:hAnsi="Times New Roman" w:cs="Times New Roman"/>
          <w:b/>
          <w:bCs/>
          <w:sz w:val="24"/>
          <w:szCs w:val="24"/>
        </w:rPr>
        <w:t>5</w:t>
      </w:r>
      <w:r w:rsidR="006B2A71" w:rsidRPr="00515061">
        <w:rPr>
          <w:rFonts w:ascii="Times New Roman" w:hAnsi="Times New Roman" w:cs="Times New Roman"/>
          <w:bCs/>
          <w:sz w:val="24"/>
          <w:szCs w:val="24"/>
        </w:rPr>
        <w:t xml:space="preserve"> of </w:t>
      </w:r>
      <w:r w:rsidRPr="00515061">
        <w:rPr>
          <w:rFonts w:ascii="Times New Roman" w:hAnsi="Times New Roman" w:cs="Times New Roman"/>
          <w:bCs/>
          <w:sz w:val="24"/>
          <w:szCs w:val="24"/>
        </w:rPr>
        <w:t xml:space="preserve">the </w:t>
      </w:r>
      <w:r w:rsidR="006B2A71" w:rsidRPr="00515061">
        <w:rPr>
          <w:rFonts w:ascii="Times New Roman" w:hAnsi="Times New Roman" w:cs="Times New Roman"/>
          <w:bCs/>
          <w:sz w:val="24"/>
          <w:szCs w:val="24"/>
        </w:rPr>
        <w:t xml:space="preserve">Amendment Instrument </w:t>
      </w:r>
      <w:r w:rsidRPr="00515061">
        <w:rPr>
          <w:rFonts w:ascii="Times New Roman" w:hAnsi="Times New Roman" w:cs="Times New Roman"/>
          <w:bCs/>
          <w:sz w:val="24"/>
          <w:szCs w:val="24"/>
        </w:rPr>
        <w:t xml:space="preserve">adds a section (section 10.21) to the Basin Plan that makes the local groundwater management rules (section 10.18 to section 10.20) mandatory in the three groundwater areas the groundwater reviews examined. </w:t>
      </w:r>
      <w:r w:rsidRPr="00515061">
        <w:rPr>
          <w:rFonts w:ascii="Times New Roman" w:hAnsi="Times New Roman" w:cs="Times New Roman"/>
          <w:b/>
          <w:bCs/>
          <w:sz w:val="24"/>
          <w:szCs w:val="24"/>
        </w:rPr>
        <w:t>Item 4</w:t>
      </w:r>
      <w:r w:rsidR="00AB3BA4">
        <w:rPr>
          <w:rFonts w:ascii="Times New Roman" w:hAnsi="Times New Roman" w:cs="Times New Roman"/>
          <w:b/>
          <w:bCs/>
          <w:sz w:val="24"/>
          <w:szCs w:val="24"/>
        </w:rPr>
        <w:t>5</w:t>
      </w:r>
      <w:r w:rsidRPr="00515061">
        <w:rPr>
          <w:rFonts w:ascii="Times New Roman" w:hAnsi="Times New Roman" w:cs="Times New Roman"/>
          <w:bCs/>
          <w:sz w:val="24"/>
          <w:szCs w:val="24"/>
        </w:rPr>
        <w:t xml:space="preserve"> also deletes the previous section 10.21. This section ‘Environmental outcomes relating to groundwater’ has been repealed because it has been added as a new section 10.35C ‘Consideration to be given to rules or measures’ in the Amendment Instrument, in respect of requirements to protect the structural integrity of groundwater units and water quality for groundwater water quality management plans (see </w:t>
      </w:r>
      <w:r w:rsidRPr="00515061">
        <w:rPr>
          <w:rFonts w:ascii="Times New Roman" w:hAnsi="Times New Roman" w:cs="Times New Roman"/>
          <w:b/>
          <w:bCs/>
          <w:sz w:val="24"/>
          <w:szCs w:val="24"/>
        </w:rPr>
        <w:t xml:space="preserve">item </w:t>
      </w:r>
      <w:r w:rsidR="00AB3BA4" w:rsidRPr="00515061">
        <w:rPr>
          <w:rFonts w:ascii="Times New Roman" w:hAnsi="Times New Roman" w:cs="Times New Roman"/>
          <w:b/>
          <w:bCs/>
          <w:sz w:val="24"/>
          <w:szCs w:val="24"/>
        </w:rPr>
        <w:t>4</w:t>
      </w:r>
      <w:r w:rsidR="00AB3BA4">
        <w:rPr>
          <w:rFonts w:ascii="Times New Roman" w:hAnsi="Times New Roman" w:cs="Times New Roman"/>
          <w:b/>
          <w:bCs/>
          <w:sz w:val="24"/>
          <w:szCs w:val="24"/>
        </w:rPr>
        <w:t>9</w:t>
      </w:r>
      <w:r w:rsidR="00AB3BA4" w:rsidRPr="00515061">
        <w:rPr>
          <w:rFonts w:ascii="Times New Roman" w:hAnsi="Times New Roman" w:cs="Times New Roman"/>
          <w:bCs/>
          <w:sz w:val="24"/>
          <w:szCs w:val="24"/>
        </w:rPr>
        <w:t xml:space="preserve"> </w:t>
      </w:r>
      <w:r w:rsidR="008F376D" w:rsidRPr="00515061">
        <w:rPr>
          <w:rFonts w:ascii="Times New Roman" w:hAnsi="Times New Roman" w:cs="Times New Roman"/>
          <w:bCs/>
          <w:sz w:val="24"/>
          <w:szCs w:val="24"/>
        </w:rPr>
        <w:t xml:space="preserve">as </w:t>
      </w:r>
      <w:r w:rsidRPr="00515061">
        <w:rPr>
          <w:rFonts w:ascii="Times New Roman" w:hAnsi="Times New Roman" w:cs="Times New Roman"/>
          <w:bCs/>
          <w:sz w:val="24"/>
          <w:szCs w:val="24"/>
        </w:rPr>
        <w:t>discussed below).</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w:t>
      </w:r>
      <w:r w:rsidR="00B34C03" w:rsidRPr="00515061">
        <w:rPr>
          <w:rFonts w:ascii="Times New Roman" w:hAnsi="Times New Roman" w:cs="Times New Roman"/>
          <w:bCs/>
          <w:sz w:val="24"/>
          <w:szCs w:val="24"/>
        </w:rPr>
        <w:t>reviews of the New South Wales</w:t>
      </w:r>
      <w:r w:rsidRPr="00515061">
        <w:rPr>
          <w:rFonts w:ascii="Times New Roman" w:hAnsi="Times New Roman" w:cs="Times New Roman"/>
          <w:bCs/>
          <w:sz w:val="24"/>
          <w:szCs w:val="24"/>
        </w:rPr>
        <w:t xml:space="preserve"> </w:t>
      </w:r>
      <w:r w:rsidR="00B34C03" w:rsidRPr="00515061">
        <w:rPr>
          <w:rFonts w:ascii="Times New Roman" w:hAnsi="Times New Roman" w:cs="Times New Roman"/>
          <w:bCs/>
          <w:sz w:val="24"/>
          <w:szCs w:val="24"/>
        </w:rPr>
        <w:t xml:space="preserve">groundwater areas </w:t>
      </w:r>
      <w:r w:rsidRPr="00515061">
        <w:rPr>
          <w:rFonts w:ascii="Times New Roman" w:hAnsi="Times New Roman" w:cs="Times New Roman"/>
          <w:bCs/>
          <w:sz w:val="24"/>
          <w:szCs w:val="24"/>
        </w:rPr>
        <w:t xml:space="preserve">also recommended </w:t>
      </w:r>
      <w:r w:rsidR="00B34C03" w:rsidRPr="00515061">
        <w:rPr>
          <w:rFonts w:ascii="Times New Roman" w:hAnsi="Times New Roman" w:cs="Times New Roman"/>
          <w:bCs/>
          <w:sz w:val="24"/>
          <w:szCs w:val="24"/>
        </w:rPr>
        <w:t xml:space="preserve">that </w:t>
      </w:r>
      <w:r w:rsidRPr="00515061">
        <w:rPr>
          <w:rFonts w:ascii="Times New Roman" w:hAnsi="Times New Roman" w:cs="Times New Roman"/>
          <w:bCs/>
          <w:sz w:val="24"/>
          <w:szCs w:val="24"/>
        </w:rPr>
        <w:t xml:space="preserve">a process </w:t>
      </w:r>
      <w:r w:rsidR="00B34C03" w:rsidRPr="00515061">
        <w:rPr>
          <w:rFonts w:ascii="Times New Roman" w:hAnsi="Times New Roman" w:cs="Times New Roman"/>
          <w:bCs/>
          <w:sz w:val="24"/>
          <w:szCs w:val="24"/>
        </w:rPr>
        <w:t xml:space="preserve">be included </w:t>
      </w:r>
      <w:r w:rsidRPr="00515061">
        <w:rPr>
          <w:rFonts w:ascii="Times New Roman" w:hAnsi="Times New Roman" w:cs="Times New Roman"/>
          <w:bCs/>
          <w:sz w:val="24"/>
          <w:szCs w:val="24"/>
        </w:rPr>
        <w:t>to</w:t>
      </w:r>
      <w:r w:rsidR="006B2A71" w:rsidRPr="00515061">
        <w:rPr>
          <w:rFonts w:ascii="Times New Roman" w:hAnsi="Times New Roman" w:cs="Times New Roman"/>
          <w:bCs/>
          <w:sz w:val="24"/>
          <w:szCs w:val="24"/>
        </w:rPr>
        <w:t xml:space="preserve"> review these mandatory rules. </w:t>
      </w:r>
      <w:r w:rsidR="006B2A71" w:rsidRPr="00515061">
        <w:rPr>
          <w:rFonts w:ascii="Times New Roman" w:hAnsi="Times New Roman" w:cs="Times New Roman"/>
          <w:b/>
          <w:bCs/>
          <w:sz w:val="24"/>
          <w:szCs w:val="24"/>
        </w:rPr>
        <w:t>Item 5</w:t>
      </w:r>
      <w:r w:rsidR="00AB3BA4">
        <w:rPr>
          <w:rFonts w:ascii="Times New Roman" w:hAnsi="Times New Roman" w:cs="Times New Roman"/>
          <w:b/>
          <w:bCs/>
          <w:sz w:val="24"/>
          <w:szCs w:val="24"/>
        </w:rPr>
        <w:t>1</w:t>
      </w:r>
      <w:r w:rsidR="006B2A71" w:rsidRPr="00515061">
        <w:rPr>
          <w:rFonts w:ascii="Times New Roman" w:hAnsi="Times New Roman" w:cs="Times New Roman"/>
          <w:bCs/>
          <w:sz w:val="24"/>
          <w:szCs w:val="24"/>
        </w:rPr>
        <w:t xml:space="preserve"> of t</w:t>
      </w:r>
      <w:r w:rsidRPr="00515061">
        <w:rPr>
          <w:rFonts w:ascii="Times New Roman" w:hAnsi="Times New Roman" w:cs="Times New Roman"/>
          <w:bCs/>
          <w:sz w:val="24"/>
          <w:szCs w:val="24"/>
        </w:rPr>
        <w:t xml:space="preserve">he Amendment Instrument adds an additional section 10.47A, which </w:t>
      </w:r>
      <w:r w:rsidR="006B2A71" w:rsidRPr="00515061">
        <w:rPr>
          <w:rFonts w:ascii="Times New Roman" w:hAnsi="Times New Roman" w:cs="Times New Roman"/>
          <w:bCs/>
          <w:sz w:val="24"/>
          <w:szCs w:val="24"/>
        </w:rPr>
        <w:t>requires</w:t>
      </w:r>
      <w:r w:rsidRPr="00515061">
        <w:rPr>
          <w:rFonts w:ascii="Times New Roman" w:hAnsi="Times New Roman" w:cs="Times New Roman"/>
          <w:bCs/>
          <w:sz w:val="24"/>
          <w:szCs w:val="24"/>
        </w:rPr>
        <w:t xml:space="preserve"> New South Wales and Victoria to review </w:t>
      </w:r>
      <w:r w:rsidR="00305F96" w:rsidRPr="00515061">
        <w:rPr>
          <w:rFonts w:ascii="Times New Roman" w:hAnsi="Times New Roman" w:cs="Times New Roman"/>
          <w:bCs/>
          <w:sz w:val="24"/>
          <w:szCs w:val="24"/>
        </w:rPr>
        <w:t>both</w:t>
      </w:r>
      <w:r w:rsidR="009355BD"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the effectiveness of the</w:t>
      </w:r>
      <w:r w:rsidR="009355BD" w:rsidRPr="00515061">
        <w:rPr>
          <w:rFonts w:ascii="Times New Roman" w:hAnsi="Times New Roman" w:cs="Times New Roman"/>
          <w:bCs/>
          <w:sz w:val="24"/>
          <w:szCs w:val="24"/>
        </w:rPr>
        <w:t xml:space="preserve"> implementation of the</w:t>
      </w:r>
      <w:r w:rsidRPr="00515061">
        <w:rPr>
          <w:rFonts w:ascii="Times New Roman" w:hAnsi="Times New Roman" w:cs="Times New Roman"/>
          <w:bCs/>
          <w:sz w:val="24"/>
          <w:szCs w:val="24"/>
        </w:rPr>
        <w:t xml:space="preserve"> local management rules </w:t>
      </w:r>
      <w:r w:rsidR="009355BD" w:rsidRPr="00515061">
        <w:rPr>
          <w:rFonts w:ascii="Times New Roman" w:hAnsi="Times New Roman" w:cs="Times New Roman"/>
          <w:bCs/>
          <w:sz w:val="24"/>
          <w:szCs w:val="24"/>
        </w:rPr>
        <w:t xml:space="preserve">and the extent to which the rules achieve the objectives in sections 10.21 and 10.35C </w:t>
      </w:r>
      <w:r w:rsidRPr="00515061">
        <w:rPr>
          <w:rFonts w:ascii="Times New Roman" w:hAnsi="Times New Roman" w:cs="Times New Roman"/>
          <w:bCs/>
          <w:sz w:val="24"/>
          <w:szCs w:val="24"/>
        </w:rPr>
        <w:t xml:space="preserve">whenever </w:t>
      </w:r>
      <w:r w:rsidR="009355BD" w:rsidRPr="00515061">
        <w:rPr>
          <w:rFonts w:ascii="Times New Roman" w:hAnsi="Times New Roman" w:cs="Times New Roman"/>
          <w:bCs/>
          <w:sz w:val="24"/>
          <w:szCs w:val="24"/>
        </w:rPr>
        <w:t xml:space="preserve">a relevant </w:t>
      </w:r>
      <w:r w:rsidRPr="00515061">
        <w:rPr>
          <w:rFonts w:ascii="Times New Roman" w:hAnsi="Times New Roman" w:cs="Times New Roman"/>
          <w:bCs/>
          <w:sz w:val="24"/>
          <w:szCs w:val="24"/>
        </w:rPr>
        <w:t xml:space="preserve">WRP </w:t>
      </w:r>
      <w:r w:rsidR="009355BD" w:rsidRPr="00515061">
        <w:rPr>
          <w:rFonts w:ascii="Times New Roman" w:hAnsi="Times New Roman" w:cs="Times New Roman"/>
          <w:bCs/>
          <w:sz w:val="24"/>
          <w:szCs w:val="24"/>
        </w:rPr>
        <w:t xml:space="preserve">referred to in this section </w:t>
      </w:r>
      <w:r w:rsidRPr="00515061">
        <w:rPr>
          <w:rFonts w:ascii="Times New Roman" w:hAnsi="Times New Roman" w:cs="Times New Roman"/>
          <w:bCs/>
          <w:sz w:val="24"/>
          <w:szCs w:val="24"/>
        </w:rPr>
        <w:t>is reviewed.</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6B2A71" w:rsidRPr="00515061" w:rsidRDefault="006B2A71"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 xml:space="preserve">Item </w:t>
      </w:r>
      <w:r w:rsidR="00AB3BA4">
        <w:rPr>
          <w:rFonts w:ascii="Times New Roman" w:hAnsi="Times New Roman" w:cs="Times New Roman"/>
          <w:b/>
          <w:bCs/>
          <w:sz w:val="24"/>
          <w:szCs w:val="24"/>
        </w:rPr>
        <w:t>4</w:t>
      </w:r>
      <w:r w:rsidR="003C45CA">
        <w:rPr>
          <w:rFonts w:ascii="Times New Roman" w:hAnsi="Times New Roman" w:cs="Times New Roman"/>
          <w:b/>
          <w:bCs/>
          <w:sz w:val="24"/>
          <w:szCs w:val="24"/>
        </w:rPr>
        <w:t>4</w:t>
      </w:r>
      <w:r w:rsidRPr="00515061">
        <w:rPr>
          <w:rFonts w:ascii="Times New Roman" w:hAnsi="Times New Roman" w:cs="Times New Roman"/>
          <w:bCs/>
          <w:sz w:val="24"/>
          <w:szCs w:val="24"/>
        </w:rPr>
        <w:t xml:space="preserve"> of the Amendment Instrument</w:t>
      </w:r>
      <w:r w:rsidR="0030320B" w:rsidRPr="00515061">
        <w:rPr>
          <w:rFonts w:ascii="Times New Roman" w:hAnsi="Times New Roman" w:cs="Times New Roman"/>
          <w:bCs/>
          <w:sz w:val="24"/>
          <w:szCs w:val="24"/>
        </w:rPr>
        <w:t xml:space="preserve"> clarifies the operation of section 10.20 to ensure that structural damage to an aquifer is not too broadly defined, for instance to include the drilling of a basic rights bore which could cause some structural damage.</w:t>
      </w:r>
      <w:r w:rsidR="002F657A" w:rsidRPr="00515061">
        <w:rPr>
          <w:rFonts w:ascii="Times New Roman" w:hAnsi="Times New Roman" w:cs="Times New Roman"/>
          <w:bCs/>
          <w:sz w:val="24"/>
          <w:szCs w:val="24"/>
        </w:rPr>
        <w:t xml:space="preserve"> This will enable reasonable implementation of the WRP requirements of the Basin Plan.</w:t>
      </w:r>
      <w:r w:rsidR="0030320B" w:rsidRPr="00515061">
        <w:rPr>
          <w:rFonts w:ascii="Times New Roman" w:hAnsi="Times New Roman" w:cs="Times New Roman"/>
          <w:bCs/>
          <w:sz w:val="24"/>
          <w:szCs w:val="24"/>
        </w:rPr>
        <w:t xml:space="preserve"> </w:t>
      </w:r>
      <w:r w:rsidR="0030320B" w:rsidRPr="00515061">
        <w:rPr>
          <w:rFonts w:ascii="Times New Roman" w:hAnsi="Times New Roman" w:cs="Times New Roman"/>
          <w:b/>
          <w:bCs/>
          <w:sz w:val="24"/>
          <w:szCs w:val="24"/>
        </w:rPr>
        <w:t>Item 4</w:t>
      </w:r>
      <w:r w:rsidR="003C45CA">
        <w:rPr>
          <w:rFonts w:ascii="Times New Roman" w:hAnsi="Times New Roman" w:cs="Times New Roman"/>
          <w:b/>
          <w:bCs/>
          <w:sz w:val="24"/>
          <w:szCs w:val="24"/>
        </w:rPr>
        <w:t>4</w:t>
      </w:r>
      <w:r w:rsidR="0030320B" w:rsidRPr="00515061">
        <w:rPr>
          <w:rFonts w:ascii="Times New Roman" w:hAnsi="Times New Roman" w:cs="Times New Roman"/>
          <w:bCs/>
          <w:sz w:val="24"/>
          <w:szCs w:val="24"/>
        </w:rPr>
        <w:t xml:space="preserve"> amends section 10.20 to provide that a WRP must be prepared having regard to whether it is necessary for it to include rules to ensure the operation of the plan does not compromise </w:t>
      </w:r>
      <w:r w:rsidR="002F657A" w:rsidRPr="00515061">
        <w:rPr>
          <w:rFonts w:ascii="Times New Roman" w:hAnsi="Times New Roman" w:cs="Times New Roman"/>
          <w:bCs/>
          <w:sz w:val="24"/>
          <w:szCs w:val="24"/>
        </w:rPr>
        <w:t>either</w:t>
      </w:r>
      <w:r w:rsidR="0030320B" w:rsidRPr="00515061">
        <w:rPr>
          <w:rFonts w:ascii="Times New Roman" w:hAnsi="Times New Roman" w:cs="Times New Roman"/>
          <w:bCs/>
          <w:sz w:val="24"/>
          <w:szCs w:val="24"/>
        </w:rPr>
        <w:t xml:space="preserve"> the overall structural integrity of the aquifer arising from take within the SDLs, or the overall hydraulic relationships between</w:t>
      </w:r>
      <w:r w:rsidR="00DC6043" w:rsidRPr="00515061">
        <w:rPr>
          <w:rFonts w:ascii="Times New Roman" w:hAnsi="Times New Roman" w:cs="Times New Roman"/>
          <w:bCs/>
          <w:sz w:val="24"/>
          <w:szCs w:val="24"/>
        </w:rPr>
        <w:t xml:space="preserve"> and within groundwater systems, or between groundwater and surface water systems.</w:t>
      </w:r>
    </w:p>
    <w:p w:rsidR="006B2A71" w:rsidRPr="00515061" w:rsidRDefault="006B2A71"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12" w:name="_Toc466982405"/>
      <w:bookmarkStart w:id="13" w:name="_Toc465685244"/>
      <w:r w:rsidRPr="00515061">
        <w:rPr>
          <w:rFonts w:ascii="Times New Roman" w:hAnsi="Times New Roman" w:cs="Times New Roman"/>
          <w:bCs/>
          <w:sz w:val="24"/>
          <w:szCs w:val="24"/>
          <w:u w:val="single"/>
        </w:rPr>
        <w:t>Changes to matters relating to groundwater SDL resource units</w:t>
      </w:r>
      <w:bookmarkEnd w:id="12"/>
      <w:r w:rsidRPr="00515061">
        <w:rPr>
          <w:rFonts w:ascii="Times New Roman" w:hAnsi="Times New Roman" w:cs="Times New Roman"/>
          <w:bCs/>
          <w:sz w:val="24"/>
          <w:szCs w:val="24"/>
          <w:u w:val="single"/>
        </w:rPr>
        <w:t>, including SDL changes</w:t>
      </w:r>
    </w:p>
    <w:p w:rsidR="003755DC" w:rsidRPr="00515061" w:rsidRDefault="003755DC" w:rsidP="00511B9B">
      <w:pPr>
        <w:tabs>
          <w:tab w:val="right" w:pos="9072"/>
        </w:tabs>
        <w:spacing w:after="0" w:line="240" w:lineRule="auto"/>
        <w:rPr>
          <w:rFonts w:ascii="Times New Roman" w:hAnsi="Times New Roman" w:cs="Times New Roman"/>
          <w:bCs/>
          <w:sz w:val="24"/>
          <w:szCs w:val="24"/>
          <w:u w:val="single"/>
        </w:rPr>
      </w:pPr>
    </w:p>
    <w:p w:rsidR="008A58FE" w:rsidRPr="00515061" w:rsidRDefault="000240FC"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Schedule 4 of the Basin Plan lists 80</w:t>
      </w:r>
      <w:r w:rsidR="008A58FE" w:rsidRPr="00515061">
        <w:rPr>
          <w:rFonts w:ascii="Times New Roman" w:hAnsi="Times New Roman" w:cs="Times New Roman"/>
          <w:bCs/>
          <w:sz w:val="24"/>
          <w:szCs w:val="24"/>
        </w:rPr>
        <w:t xml:space="preserve"> groundwater SDL resource units, including name, SDL volume, </w:t>
      </w:r>
      <w:r w:rsidR="002158E9" w:rsidRPr="00515061">
        <w:rPr>
          <w:rFonts w:ascii="Times New Roman" w:hAnsi="Times New Roman" w:cs="Times New Roman"/>
          <w:bCs/>
          <w:sz w:val="24"/>
          <w:szCs w:val="24"/>
        </w:rPr>
        <w:t xml:space="preserve">baseline diversion limit </w:t>
      </w:r>
      <w:r w:rsidR="008A58FE" w:rsidRPr="00515061">
        <w:rPr>
          <w:rFonts w:ascii="Times New Roman" w:hAnsi="Times New Roman" w:cs="Times New Roman"/>
          <w:bCs/>
          <w:sz w:val="24"/>
          <w:szCs w:val="24"/>
        </w:rPr>
        <w:t xml:space="preserve">volume and the </w:t>
      </w:r>
      <w:r w:rsidR="00BD0C2E" w:rsidRPr="00515061">
        <w:rPr>
          <w:rFonts w:ascii="Times New Roman" w:hAnsi="Times New Roman" w:cs="Times New Roman"/>
          <w:bCs/>
          <w:sz w:val="24"/>
          <w:szCs w:val="24"/>
        </w:rPr>
        <w:t xml:space="preserve">definition of the </w:t>
      </w:r>
      <w:r w:rsidR="008A58FE" w:rsidRPr="00515061">
        <w:rPr>
          <w:rFonts w:ascii="Times New Roman" w:hAnsi="Times New Roman" w:cs="Times New Roman"/>
          <w:bCs/>
          <w:sz w:val="24"/>
          <w:szCs w:val="24"/>
        </w:rPr>
        <w:t>groundwater resources covered by each SDL resource unit.</w:t>
      </w:r>
      <w:r w:rsidR="002F1E13" w:rsidRPr="00515061">
        <w:rPr>
          <w:rFonts w:ascii="Times New Roman" w:hAnsi="Times New Roman" w:cs="Times New Roman"/>
          <w:bCs/>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bookmarkEnd w:id="13"/>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panels for the Groundwater Reviews for the two New South Wales </w:t>
      </w:r>
      <w:r w:rsidR="000240FC" w:rsidRPr="00515061">
        <w:rPr>
          <w:rFonts w:ascii="Times New Roman" w:hAnsi="Times New Roman" w:cs="Times New Roman"/>
          <w:bCs/>
          <w:sz w:val="24"/>
          <w:szCs w:val="24"/>
        </w:rPr>
        <w:t xml:space="preserve">groundwater areas </w:t>
      </w:r>
      <w:r w:rsidRPr="00515061">
        <w:rPr>
          <w:rFonts w:ascii="Times New Roman" w:hAnsi="Times New Roman" w:cs="Times New Roman"/>
          <w:bCs/>
          <w:sz w:val="24"/>
          <w:szCs w:val="24"/>
        </w:rPr>
        <w:t xml:space="preserve">and </w:t>
      </w:r>
      <w:r w:rsidR="000240FC" w:rsidRPr="00515061">
        <w:rPr>
          <w:rFonts w:ascii="Times New Roman" w:hAnsi="Times New Roman" w:cs="Times New Roman"/>
          <w:bCs/>
          <w:sz w:val="24"/>
          <w:szCs w:val="24"/>
        </w:rPr>
        <w:t xml:space="preserve">the </w:t>
      </w:r>
      <w:r w:rsidRPr="00515061">
        <w:rPr>
          <w:rFonts w:ascii="Times New Roman" w:hAnsi="Times New Roman" w:cs="Times New Roman"/>
          <w:bCs/>
          <w:sz w:val="24"/>
          <w:szCs w:val="24"/>
        </w:rPr>
        <w:t>one Victoria</w:t>
      </w:r>
      <w:r w:rsidR="000240FC" w:rsidRPr="00515061">
        <w:rPr>
          <w:rFonts w:ascii="Times New Roman" w:hAnsi="Times New Roman" w:cs="Times New Roman"/>
          <w:bCs/>
          <w:sz w:val="24"/>
          <w:szCs w:val="24"/>
        </w:rPr>
        <w:t>n groundwater SDL resource unit</w:t>
      </w:r>
      <w:r w:rsidRPr="00515061">
        <w:rPr>
          <w:rFonts w:ascii="Times New Roman" w:hAnsi="Times New Roman" w:cs="Times New Roman"/>
          <w:bCs/>
          <w:sz w:val="24"/>
          <w:szCs w:val="24"/>
        </w:rPr>
        <w:t xml:space="preserve"> supported an increase in SDL volumes in </w:t>
      </w:r>
      <w:r w:rsidR="00BD0C2E" w:rsidRPr="00515061">
        <w:rPr>
          <w:rFonts w:ascii="Times New Roman" w:hAnsi="Times New Roman" w:cs="Times New Roman"/>
          <w:bCs/>
          <w:sz w:val="24"/>
          <w:szCs w:val="24"/>
        </w:rPr>
        <w:t>th</w:t>
      </w:r>
      <w:r w:rsidRPr="00515061">
        <w:rPr>
          <w:rFonts w:ascii="Times New Roman" w:hAnsi="Times New Roman" w:cs="Times New Roman"/>
          <w:bCs/>
          <w:sz w:val="24"/>
          <w:szCs w:val="24"/>
        </w:rPr>
        <w:t>e</w:t>
      </w:r>
      <w:r w:rsidR="00BD0C2E" w:rsidRPr="00515061">
        <w:rPr>
          <w:rFonts w:ascii="Times New Roman" w:hAnsi="Times New Roman" w:cs="Times New Roman"/>
          <w:bCs/>
          <w:sz w:val="24"/>
          <w:szCs w:val="24"/>
        </w:rPr>
        <w:t xml:space="preserve"> four SDL resource</w:t>
      </w:r>
      <w:r w:rsidRPr="00515061">
        <w:rPr>
          <w:rFonts w:ascii="Times New Roman" w:hAnsi="Times New Roman" w:cs="Times New Roman"/>
          <w:bCs/>
          <w:sz w:val="24"/>
          <w:szCs w:val="24"/>
        </w:rPr>
        <w:t xml:space="preserve"> units</w:t>
      </w:r>
      <w:r w:rsidR="00BD0C2E" w:rsidRPr="00515061">
        <w:rPr>
          <w:rFonts w:ascii="Times New Roman" w:hAnsi="Times New Roman" w:cs="Times New Roman"/>
          <w:bCs/>
          <w:sz w:val="24"/>
          <w:szCs w:val="24"/>
        </w:rPr>
        <w:t xml:space="preserve"> reviewed</w:t>
      </w:r>
      <w:r w:rsidRPr="00515061">
        <w:rPr>
          <w:rFonts w:ascii="Times New Roman" w:hAnsi="Times New Roman" w:cs="Times New Roman"/>
          <w:bCs/>
          <w:sz w:val="24"/>
          <w:szCs w:val="24"/>
        </w:rPr>
        <w:t xml:space="preserve"> (see Table 2 below and </w:t>
      </w:r>
      <w:r w:rsidRPr="00515061">
        <w:rPr>
          <w:rFonts w:ascii="Times New Roman" w:hAnsi="Times New Roman" w:cs="Times New Roman"/>
          <w:b/>
          <w:bCs/>
          <w:sz w:val="24"/>
          <w:szCs w:val="24"/>
        </w:rPr>
        <w:t>item 9</w:t>
      </w:r>
      <w:r w:rsidR="008070A9">
        <w:rPr>
          <w:rFonts w:ascii="Times New Roman" w:hAnsi="Times New Roman" w:cs="Times New Roman"/>
          <w:b/>
          <w:bCs/>
          <w:sz w:val="24"/>
          <w:szCs w:val="24"/>
        </w:rPr>
        <w:t>5</w:t>
      </w:r>
      <w:r w:rsidRPr="00515061">
        <w:rPr>
          <w:rFonts w:ascii="Times New Roman" w:hAnsi="Times New Roman" w:cs="Times New Roman"/>
          <w:bCs/>
          <w:sz w:val="24"/>
          <w:szCs w:val="24"/>
        </w:rPr>
        <w:t xml:space="preserve">). This reflects the view of the panels that a less conservative approach to setting SDLs than that </w:t>
      </w:r>
      <w:r w:rsidR="00BD0C2E" w:rsidRPr="00515061">
        <w:rPr>
          <w:rFonts w:ascii="Times New Roman" w:hAnsi="Times New Roman" w:cs="Times New Roman"/>
          <w:bCs/>
          <w:sz w:val="24"/>
          <w:szCs w:val="24"/>
        </w:rPr>
        <w:t xml:space="preserve">previously </w:t>
      </w:r>
      <w:r w:rsidRPr="00515061">
        <w:rPr>
          <w:rFonts w:ascii="Times New Roman" w:hAnsi="Times New Roman" w:cs="Times New Roman"/>
          <w:bCs/>
          <w:sz w:val="24"/>
          <w:szCs w:val="24"/>
        </w:rPr>
        <w:t xml:space="preserve">taken by the Authority can be justified if suitable management actions are in place to manage the potential impacts of increased groundwater take. The Amendment Instrument amends the Basin Plan to provide for mandatory local management rules in section 10.21 (see </w:t>
      </w:r>
      <w:r w:rsidRPr="00515061">
        <w:rPr>
          <w:rFonts w:ascii="Times New Roman" w:hAnsi="Times New Roman" w:cs="Times New Roman"/>
          <w:b/>
          <w:bCs/>
          <w:sz w:val="24"/>
          <w:szCs w:val="24"/>
        </w:rPr>
        <w:t>item 4</w:t>
      </w:r>
      <w:r w:rsidR="00443F5E">
        <w:rPr>
          <w:rFonts w:ascii="Times New Roman" w:hAnsi="Times New Roman" w:cs="Times New Roman"/>
          <w:b/>
          <w:bCs/>
          <w:sz w:val="24"/>
          <w:szCs w:val="24"/>
        </w:rPr>
        <w:t>5</w:t>
      </w:r>
      <w:r w:rsidRPr="00515061">
        <w:rPr>
          <w:rFonts w:ascii="Times New Roman" w:hAnsi="Times New Roman" w:cs="Times New Roman"/>
          <w:bCs/>
          <w:sz w:val="24"/>
          <w:szCs w:val="24"/>
        </w:rPr>
        <w:t xml:space="preserve"> </w:t>
      </w:r>
      <w:r w:rsidR="00A403C0" w:rsidRPr="00515061">
        <w:rPr>
          <w:rFonts w:ascii="Times New Roman" w:hAnsi="Times New Roman" w:cs="Times New Roman"/>
          <w:bCs/>
          <w:sz w:val="24"/>
          <w:szCs w:val="24"/>
        </w:rPr>
        <w:t xml:space="preserve">as discussed </w:t>
      </w:r>
      <w:r w:rsidRPr="00515061">
        <w:rPr>
          <w:rFonts w:ascii="Times New Roman" w:hAnsi="Times New Roman" w:cs="Times New Roman"/>
          <w:bCs/>
          <w:sz w:val="24"/>
          <w:szCs w:val="24"/>
        </w:rPr>
        <w:t>above). The Authority recognised this as the most appropriate mechanism for managing the potential impacts of increasing the SDLs above their current volumes.</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CE2C13" w:rsidRPr="00515061" w:rsidRDefault="00BD0C2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w:t>
      </w:r>
      <w:r w:rsidR="00CE2C13" w:rsidRPr="00515061">
        <w:rPr>
          <w:rFonts w:ascii="Times New Roman" w:hAnsi="Times New Roman" w:cs="Times New Roman"/>
          <w:bCs/>
          <w:sz w:val="24"/>
          <w:szCs w:val="24"/>
        </w:rPr>
        <w:t>G</w:t>
      </w:r>
      <w:r w:rsidR="002F1E13" w:rsidRPr="00515061">
        <w:rPr>
          <w:rFonts w:ascii="Times New Roman" w:hAnsi="Times New Roman" w:cs="Times New Roman"/>
          <w:bCs/>
          <w:sz w:val="24"/>
          <w:szCs w:val="24"/>
        </w:rPr>
        <w:t xml:space="preserve">roundwater </w:t>
      </w:r>
      <w:r w:rsidR="00CE2C13" w:rsidRPr="00515061">
        <w:rPr>
          <w:rFonts w:ascii="Times New Roman" w:hAnsi="Times New Roman" w:cs="Times New Roman"/>
          <w:bCs/>
          <w:sz w:val="24"/>
          <w:szCs w:val="24"/>
        </w:rPr>
        <w:t>R</w:t>
      </w:r>
      <w:r w:rsidR="008A58FE" w:rsidRPr="00515061">
        <w:rPr>
          <w:rFonts w:ascii="Times New Roman" w:hAnsi="Times New Roman" w:cs="Times New Roman"/>
          <w:bCs/>
          <w:sz w:val="24"/>
          <w:szCs w:val="24"/>
        </w:rPr>
        <w:t>eview panel</w:t>
      </w:r>
      <w:r w:rsidRPr="00515061">
        <w:rPr>
          <w:rFonts w:ascii="Times New Roman" w:hAnsi="Times New Roman" w:cs="Times New Roman"/>
          <w:bCs/>
          <w:sz w:val="24"/>
          <w:szCs w:val="24"/>
        </w:rPr>
        <w:t xml:space="preserve"> for the Victorian groundwater areas also</w:t>
      </w:r>
      <w:r w:rsidR="008A58FE" w:rsidRPr="00515061">
        <w:rPr>
          <w:rFonts w:ascii="Times New Roman" w:hAnsi="Times New Roman" w:cs="Times New Roman"/>
          <w:bCs/>
          <w:sz w:val="24"/>
          <w:szCs w:val="24"/>
        </w:rPr>
        <w:t xml:space="preserve"> recommended small changes to the</w:t>
      </w:r>
      <w:r w:rsidR="001C34EA" w:rsidRPr="00515061">
        <w:rPr>
          <w:rFonts w:ascii="Times New Roman" w:hAnsi="Times New Roman" w:cs="Times New Roman"/>
          <w:bCs/>
          <w:sz w:val="24"/>
          <w:szCs w:val="24"/>
        </w:rPr>
        <w:t xml:space="preserve"> SDL resource unit</w:t>
      </w:r>
      <w:r w:rsidR="008A58FE"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boundaries in the review area</w:t>
      </w:r>
      <w:r w:rsidR="001C34EA" w:rsidRPr="00515061">
        <w:rPr>
          <w:rFonts w:ascii="Times New Roman" w:hAnsi="Times New Roman" w:cs="Times New Roman"/>
          <w:bCs/>
          <w:sz w:val="24"/>
          <w:szCs w:val="24"/>
        </w:rPr>
        <w:t xml:space="preserve"> to align them with the Victorian groundwater unit planning boundaries</w:t>
      </w:r>
      <w:r w:rsidRPr="00515061">
        <w:rPr>
          <w:rFonts w:ascii="Times New Roman" w:hAnsi="Times New Roman" w:cs="Times New Roman"/>
          <w:bCs/>
          <w:sz w:val="24"/>
          <w:szCs w:val="24"/>
        </w:rPr>
        <w:t xml:space="preserve">. </w:t>
      </w:r>
      <w:r w:rsidR="008A58FE" w:rsidRPr="00515061">
        <w:rPr>
          <w:rFonts w:ascii="Times New Roman" w:hAnsi="Times New Roman" w:cs="Times New Roman"/>
          <w:bCs/>
          <w:sz w:val="24"/>
          <w:szCs w:val="24"/>
        </w:rPr>
        <w:t xml:space="preserve">This recommendation </w:t>
      </w:r>
      <w:r w:rsidR="00616229" w:rsidRPr="00515061">
        <w:rPr>
          <w:rFonts w:ascii="Times New Roman" w:hAnsi="Times New Roman" w:cs="Times New Roman"/>
          <w:bCs/>
          <w:sz w:val="24"/>
          <w:szCs w:val="24"/>
        </w:rPr>
        <w:t xml:space="preserve">was </w:t>
      </w:r>
      <w:r w:rsidR="008A58FE" w:rsidRPr="00515061">
        <w:rPr>
          <w:rFonts w:ascii="Times New Roman" w:hAnsi="Times New Roman" w:cs="Times New Roman"/>
          <w:bCs/>
          <w:sz w:val="24"/>
          <w:szCs w:val="24"/>
        </w:rPr>
        <w:t>adopted</w:t>
      </w:r>
      <w:r w:rsidR="00335F99" w:rsidRPr="00515061">
        <w:rPr>
          <w:rFonts w:ascii="Times New Roman" w:hAnsi="Times New Roman" w:cs="Times New Roman"/>
          <w:bCs/>
          <w:sz w:val="24"/>
          <w:szCs w:val="24"/>
        </w:rPr>
        <w:t xml:space="preserve"> for the Goulburn-Murray</w:t>
      </w:r>
      <w:r w:rsidR="001C34EA" w:rsidRPr="00515061">
        <w:rPr>
          <w:rFonts w:ascii="Times New Roman" w:hAnsi="Times New Roman" w:cs="Times New Roman"/>
          <w:bCs/>
          <w:sz w:val="24"/>
          <w:szCs w:val="24"/>
        </w:rPr>
        <w:t>:</w:t>
      </w:r>
      <w:r w:rsidR="00335F99" w:rsidRPr="00515061">
        <w:rPr>
          <w:rFonts w:ascii="Times New Roman" w:hAnsi="Times New Roman" w:cs="Times New Roman"/>
          <w:bCs/>
          <w:sz w:val="24"/>
          <w:szCs w:val="24"/>
        </w:rPr>
        <w:t xml:space="preserve"> </w:t>
      </w:r>
      <w:r w:rsidR="001C34EA" w:rsidRPr="00515061">
        <w:rPr>
          <w:rFonts w:ascii="Times New Roman" w:hAnsi="Times New Roman" w:cs="Times New Roman"/>
          <w:bCs/>
          <w:sz w:val="24"/>
          <w:szCs w:val="24"/>
        </w:rPr>
        <w:t xml:space="preserve">Sedimentary Plain and Goulburn-Murray: Highlands </w:t>
      </w:r>
      <w:r w:rsidR="00335F99" w:rsidRPr="00515061">
        <w:rPr>
          <w:rFonts w:ascii="Times New Roman" w:hAnsi="Times New Roman" w:cs="Times New Roman"/>
          <w:bCs/>
          <w:sz w:val="24"/>
          <w:szCs w:val="24"/>
        </w:rPr>
        <w:t xml:space="preserve">groundwater </w:t>
      </w:r>
      <w:r w:rsidR="001C34EA" w:rsidRPr="00515061">
        <w:rPr>
          <w:rFonts w:ascii="Times New Roman" w:hAnsi="Times New Roman" w:cs="Times New Roman"/>
          <w:bCs/>
          <w:sz w:val="24"/>
          <w:szCs w:val="24"/>
        </w:rPr>
        <w:t>SDL resource units</w:t>
      </w:r>
      <w:r w:rsidR="008A58FE" w:rsidRPr="00515061">
        <w:rPr>
          <w:rFonts w:ascii="Times New Roman" w:hAnsi="Times New Roman" w:cs="Times New Roman"/>
          <w:bCs/>
          <w:sz w:val="24"/>
          <w:szCs w:val="24"/>
        </w:rPr>
        <w:t xml:space="preserve"> in the Amendment Instrument</w:t>
      </w:r>
      <w:r w:rsidR="00CA2439" w:rsidRPr="00515061">
        <w:rPr>
          <w:rFonts w:ascii="Times New Roman" w:hAnsi="Times New Roman" w:cs="Times New Roman"/>
          <w:bCs/>
          <w:sz w:val="24"/>
          <w:szCs w:val="24"/>
        </w:rPr>
        <w:t>. A</w:t>
      </w:r>
      <w:r w:rsidR="008A58FE" w:rsidRPr="00515061">
        <w:rPr>
          <w:rFonts w:ascii="Times New Roman" w:hAnsi="Times New Roman" w:cs="Times New Roman"/>
          <w:bCs/>
          <w:sz w:val="24"/>
          <w:szCs w:val="24"/>
        </w:rPr>
        <w:t xml:space="preserve">lso, after consultation with Victoria, </w:t>
      </w:r>
      <w:r w:rsidR="00335F99" w:rsidRPr="00515061">
        <w:rPr>
          <w:rFonts w:ascii="Times New Roman" w:hAnsi="Times New Roman" w:cs="Times New Roman"/>
          <w:bCs/>
          <w:sz w:val="24"/>
          <w:szCs w:val="24"/>
        </w:rPr>
        <w:t xml:space="preserve">this </w:t>
      </w:r>
      <w:r w:rsidR="00616229" w:rsidRPr="00515061">
        <w:rPr>
          <w:rFonts w:ascii="Times New Roman" w:hAnsi="Times New Roman" w:cs="Times New Roman"/>
          <w:bCs/>
          <w:sz w:val="24"/>
          <w:szCs w:val="24"/>
        </w:rPr>
        <w:t xml:space="preserve">small change to the boundaries </w:t>
      </w:r>
      <w:r w:rsidR="00335F99" w:rsidRPr="00515061">
        <w:rPr>
          <w:rFonts w:ascii="Times New Roman" w:hAnsi="Times New Roman" w:cs="Times New Roman"/>
          <w:bCs/>
          <w:sz w:val="24"/>
          <w:szCs w:val="24"/>
        </w:rPr>
        <w:t xml:space="preserve">was </w:t>
      </w:r>
      <w:r w:rsidR="008A58FE" w:rsidRPr="00515061">
        <w:rPr>
          <w:rFonts w:ascii="Times New Roman" w:hAnsi="Times New Roman" w:cs="Times New Roman"/>
          <w:bCs/>
          <w:sz w:val="24"/>
          <w:szCs w:val="24"/>
        </w:rPr>
        <w:t xml:space="preserve">applied </w:t>
      </w:r>
      <w:r w:rsidR="001C34EA" w:rsidRPr="00515061">
        <w:rPr>
          <w:rFonts w:ascii="Times New Roman" w:hAnsi="Times New Roman" w:cs="Times New Roman"/>
          <w:bCs/>
          <w:sz w:val="24"/>
          <w:szCs w:val="24"/>
        </w:rPr>
        <w:t xml:space="preserve">to the groundwater SDL resource units </w:t>
      </w:r>
      <w:r w:rsidR="008A58FE" w:rsidRPr="00515061">
        <w:rPr>
          <w:rFonts w:ascii="Times New Roman" w:hAnsi="Times New Roman" w:cs="Times New Roman"/>
          <w:bCs/>
          <w:sz w:val="24"/>
          <w:szCs w:val="24"/>
        </w:rPr>
        <w:t xml:space="preserve">in the Victorian </w:t>
      </w:r>
      <w:r w:rsidR="00721E46" w:rsidRPr="00515061">
        <w:rPr>
          <w:rFonts w:ascii="Times New Roman" w:hAnsi="Times New Roman" w:cs="Times New Roman"/>
          <w:bCs/>
          <w:sz w:val="24"/>
          <w:szCs w:val="24"/>
        </w:rPr>
        <w:t xml:space="preserve">Wimmera-Mallee </w:t>
      </w:r>
      <w:r w:rsidR="008A58FE" w:rsidRPr="00515061">
        <w:rPr>
          <w:rFonts w:ascii="Times New Roman" w:hAnsi="Times New Roman" w:cs="Times New Roman"/>
          <w:bCs/>
          <w:sz w:val="24"/>
          <w:szCs w:val="24"/>
        </w:rPr>
        <w:t>groundwater WRP area</w:t>
      </w:r>
      <w:r w:rsidR="00721E46" w:rsidRPr="00515061">
        <w:rPr>
          <w:rFonts w:ascii="Times New Roman" w:hAnsi="Times New Roman" w:cs="Times New Roman"/>
          <w:bCs/>
          <w:sz w:val="24"/>
          <w:szCs w:val="24"/>
        </w:rPr>
        <w:t xml:space="preserve"> for consistency, noting Victoria has </w:t>
      </w:r>
      <w:r w:rsidR="00313BF9" w:rsidRPr="00515061">
        <w:rPr>
          <w:rFonts w:ascii="Times New Roman" w:hAnsi="Times New Roman" w:cs="Times New Roman"/>
          <w:bCs/>
          <w:sz w:val="24"/>
          <w:szCs w:val="24"/>
        </w:rPr>
        <w:t xml:space="preserve">only </w:t>
      </w:r>
      <w:r w:rsidR="00721E46" w:rsidRPr="00515061">
        <w:rPr>
          <w:rFonts w:ascii="Times New Roman" w:hAnsi="Times New Roman" w:cs="Times New Roman"/>
          <w:bCs/>
          <w:sz w:val="24"/>
          <w:szCs w:val="24"/>
        </w:rPr>
        <w:t>two groundwater WRPs</w:t>
      </w:r>
      <w:r w:rsidR="008A58FE" w:rsidRPr="00515061">
        <w:rPr>
          <w:rFonts w:ascii="Times New Roman" w:hAnsi="Times New Roman" w:cs="Times New Roman"/>
          <w:bCs/>
          <w:sz w:val="24"/>
          <w:szCs w:val="24"/>
        </w:rPr>
        <w:t>. This</w:t>
      </w:r>
      <w:r w:rsidR="00A92DEF" w:rsidRPr="00515061">
        <w:rPr>
          <w:rFonts w:ascii="Times New Roman" w:hAnsi="Times New Roman" w:cs="Times New Roman"/>
          <w:bCs/>
          <w:sz w:val="24"/>
          <w:szCs w:val="24"/>
        </w:rPr>
        <w:t xml:space="preserve"> change to the boundaries </w:t>
      </w:r>
      <w:r w:rsidR="008A58FE" w:rsidRPr="00515061">
        <w:rPr>
          <w:rFonts w:ascii="Times New Roman" w:hAnsi="Times New Roman" w:cs="Times New Roman"/>
          <w:bCs/>
          <w:sz w:val="24"/>
          <w:szCs w:val="24"/>
        </w:rPr>
        <w:t>has resulted in a small reallocation of SDLs between two SDL resource units</w:t>
      </w:r>
      <w:r w:rsidR="00F60809" w:rsidRPr="00515061">
        <w:rPr>
          <w:rFonts w:ascii="Times New Roman" w:hAnsi="Times New Roman" w:cs="Times New Roman"/>
          <w:bCs/>
          <w:sz w:val="24"/>
          <w:szCs w:val="24"/>
        </w:rPr>
        <w:t xml:space="preserve"> (Wimmera-Mallee: Sedimentary Plain and Wimmera-Mallee:</w:t>
      </w:r>
      <w:r w:rsidR="008A58FE" w:rsidRPr="00515061">
        <w:rPr>
          <w:rFonts w:ascii="Times New Roman" w:hAnsi="Times New Roman" w:cs="Times New Roman"/>
          <w:bCs/>
          <w:sz w:val="24"/>
          <w:szCs w:val="24"/>
        </w:rPr>
        <w:t xml:space="preserve"> </w:t>
      </w:r>
      <w:r w:rsidR="00F60809" w:rsidRPr="00515061">
        <w:rPr>
          <w:rFonts w:ascii="Times New Roman" w:hAnsi="Times New Roman" w:cs="Times New Roman"/>
          <w:bCs/>
          <w:sz w:val="24"/>
          <w:szCs w:val="24"/>
        </w:rPr>
        <w:t xml:space="preserve">Highlands) </w:t>
      </w:r>
      <w:r w:rsidR="008A58FE" w:rsidRPr="00515061">
        <w:rPr>
          <w:rFonts w:ascii="Times New Roman" w:hAnsi="Times New Roman" w:cs="Times New Roman"/>
          <w:bCs/>
          <w:sz w:val="24"/>
          <w:szCs w:val="24"/>
        </w:rPr>
        <w:t>in the Wimmera</w:t>
      </w:r>
      <w:r w:rsidR="00856AD6" w:rsidRPr="00515061">
        <w:rPr>
          <w:rFonts w:ascii="Times New Roman" w:hAnsi="Times New Roman" w:cs="Times New Roman"/>
          <w:bCs/>
          <w:sz w:val="24"/>
          <w:szCs w:val="24"/>
        </w:rPr>
        <w:t>-</w:t>
      </w:r>
      <w:r w:rsidR="008A58FE" w:rsidRPr="00515061">
        <w:rPr>
          <w:rFonts w:ascii="Times New Roman" w:hAnsi="Times New Roman" w:cs="Times New Roman"/>
          <w:bCs/>
          <w:sz w:val="24"/>
          <w:szCs w:val="24"/>
        </w:rPr>
        <w:t xml:space="preserve">Mallee (groundwater) WRP area (Victoria) (GW3) (see </w:t>
      </w:r>
      <w:r w:rsidR="00FF2195" w:rsidRPr="00515061">
        <w:rPr>
          <w:rFonts w:ascii="Times New Roman" w:hAnsi="Times New Roman" w:cs="Times New Roman"/>
          <w:b/>
          <w:bCs/>
          <w:sz w:val="24"/>
          <w:szCs w:val="24"/>
        </w:rPr>
        <w:t>item </w:t>
      </w:r>
      <w:r w:rsidR="008A58FE" w:rsidRPr="00515061">
        <w:rPr>
          <w:rFonts w:ascii="Times New Roman" w:hAnsi="Times New Roman" w:cs="Times New Roman"/>
          <w:b/>
          <w:bCs/>
          <w:sz w:val="24"/>
          <w:szCs w:val="24"/>
        </w:rPr>
        <w:t>9</w:t>
      </w:r>
      <w:r w:rsidR="00443F5E">
        <w:rPr>
          <w:rFonts w:ascii="Times New Roman" w:hAnsi="Times New Roman" w:cs="Times New Roman"/>
          <w:b/>
          <w:bCs/>
          <w:sz w:val="24"/>
          <w:szCs w:val="24"/>
        </w:rPr>
        <w:t>5</w:t>
      </w:r>
      <w:r w:rsidR="008A58FE" w:rsidRPr="00515061">
        <w:rPr>
          <w:rFonts w:ascii="Times New Roman" w:hAnsi="Times New Roman" w:cs="Times New Roman"/>
          <w:b/>
          <w:bCs/>
          <w:sz w:val="24"/>
          <w:szCs w:val="24"/>
        </w:rPr>
        <w:t xml:space="preserve"> </w:t>
      </w:r>
      <w:r w:rsidR="008A58FE" w:rsidRPr="00515061">
        <w:rPr>
          <w:rFonts w:ascii="Times New Roman" w:hAnsi="Times New Roman" w:cs="Times New Roman"/>
          <w:bCs/>
          <w:sz w:val="24"/>
          <w:szCs w:val="24"/>
        </w:rPr>
        <w:t xml:space="preserve">of the Amendment Instrument, in particular items 6 and 7 in Schedule 4 of the amended Basin Plan). </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p w:rsidR="00876623" w:rsidRPr="00515061" w:rsidRDefault="00CE2C13"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Note that section 22, item 2 of the Water Act states that the water resource planning areas (including SDL resource unit boundaries) in the Basin Plan should be aligned, as far as possible, with the state water resource planning areas. </w:t>
      </w:r>
      <w:r w:rsidR="008A58FE" w:rsidRPr="00515061">
        <w:rPr>
          <w:rFonts w:ascii="Times New Roman" w:hAnsi="Times New Roman" w:cs="Times New Roman"/>
          <w:bCs/>
          <w:sz w:val="24"/>
          <w:szCs w:val="24"/>
        </w:rPr>
        <w:t xml:space="preserve">Table 2 below also illustrates how the SDL has changed for these </w:t>
      </w:r>
      <w:r w:rsidRPr="00515061">
        <w:rPr>
          <w:rFonts w:ascii="Times New Roman" w:hAnsi="Times New Roman" w:cs="Times New Roman"/>
          <w:bCs/>
          <w:sz w:val="24"/>
          <w:szCs w:val="24"/>
        </w:rPr>
        <w:t xml:space="preserve">Victorian </w:t>
      </w:r>
      <w:r w:rsidR="008A58FE" w:rsidRPr="00515061">
        <w:rPr>
          <w:rFonts w:ascii="Times New Roman" w:hAnsi="Times New Roman" w:cs="Times New Roman"/>
          <w:bCs/>
          <w:sz w:val="24"/>
          <w:szCs w:val="24"/>
        </w:rPr>
        <w:t>SDL resource units.</w:t>
      </w:r>
    </w:p>
    <w:p w:rsidR="00876623" w:rsidRPr="00515061" w:rsidRDefault="00876623" w:rsidP="00511B9B">
      <w:pPr>
        <w:tabs>
          <w:tab w:val="right" w:pos="9072"/>
        </w:tabs>
        <w:spacing w:after="0" w:line="240" w:lineRule="auto"/>
        <w:rPr>
          <w:rFonts w:ascii="Times New Roman" w:hAnsi="Times New Roman" w:cs="Times New Roman"/>
          <w:bCs/>
          <w:sz w:val="24"/>
          <w:szCs w:val="24"/>
        </w:rPr>
      </w:pPr>
    </w:p>
    <w:p w:rsidR="0090284E" w:rsidRPr="00515061" w:rsidRDefault="0090284E" w:rsidP="00511B9B">
      <w:pPr>
        <w:pStyle w:val="ListParagraph"/>
        <w:numPr>
          <w:ilvl w:val="0"/>
          <w:numId w:val="10"/>
        </w:num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Other groundwater baseline diversion limit and SDL changes</w:t>
      </w:r>
      <w:r w:rsidR="00506E1C" w:rsidRPr="00515061">
        <w:rPr>
          <w:rFonts w:ascii="Times New Roman" w:hAnsi="Times New Roman" w:cs="Times New Roman"/>
          <w:b/>
          <w:sz w:val="24"/>
          <w:szCs w:val="24"/>
        </w:rPr>
        <w:t xml:space="preserve"> (item 9</w:t>
      </w:r>
      <w:r w:rsidR="00443F5E">
        <w:rPr>
          <w:rFonts w:ascii="Times New Roman" w:hAnsi="Times New Roman" w:cs="Times New Roman"/>
          <w:b/>
          <w:sz w:val="24"/>
          <w:szCs w:val="24"/>
        </w:rPr>
        <w:t>5</w:t>
      </w:r>
      <w:r w:rsidR="00506E1C" w:rsidRPr="00515061">
        <w:rPr>
          <w:rFonts w:ascii="Times New Roman" w:hAnsi="Times New Roman" w:cs="Times New Roman"/>
          <w:b/>
          <w:sz w:val="24"/>
          <w:szCs w:val="24"/>
        </w:rPr>
        <w:t>)</w:t>
      </w:r>
    </w:p>
    <w:p w:rsidR="0090284E" w:rsidRPr="00515061" w:rsidRDefault="0090284E" w:rsidP="00511B9B">
      <w:pPr>
        <w:tabs>
          <w:tab w:val="right" w:pos="9072"/>
        </w:tabs>
        <w:spacing w:after="0" w:line="240" w:lineRule="auto"/>
        <w:rPr>
          <w:rFonts w:ascii="Times New Roman" w:hAnsi="Times New Roman" w:cs="Times New Roman"/>
          <w:bCs/>
          <w:sz w:val="24"/>
          <w:szCs w:val="24"/>
        </w:rPr>
      </w:pPr>
    </w:p>
    <w:p w:rsidR="00313BF9"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In addition to </w:t>
      </w:r>
      <w:r w:rsidR="00313BF9" w:rsidRPr="00515061">
        <w:rPr>
          <w:rFonts w:ascii="Times New Roman" w:hAnsi="Times New Roman" w:cs="Times New Roman"/>
          <w:bCs/>
          <w:sz w:val="24"/>
          <w:szCs w:val="24"/>
        </w:rPr>
        <w:t>an increase in SDLs in the four SDL resource units as a result of the Groundwater Reviews, some other changes to baseline diversion limits and SDLs were made in groundwater areas, as outline</w:t>
      </w:r>
      <w:r w:rsidR="00CA2439" w:rsidRPr="00515061">
        <w:rPr>
          <w:rFonts w:ascii="Times New Roman" w:hAnsi="Times New Roman" w:cs="Times New Roman"/>
          <w:bCs/>
          <w:sz w:val="24"/>
          <w:szCs w:val="24"/>
        </w:rPr>
        <w:t xml:space="preserve">d below. </w:t>
      </w:r>
      <w:r w:rsidR="00313BF9" w:rsidRPr="00515061">
        <w:rPr>
          <w:rFonts w:ascii="Times New Roman" w:hAnsi="Times New Roman" w:cs="Times New Roman"/>
          <w:bCs/>
          <w:sz w:val="24"/>
          <w:szCs w:val="24"/>
        </w:rPr>
        <w:t xml:space="preserve">These changes to SDLs </w:t>
      </w:r>
      <w:r w:rsidR="00CA2439" w:rsidRPr="00515061">
        <w:rPr>
          <w:rFonts w:ascii="Times New Roman" w:hAnsi="Times New Roman" w:cs="Times New Roman"/>
          <w:bCs/>
          <w:sz w:val="24"/>
          <w:szCs w:val="24"/>
        </w:rPr>
        <w:t xml:space="preserve">are all minor and </w:t>
      </w:r>
      <w:r w:rsidR="00313BF9" w:rsidRPr="00515061">
        <w:rPr>
          <w:rFonts w:ascii="Times New Roman" w:hAnsi="Times New Roman" w:cs="Times New Roman"/>
          <w:bCs/>
          <w:sz w:val="24"/>
          <w:szCs w:val="24"/>
        </w:rPr>
        <w:t xml:space="preserve">still ensure an environmentally sustainable level of take in these groundwater areas, as </w:t>
      </w:r>
      <w:r w:rsidR="00CA2439" w:rsidRPr="00515061">
        <w:rPr>
          <w:rFonts w:ascii="Times New Roman" w:hAnsi="Times New Roman" w:cs="Times New Roman"/>
          <w:bCs/>
          <w:sz w:val="24"/>
          <w:szCs w:val="24"/>
        </w:rPr>
        <w:t>further explained below</w:t>
      </w:r>
      <w:r w:rsidR="0075739A" w:rsidRPr="00515061">
        <w:rPr>
          <w:rFonts w:ascii="Times New Roman" w:hAnsi="Times New Roman" w:cs="Times New Roman"/>
          <w:bCs/>
          <w:sz w:val="24"/>
          <w:szCs w:val="24"/>
        </w:rPr>
        <w:t>.</w:t>
      </w:r>
    </w:p>
    <w:p w:rsidR="0098126A" w:rsidRPr="00515061" w:rsidRDefault="0098126A" w:rsidP="00511B9B">
      <w:pPr>
        <w:tabs>
          <w:tab w:val="right" w:pos="9072"/>
        </w:tabs>
        <w:spacing w:after="0" w:line="240" w:lineRule="auto"/>
        <w:rPr>
          <w:rFonts w:ascii="Times New Roman" w:hAnsi="Times New Roman" w:cs="Times New Roman"/>
          <w:bCs/>
          <w:sz w:val="24"/>
          <w:szCs w:val="24"/>
        </w:rPr>
      </w:pPr>
    </w:p>
    <w:p w:rsidR="0098126A"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South Australia asked the Authority to amend a number of baseline diversion limits and SDL volumes in the South Australian Murray Region WRP area (see </w:t>
      </w:r>
      <w:r w:rsidRPr="00515061">
        <w:rPr>
          <w:rFonts w:ascii="Times New Roman" w:hAnsi="Times New Roman" w:cs="Times New Roman"/>
          <w:b/>
          <w:bCs/>
          <w:sz w:val="24"/>
          <w:szCs w:val="24"/>
        </w:rPr>
        <w:t>item 9</w:t>
      </w:r>
      <w:r w:rsidR="00443F5E">
        <w:rPr>
          <w:rFonts w:ascii="Times New Roman" w:hAnsi="Times New Roman" w:cs="Times New Roman"/>
          <w:b/>
          <w:bCs/>
          <w:sz w:val="24"/>
          <w:szCs w:val="24"/>
        </w:rPr>
        <w:t>5</w:t>
      </w:r>
      <w:r w:rsidRPr="00515061">
        <w:rPr>
          <w:rFonts w:ascii="Times New Roman" w:hAnsi="Times New Roman" w:cs="Times New Roman"/>
          <w:bCs/>
          <w:sz w:val="24"/>
          <w:szCs w:val="24"/>
        </w:rPr>
        <w:t xml:space="preserve"> of the Amendment Instrument, in particular items 10 and 15 in Schedule 4 of the amended Basin Plan). This was to account for some minor inaccuracies in the baseline diversion limit and SDL volumes when the Basin Plan was being made. </w:t>
      </w:r>
      <w:r w:rsidR="0098126A" w:rsidRPr="00515061">
        <w:rPr>
          <w:rFonts w:ascii="Times New Roman" w:hAnsi="Times New Roman" w:cs="Times New Roman"/>
          <w:bCs/>
          <w:sz w:val="24"/>
          <w:szCs w:val="24"/>
        </w:rPr>
        <w:t>Table 2 below also illustrates how the SDL has changed for these SDL resource units, that is, the Mallee (Murray Group Limestone) SDL res</w:t>
      </w:r>
      <w:r w:rsidR="00B61B1B" w:rsidRPr="00515061">
        <w:rPr>
          <w:rFonts w:ascii="Times New Roman" w:hAnsi="Times New Roman" w:cs="Times New Roman"/>
          <w:bCs/>
          <w:sz w:val="24"/>
          <w:szCs w:val="24"/>
        </w:rPr>
        <w:t>ource unit</w:t>
      </w:r>
      <w:r w:rsidR="0098126A" w:rsidRPr="00515061">
        <w:rPr>
          <w:rFonts w:ascii="Times New Roman" w:hAnsi="Times New Roman" w:cs="Times New Roman"/>
          <w:bCs/>
          <w:sz w:val="24"/>
          <w:szCs w:val="24"/>
        </w:rPr>
        <w:t xml:space="preserve"> has decreased by 2.1 GL per year (both the SDL and the </w:t>
      </w:r>
      <w:r w:rsidR="00B9412F" w:rsidRPr="00515061">
        <w:rPr>
          <w:rFonts w:ascii="Times New Roman" w:hAnsi="Times New Roman" w:cs="Times New Roman"/>
          <w:bCs/>
          <w:sz w:val="24"/>
          <w:szCs w:val="24"/>
        </w:rPr>
        <w:t>baseline diversion limit</w:t>
      </w:r>
      <w:r w:rsidR="0098126A" w:rsidRPr="00515061">
        <w:rPr>
          <w:rFonts w:ascii="Times New Roman" w:hAnsi="Times New Roman" w:cs="Times New Roman"/>
          <w:bCs/>
          <w:sz w:val="24"/>
          <w:szCs w:val="24"/>
        </w:rPr>
        <w:t>) and the SA Murray Salt Interceptio</w:t>
      </w:r>
      <w:r w:rsidR="00B61B1B" w:rsidRPr="00515061">
        <w:rPr>
          <w:rFonts w:ascii="Times New Roman" w:hAnsi="Times New Roman" w:cs="Times New Roman"/>
          <w:bCs/>
          <w:sz w:val="24"/>
          <w:szCs w:val="24"/>
        </w:rPr>
        <w:t>n Schemes SDL resource unit</w:t>
      </w:r>
      <w:r w:rsidR="0098126A" w:rsidRPr="00515061">
        <w:rPr>
          <w:rFonts w:ascii="Times New Roman" w:hAnsi="Times New Roman" w:cs="Times New Roman"/>
          <w:bCs/>
          <w:sz w:val="24"/>
          <w:szCs w:val="24"/>
        </w:rPr>
        <w:t xml:space="preserve"> </w:t>
      </w:r>
      <w:r w:rsidR="00B9412F" w:rsidRPr="00515061">
        <w:rPr>
          <w:rFonts w:ascii="Times New Roman" w:hAnsi="Times New Roman" w:cs="Times New Roman"/>
          <w:bCs/>
          <w:sz w:val="24"/>
          <w:szCs w:val="24"/>
        </w:rPr>
        <w:t>baseline diversion limit</w:t>
      </w:r>
      <w:r w:rsidR="0098126A" w:rsidRPr="00515061">
        <w:rPr>
          <w:rFonts w:ascii="Times New Roman" w:hAnsi="Times New Roman" w:cs="Times New Roman"/>
          <w:bCs/>
          <w:sz w:val="24"/>
          <w:szCs w:val="24"/>
        </w:rPr>
        <w:t xml:space="preserve"> has increased by 2.1 GL per year.</w:t>
      </w:r>
      <w:r w:rsidR="00B9412F" w:rsidRPr="00515061">
        <w:rPr>
          <w:rFonts w:ascii="Times New Roman" w:hAnsi="Times New Roman" w:cs="Times New Roman"/>
          <w:bCs/>
          <w:sz w:val="24"/>
          <w:szCs w:val="24"/>
        </w:rPr>
        <w:t xml:space="preserve"> </w:t>
      </w:r>
      <w:r w:rsidR="0098126A" w:rsidRPr="00515061">
        <w:rPr>
          <w:rFonts w:ascii="Times New Roman" w:hAnsi="Times New Roman" w:cs="Times New Roman"/>
          <w:bCs/>
          <w:sz w:val="24"/>
          <w:szCs w:val="24"/>
        </w:rPr>
        <w:t xml:space="preserve">The SDL for the </w:t>
      </w:r>
      <w:r w:rsidR="00B9412F" w:rsidRPr="00515061">
        <w:rPr>
          <w:rFonts w:ascii="Times New Roman" w:hAnsi="Times New Roman" w:cs="Times New Roman"/>
          <w:bCs/>
          <w:sz w:val="24"/>
          <w:szCs w:val="24"/>
        </w:rPr>
        <w:t>SA Murray Salt Interception</w:t>
      </w:r>
      <w:r w:rsidR="00B61B1B" w:rsidRPr="00515061">
        <w:rPr>
          <w:rFonts w:ascii="Times New Roman" w:hAnsi="Times New Roman" w:cs="Times New Roman"/>
          <w:bCs/>
          <w:sz w:val="24"/>
          <w:szCs w:val="24"/>
        </w:rPr>
        <w:t xml:space="preserve"> Schemes SDL resource unit </w:t>
      </w:r>
      <w:r w:rsidR="0098126A" w:rsidRPr="00515061">
        <w:rPr>
          <w:rFonts w:ascii="Times New Roman" w:hAnsi="Times New Roman" w:cs="Times New Roman"/>
          <w:bCs/>
          <w:sz w:val="24"/>
          <w:szCs w:val="24"/>
        </w:rPr>
        <w:t>was not increased because there was considered to be room for growth under the current SDL.</w:t>
      </w:r>
      <w:r w:rsidR="0098126A" w:rsidRPr="00515061" w:rsidDel="00E71B73">
        <w:rPr>
          <w:rFonts w:ascii="Times New Roman" w:hAnsi="Times New Roman" w:cs="Times New Roman"/>
          <w:bCs/>
          <w:sz w:val="24"/>
          <w:szCs w:val="24"/>
        </w:rPr>
        <w:t xml:space="preserve"> </w:t>
      </w:r>
    </w:p>
    <w:p w:rsidR="0098126A" w:rsidRPr="00515061" w:rsidRDefault="0098126A" w:rsidP="00511B9B">
      <w:pPr>
        <w:tabs>
          <w:tab w:val="right" w:pos="9072"/>
        </w:tabs>
        <w:spacing w:after="0" w:line="240" w:lineRule="auto"/>
        <w:rPr>
          <w:rFonts w:ascii="Times New Roman" w:hAnsi="Times New Roman" w:cs="Times New Roman"/>
          <w:bCs/>
          <w:sz w:val="24"/>
          <w:szCs w:val="24"/>
        </w:rPr>
      </w:pPr>
    </w:p>
    <w:p w:rsidR="0098126A" w:rsidRPr="00515061" w:rsidRDefault="0098126A"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ACT requested the Authority to increase the </w:t>
      </w:r>
      <w:r w:rsidR="00B9412F" w:rsidRPr="00515061">
        <w:rPr>
          <w:rFonts w:ascii="Times New Roman" w:hAnsi="Times New Roman" w:cs="Times New Roman"/>
          <w:bCs/>
          <w:sz w:val="24"/>
          <w:szCs w:val="24"/>
        </w:rPr>
        <w:t xml:space="preserve">baseline diversion limit </w:t>
      </w:r>
      <w:r w:rsidRPr="00515061">
        <w:rPr>
          <w:rFonts w:ascii="Times New Roman" w:hAnsi="Times New Roman" w:cs="Times New Roman"/>
          <w:bCs/>
          <w:sz w:val="24"/>
          <w:szCs w:val="24"/>
        </w:rPr>
        <w:t xml:space="preserve">estimates for groundwater, based on new information, recent investigations and the subsequent issuing of entitlements, which indicate that the Commonwealth was using more water in the ACT in 2009 than was previously allowed for. Accordingly, </w:t>
      </w:r>
      <w:r w:rsidRPr="00515061">
        <w:rPr>
          <w:rFonts w:ascii="Times New Roman" w:hAnsi="Times New Roman" w:cs="Times New Roman"/>
          <w:b/>
          <w:bCs/>
          <w:sz w:val="24"/>
          <w:szCs w:val="24"/>
        </w:rPr>
        <w:t>Item 9</w:t>
      </w:r>
      <w:r w:rsidR="00443F5E">
        <w:rPr>
          <w:rFonts w:ascii="Times New Roman" w:hAnsi="Times New Roman" w:cs="Times New Roman"/>
          <w:b/>
          <w:bCs/>
          <w:sz w:val="24"/>
          <w:szCs w:val="24"/>
        </w:rPr>
        <w:t>5</w:t>
      </w:r>
      <w:r w:rsidRPr="00515061">
        <w:rPr>
          <w:rFonts w:ascii="Times New Roman" w:hAnsi="Times New Roman" w:cs="Times New Roman"/>
          <w:bCs/>
          <w:sz w:val="24"/>
          <w:szCs w:val="24"/>
        </w:rPr>
        <w:t xml:space="preserve"> of the Amendment Instrument increases the </w:t>
      </w:r>
      <w:r w:rsidR="00B9412F" w:rsidRPr="00515061">
        <w:rPr>
          <w:rFonts w:ascii="Times New Roman" w:hAnsi="Times New Roman" w:cs="Times New Roman"/>
          <w:bCs/>
          <w:sz w:val="24"/>
          <w:szCs w:val="24"/>
        </w:rPr>
        <w:t>baseline diversion limit</w:t>
      </w:r>
      <w:r w:rsidRPr="00515061">
        <w:rPr>
          <w:rFonts w:ascii="Times New Roman" w:hAnsi="Times New Roman" w:cs="Times New Roman"/>
          <w:bCs/>
          <w:sz w:val="24"/>
          <w:szCs w:val="24"/>
        </w:rPr>
        <w:t xml:space="preserve"> for the ACT’s groundwater WRP area by 0.57 GL per year, from 1.70 GL to 2.27 GL per year (</w:t>
      </w:r>
      <w:r w:rsidR="00640950" w:rsidRPr="00515061">
        <w:rPr>
          <w:rFonts w:ascii="Times New Roman" w:hAnsi="Times New Roman" w:cs="Times New Roman"/>
          <w:bCs/>
          <w:sz w:val="24"/>
          <w:szCs w:val="24"/>
        </w:rPr>
        <w:t xml:space="preserve">see </w:t>
      </w:r>
      <w:r w:rsidRPr="00515061">
        <w:rPr>
          <w:rFonts w:ascii="Times New Roman" w:hAnsi="Times New Roman" w:cs="Times New Roman"/>
          <w:bCs/>
          <w:sz w:val="24"/>
          <w:szCs w:val="24"/>
        </w:rPr>
        <w:t xml:space="preserve">item 1 in Schedule 4 of the amended Basin Plan). No change to the ACT groundwater SDL is proposed as there is still room for growth under the current SDL of 3.16. </w:t>
      </w:r>
    </w:p>
    <w:p w:rsidR="00E63433" w:rsidRPr="00515061" w:rsidRDefault="00E63433" w:rsidP="00511B9B">
      <w:pPr>
        <w:tabs>
          <w:tab w:val="right" w:pos="9072"/>
        </w:tabs>
        <w:spacing w:after="0" w:line="240" w:lineRule="auto"/>
        <w:rPr>
          <w:rFonts w:ascii="Times New Roman" w:hAnsi="Times New Roman" w:cs="Times New Roman"/>
          <w:bCs/>
          <w:sz w:val="24"/>
          <w:szCs w:val="24"/>
        </w:rPr>
      </w:pPr>
    </w:p>
    <w:p w:rsidR="00D5042F"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I</w:t>
      </w:r>
      <w:r w:rsidR="00640950" w:rsidRPr="00515061">
        <w:rPr>
          <w:rFonts w:ascii="Times New Roman" w:hAnsi="Times New Roman" w:cs="Times New Roman"/>
          <w:bCs/>
          <w:sz w:val="24"/>
          <w:szCs w:val="24"/>
        </w:rPr>
        <w:t xml:space="preserve">n total, the groundwater </w:t>
      </w:r>
      <w:r w:rsidR="00B9412F" w:rsidRPr="00515061">
        <w:rPr>
          <w:rFonts w:ascii="Times New Roman" w:hAnsi="Times New Roman" w:cs="Times New Roman"/>
          <w:bCs/>
          <w:sz w:val="24"/>
          <w:szCs w:val="24"/>
        </w:rPr>
        <w:t>bas</w:t>
      </w:r>
      <w:r w:rsidR="00640950" w:rsidRPr="00515061">
        <w:rPr>
          <w:rFonts w:ascii="Times New Roman" w:hAnsi="Times New Roman" w:cs="Times New Roman"/>
          <w:bCs/>
          <w:sz w:val="24"/>
          <w:szCs w:val="24"/>
        </w:rPr>
        <w:t xml:space="preserve">eline diversion limit and SDL </w:t>
      </w:r>
      <w:r w:rsidRPr="00515061">
        <w:rPr>
          <w:rFonts w:ascii="Times New Roman" w:hAnsi="Times New Roman" w:cs="Times New Roman"/>
          <w:bCs/>
          <w:sz w:val="24"/>
          <w:szCs w:val="24"/>
        </w:rPr>
        <w:t xml:space="preserve">changes </w:t>
      </w:r>
      <w:r w:rsidR="00640950" w:rsidRPr="00515061">
        <w:rPr>
          <w:rFonts w:ascii="Times New Roman" w:hAnsi="Times New Roman" w:cs="Times New Roman"/>
          <w:bCs/>
          <w:sz w:val="24"/>
          <w:szCs w:val="24"/>
        </w:rPr>
        <w:t xml:space="preserve">detailed in this </w:t>
      </w:r>
      <w:r w:rsidR="00305F96" w:rsidRPr="00515061">
        <w:rPr>
          <w:rFonts w:ascii="Times New Roman" w:hAnsi="Times New Roman" w:cs="Times New Roman"/>
          <w:bCs/>
          <w:sz w:val="24"/>
          <w:szCs w:val="24"/>
        </w:rPr>
        <w:t>explanatory statement</w:t>
      </w:r>
      <w:r w:rsidR="00640950" w:rsidRPr="00515061">
        <w:rPr>
          <w:rFonts w:ascii="Times New Roman" w:hAnsi="Times New Roman" w:cs="Times New Roman"/>
          <w:bCs/>
          <w:sz w:val="24"/>
          <w:szCs w:val="24"/>
        </w:rPr>
        <w:t xml:space="preserve"> at </w:t>
      </w:r>
      <w:r w:rsidR="00640950" w:rsidRPr="00515061">
        <w:rPr>
          <w:rFonts w:ascii="Times New Roman" w:hAnsi="Times New Roman" w:cs="Times New Roman"/>
          <w:bCs/>
          <w:i/>
          <w:sz w:val="24"/>
          <w:szCs w:val="24"/>
        </w:rPr>
        <w:t>2(a) Amendments to implement the recommendations of three groundwater reviews and 2(b) Other groundwater baseline diversion limit and SDL changes</w:t>
      </w:r>
      <w:r w:rsidR="00640950"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will affect eight SDLs and t</w:t>
      </w:r>
      <w:r w:rsidR="00640950" w:rsidRPr="00515061">
        <w:rPr>
          <w:rFonts w:ascii="Times New Roman" w:hAnsi="Times New Roman" w:cs="Times New Roman"/>
          <w:bCs/>
          <w:sz w:val="24"/>
          <w:szCs w:val="24"/>
        </w:rPr>
        <w:t>hree</w:t>
      </w:r>
      <w:r w:rsidRPr="00515061">
        <w:rPr>
          <w:rFonts w:ascii="Times New Roman" w:hAnsi="Times New Roman" w:cs="Times New Roman"/>
          <w:bCs/>
          <w:sz w:val="24"/>
          <w:szCs w:val="24"/>
        </w:rPr>
        <w:t xml:space="preserve"> </w:t>
      </w:r>
      <w:r w:rsidR="00640950" w:rsidRPr="00515061">
        <w:rPr>
          <w:rFonts w:ascii="Times New Roman" w:hAnsi="Times New Roman" w:cs="Times New Roman"/>
          <w:bCs/>
          <w:sz w:val="24"/>
          <w:szCs w:val="24"/>
        </w:rPr>
        <w:t>baseline diversion limit</w:t>
      </w:r>
      <w:r w:rsidRPr="00515061">
        <w:rPr>
          <w:rFonts w:ascii="Times New Roman" w:hAnsi="Times New Roman" w:cs="Times New Roman"/>
          <w:bCs/>
          <w:sz w:val="24"/>
          <w:szCs w:val="24"/>
        </w:rPr>
        <w:t>s acros</w:t>
      </w:r>
      <w:r w:rsidR="00640950" w:rsidRPr="00515061">
        <w:rPr>
          <w:rFonts w:ascii="Times New Roman" w:hAnsi="Times New Roman" w:cs="Times New Roman"/>
          <w:bCs/>
          <w:sz w:val="24"/>
          <w:szCs w:val="24"/>
        </w:rPr>
        <w:t xml:space="preserve">s six </w:t>
      </w:r>
      <w:r w:rsidRPr="00515061">
        <w:rPr>
          <w:rFonts w:ascii="Times New Roman" w:hAnsi="Times New Roman" w:cs="Times New Roman"/>
          <w:bCs/>
          <w:sz w:val="24"/>
          <w:szCs w:val="24"/>
        </w:rPr>
        <w:t>WRP areas (two in N</w:t>
      </w:r>
      <w:r w:rsidR="00640950" w:rsidRPr="00515061">
        <w:rPr>
          <w:rFonts w:ascii="Times New Roman" w:hAnsi="Times New Roman" w:cs="Times New Roman"/>
          <w:bCs/>
          <w:sz w:val="24"/>
          <w:szCs w:val="24"/>
        </w:rPr>
        <w:t xml:space="preserve">ew South Wales, two in Victoria, </w:t>
      </w:r>
      <w:r w:rsidRPr="00515061">
        <w:rPr>
          <w:rFonts w:ascii="Times New Roman" w:hAnsi="Times New Roman" w:cs="Times New Roman"/>
          <w:bCs/>
          <w:sz w:val="24"/>
          <w:szCs w:val="24"/>
        </w:rPr>
        <w:t>one in South Australia</w:t>
      </w:r>
      <w:r w:rsidR="00640950" w:rsidRPr="00515061">
        <w:rPr>
          <w:rFonts w:ascii="Times New Roman" w:hAnsi="Times New Roman" w:cs="Times New Roman"/>
          <w:bCs/>
          <w:sz w:val="24"/>
          <w:szCs w:val="24"/>
        </w:rPr>
        <w:t xml:space="preserve"> and one in </w:t>
      </w:r>
      <w:r w:rsidR="002158E9" w:rsidRPr="00515061">
        <w:rPr>
          <w:rFonts w:ascii="Times New Roman" w:hAnsi="Times New Roman" w:cs="Times New Roman"/>
          <w:bCs/>
          <w:sz w:val="24"/>
          <w:szCs w:val="24"/>
        </w:rPr>
        <w:t xml:space="preserve">the </w:t>
      </w:r>
      <w:r w:rsidR="00640950" w:rsidRPr="00515061">
        <w:rPr>
          <w:rFonts w:ascii="Times New Roman" w:hAnsi="Times New Roman" w:cs="Times New Roman"/>
          <w:bCs/>
          <w:sz w:val="24"/>
          <w:szCs w:val="24"/>
        </w:rPr>
        <w:t>ACT</w:t>
      </w:r>
      <w:r w:rsidRPr="00515061">
        <w:rPr>
          <w:rFonts w:ascii="Times New Roman" w:hAnsi="Times New Roman" w:cs="Times New Roman"/>
          <w:bCs/>
          <w:sz w:val="24"/>
          <w:szCs w:val="24"/>
        </w:rPr>
        <w:t>). The SDL changes increase the Basin-wide total for</w:t>
      </w:r>
      <w:r w:rsidR="0023244D" w:rsidRPr="00515061">
        <w:rPr>
          <w:rFonts w:ascii="Times New Roman" w:hAnsi="Times New Roman" w:cs="Times New Roman"/>
          <w:bCs/>
          <w:sz w:val="24"/>
          <w:szCs w:val="24"/>
        </w:rPr>
        <w:t xml:space="preserve"> groundwater SDLs from 3,334 GL per </w:t>
      </w:r>
      <w:r w:rsidRPr="00515061">
        <w:rPr>
          <w:rFonts w:ascii="Times New Roman" w:hAnsi="Times New Roman" w:cs="Times New Roman"/>
          <w:bCs/>
          <w:sz w:val="24"/>
          <w:szCs w:val="24"/>
        </w:rPr>
        <w:t>y</w:t>
      </w:r>
      <w:r w:rsidR="002158E9" w:rsidRPr="00515061">
        <w:rPr>
          <w:rFonts w:ascii="Times New Roman" w:hAnsi="Times New Roman" w:cs="Times New Roman"/>
          <w:bCs/>
          <w:sz w:val="24"/>
          <w:szCs w:val="24"/>
        </w:rPr>
        <w:t>ear</w:t>
      </w:r>
      <w:r w:rsidR="0023244D" w:rsidRPr="00515061">
        <w:rPr>
          <w:rFonts w:ascii="Times New Roman" w:hAnsi="Times New Roman" w:cs="Times New Roman"/>
          <w:bCs/>
          <w:sz w:val="24"/>
          <w:szCs w:val="24"/>
        </w:rPr>
        <w:t xml:space="preserve"> to 3,494 GL per </w:t>
      </w:r>
      <w:r w:rsidRPr="00515061">
        <w:rPr>
          <w:rFonts w:ascii="Times New Roman" w:hAnsi="Times New Roman" w:cs="Times New Roman"/>
          <w:bCs/>
          <w:sz w:val="24"/>
          <w:szCs w:val="24"/>
        </w:rPr>
        <w:t>y</w:t>
      </w:r>
      <w:r w:rsidR="002158E9" w:rsidRPr="00515061">
        <w:rPr>
          <w:rFonts w:ascii="Times New Roman" w:hAnsi="Times New Roman" w:cs="Times New Roman"/>
          <w:bCs/>
          <w:sz w:val="24"/>
          <w:szCs w:val="24"/>
        </w:rPr>
        <w:t>ear</w:t>
      </w:r>
      <w:r w:rsidRPr="00515061">
        <w:rPr>
          <w:rFonts w:ascii="Times New Roman" w:hAnsi="Times New Roman" w:cs="Times New Roman"/>
          <w:bCs/>
          <w:sz w:val="24"/>
          <w:szCs w:val="24"/>
        </w:rPr>
        <w:t xml:space="preserve"> (a</w:t>
      </w:r>
      <w:r w:rsidR="0023244D" w:rsidRPr="00515061">
        <w:rPr>
          <w:rFonts w:ascii="Times New Roman" w:hAnsi="Times New Roman" w:cs="Times New Roman"/>
          <w:bCs/>
          <w:sz w:val="24"/>
          <w:szCs w:val="24"/>
        </w:rPr>
        <w:t>n overall increase of 159.9 GL per year</w:t>
      </w:r>
      <w:r w:rsidRPr="00515061">
        <w:rPr>
          <w:rFonts w:ascii="Times New Roman" w:hAnsi="Times New Roman" w:cs="Times New Roman"/>
          <w:bCs/>
          <w:sz w:val="24"/>
          <w:szCs w:val="24"/>
        </w:rPr>
        <w:t xml:space="preserve"> or 4.8%). </w:t>
      </w:r>
      <w:r w:rsidR="00CA2439" w:rsidRPr="00515061">
        <w:rPr>
          <w:rFonts w:ascii="Times New Roman" w:hAnsi="Times New Roman" w:cs="Times New Roman"/>
          <w:bCs/>
          <w:sz w:val="24"/>
          <w:szCs w:val="24"/>
        </w:rPr>
        <w:t>The reviews found that the long</w:t>
      </w:r>
      <w:r w:rsidR="009F3224">
        <w:rPr>
          <w:rFonts w:ascii="Times New Roman" w:hAnsi="Times New Roman" w:cs="Times New Roman"/>
          <w:bCs/>
          <w:sz w:val="24"/>
          <w:szCs w:val="24"/>
        </w:rPr>
        <w:t>-</w:t>
      </w:r>
      <w:r w:rsidR="00CA2439" w:rsidRPr="00515061">
        <w:rPr>
          <w:rFonts w:ascii="Times New Roman" w:hAnsi="Times New Roman" w:cs="Times New Roman"/>
          <w:bCs/>
          <w:sz w:val="24"/>
          <w:szCs w:val="24"/>
        </w:rPr>
        <w:t xml:space="preserve">term environmentally sustainable level of take in these areas could be increased as long as the Basin States enforced specific local management rules, the requirement for which is included in the Amendment Instrument. Other minor SDL changes do not </w:t>
      </w:r>
      <w:r w:rsidR="00BC258A" w:rsidRPr="00515061">
        <w:rPr>
          <w:rFonts w:ascii="Times New Roman" w:hAnsi="Times New Roman" w:cs="Times New Roman"/>
          <w:bCs/>
          <w:sz w:val="24"/>
          <w:szCs w:val="24"/>
        </w:rPr>
        <w:t>a</w:t>
      </w:r>
      <w:r w:rsidR="00CA2439" w:rsidRPr="00515061">
        <w:rPr>
          <w:rFonts w:ascii="Times New Roman" w:hAnsi="Times New Roman" w:cs="Times New Roman"/>
          <w:bCs/>
          <w:sz w:val="24"/>
          <w:szCs w:val="24"/>
        </w:rPr>
        <w:t>ffect the environmentally sustainable level of take.</w:t>
      </w:r>
    </w:p>
    <w:p w:rsidR="00D5042F" w:rsidRPr="00515061" w:rsidRDefault="00D5042F" w:rsidP="00511B9B">
      <w:pPr>
        <w:tabs>
          <w:tab w:val="right" w:pos="9072"/>
        </w:tabs>
        <w:spacing w:after="0" w:line="240" w:lineRule="auto"/>
        <w:rPr>
          <w:rFonts w:ascii="Times New Roman" w:hAnsi="Times New Roman" w:cs="Times New Roman"/>
          <w:bCs/>
          <w:sz w:val="24"/>
          <w:szCs w:val="24"/>
        </w:rPr>
      </w:pPr>
    </w:p>
    <w:p w:rsidR="0045372B"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Table 2 </w:t>
      </w:r>
      <w:r w:rsidR="00D5042F" w:rsidRPr="00515061">
        <w:rPr>
          <w:rFonts w:ascii="Times New Roman" w:hAnsi="Times New Roman" w:cs="Times New Roman"/>
          <w:bCs/>
          <w:sz w:val="24"/>
          <w:szCs w:val="24"/>
        </w:rPr>
        <w:t xml:space="preserve">below </w:t>
      </w:r>
      <w:r w:rsidRPr="00515061">
        <w:rPr>
          <w:rFonts w:ascii="Times New Roman" w:hAnsi="Times New Roman" w:cs="Times New Roman"/>
          <w:bCs/>
          <w:sz w:val="24"/>
          <w:szCs w:val="24"/>
        </w:rPr>
        <w:t xml:space="preserve">provides </w:t>
      </w:r>
      <w:r w:rsidR="00640950" w:rsidRPr="00515061">
        <w:rPr>
          <w:rFonts w:ascii="Times New Roman" w:hAnsi="Times New Roman" w:cs="Times New Roman"/>
          <w:bCs/>
          <w:sz w:val="24"/>
          <w:szCs w:val="24"/>
        </w:rPr>
        <w:t>the</w:t>
      </w:r>
      <w:r w:rsidRPr="00515061">
        <w:rPr>
          <w:rFonts w:ascii="Times New Roman" w:hAnsi="Times New Roman" w:cs="Times New Roman"/>
          <w:bCs/>
          <w:sz w:val="24"/>
          <w:szCs w:val="24"/>
        </w:rPr>
        <w:t xml:space="preserve"> SDLs of the SDL resource units where the SDL is changing. These changes are included in </w:t>
      </w:r>
      <w:r w:rsidRPr="00515061">
        <w:rPr>
          <w:rFonts w:ascii="Times New Roman" w:hAnsi="Times New Roman" w:cs="Times New Roman"/>
          <w:b/>
          <w:bCs/>
          <w:sz w:val="24"/>
          <w:szCs w:val="24"/>
        </w:rPr>
        <w:t xml:space="preserve">item </w:t>
      </w:r>
      <w:r w:rsidR="00443F5E" w:rsidRPr="00515061">
        <w:rPr>
          <w:rFonts w:ascii="Times New Roman" w:hAnsi="Times New Roman" w:cs="Times New Roman"/>
          <w:b/>
          <w:bCs/>
          <w:sz w:val="24"/>
          <w:szCs w:val="24"/>
        </w:rPr>
        <w:t>9</w:t>
      </w:r>
      <w:r w:rsidR="00443F5E">
        <w:rPr>
          <w:rFonts w:ascii="Times New Roman" w:hAnsi="Times New Roman" w:cs="Times New Roman"/>
          <w:b/>
          <w:bCs/>
          <w:sz w:val="24"/>
          <w:szCs w:val="24"/>
        </w:rPr>
        <w:t>5</w:t>
      </w:r>
      <w:r w:rsidR="00443F5E" w:rsidRPr="00515061">
        <w:rPr>
          <w:rFonts w:ascii="Times New Roman" w:hAnsi="Times New Roman" w:cs="Times New Roman"/>
          <w:b/>
          <w:bCs/>
          <w:sz w:val="24"/>
          <w:szCs w:val="24"/>
        </w:rPr>
        <w:t xml:space="preserve"> </w:t>
      </w:r>
      <w:r w:rsidRPr="00515061">
        <w:rPr>
          <w:rFonts w:ascii="Times New Roman" w:hAnsi="Times New Roman" w:cs="Times New Roman"/>
          <w:bCs/>
          <w:sz w:val="24"/>
          <w:szCs w:val="24"/>
        </w:rPr>
        <w:t>of the Amendment Instrument</w:t>
      </w:r>
      <w:r w:rsidRPr="00515061">
        <w:rPr>
          <w:rFonts w:ascii="Times New Roman" w:hAnsi="Times New Roman" w:cs="Times New Roman"/>
          <w:b/>
          <w:bCs/>
          <w:sz w:val="24"/>
          <w:szCs w:val="24"/>
        </w:rPr>
        <w:t xml:space="preserve"> </w:t>
      </w:r>
      <w:r w:rsidRPr="00515061">
        <w:rPr>
          <w:rFonts w:ascii="Times New Roman" w:hAnsi="Times New Roman" w:cs="Times New Roman"/>
          <w:bCs/>
          <w:sz w:val="24"/>
          <w:szCs w:val="24"/>
        </w:rPr>
        <w:t xml:space="preserve">(see items 3, 4, </w:t>
      </w:r>
      <w:r w:rsidR="00640950" w:rsidRPr="00515061">
        <w:rPr>
          <w:rFonts w:ascii="Times New Roman" w:hAnsi="Times New Roman" w:cs="Times New Roman"/>
          <w:bCs/>
          <w:sz w:val="24"/>
          <w:szCs w:val="24"/>
        </w:rPr>
        <w:t xml:space="preserve">6, 7, 10, </w:t>
      </w:r>
      <w:r w:rsidRPr="00515061">
        <w:rPr>
          <w:rFonts w:ascii="Times New Roman" w:hAnsi="Times New Roman" w:cs="Times New Roman"/>
          <w:bCs/>
          <w:sz w:val="24"/>
          <w:szCs w:val="24"/>
        </w:rPr>
        <w:t>22, 23, 24 in Schedule 4 of the amended Basin Plan</w:t>
      </w:r>
      <w:r w:rsidR="00D5042F" w:rsidRPr="00515061">
        <w:rPr>
          <w:rFonts w:ascii="Times New Roman" w:hAnsi="Times New Roman" w:cs="Times New Roman"/>
          <w:bCs/>
          <w:sz w:val="24"/>
          <w:szCs w:val="24"/>
        </w:rPr>
        <w:t>). Table 2</w:t>
      </w:r>
      <w:r w:rsidRPr="00515061">
        <w:rPr>
          <w:rFonts w:ascii="Times New Roman" w:hAnsi="Times New Roman" w:cs="Times New Roman"/>
          <w:bCs/>
          <w:sz w:val="24"/>
          <w:szCs w:val="24"/>
        </w:rPr>
        <w:t xml:space="preserve"> also includes the state water management plan limits for these SDL resource units which </w:t>
      </w:r>
      <w:r w:rsidR="00D5042F" w:rsidRPr="00515061">
        <w:rPr>
          <w:rFonts w:ascii="Times New Roman" w:hAnsi="Times New Roman" w:cs="Times New Roman"/>
          <w:bCs/>
          <w:sz w:val="24"/>
          <w:szCs w:val="24"/>
        </w:rPr>
        <w:t>differ</w:t>
      </w:r>
      <w:r w:rsidRPr="00515061">
        <w:rPr>
          <w:rFonts w:ascii="Times New Roman" w:hAnsi="Times New Roman" w:cs="Times New Roman"/>
          <w:bCs/>
          <w:sz w:val="24"/>
          <w:szCs w:val="24"/>
        </w:rPr>
        <w:t xml:space="preserve"> from the baseline diversion limit in these cases due to the extent of issued entitlements at the time the Basin Plan was made. </w:t>
      </w:r>
      <w:r w:rsidR="00195361" w:rsidRPr="00515061">
        <w:rPr>
          <w:rFonts w:ascii="Times New Roman" w:hAnsi="Times New Roman" w:cs="Times New Roman"/>
          <w:bCs/>
          <w:sz w:val="24"/>
          <w:szCs w:val="24"/>
        </w:rPr>
        <w:t xml:space="preserve">Baseline diversion limit changes are also included in </w:t>
      </w:r>
      <w:r w:rsidR="00195361" w:rsidRPr="00515061">
        <w:rPr>
          <w:rFonts w:ascii="Times New Roman" w:hAnsi="Times New Roman" w:cs="Times New Roman"/>
          <w:b/>
          <w:bCs/>
          <w:sz w:val="24"/>
          <w:szCs w:val="24"/>
        </w:rPr>
        <w:t>item 9</w:t>
      </w:r>
      <w:r w:rsidR="00115DAC">
        <w:rPr>
          <w:rFonts w:ascii="Times New Roman" w:hAnsi="Times New Roman" w:cs="Times New Roman"/>
          <w:b/>
          <w:bCs/>
          <w:sz w:val="24"/>
          <w:szCs w:val="24"/>
        </w:rPr>
        <w:t>5</w:t>
      </w:r>
      <w:r w:rsidR="00195361" w:rsidRPr="00515061">
        <w:rPr>
          <w:rFonts w:ascii="Times New Roman" w:hAnsi="Times New Roman" w:cs="Times New Roman"/>
          <w:bCs/>
          <w:sz w:val="24"/>
          <w:szCs w:val="24"/>
        </w:rPr>
        <w:t xml:space="preserve"> of the Amendment Instrument (see items 1, 10, 15 in Schedule 4 of the amended Basin Plan). </w:t>
      </w:r>
      <w:r w:rsidRPr="00515061">
        <w:rPr>
          <w:rFonts w:ascii="Times New Roman" w:hAnsi="Times New Roman" w:cs="Times New Roman"/>
          <w:bCs/>
          <w:sz w:val="24"/>
          <w:szCs w:val="24"/>
        </w:rPr>
        <w:t xml:space="preserve">Table 2 below also illustrates how the </w:t>
      </w:r>
      <w:r w:rsidR="00D5042F" w:rsidRPr="00515061">
        <w:rPr>
          <w:rFonts w:ascii="Times New Roman" w:hAnsi="Times New Roman" w:cs="Times New Roman"/>
          <w:bCs/>
          <w:sz w:val="24"/>
          <w:szCs w:val="24"/>
        </w:rPr>
        <w:t xml:space="preserve">baseline diversion limit and the </w:t>
      </w:r>
      <w:r w:rsidRPr="00515061">
        <w:rPr>
          <w:rFonts w:ascii="Times New Roman" w:hAnsi="Times New Roman" w:cs="Times New Roman"/>
          <w:bCs/>
          <w:sz w:val="24"/>
          <w:szCs w:val="24"/>
        </w:rPr>
        <w:t>SDL has changed for these SDL resource units.</w:t>
      </w:r>
    </w:p>
    <w:p w:rsidR="001D0D27" w:rsidRDefault="001D0D27" w:rsidP="00511B9B">
      <w:pPr>
        <w:tabs>
          <w:tab w:val="right" w:pos="9072"/>
        </w:tabs>
        <w:spacing w:after="0" w:line="240" w:lineRule="auto"/>
        <w:rPr>
          <w:rFonts w:ascii="Times New Roman" w:hAnsi="Times New Roman" w:cs="Times New Roman"/>
          <w:bCs/>
          <w:sz w:val="24"/>
          <w:szCs w:val="24"/>
        </w:rPr>
      </w:pPr>
    </w:p>
    <w:p w:rsidR="003755DC"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Table 2: Groundwater baseline diversion limit and sustainable diversion limit changes</w:t>
      </w:r>
    </w:p>
    <w:p w:rsidR="00DB753C" w:rsidRPr="00515061" w:rsidRDefault="00DB753C" w:rsidP="00511B9B">
      <w:pPr>
        <w:tabs>
          <w:tab w:val="right" w:pos="9072"/>
        </w:tabs>
        <w:spacing w:after="0" w:line="240" w:lineRule="auto"/>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posed Groundwater BDL and SDL changes"/>
        <w:tblDescription w:val="This table shows change in the BDLs and SDLs. In total, the proposed SDL changes will affect eight SDLs and two BDLs across five WRP areas: two in NSW, two in VIC and one in SA. The proposed SDL changes increase the Basin-wide total for groundwater SDLs from 3,334 GL/y to 3,494 GL/y with a net increase of 159.9 GL/y."/>
      </w:tblPr>
      <w:tblGrid>
        <w:gridCol w:w="3252"/>
        <w:gridCol w:w="967"/>
        <w:gridCol w:w="968"/>
        <w:gridCol w:w="968"/>
        <w:gridCol w:w="968"/>
        <w:gridCol w:w="968"/>
        <w:gridCol w:w="970"/>
      </w:tblGrid>
      <w:tr w:rsidR="008A58FE" w:rsidRPr="00515061" w:rsidTr="00737359">
        <w:trPr>
          <w:trHeight w:val="1134"/>
          <w:tblHeader/>
        </w:trPr>
        <w:tc>
          <w:tcPr>
            <w:tcW w:w="1795" w:type="pct"/>
            <w:shd w:val="clear" w:color="auto" w:fill="DDD9C3" w:themeFill="background2" w:themeFillShade="E6"/>
            <w:vAlign w:val="center"/>
            <w:hideMark/>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br w:type="page"/>
              <w:t>SDL Resource unit</w:t>
            </w:r>
          </w:p>
        </w:tc>
        <w:tc>
          <w:tcPr>
            <w:tcW w:w="534" w:type="pct"/>
            <w:shd w:val="clear" w:color="auto" w:fill="DDD9C3" w:themeFill="background2" w:themeFillShade="E6"/>
            <w:vAlign w:val="center"/>
          </w:tcPr>
          <w:p w:rsidR="008A58FE" w:rsidRPr="00515061" w:rsidRDefault="0034113D"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Previous</w:t>
            </w:r>
            <w:r w:rsidR="008A58FE" w:rsidRPr="00515061">
              <w:rPr>
                <w:rFonts w:ascii="Times New Roman" w:hAnsi="Times New Roman" w:cs="Times New Roman"/>
                <w:b/>
                <w:bCs/>
                <w:sz w:val="24"/>
                <w:szCs w:val="24"/>
              </w:rPr>
              <w:t xml:space="preserve"> BDL (GL/y)</w:t>
            </w:r>
          </w:p>
        </w:tc>
        <w:tc>
          <w:tcPr>
            <w:tcW w:w="534" w:type="pct"/>
            <w:shd w:val="clear" w:color="auto" w:fill="DDD9C3" w:themeFill="background2" w:themeFillShade="E6"/>
            <w:vAlign w:val="center"/>
          </w:tcPr>
          <w:p w:rsidR="008A58FE" w:rsidRPr="00515061" w:rsidRDefault="0034113D"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Basin Plan</w:t>
            </w:r>
            <w:r w:rsidR="008A58FE" w:rsidRPr="00515061">
              <w:rPr>
                <w:rFonts w:ascii="Times New Roman" w:hAnsi="Times New Roman" w:cs="Times New Roman"/>
                <w:b/>
                <w:bCs/>
                <w:sz w:val="24"/>
                <w:szCs w:val="24"/>
              </w:rPr>
              <w:t xml:space="preserve"> BDL (GL/y)</w:t>
            </w:r>
          </w:p>
        </w:tc>
        <w:tc>
          <w:tcPr>
            <w:tcW w:w="534" w:type="pct"/>
            <w:shd w:val="clear" w:color="auto" w:fill="DDD9C3" w:themeFill="background2" w:themeFillShade="E6"/>
            <w:vAlign w:val="center"/>
            <w:hideMark/>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BDL change (GL/y)</w:t>
            </w:r>
          </w:p>
        </w:tc>
        <w:tc>
          <w:tcPr>
            <w:tcW w:w="534" w:type="pct"/>
            <w:shd w:val="clear" w:color="auto" w:fill="DDD9C3" w:themeFill="background2" w:themeFillShade="E6"/>
            <w:vAlign w:val="center"/>
            <w:hideMark/>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Previous SDL (GL/y)</w:t>
            </w:r>
          </w:p>
        </w:tc>
        <w:tc>
          <w:tcPr>
            <w:tcW w:w="534" w:type="pct"/>
            <w:shd w:val="clear" w:color="auto" w:fill="DDD9C3" w:themeFill="background2" w:themeFillShade="E6"/>
            <w:vAlign w:val="center"/>
            <w:hideMark/>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Basin Plan SDL (GL/y)</w:t>
            </w:r>
          </w:p>
        </w:tc>
        <w:tc>
          <w:tcPr>
            <w:tcW w:w="535" w:type="pct"/>
            <w:shd w:val="clear" w:color="auto" w:fill="DDD9C3" w:themeFill="background2" w:themeFillShade="E6"/>
            <w:vAlign w:val="center"/>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SDL change (GL/y)</w:t>
            </w:r>
          </w:p>
        </w:tc>
      </w:tr>
      <w:tr w:rsidR="00DB753C" w:rsidRPr="00515061" w:rsidTr="00DB753C">
        <w:tc>
          <w:tcPr>
            <w:tcW w:w="5000" w:type="pct"/>
            <w:gridSpan w:val="7"/>
            <w:shd w:val="clear" w:color="auto" w:fill="DDD9C3" w:themeFill="background2" w:themeFillShade="E6"/>
            <w:hideMark/>
          </w:tcPr>
          <w:p w:rsidR="00686A45" w:rsidRDefault="00686A45" w:rsidP="00511B9B">
            <w:pPr>
              <w:tabs>
                <w:tab w:val="right" w:pos="9072"/>
              </w:tabs>
              <w:spacing w:after="0" w:line="240" w:lineRule="auto"/>
              <w:rPr>
                <w:rFonts w:ascii="Times New Roman" w:hAnsi="Times New Roman" w:cs="Times New Roman"/>
                <w:b/>
                <w:bCs/>
                <w:i/>
                <w:iCs/>
                <w:sz w:val="24"/>
                <w:szCs w:val="24"/>
              </w:rPr>
            </w:pP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NSW Murray-Darling Basin Porous Rock WRP area (NSW) (GW6)</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tc>
      </w:tr>
      <w:tr w:rsidR="008A58FE" w:rsidRPr="00515061" w:rsidTr="002A1DF6">
        <w:tc>
          <w:tcPr>
            <w:tcW w:w="1795" w:type="pct"/>
            <w:tcBorders>
              <w:bottom w:val="single" w:sz="4" w:space="0" w:color="auto"/>
            </w:tcBorders>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Western Porous Rock SDL resource unit (GS50)</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63.1</w:t>
            </w:r>
          </w:p>
        </w:tc>
        <w:tc>
          <w:tcPr>
            <w:tcW w:w="534" w:type="pct"/>
            <w:tcBorders>
              <w:bottom w:val="single" w:sz="4" w:space="0" w:color="auto"/>
            </w:tcBorders>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63.1</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116.6</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226.0</w:t>
            </w:r>
          </w:p>
        </w:tc>
        <w:tc>
          <w:tcPr>
            <w:tcW w:w="535"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+109.4</w:t>
            </w:r>
          </w:p>
        </w:tc>
      </w:tr>
      <w:tr w:rsidR="008A58FE" w:rsidRPr="00515061" w:rsidTr="002A1DF6">
        <w:tc>
          <w:tcPr>
            <w:tcW w:w="1795" w:type="pct"/>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Gunnedah</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Oxley Basin MDB SDL resource unit (GS17)</w:t>
            </w:r>
          </w:p>
        </w:tc>
        <w:tc>
          <w:tcPr>
            <w:tcW w:w="534" w:type="pct"/>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22.1</w:t>
            </w:r>
          </w:p>
        </w:tc>
        <w:tc>
          <w:tcPr>
            <w:tcW w:w="534" w:type="pct"/>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22.1</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114.5</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127.5</w:t>
            </w:r>
          </w:p>
        </w:tc>
        <w:tc>
          <w:tcPr>
            <w:tcW w:w="535"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+13.0</w:t>
            </w:r>
          </w:p>
        </w:tc>
      </w:tr>
      <w:tr w:rsidR="008A58FE" w:rsidRPr="00515061" w:rsidTr="002A1DF6">
        <w:tc>
          <w:tcPr>
            <w:tcW w:w="1795" w:type="pct"/>
            <w:tcBorders>
              <w:bottom w:val="single" w:sz="4" w:space="0" w:color="auto"/>
            </w:tcBorders>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Sydney Basin MDB SDL resource unit (GS41)</w:t>
            </w:r>
          </w:p>
        </w:tc>
        <w:tc>
          <w:tcPr>
            <w:tcW w:w="534" w:type="pct"/>
            <w:tcBorders>
              <w:bottom w:val="single" w:sz="4" w:space="0" w:color="auto"/>
            </w:tcBorders>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3.12</w:t>
            </w:r>
          </w:p>
        </w:tc>
        <w:tc>
          <w:tcPr>
            <w:tcW w:w="534" w:type="pct"/>
            <w:tcBorders>
              <w:bottom w:val="single" w:sz="4" w:space="0" w:color="auto"/>
            </w:tcBorders>
            <w:shd w:val="clear" w:color="auto" w:fill="FFFFFF" w:themeFill="background1"/>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3.12</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17.2</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19.1</w:t>
            </w:r>
          </w:p>
        </w:tc>
        <w:tc>
          <w:tcPr>
            <w:tcW w:w="535"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w:t>
            </w:r>
          </w:p>
        </w:tc>
      </w:tr>
      <w:tr w:rsidR="00DB753C" w:rsidRPr="00515061" w:rsidTr="00DB753C">
        <w:tc>
          <w:tcPr>
            <w:tcW w:w="5000" w:type="pct"/>
            <w:gridSpan w:val="7"/>
            <w:shd w:val="clear" w:color="auto" w:fill="DDD9C3" w:themeFill="background2" w:themeFillShade="E6"/>
            <w:hideMark/>
          </w:tcPr>
          <w:p w:rsidR="00686A45" w:rsidRDefault="00686A45" w:rsidP="00511B9B">
            <w:pPr>
              <w:tabs>
                <w:tab w:val="right" w:pos="9072"/>
              </w:tabs>
              <w:spacing w:after="0" w:line="240" w:lineRule="auto"/>
              <w:rPr>
                <w:rFonts w:ascii="Times New Roman" w:hAnsi="Times New Roman" w:cs="Times New Roman"/>
                <w:b/>
                <w:bCs/>
                <w:i/>
                <w:iCs/>
                <w:sz w:val="24"/>
                <w:szCs w:val="24"/>
              </w:rPr>
            </w:pP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Goulburn-Murray WRP area (Vic) (GW2)</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tc>
      </w:tr>
      <w:tr w:rsidR="008A58FE" w:rsidRPr="00515061" w:rsidTr="002A1DF6">
        <w:tc>
          <w:tcPr>
            <w:tcW w:w="1795" w:type="pct"/>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Goulburn</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Murray: Sedimentary Plain SDL resource unit (GS8)</w:t>
            </w:r>
          </w:p>
        </w:tc>
        <w:tc>
          <w:tcPr>
            <w:tcW w:w="534" w:type="pct"/>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203.5</w:t>
            </w:r>
          </w:p>
        </w:tc>
        <w:tc>
          <w:tcPr>
            <w:tcW w:w="534" w:type="pct"/>
            <w:shd w:val="clear" w:color="auto" w:fill="FFFFFF" w:themeFill="background1"/>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203.5</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203.5</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223.0</w:t>
            </w:r>
          </w:p>
        </w:tc>
        <w:tc>
          <w:tcPr>
            <w:tcW w:w="535"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+19.5</w:t>
            </w:r>
          </w:p>
        </w:tc>
      </w:tr>
      <w:tr w:rsidR="008A58FE" w:rsidRPr="00515061" w:rsidTr="002A1DF6">
        <w:tc>
          <w:tcPr>
            <w:tcW w:w="1795" w:type="pct"/>
            <w:tcBorders>
              <w:bottom w:val="single" w:sz="4" w:space="0" w:color="auto"/>
            </w:tcBorders>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Goulburn</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Murray</w:t>
            </w:r>
            <w:r w:rsidR="0028557B"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Highlands SDL resource unit (GS8)</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38.3</w:t>
            </w:r>
          </w:p>
        </w:tc>
        <w:tc>
          <w:tcPr>
            <w:tcW w:w="534" w:type="pct"/>
            <w:tcBorders>
              <w:bottom w:val="single" w:sz="4" w:space="0" w:color="auto"/>
            </w:tcBorders>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38.3</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50.5</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68.7</w:t>
            </w:r>
          </w:p>
        </w:tc>
        <w:tc>
          <w:tcPr>
            <w:tcW w:w="535"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+18.2</w:t>
            </w:r>
          </w:p>
        </w:tc>
      </w:tr>
      <w:tr w:rsidR="00DB753C" w:rsidRPr="00515061" w:rsidTr="00DB753C">
        <w:tc>
          <w:tcPr>
            <w:tcW w:w="5000" w:type="pct"/>
            <w:gridSpan w:val="7"/>
            <w:shd w:val="clear" w:color="auto" w:fill="DDD9C3" w:themeFill="background2" w:themeFillShade="E6"/>
          </w:tcPr>
          <w:p w:rsidR="00686A45" w:rsidRDefault="00686A45" w:rsidP="00511B9B">
            <w:pPr>
              <w:tabs>
                <w:tab w:val="right" w:pos="9072"/>
              </w:tabs>
              <w:spacing w:after="0" w:line="240" w:lineRule="auto"/>
              <w:rPr>
                <w:rFonts w:ascii="Times New Roman" w:hAnsi="Times New Roman" w:cs="Times New Roman"/>
                <w:b/>
                <w:bCs/>
                <w:i/>
                <w:iCs/>
                <w:sz w:val="24"/>
                <w:szCs w:val="24"/>
              </w:rPr>
            </w:pP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Wimmera-Mallee (groundwater) WRP area (Victoria) (GW3)</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tc>
      </w:tr>
      <w:tr w:rsidR="008A58FE" w:rsidRPr="00515061" w:rsidTr="002A1DF6">
        <w:tc>
          <w:tcPr>
            <w:tcW w:w="1795" w:type="pct"/>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Wimmera</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Mallee: Sedimentary Plain SDL resource unit (GS9b)</w:t>
            </w:r>
          </w:p>
        </w:tc>
        <w:tc>
          <w:tcPr>
            <w:tcW w:w="534" w:type="pct"/>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68.9</w:t>
            </w:r>
          </w:p>
        </w:tc>
        <w:tc>
          <w:tcPr>
            <w:tcW w:w="534" w:type="pct"/>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68.9</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190.7</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190.1</w:t>
            </w:r>
          </w:p>
        </w:tc>
        <w:tc>
          <w:tcPr>
            <w:tcW w:w="535"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-0.6</w:t>
            </w:r>
          </w:p>
        </w:tc>
      </w:tr>
      <w:tr w:rsidR="008A58FE" w:rsidRPr="00515061" w:rsidTr="002A1DF6">
        <w:tc>
          <w:tcPr>
            <w:tcW w:w="1795" w:type="pct"/>
            <w:tcBorders>
              <w:bottom w:val="single" w:sz="4" w:space="0" w:color="auto"/>
            </w:tcBorders>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Wimmera</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Mallee</w:t>
            </w:r>
            <w:r w:rsidR="0028557B"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Highlands SDL resource unit (GS9a)</w:t>
            </w:r>
          </w:p>
        </w:tc>
        <w:tc>
          <w:tcPr>
            <w:tcW w:w="534" w:type="pct"/>
            <w:tcBorders>
              <w:bottom w:val="single" w:sz="4" w:space="0" w:color="auto"/>
            </w:tcBorders>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1.26</w:t>
            </w:r>
          </w:p>
        </w:tc>
        <w:tc>
          <w:tcPr>
            <w:tcW w:w="534" w:type="pct"/>
            <w:tcBorders>
              <w:bottom w:val="single" w:sz="4" w:space="0" w:color="auto"/>
            </w:tcBorders>
            <w:shd w:val="clear" w:color="auto" w:fill="FFFFFF" w:themeFill="background1"/>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1.26</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2.14</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2.75</w:t>
            </w:r>
          </w:p>
        </w:tc>
        <w:tc>
          <w:tcPr>
            <w:tcW w:w="535"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+0.6</w:t>
            </w:r>
          </w:p>
        </w:tc>
      </w:tr>
      <w:tr w:rsidR="00DB753C" w:rsidRPr="00515061" w:rsidTr="00DB753C">
        <w:tc>
          <w:tcPr>
            <w:tcW w:w="5000" w:type="pct"/>
            <w:gridSpan w:val="7"/>
            <w:shd w:val="clear" w:color="auto" w:fill="DDD9C3" w:themeFill="background2" w:themeFillShade="E6"/>
          </w:tcPr>
          <w:p w:rsidR="00686A45" w:rsidRDefault="00686A45" w:rsidP="00511B9B">
            <w:pPr>
              <w:tabs>
                <w:tab w:val="right" w:pos="9072"/>
              </w:tabs>
              <w:spacing w:after="0" w:line="240" w:lineRule="auto"/>
              <w:rPr>
                <w:rFonts w:ascii="Times New Roman" w:hAnsi="Times New Roman" w:cs="Times New Roman"/>
                <w:b/>
                <w:bCs/>
                <w:i/>
                <w:iCs/>
                <w:sz w:val="24"/>
                <w:szCs w:val="24"/>
              </w:rPr>
            </w:pP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South Australian Murray WRP area (SA) (GW4)</w:t>
            </w:r>
          </w:p>
          <w:p w:rsidR="00DB753C" w:rsidRPr="00515061" w:rsidRDefault="00DB753C" w:rsidP="00511B9B">
            <w:pPr>
              <w:tabs>
                <w:tab w:val="right" w:pos="9072"/>
              </w:tabs>
              <w:spacing w:after="0" w:line="240" w:lineRule="auto"/>
              <w:rPr>
                <w:rFonts w:ascii="Times New Roman" w:hAnsi="Times New Roman" w:cs="Times New Roman"/>
                <w:b/>
                <w:bCs/>
                <w:sz w:val="24"/>
                <w:szCs w:val="24"/>
              </w:rPr>
            </w:pPr>
          </w:p>
        </w:tc>
      </w:tr>
      <w:tr w:rsidR="008A58FE" w:rsidRPr="00515061" w:rsidTr="002A1DF6">
        <w:tc>
          <w:tcPr>
            <w:tcW w:w="1795" w:type="pct"/>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Mallee (Murray Group Limestone) SDL resource unit (GS3b)</w:t>
            </w:r>
          </w:p>
        </w:tc>
        <w:tc>
          <w:tcPr>
            <w:tcW w:w="534" w:type="pct"/>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65.7</w:t>
            </w:r>
          </w:p>
        </w:tc>
        <w:tc>
          <w:tcPr>
            <w:tcW w:w="534" w:type="pct"/>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63.6</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65.7</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63.6</w:t>
            </w:r>
          </w:p>
        </w:tc>
        <w:tc>
          <w:tcPr>
            <w:tcW w:w="535"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-2.14</w:t>
            </w:r>
          </w:p>
        </w:tc>
      </w:tr>
      <w:tr w:rsidR="008A58FE" w:rsidRPr="00515061" w:rsidTr="002A1DF6">
        <w:tc>
          <w:tcPr>
            <w:tcW w:w="1795" w:type="pct"/>
            <w:tcBorders>
              <w:bottom w:val="single" w:sz="4" w:space="0" w:color="auto"/>
            </w:tcBorders>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South Australian Murray Salt Interception Schemes SDL resource unit (GS7)</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11.1</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13.2</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28.6</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28.6</w:t>
            </w:r>
          </w:p>
        </w:tc>
        <w:tc>
          <w:tcPr>
            <w:tcW w:w="535"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r>
      <w:tr w:rsidR="00DB753C" w:rsidRPr="00515061" w:rsidTr="00365085">
        <w:tc>
          <w:tcPr>
            <w:tcW w:w="1" w:type="pct"/>
            <w:gridSpan w:val="7"/>
            <w:shd w:val="clear" w:color="auto" w:fill="DDD9C3" w:themeFill="background2" w:themeFillShade="E6"/>
            <w:vAlign w:val="center"/>
          </w:tcPr>
          <w:p w:rsidR="00686A45" w:rsidRDefault="00686A45" w:rsidP="00511B9B">
            <w:pPr>
              <w:tabs>
                <w:tab w:val="right" w:pos="9072"/>
              </w:tabs>
              <w:spacing w:after="0" w:line="240" w:lineRule="auto"/>
              <w:rPr>
                <w:rFonts w:ascii="Times New Roman" w:hAnsi="Times New Roman" w:cs="Times New Roman"/>
                <w:b/>
                <w:bCs/>
                <w:i/>
                <w:iCs/>
                <w:sz w:val="24"/>
                <w:szCs w:val="24"/>
              </w:rPr>
            </w:pP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Australian Capital Territory (groundwater) water resource plan area (GW1)</w:t>
            </w: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p>
        </w:tc>
      </w:tr>
      <w:tr w:rsidR="002A1DF6" w:rsidRPr="00515061" w:rsidTr="002A1DF6">
        <w:tc>
          <w:tcPr>
            <w:tcW w:w="1795" w:type="pct"/>
            <w:tcBorders>
              <w:bottom w:val="single" w:sz="4" w:space="0" w:color="auto"/>
            </w:tcBorders>
            <w:vAlign w:val="center"/>
          </w:tcPr>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Australian Capital Territory (Groundwater)</w:t>
            </w:r>
          </w:p>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(GS52)</w:t>
            </w:r>
          </w:p>
        </w:tc>
        <w:tc>
          <w:tcPr>
            <w:tcW w:w="534" w:type="pct"/>
            <w:tcBorders>
              <w:bottom w:val="single" w:sz="4" w:space="0" w:color="auto"/>
            </w:tcBorders>
            <w:vAlign w:val="center"/>
          </w:tcPr>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1.70</w:t>
            </w:r>
          </w:p>
        </w:tc>
        <w:tc>
          <w:tcPr>
            <w:tcW w:w="534" w:type="pct"/>
            <w:tcBorders>
              <w:bottom w:val="single" w:sz="4" w:space="0" w:color="auto"/>
            </w:tcBorders>
            <w:vAlign w:val="center"/>
          </w:tcPr>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2.27</w:t>
            </w:r>
          </w:p>
        </w:tc>
        <w:tc>
          <w:tcPr>
            <w:tcW w:w="534"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+0.57</w:t>
            </w:r>
          </w:p>
        </w:tc>
        <w:tc>
          <w:tcPr>
            <w:tcW w:w="534"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3.16</w:t>
            </w:r>
          </w:p>
        </w:tc>
        <w:tc>
          <w:tcPr>
            <w:tcW w:w="534"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3.16</w:t>
            </w:r>
          </w:p>
        </w:tc>
        <w:tc>
          <w:tcPr>
            <w:tcW w:w="535"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r>
      <w:tr w:rsidR="00D37AAF" w:rsidRPr="00515061" w:rsidTr="002A1DF6">
        <w:tc>
          <w:tcPr>
            <w:tcW w:w="1795" w:type="pct"/>
            <w:shd w:val="clear" w:color="auto" w:fill="DDD9C3" w:themeFill="background2" w:themeFillShade="E6"/>
          </w:tcPr>
          <w:p w:rsidR="00D37AAF"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Total</w:t>
            </w: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+0.57</w:t>
            </w: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5"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+159.9</w:t>
            </w:r>
          </w:p>
        </w:tc>
      </w:tr>
    </w:tbl>
    <w:p w:rsidR="00F673E3" w:rsidRPr="00515061" w:rsidRDefault="00F673E3"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sz w:val="24"/>
          <w:szCs w:val="24"/>
        </w:rPr>
      </w:pPr>
      <w:bookmarkStart w:id="14" w:name="_Toc465685245"/>
      <w:bookmarkStart w:id="15" w:name="_Toc466982407"/>
      <w:r w:rsidRPr="00515061">
        <w:rPr>
          <w:rFonts w:ascii="Times New Roman" w:hAnsi="Times New Roman" w:cs="Times New Roman"/>
          <w:b/>
          <w:sz w:val="24"/>
          <w:szCs w:val="24"/>
        </w:rPr>
        <w:t xml:space="preserve">Changes to certain groundwater WRP area boundaries (items </w:t>
      </w:r>
      <w:r w:rsidR="00271068" w:rsidRPr="00515061">
        <w:rPr>
          <w:rFonts w:ascii="Times New Roman" w:hAnsi="Times New Roman" w:cs="Times New Roman"/>
          <w:b/>
          <w:sz w:val="24"/>
          <w:szCs w:val="24"/>
        </w:rPr>
        <w:t xml:space="preserve">7, </w:t>
      </w:r>
      <w:r w:rsidRPr="00515061">
        <w:rPr>
          <w:rFonts w:ascii="Times New Roman" w:hAnsi="Times New Roman" w:cs="Times New Roman"/>
          <w:b/>
          <w:sz w:val="24"/>
          <w:szCs w:val="24"/>
        </w:rPr>
        <w:t xml:space="preserve">8, 9, </w:t>
      </w:r>
      <w:r w:rsidRPr="00515061">
        <w:rPr>
          <w:rFonts w:ascii="Times New Roman" w:hAnsi="Times New Roman" w:cs="Times New Roman"/>
          <w:b/>
          <w:bCs/>
          <w:sz w:val="24"/>
          <w:szCs w:val="24"/>
        </w:rPr>
        <w:t xml:space="preserve">10, </w:t>
      </w:r>
      <w:r w:rsidR="000F2F4B" w:rsidRPr="00515061">
        <w:rPr>
          <w:rFonts w:ascii="Times New Roman" w:hAnsi="Times New Roman" w:cs="Times New Roman"/>
          <w:b/>
          <w:bCs/>
          <w:sz w:val="24"/>
          <w:szCs w:val="24"/>
        </w:rPr>
        <w:t>7</w:t>
      </w:r>
      <w:r w:rsidR="000F2F4B">
        <w:rPr>
          <w:rFonts w:ascii="Times New Roman" w:hAnsi="Times New Roman" w:cs="Times New Roman"/>
          <w:b/>
          <w:bCs/>
          <w:sz w:val="24"/>
          <w:szCs w:val="24"/>
        </w:rPr>
        <w:t>1</w:t>
      </w:r>
      <w:r w:rsidRPr="00515061">
        <w:rPr>
          <w:rFonts w:ascii="Times New Roman" w:hAnsi="Times New Roman" w:cs="Times New Roman"/>
          <w:b/>
          <w:bCs/>
          <w:sz w:val="24"/>
          <w:szCs w:val="24"/>
        </w:rPr>
        <w:t>, 7</w:t>
      </w:r>
      <w:r w:rsidR="000F2F4B">
        <w:rPr>
          <w:rFonts w:ascii="Times New Roman" w:hAnsi="Times New Roman" w:cs="Times New Roman"/>
          <w:b/>
          <w:bCs/>
          <w:sz w:val="24"/>
          <w:szCs w:val="24"/>
        </w:rPr>
        <w:t>3</w:t>
      </w:r>
      <w:r w:rsidRPr="00515061">
        <w:rPr>
          <w:rFonts w:ascii="Times New Roman" w:hAnsi="Times New Roman" w:cs="Times New Roman"/>
          <w:b/>
          <w:bCs/>
          <w:sz w:val="24"/>
          <w:szCs w:val="24"/>
        </w:rPr>
        <w:t>, 9</w:t>
      </w:r>
      <w:r w:rsidR="000F2F4B">
        <w:rPr>
          <w:rFonts w:ascii="Times New Roman" w:hAnsi="Times New Roman" w:cs="Times New Roman"/>
          <w:b/>
          <w:bCs/>
          <w:sz w:val="24"/>
          <w:szCs w:val="24"/>
        </w:rPr>
        <w:t>2</w:t>
      </w:r>
      <w:r w:rsidRPr="00515061">
        <w:rPr>
          <w:rFonts w:ascii="Times New Roman" w:hAnsi="Times New Roman" w:cs="Times New Roman"/>
          <w:b/>
          <w:bCs/>
          <w:sz w:val="24"/>
          <w:szCs w:val="24"/>
        </w:rPr>
        <w:t>, 9</w:t>
      </w:r>
      <w:r w:rsidR="000F2F4B">
        <w:rPr>
          <w:rFonts w:ascii="Times New Roman" w:hAnsi="Times New Roman" w:cs="Times New Roman"/>
          <w:b/>
          <w:bCs/>
          <w:sz w:val="24"/>
          <w:szCs w:val="24"/>
        </w:rPr>
        <w:t>3</w:t>
      </w:r>
      <w:r w:rsidRPr="00515061">
        <w:rPr>
          <w:rFonts w:ascii="Times New Roman" w:hAnsi="Times New Roman" w:cs="Times New Roman"/>
          <w:b/>
          <w:bCs/>
          <w:sz w:val="24"/>
          <w:szCs w:val="24"/>
        </w:rPr>
        <w:t>, 9</w:t>
      </w:r>
      <w:r w:rsidR="000F2F4B">
        <w:rPr>
          <w:rFonts w:ascii="Times New Roman" w:hAnsi="Times New Roman" w:cs="Times New Roman"/>
          <w:b/>
          <w:bCs/>
          <w:sz w:val="24"/>
          <w:szCs w:val="24"/>
        </w:rPr>
        <w:t>5</w:t>
      </w:r>
      <w:r w:rsidRPr="00515061">
        <w:rPr>
          <w:rFonts w:ascii="Times New Roman" w:hAnsi="Times New Roman" w:cs="Times New Roman"/>
          <w:b/>
          <w:bCs/>
          <w:sz w:val="24"/>
          <w:szCs w:val="24"/>
        </w:rPr>
        <w:t>)</w:t>
      </w:r>
    </w:p>
    <w:p w:rsidR="00934839" w:rsidRPr="00515061" w:rsidRDefault="00934839" w:rsidP="00511B9B">
      <w:pPr>
        <w:pStyle w:val="ListParagraph"/>
        <w:tabs>
          <w:tab w:val="right" w:pos="9072"/>
        </w:tabs>
        <w:spacing w:after="0" w:line="240" w:lineRule="auto"/>
        <w:rPr>
          <w:rFonts w:ascii="Times New Roman" w:hAnsi="Times New Roman" w:cs="Times New Roman"/>
          <w:b/>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bookmarkStart w:id="16" w:name="_Toc465685246"/>
      <w:bookmarkEnd w:id="14"/>
      <w:bookmarkEnd w:id="15"/>
      <w:r w:rsidRPr="00515061">
        <w:rPr>
          <w:rFonts w:ascii="Times New Roman" w:hAnsi="Times New Roman" w:cs="Times New Roman"/>
          <w:bCs/>
          <w:sz w:val="24"/>
          <w:szCs w:val="24"/>
        </w:rPr>
        <w:t>The Amendment Instrument changes groundwater SDL resource unit boundaries to address a number of matters that have emerged since the Basin Plan came into effect in 2012</w:t>
      </w:r>
      <w:r w:rsidR="002B42B9"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or that have arisen from the merger of groundwater </w:t>
      </w:r>
      <w:r w:rsidR="00903F27" w:rsidRPr="00515061">
        <w:rPr>
          <w:rFonts w:ascii="Times New Roman" w:hAnsi="Times New Roman" w:cs="Times New Roman"/>
          <w:bCs/>
          <w:sz w:val="24"/>
          <w:szCs w:val="24"/>
        </w:rPr>
        <w:t xml:space="preserve">SDL resource </w:t>
      </w:r>
      <w:r w:rsidRPr="00515061">
        <w:rPr>
          <w:rFonts w:ascii="Times New Roman" w:hAnsi="Times New Roman" w:cs="Times New Roman"/>
          <w:bCs/>
          <w:sz w:val="24"/>
          <w:szCs w:val="24"/>
        </w:rPr>
        <w:t>units</w:t>
      </w:r>
      <w:r w:rsidR="00903F27" w:rsidRPr="00515061">
        <w:rPr>
          <w:rFonts w:ascii="Times New Roman" w:hAnsi="Times New Roman" w:cs="Times New Roman"/>
          <w:bCs/>
          <w:sz w:val="24"/>
          <w:szCs w:val="24"/>
        </w:rPr>
        <w:t xml:space="preserve"> or WRP areas</w:t>
      </w:r>
      <w:r w:rsidRPr="00515061">
        <w:rPr>
          <w:rFonts w:ascii="Times New Roman" w:hAnsi="Times New Roman" w:cs="Times New Roman"/>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17" w:name="_Toc465685238"/>
      <w:bookmarkStart w:id="18" w:name="_Toc466982400"/>
      <w:r w:rsidRPr="00515061">
        <w:rPr>
          <w:rFonts w:ascii="Times New Roman" w:hAnsi="Times New Roman" w:cs="Times New Roman"/>
          <w:bCs/>
          <w:sz w:val="24"/>
          <w:szCs w:val="24"/>
          <w:u w:val="single"/>
        </w:rPr>
        <w:t>WRP area boundaries</w:t>
      </w:r>
      <w:bookmarkEnd w:id="17"/>
      <w:bookmarkEnd w:id="18"/>
    </w:p>
    <w:p w:rsidR="00253AB7" w:rsidRPr="00515061" w:rsidRDefault="00253AB7" w:rsidP="00511B9B">
      <w:pPr>
        <w:tabs>
          <w:tab w:val="right" w:pos="9072"/>
        </w:tabs>
        <w:spacing w:after="0" w:line="240" w:lineRule="auto"/>
        <w:rPr>
          <w:rFonts w:ascii="Times New Roman" w:hAnsi="Times New Roman" w:cs="Times New Roman"/>
          <w:bCs/>
          <w:sz w:val="24"/>
          <w:szCs w:val="24"/>
          <w:u w:val="single"/>
        </w:rPr>
      </w:pPr>
    </w:p>
    <w:p w:rsidR="00F1562C"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Since the Basin Plan was made in 2012, a number of Basin States have refined the boundaries of their own water planning areas. </w:t>
      </w:r>
      <w:r w:rsidR="00D23906" w:rsidRPr="00515061">
        <w:rPr>
          <w:rFonts w:ascii="Times New Roman" w:hAnsi="Times New Roman" w:cs="Times New Roman"/>
          <w:bCs/>
          <w:sz w:val="24"/>
          <w:szCs w:val="24"/>
        </w:rPr>
        <w:t>New South Wales and Queensland</w:t>
      </w:r>
      <w:r w:rsidRPr="00515061">
        <w:rPr>
          <w:rFonts w:ascii="Times New Roman" w:hAnsi="Times New Roman" w:cs="Times New Roman"/>
          <w:bCs/>
          <w:sz w:val="24"/>
          <w:szCs w:val="24"/>
        </w:rPr>
        <w:t xml:space="preserve"> have requested that the Authority change the Basin Plan WRP boundaries, referred to in Chapter 3, to align them with the state water planning boundaries. </w:t>
      </w:r>
      <w:r w:rsidR="00F1562C" w:rsidRPr="00515061">
        <w:rPr>
          <w:rFonts w:ascii="Times New Roman" w:hAnsi="Times New Roman" w:cs="Times New Roman"/>
          <w:bCs/>
          <w:sz w:val="24"/>
          <w:szCs w:val="24"/>
        </w:rPr>
        <w:t xml:space="preserve">Note that section 22, item 2 of the Water Act states that the water resource planning areas in the Basin Plan should be aligned, as far as possible, with the state water resource planning areas. </w:t>
      </w:r>
    </w:p>
    <w:p w:rsidR="00F1562C" w:rsidRPr="00515061" w:rsidRDefault="00F1562C"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In New South Wales, the percentage of change is less than 1% of the NSW Murray</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Darling Basin area. New South Wales has also requested that four groundwater WRP areas be merged into two, and Queensland has requested that two of their WRP areas be merged. </w:t>
      </w:r>
    </w:p>
    <w:p w:rsidR="008A123F" w:rsidRPr="00515061" w:rsidRDefault="008A123F"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merged WRP areas are:</w:t>
      </w:r>
    </w:p>
    <w:p w:rsidR="008A58FE" w:rsidRPr="00515061" w:rsidRDefault="008A58FE" w:rsidP="00511B9B">
      <w:pPr>
        <w:numPr>
          <w:ilvl w:val="0"/>
          <w:numId w:val="7"/>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NSW</w:t>
      </w:r>
      <w:r w:rsidRPr="00515061">
        <w:rPr>
          <w:rFonts w:ascii="Times New Roman" w:hAnsi="Times New Roman" w:cs="Times New Roman"/>
          <w:bCs/>
          <w:sz w:val="24"/>
          <w:szCs w:val="24"/>
        </w:rPr>
        <w:t>: the Western Porous Rock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and the Eastern Porous Rock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becomes the NSW Murray</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Darling Basin Porous Rock WRP area (and also will incor</w:t>
      </w:r>
      <w:r w:rsidR="00B61B1B" w:rsidRPr="00515061">
        <w:rPr>
          <w:rFonts w:ascii="Times New Roman" w:hAnsi="Times New Roman" w:cs="Times New Roman"/>
          <w:bCs/>
          <w:sz w:val="24"/>
          <w:szCs w:val="24"/>
        </w:rPr>
        <w:t>porate the Oaklands Basin</w:t>
      </w:r>
      <w:r w:rsidRPr="00515061">
        <w:rPr>
          <w:rFonts w:ascii="Times New Roman" w:hAnsi="Times New Roman" w:cs="Times New Roman"/>
          <w:bCs/>
          <w:sz w:val="24"/>
          <w:szCs w:val="24"/>
        </w:rPr>
        <w:t xml:space="preserve"> SDL resource unit)</w:t>
      </w:r>
    </w:p>
    <w:p w:rsidR="008A58FE" w:rsidRPr="00515061" w:rsidRDefault="008A58FE" w:rsidP="00511B9B">
      <w:pPr>
        <w:numPr>
          <w:ilvl w:val="0"/>
          <w:numId w:val="7"/>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NSW</w:t>
      </w:r>
      <w:r w:rsidRPr="00515061">
        <w:rPr>
          <w:rFonts w:ascii="Times New Roman" w:hAnsi="Times New Roman" w:cs="Times New Roman"/>
          <w:bCs/>
          <w:sz w:val="24"/>
          <w:szCs w:val="24"/>
        </w:rPr>
        <w:t>: the Lachlan and South-Western Fractured Rock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and the New England Fractured Rock and Northern Basalts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become the NSW Murray</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Darling Basin Fractured Rock WRP area</w:t>
      </w:r>
    </w:p>
    <w:p w:rsidR="008A58FE" w:rsidRPr="00515061" w:rsidRDefault="008A58FE" w:rsidP="00511B9B">
      <w:pPr>
        <w:numPr>
          <w:ilvl w:val="0"/>
          <w:numId w:val="7"/>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Queensland</w:t>
      </w:r>
      <w:r w:rsidRPr="00515061">
        <w:rPr>
          <w:rFonts w:ascii="Times New Roman" w:hAnsi="Times New Roman" w:cs="Times New Roman"/>
          <w:bCs/>
          <w:sz w:val="24"/>
          <w:szCs w:val="24"/>
        </w:rPr>
        <w:t>: the Queensland Border Rivers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and the Moonie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become the Queensland Border Rivers</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Moonie WRP area. The Queensland WRP merge</w:t>
      </w:r>
      <w:r w:rsidR="00C33AD8" w:rsidRPr="00515061">
        <w:rPr>
          <w:rFonts w:ascii="Times New Roman" w:hAnsi="Times New Roman" w:cs="Times New Roman"/>
          <w:bCs/>
          <w:sz w:val="24"/>
          <w:szCs w:val="24"/>
        </w:rPr>
        <w:t>r</w:t>
      </w:r>
      <w:r w:rsidRPr="00515061">
        <w:rPr>
          <w:rFonts w:ascii="Times New Roman" w:hAnsi="Times New Roman" w:cs="Times New Roman"/>
          <w:bCs/>
          <w:sz w:val="24"/>
          <w:szCs w:val="24"/>
        </w:rPr>
        <w:t xml:space="preserve"> applies to the surface and groundwater resources in the WRP</w:t>
      </w:r>
      <w:r w:rsidR="00C33AD8" w:rsidRPr="00515061">
        <w:rPr>
          <w:rFonts w:ascii="Times New Roman" w:hAnsi="Times New Roman" w:cs="Times New Roman"/>
          <w:bCs/>
          <w:sz w:val="24"/>
          <w:szCs w:val="24"/>
        </w:rPr>
        <w:t xml:space="preserve"> areas</w:t>
      </w:r>
      <w:r w:rsidRPr="00515061">
        <w:rPr>
          <w:rFonts w:ascii="Times New Roman" w:hAnsi="Times New Roman" w:cs="Times New Roman"/>
          <w:bCs/>
          <w:sz w:val="24"/>
          <w:szCs w:val="24"/>
        </w:rPr>
        <w:t>.</w:t>
      </w:r>
    </w:p>
    <w:p w:rsidR="00231B1A" w:rsidRPr="00515061" w:rsidRDefault="00231B1A"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These changes mean the number of WRP areas will decrease from 36 to 33. Table 3 shows the changes.</w:t>
      </w:r>
    </w:p>
    <w:p w:rsidR="008A58FE" w:rsidRPr="00515061" w:rsidRDefault="008A58FE"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Table 3</w:t>
      </w:r>
      <w:r w:rsidR="00253AB7" w:rsidRPr="00515061">
        <w:rPr>
          <w:rFonts w:ascii="Times New Roman" w:hAnsi="Times New Roman" w:cs="Times New Roman"/>
          <w:b/>
          <w:bCs/>
          <w:sz w:val="24"/>
          <w:szCs w:val="24"/>
        </w:rPr>
        <w:t>:</w:t>
      </w:r>
      <w:r w:rsidR="00903F27" w:rsidRPr="00515061">
        <w:rPr>
          <w:rFonts w:ascii="Times New Roman" w:hAnsi="Times New Roman" w:cs="Times New Roman"/>
          <w:b/>
          <w:bCs/>
          <w:sz w:val="24"/>
          <w:szCs w:val="24"/>
        </w:rPr>
        <w:t xml:space="preserve"> </w:t>
      </w:r>
      <w:r w:rsidRPr="00515061">
        <w:rPr>
          <w:rFonts w:ascii="Times New Roman" w:hAnsi="Times New Roman" w:cs="Times New Roman"/>
          <w:b/>
          <w:bCs/>
          <w:sz w:val="24"/>
          <w:szCs w:val="24"/>
        </w:rPr>
        <w:t>W</w:t>
      </w:r>
      <w:r w:rsidR="00903F27" w:rsidRPr="00515061">
        <w:rPr>
          <w:rFonts w:ascii="Times New Roman" w:hAnsi="Times New Roman" w:cs="Times New Roman"/>
          <w:b/>
          <w:bCs/>
          <w:sz w:val="24"/>
          <w:szCs w:val="24"/>
        </w:rPr>
        <w:t xml:space="preserve">ater </w:t>
      </w:r>
      <w:r w:rsidRPr="00515061">
        <w:rPr>
          <w:rFonts w:ascii="Times New Roman" w:hAnsi="Times New Roman" w:cs="Times New Roman"/>
          <w:b/>
          <w:bCs/>
          <w:sz w:val="24"/>
          <w:szCs w:val="24"/>
        </w:rPr>
        <w:t>R</w:t>
      </w:r>
      <w:r w:rsidR="00903F27" w:rsidRPr="00515061">
        <w:rPr>
          <w:rFonts w:ascii="Times New Roman" w:hAnsi="Times New Roman" w:cs="Times New Roman"/>
          <w:b/>
          <w:bCs/>
          <w:sz w:val="24"/>
          <w:szCs w:val="24"/>
        </w:rPr>
        <w:t xml:space="preserve">esource </w:t>
      </w:r>
      <w:r w:rsidRPr="00515061">
        <w:rPr>
          <w:rFonts w:ascii="Times New Roman" w:hAnsi="Times New Roman" w:cs="Times New Roman"/>
          <w:b/>
          <w:bCs/>
          <w:sz w:val="24"/>
          <w:szCs w:val="24"/>
        </w:rPr>
        <w:t>P</w:t>
      </w:r>
      <w:r w:rsidR="00903F27" w:rsidRPr="00515061">
        <w:rPr>
          <w:rFonts w:ascii="Times New Roman" w:hAnsi="Times New Roman" w:cs="Times New Roman"/>
          <w:b/>
          <w:bCs/>
          <w:sz w:val="24"/>
          <w:szCs w:val="24"/>
        </w:rPr>
        <w:t>lan</w:t>
      </w:r>
      <w:r w:rsidRPr="00515061">
        <w:rPr>
          <w:rFonts w:ascii="Times New Roman" w:hAnsi="Times New Roman" w:cs="Times New Roman"/>
          <w:b/>
          <w:bCs/>
          <w:sz w:val="24"/>
          <w:szCs w:val="24"/>
        </w:rPr>
        <w:t xml:space="preserve"> area changes</w:t>
      </w:r>
    </w:p>
    <w:p w:rsidR="00253AB7" w:rsidRPr="00515061" w:rsidRDefault="00253AB7" w:rsidP="00511B9B">
      <w:pPr>
        <w:tabs>
          <w:tab w:val="right" w:pos="9072"/>
        </w:tabs>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Water Resource Plan Areas "/>
        <w:tblDescription w:val="This table shows change in the overall number of water resource plan areas as a result of proposed change in the WRP boundaries. Overall number of WRP areas will now decrease from 36 to 33. "/>
      </w:tblPr>
      <w:tblGrid>
        <w:gridCol w:w="3036"/>
        <w:gridCol w:w="3028"/>
        <w:gridCol w:w="2997"/>
      </w:tblGrid>
      <w:tr w:rsidR="008A58FE" w:rsidRPr="00515061" w:rsidTr="00253AB7">
        <w:tc>
          <w:tcPr>
            <w:tcW w:w="3150" w:type="dxa"/>
            <w:shd w:val="clear" w:color="auto" w:fill="DDD9C3" w:themeFill="background2" w:themeFillShade="E6"/>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Basin Plan 2012 (</w:t>
            </w:r>
            <w:r w:rsidR="001F0224" w:rsidRPr="00515061">
              <w:rPr>
                <w:rFonts w:ascii="Times New Roman" w:hAnsi="Times New Roman" w:cs="Times New Roman"/>
                <w:b/>
                <w:bCs/>
                <w:sz w:val="24"/>
                <w:szCs w:val="24"/>
              </w:rPr>
              <w:t>prior to the amendments</w:t>
            </w:r>
            <w:r w:rsidRPr="00515061">
              <w:rPr>
                <w:rFonts w:ascii="Times New Roman" w:hAnsi="Times New Roman" w:cs="Times New Roman"/>
                <w:b/>
                <w:bCs/>
                <w:sz w:val="24"/>
                <w:szCs w:val="24"/>
              </w:rPr>
              <w:t>) WRP areas</w:t>
            </w:r>
          </w:p>
        </w:tc>
        <w:tc>
          <w:tcPr>
            <w:tcW w:w="3151" w:type="dxa"/>
            <w:shd w:val="clear" w:color="auto" w:fill="DDD9C3" w:themeFill="background2" w:themeFillShade="E6"/>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Water resource</w:t>
            </w:r>
          </w:p>
        </w:tc>
        <w:tc>
          <w:tcPr>
            <w:tcW w:w="3152" w:type="dxa"/>
            <w:shd w:val="clear" w:color="auto" w:fill="DDD9C3" w:themeFill="background2" w:themeFillShade="E6"/>
            <w:vAlign w:val="center"/>
          </w:tcPr>
          <w:p w:rsidR="008A58FE" w:rsidRPr="00515061" w:rsidRDefault="00903F27"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 xml:space="preserve">Current </w:t>
            </w:r>
            <w:r w:rsidR="008A58FE" w:rsidRPr="00515061">
              <w:rPr>
                <w:rFonts w:ascii="Times New Roman" w:hAnsi="Times New Roman" w:cs="Times New Roman"/>
                <w:b/>
                <w:bCs/>
                <w:sz w:val="24"/>
                <w:szCs w:val="24"/>
              </w:rPr>
              <w:t>WRP areas</w:t>
            </w:r>
          </w:p>
        </w:tc>
      </w:tr>
      <w:tr w:rsidR="008A58FE" w:rsidRPr="00515061" w:rsidTr="002C0EC6">
        <w:trPr>
          <w:trHeight w:val="454"/>
        </w:trPr>
        <w:tc>
          <w:tcPr>
            <w:tcW w:w="3150"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14</w:t>
            </w:r>
          </w:p>
        </w:tc>
        <w:tc>
          <w:tcPr>
            <w:tcW w:w="3151"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Surface water</w:t>
            </w:r>
          </w:p>
        </w:tc>
        <w:tc>
          <w:tcPr>
            <w:tcW w:w="3152"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14</w:t>
            </w:r>
          </w:p>
        </w:tc>
      </w:tr>
      <w:tr w:rsidR="008A58FE" w:rsidRPr="00515061" w:rsidTr="002C0EC6">
        <w:trPr>
          <w:trHeight w:val="454"/>
        </w:trPr>
        <w:tc>
          <w:tcPr>
            <w:tcW w:w="3150"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16</w:t>
            </w:r>
          </w:p>
        </w:tc>
        <w:tc>
          <w:tcPr>
            <w:tcW w:w="3151"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Groundwater</w:t>
            </w:r>
          </w:p>
        </w:tc>
        <w:tc>
          <w:tcPr>
            <w:tcW w:w="3152"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14</w:t>
            </w:r>
          </w:p>
        </w:tc>
      </w:tr>
      <w:tr w:rsidR="008A58FE" w:rsidRPr="00515061" w:rsidTr="00253AB7">
        <w:trPr>
          <w:trHeight w:val="454"/>
        </w:trPr>
        <w:tc>
          <w:tcPr>
            <w:tcW w:w="3150" w:type="dxa"/>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w:t>
            </w:r>
          </w:p>
        </w:tc>
        <w:tc>
          <w:tcPr>
            <w:tcW w:w="3151" w:type="dxa"/>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Surface and groundwater</w:t>
            </w:r>
          </w:p>
        </w:tc>
        <w:tc>
          <w:tcPr>
            <w:tcW w:w="3152" w:type="dxa"/>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5</w:t>
            </w:r>
          </w:p>
        </w:tc>
      </w:tr>
      <w:tr w:rsidR="008A58FE" w:rsidRPr="00515061" w:rsidTr="00253AB7">
        <w:trPr>
          <w:trHeight w:val="454"/>
        </w:trPr>
        <w:tc>
          <w:tcPr>
            <w:tcW w:w="3150" w:type="dxa"/>
            <w:shd w:val="clear" w:color="auto" w:fill="C4BC96" w:themeFill="background2" w:themeFillShade="BF"/>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36</w:t>
            </w:r>
          </w:p>
        </w:tc>
        <w:tc>
          <w:tcPr>
            <w:tcW w:w="3151" w:type="dxa"/>
            <w:shd w:val="clear" w:color="auto" w:fill="C4BC96" w:themeFill="background2" w:themeFillShade="BF"/>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Total</w:t>
            </w:r>
          </w:p>
        </w:tc>
        <w:tc>
          <w:tcPr>
            <w:tcW w:w="3152" w:type="dxa"/>
            <w:shd w:val="clear" w:color="auto" w:fill="C4BC96" w:themeFill="background2" w:themeFillShade="BF"/>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33</w:t>
            </w:r>
          </w:p>
        </w:tc>
      </w:tr>
    </w:tbl>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These amendments to the WRP area changes are detailed in section 3.06 ‘Water resource plans – groundwater’, see paragraphs (d) and (i), and section 3.07 ‘Water resource plan areas – surface water and groundwater’ (see </w:t>
      </w:r>
      <w:r w:rsidRPr="00515061">
        <w:rPr>
          <w:rFonts w:ascii="Times New Roman" w:hAnsi="Times New Roman" w:cs="Times New Roman"/>
          <w:b/>
          <w:bCs/>
          <w:sz w:val="24"/>
          <w:szCs w:val="24"/>
        </w:rPr>
        <w:t>items 8 and 9</w:t>
      </w:r>
      <w:r w:rsidRPr="00515061">
        <w:rPr>
          <w:rFonts w:ascii="Times New Roman" w:hAnsi="Times New Roman" w:cs="Times New Roman"/>
          <w:bCs/>
          <w:sz w:val="24"/>
          <w:szCs w:val="24"/>
        </w:rPr>
        <w:t xml:space="preserve">). Changing these boundaries results in changes to WRP maps and datasets referenced in Chapter 3 (paragraphs 3.03(1)(c) (Datasets for identification of surface WRP areas) (see </w:t>
      </w:r>
      <w:r w:rsidRPr="00515061">
        <w:rPr>
          <w:rFonts w:ascii="Times New Roman" w:hAnsi="Times New Roman" w:cs="Times New Roman"/>
          <w:b/>
          <w:bCs/>
          <w:sz w:val="24"/>
          <w:szCs w:val="24"/>
        </w:rPr>
        <w:t>item 6</w:t>
      </w:r>
      <w:r w:rsidR="00225F14" w:rsidRPr="00515061">
        <w:rPr>
          <w:rFonts w:ascii="Times New Roman" w:hAnsi="Times New Roman" w:cs="Times New Roman"/>
          <w:b/>
          <w:bCs/>
          <w:sz w:val="24"/>
          <w:szCs w:val="24"/>
        </w:rPr>
        <w:t xml:space="preserve"> </w:t>
      </w:r>
      <w:r w:rsidR="00225F14" w:rsidRPr="00515061">
        <w:rPr>
          <w:rFonts w:ascii="Times New Roman" w:hAnsi="Times New Roman" w:cs="Times New Roman"/>
          <w:bCs/>
          <w:sz w:val="24"/>
          <w:szCs w:val="24"/>
        </w:rPr>
        <w:t xml:space="preserve">discussed below at </w:t>
      </w:r>
      <w:r w:rsidR="00225F14" w:rsidRPr="00515061">
        <w:rPr>
          <w:rFonts w:ascii="Times New Roman" w:hAnsi="Times New Roman" w:cs="Times New Roman"/>
          <w:bCs/>
          <w:i/>
          <w:sz w:val="24"/>
          <w:szCs w:val="24"/>
        </w:rPr>
        <w:t>4(c)</w:t>
      </w:r>
      <w:r w:rsidR="00225F14" w:rsidRPr="00515061">
        <w:rPr>
          <w:rFonts w:ascii="Times New Roman" w:hAnsi="Times New Roman" w:cs="Times New Roman"/>
          <w:bCs/>
          <w:sz w:val="24"/>
          <w:szCs w:val="24"/>
        </w:rPr>
        <w:t xml:space="preserve"> </w:t>
      </w:r>
      <w:r w:rsidR="00225F14" w:rsidRPr="00515061">
        <w:rPr>
          <w:rFonts w:ascii="Times New Roman" w:hAnsi="Times New Roman" w:cs="Times New Roman"/>
          <w:bCs/>
          <w:i/>
          <w:sz w:val="24"/>
          <w:szCs w:val="24"/>
        </w:rPr>
        <w:t>Surface water WRP and SDL resource unit boundary amendments</w:t>
      </w:r>
      <w:r w:rsidR="00253AB7" w:rsidRPr="00515061">
        <w:rPr>
          <w:rFonts w:ascii="Times New Roman" w:hAnsi="Times New Roman" w:cs="Times New Roman"/>
          <w:bCs/>
          <w:i/>
          <w:sz w:val="24"/>
          <w:szCs w:val="24"/>
        </w:rPr>
        <w:t xml:space="preserve"> </w:t>
      </w:r>
      <w:r w:rsidR="00253AB7" w:rsidRPr="00515061">
        <w:rPr>
          <w:rFonts w:ascii="Times New Roman" w:hAnsi="Times New Roman" w:cs="Times New Roman"/>
          <w:bCs/>
          <w:sz w:val="24"/>
          <w:szCs w:val="24"/>
        </w:rPr>
        <w:t>of this explanatory statement</w:t>
      </w:r>
      <w:r w:rsidRPr="00515061">
        <w:rPr>
          <w:rFonts w:ascii="Times New Roman" w:hAnsi="Times New Roman" w:cs="Times New Roman"/>
          <w:bCs/>
          <w:sz w:val="24"/>
          <w:szCs w:val="24"/>
        </w:rPr>
        <w:t xml:space="preserve">) and 3.03(2)(c) (Datasets for identification of groundwater WRP areas) (see </w:t>
      </w:r>
      <w:r w:rsidRPr="00515061">
        <w:rPr>
          <w:rFonts w:ascii="Times New Roman" w:hAnsi="Times New Roman" w:cs="Times New Roman"/>
          <w:b/>
          <w:bCs/>
          <w:sz w:val="24"/>
          <w:szCs w:val="24"/>
        </w:rPr>
        <w:t>item 7</w:t>
      </w:r>
      <w:r w:rsidRPr="00515061">
        <w:rPr>
          <w:rFonts w:ascii="Times New Roman" w:hAnsi="Times New Roman" w:cs="Times New Roman"/>
          <w:bCs/>
          <w:sz w:val="24"/>
          <w:szCs w:val="24"/>
        </w:rPr>
        <w:t xml:space="preserve">)) (see </w:t>
      </w:r>
      <w:r w:rsidRPr="00515061">
        <w:rPr>
          <w:rFonts w:ascii="Times New Roman" w:hAnsi="Times New Roman" w:cs="Times New Roman"/>
          <w:b/>
          <w:bCs/>
          <w:sz w:val="24"/>
          <w:szCs w:val="24"/>
        </w:rPr>
        <w:t>items 12 and 13</w:t>
      </w:r>
      <w:r w:rsidR="00193EF0" w:rsidRPr="00515061">
        <w:rPr>
          <w:rFonts w:ascii="Times New Roman" w:hAnsi="Times New Roman" w:cs="Times New Roman"/>
          <w:b/>
          <w:bCs/>
          <w:sz w:val="24"/>
          <w:szCs w:val="24"/>
        </w:rPr>
        <w:t xml:space="preserve"> </w:t>
      </w:r>
      <w:r w:rsidR="00193EF0" w:rsidRPr="00515061">
        <w:rPr>
          <w:rFonts w:ascii="Times New Roman" w:hAnsi="Times New Roman" w:cs="Times New Roman"/>
          <w:bCs/>
          <w:sz w:val="24"/>
          <w:szCs w:val="24"/>
        </w:rPr>
        <w:t xml:space="preserve">discussed </w:t>
      </w:r>
      <w:r w:rsidR="00E67E4F" w:rsidRPr="00515061">
        <w:rPr>
          <w:rFonts w:ascii="Times New Roman" w:hAnsi="Times New Roman" w:cs="Times New Roman"/>
          <w:bCs/>
          <w:sz w:val="24"/>
          <w:szCs w:val="24"/>
        </w:rPr>
        <w:t xml:space="preserve">below at </w:t>
      </w:r>
      <w:r w:rsidR="00E67E4F" w:rsidRPr="00515061">
        <w:rPr>
          <w:rFonts w:ascii="Times New Roman" w:hAnsi="Times New Roman" w:cs="Times New Roman"/>
          <w:bCs/>
          <w:i/>
          <w:sz w:val="24"/>
          <w:szCs w:val="24"/>
        </w:rPr>
        <w:t>4(c)</w:t>
      </w:r>
      <w:r w:rsidR="00E67E4F" w:rsidRPr="00515061">
        <w:rPr>
          <w:rFonts w:ascii="Times New Roman" w:hAnsi="Times New Roman" w:cs="Times New Roman"/>
          <w:bCs/>
          <w:sz w:val="24"/>
          <w:szCs w:val="24"/>
        </w:rPr>
        <w:t xml:space="preserve"> </w:t>
      </w:r>
      <w:r w:rsidR="00E67E4F" w:rsidRPr="00515061">
        <w:rPr>
          <w:rFonts w:ascii="Times New Roman" w:hAnsi="Times New Roman" w:cs="Times New Roman"/>
          <w:bCs/>
          <w:i/>
          <w:sz w:val="24"/>
          <w:szCs w:val="24"/>
        </w:rPr>
        <w:t>Surface water WRP and SDL resource unit boundary amendments</w:t>
      </w:r>
      <w:r w:rsidR="00E67E4F" w:rsidRPr="00515061">
        <w:rPr>
          <w:rFonts w:ascii="Times New Roman" w:hAnsi="Times New Roman" w:cs="Times New Roman"/>
          <w:bCs/>
          <w:sz w:val="24"/>
          <w:szCs w:val="24"/>
        </w:rPr>
        <w:t xml:space="preserve"> and </w:t>
      </w:r>
      <w:r w:rsidR="00E67E4F" w:rsidRPr="00515061">
        <w:rPr>
          <w:rFonts w:ascii="Times New Roman" w:hAnsi="Times New Roman" w:cs="Times New Roman"/>
          <w:bCs/>
          <w:i/>
          <w:sz w:val="24"/>
          <w:szCs w:val="24"/>
        </w:rPr>
        <w:t>2(d) Changes to certain groundwater SDL resource units boundaries</w:t>
      </w:r>
      <w:r w:rsidR="00253AB7" w:rsidRPr="00515061">
        <w:rPr>
          <w:rFonts w:ascii="Times New Roman" w:hAnsi="Times New Roman" w:cs="Times New Roman"/>
          <w:bCs/>
          <w:sz w:val="24"/>
          <w:szCs w:val="24"/>
        </w:rPr>
        <w:t xml:space="preserve"> of this explanatory statement</w:t>
      </w:r>
      <w:r w:rsidRPr="00515061">
        <w:rPr>
          <w:rFonts w:ascii="Times New Roman" w:hAnsi="Times New Roman" w:cs="Times New Roman"/>
          <w:bCs/>
          <w:sz w:val="24"/>
          <w:szCs w:val="24"/>
        </w:rPr>
        <w:t xml:space="preserve">) and consequential changes in Column 2 of Schedule 4 of the Basin Plan (see </w:t>
      </w:r>
      <w:r w:rsidRPr="00515061">
        <w:rPr>
          <w:rFonts w:ascii="Times New Roman" w:hAnsi="Times New Roman" w:cs="Times New Roman"/>
          <w:b/>
          <w:bCs/>
          <w:sz w:val="24"/>
          <w:szCs w:val="24"/>
        </w:rPr>
        <w:t>item 9</w:t>
      </w:r>
      <w:r w:rsidR="00CA1658">
        <w:rPr>
          <w:rFonts w:ascii="Times New Roman" w:hAnsi="Times New Roman" w:cs="Times New Roman"/>
          <w:b/>
          <w:bCs/>
          <w:sz w:val="24"/>
          <w:szCs w:val="24"/>
        </w:rPr>
        <w:t>5</w:t>
      </w:r>
      <w:r w:rsidRPr="00515061">
        <w:rPr>
          <w:rFonts w:ascii="Times New Roman" w:hAnsi="Times New Roman" w:cs="Times New Roman"/>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E41A54"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Consequential amendments to reflect these WRP changes for the NSW Murray-Darling Basin Porous Rock, the NSW Murray-Darling Basin Fractured Rock and the Queensland Border Rivers-Moonie WRP areas are detailed in </w:t>
      </w:r>
      <w:r w:rsidRPr="00515061">
        <w:rPr>
          <w:rFonts w:ascii="Times New Roman" w:hAnsi="Times New Roman" w:cs="Times New Roman"/>
          <w:b/>
          <w:bCs/>
          <w:sz w:val="24"/>
          <w:szCs w:val="24"/>
        </w:rPr>
        <w:t>items 10, 7</w:t>
      </w:r>
      <w:r w:rsidR="00017BE4">
        <w:rPr>
          <w:rFonts w:ascii="Times New Roman" w:hAnsi="Times New Roman" w:cs="Times New Roman"/>
          <w:b/>
          <w:bCs/>
          <w:sz w:val="24"/>
          <w:szCs w:val="24"/>
        </w:rPr>
        <w:t>1</w:t>
      </w:r>
      <w:r w:rsidRPr="00515061">
        <w:rPr>
          <w:rFonts w:ascii="Times New Roman" w:hAnsi="Times New Roman" w:cs="Times New Roman"/>
          <w:b/>
          <w:bCs/>
          <w:sz w:val="24"/>
          <w:szCs w:val="24"/>
        </w:rPr>
        <w:t>, 7</w:t>
      </w:r>
      <w:r w:rsidR="00017BE4">
        <w:rPr>
          <w:rFonts w:ascii="Times New Roman" w:hAnsi="Times New Roman" w:cs="Times New Roman"/>
          <w:b/>
          <w:bCs/>
          <w:sz w:val="24"/>
          <w:szCs w:val="24"/>
        </w:rPr>
        <w:t>3</w:t>
      </w:r>
      <w:r w:rsidRPr="00515061">
        <w:rPr>
          <w:rFonts w:ascii="Times New Roman" w:hAnsi="Times New Roman" w:cs="Times New Roman"/>
          <w:b/>
          <w:bCs/>
          <w:sz w:val="24"/>
          <w:szCs w:val="24"/>
        </w:rPr>
        <w:t>, 9</w:t>
      </w:r>
      <w:r w:rsidR="00017BE4">
        <w:rPr>
          <w:rFonts w:ascii="Times New Roman" w:hAnsi="Times New Roman" w:cs="Times New Roman"/>
          <w:b/>
          <w:bCs/>
          <w:sz w:val="24"/>
          <w:szCs w:val="24"/>
        </w:rPr>
        <w:t>2</w:t>
      </w:r>
      <w:r w:rsidRPr="00515061">
        <w:rPr>
          <w:rFonts w:ascii="Times New Roman" w:hAnsi="Times New Roman" w:cs="Times New Roman"/>
          <w:b/>
          <w:bCs/>
          <w:sz w:val="24"/>
          <w:szCs w:val="24"/>
        </w:rPr>
        <w:t>, 9</w:t>
      </w:r>
      <w:r w:rsidR="00017BE4">
        <w:rPr>
          <w:rFonts w:ascii="Times New Roman" w:hAnsi="Times New Roman" w:cs="Times New Roman"/>
          <w:b/>
          <w:bCs/>
          <w:sz w:val="24"/>
          <w:szCs w:val="24"/>
        </w:rPr>
        <w:t>3</w:t>
      </w:r>
      <w:r w:rsidRPr="00515061">
        <w:rPr>
          <w:rFonts w:ascii="Times New Roman" w:hAnsi="Times New Roman" w:cs="Times New Roman"/>
          <w:b/>
          <w:bCs/>
          <w:sz w:val="24"/>
          <w:szCs w:val="24"/>
        </w:rPr>
        <w:t>, 9</w:t>
      </w:r>
      <w:r w:rsidR="00017BE4">
        <w:rPr>
          <w:rFonts w:ascii="Times New Roman" w:hAnsi="Times New Roman" w:cs="Times New Roman"/>
          <w:b/>
          <w:bCs/>
          <w:sz w:val="24"/>
          <w:szCs w:val="24"/>
        </w:rPr>
        <w:t>5</w:t>
      </w:r>
      <w:r w:rsidRPr="00515061">
        <w:rPr>
          <w:rFonts w:ascii="Times New Roman" w:hAnsi="Times New Roman" w:cs="Times New Roman"/>
          <w:bCs/>
          <w:sz w:val="24"/>
          <w:szCs w:val="24"/>
        </w:rPr>
        <w:t xml:space="preserve">. </w:t>
      </w:r>
    </w:p>
    <w:p w:rsidR="00E41A54" w:rsidRPr="00515061" w:rsidRDefault="00E41A54" w:rsidP="00511B9B">
      <w:pPr>
        <w:tabs>
          <w:tab w:val="right" w:pos="9072"/>
        </w:tabs>
        <w:spacing w:after="0" w:line="240" w:lineRule="auto"/>
        <w:rPr>
          <w:rFonts w:ascii="Times New Roman" w:hAnsi="Times New Roman" w:cs="Times New Roman"/>
          <w:bCs/>
          <w:sz w:val="24"/>
          <w:szCs w:val="24"/>
        </w:rPr>
      </w:pPr>
    </w:p>
    <w:p w:rsidR="00E41A54"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In </w:t>
      </w:r>
      <w:r w:rsidRPr="00515061">
        <w:rPr>
          <w:rFonts w:ascii="Times New Roman" w:hAnsi="Times New Roman" w:cs="Times New Roman"/>
          <w:b/>
          <w:bCs/>
          <w:sz w:val="24"/>
          <w:szCs w:val="24"/>
        </w:rPr>
        <w:t>item 9</w:t>
      </w:r>
      <w:r w:rsidR="00CA1658">
        <w:rPr>
          <w:rFonts w:ascii="Times New Roman" w:hAnsi="Times New Roman" w:cs="Times New Roman"/>
          <w:b/>
          <w:bCs/>
          <w:sz w:val="24"/>
          <w:szCs w:val="24"/>
        </w:rPr>
        <w:t>5</w:t>
      </w:r>
      <w:r w:rsidRPr="00515061">
        <w:rPr>
          <w:rFonts w:ascii="Times New Roman" w:hAnsi="Times New Roman" w:cs="Times New Roman"/>
          <w:b/>
          <w:bCs/>
          <w:sz w:val="24"/>
          <w:szCs w:val="24"/>
        </w:rPr>
        <w:t xml:space="preserve"> </w:t>
      </w:r>
      <w:r w:rsidRPr="00515061">
        <w:rPr>
          <w:rFonts w:ascii="Times New Roman" w:hAnsi="Times New Roman" w:cs="Times New Roman"/>
          <w:bCs/>
          <w:sz w:val="24"/>
          <w:szCs w:val="24"/>
        </w:rPr>
        <w:t>of the Amendment Instrument, the consequential changes are in</w:t>
      </w:r>
      <w:r w:rsidR="00E41A54" w:rsidRPr="00515061">
        <w:rPr>
          <w:rFonts w:ascii="Times New Roman" w:hAnsi="Times New Roman" w:cs="Times New Roman"/>
          <w:bCs/>
          <w:sz w:val="24"/>
          <w:szCs w:val="24"/>
        </w:rPr>
        <w:t xml:space="preserve"> the following parts of Schedule 4:</w:t>
      </w:r>
    </w:p>
    <w:p w:rsidR="00E41A54" w:rsidRPr="00515061" w:rsidRDefault="00E41A54" w:rsidP="00770CA0">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changes to headings to reflect the new</w:t>
      </w:r>
      <w:r w:rsidR="008A58FE"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NSW Murray-Darling Basin Porous Rock, NSW Murray-D</w:t>
      </w:r>
      <w:r w:rsidR="00770CA0" w:rsidRPr="00515061">
        <w:rPr>
          <w:rFonts w:ascii="Times New Roman" w:hAnsi="Times New Roman" w:cs="Times New Roman"/>
          <w:bCs/>
          <w:sz w:val="24"/>
          <w:szCs w:val="24"/>
        </w:rPr>
        <w:t xml:space="preserve">arling Basin Fractured Rock and the </w:t>
      </w:r>
      <w:r w:rsidRPr="00515061">
        <w:rPr>
          <w:rFonts w:ascii="Times New Roman" w:hAnsi="Times New Roman" w:cs="Times New Roman"/>
          <w:bCs/>
          <w:sz w:val="24"/>
          <w:szCs w:val="24"/>
        </w:rPr>
        <w:t>Queensland Border Rivers-Moonie WRP areas</w:t>
      </w:r>
      <w:r w:rsidR="00770CA0" w:rsidRPr="00515061">
        <w:rPr>
          <w:rFonts w:ascii="Times New Roman" w:hAnsi="Times New Roman" w:cs="Times New Roman"/>
          <w:bCs/>
          <w:sz w:val="24"/>
          <w:szCs w:val="24"/>
        </w:rPr>
        <w:t>;</w:t>
      </w:r>
    </w:p>
    <w:p w:rsidR="00E41A54" w:rsidRPr="00515061" w:rsidRDefault="008A58FE"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deletion of t</w:t>
      </w:r>
      <w:r w:rsidR="00E41A54" w:rsidRPr="00515061">
        <w:rPr>
          <w:rFonts w:ascii="Times New Roman" w:hAnsi="Times New Roman" w:cs="Times New Roman"/>
          <w:bCs/>
          <w:sz w:val="24"/>
          <w:szCs w:val="24"/>
        </w:rPr>
        <w:t>he Eastern Porous Rock WRP area (and moving of the relevant SDL resource units to NSW Murray-Darling Basin Porous Rock WRP area, note Oaklands Basin SDL resource unit also moved from Murray Alluvium WRP area to the NSW Murray-Darling Basin Porous Rock WRP area);</w:t>
      </w:r>
      <w:r w:rsidRPr="00515061">
        <w:rPr>
          <w:rFonts w:ascii="Times New Roman" w:hAnsi="Times New Roman" w:cs="Times New Roman"/>
          <w:bCs/>
          <w:sz w:val="24"/>
          <w:szCs w:val="24"/>
        </w:rPr>
        <w:t xml:space="preserve"> </w:t>
      </w:r>
    </w:p>
    <w:p w:rsidR="00E41A54" w:rsidRPr="00515061" w:rsidRDefault="008A58FE"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deletion of the New England Fractured Rock and Northern Basalts WRP area</w:t>
      </w:r>
      <w:r w:rsidR="00E41A54" w:rsidRPr="00515061">
        <w:rPr>
          <w:rFonts w:ascii="Times New Roman" w:hAnsi="Times New Roman" w:cs="Times New Roman"/>
          <w:bCs/>
          <w:sz w:val="24"/>
          <w:szCs w:val="24"/>
        </w:rPr>
        <w:t xml:space="preserve"> (and moving of the relevant SDL resource units to NSW Murray-Darling Basin Fractured Rock WRP area);</w:t>
      </w:r>
      <w:r w:rsidRPr="00515061">
        <w:rPr>
          <w:rFonts w:ascii="Times New Roman" w:hAnsi="Times New Roman" w:cs="Times New Roman"/>
          <w:bCs/>
          <w:sz w:val="24"/>
          <w:szCs w:val="24"/>
        </w:rPr>
        <w:t xml:space="preserve"> </w:t>
      </w:r>
    </w:p>
    <w:p w:rsidR="0080051B" w:rsidRPr="00515061" w:rsidRDefault="008A58FE"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deletion of the Moonie WRP area</w:t>
      </w:r>
      <w:r w:rsidR="00E41A54" w:rsidRPr="00515061">
        <w:rPr>
          <w:rFonts w:ascii="Times New Roman" w:hAnsi="Times New Roman" w:cs="Times New Roman"/>
          <w:bCs/>
          <w:sz w:val="24"/>
          <w:szCs w:val="24"/>
        </w:rPr>
        <w:t xml:space="preserve"> (and moving of the relevant SDL resource units to the Queensland Border Rivers-Moonie WRP area)</w:t>
      </w:r>
      <w:r w:rsidR="0080051B" w:rsidRPr="00515061">
        <w:rPr>
          <w:rFonts w:ascii="Times New Roman" w:hAnsi="Times New Roman" w:cs="Times New Roman"/>
          <w:bCs/>
          <w:sz w:val="24"/>
          <w:szCs w:val="24"/>
        </w:rPr>
        <w:t>; and</w:t>
      </w:r>
    </w:p>
    <w:p w:rsidR="008A58FE" w:rsidRPr="00515061" w:rsidRDefault="0080051B"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changes to numbering of the SDL resource units in Schedule 4 to reflect the above changes to WRP areas</w:t>
      </w:r>
      <w:r w:rsidR="008A58FE" w:rsidRPr="00515061">
        <w:rPr>
          <w:rFonts w:ascii="Times New Roman" w:hAnsi="Times New Roman" w:cs="Times New Roman"/>
          <w:bCs/>
          <w:sz w:val="24"/>
          <w:szCs w:val="24"/>
        </w:rPr>
        <w:t>.</w:t>
      </w:r>
      <w:bookmarkStart w:id="19" w:name="_Toc466982401"/>
    </w:p>
    <w:p w:rsidR="008A58FE" w:rsidRPr="00515061" w:rsidRDefault="008A58FE" w:rsidP="00511B9B">
      <w:pPr>
        <w:spacing w:after="0"/>
        <w:rPr>
          <w:rFonts w:ascii="Times New Roman" w:hAnsi="Times New Roman" w:cs="Times New Roman"/>
          <w:bCs/>
          <w:sz w:val="24"/>
          <w:szCs w:val="24"/>
        </w:rPr>
      </w:pPr>
    </w:p>
    <w:bookmarkEnd w:id="19"/>
    <w:p w:rsidR="008A58FE" w:rsidRPr="00515061" w:rsidRDefault="0090284E" w:rsidP="00511B9B">
      <w:pPr>
        <w:pStyle w:val="ListParagraph"/>
        <w:numPr>
          <w:ilvl w:val="0"/>
          <w:numId w:val="10"/>
        </w:num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 xml:space="preserve">Changes to certain groundwater SDL resource units boundaries </w:t>
      </w:r>
      <w:r w:rsidR="008A58FE" w:rsidRPr="00515061">
        <w:rPr>
          <w:rFonts w:ascii="Times New Roman" w:hAnsi="Times New Roman" w:cs="Times New Roman"/>
          <w:b/>
          <w:bCs/>
          <w:sz w:val="24"/>
          <w:szCs w:val="24"/>
        </w:rPr>
        <w:t>(items 11, 12, 13 and 9</w:t>
      </w:r>
      <w:r w:rsidR="00CA1658">
        <w:rPr>
          <w:rFonts w:ascii="Times New Roman" w:hAnsi="Times New Roman" w:cs="Times New Roman"/>
          <w:b/>
          <w:bCs/>
          <w:sz w:val="24"/>
          <w:szCs w:val="24"/>
        </w:rPr>
        <w:t>5</w:t>
      </w:r>
      <w:r w:rsidR="008A58FE" w:rsidRPr="00515061">
        <w:rPr>
          <w:rFonts w:ascii="Times New Roman" w:hAnsi="Times New Roman" w:cs="Times New Roman"/>
          <w:b/>
          <w:bCs/>
          <w:sz w:val="24"/>
          <w:szCs w:val="24"/>
        </w:rPr>
        <w:t>)</w:t>
      </w:r>
    </w:p>
    <w:p w:rsidR="008A58FE" w:rsidRPr="00515061" w:rsidRDefault="008A58FE" w:rsidP="00511B9B">
      <w:pPr>
        <w:tabs>
          <w:tab w:val="right" w:pos="9072"/>
        </w:tabs>
        <w:spacing w:after="0" w:line="240" w:lineRule="auto"/>
        <w:rPr>
          <w:rFonts w:ascii="Times New Roman" w:hAnsi="Times New Roman" w:cs="Times New Roman"/>
          <w:b/>
          <w:bCs/>
          <w:sz w:val="24"/>
          <w:szCs w:val="24"/>
        </w:rPr>
      </w:pPr>
    </w:p>
    <w:p w:rsidR="008A58FE" w:rsidRPr="000F2F4B"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New South Wales, Queensland and Victoria requested </w:t>
      </w:r>
      <w:r w:rsidR="005F7321" w:rsidRPr="00515061">
        <w:rPr>
          <w:rFonts w:ascii="Times New Roman" w:hAnsi="Times New Roman" w:cs="Times New Roman"/>
          <w:bCs/>
          <w:sz w:val="24"/>
          <w:szCs w:val="24"/>
        </w:rPr>
        <w:t xml:space="preserve">that </w:t>
      </w:r>
      <w:r w:rsidRPr="00515061">
        <w:rPr>
          <w:rFonts w:ascii="Times New Roman" w:hAnsi="Times New Roman" w:cs="Times New Roman"/>
          <w:bCs/>
          <w:sz w:val="24"/>
          <w:szCs w:val="24"/>
        </w:rPr>
        <w:t xml:space="preserve">the Authority make changes in the Basin Plan to SDL resource unit boundaries to align them with state planning boundaries. Note that section 22, item 2 of the Water Act states that the water resource planning areas in the Basin Plan should be aligned, as far as possible, with the state water resource planning areas. Changing these New South Wales, Queensland and Victoria boundaries results in changes to maps and datasets referenced in Chapter 6 (paragraphs 6.02(1)(c) – for surface water and 6.03(1)(c) – for groundwater) (see </w:t>
      </w:r>
      <w:r w:rsidRPr="00515061">
        <w:rPr>
          <w:rFonts w:ascii="Times New Roman" w:hAnsi="Times New Roman" w:cs="Times New Roman"/>
          <w:b/>
          <w:bCs/>
          <w:sz w:val="24"/>
          <w:szCs w:val="24"/>
        </w:rPr>
        <w:t>items 12 and 13)</w:t>
      </w:r>
      <w:r w:rsidRPr="00515061">
        <w:rPr>
          <w:rFonts w:ascii="Times New Roman" w:hAnsi="Times New Roman" w:cs="Times New Roman"/>
          <w:bCs/>
          <w:sz w:val="24"/>
          <w:szCs w:val="24"/>
        </w:rPr>
        <w:t xml:space="preserve"> and consequential changes in Column 2 of Schedule 4 of the Basin Plan (see </w:t>
      </w:r>
      <w:r w:rsidRPr="00515061">
        <w:rPr>
          <w:rFonts w:ascii="Times New Roman" w:hAnsi="Times New Roman" w:cs="Times New Roman"/>
          <w:b/>
          <w:bCs/>
          <w:sz w:val="24"/>
          <w:szCs w:val="24"/>
        </w:rPr>
        <w:t>item 9</w:t>
      </w:r>
      <w:r w:rsidR="00CA1658">
        <w:rPr>
          <w:rFonts w:ascii="Times New Roman" w:hAnsi="Times New Roman" w:cs="Times New Roman"/>
          <w:b/>
          <w:bCs/>
          <w:sz w:val="24"/>
          <w:szCs w:val="24"/>
        </w:rPr>
        <w:t>5</w:t>
      </w:r>
      <w:r w:rsidRPr="00515061">
        <w:rPr>
          <w:rFonts w:ascii="Times New Roman" w:hAnsi="Times New Roman" w:cs="Times New Roman"/>
          <w:bCs/>
          <w:sz w:val="24"/>
          <w:szCs w:val="24"/>
        </w:rPr>
        <w:t>).</w:t>
      </w:r>
      <w:r w:rsidR="000F2F4B">
        <w:rPr>
          <w:rFonts w:ascii="Times New Roman" w:hAnsi="Times New Roman" w:cs="Times New Roman"/>
          <w:bCs/>
          <w:sz w:val="24"/>
          <w:szCs w:val="24"/>
        </w:rPr>
        <w:t xml:space="preserve"> The updated maps are published on the Authority’s website and became effective </w:t>
      </w:r>
      <w:r w:rsidR="00EF306E">
        <w:rPr>
          <w:rFonts w:ascii="Times New Roman" w:hAnsi="Times New Roman" w:cs="Times New Roman"/>
          <w:bCs/>
          <w:sz w:val="24"/>
          <w:szCs w:val="24"/>
        </w:rPr>
        <w:t>as at</w:t>
      </w:r>
      <w:r w:rsidR="000F2F4B">
        <w:rPr>
          <w:rFonts w:ascii="Times New Roman" w:hAnsi="Times New Roman" w:cs="Times New Roman"/>
          <w:bCs/>
          <w:sz w:val="24"/>
          <w:szCs w:val="24"/>
        </w:rPr>
        <w:t xml:space="preserve"> 14 November 2017, the date of commencement of </w:t>
      </w:r>
      <w:r w:rsidR="000F2F4B" w:rsidRPr="0073071B">
        <w:rPr>
          <w:rFonts w:ascii="Times New Roman" w:hAnsi="Times New Roman" w:cs="Times New Roman"/>
          <w:bCs/>
          <w:sz w:val="24"/>
          <w:szCs w:val="24"/>
        </w:rPr>
        <w:t xml:space="preserve">the </w:t>
      </w:r>
      <w:r w:rsidR="0073071B" w:rsidRPr="0073071B">
        <w:rPr>
          <w:rFonts w:ascii="Times New Roman" w:hAnsi="Times New Roman" w:cs="Times New Roman"/>
          <w:sz w:val="24"/>
          <w:szCs w:val="24"/>
        </w:rPr>
        <w:t>Disallowed Instrument</w:t>
      </w:r>
      <w:r w:rsidR="000F2F4B">
        <w:rPr>
          <w:rFonts w:ascii="Times New Roman" w:hAnsi="Times New Roman" w:cs="Times New Roman"/>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New South Wales requested that the vertical boundaries of some New South Wales groundwater SDL resource units be revised. This is to align with existing New South Wales water sharing plans and allow for separate accounting from a groundwater SDL unit that sits below another unit (a buried resource). A similar issue occurs in Queensland but not the other Basin States of </w:t>
      </w:r>
      <w:r w:rsidR="00C46405" w:rsidRPr="00515061">
        <w:rPr>
          <w:rFonts w:ascii="Times New Roman" w:hAnsi="Times New Roman" w:cs="Times New Roman"/>
          <w:bCs/>
          <w:sz w:val="24"/>
          <w:szCs w:val="24"/>
        </w:rPr>
        <w:t xml:space="preserve">the </w:t>
      </w:r>
      <w:r w:rsidRPr="00515061">
        <w:rPr>
          <w:rFonts w:ascii="Times New Roman" w:hAnsi="Times New Roman" w:cs="Times New Roman"/>
          <w:bCs/>
          <w:sz w:val="24"/>
          <w:szCs w:val="24"/>
        </w:rPr>
        <w:t xml:space="preserve">ACT, South Australia and Victoria. </w:t>
      </w:r>
      <w:r w:rsidR="005E2716" w:rsidRPr="00515061">
        <w:rPr>
          <w:rFonts w:ascii="Times New Roman" w:hAnsi="Times New Roman" w:cs="Times New Roman"/>
          <w:bCs/>
          <w:sz w:val="24"/>
          <w:szCs w:val="24"/>
        </w:rPr>
        <w:t xml:space="preserve">Prior to the amendments, </w:t>
      </w:r>
      <w:r w:rsidRPr="00515061">
        <w:rPr>
          <w:rFonts w:ascii="Times New Roman" w:hAnsi="Times New Roman" w:cs="Times New Roman"/>
          <w:bCs/>
          <w:sz w:val="24"/>
          <w:szCs w:val="24"/>
        </w:rPr>
        <w:t>Schedule 4 of the Basin Plan</w:t>
      </w:r>
      <w:r w:rsidR="00D23906"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defined the groundwater resources of these SDL resource units as ‘all groundwater’ in or below a particular area, implying that whatever unit is at the surface of the ground goes to the centre of the Earth. This was problematic where a groundwater resource is located above another groundwater system. It causes inaccurate accounting in cases where two systems sit one above the other (for instance, Alluvial and Porous Rock WRP areas) and extraction is from the buried resource (for instance, the Fractured Rock or the Great Artesian Basin shallow WRP areas). </w:t>
      </w:r>
    </w:p>
    <w:p w:rsidR="00CE2C13" w:rsidRPr="00515061" w:rsidRDefault="00CE2C13" w:rsidP="00511B9B">
      <w:pPr>
        <w:tabs>
          <w:tab w:val="right" w:pos="9072"/>
        </w:tabs>
        <w:spacing w:after="0" w:line="240" w:lineRule="auto"/>
        <w:rPr>
          <w:rFonts w:ascii="Times New Roman" w:hAnsi="Times New Roman" w:cs="Times New Roman"/>
          <w:bCs/>
          <w:sz w:val="24"/>
          <w:szCs w:val="24"/>
        </w:rPr>
      </w:pPr>
    </w:p>
    <w:p w:rsidR="00CE2C13" w:rsidRPr="00515061" w:rsidRDefault="001F679D"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To</w:t>
      </w:r>
      <w:r w:rsidR="00F811F1"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 xml:space="preserve">reflect the changed definitions of the groundwater covered </w:t>
      </w:r>
      <w:r w:rsidR="0079101B" w:rsidRPr="00515061">
        <w:rPr>
          <w:rFonts w:ascii="Times New Roman" w:hAnsi="Times New Roman" w:cs="Times New Roman"/>
          <w:bCs/>
          <w:sz w:val="24"/>
          <w:szCs w:val="24"/>
        </w:rPr>
        <w:t>by</w:t>
      </w:r>
      <w:r w:rsidR="00F811F1" w:rsidRPr="00515061">
        <w:rPr>
          <w:rFonts w:ascii="Times New Roman" w:hAnsi="Times New Roman" w:cs="Times New Roman"/>
          <w:bCs/>
          <w:sz w:val="24"/>
          <w:szCs w:val="24"/>
        </w:rPr>
        <w:t xml:space="preserve"> New South Wales</w:t>
      </w:r>
      <w:r w:rsidRPr="00515061">
        <w:rPr>
          <w:rFonts w:ascii="Times New Roman" w:hAnsi="Times New Roman" w:cs="Times New Roman"/>
          <w:bCs/>
          <w:sz w:val="24"/>
          <w:szCs w:val="24"/>
        </w:rPr>
        <w:t xml:space="preserve"> groundwater SDL resource unit</w:t>
      </w:r>
      <w:r w:rsidR="00F811F1" w:rsidRPr="00515061">
        <w:rPr>
          <w:rFonts w:ascii="Times New Roman" w:hAnsi="Times New Roman" w:cs="Times New Roman"/>
          <w:bCs/>
          <w:sz w:val="24"/>
          <w:szCs w:val="24"/>
        </w:rPr>
        <w:t>s</w:t>
      </w:r>
      <w:r w:rsidR="0079101B" w:rsidRPr="00515061">
        <w:rPr>
          <w:rFonts w:ascii="Times New Roman" w:hAnsi="Times New Roman" w:cs="Times New Roman"/>
          <w:bCs/>
          <w:sz w:val="24"/>
          <w:szCs w:val="24"/>
        </w:rPr>
        <w:t xml:space="preserve"> in Schedule 4, Column 2 of the Basin Plan</w:t>
      </w:r>
      <w:r w:rsidR="00F811F1"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t</w:t>
      </w:r>
      <w:r w:rsidR="00CE2C13" w:rsidRPr="00515061">
        <w:rPr>
          <w:rFonts w:ascii="Times New Roman" w:hAnsi="Times New Roman" w:cs="Times New Roman"/>
          <w:bCs/>
          <w:sz w:val="24"/>
          <w:szCs w:val="24"/>
        </w:rPr>
        <w:t xml:space="preserve">here are some consequential changes to </w:t>
      </w:r>
      <w:r w:rsidR="00B95183" w:rsidRPr="00515061">
        <w:rPr>
          <w:rFonts w:ascii="Times New Roman" w:hAnsi="Times New Roman" w:cs="Times New Roman"/>
          <w:bCs/>
          <w:sz w:val="24"/>
          <w:szCs w:val="24"/>
        </w:rPr>
        <w:t>the names of certain New South Wales groundwater SDL resource unit</w:t>
      </w:r>
      <w:r w:rsidRPr="00515061">
        <w:rPr>
          <w:rFonts w:ascii="Times New Roman" w:hAnsi="Times New Roman" w:cs="Times New Roman"/>
          <w:bCs/>
          <w:sz w:val="24"/>
          <w:szCs w:val="24"/>
        </w:rPr>
        <w:t>s</w:t>
      </w:r>
      <w:r w:rsidR="00B95183" w:rsidRPr="00515061">
        <w:rPr>
          <w:rFonts w:ascii="Times New Roman" w:hAnsi="Times New Roman" w:cs="Times New Roman"/>
          <w:bCs/>
          <w:sz w:val="24"/>
          <w:szCs w:val="24"/>
        </w:rPr>
        <w:t xml:space="preserve"> (see </w:t>
      </w:r>
      <w:r w:rsidR="00B95183" w:rsidRPr="00515061">
        <w:rPr>
          <w:rFonts w:ascii="Times New Roman" w:hAnsi="Times New Roman" w:cs="Times New Roman"/>
          <w:b/>
          <w:bCs/>
          <w:sz w:val="24"/>
          <w:szCs w:val="24"/>
        </w:rPr>
        <w:t>item 9</w:t>
      </w:r>
      <w:r w:rsidR="00CA1658">
        <w:rPr>
          <w:rFonts w:ascii="Times New Roman" w:hAnsi="Times New Roman" w:cs="Times New Roman"/>
          <w:b/>
          <w:bCs/>
          <w:sz w:val="24"/>
          <w:szCs w:val="24"/>
        </w:rPr>
        <w:t>5</w:t>
      </w:r>
      <w:r w:rsidR="00B95183" w:rsidRPr="00515061">
        <w:rPr>
          <w:rFonts w:ascii="Times New Roman" w:hAnsi="Times New Roman" w:cs="Times New Roman"/>
          <w:bCs/>
          <w:sz w:val="24"/>
          <w:szCs w:val="24"/>
        </w:rPr>
        <w:t>, col</w:t>
      </w:r>
      <w:r w:rsidRPr="00515061">
        <w:rPr>
          <w:rFonts w:ascii="Times New Roman" w:hAnsi="Times New Roman" w:cs="Times New Roman"/>
          <w:bCs/>
          <w:sz w:val="24"/>
          <w:szCs w:val="24"/>
        </w:rPr>
        <w:t xml:space="preserve">umn 1, lines 29, 30, 33 and 34). </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As a result of the merging of the Queensland Border Rivers and Moonie WRP areas, the Queensland government requested that two groundwater SDL resource units be merged. The Amendment Instrument merges what </w:t>
      </w:r>
      <w:r w:rsidR="006E3D3D" w:rsidRPr="00515061">
        <w:rPr>
          <w:rFonts w:ascii="Times New Roman" w:hAnsi="Times New Roman" w:cs="Times New Roman"/>
          <w:bCs/>
          <w:sz w:val="24"/>
          <w:szCs w:val="24"/>
        </w:rPr>
        <w:t>was previously</w:t>
      </w:r>
      <w:r w:rsidRPr="00515061">
        <w:rPr>
          <w:rFonts w:ascii="Times New Roman" w:hAnsi="Times New Roman" w:cs="Times New Roman"/>
          <w:bCs/>
          <w:sz w:val="24"/>
          <w:szCs w:val="24"/>
        </w:rPr>
        <w:t xml:space="preserve"> the Sediments above the Great Arte</w:t>
      </w:r>
      <w:r w:rsidR="00B61B1B" w:rsidRPr="00515061">
        <w:rPr>
          <w:rFonts w:ascii="Times New Roman" w:hAnsi="Times New Roman" w:cs="Times New Roman"/>
          <w:bCs/>
          <w:sz w:val="24"/>
          <w:szCs w:val="24"/>
        </w:rPr>
        <w:t>sian Basin: Border Rivers</w:t>
      </w:r>
      <w:r w:rsidRPr="00515061">
        <w:rPr>
          <w:rFonts w:ascii="Times New Roman" w:hAnsi="Times New Roman" w:cs="Times New Roman"/>
          <w:bCs/>
          <w:sz w:val="24"/>
          <w:szCs w:val="24"/>
        </w:rPr>
        <w:t xml:space="preserve"> and Sediments above the Great Artesian Basin: Moo</w:t>
      </w:r>
      <w:r w:rsidR="00B61B1B" w:rsidRPr="00515061">
        <w:rPr>
          <w:rFonts w:ascii="Times New Roman" w:hAnsi="Times New Roman" w:cs="Times New Roman"/>
          <w:bCs/>
          <w:sz w:val="24"/>
          <w:szCs w:val="24"/>
        </w:rPr>
        <w:t>nie</w:t>
      </w:r>
      <w:r w:rsidRPr="00515061">
        <w:rPr>
          <w:rFonts w:ascii="Times New Roman" w:hAnsi="Times New Roman" w:cs="Times New Roman"/>
          <w:bCs/>
          <w:sz w:val="24"/>
          <w:szCs w:val="24"/>
        </w:rPr>
        <w:t xml:space="preserve"> SDL resource units to form the Sediments above the Great Artesian Basin: Border Rivers–Moonie SDL resource unit. There is no change to the total of the baseline diversion limit and the SDL for these SDL resource units as a result of this merger.</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Amendment Instrument also changes certain Victorian SDL resource unit boundaries to reflect the Victorian Groundwater Review panel’s support for the Victorian government’s water planning boundaries.</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C6028C" w:rsidRPr="00515061" w:rsidRDefault="00C6028C"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above described changes to SDL resource unit boundaries do not change the SDL for any of these SDL resource units</w:t>
      </w:r>
      <w:r w:rsidR="007517B4" w:rsidRPr="00515061">
        <w:rPr>
          <w:rFonts w:ascii="Times New Roman" w:hAnsi="Times New Roman" w:cs="Times New Roman"/>
          <w:bCs/>
          <w:sz w:val="24"/>
          <w:szCs w:val="24"/>
        </w:rPr>
        <w:t>. T</w:t>
      </w:r>
      <w:r w:rsidRPr="00515061">
        <w:rPr>
          <w:rFonts w:ascii="Times New Roman" w:hAnsi="Times New Roman" w:cs="Times New Roman"/>
          <w:bCs/>
          <w:sz w:val="24"/>
          <w:szCs w:val="24"/>
        </w:rPr>
        <w:t xml:space="preserve">he SDL </w:t>
      </w:r>
      <w:r w:rsidR="007517B4" w:rsidRPr="00515061">
        <w:rPr>
          <w:rFonts w:ascii="Times New Roman" w:hAnsi="Times New Roman" w:cs="Times New Roman"/>
          <w:bCs/>
          <w:sz w:val="24"/>
          <w:szCs w:val="24"/>
        </w:rPr>
        <w:t xml:space="preserve">for these SDL resource units </w:t>
      </w:r>
      <w:r w:rsidRPr="00515061">
        <w:rPr>
          <w:rFonts w:ascii="Times New Roman" w:hAnsi="Times New Roman" w:cs="Times New Roman"/>
          <w:bCs/>
          <w:sz w:val="24"/>
          <w:szCs w:val="24"/>
        </w:rPr>
        <w:t>continues to reflect an environmentally sustainable level of take.</w:t>
      </w:r>
    </w:p>
    <w:p w:rsidR="00C6028C" w:rsidRPr="00515061" w:rsidRDefault="00C6028C"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There are nine groundwater SDL resource units that have a single groundwater system (GS) code (Schedule 4, Column 1 of the Basin Plan) that refers to separate SDL resource units with separate baseline diversion limit and SDL volumes. The Amendment Instrument revises the coding, adding a second order letter (a, b or c) to individual GS codes to distinguish between individual SDL resource units (see </w:t>
      </w:r>
      <w:r w:rsidRPr="00515061">
        <w:rPr>
          <w:rFonts w:ascii="Times New Roman" w:hAnsi="Times New Roman" w:cs="Times New Roman"/>
          <w:b/>
          <w:bCs/>
          <w:sz w:val="24"/>
          <w:szCs w:val="24"/>
        </w:rPr>
        <w:t>item 9</w:t>
      </w:r>
      <w:r w:rsidR="00CA1658">
        <w:rPr>
          <w:rFonts w:ascii="Times New Roman" w:hAnsi="Times New Roman" w:cs="Times New Roman"/>
          <w:b/>
          <w:bCs/>
          <w:sz w:val="24"/>
          <w:szCs w:val="24"/>
        </w:rPr>
        <w:t>5</w:t>
      </w:r>
      <w:r w:rsidRPr="00515061">
        <w:rPr>
          <w:rFonts w:ascii="Times New Roman" w:hAnsi="Times New Roman" w:cs="Times New Roman"/>
          <w:bCs/>
          <w:sz w:val="24"/>
          <w:szCs w:val="24"/>
        </w:rPr>
        <w:t>, column 1 – Groundwater SDL resource unit (code)).</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Item 11</w:t>
      </w:r>
      <w:r w:rsidR="00E547E2" w:rsidRPr="00515061">
        <w:rPr>
          <w:rFonts w:ascii="Times New Roman" w:hAnsi="Times New Roman" w:cs="Times New Roman"/>
          <w:bCs/>
          <w:sz w:val="24"/>
          <w:szCs w:val="24"/>
        </w:rPr>
        <w:t xml:space="preserve"> of the Amendment Instrument inserts </w:t>
      </w:r>
      <w:r w:rsidRPr="00515061">
        <w:rPr>
          <w:rFonts w:ascii="Times New Roman" w:hAnsi="Times New Roman" w:cs="Times New Roman"/>
          <w:bCs/>
          <w:sz w:val="24"/>
          <w:szCs w:val="24"/>
        </w:rPr>
        <w:t>a note at the end of sect</w:t>
      </w:r>
      <w:r w:rsidR="00E547E2" w:rsidRPr="00515061">
        <w:rPr>
          <w:rFonts w:ascii="Times New Roman" w:hAnsi="Times New Roman" w:cs="Times New Roman"/>
          <w:bCs/>
          <w:sz w:val="24"/>
          <w:szCs w:val="24"/>
        </w:rPr>
        <w:t xml:space="preserve">ion 3.07 that </w:t>
      </w:r>
      <w:r w:rsidRPr="00515061">
        <w:rPr>
          <w:rFonts w:ascii="Times New Roman" w:hAnsi="Times New Roman" w:cs="Times New Roman"/>
          <w:bCs/>
          <w:sz w:val="24"/>
          <w:szCs w:val="24"/>
        </w:rPr>
        <w:t xml:space="preserve">clarifies that Schedule 4 of the Basin Plan lists each of the groundwater SDL resource units that are included in each WRP area listed in section 3.07. The same note is added in </w:t>
      </w:r>
      <w:r w:rsidRPr="00515061">
        <w:rPr>
          <w:rFonts w:ascii="Times New Roman" w:hAnsi="Times New Roman" w:cs="Times New Roman"/>
          <w:b/>
          <w:bCs/>
          <w:sz w:val="24"/>
          <w:szCs w:val="24"/>
        </w:rPr>
        <w:t>item 10</w:t>
      </w:r>
      <w:r w:rsidRPr="00515061">
        <w:rPr>
          <w:rFonts w:ascii="Times New Roman" w:hAnsi="Times New Roman" w:cs="Times New Roman"/>
          <w:bCs/>
          <w:sz w:val="24"/>
          <w:szCs w:val="24"/>
        </w:rPr>
        <w:t>, at the end of section 3.06, to provide the same clarification.</w:t>
      </w:r>
      <w:bookmarkEnd w:id="16"/>
    </w:p>
    <w:p w:rsidR="00506E1C" w:rsidRPr="00515061" w:rsidRDefault="00506E1C"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 xml:space="preserve">Introducing a new compliance test for groundwater SDL resource units (items 1, 2, 3, 19, 20, 21, 22, 23, 24, 26, </w:t>
      </w:r>
      <w:r w:rsidR="00173375" w:rsidRPr="00515061">
        <w:rPr>
          <w:rFonts w:ascii="Times New Roman" w:hAnsi="Times New Roman" w:cs="Times New Roman"/>
          <w:b/>
          <w:bCs/>
          <w:sz w:val="24"/>
          <w:szCs w:val="24"/>
        </w:rPr>
        <w:t xml:space="preserve">27, </w:t>
      </w:r>
      <w:r w:rsidRPr="00515061">
        <w:rPr>
          <w:rFonts w:ascii="Times New Roman" w:hAnsi="Times New Roman" w:cs="Times New Roman"/>
          <w:b/>
          <w:bCs/>
          <w:sz w:val="24"/>
          <w:szCs w:val="24"/>
        </w:rPr>
        <w:t>31</w:t>
      </w:r>
      <w:r w:rsidR="00173375" w:rsidRPr="00515061">
        <w:rPr>
          <w:rFonts w:ascii="Times New Roman" w:hAnsi="Times New Roman" w:cs="Times New Roman"/>
          <w:b/>
          <w:bCs/>
          <w:sz w:val="24"/>
          <w:szCs w:val="24"/>
        </w:rPr>
        <w:t>, 4</w:t>
      </w:r>
      <w:r w:rsidR="00FC3E51">
        <w:rPr>
          <w:rFonts w:ascii="Times New Roman" w:hAnsi="Times New Roman" w:cs="Times New Roman"/>
          <w:b/>
          <w:bCs/>
          <w:sz w:val="24"/>
          <w:szCs w:val="24"/>
        </w:rPr>
        <w:t>2</w:t>
      </w:r>
      <w:r w:rsidR="00173375" w:rsidRPr="00515061">
        <w:rPr>
          <w:rFonts w:ascii="Times New Roman" w:hAnsi="Times New Roman" w:cs="Times New Roman"/>
          <w:b/>
          <w:bCs/>
          <w:sz w:val="24"/>
          <w:szCs w:val="24"/>
        </w:rPr>
        <w:t xml:space="preserve"> and 4</w:t>
      </w:r>
      <w:r w:rsidR="00FC3E51">
        <w:rPr>
          <w:rFonts w:ascii="Times New Roman" w:hAnsi="Times New Roman" w:cs="Times New Roman"/>
          <w:b/>
          <w:bCs/>
          <w:sz w:val="24"/>
          <w:szCs w:val="24"/>
        </w:rPr>
        <w:t>3</w:t>
      </w:r>
      <w:r w:rsidRPr="00515061">
        <w:rPr>
          <w:rFonts w:ascii="Times New Roman" w:hAnsi="Times New Roman" w:cs="Times New Roman"/>
          <w:b/>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20" w:name="_Toc465685241"/>
      <w:bookmarkStart w:id="21" w:name="_Toc466982403"/>
      <w:bookmarkEnd w:id="9"/>
      <w:bookmarkEnd w:id="10"/>
      <w:r w:rsidRPr="00515061">
        <w:rPr>
          <w:rFonts w:ascii="Times New Roman" w:hAnsi="Times New Roman" w:cs="Times New Roman"/>
          <w:bCs/>
          <w:sz w:val="24"/>
          <w:szCs w:val="24"/>
          <w:u w:val="single"/>
        </w:rPr>
        <w:t>Compliance test</w:t>
      </w:r>
      <w:bookmarkEnd w:id="20"/>
      <w:bookmarkEnd w:id="21"/>
      <w:r w:rsidRPr="00515061">
        <w:rPr>
          <w:rFonts w:ascii="Times New Roman" w:hAnsi="Times New Roman" w:cs="Times New Roman"/>
          <w:bCs/>
          <w:sz w:val="24"/>
          <w:szCs w:val="24"/>
          <w:u w:val="single"/>
        </w:rPr>
        <w:t xml:space="preserve"> </w:t>
      </w:r>
    </w:p>
    <w:p w:rsidR="00253AB7" w:rsidRPr="00515061" w:rsidRDefault="00253AB7" w:rsidP="00511B9B">
      <w:pPr>
        <w:tabs>
          <w:tab w:val="right" w:pos="9072"/>
        </w:tabs>
        <w:spacing w:after="0" w:line="240" w:lineRule="auto"/>
        <w:rPr>
          <w:rFonts w:ascii="Times New Roman" w:hAnsi="Times New Roman" w:cs="Times New Roman"/>
          <w:bCs/>
          <w:sz w:val="24"/>
          <w:szCs w:val="24"/>
          <w:u w:val="single"/>
        </w:rPr>
      </w:pPr>
    </w:p>
    <w:p w:rsidR="00974226"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Under the Basin Plan, from 2019, the Authority will conduct a</w:t>
      </w:r>
      <w:r w:rsidR="00F061B6" w:rsidRPr="00515061">
        <w:rPr>
          <w:rFonts w:ascii="Times New Roman" w:hAnsi="Times New Roman" w:cs="Times New Roman"/>
          <w:sz w:val="24"/>
          <w:szCs w:val="24"/>
        </w:rPr>
        <w:t>n annual</w:t>
      </w:r>
      <w:r w:rsidRPr="00515061">
        <w:rPr>
          <w:rFonts w:ascii="Times New Roman" w:hAnsi="Times New Roman" w:cs="Times New Roman"/>
          <w:sz w:val="24"/>
          <w:szCs w:val="24"/>
        </w:rPr>
        <w:t xml:space="preserve"> compliance test for each surface water and groundwater SDL resource unit. </w:t>
      </w:r>
      <w:r w:rsidR="00A63F09" w:rsidRPr="00515061">
        <w:rPr>
          <w:rFonts w:ascii="Times New Roman" w:hAnsi="Times New Roman" w:cs="Times New Roman"/>
          <w:sz w:val="24"/>
          <w:szCs w:val="24"/>
        </w:rPr>
        <w:t>Prior to the amendments, t</w:t>
      </w:r>
      <w:r w:rsidR="00974226" w:rsidRPr="00515061">
        <w:rPr>
          <w:rFonts w:ascii="Times New Roman" w:hAnsi="Times New Roman" w:cs="Times New Roman"/>
          <w:sz w:val="24"/>
          <w:szCs w:val="24"/>
        </w:rPr>
        <w:t xml:space="preserve">he same compliance test was used for both surface water and groundwater (see Division 2 of Part 4 of Chapter 6 of the Basin Plan). Due to the issue of the accumulation of groundwater credits (as described below), </w:t>
      </w:r>
      <w:r w:rsidR="00974226" w:rsidRPr="00515061">
        <w:rPr>
          <w:rFonts w:ascii="Times New Roman" w:hAnsi="Times New Roman" w:cs="Times New Roman"/>
          <w:b/>
          <w:sz w:val="24"/>
          <w:szCs w:val="24"/>
        </w:rPr>
        <w:t>Item 31</w:t>
      </w:r>
      <w:r w:rsidR="00974226" w:rsidRPr="00515061">
        <w:rPr>
          <w:rFonts w:ascii="Times New Roman" w:hAnsi="Times New Roman" w:cs="Times New Roman"/>
          <w:sz w:val="24"/>
          <w:szCs w:val="24"/>
        </w:rPr>
        <w:t xml:space="preserve"> of the Amendment Instrument introduces a new Division 3 – Method for determining compliance – groundwater, with new sections 6.12A, 6.12B and 6.12C.</w:t>
      </w:r>
    </w:p>
    <w:p w:rsidR="00974226" w:rsidRPr="00515061" w:rsidRDefault="00974226"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w:t>
      </w:r>
      <w:r w:rsidR="00974226" w:rsidRPr="00515061">
        <w:rPr>
          <w:rFonts w:ascii="Times New Roman" w:hAnsi="Times New Roman" w:cs="Times New Roman"/>
          <w:sz w:val="24"/>
          <w:szCs w:val="24"/>
        </w:rPr>
        <w:t xml:space="preserve">annual </w:t>
      </w:r>
      <w:r w:rsidR="00360508" w:rsidRPr="00515061">
        <w:rPr>
          <w:rFonts w:ascii="Times New Roman" w:hAnsi="Times New Roman" w:cs="Times New Roman"/>
          <w:sz w:val="24"/>
          <w:szCs w:val="24"/>
        </w:rPr>
        <w:t xml:space="preserve">groundwater </w:t>
      </w:r>
      <w:r w:rsidR="00974226" w:rsidRPr="00515061">
        <w:rPr>
          <w:rFonts w:ascii="Times New Roman" w:hAnsi="Times New Roman" w:cs="Times New Roman"/>
          <w:sz w:val="24"/>
          <w:szCs w:val="24"/>
        </w:rPr>
        <w:t xml:space="preserve">compliance </w:t>
      </w:r>
      <w:r w:rsidRPr="00515061">
        <w:rPr>
          <w:rFonts w:ascii="Times New Roman" w:hAnsi="Times New Roman" w:cs="Times New Roman"/>
          <w:sz w:val="24"/>
          <w:szCs w:val="24"/>
        </w:rPr>
        <w:t>test records the difference between the annual permitted take and annual actual take</w:t>
      </w:r>
      <w:r w:rsidR="00F061B6" w:rsidRPr="00515061">
        <w:rPr>
          <w:rFonts w:ascii="Times New Roman" w:hAnsi="Times New Roman" w:cs="Times New Roman"/>
          <w:sz w:val="24"/>
          <w:szCs w:val="24"/>
        </w:rPr>
        <w:t xml:space="preserve"> for a water accounting period</w:t>
      </w:r>
      <w:r w:rsidRPr="00515061">
        <w:rPr>
          <w:rFonts w:ascii="Times New Roman" w:hAnsi="Times New Roman" w:cs="Times New Roman"/>
          <w:sz w:val="24"/>
          <w:szCs w:val="24"/>
        </w:rPr>
        <w:t xml:space="preserve">. Where annual actual take is greater than the annual permitted take, a debit is recorded on the register of take. Where annual actual take is less than the annual permitted take, a credit is recorded.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356CA9"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Debits and credits will accumulate from 1 July 2019. Non-compliance </w:t>
      </w:r>
      <w:r w:rsidR="00814398" w:rsidRPr="00515061">
        <w:rPr>
          <w:rFonts w:ascii="Times New Roman" w:hAnsi="Times New Roman" w:cs="Times New Roman"/>
          <w:sz w:val="24"/>
          <w:szCs w:val="24"/>
        </w:rPr>
        <w:t xml:space="preserve">for a groundwater SDL resource unit </w:t>
      </w:r>
      <w:r w:rsidRPr="00515061">
        <w:rPr>
          <w:rFonts w:ascii="Times New Roman" w:hAnsi="Times New Roman" w:cs="Times New Roman"/>
          <w:sz w:val="24"/>
          <w:szCs w:val="24"/>
        </w:rPr>
        <w:t xml:space="preserve">will occur if the accumulated debits </w:t>
      </w:r>
      <w:r w:rsidR="00506E1C" w:rsidRPr="00515061">
        <w:rPr>
          <w:rFonts w:ascii="Times New Roman" w:hAnsi="Times New Roman" w:cs="Times New Roman"/>
          <w:sz w:val="24"/>
          <w:szCs w:val="24"/>
        </w:rPr>
        <w:t>exceed</w:t>
      </w:r>
      <w:r w:rsidRPr="00515061">
        <w:rPr>
          <w:rFonts w:ascii="Times New Roman" w:hAnsi="Times New Roman" w:cs="Times New Roman"/>
          <w:sz w:val="24"/>
          <w:szCs w:val="24"/>
        </w:rPr>
        <w:t xml:space="preserve"> the accumulated credits</w:t>
      </w:r>
      <w:r w:rsidR="00506E1C" w:rsidRPr="00515061">
        <w:rPr>
          <w:rFonts w:ascii="Times New Roman" w:hAnsi="Times New Roman" w:cs="Times New Roman"/>
          <w:sz w:val="24"/>
          <w:szCs w:val="24"/>
        </w:rPr>
        <w:t xml:space="preserve"> by more than</w:t>
      </w:r>
      <w:r w:rsidRPr="00515061">
        <w:rPr>
          <w:rFonts w:ascii="Times New Roman" w:hAnsi="Times New Roman" w:cs="Times New Roman"/>
          <w:sz w:val="24"/>
          <w:szCs w:val="24"/>
        </w:rPr>
        <w:t xml:space="preserve"> 20% of the annual SDL</w:t>
      </w:r>
      <w:r w:rsidR="00F061B6" w:rsidRPr="00515061">
        <w:rPr>
          <w:rFonts w:ascii="Times New Roman" w:hAnsi="Times New Roman" w:cs="Times New Roman"/>
          <w:sz w:val="24"/>
          <w:szCs w:val="24"/>
        </w:rPr>
        <w:t xml:space="preserve"> from 1 July 2019 until 30 June 2028</w:t>
      </w:r>
      <w:r w:rsidRPr="00515061">
        <w:rPr>
          <w:rFonts w:ascii="Times New Roman" w:hAnsi="Times New Roman" w:cs="Times New Roman"/>
          <w:sz w:val="24"/>
          <w:szCs w:val="24"/>
        </w:rPr>
        <w:t>. Non-</w:t>
      </w:r>
      <w:r w:rsidR="001F57B9" w:rsidRPr="00515061">
        <w:rPr>
          <w:rFonts w:ascii="Times New Roman" w:hAnsi="Times New Roman" w:cs="Times New Roman"/>
          <w:sz w:val="24"/>
          <w:szCs w:val="24"/>
        </w:rPr>
        <w:t>compliance will not apply if a Basin S</w:t>
      </w:r>
      <w:r w:rsidRPr="00515061">
        <w:rPr>
          <w:rFonts w:ascii="Times New Roman" w:hAnsi="Times New Roman" w:cs="Times New Roman"/>
          <w:sz w:val="24"/>
          <w:szCs w:val="24"/>
        </w:rPr>
        <w:t>tate has a reasonable excuse</w:t>
      </w:r>
      <w:r w:rsidR="002F1E13" w:rsidRPr="00515061">
        <w:rPr>
          <w:rFonts w:ascii="Times New Roman" w:hAnsi="Times New Roman" w:cs="Times New Roman"/>
          <w:sz w:val="24"/>
          <w:szCs w:val="24"/>
        </w:rPr>
        <w:t>, as se</w:t>
      </w:r>
      <w:r w:rsidR="006170BB" w:rsidRPr="00515061">
        <w:rPr>
          <w:rFonts w:ascii="Times New Roman" w:hAnsi="Times New Roman" w:cs="Times New Roman"/>
          <w:sz w:val="24"/>
          <w:szCs w:val="24"/>
        </w:rPr>
        <w:t>t out in s</w:t>
      </w:r>
      <w:r w:rsidR="008628DE" w:rsidRPr="00515061">
        <w:rPr>
          <w:rFonts w:ascii="Times New Roman" w:hAnsi="Times New Roman" w:cs="Times New Roman"/>
          <w:sz w:val="24"/>
          <w:szCs w:val="24"/>
        </w:rPr>
        <w:t>ubsection</w:t>
      </w:r>
      <w:r w:rsidR="006170BB" w:rsidRPr="00515061">
        <w:rPr>
          <w:rFonts w:ascii="Times New Roman" w:hAnsi="Times New Roman" w:cs="Times New Roman"/>
          <w:sz w:val="24"/>
          <w:szCs w:val="24"/>
        </w:rPr>
        <w:t xml:space="preserve"> 6.12</w:t>
      </w:r>
      <w:r w:rsidR="00B95183" w:rsidRPr="00515061">
        <w:rPr>
          <w:rFonts w:ascii="Times New Roman" w:hAnsi="Times New Roman" w:cs="Times New Roman"/>
          <w:sz w:val="24"/>
          <w:szCs w:val="24"/>
        </w:rPr>
        <w:t>C(1</w:t>
      </w:r>
      <w:r w:rsidR="002F1E13" w:rsidRPr="00515061">
        <w:rPr>
          <w:rFonts w:ascii="Times New Roman" w:hAnsi="Times New Roman" w:cs="Times New Roman"/>
          <w:sz w:val="24"/>
          <w:szCs w:val="24"/>
        </w:rPr>
        <w:t xml:space="preserve">) of the Basin Plan. </w:t>
      </w:r>
      <w:r w:rsidR="00356CA9" w:rsidRPr="00515061">
        <w:rPr>
          <w:rFonts w:ascii="Times New Roman" w:hAnsi="Times New Roman" w:cs="Times New Roman"/>
          <w:sz w:val="24"/>
          <w:szCs w:val="24"/>
        </w:rPr>
        <w:t xml:space="preserve">This reasonable excuse provision allows a Basin State to remain compliant with the SDL for a SDL resource unit despite exceeding 20% of the SDL. A Basin State </w:t>
      </w:r>
      <w:r w:rsidR="00753FB6" w:rsidRPr="00515061">
        <w:rPr>
          <w:rFonts w:ascii="Times New Roman" w:hAnsi="Times New Roman" w:cs="Times New Roman"/>
          <w:sz w:val="24"/>
          <w:szCs w:val="24"/>
        </w:rPr>
        <w:t xml:space="preserve">is taken to </w:t>
      </w:r>
      <w:r w:rsidR="00356CA9" w:rsidRPr="00515061">
        <w:rPr>
          <w:rFonts w:ascii="Times New Roman" w:hAnsi="Times New Roman" w:cs="Times New Roman"/>
          <w:sz w:val="24"/>
          <w:szCs w:val="24"/>
        </w:rPr>
        <w:t>have a reasonable excuse if the excess arises as a result of: the operation of the WRP for the SDL resource unit; or circumstances beyond the Basin State’s control.</w:t>
      </w:r>
      <w:r w:rsidR="00753FB6" w:rsidRPr="00515061">
        <w:rPr>
          <w:rFonts w:ascii="Times New Roman" w:hAnsi="Times New Roman" w:cs="Times New Roman"/>
          <w:sz w:val="24"/>
          <w:szCs w:val="24"/>
        </w:rPr>
        <w:t xml:space="preserve"> However, the application of a reasonable excuse is not limited to these two circumstances.</w:t>
      </w:r>
    </w:p>
    <w:p w:rsidR="00356CA9" w:rsidRPr="00515061" w:rsidRDefault="00356CA9" w:rsidP="00511B9B">
      <w:pPr>
        <w:tabs>
          <w:tab w:val="right" w:pos="9072"/>
        </w:tabs>
        <w:spacing w:after="0" w:line="240" w:lineRule="auto"/>
        <w:rPr>
          <w:rFonts w:ascii="Times New Roman" w:hAnsi="Times New Roman" w:cs="Times New Roman"/>
          <w:sz w:val="24"/>
          <w:szCs w:val="24"/>
        </w:rPr>
      </w:pPr>
    </w:p>
    <w:p w:rsidR="00D375E8" w:rsidRPr="00515061" w:rsidRDefault="002F1E13"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Subsection</w:t>
      </w:r>
      <w:r w:rsidR="00360508" w:rsidRPr="00515061">
        <w:rPr>
          <w:rFonts w:ascii="Times New Roman" w:hAnsi="Times New Roman" w:cs="Times New Roman"/>
          <w:sz w:val="24"/>
          <w:szCs w:val="24"/>
        </w:rPr>
        <w:t xml:space="preserve"> 6.12C(5) provide</w:t>
      </w:r>
      <w:r w:rsidR="00B95183" w:rsidRPr="00515061">
        <w:rPr>
          <w:rFonts w:ascii="Times New Roman" w:hAnsi="Times New Roman" w:cs="Times New Roman"/>
          <w:sz w:val="24"/>
          <w:szCs w:val="24"/>
        </w:rPr>
        <w:t>s</w:t>
      </w:r>
      <w:r w:rsidRPr="00515061">
        <w:rPr>
          <w:rFonts w:ascii="Times New Roman" w:hAnsi="Times New Roman" w:cs="Times New Roman"/>
          <w:sz w:val="24"/>
          <w:szCs w:val="24"/>
        </w:rPr>
        <w:t xml:space="preserve"> that once the Authority has determined that the Basin State has a valid claim for a reasonable excuse then the Basin State needs to provide the Authority with the steps it will take to reduce the cumulative balance of the register of take to zero (the ‘make good’ steps)</w:t>
      </w:r>
      <w:r w:rsidR="00D375E8" w:rsidRPr="00515061">
        <w:rPr>
          <w:rFonts w:ascii="Times New Roman" w:hAnsi="Times New Roman" w:cs="Times New Roman"/>
          <w:sz w:val="24"/>
          <w:szCs w:val="24"/>
        </w:rPr>
        <w:t xml:space="preserve">. The ‘make good’ steps will not be required in the particular circumstance where, for reasons beyond the Basin State’s control, the Commonwealth has failed to reach </w:t>
      </w:r>
      <w:r w:rsidR="00415D32" w:rsidRPr="00515061">
        <w:rPr>
          <w:rFonts w:ascii="Times New Roman" w:hAnsi="Times New Roman" w:cs="Times New Roman"/>
          <w:sz w:val="24"/>
          <w:szCs w:val="24"/>
        </w:rPr>
        <w:t>its water recovery target for a</w:t>
      </w:r>
      <w:r w:rsidR="00D375E8" w:rsidRPr="00515061">
        <w:rPr>
          <w:rFonts w:ascii="Times New Roman" w:hAnsi="Times New Roman" w:cs="Times New Roman"/>
          <w:sz w:val="24"/>
          <w:szCs w:val="24"/>
        </w:rPr>
        <w:t xml:space="preserve"> SDL resource unit. Further </w:t>
      </w:r>
      <w:r w:rsidR="004E7280" w:rsidRPr="00515061">
        <w:rPr>
          <w:rFonts w:ascii="Times New Roman" w:hAnsi="Times New Roman" w:cs="Times New Roman"/>
          <w:sz w:val="24"/>
          <w:szCs w:val="24"/>
        </w:rPr>
        <w:t>information</w:t>
      </w:r>
      <w:r w:rsidR="00D375E8" w:rsidRPr="00515061">
        <w:rPr>
          <w:rFonts w:ascii="Times New Roman" w:hAnsi="Times New Roman" w:cs="Times New Roman"/>
          <w:sz w:val="24"/>
          <w:szCs w:val="24"/>
        </w:rPr>
        <w:t xml:space="preserve"> is</w:t>
      </w:r>
      <w:r w:rsidR="004E7280" w:rsidRPr="00515061">
        <w:rPr>
          <w:rFonts w:ascii="Times New Roman" w:hAnsi="Times New Roman" w:cs="Times New Roman"/>
          <w:sz w:val="24"/>
          <w:szCs w:val="24"/>
        </w:rPr>
        <w:t xml:space="preserve"> provided</w:t>
      </w:r>
      <w:r w:rsidR="00D375E8" w:rsidRPr="00515061">
        <w:rPr>
          <w:rFonts w:ascii="Times New Roman" w:hAnsi="Times New Roman" w:cs="Times New Roman"/>
          <w:sz w:val="24"/>
          <w:szCs w:val="24"/>
        </w:rPr>
        <w:t xml:space="preserve"> below under the heading</w:t>
      </w:r>
      <w:r w:rsidR="004E7280" w:rsidRPr="00515061">
        <w:rPr>
          <w:rFonts w:ascii="Times New Roman" w:hAnsi="Times New Roman" w:cs="Times New Roman"/>
          <w:sz w:val="24"/>
          <w:szCs w:val="24"/>
        </w:rPr>
        <w:t>s</w:t>
      </w:r>
      <w:r w:rsidR="00D375E8" w:rsidRPr="00515061">
        <w:rPr>
          <w:rFonts w:ascii="Times New Roman" w:hAnsi="Times New Roman" w:cs="Times New Roman"/>
          <w:sz w:val="24"/>
          <w:szCs w:val="24"/>
        </w:rPr>
        <w:t xml:space="preserve"> ‘</w:t>
      </w:r>
      <w:r w:rsidR="00D375E8" w:rsidRPr="00515061">
        <w:rPr>
          <w:rFonts w:ascii="Times New Roman" w:hAnsi="Times New Roman" w:cs="Times New Roman"/>
          <w:i/>
          <w:sz w:val="24"/>
          <w:szCs w:val="24"/>
        </w:rPr>
        <w:t>Decoupling of certain steps relating to the claim for a reasonable excuse</w:t>
      </w:r>
      <w:r w:rsidR="00D375E8" w:rsidRPr="00515061">
        <w:rPr>
          <w:rFonts w:ascii="Times New Roman" w:hAnsi="Times New Roman" w:cs="Times New Roman"/>
          <w:sz w:val="24"/>
          <w:szCs w:val="24"/>
        </w:rPr>
        <w:t>’</w:t>
      </w:r>
      <w:r w:rsidR="004E7280" w:rsidRPr="00515061">
        <w:rPr>
          <w:rFonts w:ascii="Times New Roman" w:hAnsi="Times New Roman" w:cs="Times New Roman"/>
          <w:sz w:val="24"/>
          <w:szCs w:val="24"/>
        </w:rPr>
        <w:t xml:space="preserve"> and ‘</w:t>
      </w:r>
      <w:r w:rsidR="004E7280" w:rsidRPr="00515061">
        <w:rPr>
          <w:rFonts w:ascii="Times New Roman" w:hAnsi="Times New Roman" w:cs="Times New Roman"/>
          <w:i/>
          <w:sz w:val="24"/>
          <w:szCs w:val="24"/>
        </w:rPr>
        <w:t>Forgiveness due to the Commonwealth failing to reach its water recovery target for a groundwater SDL resource unit</w:t>
      </w:r>
      <w:r w:rsidR="004E7280"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p>
    <w:p w:rsidR="00D375E8" w:rsidRPr="00515061" w:rsidRDefault="00D375E8" w:rsidP="00511B9B">
      <w:pPr>
        <w:tabs>
          <w:tab w:val="right" w:pos="9072"/>
        </w:tabs>
        <w:spacing w:after="0" w:line="240" w:lineRule="auto"/>
        <w:rPr>
          <w:rFonts w:ascii="Times New Roman" w:hAnsi="Times New Roman" w:cs="Times New Roman"/>
          <w:sz w:val="24"/>
          <w:szCs w:val="24"/>
        </w:rPr>
      </w:pPr>
    </w:p>
    <w:p w:rsidR="008A58FE" w:rsidRPr="00515061" w:rsidRDefault="00F061B6"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From 1 July 2028</w:t>
      </w:r>
      <w:r w:rsidR="006B7280" w:rsidRPr="00515061">
        <w:rPr>
          <w:rFonts w:ascii="Times New Roman" w:hAnsi="Times New Roman" w:cs="Times New Roman"/>
          <w:sz w:val="24"/>
          <w:szCs w:val="24"/>
        </w:rPr>
        <w:t>,</w:t>
      </w:r>
      <w:r w:rsidRPr="00515061">
        <w:rPr>
          <w:rFonts w:ascii="Times New Roman" w:hAnsi="Times New Roman" w:cs="Times New Roman"/>
          <w:sz w:val="24"/>
          <w:szCs w:val="24"/>
        </w:rPr>
        <w:t xml:space="preserve"> a new groundwater compliance method will be introduced, for the </w:t>
      </w:r>
      <w:r w:rsidR="00D375E8" w:rsidRPr="00515061">
        <w:rPr>
          <w:rFonts w:ascii="Times New Roman" w:hAnsi="Times New Roman" w:cs="Times New Roman"/>
          <w:sz w:val="24"/>
          <w:szCs w:val="24"/>
        </w:rPr>
        <w:t xml:space="preserve">following </w:t>
      </w:r>
      <w:r w:rsidRPr="00515061">
        <w:rPr>
          <w:rFonts w:ascii="Times New Roman" w:hAnsi="Times New Roman" w:cs="Times New Roman"/>
          <w:sz w:val="24"/>
          <w:szCs w:val="24"/>
        </w:rPr>
        <w:t>reasons.</w:t>
      </w:r>
      <w:r w:rsidR="00D375E8" w:rsidRPr="00515061">
        <w:rPr>
          <w:rFonts w:ascii="Times New Roman" w:hAnsi="Times New Roman" w:cs="Times New Roman"/>
          <w:sz w:val="24"/>
          <w:szCs w:val="24"/>
        </w:rPr>
        <w:t xml:space="preserve"> </w:t>
      </w:r>
      <w:r w:rsidR="008A58FE" w:rsidRPr="00515061">
        <w:rPr>
          <w:rFonts w:ascii="Times New Roman" w:hAnsi="Times New Roman" w:cs="Times New Roman"/>
          <w:sz w:val="24"/>
          <w:szCs w:val="24"/>
        </w:rPr>
        <w:t>Over time, credits and debits are expected to balance out in surface water SDL resource units but not in the case of many groundwater SDL resource units. As a result of the difference between the total basin</w:t>
      </w:r>
      <w:r w:rsidR="0023244D" w:rsidRPr="00515061">
        <w:rPr>
          <w:rFonts w:ascii="Times New Roman" w:hAnsi="Times New Roman" w:cs="Times New Roman"/>
          <w:sz w:val="24"/>
          <w:szCs w:val="24"/>
        </w:rPr>
        <w:t xml:space="preserve">-wide groundwater SDL (3,334 GL per </w:t>
      </w:r>
      <w:r w:rsidR="008A58FE" w:rsidRPr="00515061">
        <w:rPr>
          <w:rFonts w:ascii="Times New Roman" w:hAnsi="Times New Roman" w:cs="Times New Roman"/>
          <w:sz w:val="24"/>
          <w:szCs w:val="24"/>
        </w:rPr>
        <w:t>y</w:t>
      </w:r>
      <w:r w:rsidR="00E160D4" w:rsidRPr="00515061">
        <w:rPr>
          <w:rFonts w:ascii="Times New Roman" w:hAnsi="Times New Roman" w:cs="Times New Roman"/>
          <w:sz w:val="24"/>
          <w:szCs w:val="24"/>
        </w:rPr>
        <w:t>ear</w:t>
      </w:r>
      <w:r w:rsidR="008A58FE" w:rsidRPr="00515061">
        <w:rPr>
          <w:rFonts w:ascii="Times New Roman" w:hAnsi="Times New Roman" w:cs="Times New Roman"/>
          <w:sz w:val="24"/>
          <w:szCs w:val="24"/>
        </w:rPr>
        <w:t>) and the current average basin-</w:t>
      </w:r>
      <w:r w:rsidR="0023244D" w:rsidRPr="00515061">
        <w:rPr>
          <w:rFonts w:ascii="Times New Roman" w:hAnsi="Times New Roman" w:cs="Times New Roman"/>
          <w:sz w:val="24"/>
          <w:szCs w:val="24"/>
        </w:rPr>
        <w:t xml:space="preserve">wide groundwater take (1,374 GL per </w:t>
      </w:r>
      <w:r w:rsidR="008A58FE" w:rsidRPr="00515061">
        <w:rPr>
          <w:rFonts w:ascii="Times New Roman" w:hAnsi="Times New Roman" w:cs="Times New Roman"/>
          <w:sz w:val="24"/>
          <w:szCs w:val="24"/>
        </w:rPr>
        <w:t>y</w:t>
      </w:r>
      <w:r w:rsidR="00E160D4" w:rsidRPr="00515061">
        <w:rPr>
          <w:rFonts w:ascii="Times New Roman" w:hAnsi="Times New Roman" w:cs="Times New Roman"/>
          <w:sz w:val="24"/>
          <w:szCs w:val="24"/>
        </w:rPr>
        <w:t>ear</w:t>
      </w:r>
      <w:r w:rsidR="008A58FE" w:rsidRPr="00515061">
        <w:rPr>
          <w:rFonts w:ascii="Times New Roman" w:hAnsi="Times New Roman" w:cs="Times New Roman"/>
          <w:sz w:val="24"/>
          <w:szCs w:val="24"/>
        </w:rPr>
        <w:t>)</w:t>
      </w:r>
      <w:r w:rsidR="00743395" w:rsidRPr="00515061">
        <w:rPr>
          <w:rFonts w:ascii="Times New Roman" w:hAnsi="Times New Roman" w:cs="Times New Roman"/>
          <w:sz w:val="24"/>
          <w:szCs w:val="24"/>
        </w:rPr>
        <w:t>,</w:t>
      </w:r>
      <w:r w:rsidR="008A58FE" w:rsidRPr="00515061">
        <w:rPr>
          <w:rFonts w:ascii="Times New Roman" w:hAnsi="Times New Roman" w:cs="Times New Roman"/>
          <w:sz w:val="24"/>
          <w:szCs w:val="24"/>
        </w:rPr>
        <w:t xml:space="preserve"> an annual groundwater SDL credit of about 1,950 GL would </w:t>
      </w:r>
      <w:r w:rsidR="00D23906" w:rsidRPr="00515061">
        <w:rPr>
          <w:rFonts w:ascii="Times New Roman" w:hAnsi="Times New Roman" w:cs="Times New Roman"/>
          <w:sz w:val="24"/>
          <w:szCs w:val="24"/>
        </w:rPr>
        <w:t xml:space="preserve">have </w:t>
      </w:r>
      <w:r w:rsidR="008A58FE" w:rsidRPr="00515061">
        <w:rPr>
          <w:rFonts w:ascii="Times New Roman" w:hAnsi="Times New Roman" w:cs="Times New Roman"/>
          <w:sz w:val="24"/>
          <w:szCs w:val="24"/>
        </w:rPr>
        <w:t>accumulate</w:t>
      </w:r>
      <w:r w:rsidR="00D23906" w:rsidRPr="00515061">
        <w:rPr>
          <w:rFonts w:ascii="Times New Roman" w:hAnsi="Times New Roman" w:cs="Times New Roman"/>
          <w:sz w:val="24"/>
          <w:szCs w:val="24"/>
        </w:rPr>
        <w:t>d</w:t>
      </w:r>
      <w:r w:rsidR="008A58FE" w:rsidRPr="00515061">
        <w:rPr>
          <w:rFonts w:ascii="Times New Roman" w:hAnsi="Times New Roman" w:cs="Times New Roman"/>
          <w:sz w:val="24"/>
          <w:szCs w:val="24"/>
        </w:rPr>
        <w:t xml:space="preserve">. Under the Basin Plan, </w:t>
      </w:r>
      <w:r w:rsidR="005E2716" w:rsidRPr="00515061">
        <w:rPr>
          <w:rFonts w:ascii="Times New Roman" w:hAnsi="Times New Roman" w:cs="Times New Roman"/>
          <w:sz w:val="24"/>
          <w:szCs w:val="24"/>
        </w:rPr>
        <w:t>prior to the amendments</w:t>
      </w:r>
      <w:r w:rsidR="008A58FE" w:rsidRPr="00515061">
        <w:rPr>
          <w:rFonts w:ascii="Times New Roman" w:hAnsi="Times New Roman" w:cs="Times New Roman"/>
          <w:sz w:val="24"/>
          <w:szCs w:val="24"/>
        </w:rPr>
        <w:t>, the credit would have continued to accumulate without a practical limit and well beyond any feasible extraction. For example, after 10 years there could have been an accumulated groundwater SDL credit of 19,500 GL.</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credit </w:t>
      </w:r>
      <w:r w:rsidR="00242647" w:rsidRPr="00515061">
        <w:rPr>
          <w:rFonts w:ascii="Times New Roman" w:hAnsi="Times New Roman" w:cs="Times New Roman"/>
          <w:sz w:val="24"/>
          <w:szCs w:val="24"/>
        </w:rPr>
        <w:t>would have been</w:t>
      </w:r>
      <w:r w:rsidRPr="00515061">
        <w:rPr>
          <w:rFonts w:ascii="Times New Roman" w:hAnsi="Times New Roman" w:cs="Times New Roman"/>
          <w:sz w:val="24"/>
          <w:szCs w:val="24"/>
        </w:rPr>
        <w:t xml:space="preserve"> an outcome of the </w:t>
      </w:r>
      <w:r w:rsidR="007751C6" w:rsidRPr="00515061">
        <w:rPr>
          <w:rFonts w:ascii="Times New Roman" w:hAnsi="Times New Roman" w:cs="Times New Roman"/>
          <w:sz w:val="24"/>
          <w:szCs w:val="24"/>
        </w:rPr>
        <w:t>compliance</w:t>
      </w:r>
      <w:r w:rsidRPr="00515061">
        <w:rPr>
          <w:rFonts w:ascii="Times New Roman" w:hAnsi="Times New Roman" w:cs="Times New Roman"/>
          <w:sz w:val="24"/>
          <w:szCs w:val="24"/>
        </w:rPr>
        <w:t xml:space="preserve"> method </w:t>
      </w:r>
      <w:r w:rsidR="007751C6" w:rsidRPr="00515061">
        <w:rPr>
          <w:rFonts w:ascii="Times New Roman" w:hAnsi="Times New Roman" w:cs="Times New Roman"/>
          <w:sz w:val="24"/>
          <w:szCs w:val="24"/>
        </w:rPr>
        <w:t xml:space="preserve">previously </w:t>
      </w:r>
      <w:r w:rsidRPr="00515061">
        <w:rPr>
          <w:rFonts w:ascii="Times New Roman" w:hAnsi="Times New Roman" w:cs="Times New Roman"/>
          <w:sz w:val="24"/>
          <w:szCs w:val="24"/>
        </w:rPr>
        <w:t xml:space="preserve">used for </w:t>
      </w:r>
      <w:r w:rsidR="007751C6" w:rsidRPr="00515061">
        <w:rPr>
          <w:rFonts w:ascii="Times New Roman" w:hAnsi="Times New Roman" w:cs="Times New Roman"/>
          <w:sz w:val="24"/>
          <w:szCs w:val="24"/>
        </w:rPr>
        <w:t>both surface water and groundwater (see Division 2 of Part 4 of Chapter 6 of the Basin Plan)</w:t>
      </w:r>
      <w:r w:rsidRPr="00515061">
        <w:rPr>
          <w:rFonts w:ascii="Times New Roman" w:hAnsi="Times New Roman" w:cs="Times New Roman"/>
          <w:sz w:val="24"/>
          <w:szCs w:val="24"/>
        </w:rPr>
        <w:t xml:space="preserve">. This </w:t>
      </w:r>
      <w:r w:rsidR="007751C6" w:rsidRPr="00515061">
        <w:rPr>
          <w:rFonts w:ascii="Times New Roman" w:hAnsi="Times New Roman" w:cs="Times New Roman"/>
          <w:sz w:val="24"/>
          <w:szCs w:val="24"/>
        </w:rPr>
        <w:t xml:space="preserve">issue </w:t>
      </w:r>
      <w:r w:rsidR="00814398" w:rsidRPr="00515061">
        <w:rPr>
          <w:rFonts w:ascii="Times New Roman" w:hAnsi="Times New Roman" w:cs="Times New Roman"/>
          <w:sz w:val="24"/>
          <w:szCs w:val="24"/>
        </w:rPr>
        <w:t xml:space="preserve">(described above) </w:t>
      </w:r>
      <w:r w:rsidR="007751C6" w:rsidRPr="00515061">
        <w:rPr>
          <w:rFonts w:ascii="Times New Roman" w:hAnsi="Times New Roman" w:cs="Times New Roman"/>
          <w:sz w:val="24"/>
          <w:szCs w:val="24"/>
        </w:rPr>
        <w:t xml:space="preserve">with the compliance method for groundwater </w:t>
      </w:r>
      <w:r w:rsidRPr="00515061">
        <w:rPr>
          <w:rFonts w:ascii="Times New Roman" w:hAnsi="Times New Roman" w:cs="Times New Roman"/>
          <w:sz w:val="24"/>
          <w:szCs w:val="24"/>
        </w:rPr>
        <w:t xml:space="preserve">was raised during the review of groundwater resource areas in Victoria </w:t>
      </w:r>
      <w:r w:rsidR="00124979" w:rsidRPr="00515061">
        <w:rPr>
          <w:rFonts w:ascii="Times New Roman" w:hAnsi="Times New Roman" w:cs="Times New Roman"/>
          <w:sz w:val="24"/>
          <w:szCs w:val="24"/>
        </w:rPr>
        <w:t>and the review panel</w:t>
      </w:r>
      <w:r w:rsidRPr="00515061">
        <w:rPr>
          <w:rFonts w:ascii="Times New Roman" w:hAnsi="Times New Roman" w:cs="Times New Roman"/>
          <w:sz w:val="24"/>
          <w:szCs w:val="24"/>
        </w:rPr>
        <w:t xml:space="preserve"> recommended that the Authority investigate and address the matter.</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E2309" w:rsidRPr="00515061" w:rsidRDefault="008E2309"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Water accounting periods after 30 June 2028 – 10-year rolling average compliance method</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E2309"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After the Authority consulted the Basin States, the Authority drafted the Amendment Instrument </w:t>
      </w:r>
      <w:r w:rsidR="00506E1C" w:rsidRPr="00515061">
        <w:rPr>
          <w:rFonts w:ascii="Times New Roman" w:hAnsi="Times New Roman" w:cs="Times New Roman"/>
          <w:sz w:val="24"/>
          <w:szCs w:val="24"/>
        </w:rPr>
        <w:t xml:space="preserve">(see </w:t>
      </w:r>
      <w:r w:rsidR="00506E1C" w:rsidRPr="00515061">
        <w:rPr>
          <w:rFonts w:ascii="Times New Roman" w:hAnsi="Times New Roman" w:cs="Times New Roman"/>
          <w:b/>
          <w:sz w:val="24"/>
          <w:szCs w:val="24"/>
        </w:rPr>
        <w:t>item 31</w:t>
      </w:r>
      <w:r w:rsidR="00506E1C" w:rsidRPr="00515061">
        <w:rPr>
          <w:rFonts w:ascii="Times New Roman" w:hAnsi="Times New Roman" w:cs="Times New Roman"/>
          <w:sz w:val="24"/>
          <w:szCs w:val="24"/>
        </w:rPr>
        <w:t xml:space="preserve">) </w:t>
      </w:r>
      <w:r w:rsidRPr="00515061">
        <w:rPr>
          <w:rFonts w:ascii="Times New Roman" w:hAnsi="Times New Roman" w:cs="Times New Roman"/>
          <w:sz w:val="24"/>
          <w:szCs w:val="24"/>
        </w:rPr>
        <w:t>to provide that a 10-year rolling average compliance method be used for groundwater SDL resource units (while the existing compliance method remains for surface water)</w:t>
      </w:r>
      <w:r w:rsidR="008E2309" w:rsidRPr="00515061">
        <w:rPr>
          <w:rFonts w:ascii="Times New Roman" w:hAnsi="Times New Roman" w:cs="Times New Roman"/>
          <w:sz w:val="24"/>
          <w:szCs w:val="24"/>
        </w:rPr>
        <w:t xml:space="preserve"> from 1 July 2028</w:t>
      </w:r>
      <w:r w:rsidRPr="00515061">
        <w:rPr>
          <w:rFonts w:ascii="Times New Roman" w:hAnsi="Times New Roman" w:cs="Times New Roman"/>
          <w:sz w:val="24"/>
          <w:szCs w:val="24"/>
        </w:rPr>
        <w:t xml:space="preserve">. </w:t>
      </w:r>
      <w:r w:rsidR="00814398" w:rsidRPr="00515061">
        <w:rPr>
          <w:rFonts w:ascii="Times New Roman" w:hAnsi="Times New Roman" w:cs="Times New Roman"/>
          <w:sz w:val="24"/>
          <w:szCs w:val="24"/>
        </w:rPr>
        <w:t>This approach will avoid the issue</w:t>
      </w:r>
      <w:r w:rsidR="00242647" w:rsidRPr="00515061">
        <w:rPr>
          <w:rFonts w:ascii="Times New Roman" w:hAnsi="Times New Roman" w:cs="Times New Roman"/>
          <w:sz w:val="24"/>
          <w:szCs w:val="24"/>
        </w:rPr>
        <w:t xml:space="preserve"> for groundwater SDL resource units</w:t>
      </w:r>
      <w:r w:rsidR="00814398" w:rsidRPr="00515061">
        <w:rPr>
          <w:rFonts w:ascii="Times New Roman" w:hAnsi="Times New Roman" w:cs="Times New Roman"/>
          <w:sz w:val="24"/>
          <w:szCs w:val="24"/>
        </w:rPr>
        <w:t xml:space="preserve"> identified above, that is, the accumulation of credits without a practical limit and well beyond any feasible extraction.</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w:t>
      </w:r>
      <w:r w:rsidR="00814398" w:rsidRPr="00515061">
        <w:rPr>
          <w:rFonts w:ascii="Times New Roman" w:hAnsi="Times New Roman" w:cs="Times New Roman"/>
          <w:sz w:val="24"/>
          <w:szCs w:val="24"/>
        </w:rPr>
        <w:t xml:space="preserve">10-year rolling average compliance method </w:t>
      </w:r>
      <w:r w:rsidRPr="00515061">
        <w:rPr>
          <w:rFonts w:ascii="Times New Roman" w:hAnsi="Times New Roman" w:cs="Times New Roman"/>
          <w:sz w:val="24"/>
          <w:szCs w:val="24"/>
        </w:rPr>
        <w:t xml:space="preserve">will mean that </w:t>
      </w:r>
      <w:r w:rsidRPr="00515061">
        <w:rPr>
          <w:rFonts w:ascii="Times New Roman" w:hAnsi="Times New Roman" w:cs="Times New Roman"/>
          <w:b/>
          <w:sz w:val="24"/>
          <w:szCs w:val="24"/>
        </w:rPr>
        <w:t>non-compliance</w:t>
      </w:r>
      <w:r w:rsidR="00415D32" w:rsidRPr="00515061">
        <w:rPr>
          <w:rFonts w:ascii="Times New Roman" w:hAnsi="Times New Roman" w:cs="Times New Roman"/>
          <w:sz w:val="24"/>
          <w:szCs w:val="24"/>
        </w:rPr>
        <w:t xml:space="preserve"> with a</w:t>
      </w:r>
      <w:r w:rsidRPr="00515061">
        <w:rPr>
          <w:rFonts w:ascii="Times New Roman" w:hAnsi="Times New Roman" w:cs="Times New Roman"/>
          <w:sz w:val="24"/>
          <w:szCs w:val="24"/>
        </w:rPr>
        <w:t xml:space="preserve"> SDL in a water year for </w:t>
      </w:r>
      <w:r w:rsidR="00814398" w:rsidRPr="00515061">
        <w:rPr>
          <w:rFonts w:ascii="Times New Roman" w:hAnsi="Times New Roman" w:cs="Times New Roman"/>
          <w:sz w:val="24"/>
          <w:szCs w:val="24"/>
        </w:rPr>
        <w:t xml:space="preserve">a </w:t>
      </w:r>
      <w:r w:rsidRPr="00515061">
        <w:rPr>
          <w:rFonts w:ascii="Times New Roman" w:hAnsi="Times New Roman" w:cs="Times New Roman"/>
          <w:sz w:val="24"/>
          <w:szCs w:val="24"/>
        </w:rPr>
        <w:t xml:space="preserve">groundwater </w:t>
      </w:r>
      <w:r w:rsidR="00814398" w:rsidRPr="00515061">
        <w:rPr>
          <w:rFonts w:ascii="Times New Roman" w:hAnsi="Times New Roman" w:cs="Times New Roman"/>
          <w:sz w:val="24"/>
          <w:szCs w:val="24"/>
        </w:rPr>
        <w:t xml:space="preserve">SDL resource unit </w:t>
      </w:r>
      <w:r w:rsidRPr="00515061">
        <w:rPr>
          <w:rFonts w:ascii="Times New Roman" w:hAnsi="Times New Roman" w:cs="Times New Roman"/>
          <w:sz w:val="24"/>
          <w:szCs w:val="24"/>
        </w:rPr>
        <w:t xml:space="preserve">will occur if: </w:t>
      </w:r>
    </w:p>
    <w:p w:rsidR="00231B1A" w:rsidRPr="00515061" w:rsidRDefault="00231B1A" w:rsidP="00511B9B">
      <w:pPr>
        <w:tabs>
          <w:tab w:val="right" w:pos="9072"/>
        </w:tabs>
        <w:spacing w:after="0" w:line="240" w:lineRule="auto"/>
        <w:rPr>
          <w:rFonts w:ascii="Times New Roman" w:hAnsi="Times New Roman" w:cs="Times New Roman"/>
          <w:sz w:val="24"/>
          <w:szCs w:val="24"/>
        </w:rPr>
      </w:pPr>
    </w:p>
    <w:p w:rsidR="00743395" w:rsidRPr="00515061" w:rsidRDefault="008A58FE" w:rsidP="00511B9B">
      <w:pPr>
        <w:pStyle w:val="ListParagraph"/>
        <w:numPr>
          <w:ilvl w:val="0"/>
          <w:numId w:val="13"/>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average annual actual take over the 10 year period ending with that water year </w:t>
      </w:r>
    </w:p>
    <w:p w:rsidR="008A58FE" w:rsidRPr="00515061" w:rsidRDefault="008A58FE" w:rsidP="00511B9B">
      <w:pPr>
        <w:pStyle w:val="ListParagraph"/>
        <w:tabs>
          <w:tab w:val="right" w:pos="9072"/>
        </w:tabs>
        <w:spacing w:after="0" w:line="240" w:lineRule="auto"/>
        <w:ind w:left="2160"/>
        <w:rPr>
          <w:rFonts w:ascii="Times New Roman" w:hAnsi="Times New Roman" w:cs="Times New Roman"/>
          <w:i/>
          <w:sz w:val="24"/>
          <w:szCs w:val="24"/>
        </w:rPr>
      </w:pPr>
      <w:r w:rsidRPr="00515061">
        <w:rPr>
          <w:rFonts w:ascii="Times New Roman" w:hAnsi="Times New Roman" w:cs="Times New Roman"/>
          <w:i/>
          <w:sz w:val="24"/>
          <w:szCs w:val="24"/>
        </w:rPr>
        <w:t>is greater than:</w:t>
      </w:r>
    </w:p>
    <w:p w:rsidR="009D0981" w:rsidRPr="00515061" w:rsidRDefault="008A58FE" w:rsidP="00511B9B">
      <w:pPr>
        <w:pStyle w:val="ListParagraph"/>
        <w:numPr>
          <w:ilvl w:val="0"/>
          <w:numId w:val="13"/>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average annual permitted take over the same period, and</w:t>
      </w:r>
      <w:r w:rsidR="003E773B">
        <w:rPr>
          <w:rFonts w:ascii="Times New Roman" w:hAnsi="Times New Roman" w:cs="Times New Roman"/>
          <w:sz w:val="24"/>
          <w:szCs w:val="24"/>
        </w:rPr>
        <w:t>;</w:t>
      </w:r>
      <w:r w:rsidRPr="00515061">
        <w:rPr>
          <w:rFonts w:ascii="Times New Roman" w:hAnsi="Times New Roman" w:cs="Times New Roman"/>
          <w:sz w:val="24"/>
          <w:szCs w:val="24"/>
        </w:rPr>
        <w:t xml:space="preserve"> </w:t>
      </w:r>
    </w:p>
    <w:p w:rsidR="008A58FE" w:rsidRPr="009F43BB" w:rsidRDefault="008A58FE" w:rsidP="009F43BB">
      <w:pPr>
        <w:pStyle w:val="ListParagraph"/>
        <w:numPr>
          <w:ilvl w:val="0"/>
          <w:numId w:val="13"/>
        </w:numPr>
        <w:tabs>
          <w:tab w:val="right" w:pos="9072"/>
        </w:tabs>
        <w:spacing w:after="0" w:line="240" w:lineRule="auto"/>
        <w:rPr>
          <w:rFonts w:ascii="Times New Roman" w:hAnsi="Times New Roman" w:cs="Times New Roman"/>
          <w:sz w:val="24"/>
          <w:szCs w:val="24"/>
        </w:rPr>
      </w:pPr>
      <w:r w:rsidRPr="009F43BB">
        <w:rPr>
          <w:rFonts w:ascii="Times New Roman" w:hAnsi="Times New Roman" w:cs="Times New Roman"/>
          <w:sz w:val="24"/>
          <w:szCs w:val="24"/>
        </w:rPr>
        <w:t xml:space="preserve">the Basin State does </w:t>
      </w:r>
      <w:r w:rsidRPr="009F43BB">
        <w:rPr>
          <w:rFonts w:ascii="Times New Roman" w:hAnsi="Times New Roman" w:cs="Times New Roman"/>
          <w:sz w:val="24"/>
          <w:szCs w:val="24"/>
          <w:u w:val="single"/>
        </w:rPr>
        <w:t>not</w:t>
      </w:r>
      <w:r w:rsidRPr="009F43BB">
        <w:rPr>
          <w:rFonts w:ascii="Times New Roman" w:hAnsi="Times New Roman" w:cs="Times New Roman"/>
          <w:sz w:val="24"/>
          <w:szCs w:val="24"/>
        </w:rPr>
        <w:t xml:space="preserve"> have a reasonable excuse for the excess.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E2309" w:rsidRPr="00515061" w:rsidRDefault="008E2309"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Interim compliance method from 1 July 2019 to 30 June 2028</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E2309" w:rsidRPr="00515061" w:rsidRDefault="008E2309"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F</w:t>
      </w:r>
      <w:r w:rsidR="008A58FE" w:rsidRPr="00515061">
        <w:rPr>
          <w:rFonts w:ascii="Times New Roman" w:hAnsi="Times New Roman" w:cs="Times New Roman"/>
          <w:sz w:val="24"/>
          <w:szCs w:val="24"/>
        </w:rPr>
        <w:t xml:space="preserve">or the first nine years (1 July 2019 to 30 June 2028) </w:t>
      </w:r>
      <w:r w:rsidRPr="00515061">
        <w:rPr>
          <w:rFonts w:ascii="Times New Roman" w:eastAsia="Times New Roman" w:hAnsi="Times New Roman" w:cs="Times New Roman"/>
          <w:sz w:val="24"/>
          <w:szCs w:val="24"/>
        </w:rPr>
        <w:t>t</w:t>
      </w:r>
      <w:r w:rsidR="008A58FE" w:rsidRPr="00515061">
        <w:rPr>
          <w:rFonts w:ascii="Times New Roman" w:hAnsi="Times New Roman" w:cs="Times New Roman"/>
          <w:sz w:val="24"/>
          <w:szCs w:val="24"/>
        </w:rPr>
        <w:t xml:space="preserve">he interim method at subsection 6.12C(1) (see </w:t>
      </w:r>
      <w:r w:rsidR="008A58FE" w:rsidRPr="00515061">
        <w:rPr>
          <w:rFonts w:ascii="Times New Roman" w:hAnsi="Times New Roman" w:cs="Times New Roman"/>
          <w:b/>
          <w:sz w:val="24"/>
          <w:szCs w:val="24"/>
        </w:rPr>
        <w:t>item 31</w:t>
      </w:r>
      <w:r w:rsidR="008A58FE"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applies. </w:t>
      </w:r>
      <w:r w:rsidR="00814398" w:rsidRPr="00515061">
        <w:rPr>
          <w:rFonts w:ascii="Times New Roman" w:hAnsi="Times New Roman" w:cs="Times New Roman"/>
          <w:sz w:val="24"/>
          <w:szCs w:val="24"/>
        </w:rPr>
        <w:t xml:space="preserve">This interim </w:t>
      </w:r>
      <w:r w:rsidR="008842EC" w:rsidRPr="00515061">
        <w:rPr>
          <w:rFonts w:ascii="Times New Roman" w:hAnsi="Times New Roman" w:cs="Times New Roman"/>
          <w:sz w:val="24"/>
          <w:szCs w:val="24"/>
        </w:rPr>
        <w:t xml:space="preserve">compliance </w:t>
      </w:r>
      <w:r w:rsidR="00814398" w:rsidRPr="00515061">
        <w:rPr>
          <w:rFonts w:ascii="Times New Roman" w:hAnsi="Times New Roman" w:cs="Times New Roman"/>
          <w:sz w:val="24"/>
          <w:szCs w:val="24"/>
        </w:rPr>
        <w:t xml:space="preserve">method </w:t>
      </w:r>
      <w:r w:rsidR="008842EC" w:rsidRPr="00515061">
        <w:rPr>
          <w:rFonts w:ascii="Times New Roman" w:hAnsi="Times New Roman" w:cs="Times New Roman"/>
          <w:sz w:val="24"/>
          <w:szCs w:val="24"/>
        </w:rPr>
        <w:t xml:space="preserve">for a groundwater SDL resource unit </w:t>
      </w:r>
      <w:r w:rsidR="00814398" w:rsidRPr="00515061">
        <w:rPr>
          <w:rFonts w:ascii="Times New Roman" w:hAnsi="Times New Roman" w:cs="Times New Roman"/>
          <w:sz w:val="24"/>
          <w:szCs w:val="24"/>
        </w:rPr>
        <w:t>is</w:t>
      </w:r>
      <w:r w:rsidR="008842EC" w:rsidRPr="00515061">
        <w:rPr>
          <w:rFonts w:ascii="Times New Roman" w:hAnsi="Times New Roman" w:cs="Times New Roman"/>
          <w:sz w:val="24"/>
          <w:szCs w:val="24"/>
        </w:rPr>
        <w:t xml:space="preserve"> the same method used in section 6.12 for assessing compliance for a surface water SDL resource unit (see </w:t>
      </w:r>
      <w:r w:rsidR="008842EC" w:rsidRPr="00515061">
        <w:rPr>
          <w:rFonts w:ascii="Times New Roman" w:hAnsi="Times New Roman" w:cs="Times New Roman"/>
          <w:b/>
          <w:sz w:val="24"/>
          <w:szCs w:val="24"/>
        </w:rPr>
        <w:t>item 31</w:t>
      </w:r>
      <w:r w:rsidR="008842EC" w:rsidRPr="00515061">
        <w:rPr>
          <w:rFonts w:ascii="Times New Roman" w:hAnsi="Times New Roman" w:cs="Times New Roman"/>
          <w:sz w:val="24"/>
          <w:szCs w:val="24"/>
        </w:rPr>
        <w:t>, in particular the note below subsection 6.12C(1)).</w:t>
      </w:r>
      <w:r w:rsidR="00814398" w:rsidRPr="00515061">
        <w:rPr>
          <w:rFonts w:ascii="Times New Roman" w:hAnsi="Times New Roman" w:cs="Times New Roman"/>
          <w:sz w:val="24"/>
          <w:szCs w:val="24"/>
        </w:rPr>
        <w:t xml:space="preserve"> </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A58FE" w:rsidRPr="00515061" w:rsidRDefault="008E2309"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w:t>
      </w:r>
      <w:r w:rsidR="008A58FE" w:rsidRPr="00515061">
        <w:rPr>
          <w:rFonts w:ascii="Times New Roman" w:hAnsi="Times New Roman" w:cs="Times New Roman"/>
          <w:sz w:val="24"/>
          <w:szCs w:val="24"/>
        </w:rPr>
        <w:t xml:space="preserve">means </w:t>
      </w:r>
      <w:r w:rsidR="008A58FE" w:rsidRPr="00515061">
        <w:rPr>
          <w:rFonts w:ascii="Times New Roman" w:hAnsi="Times New Roman" w:cs="Times New Roman"/>
          <w:b/>
          <w:sz w:val="24"/>
          <w:szCs w:val="24"/>
        </w:rPr>
        <w:t>non-compliance</w:t>
      </w:r>
      <w:r w:rsidR="008A58FE" w:rsidRPr="00515061">
        <w:rPr>
          <w:rFonts w:ascii="Times New Roman" w:hAnsi="Times New Roman" w:cs="Times New Roman"/>
          <w:sz w:val="24"/>
          <w:szCs w:val="24"/>
        </w:rPr>
        <w:t xml:space="preserve"> </w:t>
      </w:r>
      <w:r w:rsidR="00415D32" w:rsidRPr="00515061">
        <w:rPr>
          <w:rFonts w:ascii="Times New Roman" w:hAnsi="Times New Roman" w:cs="Times New Roman"/>
          <w:sz w:val="24"/>
          <w:szCs w:val="24"/>
        </w:rPr>
        <w:t>with a</w:t>
      </w:r>
      <w:r w:rsidRPr="00515061">
        <w:rPr>
          <w:rFonts w:ascii="Times New Roman" w:hAnsi="Times New Roman" w:cs="Times New Roman"/>
          <w:sz w:val="24"/>
          <w:szCs w:val="24"/>
        </w:rPr>
        <w:t xml:space="preserve"> SDL in a water </w:t>
      </w:r>
      <w:r w:rsidR="00242647" w:rsidRPr="00515061">
        <w:rPr>
          <w:rFonts w:ascii="Times New Roman" w:hAnsi="Times New Roman" w:cs="Times New Roman"/>
          <w:sz w:val="24"/>
          <w:szCs w:val="24"/>
        </w:rPr>
        <w:t>accounting period</w:t>
      </w:r>
      <w:r w:rsidRPr="00515061">
        <w:rPr>
          <w:rFonts w:ascii="Times New Roman" w:hAnsi="Times New Roman" w:cs="Times New Roman"/>
          <w:sz w:val="24"/>
          <w:szCs w:val="24"/>
        </w:rPr>
        <w:t xml:space="preserve"> for </w:t>
      </w:r>
      <w:r w:rsidR="00242647" w:rsidRPr="00515061">
        <w:rPr>
          <w:rFonts w:ascii="Times New Roman" w:hAnsi="Times New Roman" w:cs="Times New Roman"/>
          <w:sz w:val="24"/>
          <w:szCs w:val="24"/>
        </w:rPr>
        <w:t xml:space="preserve">a </w:t>
      </w:r>
      <w:r w:rsidRPr="00515061">
        <w:rPr>
          <w:rFonts w:ascii="Times New Roman" w:hAnsi="Times New Roman" w:cs="Times New Roman"/>
          <w:sz w:val="24"/>
          <w:szCs w:val="24"/>
        </w:rPr>
        <w:t xml:space="preserve">groundwater </w:t>
      </w:r>
      <w:r w:rsidR="00242647" w:rsidRPr="00515061">
        <w:rPr>
          <w:rFonts w:ascii="Times New Roman" w:hAnsi="Times New Roman" w:cs="Times New Roman"/>
          <w:sz w:val="24"/>
          <w:szCs w:val="24"/>
        </w:rPr>
        <w:t xml:space="preserve">SDL resource unit </w:t>
      </w:r>
      <w:r w:rsidR="008A58FE" w:rsidRPr="00515061">
        <w:rPr>
          <w:rFonts w:ascii="Times New Roman" w:hAnsi="Times New Roman" w:cs="Times New Roman"/>
          <w:sz w:val="24"/>
          <w:szCs w:val="24"/>
        </w:rPr>
        <w:t>will occur if:</w:t>
      </w:r>
    </w:p>
    <w:p w:rsidR="00231B1A" w:rsidRPr="00515061" w:rsidRDefault="00231B1A" w:rsidP="00511B9B">
      <w:pPr>
        <w:tabs>
          <w:tab w:val="right" w:pos="9072"/>
        </w:tabs>
        <w:spacing w:after="0" w:line="240" w:lineRule="auto"/>
        <w:rPr>
          <w:rFonts w:ascii="Times New Roman" w:hAnsi="Times New Roman" w:cs="Times New Roman"/>
          <w:sz w:val="24"/>
          <w:szCs w:val="24"/>
        </w:rPr>
      </w:pPr>
    </w:p>
    <w:p w:rsidR="009D0981" w:rsidRPr="00515061" w:rsidRDefault="008A58FE" w:rsidP="00511B9B">
      <w:pPr>
        <w:pStyle w:val="ListParagraph"/>
        <w:numPr>
          <w:ilvl w:val="0"/>
          <w:numId w:val="12"/>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cumulative sum of annual actual take in each water year sinc</w:t>
      </w:r>
      <w:r w:rsidR="009D0981" w:rsidRPr="00515061">
        <w:rPr>
          <w:rFonts w:ascii="Times New Roman" w:hAnsi="Times New Roman" w:cs="Times New Roman"/>
          <w:sz w:val="24"/>
          <w:szCs w:val="24"/>
        </w:rPr>
        <w:t>e 1 July 2019</w:t>
      </w:r>
    </w:p>
    <w:p w:rsidR="008A58FE" w:rsidRPr="00515061" w:rsidRDefault="008A58FE" w:rsidP="00511B9B">
      <w:pPr>
        <w:pStyle w:val="ListParagraph"/>
        <w:tabs>
          <w:tab w:val="right" w:pos="9072"/>
        </w:tabs>
        <w:spacing w:after="0" w:line="240" w:lineRule="auto"/>
        <w:ind w:left="2160"/>
        <w:rPr>
          <w:rFonts w:ascii="Times New Roman" w:hAnsi="Times New Roman" w:cs="Times New Roman"/>
          <w:sz w:val="24"/>
          <w:szCs w:val="24"/>
        </w:rPr>
      </w:pPr>
      <w:r w:rsidRPr="00515061">
        <w:rPr>
          <w:rFonts w:ascii="Times New Roman" w:hAnsi="Times New Roman" w:cs="Times New Roman"/>
          <w:i/>
          <w:sz w:val="24"/>
          <w:szCs w:val="24"/>
        </w:rPr>
        <w:t>is greater than:</w:t>
      </w:r>
    </w:p>
    <w:p w:rsidR="008A58FE" w:rsidRPr="00515061" w:rsidRDefault="008A58FE" w:rsidP="00511B9B">
      <w:pPr>
        <w:pStyle w:val="ListParagraph"/>
        <w:numPr>
          <w:ilvl w:val="0"/>
          <w:numId w:val="12"/>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cumulative sum of annual permitted take for the same period, plus 20% of the annual SDL for the SDL resource unit</w:t>
      </w:r>
      <w:r w:rsidR="009D0981" w:rsidRPr="00515061">
        <w:rPr>
          <w:rFonts w:ascii="Times New Roman" w:hAnsi="Times New Roman" w:cs="Times New Roman"/>
          <w:sz w:val="24"/>
          <w:szCs w:val="24"/>
        </w:rPr>
        <w:t>,</w:t>
      </w:r>
      <w:r w:rsidRPr="00515061">
        <w:rPr>
          <w:rFonts w:ascii="Times New Roman" w:hAnsi="Times New Roman" w:cs="Times New Roman"/>
          <w:sz w:val="24"/>
          <w:szCs w:val="24"/>
        </w:rPr>
        <w:t xml:space="preserve"> and</w:t>
      </w:r>
      <w:r w:rsidR="003E773B">
        <w:rPr>
          <w:rFonts w:ascii="Times New Roman" w:hAnsi="Times New Roman" w:cs="Times New Roman"/>
          <w:sz w:val="24"/>
          <w:szCs w:val="24"/>
        </w:rPr>
        <w:t>;</w:t>
      </w:r>
      <w:r w:rsidRPr="00515061">
        <w:rPr>
          <w:rFonts w:ascii="Times New Roman" w:hAnsi="Times New Roman" w:cs="Times New Roman"/>
          <w:sz w:val="24"/>
          <w:szCs w:val="24"/>
        </w:rPr>
        <w:t xml:space="preserve"> </w:t>
      </w:r>
    </w:p>
    <w:p w:rsidR="008A58FE" w:rsidRPr="00AB02C0" w:rsidRDefault="008A58FE" w:rsidP="00AB02C0">
      <w:pPr>
        <w:pStyle w:val="ListParagraph"/>
        <w:numPr>
          <w:ilvl w:val="0"/>
          <w:numId w:val="12"/>
        </w:numPr>
        <w:tabs>
          <w:tab w:val="right" w:pos="9072"/>
        </w:tabs>
        <w:spacing w:after="0" w:line="240" w:lineRule="auto"/>
        <w:rPr>
          <w:rFonts w:ascii="Times New Roman" w:hAnsi="Times New Roman" w:cs="Times New Roman"/>
          <w:sz w:val="24"/>
          <w:szCs w:val="24"/>
        </w:rPr>
      </w:pPr>
      <w:r w:rsidRPr="00AB02C0">
        <w:rPr>
          <w:rFonts w:ascii="Times New Roman" w:hAnsi="Times New Roman" w:cs="Times New Roman"/>
          <w:sz w:val="24"/>
          <w:szCs w:val="24"/>
        </w:rPr>
        <w:t xml:space="preserve">the Basin State does </w:t>
      </w:r>
      <w:r w:rsidRPr="00AB02C0">
        <w:rPr>
          <w:rFonts w:ascii="Times New Roman" w:hAnsi="Times New Roman" w:cs="Times New Roman"/>
          <w:sz w:val="24"/>
          <w:szCs w:val="24"/>
          <w:u w:val="single"/>
        </w:rPr>
        <w:t>not</w:t>
      </w:r>
      <w:r w:rsidRPr="00AB02C0">
        <w:rPr>
          <w:rFonts w:ascii="Times New Roman" w:hAnsi="Times New Roman" w:cs="Times New Roman"/>
          <w:sz w:val="24"/>
          <w:szCs w:val="24"/>
        </w:rPr>
        <w:t xml:space="preserve"> have a reasonable excuse for the excess.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20% tolerance </w:t>
      </w:r>
      <w:r w:rsidR="00124979" w:rsidRPr="00515061">
        <w:rPr>
          <w:rFonts w:ascii="Times New Roman" w:hAnsi="Times New Roman" w:cs="Times New Roman"/>
          <w:sz w:val="24"/>
          <w:szCs w:val="24"/>
        </w:rPr>
        <w:t>will</w:t>
      </w:r>
      <w:r w:rsidRPr="00515061">
        <w:rPr>
          <w:rFonts w:ascii="Times New Roman" w:hAnsi="Times New Roman" w:cs="Times New Roman"/>
          <w:sz w:val="24"/>
          <w:szCs w:val="24"/>
        </w:rPr>
        <w:t xml:space="preserve"> be retained to 2028 to provide for no change, compared to the Basin Plan,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This tolerance is expected to be most relevant in the early years following 2019</w:t>
      </w:r>
      <w:r w:rsidR="00242647" w:rsidRPr="00515061">
        <w:rPr>
          <w:rFonts w:ascii="Times New Roman" w:hAnsi="Times New Roman" w:cs="Times New Roman"/>
          <w:sz w:val="24"/>
          <w:szCs w:val="24"/>
        </w:rPr>
        <w:t xml:space="preserve"> due to the introduction of the SDL compliance method</w:t>
      </w:r>
      <w:r w:rsidRPr="00515061">
        <w:rPr>
          <w:rFonts w:ascii="Times New Roman" w:hAnsi="Times New Roman" w:cs="Times New Roman"/>
          <w:sz w:val="24"/>
          <w:szCs w:val="24"/>
        </w:rPr>
        <w:t xml:space="preserve">. </w:t>
      </w:r>
      <w:r w:rsidR="00124979" w:rsidRPr="00515061">
        <w:rPr>
          <w:rFonts w:ascii="Times New Roman" w:hAnsi="Times New Roman" w:cs="Times New Roman"/>
          <w:sz w:val="24"/>
          <w:szCs w:val="24"/>
        </w:rPr>
        <w:t>The 20% tolerance</w:t>
      </w:r>
      <w:r w:rsidRPr="00515061">
        <w:rPr>
          <w:rFonts w:ascii="Times New Roman" w:hAnsi="Times New Roman" w:cs="Times New Roman"/>
          <w:sz w:val="24"/>
          <w:szCs w:val="24"/>
        </w:rPr>
        <w:t xml:space="preserve"> will not be continued beyond 2028 as discussions with the Basin States concluded it was unnecessary.</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842EC"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of the Amendment Instrument introduces a new Division 3 – Method for determining compliance – groundwater, with new sections 6.12A, 6.12B and 6.12C. Sect</w:t>
      </w:r>
      <w:r w:rsidR="004D223F" w:rsidRPr="00515061">
        <w:rPr>
          <w:rFonts w:ascii="Times New Roman" w:hAnsi="Times New Roman" w:cs="Times New Roman"/>
          <w:sz w:val="24"/>
          <w:szCs w:val="24"/>
        </w:rPr>
        <w:t xml:space="preserve">ion 6.12A clarifies that the method </w:t>
      </w:r>
      <w:r w:rsidRPr="00515061">
        <w:rPr>
          <w:rFonts w:ascii="Times New Roman" w:hAnsi="Times New Roman" w:cs="Times New Roman"/>
          <w:sz w:val="24"/>
          <w:szCs w:val="24"/>
        </w:rPr>
        <w:t xml:space="preserve">set out in the new Division 3 </w:t>
      </w:r>
      <w:r w:rsidR="004D223F" w:rsidRPr="00515061">
        <w:rPr>
          <w:rFonts w:ascii="Times New Roman" w:hAnsi="Times New Roman" w:cs="Times New Roman"/>
          <w:sz w:val="24"/>
          <w:szCs w:val="24"/>
        </w:rPr>
        <w:t xml:space="preserve">is </w:t>
      </w:r>
      <w:r w:rsidRPr="00515061">
        <w:rPr>
          <w:rFonts w:ascii="Times New Roman" w:hAnsi="Times New Roman" w:cs="Times New Roman"/>
          <w:sz w:val="24"/>
          <w:szCs w:val="24"/>
        </w:rPr>
        <w:t>to determine compliance with the SDLs for each groundwater SDL resource unit after 30 June 2019. Section 6.12B details the step</w:t>
      </w:r>
      <w:r w:rsidR="009F3224">
        <w:rPr>
          <w:rFonts w:ascii="Times New Roman" w:hAnsi="Times New Roman" w:cs="Times New Roman"/>
          <w:sz w:val="24"/>
          <w:szCs w:val="24"/>
        </w:rPr>
        <w:t>s</w:t>
      </w:r>
      <w:r w:rsidRPr="00515061">
        <w:rPr>
          <w:rFonts w:ascii="Times New Roman" w:hAnsi="Times New Roman" w:cs="Times New Roman"/>
          <w:sz w:val="24"/>
          <w:szCs w:val="24"/>
        </w:rPr>
        <w:t xml:space="preserve"> for calculating annual permitted take and annual actual take. Subsection 6.12C(1) details the compliance method for groundwater up to 30 June 2028, which is the same as the compliance method for both surface water and groundwater in section 6.12 of the Basin Plan, </w:t>
      </w:r>
      <w:r w:rsidR="005E2716" w:rsidRPr="00515061">
        <w:rPr>
          <w:rFonts w:ascii="Times New Roman" w:hAnsi="Times New Roman" w:cs="Times New Roman"/>
          <w:sz w:val="24"/>
          <w:szCs w:val="24"/>
        </w:rPr>
        <w:t>prior to the amendments</w:t>
      </w:r>
      <w:r w:rsidR="008842EC" w:rsidRPr="00515061">
        <w:rPr>
          <w:rFonts w:ascii="Times New Roman" w:hAnsi="Times New Roman" w:cs="Times New Roman"/>
          <w:sz w:val="24"/>
          <w:szCs w:val="24"/>
        </w:rPr>
        <w:t xml:space="preserve"> (see the note below subsection 6.12C(1))</w:t>
      </w:r>
      <w:r w:rsidRPr="00515061">
        <w:rPr>
          <w:rFonts w:ascii="Times New Roman" w:hAnsi="Times New Roman" w:cs="Times New Roman"/>
          <w:sz w:val="24"/>
          <w:szCs w:val="24"/>
        </w:rPr>
        <w:t>. Subsections 6.12C(2)</w:t>
      </w:r>
      <w:r w:rsidR="00743395" w:rsidRPr="00515061">
        <w:rPr>
          <w:rFonts w:ascii="Times New Roman" w:hAnsi="Times New Roman" w:cs="Times New Roman"/>
          <w:sz w:val="24"/>
          <w:szCs w:val="24"/>
        </w:rPr>
        <w:t>–</w:t>
      </w:r>
      <w:r w:rsidR="004D223F" w:rsidRPr="00515061">
        <w:rPr>
          <w:rFonts w:ascii="Times New Roman" w:hAnsi="Times New Roman" w:cs="Times New Roman"/>
          <w:sz w:val="24"/>
          <w:szCs w:val="24"/>
        </w:rPr>
        <w:t>(5) detail</w:t>
      </w:r>
      <w:r w:rsidRPr="00515061">
        <w:rPr>
          <w:rFonts w:ascii="Times New Roman" w:hAnsi="Times New Roman" w:cs="Times New Roman"/>
          <w:sz w:val="24"/>
          <w:szCs w:val="24"/>
        </w:rPr>
        <w:t xml:space="preserve"> the 10 year rolling average compliance method for </w:t>
      </w:r>
      <w:r w:rsidR="008842EC" w:rsidRPr="00515061">
        <w:rPr>
          <w:rFonts w:ascii="Times New Roman" w:hAnsi="Times New Roman" w:cs="Times New Roman"/>
          <w:sz w:val="24"/>
          <w:szCs w:val="24"/>
        </w:rPr>
        <w:t>groundwater after 30 June 2028, as described in further detail above.</w:t>
      </w:r>
    </w:p>
    <w:p w:rsidR="00105EDF" w:rsidRPr="00515061" w:rsidRDefault="00105EDF"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Decoupling of certain steps relating to the claim for a reasonable excuse</w:t>
      </w:r>
    </w:p>
    <w:p w:rsidR="00253AB7" w:rsidRPr="00515061" w:rsidRDefault="00253AB7"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of the Amendment Instrument also </w:t>
      </w:r>
      <w:r w:rsidR="00D23906" w:rsidRPr="00515061">
        <w:rPr>
          <w:rFonts w:ascii="Times New Roman" w:hAnsi="Times New Roman" w:cs="Times New Roman"/>
          <w:sz w:val="24"/>
          <w:szCs w:val="24"/>
        </w:rPr>
        <w:t>de-couples</w:t>
      </w:r>
      <w:r w:rsidRPr="00515061">
        <w:rPr>
          <w:rFonts w:ascii="Times New Roman" w:hAnsi="Times New Roman" w:cs="Times New Roman"/>
          <w:sz w:val="24"/>
          <w:szCs w:val="24"/>
        </w:rPr>
        <w:t xml:space="preserve"> the two steps required for a Basin State to claim it has a reasonable excuse, as previously set out under subsection 6.12(3) of the Basin Plan (which applied to both surface water and groundwater),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xml:space="preserve">. Subsection 6.12C(3) provides that for a </w:t>
      </w:r>
      <w:r w:rsidR="00D23906" w:rsidRPr="00515061">
        <w:rPr>
          <w:rFonts w:ascii="Times New Roman" w:hAnsi="Times New Roman" w:cs="Times New Roman"/>
          <w:sz w:val="24"/>
          <w:szCs w:val="24"/>
        </w:rPr>
        <w:t>Basin State</w:t>
      </w:r>
      <w:r w:rsidRPr="00515061">
        <w:rPr>
          <w:rFonts w:ascii="Times New Roman" w:hAnsi="Times New Roman" w:cs="Times New Roman"/>
          <w:sz w:val="24"/>
          <w:szCs w:val="24"/>
        </w:rPr>
        <w:t xml:space="preserve"> to claim to the Authority that it has a reasonable excuse for an excess in a SDL resource unit</w:t>
      </w:r>
      <w:r w:rsidR="0063500C" w:rsidRPr="00515061">
        <w:rPr>
          <w:rFonts w:ascii="Times New Roman" w:hAnsi="Times New Roman" w:cs="Times New Roman"/>
          <w:sz w:val="24"/>
          <w:szCs w:val="24"/>
        </w:rPr>
        <w:t>,</w:t>
      </w:r>
      <w:r w:rsidRPr="00515061">
        <w:rPr>
          <w:rFonts w:ascii="Times New Roman" w:hAnsi="Times New Roman" w:cs="Times New Roman"/>
          <w:sz w:val="24"/>
          <w:szCs w:val="24"/>
        </w:rPr>
        <w:t xml:space="preserve"> then it must also provide a report to the Authority setting out the reasons for the excess. Subsection 6.12C</w:t>
      </w:r>
      <w:r w:rsidR="0063500C" w:rsidRPr="00515061">
        <w:rPr>
          <w:rFonts w:ascii="Times New Roman" w:hAnsi="Times New Roman" w:cs="Times New Roman"/>
          <w:sz w:val="24"/>
          <w:szCs w:val="24"/>
        </w:rPr>
        <w:t>(5</w:t>
      </w:r>
      <w:r w:rsidRPr="00515061">
        <w:rPr>
          <w:rFonts w:ascii="Times New Roman" w:hAnsi="Times New Roman" w:cs="Times New Roman"/>
          <w:sz w:val="24"/>
          <w:szCs w:val="24"/>
        </w:rPr>
        <w:t>) provides that once the Authority has determined that the Basin State has a valid claim fo</w:t>
      </w:r>
      <w:r w:rsidR="001F57B9" w:rsidRPr="00515061">
        <w:rPr>
          <w:rFonts w:ascii="Times New Roman" w:hAnsi="Times New Roman" w:cs="Times New Roman"/>
          <w:sz w:val="24"/>
          <w:szCs w:val="24"/>
        </w:rPr>
        <w:t>r a reasonable excuse then the Basin S</w:t>
      </w:r>
      <w:r w:rsidRPr="00515061">
        <w:rPr>
          <w:rFonts w:ascii="Times New Roman" w:hAnsi="Times New Roman" w:cs="Times New Roman"/>
          <w:sz w:val="24"/>
          <w:szCs w:val="24"/>
        </w:rPr>
        <w:t>tate needs to provide the Authority with the steps it will take to reduce the cumulative balance of the register of take to zero (the ‘make good’ steps).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326022" w:rsidRPr="00515061" w:rsidRDefault="00326022" w:rsidP="00326022">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Note 1 at subsection 6.12C(5) (see </w:t>
      </w:r>
      <w:r w:rsidRPr="00515061">
        <w:rPr>
          <w:rFonts w:ascii="Times New Roman" w:hAnsi="Times New Roman" w:cs="Times New Roman"/>
          <w:b/>
          <w:sz w:val="24"/>
          <w:szCs w:val="24"/>
        </w:rPr>
        <w:t>item 31</w:t>
      </w:r>
      <w:r w:rsidRPr="00515061">
        <w:rPr>
          <w:rFonts w:ascii="Times New Roman" w:hAnsi="Times New Roman" w:cs="Times New Roman"/>
          <w:sz w:val="24"/>
          <w:szCs w:val="24"/>
        </w:rPr>
        <w:t>) deals with the circumstance where the Basin State’s cumulative balance will be adjusted under paragraph 6.12C(1)(a) or (2)(a) to give a credit for any amount attributable to particular circumstance where, for reasons beyond the Basin State’s control, the Commonwealth has failed to reach its water recovery target for a SDL resource unit. In this circumstance the Basin State does not need to provide any ‘make good’ steps to the Authority.</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4D223F"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Note 2 at subsection 6.12C(5) (see </w:t>
      </w: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relates to the Authority’s powers under the Water Act to undertake audits in relation to compliance. </w:t>
      </w:r>
    </w:p>
    <w:p w:rsidR="004D223F" w:rsidRPr="00515061" w:rsidRDefault="004D223F"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w:t>
      </w:r>
      <w:r w:rsidR="004D223F" w:rsidRPr="00515061">
        <w:rPr>
          <w:rFonts w:ascii="Times New Roman" w:hAnsi="Times New Roman" w:cs="Times New Roman"/>
          <w:sz w:val="24"/>
          <w:szCs w:val="24"/>
        </w:rPr>
        <w:t>de-coupling of the steps</w:t>
      </w:r>
      <w:r w:rsidRPr="00515061">
        <w:rPr>
          <w:rFonts w:ascii="Times New Roman" w:hAnsi="Times New Roman" w:cs="Times New Roman"/>
          <w:sz w:val="24"/>
          <w:szCs w:val="24"/>
        </w:rPr>
        <w:t xml:space="preserve"> for claiming a reasonable excuse </w:t>
      </w:r>
      <w:r w:rsidR="004D223F" w:rsidRPr="00515061">
        <w:rPr>
          <w:rFonts w:ascii="Times New Roman" w:hAnsi="Times New Roman" w:cs="Times New Roman"/>
          <w:sz w:val="24"/>
          <w:szCs w:val="24"/>
        </w:rPr>
        <w:t>has also been applied to</w:t>
      </w:r>
      <w:r w:rsidRPr="00515061">
        <w:rPr>
          <w:rFonts w:ascii="Times New Roman" w:hAnsi="Times New Roman" w:cs="Times New Roman"/>
          <w:sz w:val="24"/>
          <w:szCs w:val="24"/>
        </w:rPr>
        <w:t xml:space="preserve"> the surface water compliance provisions set out in section 6.12 and </w:t>
      </w:r>
      <w:r w:rsidR="00961BAD" w:rsidRPr="00515061">
        <w:rPr>
          <w:rFonts w:ascii="Times New Roman" w:hAnsi="Times New Roman" w:cs="Times New Roman"/>
          <w:sz w:val="24"/>
          <w:szCs w:val="24"/>
        </w:rPr>
        <w:t xml:space="preserve">discussed in further detail below at </w:t>
      </w:r>
      <w:r w:rsidRPr="00515061">
        <w:rPr>
          <w:rFonts w:ascii="Times New Roman" w:hAnsi="Times New Roman" w:cs="Times New Roman"/>
          <w:i/>
          <w:sz w:val="24"/>
          <w:szCs w:val="24"/>
        </w:rPr>
        <w:t>4(b)</w:t>
      </w:r>
      <w:r w:rsidR="004D223F" w:rsidRPr="00515061">
        <w:rPr>
          <w:rFonts w:ascii="Times New Roman" w:hAnsi="Times New Roman" w:cs="Times New Roman"/>
          <w:i/>
          <w:sz w:val="24"/>
          <w:szCs w:val="24"/>
        </w:rPr>
        <w:t xml:space="preserve"> Compliance with SDLs for surface water</w:t>
      </w:r>
      <w:r w:rsidR="00961BAD" w:rsidRPr="00515061">
        <w:rPr>
          <w:rFonts w:ascii="Times New Roman" w:hAnsi="Times New Roman" w:cs="Times New Roman"/>
          <w:sz w:val="24"/>
          <w:szCs w:val="24"/>
        </w:rPr>
        <w:t xml:space="preserve"> of this explanatory statement</w:t>
      </w:r>
      <w:r w:rsidRPr="00515061">
        <w:rPr>
          <w:rFonts w:ascii="Times New Roman" w:hAnsi="Times New Roman" w:cs="Times New Roman"/>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There are consequential amendments as a result of </w:t>
      </w: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that is, to section 1.07 </w:t>
      </w:r>
      <w:r w:rsidR="009D0981" w:rsidRPr="00515061">
        <w:rPr>
          <w:rFonts w:ascii="Times New Roman" w:hAnsi="Times New Roman" w:cs="Times New Roman"/>
          <w:sz w:val="24"/>
          <w:szCs w:val="24"/>
        </w:rPr>
        <w:t>(</w:t>
      </w:r>
      <w:r w:rsidRPr="00515061">
        <w:rPr>
          <w:rFonts w:ascii="Times New Roman" w:hAnsi="Times New Roman" w:cs="Times New Roman"/>
          <w:sz w:val="24"/>
          <w:szCs w:val="24"/>
        </w:rPr>
        <w:t xml:space="preserve">the </w:t>
      </w:r>
      <w:r w:rsidR="009D0981" w:rsidRPr="00515061">
        <w:rPr>
          <w:rFonts w:ascii="Times New Roman" w:hAnsi="Times New Roman" w:cs="Times New Roman"/>
          <w:sz w:val="24"/>
          <w:szCs w:val="24"/>
        </w:rPr>
        <w:t>d</w:t>
      </w:r>
      <w:r w:rsidRPr="00515061">
        <w:rPr>
          <w:rFonts w:ascii="Times New Roman" w:hAnsi="Times New Roman" w:cs="Times New Roman"/>
          <w:sz w:val="24"/>
          <w:szCs w:val="24"/>
        </w:rPr>
        <w:t>efinitions section</w:t>
      </w:r>
      <w:r w:rsidR="009D0981" w:rsidRPr="00515061">
        <w:rPr>
          <w:rFonts w:ascii="Times New Roman" w:hAnsi="Times New Roman" w:cs="Times New Roman"/>
          <w:sz w:val="24"/>
          <w:szCs w:val="24"/>
        </w:rPr>
        <w:t>)</w:t>
      </w:r>
      <w:r w:rsidRPr="00515061">
        <w:rPr>
          <w:rFonts w:ascii="Times New Roman" w:hAnsi="Times New Roman" w:cs="Times New Roman"/>
          <w:sz w:val="24"/>
          <w:szCs w:val="24"/>
        </w:rPr>
        <w:t xml:space="preserve"> of the Basin Plan, to refer to the definition for annual actual take in section 6.12B (see </w:t>
      </w:r>
      <w:r w:rsidRPr="00515061">
        <w:rPr>
          <w:rFonts w:ascii="Times New Roman" w:hAnsi="Times New Roman" w:cs="Times New Roman"/>
          <w:b/>
          <w:sz w:val="24"/>
          <w:szCs w:val="24"/>
        </w:rPr>
        <w:t>item 1</w:t>
      </w:r>
      <w:r w:rsidRPr="00515061">
        <w:rPr>
          <w:rFonts w:ascii="Times New Roman" w:hAnsi="Times New Roman" w:cs="Times New Roman"/>
          <w:sz w:val="24"/>
          <w:szCs w:val="24"/>
        </w:rPr>
        <w:t xml:space="preserve">) and the definition for annual permitted take in section 6.12B (see </w:t>
      </w:r>
      <w:r w:rsidRPr="00515061">
        <w:rPr>
          <w:rFonts w:ascii="Times New Roman" w:hAnsi="Times New Roman" w:cs="Times New Roman"/>
          <w:b/>
          <w:sz w:val="24"/>
          <w:szCs w:val="24"/>
        </w:rPr>
        <w:t>item 2</w:t>
      </w:r>
      <w:r w:rsidRPr="00515061">
        <w:rPr>
          <w:rFonts w:ascii="Times New Roman" w:hAnsi="Times New Roman" w:cs="Times New Roman"/>
          <w:sz w:val="24"/>
          <w:szCs w:val="24"/>
        </w:rPr>
        <w:t xml:space="preserve">). </w:t>
      </w:r>
      <w:r w:rsidRPr="00515061">
        <w:rPr>
          <w:rFonts w:ascii="Times New Roman" w:hAnsi="Times New Roman" w:cs="Times New Roman"/>
          <w:b/>
          <w:sz w:val="24"/>
          <w:szCs w:val="24"/>
        </w:rPr>
        <w:t>Item 3</w:t>
      </w:r>
      <w:r w:rsidRPr="00515061">
        <w:rPr>
          <w:rFonts w:ascii="Times New Roman" w:hAnsi="Times New Roman" w:cs="Times New Roman"/>
          <w:sz w:val="24"/>
          <w:szCs w:val="24"/>
        </w:rPr>
        <w:t xml:space="preserve"> introduces a definition of groundwater, which is identical to the definition of ‘ground water’ in the Water Act. The term ‘groundwater’ is used throughout the Basin Plan, and it was necessary to add this as a definition </w:t>
      </w:r>
      <w:r w:rsidR="000112C4">
        <w:rPr>
          <w:rFonts w:ascii="Times New Roman" w:hAnsi="Times New Roman" w:cs="Times New Roman"/>
          <w:sz w:val="24"/>
          <w:szCs w:val="24"/>
        </w:rPr>
        <w:t>so that</w:t>
      </w:r>
      <w:r w:rsidRPr="00515061">
        <w:rPr>
          <w:rFonts w:ascii="Times New Roman" w:hAnsi="Times New Roman" w:cs="Times New Roman"/>
          <w:sz w:val="24"/>
          <w:szCs w:val="24"/>
        </w:rPr>
        <w:t xml:space="preserve"> it could be distinguished from ‘ground water’ as defined under the Water Act.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Items 19, 22, 23, 24, 26 and 27</w:t>
      </w:r>
      <w:r w:rsidRPr="00515061">
        <w:rPr>
          <w:rFonts w:ascii="Times New Roman" w:hAnsi="Times New Roman" w:cs="Times New Roman"/>
          <w:sz w:val="24"/>
          <w:szCs w:val="24"/>
        </w:rPr>
        <w:t xml:space="preserve"> are consequential amendments to clarify that there is now a separate compliance method for surface water SDL resource units (section 6.12) and groundwater SDL r</w:t>
      </w:r>
      <w:r w:rsidR="00173375" w:rsidRPr="00515061">
        <w:rPr>
          <w:rFonts w:ascii="Times New Roman" w:hAnsi="Times New Roman" w:cs="Times New Roman"/>
          <w:sz w:val="24"/>
          <w:szCs w:val="24"/>
        </w:rPr>
        <w:t xml:space="preserve">esource units (section 6.12C). </w:t>
      </w:r>
      <w:r w:rsidRPr="00515061">
        <w:rPr>
          <w:rFonts w:ascii="Times New Roman" w:hAnsi="Times New Roman" w:cs="Times New Roman"/>
          <w:b/>
          <w:sz w:val="24"/>
          <w:szCs w:val="24"/>
        </w:rPr>
        <w:t>Items 20 and 21</w:t>
      </w:r>
      <w:r w:rsidRPr="00515061">
        <w:rPr>
          <w:rFonts w:ascii="Times New Roman" w:hAnsi="Times New Roman" w:cs="Times New Roman"/>
          <w:sz w:val="24"/>
          <w:szCs w:val="24"/>
        </w:rPr>
        <w:t xml:space="preserve"> are also consequential amendments, </w:t>
      </w:r>
      <w:r w:rsidRPr="00515061">
        <w:rPr>
          <w:rFonts w:ascii="Times New Roman" w:hAnsi="Times New Roman" w:cs="Times New Roman"/>
          <w:b/>
          <w:sz w:val="24"/>
          <w:szCs w:val="24"/>
        </w:rPr>
        <w:t>item 20</w:t>
      </w:r>
      <w:r w:rsidRPr="00515061">
        <w:rPr>
          <w:rFonts w:ascii="Times New Roman" w:hAnsi="Times New Roman" w:cs="Times New Roman"/>
          <w:sz w:val="24"/>
          <w:szCs w:val="24"/>
        </w:rPr>
        <w:t xml:space="preserve"> states that the register of take for each groundwater SDL resource unit must include a record of amounts in accordance with the method set out in Division 3 of the Basin Plan. </w:t>
      </w:r>
      <w:r w:rsidRPr="00515061">
        <w:rPr>
          <w:rFonts w:ascii="Times New Roman" w:hAnsi="Times New Roman" w:cs="Times New Roman"/>
          <w:b/>
          <w:sz w:val="24"/>
          <w:szCs w:val="24"/>
        </w:rPr>
        <w:t>Item 21</w:t>
      </w:r>
      <w:r w:rsidRPr="00515061">
        <w:rPr>
          <w:rFonts w:ascii="Times New Roman" w:hAnsi="Times New Roman" w:cs="Times New Roman"/>
          <w:sz w:val="24"/>
          <w:szCs w:val="24"/>
        </w:rPr>
        <w:t xml:space="preserve"> states that when the register of take commences for each surface water SDL resource unit from 1 July 2019, that the balance will be zero.</w:t>
      </w:r>
    </w:p>
    <w:p w:rsidR="00173375" w:rsidRPr="00515061" w:rsidRDefault="00173375" w:rsidP="00511B9B">
      <w:pPr>
        <w:tabs>
          <w:tab w:val="right" w:pos="9072"/>
        </w:tabs>
        <w:spacing w:after="0" w:line="240" w:lineRule="auto"/>
        <w:rPr>
          <w:rFonts w:ascii="Times New Roman" w:hAnsi="Times New Roman" w:cs="Times New Roman"/>
          <w:sz w:val="24"/>
          <w:szCs w:val="24"/>
        </w:rPr>
      </w:pPr>
    </w:p>
    <w:p w:rsidR="00105EDF" w:rsidRPr="00515061" w:rsidRDefault="00173375"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Items 4</w:t>
      </w:r>
      <w:r w:rsidR="00FC3E51">
        <w:rPr>
          <w:rFonts w:ascii="Times New Roman" w:hAnsi="Times New Roman" w:cs="Times New Roman"/>
          <w:b/>
          <w:sz w:val="24"/>
          <w:szCs w:val="24"/>
        </w:rPr>
        <w:t>2</w:t>
      </w:r>
      <w:r w:rsidRPr="00515061">
        <w:rPr>
          <w:rFonts w:ascii="Times New Roman" w:hAnsi="Times New Roman" w:cs="Times New Roman"/>
          <w:b/>
          <w:sz w:val="24"/>
          <w:szCs w:val="24"/>
        </w:rPr>
        <w:t xml:space="preserve"> and 4</w:t>
      </w:r>
      <w:r w:rsidR="00FC3E51">
        <w:rPr>
          <w:rFonts w:ascii="Times New Roman" w:hAnsi="Times New Roman" w:cs="Times New Roman"/>
          <w:b/>
          <w:sz w:val="24"/>
          <w:szCs w:val="24"/>
        </w:rPr>
        <w:t>3</w:t>
      </w:r>
      <w:r w:rsidRPr="00515061">
        <w:rPr>
          <w:rFonts w:ascii="Times New Roman" w:hAnsi="Times New Roman" w:cs="Times New Roman"/>
          <w:sz w:val="24"/>
          <w:szCs w:val="24"/>
        </w:rPr>
        <w:t xml:space="preserve"> are also consequential amendments due to the new method for determining compliance with groundwater, by adding a reference to the new definition of annual permitted take for groundwater in subsection 6.12B(1) (see </w:t>
      </w:r>
      <w:r w:rsidRPr="00515061">
        <w:rPr>
          <w:rFonts w:ascii="Times New Roman" w:hAnsi="Times New Roman" w:cs="Times New Roman"/>
          <w:b/>
          <w:sz w:val="24"/>
          <w:szCs w:val="24"/>
        </w:rPr>
        <w:t>item 4</w:t>
      </w:r>
      <w:r w:rsidR="00FC3E51">
        <w:rPr>
          <w:rFonts w:ascii="Times New Roman" w:hAnsi="Times New Roman" w:cs="Times New Roman"/>
          <w:b/>
          <w:sz w:val="24"/>
          <w:szCs w:val="24"/>
        </w:rPr>
        <w:t>2</w:t>
      </w:r>
      <w:r w:rsidRPr="00515061">
        <w:rPr>
          <w:rFonts w:ascii="Times New Roman" w:hAnsi="Times New Roman" w:cs="Times New Roman"/>
          <w:sz w:val="24"/>
          <w:szCs w:val="24"/>
        </w:rPr>
        <w:t xml:space="preserve">) and the new definition of annual actual take in subsection 6.12B(2) (see </w:t>
      </w:r>
      <w:r w:rsidRPr="00515061">
        <w:rPr>
          <w:rFonts w:ascii="Times New Roman" w:hAnsi="Times New Roman" w:cs="Times New Roman"/>
          <w:b/>
          <w:sz w:val="24"/>
          <w:szCs w:val="24"/>
        </w:rPr>
        <w:t>item 4</w:t>
      </w:r>
      <w:r w:rsidR="00FC3E51">
        <w:rPr>
          <w:rFonts w:ascii="Times New Roman" w:hAnsi="Times New Roman" w:cs="Times New Roman"/>
          <w:b/>
          <w:sz w:val="24"/>
          <w:szCs w:val="24"/>
        </w:rPr>
        <w:t>3</w:t>
      </w:r>
      <w:r w:rsidRPr="00515061">
        <w:rPr>
          <w:rFonts w:ascii="Times New Roman" w:hAnsi="Times New Roman" w:cs="Times New Roman"/>
          <w:sz w:val="24"/>
          <w:szCs w:val="24"/>
        </w:rPr>
        <w:t>).</w:t>
      </w:r>
    </w:p>
    <w:p w:rsidR="00105EDF" w:rsidRPr="00515061" w:rsidRDefault="00105EDF"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Forgiveness due to the Commonwealth failing to reach its water recovery target for a groundwater SDL resource unit (</w:t>
      </w:r>
      <w:r w:rsidRPr="00515061">
        <w:rPr>
          <w:rFonts w:ascii="Times New Roman" w:hAnsi="Times New Roman" w:cs="Times New Roman"/>
          <w:b/>
          <w:sz w:val="24"/>
          <w:szCs w:val="24"/>
          <w:u w:val="single"/>
        </w:rPr>
        <w:t>item 31</w:t>
      </w:r>
      <w:r w:rsidRPr="00515061">
        <w:rPr>
          <w:rFonts w:ascii="Times New Roman" w:hAnsi="Times New Roman" w:cs="Times New Roman"/>
          <w:sz w:val="24"/>
          <w:szCs w:val="24"/>
          <w:u w:val="single"/>
        </w:rPr>
        <w:t>)</w:t>
      </w:r>
    </w:p>
    <w:p w:rsidR="00253AB7" w:rsidRPr="00515061" w:rsidRDefault="00253AB7"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includes a provision in the compliance method for groundwater in line with a similar provision that </w:t>
      </w:r>
      <w:r w:rsidR="000A3383" w:rsidRPr="00515061">
        <w:rPr>
          <w:rFonts w:ascii="Times New Roman" w:hAnsi="Times New Roman" w:cs="Times New Roman"/>
          <w:sz w:val="24"/>
          <w:szCs w:val="24"/>
        </w:rPr>
        <w:t>has been</w:t>
      </w:r>
      <w:r w:rsidRPr="00515061">
        <w:rPr>
          <w:rFonts w:ascii="Times New Roman" w:hAnsi="Times New Roman" w:cs="Times New Roman"/>
          <w:sz w:val="24"/>
          <w:szCs w:val="24"/>
        </w:rPr>
        <w:t xml:space="preserve"> introduced for </w:t>
      </w:r>
      <w:r w:rsidR="000A3383" w:rsidRPr="00515061">
        <w:rPr>
          <w:rFonts w:ascii="Times New Roman" w:hAnsi="Times New Roman" w:cs="Times New Roman"/>
          <w:sz w:val="24"/>
          <w:szCs w:val="24"/>
        </w:rPr>
        <w:t xml:space="preserve">the </w:t>
      </w:r>
      <w:r w:rsidRPr="00515061">
        <w:rPr>
          <w:rFonts w:ascii="Times New Roman" w:hAnsi="Times New Roman" w:cs="Times New Roman"/>
          <w:sz w:val="24"/>
          <w:szCs w:val="24"/>
        </w:rPr>
        <w:t xml:space="preserve">surface water </w:t>
      </w:r>
      <w:r w:rsidR="000A3383" w:rsidRPr="00515061">
        <w:rPr>
          <w:rFonts w:ascii="Times New Roman" w:hAnsi="Times New Roman" w:cs="Times New Roman"/>
          <w:sz w:val="24"/>
          <w:szCs w:val="24"/>
        </w:rPr>
        <w:t xml:space="preserve">compliance method </w:t>
      </w:r>
      <w:r w:rsidRPr="00515061">
        <w:rPr>
          <w:rFonts w:ascii="Times New Roman" w:hAnsi="Times New Roman" w:cs="Times New Roman"/>
          <w:sz w:val="24"/>
          <w:szCs w:val="24"/>
        </w:rPr>
        <w:t xml:space="preserve">(refer to subsection 6.11(5) of the Basin Plan, </w:t>
      </w:r>
      <w:r w:rsidRPr="00515061">
        <w:rPr>
          <w:rFonts w:ascii="Times New Roman" w:hAnsi="Times New Roman" w:cs="Times New Roman"/>
          <w:b/>
          <w:sz w:val="24"/>
          <w:szCs w:val="24"/>
        </w:rPr>
        <w:t>item 25</w:t>
      </w:r>
      <w:r w:rsidRPr="00515061">
        <w:rPr>
          <w:rFonts w:ascii="Times New Roman" w:hAnsi="Times New Roman" w:cs="Times New Roman"/>
          <w:sz w:val="24"/>
          <w:szCs w:val="24"/>
        </w:rPr>
        <w:t xml:space="preserve"> of the Amendment Instrument – </w:t>
      </w:r>
      <w:r w:rsidR="00AB5AD2" w:rsidRPr="00515061">
        <w:rPr>
          <w:rFonts w:ascii="Times New Roman" w:hAnsi="Times New Roman" w:cs="Times New Roman"/>
          <w:sz w:val="24"/>
          <w:szCs w:val="24"/>
        </w:rPr>
        <w:t xml:space="preserve">as </w:t>
      </w:r>
      <w:r w:rsidRPr="00515061">
        <w:rPr>
          <w:rFonts w:ascii="Times New Roman" w:hAnsi="Times New Roman" w:cs="Times New Roman"/>
          <w:sz w:val="24"/>
          <w:szCs w:val="24"/>
        </w:rPr>
        <w:t xml:space="preserve">discussed </w:t>
      </w:r>
      <w:r w:rsidR="00E67E4F" w:rsidRPr="00515061">
        <w:rPr>
          <w:rFonts w:ascii="Times New Roman" w:hAnsi="Times New Roman" w:cs="Times New Roman"/>
          <w:sz w:val="24"/>
          <w:szCs w:val="24"/>
        </w:rPr>
        <w:t xml:space="preserve">below </w:t>
      </w:r>
      <w:r w:rsidRPr="00515061">
        <w:rPr>
          <w:rFonts w:ascii="Times New Roman" w:hAnsi="Times New Roman" w:cs="Times New Roman"/>
          <w:sz w:val="24"/>
          <w:szCs w:val="24"/>
        </w:rPr>
        <w:t xml:space="preserve">at </w:t>
      </w:r>
      <w:r w:rsidRPr="00515061">
        <w:rPr>
          <w:rFonts w:ascii="Times New Roman" w:hAnsi="Times New Roman" w:cs="Times New Roman"/>
          <w:i/>
          <w:sz w:val="24"/>
          <w:szCs w:val="24"/>
        </w:rPr>
        <w:t>4(b)</w:t>
      </w:r>
      <w:r w:rsidR="00E67E4F" w:rsidRPr="00515061">
        <w:rPr>
          <w:rFonts w:ascii="Times New Roman" w:hAnsi="Times New Roman" w:cs="Times New Roman"/>
          <w:i/>
          <w:sz w:val="24"/>
          <w:szCs w:val="24"/>
        </w:rPr>
        <w:t xml:space="preserve"> Compliance with SDLs for surface water</w:t>
      </w:r>
      <w:r w:rsidR="0068172E" w:rsidRPr="00515061">
        <w:rPr>
          <w:rFonts w:ascii="Times New Roman" w:hAnsi="Times New Roman" w:cs="Times New Roman"/>
          <w:i/>
          <w:sz w:val="24"/>
          <w:szCs w:val="24"/>
        </w:rPr>
        <w:t xml:space="preserve"> </w:t>
      </w:r>
      <w:r w:rsidR="0068172E" w:rsidRPr="00515061">
        <w:rPr>
          <w:rFonts w:ascii="Times New Roman" w:hAnsi="Times New Roman" w:cs="Times New Roman"/>
          <w:sz w:val="24"/>
          <w:szCs w:val="24"/>
        </w:rPr>
        <w:t>of this explanatory statement</w:t>
      </w:r>
      <w:r w:rsidRPr="00515061">
        <w:rPr>
          <w:rFonts w:ascii="Times New Roman" w:hAnsi="Times New Roman" w:cs="Times New Roman"/>
          <w:sz w:val="24"/>
          <w:szCs w:val="24"/>
        </w:rPr>
        <w:t xml:space="preserve">). In general terms, </w:t>
      </w:r>
      <w:r w:rsidR="00EF25DD" w:rsidRPr="00515061">
        <w:rPr>
          <w:rFonts w:ascii="Times New Roman" w:hAnsi="Times New Roman" w:cs="Times New Roman"/>
          <w:sz w:val="24"/>
          <w:szCs w:val="24"/>
        </w:rPr>
        <w:t>this provision</w:t>
      </w:r>
      <w:r w:rsidRPr="00515061">
        <w:rPr>
          <w:rFonts w:ascii="Times New Roman" w:hAnsi="Times New Roman" w:cs="Times New Roman"/>
          <w:sz w:val="24"/>
          <w:szCs w:val="24"/>
        </w:rPr>
        <w:t xml:space="preserve"> </w:t>
      </w:r>
      <w:r w:rsidR="00DB753C" w:rsidRPr="00515061">
        <w:rPr>
          <w:rFonts w:ascii="Times New Roman" w:hAnsi="Times New Roman" w:cs="Times New Roman"/>
          <w:sz w:val="24"/>
          <w:szCs w:val="24"/>
        </w:rPr>
        <w:t xml:space="preserve">enables </w:t>
      </w:r>
      <w:r w:rsidRPr="00515061">
        <w:rPr>
          <w:rFonts w:ascii="Times New Roman" w:hAnsi="Times New Roman" w:cs="Times New Roman"/>
          <w:sz w:val="24"/>
          <w:szCs w:val="24"/>
        </w:rPr>
        <w:t xml:space="preserve">the removal of any debits </w:t>
      </w:r>
      <w:r w:rsidR="00EF25DD" w:rsidRPr="00515061">
        <w:rPr>
          <w:rFonts w:ascii="Times New Roman" w:hAnsi="Times New Roman" w:cs="Times New Roman"/>
          <w:sz w:val="24"/>
          <w:szCs w:val="24"/>
        </w:rPr>
        <w:t>from the register of take</w:t>
      </w:r>
      <w:r w:rsidR="000E12C4" w:rsidRPr="00515061">
        <w:rPr>
          <w:rFonts w:ascii="Times New Roman" w:hAnsi="Times New Roman" w:cs="Times New Roman"/>
          <w:sz w:val="24"/>
          <w:szCs w:val="24"/>
        </w:rPr>
        <w:t>,</w:t>
      </w:r>
      <w:r w:rsidR="00EF25DD" w:rsidRPr="00515061">
        <w:rPr>
          <w:rFonts w:ascii="Times New Roman" w:hAnsi="Times New Roman" w:cs="Times New Roman"/>
          <w:sz w:val="24"/>
          <w:szCs w:val="24"/>
        </w:rPr>
        <w:t xml:space="preserve"> where the debits are </w:t>
      </w:r>
      <w:r w:rsidRPr="00515061">
        <w:rPr>
          <w:rFonts w:ascii="Times New Roman" w:hAnsi="Times New Roman" w:cs="Times New Roman"/>
          <w:sz w:val="24"/>
          <w:szCs w:val="24"/>
        </w:rPr>
        <w:t xml:space="preserve">associated with the </w:t>
      </w:r>
      <w:r w:rsidR="000A3383" w:rsidRPr="00515061">
        <w:rPr>
          <w:rFonts w:ascii="Times New Roman" w:hAnsi="Times New Roman" w:cs="Times New Roman"/>
          <w:sz w:val="24"/>
          <w:szCs w:val="24"/>
        </w:rPr>
        <w:t xml:space="preserve">particular circumstance of the </w:t>
      </w:r>
      <w:r w:rsidRPr="00515061">
        <w:rPr>
          <w:rFonts w:ascii="Times New Roman" w:hAnsi="Times New Roman" w:cs="Times New Roman"/>
          <w:sz w:val="24"/>
          <w:szCs w:val="24"/>
        </w:rPr>
        <w:t xml:space="preserve">Commonwealth failing to reach its water recovery target for a groundwater SDL resource unit after 30 June 2019 (see </w:t>
      </w: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in particular paragraph 6.12C(1)(a) – water accounting periods up to 2028, and </w:t>
      </w:r>
      <w:r w:rsidR="0073191A" w:rsidRPr="00515061">
        <w:rPr>
          <w:rFonts w:ascii="Times New Roman" w:hAnsi="Times New Roman" w:cs="Times New Roman"/>
          <w:sz w:val="24"/>
          <w:szCs w:val="24"/>
        </w:rPr>
        <w:t xml:space="preserve">paragraph </w:t>
      </w:r>
      <w:r w:rsidRPr="00515061">
        <w:rPr>
          <w:rFonts w:ascii="Times New Roman" w:hAnsi="Times New Roman" w:cs="Times New Roman"/>
          <w:sz w:val="24"/>
          <w:szCs w:val="24"/>
        </w:rPr>
        <w:t xml:space="preserve">6.12C(2)(a) – water accounting periods after 2028).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of the Amendment Instrument (paragraphs 6.12C(1)(a) and 6.12C(2)(a)) enables an adjustment of the cumulative balance on the register of take for a groundwater SDL resource unit for the annual removal of any debits incurred in the previous water accounting period, but only if the debit occurred due to the </w:t>
      </w:r>
      <w:r w:rsidR="000A3383" w:rsidRPr="00515061">
        <w:rPr>
          <w:rFonts w:ascii="Times New Roman" w:hAnsi="Times New Roman" w:cs="Times New Roman"/>
          <w:sz w:val="24"/>
          <w:szCs w:val="24"/>
        </w:rPr>
        <w:t xml:space="preserve">particular </w:t>
      </w:r>
      <w:r w:rsidRPr="00515061">
        <w:rPr>
          <w:rFonts w:ascii="Times New Roman" w:hAnsi="Times New Roman" w:cs="Times New Roman"/>
          <w:sz w:val="24"/>
          <w:szCs w:val="24"/>
        </w:rPr>
        <w:t>circumstance where the Commonwealth has not achieved the water recovery target it has set for itself in relation to the SDL resource unit (that is, the example in paragraph 6.12C(4)(b) applied). The debit must have been attributable to this particular circumstance occurring and it must also be b</w:t>
      </w:r>
      <w:r w:rsidR="00EF25DD" w:rsidRPr="00515061">
        <w:rPr>
          <w:rFonts w:ascii="Times New Roman" w:hAnsi="Times New Roman" w:cs="Times New Roman"/>
          <w:sz w:val="24"/>
          <w:szCs w:val="24"/>
        </w:rPr>
        <w:t>eyond the Basin State’s control.</w:t>
      </w:r>
      <w:r w:rsidRPr="00515061">
        <w:rPr>
          <w:rFonts w:ascii="Times New Roman" w:hAnsi="Times New Roman" w:cs="Times New Roman"/>
          <w:sz w:val="24"/>
          <w:szCs w:val="24"/>
        </w:rPr>
        <w:t xml:space="preserve"> </w:t>
      </w:r>
      <w:r w:rsidR="00EF25DD" w:rsidRPr="00515061">
        <w:rPr>
          <w:rFonts w:ascii="Times New Roman" w:hAnsi="Times New Roman" w:cs="Times New Roman"/>
          <w:sz w:val="24"/>
          <w:szCs w:val="24"/>
        </w:rPr>
        <w:t>This means</w:t>
      </w:r>
      <w:r w:rsidRPr="00515061">
        <w:rPr>
          <w:rFonts w:ascii="Times New Roman" w:hAnsi="Times New Roman" w:cs="Times New Roman"/>
          <w:sz w:val="24"/>
          <w:szCs w:val="24"/>
        </w:rPr>
        <w:t xml:space="preserve"> if the state hindered the Commonwealth’s water recovery efforts </w:t>
      </w:r>
      <w:r w:rsidR="001F57B9" w:rsidRPr="00515061">
        <w:rPr>
          <w:rFonts w:ascii="Times New Roman" w:hAnsi="Times New Roman" w:cs="Times New Roman"/>
          <w:sz w:val="24"/>
          <w:szCs w:val="24"/>
        </w:rPr>
        <w:t>or if a s</w:t>
      </w:r>
      <w:r w:rsidR="00732CD8" w:rsidRPr="00515061">
        <w:rPr>
          <w:rFonts w:ascii="Times New Roman" w:hAnsi="Times New Roman" w:cs="Times New Roman"/>
          <w:sz w:val="24"/>
          <w:szCs w:val="24"/>
        </w:rPr>
        <w:t xml:space="preserve">tate commits to recover water and it fails to meet this commitment, </w:t>
      </w:r>
      <w:r w:rsidRPr="00515061">
        <w:rPr>
          <w:rFonts w:ascii="Times New Roman" w:hAnsi="Times New Roman" w:cs="Times New Roman"/>
          <w:sz w:val="24"/>
          <w:szCs w:val="24"/>
        </w:rPr>
        <w:t>then</w:t>
      </w:r>
      <w:r w:rsidR="00EF25DD" w:rsidRPr="00515061">
        <w:rPr>
          <w:rFonts w:ascii="Times New Roman" w:hAnsi="Times New Roman" w:cs="Times New Roman"/>
          <w:sz w:val="24"/>
          <w:szCs w:val="24"/>
        </w:rPr>
        <w:t xml:space="preserve"> this circumstance would not apply, and</w:t>
      </w:r>
      <w:r w:rsidRPr="00515061">
        <w:rPr>
          <w:rFonts w:ascii="Times New Roman" w:hAnsi="Times New Roman" w:cs="Times New Roman"/>
          <w:sz w:val="24"/>
          <w:szCs w:val="24"/>
        </w:rPr>
        <w:t xml:space="preserve"> </w:t>
      </w:r>
      <w:r w:rsidR="006B5179" w:rsidRPr="00515061">
        <w:rPr>
          <w:rFonts w:ascii="Times New Roman" w:hAnsi="Times New Roman" w:cs="Times New Roman"/>
          <w:sz w:val="24"/>
          <w:szCs w:val="24"/>
        </w:rPr>
        <w:t>an adjustment</w:t>
      </w:r>
      <w:r w:rsidRPr="00515061">
        <w:rPr>
          <w:rFonts w:ascii="Times New Roman" w:hAnsi="Times New Roman" w:cs="Times New Roman"/>
          <w:sz w:val="24"/>
          <w:szCs w:val="24"/>
        </w:rPr>
        <w:t xml:space="preserve"> </w:t>
      </w:r>
      <w:r w:rsidR="00EF25DD" w:rsidRPr="00515061">
        <w:rPr>
          <w:rFonts w:ascii="Times New Roman" w:hAnsi="Times New Roman" w:cs="Times New Roman"/>
          <w:sz w:val="24"/>
          <w:szCs w:val="24"/>
        </w:rPr>
        <w:t xml:space="preserve">to the register of take </w:t>
      </w:r>
      <w:r w:rsidRPr="00515061">
        <w:rPr>
          <w:rFonts w:ascii="Times New Roman" w:hAnsi="Times New Roman" w:cs="Times New Roman"/>
          <w:sz w:val="24"/>
          <w:szCs w:val="24"/>
        </w:rPr>
        <w:t xml:space="preserve">would not </w:t>
      </w:r>
      <w:r w:rsidR="006B5179" w:rsidRPr="00515061">
        <w:rPr>
          <w:rFonts w:ascii="Times New Roman" w:hAnsi="Times New Roman" w:cs="Times New Roman"/>
          <w:sz w:val="24"/>
          <w:szCs w:val="24"/>
        </w:rPr>
        <w:t>be made</w:t>
      </w:r>
      <w:r w:rsidRPr="00515061">
        <w:rPr>
          <w:rFonts w:ascii="Times New Roman" w:hAnsi="Times New Roman" w:cs="Times New Roman"/>
          <w:sz w:val="24"/>
          <w:szCs w:val="24"/>
        </w:rPr>
        <w:t>. This example refers to the Australian Government’s commitment to ‘bridge the gap’ to</w:t>
      </w:r>
      <w:r w:rsidR="00BF0B80" w:rsidRPr="00515061">
        <w:rPr>
          <w:rFonts w:ascii="Times New Roman" w:hAnsi="Times New Roman" w:cs="Times New Roman"/>
          <w:sz w:val="24"/>
          <w:szCs w:val="24"/>
        </w:rPr>
        <w:t xml:space="preserve"> the SDLs under the Basin Plan.</w:t>
      </w:r>
    </w:p>
    <w:p w:rsidR="00A63F09" w:rsidRPr="00515061" w:rsidRDefault="00A63F09" w:rsidP="00511B9B">
      <w:pPr>
        <w:spacing w:after="0"/>
        <w:rPr>
          <w:rFonts w:ascii="Times New Roman" w:hAnsi="Times New Roman" w:cs="Times New Roman"/>
          <w:b/>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 xml:space="preserve">Providing separate requirements for groundwater water quality management plans (items </w:t>
      </w:r>
      <w:r w:rsidR="00F946EC" w:rsidRPr="00515061">
        <w:rPr>
          <w:rFonts w:ascii="Times New Roman" w:hAnsi="Times New Roman" w:cs="Times New Roman"/>
          <w:b/>
          <w:sz w:val="24"/>
          <w:szCs w:val="24"/>
        </w:rPr>
        <w:t>3</w:t>
      </w:r>
      <w:r w:rsidR="00FC3E51">
        <w:rPr>
          <w:rFonts w:ascii="Times New Roman" w:hAnsi="Times New Roman" w:cs="Times New Roman"/>
          <w:b/>
          <w:sz w:val="24"/>
          <w:szCs w:val="24"/>
        </w:rPr>
        <w:t>9</w:t>
      </w:r>
      <w:r w:rsidR="00F946EC" w:rsidRPr="00515061">
        <w:rPr>
          <w:rFonts w:ascii="Times New Roman" w:hAnsi="Times New Roman" w:cs="Times New Roman"/>
          <w:b/>
          <w:sz w:val="24"/>
          <w:szCs w:val="24"/>
        </w:rPr>
        <w:t xml:space="preserve">, </w:t>
      </w:r>
      <w:r w:rsidRPr="00515061">
        <w:rPr>
          <w:rFonts w:ascii="Times New Roman" w:hAnsi="Times New Roman" w:cs="Times New Roman"/>
          <w:b/>
          <w:sz w:val="24"/>
          <w:szCs w:val="24"/>
        </w:rPr>
        <w:t>4</w:t>
      </w:r>
      <w:r w:rsidR="00FC3E51">
        <w:rPr>
          <w:rFonts w:ascii="Times New Roman" w:hAnsi="Times New Roman" w:cs="Times New Roman"/>
          <w:b/>
          <w:sz w:val="24"/>
          <w:szCs w:val="24"/>
        </w:rPr>
        <w:t>6</w:t>
      </w:r>
      <w:r w:rsidRPr="00515061">
        <w:rPr>
          <w:rFonts w:ascii="Times New Roman" w:hAnsi="Times New Roman" w:cs="Times New Roman"/>
          <w:b/>
          <w:sz w:val="24"/>
          <w:szCs w:val="24"/>
        </w:rPr>
        <w:t>, 4</w:t>
      </w:r>
      <w:r w:rsidR="00FC3E51">
        <w:rPr>
          <w:rFonts w:ascii="Times New Roman" w:hAnsi="Times New Roman" w:cs="Times New Roman"/>
          <w:b/>
          <w:sz w:val="24"/>
          <w:szCs w:val="24"/>
        </w:rPr>
        <w:t>7</w:t>
      </w:r>
      <w:r w:rsidRPr="00515061">
        <w:rPr>
          <w:rFonts w:ascii="Times New Roman" w:hAnsi="Times New Roman" w:cs="Times New Roman"/>
          <w:b/>
          <w:sz w:val="24"/>
          <w:szCs w:val="24"/>
        </w:rPr>
        <w:t>, 4</w:t>
      </w:r>
      <w:r w:rsidR="00FC3E51">
        <w:rPr>
          <w:rFonts w:ascii="Times New Roman" w:hAnsi="Times New Roman" w:cs="Times New Roman"/>
          <w:b/>
          <w:sz w:val="24"/>
          <w:szCs w:val="24"/>
        </w:rPr>
        <w:t>8</w:t>
      </w:r>
      <w:r w:rsidRPr="00515061">
        <w:rPr>
          <w:rFonts w:ascii="Times New Roman" w:hAnsi="Times New Roman" w:cs="Times New Roman"/>
          <w:b/>
          <w:sz w:val="24"/>
          <w:szCs w:val="24"/>
        </w:rPr>
        <w:t xml:space="preserve"> and 4</w:t>
      </w:r>
      <w:r w:rsidR="00FC3E51">
        <w:rPr>
          <w:rFonts w:ascii="Times New Roman" w:hAnsi="Times New Roman" w:cs="Times New Roman"/>
          <w:b/>
          <w:sz w:val="24"/>
          <w:szCs w:val="24"/>
        </w:rPr>
        <w:t>9</w:t>
      </w:r>
      <w:r w:rsidRPr="00515061">
        <w:rPr>
          <w:rFonts w:ascii="Times New Roman" w:hAnsi="Times New Roman" w:cs="Times New Roman"/>
          <w:b/>
          <w:sz w:val="24"/>
          <w:szCs w:val="24"/>
        </w:rPr>
        <w:t>)</w:t>
      </w:r>
    </w:p>
    <w:p w:rsidR="00934839" w:rsidRPr="00515061" w:rsidRDefault="00934839" w:rsidP="00511B9B">
      <w:pPr>
        <w:tabs>
          <w:tab w:val="right" w:pos="9072"/>
        </w:tabs>
        <w:spacing w:after="0" w:line="240" w:lineRule="auto"/>
        <w:rPr>
          <w:rFonts w:ascii="Times New Roman" w:hAnsi="Times New Roman" w:cs="Times New Roman"/>
          <w:b/>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Part 7 of Chapter 10 of the Basin Plan details the requirements for water quality management plans. </w:t>
      </w:r>
      <w:r w:rsidR="005E2716" w:rsidRPr="00515061">
        <w:rPr>
          <w:rFonts w:ascii="Times New Roman" w:hAnsi="Times New Roman" w:cs="Times New Roman"/>
          <w:sz w:val="24"/>
          <w:szCs w:val="24"/>
        </w:rPr>
        <w:t>Prior to the amendments, t</w:t>
      </w:r>
      <w:r w:rsidRPr="00515061">
        <w:rPr>
          <w:rFonts w:ascii="Times New Roman" w:hAnsi="Times New Roman" w:cs="Times New Roman"/>
          <w:sz w:val="24"/>
          <w:szCs w:val="24"/>
        </w:rPr>
        <w:t>he Basin Plan had the same requirements for water quality management plans for both surface water and groundwater WRP areas</w:t>
      </w:r>
      <w:r w:rsidR="00BF0B80" w:rsidRPr="00515061">
        <w:rPr>
          <w:rFonts w:ascii="Times New Roman" w:hAnsi="Times New Roman" w:cs="Times New Roman"/>
          <w:sz w:val="24"/>
          <w:szCs w:val="24"/>
        </w:rPr>
        <w:t>, with additional requirements for groundwater under the previous section 10.21</w:t>
      </w:r>
      <w:r w:rsidRPr="00515061">
        <w:rPr>
          <w:rFonts w:ascii="Times New Roman" w:hAnsi="Times New Roman" w:cs="Times New Roman"/>
          <w:sz w:val="24"/>
          <w:szCs w:val="24"/>
        </w:rPr>
        <w:t>. The Amendment Instrument introduces separate requirements for water quality management plans for groundwater WRPs.</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w:t>
      </w:r>
      <w:r w:rsidR="00FC3E51">
        <w:rPr>
          <w:rFonts w:ascii="Times New Roman" w:hAnsi="Times New Roman" w:cs="Times New Roman"/>
          <w:b/>
          <w:sz w:val="24"/>
          <w:szCs w:val="24"/>
        </w:rPr>
        <w:t>7</w:t>
      </w:r>
      <w:r w:rsidRPr="00515061">
        <w:rPr>
          <w:rFonts w:ascii="Times New Roman" w:hAnsi="Times New Roman" w:cs="Times New Roman"/>
          <w:sz w:val="24"/>
          <w:szCs w:val="24"/>
        </w:rPr>
        <w:t xml:space="preserve"> deletes and replaces section 10.29</w:t>
      </w:r>
      <w:r w:rsidR="00A63F09" w:rsidRPr="00515061">
        <w:rPr>
          <w:rFonts w:ascii="Times New Roman" w:hAnsi="Times New Roman" w:cs="Times New Roman"/>
          <w:sz w:val="24"/>
          <w:szCs w:val="24"/>
        </w:rPr>
        <w:t>,</w:t>
      </w:r>
      <w:r w:rsidRPr="00515061">
        <w:rPr>
          <w:rFonts w:ascii="Times New Roman" w:hAnsi="Times New Roman" w:cs="Times New Roman"/>
          <w:sz w:val="24"/>
          <w:szCs w:val="24"/>
        </w:rPr>
        <w:t xml:space="preserve"> to detail that Division</w:t>
      </w:r>
      <w:r w:rsidR="00A63F09" w:rsidRPr="00515061">
        <w:rPr>
          <w:rFonts w:ascii="Times New Roman" w:hAnsi="Times New Roman" w:cs="Times New Roman"/>
          <w:sz w:val="24"/>
          <w:szCs w:val="24"/>
        </w:rPr>
        <w:t>s</w:t>
      </w:r>
      <w:r w:rsidRPr="00515061">
        <w:rPr>
          <w:rFonts w:ascii="Times New Roman" w:hAnsi="Times New Roman" w:cs="Times New Roman"/>
          <w:sz w:val="24"/>
          <w:szCs w:val="24"/>
        </w:rPr>
        <w:t xml:space="preserve"> 2 and 3 set out requirements for water quality management plans for surface water WRPs, groundwater WRPs and for WRPs that comprise of both surface water and groundwater SDL resource units. The WRP areas that contain both surface water and groundwater SDL resource units will be required to comply with the water quality management plan requirements under Division 2 for surface water SDL resource units and Division 3 for groundwater SDL resource units.</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w:t>
      </w:r>
      <w:r w:rsidR="00FC3E51">
        <w:rPr>
          <w:rFonts w:ascii="Times New Roman" w:hAnsi="Times New Roman" w:cs="Times New Roman"/>
          <w:b/>
          <w:sz w:val="24"/>
          <w:szCs w:val="24"/>
        </w:rPr>
        <w:t>9</w:t>
      </w:r>
      <w:r w:rsidRPr="00515061">
        <w:rPr>
          <w:rFonts w:ascii="Times New Roman" w:hAnsi="Times New Roman" w:cs="Times New Roman"/>
          <w:sz w:val="24"/>
          <w:szCs w:val="24"/>
        </w:rPr>
        <w:t xml:space="preserve"> inserts a new Division 3 of Part 7 of Chapter 10 for the water quality management plan requirements for groundwater SDL resource units. These new requirements have been tailored for groundwater SDL resource units, rather than using the previous water quality management plan requirements</w:t>
      </w:r>
      <w:r w:rsidR="005247AE"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were drafted in the surface water context. These requirements ensure that the groundwater water quality management plans will provide relevant information of a similar standard to surface water water quality management plans.  This includes the identification of the causes or likely causes of water quality degradation in the WRP area (see section 10.35A), the identification of water quality target values (see section 10.35B), and consideration of whether it is desirable to include rules or measures to support the maintenance of water quality in the groundwater SDL resource unit against effects of elevated levels of salinity and other types of water quality degradation (see section 10.35C). Subsection 10.35C(2) also includes the requirements that were previously detailed in section 10.21 ‘</w:t>
      </w:r>
      <w:r w:rsidRPr="00515061">
        <w:rPr>
          <w:rFonts w:ascii="Times New Roman" w:hAnsi="Times New Roman" w:cs="Times New Roman"/>
          <w:bCs/>
          <w:sz w:val="24"/>
          <w:szCs w:val="24"/>
        </w:rPr>
        <w:t>Environmental outcomes relating to groundwater’</w:t>
      </w:r>
      <w:r w:rsidRPr="00515061">
        <w:rPr>
          <w:rFonts w:ascii="Times New Roman" w:hAnsi="Times New Roman" w:cs="Times New Roman"/>
          <w:sz w:val="24"/>
          <w:szCs w:val="24"/>
        </w:rPr>
        <w:t xml:space="preserve"> of the Basin Plan,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w:t>
      </w:r>
      <w:r w:rsidR="00FC3E51">
        <w:rPr>
          <w:rFonts w:ascii="Times New Roman" w:hAnsi="Times New Roman" w:cs="Times New Roman"/>
          <w:b/>
          <w:sz w:val="24"/>
          <w:szCs w:val="24"/>
        </w:rPr>
        <w:t>9</w:t>
      </w:r>
      <w:r w:rsidRPr="00515061">
        <w:rPr>
          <w:rFonts w:ascii="Times New Roman" w:hAnsi="Times New Roman" w:cs="Times New Roman"/>
          <w:sz w:val="24"/>
          <w:szCs w:val="24"/>
        </w:rPr>
        <w:t xml:space="preserve"> also inserts a new section 10.35D, which provides additional requirements for water quality management plans for the groundwater SDL resource units that were subject to the Groundwater Reviews. This section sets a mandatory requirement for water quality management plans in these groundwater SDL resource units to include rules that ensure objectives are achieved, that is, water quality is maintained against the effects of elevated levels of salinity and other types of water quality degradation. This can be contrasted with the requirements u</w:t>
      </w:r>
      <w:r w:rsidR="00BF0B80" w:rsidRPr="00515061">
        <w:rPr>
          <w:rFonts w:ascii="Times New Roman" w:hAnsi="Times New Roman" w:cs="Times New Roman"/>
          <w:sz w:val="24"/>
          <w:szCs w:val="24"/>
        </w:rPr>
        <w:t>nder section 10.35C which allow</w:t>
      </w:r>
      <w:r w:rsidRPr="00515061">
        <w:rPr>
          <w:rFonts w:ascii="Times New Roman" w:hAnsi="Times New Roman" w:cs="Times New Roman"/>
          <w:sz w:val="24"/>
          <w:szCs w:val="24"/>
        </w:rPr>
        <w:t xml:space="preserve"> a Basin State to determine whether it is desirable to include rules or measures to achieve this objective.</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4</w:t>
      </w:r>
      <w:r w:rsidR="00FC3E51">
        <w:rPr>
          <w:rFonts w:ascii="Times New Roman" w:hAnsi="Times New Roman" w:cs="Times New Roman"/>
          <w:b/>
          <w:sz w:val="24"/>
          <w:szCs w:val="24"/>
        </w:rPr>
        <w:t>6</w:t>
      </w:r>
      <w:r w:rsidRPr="00515061">
        <w:rPr>
          <w:rFonts w:ascii="Times New Roman" w:hAnsi="Times New Roman" w:cs="Times New Roman"/>
          <w:b/>
          <w:sz w:val="24"/>
          <w:szCs w:val="24"/>
        </w:rPr>
        <w:t xml:space="preserve"> and 4</w:t>
      </w:r>
      <w:r w:rsidR="00FC3E51">
        <w:rPr>
          <w:rFonts w:ascii="Times New Roman" w:hAnsi="Times New Roman" w:cs="Times New Roman"/>
          <w:b/>
          <w:sz w:val="24"/>
          <w:szCs w:val="24"/>
        </w:rPr>
        <w:t>8</w:t>
      </w:r>
      <w:r w:rsidRPr="00515061">
        <w:rPr>
          <w:rFonts w:ascii="Times New Roman" w:hAnsi="Times New Roman" w:cs="Times New Roman"/>
          <w:sz w:val="24"/>
          <w:szCs w:val="24"/>
        </w:rPr>
        <w:t xml:space="preserve"> are consequential amendments that insert new headings into Part 7 of Chapter 10, which are required due to the introduction of</w:t>
      </w:r>
      <w:r w:rsidR="00A63F09" w:rsidRPr="00515061">
        <w:rPr>
          <w:rFonts w:ascii="Times New Roman" w:hAnsi="Times New Roman" w:cs="Times New Roman"/>
          <w:sz w:val="24"/>
          <w:szCs w:val="24"/>
        </w:rPr>
        <w:t xml:space="preserve"> the</w:t>
      </w:r>
      <w:r w:rsidRPr="00515061">
        <w:rPr>
          <w:rFonts w:ascii="Times New Roman" w:hAnsi="Times New Roman" w:cs="Times New Roman"/>
          <w:sz w:val="24"/>
          <w:szCs w:val="24"/>
        </w:rPr>
        <w:t xml:space="preserve"> new Division 1 – Requirement for water quality management plan (</w:t>
      </w:r>
      <w:r w:rsidRPr="00515061">
        <w:rPr>
          <w:rFonts w:ascii="Times New Roman" w:hAnsi="Times New Roman" w:cs="Times New Roman"/>
          <w:b/>
          <w:sz w:val="24"/>
          <w:szCs w:val="24"/>
        </w:rPr>
        <w:t>item 4</w:t>
      </w:r>
      <w:r w:rsidR="00FC3E51">
        <w:rPr>
          <w:rFonts w:ascii="Times New Roman" w:hAnsi="Times New Roman" w:cs="Times New Roman"/>
          <w:b/>
          <w:sz w:val="24"/>
          <w:szCs w:val="24"/>
        </w:rPr>
        <w:t>6</w:t>
      </w:r>
      <w:r w:rsidRPr="00515061">
        <w:rPr>
          <w:rFonts w:ascii="Times New Roman" w:hAnsi="Times New Roman" w:cs="Times New Roman"/>
          <w:sz w:val="24"/>
          <w:szCs w:val="24"/>
        </w:rPr>
        <w:t xml:space="preserve">), and </w:t>
      </w:r>
      <w:r w:rsidR="00A63F09" w:rsidRPr="00515061">
        <w:rPr>
          <w:rFonts w:ascii="Times New Roman" w:hAnsi="Times New Roman" w:cs="Times New Roman"/>
          <w:sz w:val="24"/>
          <w:szCs w:val="24"/>
        </w:rPr>
        <w:t xml:space="preserve">the </w:t>
      </w:r>
      <w:r w:rsidRPr="00515061">
        <w:rPr>
          <w:rFonts w:ascii="Times New Roman" w:hAnsi="Times New Roman" w:cs="Times New Roman"/>
          <w:sz w:val="24"/>
          <w:szCs w:val="24"/>
        </w:rPr>
        <w:t>new Division 2 – Surface water (</w:t>
      </w:r>
      <w:r w:rsidRPr="00515061">
        <w:rPr>
          <w:rFonts w:ascii="Times New Roman" w:hAnsi="Times New Roman" w:cs="Times New Roman"/>
          <w:b/>
          <w:sz w:val="24"/>
          <w:szCs w:val="24"/>
        </w:rPr>
        <w:t>item 4</w:t>
      </w:r>
      <w:r w:rsidR="00FC3E51">
        <w:rPr>
          <w:rFonts w:ascii="Times New Roman" w:hAnsi="Times New Roman" w:cs="Times New Roman"/>
          <w:b/>
          <w:sz w:val="24"/>
          <w:szCs w:val="24"/>
        </w:rPr>
        <w:t>8</w:t>
      </w:r>
      <w:r w:rsidRPr="00515061">
        <w:rPr>
          <w:rFonts w:ascii="Times New Roman" w:hAnsi="Times New Roman" w:cs="Times New Roman"/>
          <w:sz w:val="24"/>
          <w:szCs w:val="24"/>
        </w:rPr>
        <w:t>).</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b/>
          <w:sz w:val="24"/>
          <w:szCs w:val="24"/>
        </w:rPr>
      </w:pPr>
    </w:p>
    <w:p w:rsidR="00253AB7" w:rsidRPr="00515061" w:rsidRDefault="00FD400B"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3</w:t>
      </w:r>
      <w:r w:rsidR="00FC3E51">
        <w:rPr>
          <w:rFonts w:ascii="Times New Roman" w:hAnsi="Times New Roman" w:cs="Times New Roman"/>
          <w:b/>
          <w:sz w:val="24"/>
          <w:szCs w:val="24"/>
        </w:rPr>
        <w:t>9</w:t>
      </w:r>
      <w:r w:rsidRPr="00515061">
        <w:rPr>
          <w:rFonts w:ascii="Times New Roman" w:hAnsi="Times New Roman" w:cs="Times New Roman"/>
          <w:sz w:val="24"/>
          <w:szCs w:val="24"/>
        </w:rPr>
        <w:t xml:space="preserve"> is another consequential amendment to clarify that the water quality objective for irrigation water in section 9.06 applies to surface water </w:t>
      </w:r>
      <w:r w:rsidR="00BF0B80" w:rsidRPr="00515061">
        <w:rPr>
          <w:rFonts w:ascii="Times New Roman" w:hAnsi="Times New Roman" w:cs="Times New Roman"/>
          <w:sz w:val="24"/>
          <w:szCs w:val="24"/>
        </w:rPr>
        <w:t>and</w:t>
      </w:r>
      <w:r w:rsidRPr="00515061">
        <w:rPr>
          <w:rFonts w:ascii="Times New Roman" w:hAnsi="Times New Roman" w:cs="Times New Roman"/>
          <w:sz w:val="24"/>
          <w:szCs w:val="24"/>
        </w:rPr>
        <w:t xml:space="preserve"> groundwater, as these water quality objectives are referred to in the amendments relating to groundwater water quality management plans, in subsection 10.35B(3) (see </w:t>
      </w:r>
      <w:r w:rsidRPr="00515061">
        <w:rPr>
          <w:rFonts w:ascii="Times New Roman" w:hAnsi="Times New Roman" w:cs="Times New Roman"/>
          <w:b/>
          <w:sz w:val="24"/>
          <w:szCs w:val="24"/>
        </w:rPr>
        <w:t>item 4</w:t>
      </w:r>
      <w:r w:rsidR="00FC3E51">
        <w:rPr>
          <w:rFonts w:ascii="Times New Roman" w:hAnsi="Times New Roman" w:cs="Times New Roman"/>
          <w:b/>
          <w:sz w:val="24"/>
          <w:szCs w:val="24"/>
        </w:rPr>
        <w:t>9</w:t>
      </w:r>
      <w:r w:rsidR="00E67E4F" w:rsidRPr="00515061">
        <w:rPr>
          <w:rFonts w:ascii="Times New Roman" w:hAnsi="Times New Roman" w:cs="Times New Roman"/>
          <w:sz w:val="24"/>
          <w:szCs w:val="24"/>
        </w:rPr>
        <w:t xml:space="preserve"> as discussed</w:t>
      </w:r>
      <w:r w:rsidRPr="00515061">
        <w:rPr>
          <w:rFonts w:ascii="Times New Roman" w:hAnsi="Times New Roman" w:cs="Times New Roman"/>
          <w:sz w:val="24"/>
          <w:szCs w:val="24"/>
        </w:rPr>
        <w:t xml:space="preserve"> above).</w:t>
      </w:r>
    </w:p>
    <w:p w:rsidR="00894744" w:rsidRPr="00515061" w:rsidRDefault="00894744" w:rsidP="00511B9B">
      <w:pPr>
        <w:spacing w:after="0"/>
        <w:rPr>
          <w:rFonts w:ascii="Times New Roman" w:hAnsi="Times New Roman" w:cs="Times New Roman"/>
          <w:b/>
          <w:sz w:val="24"/>
          <w:szCs w:val="24"/>
        </w:rPr>
      </w:pPr>
    </w:p>
    <w:p w:rsidR="00DF7765" w:rsidRPr="00515061" w:rsidRDefault="008A58FE" w:rsidP="00511B9B">
      <w:pPr>
        <w:spacing w:after="0"/>
        <w:rPr>
          <w:rFonts w:ascii="Times New Roman" w:hAnsi="Times New Roman" w:cs="Times New Roman"/>
          <w:b/>
          <w:sz w:val="24"/>
          <w:szCs w:val="24"/>
        </w:rPr>
      </w:pPr>
      <w:r w:rsidRPr="00515061">
        <w:rPr>
          <w:rFonts w:ascii="Times New Roman" w:hAnsi="Times New Roman" w:cs="Times New Roman"/>
          <w:b/>
          <w:sz w:val="24"/>
          <w:szCs w:val="24"/>
        </w:rPr>
        <w:t xml:space="preserve">3. Water Act Review amendments </w:t>
      </w:r>
      <w:r w:rsidR="00934839" w:rsidRPr="00515061">
        <w:rPr>
          <w:rFonts w:ascii="Times New Roman" w:hAnsi="Times New Roman" w:cs="Times New Roman"/>
          <w:b/>
          <w:sz w:val="24"/>
          <w:szCs w:val="24"/>
        </w:rPr>
        <w:t>(items</w:t>
      </w:r>
      <w:r w:rsidRPr="00515061">
        <w:rPr>
          <w:rFonts w:ascii="Times New Roman" w:hAnsi="Times New Roman" w:cs="Times New Roman"/>
          <w:b/>
          <w:sz w:val="24"/>
          <w:szCs w:val="24"/>
        </w:rPr>
        <w:t xml:space="preserve"> 5</w:t>
      </w:r>
      <w:r w:rsidR="00FC3E51">
        <w:rPr>
          <w:rFonts w:ascii="Times New Roman" w:hAnsi="Times New Roman" w:cs="Times New Roman"/>
          <w:b/>
          <w:sz w:val="24"/>
          <w:szCs w:val="24"/>
        </w:rPr>
        <w:t>9</w:t>
      </w:r>
      <w:r w:rsidRPr="00515061">
        <w:rPr>
          <w:rFonts w:ascii="Times New Roman" w:hAnsi="Times New Roman" w:cs="Times New Roman"/>
          <w:b/>
          <w:sz w:val="24"/>
          <w:szCs w:val="24"/>
        </w:rPr>
        <w:t>-6</w:t>
      </w:r>
      <w:r w:rsidR="00FC3E51">
        <w:rPr>
          <w:rFonts w:ascii="Times New Roman" w:hAnsi="Times New Roman" w:cs="Times New Roman"/>
          <w:b/>
          <w:sz w:val="24"/>
          <w:szCs w:val="24"/>
        </w:rPr>
        <w:t>7</w:t>
      </w:r>
      <w:r w:rsidR="00934839" w:rsidRPr="00515061">
        <w:rPr>
          <w:rFonts w:ascii="Times New Roman" w:hAnsi="Times New Roman" w:cs="Times New Roman"/>
          <w:b/>
          <w:sz w:val="24"/>
          <w:szCs w:val="24"/>
        </w:rPr>
        <w:t>)</w:t>
      </w:r>
      <w:r w:rsidR="00DF7765" w:rsidRPr="00515061">
        <w:rPr>
          <w:rFonts w:ascii="Times New Roman" w:hAnsi="Times New Roman" w:cs="Times New Roman"/>
          <w:b/>
          <w:sz w:val="24"/>
          <w:szCs w:val="24"/>
        </w:rPr>
        <w:t xml:space="preserve"> </w:t>
      </w:r>
    </w:p>
    <w:p w:rsidR="00253AB7" w:rsidRPr="00515061" w:rsidRDefault="00253AB7" w:rsidP="00511B9B">
      <w:pPr>
        <w:spacing w:after="0"/>
        <w:rPr>
          <w:rFonts w:ascii="Times New Roman" w:hAnsi="Times New Roman" w:cs="Times New Roman"/>
          <w:b/>
          <w:sz w:val="24"/>
          <w:szCs w:val="24"/>
        </w:rPr>
      </w:pPr>
    </w:p>
    <w:p w:rsidR="00F846D3" w:rsidRPr="00515061" w:rsidRDefault="008A58FE" w:rsidP="00511B9B">
      <w:pPr>
        <w:spacing w:after="0"/>
        <w:rPr>
          <w:rFonts w:ascii="Times New Roman" w:hAnsi="Times New Roman" w:cs="Times New Roman"/>
          <w:iCs/>
          <w:sz w:val="24"/>
          <w:szCs w:val="24"/>
        </w:rPr>
      </w:pPr>
      <w:r w:rsidRPr="00515061">
        <w:rPr>
          <w:rFonts w:ascii="Times New Roman" w:hAnsi="Times New Roman" w:cs="Times New Roman"/>
          <w:b/>
          <w:sz w:val="24"/>
          <w:szCs w:val="24"/>
        </w:rPr>
        <w:t>Items 5</w:t>
      </w:r>
      <w:r w:rsidR="00017BE4">
        <w:rPr>
          <w:rFonts w:ascii="Times New Roman" w:hAnsi="Times New Roman" w:cs="Times New Roman"/>
          <w:b/>
          <w:sz w:val="24"/>
          <w:szCs w:val="24"/>
        </w:rPr>
        <w:t>9</w:t>
      </w:r>
      <w:r w:rsidRPr="00515061">
        <w:rPr>
          <w:rFonts w:ascii="Times New Roman" w:hAnsi="Times New Roman" w:cs="Times New Roman"/>
          <w:b/>
          <w:sz w:val="24"/>
          <w:szCs w:val="24"/>
        </w:rPr>
        <w:t xml:space="preserve"> to 6</w:t>
      </w:r>
      <w:r w:rsidR="00017BE4">
        <w:rPr>
          <w:rFonts w:ascii="Times New Roman" w:hAnsi="Times New Roman" w:cs="Times New Roman"/>
          <w:b/>
          <w:sz w:val="24"/>
          <w:szCs w:val="24"/>
        </w:rPr>
        <w:t>7</w:t>
      </w:r>
      <w:r w:rsidRPr="00515061">
        <w:rPr>
          <w:rFonts w:ascii="Times New Roman" w:hAnsi="Times New Roman" w:cs="Times New Roman"/>
          <w:b/>
          <w:sz w:val="24"/>
          <w:szCs w:val="24"/>
        </w:rPr>
        <w:t xml:space="preserve"> </w:t>
      </w:r>
      <w:r w:rsidRPr="00515061">
        <w:rPr>
          <w:rFonts w:ascii="Times New Roman" w:hAnsi="Times New Roman" w:cs="Times New Roman"/>
          <w:sz w:val="24"/>
          <w:szCs w:val="24"/>
        </w:rPr>
        <w:t xml:space="preserve">of the Amendment Instrument amend the Basin Plan as a result of the Australian Government Response to the </w:t>
      </w:r>
      <w:r w:rsidRPr="00515061">
        <w:rPr>
          <w:rFonts w:ascii="Times New Roman" w:hAnsi="Times New Roman" w:cs="Times New Roman"/>
          <w:i/>
          <w:sz w:val="24"/>
          <w:szCs w:val="24"/>
        </w:rPr>
        <w:t xml:space="preserve">Report of the Independent Review of the Water Act 2007 </w:t>
      </w:r>
      <w:r w:rsidRPr="00515061">
        <w:rPr>
          <w:rFonts w:ascii="Times New Roman" w:hAnsi="Times New Roman" w:cs="Times New Roman"/>
          <w:sz w:val="24"/>
          <w:szCs w:val="24"/>
        </w:rPr>
        <w:t>(the Water Act Review Government Response)</w:t>
      </w:r>
      <w:r w:rsidR="00192D07" w:rsidRPr="00515061">
        <w:rPr>
          <w:rFonts w:ascii="Times New Roman" w:hAnsi="Times New Roman" w:cs="Times New Roman"/>
          <w:sz w:val="24"/>
          <w:szCs w:val="24"/>
        </w:rPr>
        <w:t xml:space="preserve">. This is available on </w:t>
      </w:r>
      <w:r w:rsidR="005958BB" w:rsidRPr="00515061">
        <w:rPr>
          <w:rFonts w:ascii="Times New Roman" w:hAnsi="Times New Roman" w:cs="Times New Roman"/>
          <w:sz w:val="24"/>
          <w:szCs w:val="24"/>
        </w:rPr>
        <w:t>the Department</w:t>
      </w:r>
      <w:r w:rsidR="00F7536E">
        <w:rPr>
          <w:rFonts w:ascii="Times New Roman" w:hAnsi="Times New Roman" w:cs="Times New Roman"/>
          <w:sz w:val="24"/>
          <w:szCs w:val="24"/>
        </w:rPr>
        <w:t xml:space="preserve"> of Agriculture and Water Resources’ (the Department)</w:t>
      </w:r>
      <w:r w:rsidR="00EB2412" w:rsidRPr="00515061">
        <w:rPr>
          <w:rFonts w:ascii="Times New Roman" w:hAnsi="Times New Roman" w:cs="Times New Roman"/>
          <w:sz w:val="24"/>
          <w:szCs w:val="24"/>
        </w:rPr>
        <w:t xml:space="preserve"> website at </w:t>
      </w:r>
      <w:hyperlink r:id="rId16" w:history="1">
        <w:r w:rsidR="00EB2412" w:rsidRPr="00515061">
          <w:rPr>
            <w:rStyle w:val="Hyperlink"/>
            <w:rFonts w:ascii="Times New Roman" w:hAnsi="Times New Roman" w:cs="Times New Roman"/>
            <w:sz w:val="24"/>
            <w:szCs w:val="24"/>
          </w:rPr>
          <w:t>http://www.agriculture.gov.au/water/policy/legislation/water-act-review</w:t>
        </w:r>
      </w:hyperlink>
      <w:r w:rsidRPr="00515061">
        <w:rPr>
          <w:rFonts w:ascii="Times New Roman" w:hAnsi="Times New Roman" w:cs="Times New Roman"/>
          <w:sz w:val="24"/>
          <w:szCs w:val="24"/>
        </w:rPr>
        <w:t>.</w:t>
      </w:r>
      <w:r w:rsidRPr="00515061">
        <w:rPr>
          <w:rFonts w:ascii="Times New Roman" w:hAnsi="Times New Roman" w:cs="Times New Roman"/>
          <w:iCs/>
          <w:sz w:val="24"/>
          <w:szCs w:val="24"/>
        </w:rPr>
        <w:t xml:space="preserve"> </w:t>
      </w:r>
    </w:p>
    <w:p w:rsidR="00F846D3" w:rsidRPr="00515061" w:rsidRDefault="00F846D3" w:rsidP="00511B9B">
      <w:pPr>
        <w:spacing w:after="0"/>
        <w:rPr>
          <w:rFonts w:ascii="Times New Roman" w:hAnsi="Times New Roman" w:cs="Times New Roman"/>
          <w:iCs/>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Water Act Review Government Response recommended changes to both the Water Act and the Basin Plan. The Amendment Instrument updates some reporting requirements in the Basin Plan, re-phases the timing of certain reviews and fixes a minor cross-reference to the Water Act, following amendments</w:t>
      </w:r>
      <w:r w:rsidR="00BF0B80" w:rsidRPr="00515061">
        <w:rPr>
          <w:rFonts w:ascii="Times New Roman" w:hAnsi="Times New Roman" w:cs="Times New Roman"/>
          <w:sz w:val="24"/>
          <w:szCs w:val="24"/>
        </w:rPr>
        <w:t xml:space="preserve"> </w:t>
      </w:r>
      <w:r w:rsidR="009F43BB">
        <w:rPr>
          <w:rFonts w:ascii="Times New Roman" w:hAnsi="Times New Roman" w:cs="Times New Roman"/>
          <w:sz w:val="24"/>
          <w:szCs w:val="24"/>
        </w:rPr>
        <w:t>contained in</w:t>
      </w:r>
      <w:r w:rsidR="00BF0B80" w:rsidRPr="00515061">
        <w:rPr>
          <w:rFonts w:ascii="Times New Roman" w:hAnsi="Times New Roman" w:cs="Times New Roman"/>
          <w:sz w:val="24"/>
          <w:szCs w:val="24"/>
        </w:rPr>
        <w:t xml:space="preserve"> the </w:t>
      </w:r>
      <w:r w:rsidR="00BF0B80" w:rsidRPr="00515061">
        <w:rPr>
          <w:rFonts w:ascii="Times New Roman" w:hAnsi="Times New Roman" w:cs="Times New Roman"/>
          <w:i/>
          <w:sz w:val="24"/>
          <w:szCs w:val="24"/>
        </w:rPr>
        <w:t>Water Amendment (Review Implementation and Other Measures) Act 2016</w:t>
      </w:r>
      <w:r w:rsidR="00B83213">
        <w:rPr>
          <w:rFonts w:ascii="Times New Roman" w:hAnsi="Times New Roman" w:cs="Times New Roman"/>
          <w:sz w:val="24"/>
          <w:szCs w:val="24"/>
        </w:rPr>
        <w:t xml:space="preserve"> that have not</w:t>
      </w:r>
      <w:r w:rsidR="009F43BB">
        <w:rPr>
          <w:rFonts w:ascii="Times New Roman" w:hAnsi="Times New Roman" w:cs="Times New Roman"/>
          <w:sz w:val="24"/>
          <w:szCs w:val="24"/>
        </w:rPr>
        <w:t xml:space="preserve"> yet commenced</w:t>
      </w:r>
      <w:r w:rsidRPr="00515061">
        <w:rPr>
          <w:rFonts w:ascii="Times New Roman" w:hAnsi="Times New Roman" w:cs="Times New Roman"/>
          <w:sz w:val="24"/>
          <w:szCs w:val="24"/>
        </w:rPr>
        <w:t xml:space="preserve">. </w:t>
      </w:r>
      <w:bookmarkStart w:id="22" w:name="_Toc466276921"/>
      <w:bookmarkStart w:id="23" w:name="_Toc466982429"/>
    </w:p>
    <w:p w:rsidR="00253AB7" w:rsidRPr="00515061" w:rsidRDefault="00253AB7" w:rsidP="00511B9B">
      <w:pPr>
        <w:spacing w:after="0"/>
        <w:rPr>
          <w:rFonts w:ascii="Times New Roman" w:hAnsi="Times New Roman" w:cs="Times New Roman"/>
          <w:sz w:val="24"/>
          <w:szCs w:val="24"/>
        </w:rPr>
      </w:pPr>
    </w:p>
    <w:p w:rsidR="008A58FE"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sz w:val="24"/>
          <w:szCs w:val="24"/>
          <w:u w:val="single"/>
        </w:rPr>
        <w:t>Reporting requirements</w:t>
      </w:r>
      <w:bookmarkEnd w:id="22"/>
      <w:bookmarkEnd w:id="23"/>
      <w:r w:rsidR="000E382B" w:rsidRPr="00515061">
        <w:rPr>
          <w:rFonts w:ascii="Times New Roman" w:hAnsi="Times New Roman" w:cs="Times New Roman"/>
          <w:sz w:val="24"/>
          <w:szCs w:val="24"/>
          <w:u w:val="single"/>
        </w:rPr>
        <w:t xml:space="preserve">: </w:t>
      </w:r>
      <w:bookmarkStart w:id="24" w:name="_Toc466982430"/>
      <w:r w:rsidRPr="00515061">
        <w:rPr>
          <w:rFonts w:ascii="Times New Roman" w:hAnsi="Times New Roman" w:cs="Times New Roman"/>
          <w:bCs/>
          <w:sz w:val="24"/>
          <w:szCs w:val="24"/>
          <w:u w:val="single"/>
        </w:rPr>
        <w:t>Annual reporting</w:t>
      </w:r>
      <w:bookmarkEnd w:id="24"/>
    </w:p>
    <w:p w:rsidR="00DF7765" w:rsidRPr="00515061" w:rsidRDefault="00DF7765" w:rsidP="00511B9B">
      <w:pPr>
        <w:spacing w:after="0"/>
        <w:rPr>
          <w:rFonts w:ascii="Times New Roman" w:hAnsi="Times New Roman" w:cs="Times New Roman"/>
          <w:bCs/>
          <w:sz w:val="24"/>
          <w:szCs w:val="24"/>
          <w:u w:val="single"/>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Water Act previously required the Authority to report on the effectiveness of the Basin Plan each year in its corporate annual report. Following the 2016 amendments to the Water Act made by the </w:t>
      </w:r>
      <w:r w:rsidRPr="00515061">
        <w:rPr>
          <w:rFonts w:ascii="Times New Roman" w:hAnsi="Times New Roman" w:cs="Times New Roman"/>
          <w:i/>
          <w:sz w:val="24"/>
          <w:szCs w:val="24"/>
        </w:rPr>
        <w:t>Water Amendment (Review Implementation and Other Measures) Act 2016</w:t>
      </w:r>
      <w:r w:rsidRPr="00515061">
        <w:rPr>
          <w:rFonts w:ascii="Times New Roman" w:hAnsi="Times New Roman" w:cs="Times New Roman"/>
          <w:sz w:val="24"/>
          <w:szCs w:val="24"/>
        </w:rPr>
        <w:t>, the Authority must now make this a separate report to the Minister</w:t>
      </w:r>
      <w:r w:rsidR="005247AE"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by the end of December each year (section 52A of the Water Act). </w:t>
      </w:r>
      <w:r w:rsidRPr="00515061">
        <w:rPr>
          <w:rFonts w:ascii="Times New Roman" w:hAnsi="Times New Roman" w:cs="Times New Roman"/>
          <w:b/>
          <w:sz w:val="24"/>
          <w:szCs w:val="24"/>
        </w:rPr>
        <w:t>Item 5</w:t>
      </w:r>
      <w:r w:rsidR="00FC3E51">
        <w:rPr>
          <w:rFonts w:ascii="Times New Roman" w:hAnsi="Times New Roman" w:cs="Times New Roman"/>
          <w:b/>
          <w:sz w:val="24"/>
          <w:szCs w:val="24"/>
        </w:rPr>
        <w:t>9</w:t>
      </w:r>
      <w:r w:rsidRPr="00515061">
        <w:rPr>
          <w:rFonts w:ascii="Times New Roman" w:hAnsi="Times New Roman" w:cs="Times New Roman"/>
          <w:sz w:val="24"/>
          <w:szCs w:val="24"/>
        </w:rPr>
        <w:t xml:space="preserve"> updates paragraph 13.05(1)(a) to make it consistent with the current requirements of the Water Act, which requires the Authority to report to the Minister on the effectiveness of the Basin Plan by the end of each calendar year.</w:t>
      </w:r>
      <w:bookmarkStart w:id="25" w:name="_Toc466982431"/>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253AB7" w:rsidRPr="00515061" w:rsidRDefault="000E382B" w:rsidP="00963D75">
      <w:pPr>
        <w:keepNext/>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 xml:space="preserve">Reporting requirements: </w:t>
      </w:r>
      <w:r w:rsidR="008A58FE" w:rsidRPr="00515061">
        <w:rPr>
          <w:rFonts w:ascii="Times New Roman" w:hAnsi="Times New Roman" w:cs="Times New Roman"/>
          <w:bCs/>
          <w:sz w:val="24"/>
          <w:szCs w:val="24"/>
          <w:u w:val="single"/>
        </w:rPr>
        <w:t>Reporting to Ministerial Council</w:t>
      </w:r>
      <w:bookmarkEnd w:id="25"/>
      <w:r w:rsidR="00253AB7" w:rsidRPr="00515061">
        <w:rPr>
          <w:rFonts w:ascii="Times New Roman" w:hAnsi="Times New Roman" w:cs="Times New Roman"/>
          <w:bCs/>
          <w:sz w:val="24"/>
          <w:szCs w:val="24"/>
          <w:u w:val="single"/>
        </w:rPr>
        <w:t xml:space="preserve"> </w:t>
      </w:r>
    </w:p>
    <w:p w:rsidR="00DF7765" w:rsidRPr="00515061" w:rsidRDefault="00DF7765" w:rsidP="00963D75">
      <w:pPr>
        <w:keepNext/>
        <w:spacing w:after="0"/>
        <w:rPr>
          <w:rFonts w:ascii="Times New Roman" w:hAnsi="Times New Roman" w:cs="Times New Roman"/>
          <w:bCs/>
          <w:sz w:val="24"/>
          <w:szCs w:val="24"/>
          <w:u w:val="single"/>
        </w:rPr>
      </w:pPr>
    </w:p>
    <w:p w:rsidR="00253AB7" w:rsidRPr="00515061" w:rsidRDefault="008A58FE" w:rsidP="00963D75">
      <w:pPr>
        <w:keepNext/>
        <w:spacing w:after="0"/>
        <w:rPr>
          <w:rFonts w:ascii="Times New Roman" w:hAnsi="Times New Roman" w:cs="Times New Roman"/>
          <w:sz w:val="24"/>
          <w:szCs w:val="24"/>
        </w:rPr>
      </w:pPr>
      <w:r w:rsidRPr="00515061">
        <w:rPr>
          <w:rFonts w:ascii="Times New Roman" w:hAnsi="Times New Roman" w:cs="Times New Roman"/>
          <w:sz w:val="24"/>
          <w:szCs w:val="24"/>
        </w:rPr>
        <w:t>The Water Act previously required the Authority to provide a one</w:t>
      </w:r>
      <w:r w:rsidR="00EC10BF" w:rsidRPr="00515061">
        <w:rPr>
          <w:rFonts w:ascii="Times New Roman" w:hAnsi="Times New Roman" w:cs="Times New Roman"/>
          <w:sz w:val="24"/>
          <w:szCs w:val="24"/>
        </w:rPr>
        <w:t>-</w:t>
      </w:r>
      <w:r w:rsidRPr="00515061">
        <w:rPr>
          <w:rFonts w:ascii="Times New Roman" w:hAnsi="Times New Roman" w:cs="Times New Roman"/>
          <w:sz w:val="24"/>
          <w:szCs w:val="24"/>
        </w:rPr>
        <w:t xml:space="preserve">off report to the Ministerial Council on </w:t>
      </w:r>
      <w:r w:rsidR="00EC10BF" w:rsidRPr="00515061">
        <w:rPr>
          <w:rFonts w:ascii="Times New Roman" w:hAnsi="Times New Roman" w:cs="Times New Roman"/>
          <w:sz w:val="24"/>
          <w:szCs w:val="24"/>
        </w:rPr>
        <w:t xml:space="preserve">the </w:t>
      </w:r>
      <w:r w:rsidRPr="00515061">
        <w:rPr>
          <w:rFonts w:ascii="Times New Roman" w:hAnsi="Times New Roman" w:cs="Times New Roman"/>
          <w:sz w:val="24"/>
          <w:szCs w:val="24"/>
        </w:rPr>
        <w:t>impacts of the Basin Plan in 2017. The 2016 amendments to the Water Act postponed this report until 2020.</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DA1920"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
          <w:sz w:val="24"/>
          <w:szCs w:val="24"/>
        </w:rPr>
        <w:t xml:space="preserve">Item </w:t>
      </w:r>
      <w:r w:rsidR="00FC3E51">
        <w:rPr>
          <w:rFonts w:ascii="Times New Roman" w:hAnsi="Times New Roman" w:cs="Times New Roman"/>
          <w:b/>
          <w:sz w:val="24"/>
          <w:szCs w:val="24"/>
        </w:rPr>
        <w:t>60</w:t>
      </w:r>
      <w:r w:rsidRPr="00515061">
        <w:rPr>
          <w:rFonts w:ascii="Times New Roman" w:hAnsi="Times New Roman" w:cs="Times New Roman"/>
          <w:sz w:val="24"/>
          <w:szCs w:val="24"/>
        </w:rPr>
        <w:t xml:space="preserve"> updates paragraph 13.05(1)(b) to make it consistent with the Water Act, which provides that the Authority must provide advice to the Council on the impacts of the Basin Plan before the end of 2020. This is part of the broader alignment of Basin Plan reviews and evaluations aimed at ensuring reviews are conducted, and advice provided, at a time when Basin Plan outcomes can be more fully assessed, noting the commencement of sustainable diversion limits on 1 July 2019.</w:t>
      </w:r>
    </w:p>
    <w:p w:rsidR="00AA6B3A" w:rsidRPr="00515061" w:rsidRDefault="00AA6B3A"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Cs/>
          <w:sz w:val="24"/>
          <w:szCs w:val="24"/>
          <w:u w:val="single"/>
        </w:rPr>
      </w:pPr>
      <w:bookmarkStart w:id="26" w:name="_Toc466276922"/>
      <w:bookmarkStart w:id="27" w:name="_Toc466982432"/>
      <w:r w:rsidRPr="00515061">
        <w:rPr>
          <w:rFonts w:ascii="Times New Roman" w:hAnsi="Times New Roman" w:cs="Times New Roman"/>
          <w:sz w:val="24"/>
          <w:szCs w:val="24"/>
          <w:u w:val="single"/>
        </w:rPr>
        <w:t>Re-phasing of reviews</w:t>
      </w:r>
      <w:bookmarkStart w:id="28" w:name="_Toc466982433"/>
      <w:bookmarkEnd w:id="26"/>
      <w:bookmarkEnd w:id="27"/>
      <w:r w:rsidRPr="00515061">
        <w:rPr>
          <w:rFonts w:ascii="Times New Roman" w:hAnsi="Times New Roman" w:cs="Times New Roman"/>
          <w:bCs/>
          <w:sz w:val="24"/>
          <w:szCs w:val="24"/>
          <w:u w:val="single"/>
        </w:rPr>
        <w:t xml:space="preserve"> of the water quality and salinity management plan targets and environmental watering plans</w:t>
      </w:r>
      <w:bookmarkEnd w:id="28"/>
    </w:p>
    <w:p w:rsidR="00954B89" w:rsidRPr="00515061" w:rsidRDefault="00954B89" w:rsidP="00511B9B">
      <w:pPr>
        <w:spacing w:after="0"/>
        <w:rPr>
          <w:rFonts w:ascii="Times New Roman" w:hAnsi="Times New Roman" w:cs="Times New Roman"/>
          <w:bCs/>
          <w:sz w:val="24"/>
          <w:szCs w:val="24"/>
          <w:u w:val="single"/>
        </w:rPr>
      </w:pPr>
    </w:p>
    <w:p w:rsidR="00954B89" w:rsidRPr="00515061" w:rsidRDefault="008A58FE" w:rsidP="00511B9B">
      <w:pPr>
        <w:spacing w:after="0"/>
        <w:rPr>
          <w:rFonts w:ascii="Times New Roman" w:hAnsi="Times New Roman" w:cs="Times New Roman"/>
          <w:iCs/>
          <w:sz w:val="24"/>
          <w:szCs w:val="24"/>
        </w:rPr>
      </w:pPr>
      <w:r w:rsidRPr="00515061">
        <w:rPr>
          <w:rFonts w:ascii="Times New Roman" w:hAnsi="Times New Roman" w:cs="Times New Roman"/>
          <w:sz w:val="24"/>
          <w:szCs w:val="24"/>
        </w:rPr>
        <w:t>The Amendment Instrument re-phases a number of reviews from 2017 to 2020 in accordance with the recommendations of the Water Act Review Government Response. The re-phasing of these reviews to 2020, when the Basin Plan is fully implemented, will allow time to observe outcomes and collect evidence to inform the reviews.</w:t>
      </w:r>
      <w:r w:rsidR="00CE4A04" w:rsidRPr="00515061">
        <w:rPr>
          <w:rFonts w:ascii="Times New Roman" w:hAnsi="Times New Roman" w:cs="Times New Roman"/>
          <w:sz w:val="24"/>
          <w:szCs w:val="24"/>
        </w:rPr>
        <w:t xml:space="preserve"> Note that </w:t>
      </w:r>
      <w:r w:rsidR="00CE4A04" w:rsidRPr="00515061">
        <w:rPr>
          <w:rFonts w:ascii="Times New Roman" w:hAnsi="Times New Roman" w:cs="Times New Roman"/>
          <w:b/>
          <w:sz w:val="24"/>
          <w:szCs w:val="24"/>
        </w:rPr>
        <w:t>items 6</w:t>
      </w:r>
      <w:r w:rsidR="00FC3E51">
        <w:rPr>
          <w:rFonts w:ascii="Times New Roman" w:hAnsi="Times New Roman" w:cs="Times New Roman"/>
          <w:b/>
          <w:sz w:val="24"/>
          <w:szCs w:val="24"/>
        </w:rPr>
        <w:t>2</w:t>
      </w:r>
      <w:r w:rsidR="00CE4A04" w:rsidRPr="00515061">
        <w:rPr>
          <w:rFonts w:ascii="Times New Roman" w:hAnsi="Times New Roman" w:cs="Times New Roman"/>
          <w:b/>
          <w:sz w:val="24"/>
          <w:szCs w:val="24"/>
        </w:rPr>
        <w:t xml:space="preserve"> to 6</w:t>
      </w:r>
      <w:r w:rsidR="00FC3E51">
        <w:rPr>
          <w:rFonts w:ascii="Times New Roman" w:hAnsi="Times New Roman" w:cs="Times New Roman"/>
          <w:b/>
          <w:sz w:val="24"/>
          <w:szCs w:val="24"/>
        </w:rPr>
        <w:t>7</w:t>
      </w:r>
      <w:r w:rsidR="00CE4A04" w:rsidRPr="00515061">
        <w:rPr>
          <w:rFonts w:ascii="Times New Roman" w:hAnsi="Times New Roman" w:cs="Times New Roman"/>
          <w:sz w:val="24"/>
          <w:szCs w:val="24"/>
        </w:rPr>
        <w:t xml:space="preserve"> (discussed further below) commence on the </w:t>
      </w:r>
      <w:r w:rsidR="00CE4A04" w:rsidRPr="00515061">
        <w:rPr>
          <w:rFonts w:ascii="Times New Roman" w:hAnsi="Times New Roman" w:cs="Times New Roman"/>
          <w:iCs/>
          <w:sz w:val="24"/>
          <w:szCs w:val="24"/>
        </w:rPr>
        <w:t xml:space="preserve">commencement of item 1 of Schedule 1 to the </w:t>
      </w:r>
      <w:r w:rsidR="00CE4A04" w:rsidRPr="00515061">
        <w:rPr>
          <w:rFonts w:ascii="Times New Roman" w:hAnsi="Times New Roman" w:cs="Times New Roman"/>
          <w:i/>
          <w:iCs/>
          <w:sz w:val="24"/>
          <w:szCs w:val="24"/>
        </w:rPr>
        <w:t>Water Amendment (Review Implementation and Other Measures) Act 2016</w:t>
      </w:r>
      <w:r w:rsidR="00CE4A04" w:rsidRPr="00515061">
        <w:rPr>
          <w:rFonts w:ascii="Times New Roman" w:hAnsi="Times New Roman" w:cs="Times New Roman"/>
          <w:iCs/>
          <w:sz w:val="24"/>
          <w:szCs w:val="24"/>
        </w:rPr>
        <w:t>.</w:t>
      </w:r>
      <w:r w:rsidR="00954B89" w:rsidRPr="00515061">
        <w:rPr>
          <w:rFonts w:ascii="Times New Roman" w:hAnsi="Times New Roman" w:cs="Times New Roman"/>
          <w:iCs/>
          <w:sz w:val="24"/>
          <w:szCs w:val="24"/>
        </w:rPr>
        <w:t xml:space="preserve"> </w:t>
      </w:r>
    </w:p>
    <w:p w:rsidR="00954B89" w:rsidRPr="00515061" w:rsidRDefault="00954B89" w:rsidP="00511B9B">
      <w:pPr>
        <w:spacing w:after="0"/>
        <w:rPr>
          <w:rFonts w:ascii="Times New Roman" w:hAnsi="Times New Roman" w:cs="Times New Roman"/>
          <w:iCs/>
          <w:sz w:val="24"/>
          <w:szCs w:val="24"/>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6</w:t>
      </w:r>
      <w:r w:rsidR="00FC3E51">
        <w:rPr>
          <w:rFonts w:ascii="Times New Roman" w:hAnsi="Times New Roman" w:cs="Times New Roman"/>
          <w:b/>
          <w:sz w:val="24"/>
          <w:szCs w:val="24"/>
        </w:rPr>
        <w:t>4</w:t>
      </w:r>
      <w:r w:rsidRPr="00515061">
        <w:rPr>
          <w:rFonts w:ascii="Times New Roman" w:hAnsi="Times New Roman" w:cs="Times New Roman"/>
          <w:b/>
          <w:sz w:val="24"/>
          <w:szCs w:val="24"/>
        </w:rPr>
        <w:t xml:space="preserve"> and 6</w:t>
      </w:r>
      <w:r w:rsidR="00FC3E51">
        <w:rPr>
          <w:rFonts w:ascii="Times New Roman" w:hAnsi="Times New Roman" w:cs="Times New Roman"/>
          <w:b/>
          <w:sz w:val="24"/>
          <w:szCs w:val="24"/>
        </w:rPr>
        <w:t>5</w:t>
      </w:r>
      <w:r w:rsidRPr="00515061">
        <w:rPr>
          <w:rFonts w:ascii="Times New Roman" w:hAnsi="Times New Roman" w:cs="Times New Roman"/>
          <w:b/>
          <w:sz w:val="24"/>
          <w:szCs w:val="24"/>
        </w:rPr>
        <w:t xml:space="preserve"> </w:t>
      </w:r>
      <w:r w:rsidRPr="00515061">
        <w:rPr>
          <w:rFonts w:ascii="Times New Roman" w:hAnsi="Times New Roman" w:cs="Times New Roman"/>
          <w:sz w:val="24"/>
          <w:szCs w:val="24"/>
        </w:rPr>
        <w:t>re-phase the five-yearly reviews of the water quality and salinity management plan targets (</w:t>
      </w:r>
      <w:r w:rsidRPr="00515061">
        <w:rPr>
          <w:rFonts w:ascii="Times New Roman" w:hAnsi="Times New Roman" w:cs="Times New Roman"/>
          <w:b/>
          <w:sz w:val="24"/>
          <w:szCs w:val="24"/>
        </w:rPr>
        <w:t>item 6</w:t>
      </w:r>
      <w:r w:rsidR="00FC3E51">
        <w:rPr>
          <w:rFonts w:ascii="Times New Roman" w:hAnsi="Times New Roman" w:cs="Times New Roman"/>
          <w:b/>
          <w:sz w:val="24"/>
          <w:szCs w:val="24"/>
        </w:rPr>
        <w:t>4</w:t>
      </w:r>
      <w:r w:rsidRPr="00515061">
        <w:rPr>
          <w:rFonts w:ascii="Times New Roman" w:hAnsi="Times New Roman" w:cs="Times New Roman"/>
          <w:sz w:val="24"/>
          <w:szCs w:val="24"/>
        </w:rPr>
        <w:t>, subsection 13.08(1)) and the environmental watering plan (</w:t>
      </w:r>
      <w:r w:rsidRPr="00515061">
        <w:rPr>
          <w:rFonts w:ascii="Times New Roman" w:hAnsi="Times New Roman" w:cs="Times New Roman"/>
          <w:b/>
          <w:sz w:val="24"/>
          <w:szCs w:val="24"/>
        </w:rPr>
        <w:t>item 6</w:t>
      </w:r>
      <w:r w:rsidR="00FC3E51">
        <w:rPr>
          <w:rFonts w:ascii="Times New Roman" w:hAnsi="Times New Roman" w:cs="Times New Roman"/>
          <w:b/>
          <w:sz w:val="24"/>
          <w:szCs w:val="24"/>
        </w:rPr>
        <w:t>5</w:t>
      </w:r>
      <w:r w:rsidRPr="00515061">
        <w:rPr>
          <w:rFonts w:ascii="Times New Roman" w:hAnsi="Times New Roman" w:cs="Times New Roman"/>
          <w:sz w:val="24"/>
          <w:szCs w:val="24"/>
        </w:rPr>
        <w:t xml:space="preserve">, subsection 13.09(1)) from 2017 to 2020. The re-phasing of these reviews to 2020 (when the Basin Plan is fully implemented) will </w:t>
      </w:r>
      <w:r w:rsidR="00F846D3" w:rsidRPr="00515061">
        <w:rPr>
          <w:rFonts w:ascii="Times New Roman" w:hAnsi="Times New Roman" w:cs="Times New Roman"/>
          <w:sz w:val="24"/>
          <w:szCs w:val="24"/>
        </w:rPr>
        <w:t>enable adequate</w:t>
      </w:r>
      <w:r w:rsidRPr="00515061">
        <w:rPr>
          <w:rFonts w:ascii="Times New Roman" w:hAnsi="Times New Roman" w:cs="Times New Roman"/>
          <w:sz w:val="24"/>
          <w:szCs w:val="24"/>
        </w:rPr>
        <w:t xml:space="preserve"> time to observe outcomes and collect evidence to inform these reviews. These amendments maintain the current requirements to </w:t>
      </w:r>
      <w:r w:rsidR="00EB2412" w:rsidRPr="00515061">
        <w:rPr>
          <w:rFonts w:ascii="Times New Roman" w:hAnsi="Times New Roman" w:cs="Times New Roman"/>
          <w:sz w:val="24"/>
          <w:szCs w:val="24"/>
        </w:rPr>
        <w:t>complete</w:t>
      </w:r>
      <w:r w:rsidRPr="00515061">
        <w:rPr>
          <w:rFonts w:ascii="Times New Roman" w:hAnsi="Times New Roman" w:cs="Times New Roman"/>
          <w:sz w:val="24"/>
          <w:szCs w:val="24"/>
        </w:rPr>
        <w:t xml:space="preserve"> the reviews within every 5 years</w:t>
      </w:r>
      <w:r w:rsidR="00EB2412" w:rsidRPr="00515061">
        <w:rPr>
          <w:rFonts w:ascii="Times New Roman" w:hAnsi="Times New Roman" w:cs="Times New Roman"/>
          <w:sz w:val="24"/>
          <w:szCs w:val="24"/>
        </w:rPr>
        <w:t>,</w:t>
      </w:r>
      <w:r w:rsidRPr="00515061">
        <w:rPr>
          <w:rFonts w:ascii="Times New Roman" w:hAnsi="Times New Roman" w:cs="Times New Roman"/>
          <w:sz w:val="24"/>
          <w:szCs w:val="24"/>
        </w:rPr>
        <w:t xml:space="preserve"> after the </w:t>
      </w:r>
      <w:r w:rsidR="00EB2412" w:rsidRPr="00515061">
        <w:rPr>
          <w:rFonts w:ascii="Times New Roman" w:hAnsi="Times New Roman" w:cs="Times New Roman"/>
          <w:sz w:val="24"/>
          <w:szCs w:val="24"/>
        </w:rPr>
        <w:t xml:space="preserve">initial </w:t>
      </w:r>
      <w:r w:rsidRPr="00515061">
        <w:rPr>
          <w:rFonts w:ascii="Times New Roman" w:hAnsi="Times New Roman" w:cs="Times New Roman"/>
          <w:sz w:val="24"/>
          <w:szCs w:val="24"/>
        </w:rPr>
        <w:t>2020 reviews.</w:t>
      </w:r>
      <w:bookmarkStart w:id="29" w:name="_Toc466982434"/>
      <w:r w:rsidR="00954B89" w:rsidRPr="00515061">
        <w:rPr>
          <w:rFonts w:ascii="Times New Roman" w:hAnsi="Times New Roman" w:cs="Times New Roman"/>
          <w:sz w:val="24"/>
          <w:szCs w:val="24"/>
        </w:rPr>
        <w:t xml:space="preser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Social and economic impacts</w:t>
      </w:r>
      <w:bookmarkStart w:id="30" w:name="_Toc466982435"/>
      <w:bookmarkEnd w:id="29"/>
    </w:p>
    <w:p w:rsidR="00954B89" w:rsidRPr="00515061" w:rsidRDefault="00954B89" w:rsidP="00511B9B">
      <w:pPr>
        <w:spacing w:after="0"/>
        <w:rPr>
          <w:rFonts w:ascii="Times New Roman" w:hAnsi="Times New Roman" w:cs="Times New Roman"/>
          <w:bCs/>
          <w:sz w:val="24"/>
          <w:szCs w:val="24"/>
          <w:u w:val="single"/>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2016 amendments to the Water Act included a new requirement for the Basin Plan monitoring and evaluation program to include five-yearly reviews of the social and economic impacts of the Basin Plan. This aligns closely with the Basin Plan requirement under item 3 of Schedule 12 to report every five years on the extent to which the Basin Plan has affected social and economic outcomes. However, in order to fully implement the new Water Act requirement, the Amendment Instrument includes a review of social and economic impacts in the Monitoring and Evaluation Program in Chapter 13.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6</w:t>
      </w:r>
      <w:r w:rsidR="00FC3E51">
        <w:rPr>
          <w:rFonts w:ascii="Times New Roman" w:hAnsi="Times New Roman" w:cs="Times New Roman"/>
          <w:b/>
          <w:sz w:val="24"/>
          <w:szCs w:val="24"/>
        </w:rPr>
        <w:t>1</w:t>
      </w:r>
      <w:r w:rsidRPr="00515061">
        <w:rPr>
          <w:rFonts w:ascii="Times New Roman" w:hAnsi="Times New Roman" w:cs="Times New Roman"/>
          <w:b/>
          <w:sz w:val="24"/>
          <w:szCs w:val="24"/>
        </w:rPr>
        <w:t>, 6</w:t>
      </w:r>
      <w:r w:rsidR="00FC3E51">
        <w:rPr>
          <w:rFonts w:ascii="Times New Roman" w:hAnsi="Times New Roman" w:cs="Times New Roman"/>
          <w:b/>
          <w:sz w:val="24"/>
          <w:szCs w:val="24"/>
        </w:rPr>
        <w:t>2</w:t>
      </w:r>
      <w:r w:rsidRPr="00515061">
        <w:rPr>
          <w:rFonts w:ascii="Times New Roman" w:hAnsi="Times New Roman" w:cs="Times New Roman"/>
          <w:b/>
          <w:sz w:val="24"/>
          <w:szCs w:val="24"/>
        </w:rPr>
        <w:t xml:space="preserve"> and 6</w:t>
      </w:r>
      <w:r w:rsidR="00FC3E51">
        <w:rPr>
          <w:rFonts w:ascii="Times New Roman" w:hAnsi="Times New Roman" w:cs="Times New Roman"/>
          <w:b/>
          <w:sz w:val="24"/>
          <w:szCs w:val="24"/>
        </w:rPr>
        <w:t>3</w:t>
      </w:r>
      <w:r w:rsidRPr="00515061">
        <w:rPr>
          <w:rFonts w:ascii="Times New Roman" w:hAnsi="Times New Roman" w:cs="Times New Roman"/>
          <w:sz w:val="24"/>
          <w:szCs w:val="24"/>
        </w:rPr>
        <w:t xml:space="preserve"> provide a new requirement to include social and economic impacts as part of the Authority’s five yearly evaluation of the effectiveness of the Basin Plan. This is in addition to existing review matters including the environmental watering plan, water quality and salinity</w:t>
      </w:r>
      <w:r w:rsidR="00AA1EE6"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water trading rules and water resource planning. These amendments ensure that Basin Plan requirements are consistent with the Water Act.</w:t>
      </w:r>
      <w:r w:rsidR="00954B89" w:rsidRPr="00515061">
        <w:rPr>
          <w:rFonts w:ascii="Times New Roman" w:hAnsi="Times New Roman" w:cs="Times New Roman"/>
          <w:sz w:val="24"/>
          <w:szCs w:val="24"/>
        </w:rPr>
        <w:t xml:space="preser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6</w:t>
      </w:r>
      <w:r w:rsidR="00FC3E51">
        <w:rPr>
          <w:rFonts w:ascii="Times New Roman" w:hAnsi="Times New Roman" w:cs="Times New Roman"/>
          <w:b/>
          <w:sz w:val="24"/>
          <w:szCs w:val="24"/>
        </w:rPr>
        <w:t>6</w:t>
      </w:r>
      <w:r w:rsidRPr="00515061">
        <w:rPr>
          <w:rFonts w:ascii="Times New Roman" w:hAnsi="Times New Roman" w:cs="Times New Roman"/>
          <w:sz w:val="24"/>
          <w:szCs w:val="24"/>
        </w:rPr>
        <w:t xml:space="preserve"> adds a new clause 13.09A</w:t>
      </w:r>
      <w:r w:rsidR="00EC10BF"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provides that the Authority must </w:t>
      </w:r>
      <w:r w:rsidR="00EB2412" w:rsidRPr="00515061">
        <w:rPr>
          <w:rFonts w:ascii="Times New Roman" w:hAnsi="Times New Roman" w:cs="Times New Roman"/>
          <w:sz w:val="24"/>
          <w:szCs w:val="24"/>
        </w:rPr>
        <w:t>complete</w:t>
      </w:r>
      <w:r w:rsidRPr="00515061">
        <w:rPr>
          <w:rFonts w:ascii="Times New Roman" w:hAnsi="Times New Roman" w:cs="Times New Roman"/>
          <w:sz w:val="24"/>
          <w:szCs w:val="24"/>
        </w:rPr>
        <w:t xml:space="preserve"> a review, in consultation with the Basin States and the Commonwealth, of the social and economic impacts of the Basin Plan every 5 years, with the first review due by 2020.</w:t>
      </w:r>
      <w:r w:rsidR="00954B89" w:rsidRPr="00515061">
        <w:rPr>
          <w:rFonts w:ascii="Times New Roman" w:hAnsi="Times New Roman" w:cs="Times New Roman"/>
          <w:sz w:val="24"/>
          <w:szCs w:val="24"/>
        </w:rPr>
        <w:t xml:space="preserve"> </w:t>
      </w:r>
    </w:p>
    <w:p w:rsidR="00FB2A89" w:rsidRPr="00515061" w:rsidRDefault="00FB2A89" w:rsidP="00511B9B">
      <w:pPr>
        <w:spacing w:after="0"/>
        <w:rPr>
          <w:rFonts w:ascii="Times New Roman" w:hAnsi="Times New Roman" w:cs="Times New Roman"/>
          <w:bCs/>
          <w:sz w:val="24"/>
          <w:szCs w:val="24"/>
        </w:rPr>
      </w:pPr>
    </w:p>
    <w:p w:rsidR="00954B89"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Monitoring and reporting capabilities</w:t>
      </w:r>
      <w:bookmarkEnd w:id="30"/>
      <w:r w:rsidR="00954B89" w:rsidRPr="00515061">
        <w:rPr>
          <w:rFonts w:ascii="Times New Roman" w:hAnsi="Times New Roman" w:cs="Times New Roman"/>
          <w:bCs/>
          <w:sz w:val="24"/>
          <w:szCs w:val="24"/>
          <w:u w:val="single"/>
        </w:rPr>
        <w:t xml:space="preserve"> </w:t>
      </w:r>
    </w:p>
    <w:p w:rsidR="00954B89" w:rsidRPr="00515061" w:rsidRDefault="00954B89" w:rsidP="00511B9B">
      <w:pPr>
        <w:spacing w:after="0"/>
        <w:rPr>
          <w:rFonts w:ascii="Times New Roman" w:hAnsi="Times New Roman" w:cs="Times New Roman"/>
          <w:bCs/>
          <w:sz w:val="24"/>
          <w:szCs w:val="24"/>
          <w:u w:val="single"/>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reschedules an assessment of monitoring, evaluation and reporting capabilities from 2017 to 2020. Therefore </w:t>
      </w:r>
      <w:r w:rsidRPr="00515061">
        <w:rPr>
          <w:rFonts w:ascii="Times New Roman" w:hAnsi="Times New Roman" w:cs="Times New Roman"/>
          <w:b/>
          <w:sz w:val="24"/>
          <w:szCs w:val="24"/>
        </w:rPr>
        <w:t>Item 6</w:t>
      </w:r>
      <w:r w:rsidR="00FC3E51">
        <w:rPr>
          <w:rFonts w:ascii="Times New Roman" w:hAnsi="Times New Roman" w:cs="Times New Roman"/>
          <w:b/>
          <w:sz w:val="24"/>
          <w:szCs w:val="24"/>
        </w:rPr>
        <w:t>7</w:t>
      </w:r>
      <w:r w:rsidRPr="00515061">
        <w:rPr>
          <w:rFonts w:ascii="Times New Roman" w:hAnsi="Times New Roman" w:cs="Times New Roman"/>
          <w:sz w:val="24"/>
          <w:szCs w:val="24"/>
        </w:rPr>
        <w:t xml:space="preserve"> amends subsection 13.23(1) of the Basin Plan to align this provision with the new 2020 timing of the other three reviews outlined above.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
          <w:sz w:val="24"/>
          <w:szCs w:val="24"/>
        </w:rPr>
      </w:pPr>
      <w:r w:rsidRPr="00515061">
        <w:rPr>
          <w:rFonts w:ascii="Times New Roman" w:hAnsi="Times New Roman" w:cs="Times New Roman"/>
          <w:b/>
          <w:sz w:val="24"/>
          <w:szCs w:val="24"/>
        </w:rPr>
        <w:t>4. Other technical amendments</w:t>
      </w:r>
      <w:r w:rsidR="00954B89" w:rsidRPr="00515061">
        <w:rPr>
          <w:rFonts w:ascii="Times New Roman" w:hAnsi="Times New Roman" w:cs="Times New Roman"/>
          <w:b/>
          <w:sz w:val="24"/>
          <w:szCs w:val="24"/>
        </w:rPr>
        <w:t xml:space="preserve"> </w:t>
      </w:r>
    </w:p>
    <w:p w:rsidR="00954B89" w:rsidRPr="00515061" w:rsidRDefault="00954B89" w:rsidP="00511B9B">
      <w:pPr>
        <w:spacing w:after="0"/>
        <w:rPr>
          <w:rFonts w:ascii="Times New Roman" w:hAnsi="Times New Roman" w:cs="Times New Roman"/>
          <w:b/>
          <w:sz w:val="24"/>
          <w:szCs w:val="24"/>
        </w:rPr>
      </w:pPr>
    </w:p>
    <w:p w:rsidR="008A58FE" w:rsidRPr="00515061" w:rsidRDefault="008A58FE" w:rsidP="00511B9B">
      <w:pPr>
        <w:spacing w:after="0"/>
        <w:rPr>
          <w:rFonts w:ascii="Times New Roman" w:hAnsi="Times New Roman" w:cs="Times New Roman"/>
          <w:b/>
          <w:sz w:val="24"/>
          <w:szCs w:val="24"/>
        </w:rPr>
      </w:pPr>
      <w:r w:rsidRPr="00515061">
        <w:rPr>
          <w:rFonts w:ascii="Times New Roman" w:hAnsi="Times New Roman" w:cs="Times New Roman"/>
          <w:sz w:val="24"/>
          <w:szCs w:val="24"/>
        </w:rPr>
        <w:t>Other technical amendments made by the Amendment Instrument include:</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S</w:t>
      </w:r>
      <w:r w:rsidR="008A58FE" w:rsidRPr="00515061">
        <w:rPr>
          <w:rFonts w:ascii="Times New Roman" w:hAnsi="Times New Roman" w:cs="Times New Roman"/>
          <w:sz w:val="24"/>
          <w:szCs w:val="24"/>
        </w:rPr>
        <w:t>hared reduction amount methodology</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C</w:t>
      </w:r>
      <w:r w:rsidR="008A58FE" w:rsidRPr="00515061">
        <w:rPr>
          <w:rFonts w:ascii="Times New Roman" w:hAnsi="Times New Roman" w:cs="Times New Roman"/>
          <w:sz w:val="24"/>
          <w:szCs w:val="24"/>
        </w:rPr>
        <w:t>ompliance with SDLs for surface water</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S</w:t>
      </w:r>
      <w:r w:rsidR="008A58FE" w:rsidRPr="00515061">
        <w:rPr>
          <w:rFonts w:ascii="Times New Roman" w:hAnsi="Times New Roman" w:cs="Times New Roman"/>
          <w:sz w:val="24"/>
          <w:szCs w:val="24"/>
        </w:rPr>
        <w:t xml:space="preserve">urface </w:t>
      </w:r>
      <w:r w:rsidR="000A3383" w:rsidRPr="00515061">
        <w:rPr>
          <w:rFonts w:ascii="Times New Roman" w:hAnsi="Times New Roman" w:cs="Times New Roman"/>
          <w:sz w:val="24"/>
          <w:szCs w:val="24"/>
        </w:rPr>
        <w:t>water WRP boundary and SDL resource unit</w:t>
      </w:r>
      <w:r w:rsidR="008A58FE" w:rsidRPr="00515061">
        <w:rPr>
          <w:rFonts w:ascii="Times New Roman" w:hAnsi="Times New Roman" w:cs="Times New Roman"/>
          <w:sz w:val="24"/>
          <w:szCs w:val="24"/>
        </w:rPr>
        <w:t xml:space="preserve"> amendments</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W</w:t>
      </w:r>
      <w:r w:rsidR="008A58FE" w:rsidRPr="00515061">
        <w:rPr>
          <w:rFonts w:ascii="Times New Roman" w:hAnsi="Times New Roman" w:cs="Times New Roman"/>
          <w:sz w:val="24"/>
          <w:szCs w:val="24"/>
        </w:rPr>
        <w:t>ater trading rules requirements</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R</w:t>
      </w:r>
      <w:r w:rsidR="008A58FE" w:rsidRPr="00515061">
        <w:rPr>
          <w:rFonts w:ascii="Times New Roman" w:hAnsi="Times New Roman" w:cs="Times New Roman"/>
          <w:sz w:val="24"/>
          <w:szCs w:val="24"/>
        </w:rPr>
        <w:t xml:space="preserve">evised baseline diversion limit </w:t>
      </w:r>
      <w:r w:rsidR="000A3383" w:rsidRPr="00515061">
        <w:rPr>
          <w:rFonts w:ascii="Times New Roman" w:hAnsi="Times New Roman" w:cs="Times New Roman"/>
          <w:sz w:val="24"/>
          <w:szCs w:val="24"/>
        </w:rPr>
        <w:t>for the Australian Capital Territory</w:t>
      </w:r>
      <w:r w:rsidR="00143D86" w:rsidRPr="00515061">
        <w:rPr>
          <w:rFonts w:ascii="Times New Roman" w:hAnsi="Times New Roman" w:cs="Times New Roman"/>
          <w:sz w:val="24"/>
          <w:szCs w:val="24"/>
        </w:rPr>
        <w:t>;</w:t>
      </w:r>
    </w:p>
    <w:p w:rsidR="008A58FE" w:rsidRPr="00515061" w:rsidRDefault="002E1A40"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W</w:t>
      </w:r>
      <w:r w:rsidR="008B1BF6" w:rsidRPr="00515061">
        <w:rPr>
          <w:rFonts w:ascii="Times New Roman" w:hAnsi="Times New Roman" w:cs="Times New Roman"/>
          <w:sz w:val="24"/>
          <w:szCs w:val="24"/>
        </w:rPr>
        <w:t xml:space="preserve">ater </w:t>
      </w:r>
      <w:r w:rsidRPr="00515061">
        <w:rPr>
          <w:rFonts w:ascii="Times New Roman" w:hAnsi="Times New Roman" w:cs="Times New Roman"/>
          <w:sz w:val="24"/>
          <w:szCs w:val="24"/>
        </w:rPr>
        <w:t>R</w:t>
      </w:r>
      <w:r w:rsidR="008B1BF6" w:rsidRPr="00515061">
        <w:rPr>
          <w:rFonts w:ascii="Times New Roman" w:hAnsi="Times New Roman" w:cs="Times New Roman"/>
          <w:sz w:val="24"/>
          <w:szCs w:val="24"/>
        </w:rPr>
        <w:t xml:space="preserve">esource </w:t>
      </w:r>
      <w:r w:rsidRPr="00515061">
        <w:rPr>
          <w:rFonts w:ascii="Times New Roman" w:hAnsi="Times New Roman" w:cs="Times New Roman"/>
          <w:sz w:val="24"/>
          <w:szCs w:val="24"/>
        </w:rPr>
        <w:t>P</w:t>
      </w:r>
      <w:r w:rsidR="008B1BF6" w:rsidRPr="00515061">
        <w:rPr>
          <w:rFonts w:ascii="Times New Roman" w:hAnsi="Times New Roman" w:cs="Times New Roman"/>
          <w:sz w:val="24"/>
          <w:szCs w:val="24"/>
        </w:rPr>
        <w:t>lan</w:t>
      </w:r>
      <w:r w:rsidRPr="00515061">
        <w:rPr>
          <w:rFonts w:ascii="Times New Roman" w:hAnsi="Times New Roman" w:cs="Times New Roman"/>
          <w:sz w:val="24"/>
          <w:szCs w:val="24"/>
        </w:rPr>
        <w:t xml:space="preserve"> requirements</w:t>
      </w:r>
      <w:r w:rsidR="00143D86" w:rsidRPr="00515061">
        <w:rPr>
          <w:rFonts w:ascii="Times New Roman" w:hAnsi="Times New Roman" w:cs="Times New Roman"/>
          <w:sz w:val="24"/>
          <w:szCs w:val="24"/>
        </w:rPr>
        <w:t>; and</w:t>
      </w:r>
    </w:p>
    <w:p w:rsidR="0075739A" w:rsidRPr="00515061" w:rsidRDefault="002E1A40"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Other minor amendments</w:t>
      </w:r>
      <w:r w:rsidR="00143D86" w:rsidRPr="00515061">
        <w:rPr>
          <w:rFonts w:ascii="Times New Roman" w:hAnsi="Times New Roman" w:cs="Times New Roman"/>
          <w:sz w:val="24"/>
          <w:szCs w:val="24"/>
        </w:rPr>
        <w:t>.</w:t>
      </w:r>
    </w:p>
    <w:p w:rsidR="000E382B" w:rsidRDefault="000E382B" w:rsidP="00511B9B">
      <w:pPr>
        <w:pStyle w:val="ListParagraph"/>
        <w:spacing w:after="0"/>
        <w:rPr>
          <w:rFonts w:ascii="Times New Roman" w:hAnsi="Times New Roman" w:cs="Times New Roman"/>
          <w:b/>
          <w:sz w:val="24"/>
          <w:szCs w:val="24"/>
        </w:rPr>
      </w:pPr>
    </w:p>
    <w:p w:rsidR="00EC717A" w:rsidRDefault="00EC717A" w:rsidP="00511B9B">
      <w:pPr>
        <w:pStyle w:val="ListParagraph"/>
        <w:spacing w:after="0"/>
        <w:rPr>
          <w:rFonts w:ascii="Times New Roman" w:hAnsi="Times New Roman" w:cs="Times New Roman"/>
          <w:b/>
          <w:sz w:val="24"/>
          <w:szCs w:val="24"/>
        </w:rPr>
      </w:pPr>
    </w:p>
    <w:p w:rsidR="00EC717A" w:rsidRDefault="00EC717A" w:rsidP="00511B9B">
      <w:pPr>
        <w:pStyle w:val="ListParagraph"/>
        <w:spacing w:after="0"/>
        <w:rPr>
          <w:rFonts w:ascii="Times New Roman" w:hAnsi="Times New Roman" w:cs="Times New Roman"/>
          <w:b/>
          <w:sz w:val="24"/>
          <w:szCs w:val="24"/>
        </w:rPr>
      </w:pPr>
    </w:p>
    <w:p w:rsidR="00EC717A" w:rsidRDefault="00EC717A" w:rsidP="00511B9B">
      <w:pPr>
        <w:pStyle w:val="ListParagraph"/>
        <w:spacing w:after="0"/>
        <w:rPr>
          <w:rFonts w:ascii="Times New Roman" w:hAnsi="Times New Roman" w:cs="Times New Roman"/>
          <w:b/>
          <w:sz w:val="24"/>
          <w:szCs w:val="24"/>
        </w:rPr>
      </w:pPr>
    </w:p>
    <w:p w:rsidR="00EC717A" w:rsidRPr="00515061" w:rsidRDefault="00EC717A" w:rsidP="00511B9B">
      <w:pPr>
        <w:pStyle w:val="ListParagraph"/>
        <w:spacing w:after="0"/>
        <w:rPr>
          <w:rFonts w:ascii="Times New Roman" w:hAnsi="Times New Roman" w:cs="Times New Roman"/>
          <w:b/>
          <w:sz w:val="24"/>
          <w:szCs w:val="24"/>
        </w:rPr>
      </w:pPr>
    </w:p>
    <w:p w:rsidR="000E382B" w:rsidRPr="00515061" w:rsidRDefault="008A58FE" w:rsidP="00511B9B">
      <w:pPr>
        <w:pStyle w:val="ListParagraph"/>
        <w:numPr>
          <w:ilvl w:val="0"/>
          <w:numId w:val="16"/>
        </w:numPr>
        <w:spacing w:after="0"/>
        <w:rPr>
          <w:rFonts w:ascii="Times New Roman" w:hAnsi="Times New Roman" w:cs="Times New Roman"/>
          <w:b/>
          <w:sz w:val="24"/>
          <w:szCs w:val="24"/>
        </w:rPr>
      </w:pPr>
      <w:r w:rsidRPr="00515061">
        <w:rPr>
          <w:rFonts w:ascii="Times New Roman" w:hAnsi="Times New Roman" w:cs="Times New Roman"/>
          <w:b/>
          <w:sz w:val="24"/>
          <w:szCs w:val="24"/>
        </w:rPr>
        <w:t>Shared reduction amount methodology (items 16, 32-3</w:t>
      </w:r>
      <w:r w:rsidR="00FC3E51">
        <w:rPr>
          <w:rFonts w:ascii="Times New Roman" w:hAnsi="Times New Roman" w:cs="Times New Roman"/>
          <w:b/>
          <w:sz w:val="24"/>
          <w:szCs w:val="24"/>
        </w:rPr>
        <w:t>8</w:t>
      </w:r>
      <w:r w:rsidRPr="00515061">
        <w:rPr>
          <w:rFonts w:ascii="Times New Roman" w:hAnsi="Times New Roman" w:cs="Times New Roman"/>
          <w:b/>
          <w:sz w:val="24"/>
          <w:szCs w:val="24"/>
        </w:rPr>
        <w:t>)</w:t>
      </w:r>
      <w:bookmarkStart w:id="31" w:name="_Toc466982415"/>
      <w:bookmarkStart w:id="32" w:name="_Toc465685254"/>
    </w:p>
    <w:p w:rsidR="00954B89" w:rsidRPr="00515061" w:rsidRDefault="00954B89" w:rsidP="00511B9B">
      <w:pPr>
        <w:pStyle w:val="ListParagraph"/>
        <w:spacing w:after="0"/>
        <w:ind w:left="0"/>
        <w:rPr>
          <w:rFonts w:ascii="Times New Roman" w:hAnsi="Times New Roman" w:cs="Times New Roman"/>
          <w:bCs/>
          <w:sz w:val="24"/>
          <w:szCs w:val="24"/>
          <w:u w:val="single"/>
        </w:rPr>
      </w:pPr>
    </w:p>
    <w:p w:rsidR="00954B89" w:rsidRPr="00515061" w:rsidRDefault="008A58FE" w:rsidP="00511B9B">
      <w:pPr>
        <w:pStyle w:val="ListParagraph"/>
        <w:spacing w:after="0"/>
        <w:ind w:left="0"/>
        <w:rPr>
          <w:rFonts w:ascii="Times New Roman" w:hAnsi="Times New Roman" w:cs="Times New Roman"/>
          <w:bCs/>
          <w:sz w:val="24"/>
          <w:szCs w:val="24"/>
          <w:u w:val="single"/>
        </w:rPr>
      </w:pPr>
      <w:r w:rsidRPr="00515061">
        <w:rPr>
          <w:rFonts w:ascii="Times New Roman" w:hAnsi="Times New Roman" w:cs="Times New Roman"/>
          <w:bCs/>
          <w:sz w:val="24"/>
          <w:szCs w:val="24"/>
          <w:u w:val="single"/>
        </w:rPr>
        <w:t>Sustainable diversion limit resource unit shared reduction amount</w:t>
      </w:r>
      <w:bookmarkEnd w:id="31"/>
    </w:p>
    <w:p w:rsidR="00954B89" w:rsidRPr="00515061" w:rsidRDefault="00954B89" w:rsidP="00511B9B">
      <w:pPr>
        <w:pStyle w:val="ListParagraph"/>
        <w:spacing w:after="0"/>
        <w:ind w:left="0"/>
        <w:rPr>
          <w:rFonts w:ascii="Times New Roman" w:hAnsi="Times New Roman" w:cs="Times New Roman"/>
          <w:bCs/>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Basin Plan sets an overall limit on the amount of water that can be taken for town water supplies, industry, agriculture and other human or consumptive uses, while ensuring there is enough water to achieve healthy river and groundwater systems. It sets the amount of water that needs to be recovered to achieve a healthy working basin.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Basin Plan divides this recovery into a volume to meet local environmental needs and a volume that contributes to the environmental needs of the Murray and Darling rivers. The local reduction amount is (in most cases) the minimum reduction required within each SDL resource unit to satisfy local environmental needs. Shared reduction amounts are the further recovery required, in addition to the local reduction amounts, to satisfy the environmental needs of these large rivers.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6.05(4) of the Basin Plan sets out a default method for allocating the shared reduction amount amongst SDL resource units in each of the shared reduction zones,</w:t>
      </w:r>
      <w:r w:rsidR="00F946EC" w:rsidRPr="00515061">
        <w:rPr>
          <w:rFonts w:ascii="Times New Roman" w:hAnsi="Times New Roman" w:cs="Times New Roman"/>
          <w:sz w:val="24"/>
          <w:szCs w:val="24"/>
        </w:rPr>
        <w:t xml:space="preserve"> </w:t>
      </w:r>
      <w:r w:rsidRPr="00515061">
        <w:rPr>
          <w:rFonts w:ascii="Times New Roman" w:hAnsi="Times New Roman" w:cs="Times New Roman"/>
          <w:sz w:val="24"/>
          <w:szCs w:val="24"/>
        </w:rPr>
        <w:t>that is</w:t>
      </w:r>
      <w:r w:rsidR="00BC258A"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zones set out in subsection 6.05(3).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Outcome of the amendments to the re-allocation of the shared reduction requests</w:t>
      </w:r>
    </w:p>
    <w:p w:rsidR="00954B89" w:rsidRPr="00515061" w:rsidRDefault="00954B89" w:rsidP="00511B9B">
      <w:pPr>
        <w:pStyle w:val="ListParagraph"/>
        <w:spacing w:after="0"/>
        <w:ind w:left="0"/>
        <w:rPr>
          <w:rFonts w:ascii="Times New Roman" w:hAnsi="Times New Roman" w:cs="Times New Roman"/>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intended outcome of the changes to sections 6.05 (see </w:t>
      </w:r>
      <w:r w:rsidR="00AE7481"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7.14A (see </w:t>
      </w:r>
      <w:r w:rsidRPr="00515061">
        <w:rPr>
          <w:rFonts w:ascii="Times New Roman" w:hAnsi="Times New Roman" w:cs="Times New Roman"/>
          <w:b/>
          <w:sz w:val="24"/>
          <w:szCs w:val="24"/>
        </w:rPr>
        <w:t xml:space="preserve">item </w:t>
      </w:r>
      <w:r w:rsidR="00FC3E51" w:rsidRPr="00515061">
        <w:rPr>
          <w:rFonts w:ascii="Times New Roman" w:hAnsi="Times New Roman" w:cs="Times New Roman"/>
          <w:b/>
          <w:sz w:val="24"/>
          <w:szCs w:val="24"/>
        </w:rPr>
        <w:t>3</w:t>
      </w:r>
      <w:r w:rsidR="00FC3E51">
        <w:rPr>
          <w:rFonts w:ascii="Times New Roman" w:hAnsi="Times New Roman" w:cs="Times New Roman"/>
          <w:b/>
          <w:sz w:val="24"/>
          <w:szCs w:val="24"/>
        </w:rPr>
        <w:t>7</w:t>
      </w:r>
      <w:r w:rsidRPr="00515061">
        <w:rPr>
          <w:rFonts w:ascii="Times New Roman" w:hAnsi="Times New Roman" w:cs="Times New Roman"/>
          <w:sz w:val="24"/>
          <w:szCs w:val="24"/>
        </w:rPr>
        <w:t xml:space="preserve">) and the deletion of section 7.23 (see </w:t>
      </w:r>
      <w:r w:rsidRPr="00515061">
        <w:rPr>
          <w:rFonts w:ascii="Times New Roman" w:hAnsi="Times New Roman" w:cs="Times New Roman"/>
          <w:b/>
          <w:sz w:val="24"/>
          <w:szCs w:val="24"/>
        </w:rPr>
        <w:t>item 3</w:t>
      </w:r>
      <w:r w:rsidR="00FC3E51">
        <w:rPr>
          <w:rFonts w:ascii="Times New Roman" w:hAnsi="Times New Roman" w:cs="Times New Roman"/>
          <w:b/>
          <w:sz w:val="24"/>
          <w:szCs w:val="24"/>
        </w:rPr>
        <w:t>8</w:t>
      </w:r>
      <w:r w:rsidRPr="00515061">
        <w:rPr>
          <w:rFonts w:ascii="Times New Roman" w:hAnsi="Times New Roman" w:cs="Times New Roman"/>
          <w:sz w:val="24"/>
          <w:szCs w:val="24"/>
        </w:rPr>
        <w:t xml:space="preserve">) </w:t>
      </w:r>
      <w:r w:rsidR="00B5074E">
        <w:rPr>
          <w:rFonts w:ascii="Times New Roman" w:hAnsi="Times New Roman" w:cs="Times New Roman"/>
          <w:sz w:val="24"/>
          <w:szCs w:val="24"/>
        </w:rPr>
        <w:t>was</w:t>
      </w:r>
      <w:r w:rsidRPr="00515061">
        <w:rPr>
          <w:rFonts w:ascii="Times New Roman" w:hAnsi="Times New Roman" w:cs="Times New Roman"/>
          <w:sz w:val="24"/>
          <w:szCs w:val="24"/>
        </w:rPr>
        <w:t xml:space="preserve"> to provide </w:t>
      </w:r>
      <w:r w:rsidR="001718B5" w:rsidRPr="00515061">
        <w:rPr>
          <w:rFonts w:ascii="Times New Roman" w:hAnsi="Times New Roman" w:cs="Times New Roman"/>
          <w:sz w:val="24"/>
          <w:szCs w:val="24"/>
        </w:rPr>
        <w:t xml:space="preserve">Basin States more time to finalise </w:t>
      </w:r>
      <w:r w:rsidRPr="00515061">
        <w:rPr>
          <w:rFonts w:ascii="Times New Roman" w:hAnsi="Times New Roman" w:cs="Times New Roman"/>
          <w:sz w:val="24"/>
          <w:szCs w:val="24"/>
        </w:rPr>
        <w:t xml:space="preserve">a re-allocation adjustment request of the shared reduction amount for a zone (the shared reduction request).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1718B5"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3</w:t>
      </w:r>
      <w:r w:rsidR="00FC3E51">
        <w:rPr>
          <w:rFonts w:ascii="Times New Roman" w:hAnsi="Times New Roman" w:cs="Times New Roman"/>
          <w:b/>
          <w:sz w:val="24"/>
          <w:szCs w:val="24"/>
        </w:rPr>
        <w:t>7</w:t>
      </w:r>
      <w:r w:rsidR="008A58FE" w:rsidRPr="00515061">
        <w:rPr>
          <w:rFonts w:ascii="Times New Roman" w:hAnsi="Times New Roman" w:cs="Times New Roman"/>
          <w:sz w:val="24"/>
          <w:szCs w:val="24"/>
        </w:rPr>
        <w:t xml:space="preserve"> </w:t>
      </w:r>
      <w:r w:rsidR="00CC0ECD">
        <w:rPr>
          <w:rFonts w:ascii="Times New Roman" w:hAnsi="Times New Roman" w:cs="Times New Roman"/>
          <w:sz w:val="24"/>
          <w:szCs w:val="24"/>
        </w:rPr>
        <w:t>i</w:t>
      </w:r>
      <w:r w:rsidR="008B67FE">
        <w:rPr>
          <w:rFonts w:ascii="Times New Roman" w:hAnsi="Times New Roman" w:cs="Times New Roman"/>
          <w:sz w:val="24"/>
          <w:szCs w:val="24"/>
        </w:rPr>
        <w:t>nsert</w:t>
      </w:r>
      <w:r w:rsidR="00CC0ECD">
        <w:rPr>
          <w:rFonts w:ascii="Times New Roman" w:hAnsi="Times New Roman" w:cs="Times New Roman"/>
          <w:sz w:val="24"/>
          <w:szCs w:val="24"/>
        </w:rPr>
        <w:t>s a new</w:t>
      </w:r>
      <w:r w:rsidR="00B5074E">
        <w:rPr>
          <w:rFonts w:ascii="Times New Roman" w:hAnsi="Times New Roman" w:cs="Times New Roman"/>
          <w:sz w:val="24"/>
          <w:szCs w:val="24"/>
        </w:rPr>
        <w:t xml:space="preserve"> </w:t>
      </w:r>
      <w:r w:rsidRPr="00515061">
        <w:rPr>
          <w:rFonts w:ascii="Times New Roman" w:hAnsi="Times New Roman" w:cs="Times New Roman"/>
          <w:sz w:val="24"/>
          <w:szCs w:val="24"/>
        </w:rPr>
        <w:t>section 7.14</w:t>
      </w:r>
      <w:r w:rsidR="00CC0ECD">
        <w:rPr>
          <w:rFonts w:ascii="Times New Roman" w:hAnsi="Times New Roman" w:cs="Times New Roman"/>
          <w:sz w:val="24"/>
          <w:szCs w:val="24"/>
        </w:rPr>
        <w:t>A</w:t>
      </w:r>
      <w:r w:rsidR="00B5074E">
        <w:rPr>
          <w:rFonts w:ascii="Times New Roman" w:hAnsi="Times New Roman" w:cs="Times New Roman"/>
          <w:sz w:val="24"/>
          <w:szCs w:val="24"/>
        </w:rPr>
        <w:t xml:space="preserve"> </w:t>
      </w:r>
      <w:r w:rsidR="009B27B8">
        <w:rPr>
          <w:rFonts w:ascii="Times New Roman" w:hAnsi="Times New Roman" w:cs="Times New Roman"/>
          <w:sz w:val="24"/>
          <w:szCs w:val="24"/>
        </w:rPr>
        <w:t>that</w:t>
      </w:r>
      <w:r w:rsidR="00B5074E">
        <w:rPr>
          <w:rFonts w:ascii="Times New Roman" w:hAnsi="Times New Roman" w:cs="Times New Roman"/>
          <w:sz w:val="24"/>
          <w:szCs w:val="24"/>
        </w:rPr>
        <w:t>, when introduced in</w:t>
      </w:r>
      <w:r w:rsidR="009F43BB">
        <w:rPr>
          <w:rFonts w:ascii="Times New Roman" w:hAnsi="Times New Roman" w:cs="Times New Roman"/>
          <w:sz w:val="24"/>
          <w:szCs w:val="24"/>
        </w:rPr>
        <w:t xml:space="preserve"> the</w:t>
      </w:r>
      <w:r w:rsidR="00B5074E">
        <w:rPr>
          <w:rFonts w:ascii="Times New Roman" w:hAnsi="Times New Roman" w:cs="Times New Roman"/>
          <w:sz w:val="24"/>
          <w:szCs w:val="24"/>
        </w:rPr>
        <w:t xml:space="preserve"> </w:t>
      </w:r>
      <w:r w:rsidR="00446A72">
        <w:rPr>
          <w:rFonts w:ascii="Times New Roman" w:hAnsi="Times New Roman" w:cs="Times New Roman"/>
          <w:sz w:val="24"/>
          <w:szCs w:val="24"/>
        </w:rPr>
        <w:t xml:space="preserve">Disallowed Instrument </w:t>
      </w:r>
      <w:r w:rsidR="008A58FE" w:rsidRPr="00515061">
        <w:rPr>
          <w:rFonts w:ascii="Times New Roman" w:hAnsi="Times New Roman" w:cs="Times New Roman"/>
          <w:sz w:val="24"/>
          <w:szCs w:val="24"/>
        </w:rPr>
        <w:t>enable</w:t>
      </w:r>
      <w:r w:rsidR="00B5074E">
        <w:rPr>
          <w:rFonts w:ascii="Times New Roman" w:hAnsi="Times New Roman" w:cs="Times New Roman"/>
          <w:sz w:val="24"/>
          <w:szCs w:val="24"/>
        </w:rPr>
        <w:t>d</w:t>
      </w:r>
      <w:r w:rsidR="00231B1A" w:rsidRPr="00515061">
        <w:rPr>
          <w:rFonts w:ascii="Times New Roman" w:hAnsi="Times New Roman" w:cs="Times New Roman"/>
          <w:sz w:val="24"/>
          <w:szCs w:val="24"/>
        </w:rPr>
        <w:t xml:space="preserve"> a Basin S</w:t>
      </w:r>
      <w:r w:rsidR="008A58FE" w:rsidRPr="00515061">
        <w:rPr>
          <w:rFonts w:ascii="Times New Roman" w:hAnsi="Times New Roman" w:cs="Times New Roman"/>
          <w:sz w:val="24"/>
          <w:szCs w:val="24"/>
        </w:rPr>
        <w:t xml:space="preserve">tate to advise a reallocation of the shared reduction amount by 30 June 2017 for the purpose of allowing the Authority to determine the SDL adjustment in December 2017 and June 2024. </w:t>
      </w:r>
      <w:r w:rsidR="00B5074E">
        <w:rPr>
          <w:rFonts w:ascii="Times New Roman" w:hAnsi="Times New Roman" w:cs="Times New Roman"/>
          <w:sz w:val="24"/>
          <w:szCs w:val="24"/>
        </w:rPr>
        <w:t>Re-introducing section 7.14A in th</w:t>
      </w:r>
      <w:r w:rsidR="009F43BB">
        <w:rPr>
          <w:rFonts w:ascii="Times New Roman" w:hAnsi="Times New Roman" w:cs="Times New Roman"/>
          <w:sz w:val="24"/>
          <w:szCs w:val="24"/>
        </w:rPr>
        <w:t>is</w:t>
      </w:r>
      <w:r w:rsidR="00B5074E">
        <w:rPr>
          <w:rFonts w:ascii="Times New Roman" w:hAnsi="Times New Roman" w:cs="Times New Roman"/>
          <w:sz w:val="24"/>
          <w:szCs w:val="24"/>
        </w:rPr>
        <w:t xml:space="preserve"> Amendment Instrument will provide </w:t>
      </w:r>
      <w:r w:rsidR="008A58FE" w:rsidRPr="00515061">
        <w:rPr>
          <w:rFonts w:ascii="Times New Roman" w:hAnsi="Times New Roman" w:cs="Times New Roman"/>
          <w:sz w:val="24"/>
          <w:szCs w:val="24"/>
        </w:rPr>
        <w:t>certainty in the process if there is a reconciliation of SDL adjustment mechanism re</w:t>
      </w:r>
      <w:r w:rsidR="00CC0ECD">
        <w:rPr>
          <w:rFonts w:ascii="Times New Roman" w:hAnsi="Times New Roman" w:cs="Times New Roman"/>
          <w:sz w:val="24"/>
          <w:szCs w:val="24"/>
        </w:rPr>
        <w:t xml:space="preserve">quired in 2024. That is, </w:t>
      </w:r>
      <w:r w:rsidR="008A58FE" w:rsidRPr="00515061">
        <w:rPr>
          <w:rFonts w:ascii="Times New Roman" w:hAnsi="Times New Roman" w:cs="Times New Roman"/>
          <w:sz w:val="24"/>
          <w:szCs w:val="24"/>
        </w:rPr>
        <w:t xml:space="preserve">the same shared reduction amounts used for the purpose of calculating initial adjustments in 2017 </w:t>
      </w:r>
      <w:r w:rsidR="00B5074E">
        <w:rPr>
          <w:rFonts w:ascii="Times New Roman" w:hAnsi="Times New Roman" w:cs="Times New Roman"/>
          <w:sz w:val="24"/>
          <w:szCs w:val="24"/>
        </w:rPr>
        <w:t xml:space="preserve">will </w:t>
      </w:r>
      <w:r w:rsidR="008B67FE">
        <w:rPr>
          <w:rFonts w:ascii="Times New Roman" w:hAnsi="Times New Roman" w:cs="Times New Roman"/>
          <w:sz w:val="24"/>
          <w:szCs w:val="24"/>
        </w:rPr>
        <w:t xml:space="preserve">also </w:t>
      </w:r>
      <w:r w:rsidR="00B5074E">
        <w:rPr>
          <w:rFonts w:ascii="Times New Roman" w:hAnsi="Times New Roman" w:cs="Times New Roman"/>
          <w:sz w:val="24"/>
          <w:szCs w:val="24"/>
        </w:rPr>
        <w:t xml:space="preserve">be used </w:t>
      </w:r>
      <w:r w:rsidR="008A58FE" w:rsidRPr="00515061">
        <w:rPr>
          <w:rFonts w:ascii="Times New Roman" w:hAnsi="Times New Roman" w:cs="Times New Roman"/>
          <w:sz w:val="24"/>
          <w:szCs w:val="24"/>
        </w:rPr>
        <w:t>any reconciliation in 2024. See further detail on section 7.14A (</w:t>
      </w:r>
      <w:r w:rsidR="008A58FE" w:rsidRPr="00515061">
        <w:rPr>
          <w:rFonts w:ascii="Times New Roman" w:hAnsi="Times New Roman" w:cs="Times New Roman"/>
          <w:b/>
          <w:sz w:val="24"/>
          <w:szCs w:val="24"/>
        </w:rPr>
        <w:t>item 3</w:t>
      </w:r>
      <w:r w:rsidR="00FC3E51">
        <w:rPr>
          <w:rFonts w:ascii="Times New Roman" w:hAnsi="Times New Roman" w:cs="Times New Roman"/>
          <w:b/>
          <w:sz w:val="24"/>
          <w:szCs w:val="24"/>
        </w:rPr>
        <w:t>7</w:t>
      </w:r>
      <w:r w:rsidR="008A58FE" w:rsidRPr="00515061">
        <w:rPr>
          <w:rFonts w:ascii="Times New Roman" w:hAnsi="Times New Roman" w:cs="Times New Roman"/>
          <w:sz w:val="24"/>
          <w:szCs w:val="24"/>
        </w:rPr>
        <w:t>) below.</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1718B5"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repeals and substitutes section 6.05 </w:t>
      </w:r>
      <w:r w:rsidR="000112C4">
        <w:rPr>
          <w:rFonts w:ascii="Times New Roman" w:hAnsi="Times New Roman" w:cs="Times New Roman"/>
          <w:sz w:val="24"/>
          <w:szCs w:val="24"/>
        </w:rPr>
        <w:t>to enable</w:t>
      </w:r>
      <w:r w:rsidR="008A58FE" w:rsidRPr="00515061">
        <w:rPr>
          <w:rFonts w:ascii="Times New Roman" w:hAnsi="Times New Roman" w:cs="Times New Roman"/>
          <w:sz w:val="24"/>
          <w:szCs w:val="24"/>
        </w:rPr>
        <w:t xml:space="preserve"> a Basin State to </w:t>
      </w:r>
      <w:r w:rsidR="000112C4">
        <w:rPr>
          <w:rFonts w:ascii="Times New Roman" w:hAnsi="Times New Roman" w:cs="Times New Roman"/>
          <w:sz w:val="24"/>
          <w:szCs w:val="24"/>
        </w:rPr>
        <w:t>request</w:t>
      </w:r>
      <w:r w:rsidR="008A58FE" w:rsidRPr="00515061">
        <w:rPr>
          <w:rFonts w:ascii="Times New Roman" w:hAnsi="Times New Roman" w:cs="Times New Roman"/>
          <w:sz w:val="24"/>
          <w:szCs w:val="24"/>
        </w:rPr>
        <w:t xml:space="preserve"> a reallocation of the shared reduction amount up to 30 June 2018</w:t>
      </w:r>
      <w:r w:rsidR="00AE0FC7">
        <w:rPr>
          <w:rFonts w:ascii="Times New Roman" w:hAnsi="Times New Roman" w:cs="Times New Roman"/>
          <w:sz w:val="24"/>
          <w:szCs w:val="24"/>
        </w:rPr>
        <w:t>,</w:t>
      </w:r>
      <w:r w:rsidR="000F2F4B">
        <w:rPr>
          <w:rFonts w:ascii="Times New Roman" w:hAnsi="Times New Roman" w:cs="Times New Roman"/>
          <w:sz w:val="24"/>
          <w:szCs w:val="24"/>
        </w:rPr>
        <w:t xml:space="preserve"> in anticipation of this Am</w:t>
      </w:r>
      <w:r w:rsidR="00AE0FC7">
        <w:rPr>
          <w:rFonts w:ascii="Times New Roman" w:hAnsi="Times New Roman" w:cs="Times New Roman"/>
          <w:sz w:val="24"/>
          <w:szCs w:val="24"/>
        </w:rPr>
        <w:t>endment Instrument becoming law. This is f</w:t>
      </w:r>
      <w:r w:rsidR="008A58FE" w:rsidRPr="00515061">
        <w:rPr>
          <w:rFonts w:ascii="Times New Roman" w:hAnsi="Times New Roman" w:cs="Times New Roman"/>
          <w:sz w:val="24"/>
          <w:szCs w:val="24"/>
        </w:rPr>
        <w:t>or the purpose of settling SDLs for accreditation of the WRPs, while also enabling the Australian Government to plan any remaining water recovery required to ‘bridge the gap’ by 30 June 2019. See further detail on section 6.05 (</w:t>
      </w:r>
      <w:r w:rsidR="008A58FE" w:rsidRPr="00515061">
        <w:rPr>
          <w:rFonts w:ascii="Times New Roman" w:hAnsi="Times New Roman" w:cs="Times New Roman"/>
          <w:b/>
          <w:sz w:val="24"/>
          <w:szCs w:val="24"/>
        </w:rPr>
        <w:t>item 16</w:t>
      </w:r>
      <w:r w:rsidR="008A58FE" w:rsidRPr="00515061">
        <w:rPr>
          <w:rFonts w:ascii="Times New Roman" w:hAnsi="Times New Roman" w:cs="Times New Roman"/>
          <w:sz w:val="24"/>
          <w:szCs w:val="24"/>
        </w:rPr>
        <w:t>) below.</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Additional flexibility has also been provided by allowing Basin States to make a variation to the shared reduction volumes by 31 December 2018</w:t>
      </w:r>
      <w:r w:rsidR="00EC10BF" w:rsidRPr="00515061">
        <w:rPr>
          <w:rFonts w:ascii="Times New Roman" w:hAnsi="Times New Roman" w:cs="Times New Roman"/>
          <w:sz w:val="24"/>
          <w:szCs w:val="24"/>
        </w:rPr>
        <w:t>,</w:t>
      </w:r>
      <w:r w:rsidRPr="00515061">
        <w:rPr>
          <w:rFonts w:ascii="Times New Roman" w:hAnsi="Times New Roman" w:cs="Times New Roman"/>
          <w:sz w:val="24"/>
          <w:szCs w:val="24"/>
        </w:rPr>
        <w:t xml:space="preserve"> in circumstances where the Authority and the Department consider it appropriate to accommodate ch</w:t>
      </w:r>
      <w:r w:rsidR="00954B89" w:rsidRPr="00515061">
        <w:rPr>
          <w:rFonts w:ascii="Times New Roman" w:hAnsi="Times New Roman" w:cs="Times New Roman"/>
          <w:sz w:val="24"/>
          <w:szCs w:val="24"/>
        </w:rPr>
        <w:t>anges in water recovery targets.</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Shared reduction requests for the purposes of the SDL adjustment mechanism (</w:t>
      </w:r>
      <w:r w:rsidRPr="00515061">
        <w:rPr>
          <w:rFonts w:ascii="Times New Roman" w:hAnsi="Times New Roman" w:cs="Times New Roman"/>
          <w:b/>
          <w:sz w:val="24"/>
          <w:szCs w:val="24"/>
          <w:u w:val="single"/>
        </w:rPr>
        <w:t>items 32-3</w:t>
      </w:r>
      <w:r w:rsidR="00FC3E51">
        <w:rPr>
          <w:rFonts w:ascii="Times New Roman" w:hAnsi="Times New Roman" w:cs="Times New Roman"/>
          <w:b/>
          <w:sz w:val="24"/>
          <w:szCs w:val="24"/>
          <w:u w:val="single"/>
        </w:rPr>
        <w:t>8</w:t>
      </w:r>
      <w:r w:rsidRPr="00515061">
        <w:rPr>
          <w:rFonts w:ascii="Times New Roman" w:hAnsi="Times New Roman" w:cs="Times New Roman"/>
          <w:sz w:val="24"/>
          <w:szCs w:val="24"/>
          <w:u w:val="single"/>
        </w:rPr>
        <w:t>)</w:t>
      </w:r>
    </w:p>
    <w:p w:rsidR="00863700" w:rsidRDefault="00863700" w:rsidP="00A20A67">
      <w:pPr>
        <w:spacing w:after="0"/>
        <w:rPr>
          <w:rFonts w:ascii="Times New Roman" w:hAnsi="Times New Roman" w:cs="Times New Roman"/>
          <w:b/>
          <w:sz w:val="24"/>
          <w:szCs w:val="24"/>
        </w:rPr>
      </w:pPr>
    </w:p>
    <w:p w:rsidR="00863700" w:rsidRPr="00A20A67" w:rsidRDefault="008A58FE" w:rsidP="00A20A67">
      <w:pPr>
        <w:spacing w:after="0"/>
        <w:rPr>
          <w:rFonts w:ascii="Times New Roman" w:hAnsi="Times New Roman" w:cs="Times New Roman"/>
          <w:sz w:val="24"/>
          <w:szCs w:val="24"/>
        </w:rPr>
      </w:pPr>
      <w:r w:rsidRPr="00A20A67">
        <w:rPr>
          <w:rFonts w:ascii="Times New Roman" w:hAnsi="Times New Roman" w:cs="Times New Roman"/>
          <w:b/>
          <w:sz w:val="24"/>
          <w:szCs w:val="24"/>
        </w:rPr>
        <w:t>Item 3</w:t>
      </w:r>
      <w:r w:rsidR="00FC3E51" w:rsidRPr="00A20A67">
        <w:rPr>
          <w:rFonts w:ascii="Times New Roman" w:hAnsi="Times New Roman" w:cs="Times New Roman"/>
          <w:b/>
          <w:sz w:val="24"/>
          <w:szCs w:val="24"/>
        </w:rPr>
        <w:t>7</w:t>
      </w:r>
      <w:r w:rsidRPr="00A20A67">
        <w:rPr>
          <w:rFonts w:ascii="Times New Roman" w:hAnsi="Times New Roman" w:cs="Times New Roman"/>
          <w:sz w:val="24"/>
          <w:szCs w:val="24"/>
        </w:rPr>
        <w:t xml:space="preserve"> </w:t>
      </w:r>
      <w:r w:rsidR="00863700" w:rsidRPr="00A20A67">
        <w:rPr>
          <w:rFonts w:ascii="Times New Roman" w:hAnsi="Times New Roman" w:cs="Times New Roman"/>
          <w:sz w:val="24"/>
          <w:szCs w:val="24"/>
        </w:rPr>
        <w:t xml:space="preserve">inserts a new section 7.14A in Division 4 of Part 2 of Chapter 7 of the Basin Plan. This section recognises that the Basin States were able to provide a request for the re-allocation of the shared reduction amount by 30 June 2017, in anticipation of the insertion of the section by the </w:t>
      </w:r>
      <w:r w:rsidR="00522306">
        <w:rPr>
          <w:rFonts w:ascii="Times New Roman" w:hAnsi="Times New Roman" w:cs="Times New Roman"/>
          <w:sz w:val="24"/>
          <w:szCs w:val="24"/>
        </w:rPr>
        <w:t>Disallowed Instrument</w:t>
      </w:r>
      <w:r w:rsidR="00863700" w:rsidRPr="00A20A67">
        <w:rPr>
          <w:rFonts w:ascii="Times New Roman" w:hAnsi="Times New Roman" w:cs="Times New Roman"/>
          <w:sz w:val="24"/>
          <w:szCs w:val="24"/>
        </w:rPr>
        <w:t xml:space="preserve">, for the purposes of the operation of the SDL adjustment mechanism.  </w:t>
      </w:r>
    </w:p>
    <w:p w:rsidR="00863700" w:rsidRDefault="00863700" w:rsidP="00A20A67">
      <w:pPr>
        <w:spacing w:after="0"/>
        <w:rPr>
          <w:rFonts w:ascii="Times New Roman" w:hAnsi="Times New Roman" w:cs="Times New Roman"/>
          <w:sz w:val="24"/>
          <w:szCs w:val="24"/>
        </w:rPr>
      </w:pPr>
    </w:p>
    <w:p w:rsidR="00863700" w:rsidRDefault="00863700" w:rsidP="00A20A67">
      <w:pPr>
        <w:spacing w:after="0"/>
        <w:rPr>
          <w:rFonts w:ascii="Times New Roman" w:hAnsi="Times New Roman" w:cs="Times New Roman"/>
          <w:sz w:val="24"/>
          <w:szCs w:val="24"/>
        </w:rPr>
      </w:pPr>
      <w:r w:rsidRPr="00A20A67">
        <w:rPr>
          <w:rFonts w:ascii="Times New Roman" w:hAnsi="Times New Roman" w:cs="Times New Roman"/>
          <w:sz w:val="24"/>
          <w:szCs w:val="24"/>
        </w:rPr>
        <w:t xml:space="preserve">Subsection 7.14A(1) provides for the default shared reduction calculated under subsection 6.05(4) of the Basin Plan to apply for the purposes of the SDL adjustment mechanism unless a Basin State has made a re-allocation reduction request in accordance with subsections 7.14A(2) and (3). Subsection 7.14A(3) defines a ‘re-allocation reduction request’ as one made under section 7.23 (as it stood prior to its repeal by the </w:t>
      </w:r>
      <w:r w:rsidR="00522306">
        <w:rPr>
          <w:rFonts w:ascii="Times New Roman" w:hAnsi="Times New Roman" w:cs="Times New Roman"/>
          <w:sz w:val="24"/>
          <w:szCs w:val="24"/>
        </w:rPr>
        <w:t>Disallowed Instrument</w:t>
      </w:r>
      <w:r w:rsidRPr="00A20A67">
        <w:rPr>
          <w:rFonts w:ascii="Times New Roman" w:hAnsi="Times New Roman" w:cs="Times New Roman"/>
          <w:sz w:val="24"/>
          <w:szCs w:val="24"/>
        </w:rPr>
        <w:t>) by 30 June 2016</w:t>
      </w:r>
      <w:r w:rsidR="0057163B">
        <w:rPr>
          <w:rFonts w:ascii="Times New Roman" w:hAnsi="Times New Roman" w:cs="Times New Roman"/>
          <w:sz w:val="24"/>
          <w:szCs w:val="24"/>
        </w:rPr>
        <w:t>,</w:t>
      </w:r>
      <w:r w:rsidRPr="00A20A67">
        <w:rPr>
          <w:rFonts w:ascii="Times New Roman" w:hAnsi="Times New Roman" w:cs="Times New Roman"/>
          <w:sz w:val="24"/>
          <w:szCs w:val="24"/>
        </w:rPr>
        <w:t xml:space="preserve"> or one made between 1 July 2016 and 3</w:t>
      </w:r>
      <w:r w:rsidRPr="0088724A">
        <w:rPr>
          <w:rFonts w:ascii="Times New Roman" w:hAnsi="Times New Roman" w:cs="Times New Roman"/>
          <w:sz w:val="24"/>
          <w:szCs w:val="24"/>
        </w:rPr>
        <w:t>0 June 2017 under section 7.14A</w:t>
      </w:r>
      <w:r>
        <w:rPr>
          <w:rFonts w:ascii="Times New Roman" w:hAnsi="Times New Roman" w:cs="Times New Roman"/>
          <w:sz w:val="24"/>
          <w:szCs w:val="24"/>
        </w:rPr>
        <w:t>,</w:t>
      </w:r>
      <w:r w:rsidRPr="00A20A67">
        <w:rPr>
          <w:rFonts w:ascii="Times New Roman" w:hAnsi="Times New Roman" w:cs="Times New Roman"/>
          <w:sz w:val="24"/>
          <w:szCs w:val="24"/>
        </w:rPr>
        <w:t xml:space="preserve"> in anticipation of the insertion of the section by the </w:t>
      </w:r>
      <w:r w:rsidR="00522306">
        <w:rPr>
          <w:rFonts w:ascii="Times New Roman" w:hAnsi="Times New Roman" w:cs="Times New Roman"/>
          <w:sz w:val="24"/>
          <w:szCs w:val="24"/>
        </w:rPr>
        <w:t>Disallowed Instrument</w:t>
      </w:r>
      <w:r w:rsidRPr="00A20A67">
        <w:rPr>
          <w:rFonts w:ascii="Times New Roman" w:hAnsi="Times New Roman" w:cs="Times New Roman"/>
          <w:sz w:val="24"/>
          <w:szCs w:val="24"/>
        </w:rPr>
        <w:t xml:space="preserve">. </w:t>
      </w:r>
    </w:p>
    <w:p w:rsidR="00863700" w:rsidRDefault="00863700" w:rsidP="00A20A67">
      <w:pPr>
        <w:spacing w:after="0"/>
        <w:rPr>
          <w:rFonts w:ascii="Times New Roman" w:hAnsi="Times New Roman" w:cs="Times New Roman"/>
          <w:sz w:val="24"/>
          <w:szCs w:val="24"/>
        </w:rPr>
      </w:pPr>
    </w:p>
    <w:p w:rsidR="00863700" w:rsidRPr="00A20A67" w:rsidRDefault="00863700" w:rsidP="00A20A67">
      <w:pPr>
        <w:spacing w:after="0"/>
        <w:rPr>
          <w:rFonts w:ascii="Times New Roman" w:hAnsi="Times New Roman" w:cs="Times New Roman"/>
          <w:sz w:val="24"/>
          <w:szCs w:val="24"/>
        </w:rPr>
      </w:pPr>
      <w:r w:rsidRPr="00A20A67">
        <w:rPr>
          <w:rFonts w:ascii="Times New Roman" w:hAnsi="Times New Roman" w:cs="Times New Roman"/>
          <w:sz w:val="24"/>
          <w:szCs w:val="24"/>
        </w:rPr>
        <w:t>Under paragraph 7.14A(3)(b) a re-allocation reduction request must ensure the total of the SDLs for the zone is the same as the shared reduction target set out in subsection 6.05(3) and cannot be less than zero for any SDL resource unit.</w:t>
      </w:r>
    </w:p>
    <w:p w:rsidR="00863700" w:rsidRDefault="00863700" w:rsidP="00A20A67">
      <w:pPr>
        <w:spacing w:after="0"/>
        <w:rPr>
          <w:rFonts w:ascii="Times New Roman" w:hAnsi="Times New Roman" w:cs="Times New Roman"/>
          <w:sz w:val="24"/>
          <w:szCs w:val="24"/>
        </w:rPr>
      </w:pPr>
    </w:p>
    <w:p w:rsidR="00863700" w:rsidRPr="00AA08FC" w:rsidRDefault="00863700" w:rsidP="00A20A67">
      <w:pPr>
        <w:spacing w:after="0"/>
        <w:rPr>
          <w:rFonts w:ascii="Times New Roman" w:hAnsi="Times New Roman" w:cs="Times New Roman"/>
          <w:sz w:val="24"/>
          <w:szCs w:val="24"/>
        </w:rPr>
      </w:pPr>
      <w:r w:rsidRPr="00AA08FC">
        <w:rPr>
          <w:rFonts w:ascii="Times New Roman" w:hAnsi="Times New Roman" w:cs="Times New Roman"/>
          <w:sz w:val="24"/>
          <w:szCs w:val="24"/>
        </w:rPr>
        <w:t xml:space="preserve">The </w:t>
      </w:r>
      <w:r w:rsidR="00522306">
        <w:rPr>
          <w:rFonts w:ascii="Times New Roman" w:hAnsi="Times New Roman" w:cs="Times New Roman"/>
          <w:sz w:val="24"/>
          <w:szCs w:val="24"/>
        </w:rPr>
        <w:t>Disallowed Instrument</w:t>
      </w:r>
      <w:r w:rsidRPr="00AA08FC">
        <w:rPr>
          <w:rFonts w:ascii="Times New Roman" w:hAnsi="Times New Roman" w:cs="Times New Roman"/>
          <w:sz w:val="24"/>
          <w:szCs w:val="24"/>
        </w:rPr>
        <w:t xml:space="preserve"> also inserted a similar version of section 7.14A into the Basin Plan which was in effect when the Authority determined the initial adjustments to the SDLs in 2017 (under Part 2 of Chapter 7 of the Basin Plan). This meant that, in determining the 2017 adjustments, the Authority determined the amount of the adjustments on the basis of the shared reduction amounts as requested by the states which met the definition of ‘re-allocation reduction request’. </w:t>
      </w:r>
    </w:p>
    <w:p w:rsidR="00863700" w:rsidRDefault="00863700" w:rsidP="00A20A67">
      <w:pPr>
        <w:spacing w:after="0"/>
        <w:rPr>
          <w:rFonts w:ascii="Times New Roman" w:hAnsi="Times New Roman" w:cs="Times New Roman"/>
          <w:sz w:val="24"/>
          <w:szCs w:val="24"/>
        </w:rPr>
      </w:pPr>
    </w:p>
    <w:p w:rsidR="00863700" w:rsidRPr="00AA08FC" w:rsidRDefault="00863700" w:rsidP="00A20A67">
      <w:pPr>
        <w:spacing w:after="0"/>
        <w:rPr>
          <w:rFonts w:ascii="Times New Roman" w:hAnsi="Times New Roman" w:cs="Times New Roman"/>
          <w:sz w:val="24"/>
          <w:szCs w:val="24"/>
        </w:rPr>
      </w:pPr>
      <w:r w:rsidRPr="0088724A">
        <w:rPr>
          <w:rFonts w:ascii="Times New Roman" w:hAnsi="Times New Roman" w:cs="Times New Roman"/>
          <w:sz w:val="24"/>
          <w:szCs w:val="24"/>
        </w:rPr>
        <w:t>Note 1 clarifies that in 2024</w:t>
      </w:r>
      <w:r w:rsidRPr="00AA08FC">
        <w:rPr>
          <w:rFonts w:ascii="Times New Roman" w:hAnsi="Times New Roman" w:cs="Times New Roman"/>
          <w:sz w:val="24"/>
          <w:szCs w:val="24"/>
        </w:rPr>
        <w:t xml:space="preserve"> the shared reduction amounts that were used for the calculation of the SDL adjustment mechanism determination in 2017 will also be used in the reconciliation of the SDL adjustment mechanism in 2024.</w:t>
      </w:r>
    </w:p>
    <w:p w:rsidR="00863700" w:rsidRDefault="00863700" w:rsidP="00863700">
      <w:pPr>
        <w:pStyle w:val="ListParagraph"/>
        <w:spacing w:after="0"/>
        <w:ind w:left="0"/>
        <w:rPr>
          <w:rFonts w:ascii="Times New Roman" w:hAnsi="Times New Roman" w:cs="Times New Roman"/>
          <w:sz w:val="24"/>
          <w:szCs w:val="24"/>
        </w:rPr>
      </w:pPr>
    </w:p>
    <w:p w:rsidR="00954B89" w:rsidRPr="00515061" w:rsidRDefault="00863700" w:rsidP="00863700">
      <w:pPr>
        <w:pStyle w:val="ListParagraph"/>
        <w:spacing w:after="0"/>
        <w:ind w:left="0"/>
        <w:rPr>
          <w:rFonts w:ascii="Times New Roman" w:hAnsi="Times New Roman" w:cs="Times New Roman"/>
          <w:sz w:val="24"/>
          <w:szCs w:val="24"/>
        </w:rPr>
      </w:pPr>
      <w:r w:rsidRPr="00863700">
        <w:rPr>
          <w:rFonts w:ascii="Times New Roman" w:hAnsi="Times New Roman" w:cs="Times New Roman"/>
          <w:sz w:val="24"/>
          <w:szCs w:val="24"/>
        </w:rPr>
        <w:t>Note 2 clarifies that these shared reduction requests are for SDL adjustment mechanism calculation purposes only and are not to be used for the purposes of section 6.05, which deals with shared reduction requests for the purpose of WRP accreditation.</w:t>
      </w:r>
    </w:p>
    <w:p w:rsidR="00863700" w:rsidRDefault="00863700" w:rsidP="00511B9B">
      <w:pPr>
        <w:pStyle w:val="ListParagraph"/>
        <w:spacing w:after="0"/>
        <w:ind w:left="0"/>
        <w:rPr>
          <w:rFonts w:ascii="Times New Roman" w:hAnsi="Times New Roman" w:cs="Times New Roman"/>
          <w:b/>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3</w:t>
      </w:r>
      <w:r w:rsidR="00FC3E51">
        <w:rPr>
          <w:rFonts w:ascii="Times New Roman" w:hAnsi="Times New Roman" w:cs="Times New Roman"/>
          <w:b/>
          <w:sz w:val="24"/>
          <w:szCs w:val="24"/>
        </w:rPr>
        <w:t>8</w:t>
      </w:r>
      <w:r w:rsidRPr="00515061">
        <w:rPr>
          <w:rFonts w:ascii="Times New Roman" w:hAnsi="Times New Roman" w:cs="Times New Roman"/>
          <w:sz w:val="24"/>
          <w:szCs w:val="24"/>
        </w:rPr>
        <w:t xml:space="preserve"> repeals Part 3 (section 7.22 and section 7.23 of the Basin Plan). These sections are no longer required, as the Amendment Instrument provides for a new method for making shared reduction requests for the purposes of the SDL adjustment mechanism (section 7.14A) and for WRP accreditation (section 6.05).</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Items 32, 33, 34</w:t>
      </w:r>
      <w:r w:rsidR="00227FCD" w:rsidRPr="00515061">
        <w:rPr>
          <w:rFonts w:ascii="Times New Roman" w:hAnsi="Times New Roman" w:cs="Times New Roman"/>
          <w:b/>
          <w:sz w:val="24"/>
          <w:szCs w:val="24"/>
        </w:rPr>
        <w:t xml:space="preserve">, </w:t>
      </w:r>
      <w:r w:rsidR="00FC3E51">
        <w:rPr>
          <w:rFonts w:ascii="Times New Roman" w:hAnsi="Times New Roman" w:cs="Times New Roman"/>
          <w:b/>
          <w:sz w:val="24"/>
          <w:szCs w:val="24"/>
        </w:rPr>
        <w:t>35</w:t>
      </w:r>
      <w:r w:rsidR="00FC3E51" w:rsidRPr="00515061">
        <w:rPr>
          <w:rFonts w:ascii="Times New Roman" w:hAnsi="Times New Roman" w:cs="Times New Roman"/>
          <w:b/>
          <w:sz w:val="24"/>
          <w:szCs w:val="24"/>
        </w:rPr>
        <w:t xml:space="preserve"> </w:t>
      </w:r>
      <w:r w:rsidRPr="00515061">
        <w:rPr>
          <w:rFonts w:ascii="Times New Roman" w:hAnsi="Times New Roman" w:cs="Times New Roman"/>
          <w:b/>
          <w:sz w:val="24"/>
          <w:szCs w:val="24"/>
        </w:rPr>
        <w:t>and 3</w:t>
      </w:r>
      <w:r w:rsidR="00FC3E51">
        <w:rPr>
          <w:rFonts w:ascii="Times New Roman" w:hAnsi="Times New Roman" w:cs="Times New Roman"/>
          <w:b/>
          <w:sz w:val="24"/>
          <w:szCs w:val="24"/>
        </w:rPr>
        <w:t>6</w:t>
      </w:r>
      <w:r w:rsidRPr="00515061">
        <w:rPr>
          <w:rFonts w:ascii="Times New Roman" w:hAnsi="Times New Roman" w:cs="Times New Roman"/>
          <w:sz w:val="24"/>
          <w:szCs w:val="24"/>
        </w:rPr>
        <w:t xml:space="preserve"> are consequential amendments that remove references to Part 3 of Chapter 7, which has now been repealed under </w:t>
      </w:r>
      <w:r w:rsidRPr="00515061">
        <w:rPr>
          <w:rFonts w:ascii="Times New Roman" w:hAnsi="Times New Roman" w:cs="Times New Roman"/>
          <w:b/>
          <w:sz w:val="24"/>
          <w:szCs w:val="24"/>
        </w:rPr>
        <w:t>Item 3</w:t>
      </w:r>
      <w:r w:rsidR="00FC3E51">
        <w:rPr>
          <w:rFonts w:ascii="Times New Roman" w:hAnsi="Times New Roman" w:cs="Times New Roman"/>
          <w:b/>
          <w:sz w:val="24"/>
          <w:szCs w:val="24"/>
        </w:rPr>
        <w:t>8</w:t>
      </w:r>
      <w:r w:rsidRPr="00515061">
        <w:rPr>
          <w:rFonts w:ascii="Times New Roman" w:hAnsi="Times New Roman" w:cs="Times New Roman"/>
          <w:sz w:val="24"/>
          <w:szCs w:val="24"/>
        </w:rPr>
        <w:t>.</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Shared reduction requests for the purpose of WRP accreditation (</w:t>
      </w:r>
      <w:r w:rsidRPr="00515061">
        <w:rPr>
          <w:rFonts w:ascii="Times New Roman" w:hAnsi="Times New Roman" w:cs="Times New Roman"/>
          <w:b/>
          <w:sz w:val="24"/>
          <w:szCs w:val="24"/>
          <w:u w:val="single"/>
        </w:rPr>
        <w:t>item 16</w:t>
      </w:r>
      <w:r w:rsidRPr="00515061">
        <w:rPr>
          <w:rFonts w:ascii="Times New Roman" w:hAnsi="Times New Roman" w:cs="Times New Roman"/>
          <w:sz w:val="24"/>
          <w:szCs w:val="24"/>
          <w:u w:val="single"/>
        </w:rPr>
        <w:t>)</w:t>
      </w:r>
    </w:p>
    <w:p w:rsidR="00954B89" w:rsidRPr="00515061" w:rsidRDefault="00954B89" w:rsidP="00511B9B">
      <w:pPr>
        <w:pStyle w:val="ListParagraph"/>
        <w:spacing w:after="0"/>
        <w:ind w:left="0"/>
        <w:rPr>
          <w:rFonts w:ascii="Times New Roman" w:hAnsi="Times New Roman" w:cs="Times New Roman"/>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of the Amendment Instrument (section 6.05) deletes the previous section 6.05 and sets out the process for Basin </w:t>
      </w:r>
      <w:r w:rsidR="00360BA8" w:rsidRPr="00515061">
        <w:rPr>
          <w:rFonts w:ascii="Times New Roman" w:hAnsi="Times New Roman" w:cs="Times New Roman"/>
          <w:sz w:val="24"/>
          <w:szCs w:val="24"/>
        </w:rPr>
        <w:t>S</w:t>
      </w:r>
      <w:r w:rsidRPr="00515061">
        <w:rPr>
          <w:rFonts w:ascii="Times New Roman" w:hAnsi="Times New Roman" w:cs="Times New Roman"/>
          <w:sz w:val="24"/>
          <w:szCs w:val="24"/>
        </w:rPr>
        <w:t>tates to</w:t>
      </w:r>
      <w:r w:rsidR="00B5074E">
        <w:rPr>
          <w:rFonts w:ascii="Times New Roman" w:hAnsi="Times New Roman" w:cs="Times New Roman"/>
          <w:sz w:val="24"/>
          <w:szCs w:val="24"/>
        </w:rPr>
        <w:t xml:space="preserve"> </w:t>
      </w:r>
      <w:r w:rsidR="000A2A89">
        <w:rPr>
          <w:rFonts w:ascii="Times New Roman" w:hAnsi="Times New Roman" w:cs="Times New Roman"/>
          <w:sz w:val="24"/>
          <w:szCs w:val="24"/>
        </w:rPr>
        <w:t>request an adjustment to the default distribution of shared reduction amounts</w:t>
      </w:r>
      <w:r w:rsidR="00903F27" w:rsidRPr="00515061">
        <w:rPr>
          <w:rFonts w:ascii="Times New Roman" w:hAnsi="Times New Roman" w:cs="Times New Roman"/>
          <w:sz w:val="24"/>
          <w:szCs w:val="24"/>
        </w:rPr>
        <w:t xml:space="preserve">. There are some </w:t>
      </w:r>
      <w:r w:rsidRPr="00515061">
        <w:rPr>
          <w:rFonts w:ascii="Times New Roman" w:hAnsi="Times New Roman" w:cs="Times New Roman"/>
          <w:sz w:val="24"/>
          <w:szCs w:val="24"/>
        </w:rPr>
        <w:t>changes to section 6.05 of the Basin Plan relating to shared reduction zones and amounts as a result of the Northern Ba</w:t>
      </w:r>
      <w:r w:rsidR="008C659A" w:rsidRPr="00515061">
        <w:rPr>
          <w:rFonts w:ascii="Times New Roman" w:hAnsi="Times New Roman" w:cs="Times New Roman"/>
          <w:sz w:val="24"/>
          <w:szCs w:val="24"/>
        </w:rPr>
        <w:t xml:space="preserve">sin Review. Refer above to </w:t>
      </w:r>
      <w:r w:rsidR="008C659A" w:rsidRPr="00515061">
        <w:rPr>
          <w:rFonts w:ascii="Times New Roman" w:hAnsi="Times New Roman" w:cs="Times New Roman"/>
          <w:i/>
          <w:sz w:val="24"/>
          <w:szCs w:val="24"/>
        </w:rPr>
        <w:t>1. Northern Basin Review amendments</w:t>
      </w:r>
      <w:r w:rsidR="008C659A" w:rsidRPr="00515061">
        <w:rPr>
          <w:rFonts w:ascii="Times New Roman" w:hAnsi="Times New Roman" w:cs="Times New Roman"/>
          <w:sz w:val="24"/>
          <w:szCs w:val="24"/>
        </w:rPr>
        <w:t xml:space="preserve"> </w:t>
      </w:r>
      <w:r w:rsidR="00B5074E">
        <w:rPr>
          <w:rFonts w:ascii="Times New Roman" w:hAnsi="Times New Roman" w:cs="Times New Roman"/>
          <w:sz w:val="24"/>
          <w:szCs w:val="24"/>
        </w:rPr>
        <w:t>in</w:t>
      </w:r>
      <w:r w:rsidR="008C659A"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this </w:t>
      </w:r>
      <w:r w:rsidR="008C659A" w:rsidRPr="00515061">
        <w:rPr>
          <w:rFonts w:ascii="Times New Roman" w:hAnsi="Times New Roman" w:cs="Times New Roman"/>
          <w:sz w:val="24"/>
          <w:szCs w:val="24"/>
        </w:rPr>
        <w:t>explanatory statement</w:t>
      </w:r>
      <w:r w:rsidRPr="00515061">
        <w:rPr>
          <w:rFonts w:ascii="Times New Roman" w:hAnsi="Times New Roman" w:cs="Times New Roman"/>
          <w:sz w:val="24"/>
          <w:szCs w:val="24"/>
        </w:rPr>
        <w:t>.</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6.05(1) states that the SDL resource unit shared reduction amount detailed in column 2 of the table in Schedule 2 is determined in accordance with this section.</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6.05(2) details the 6 zones within the Basin, and the SDL resource units that form part of these zones.</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6.05(3) sets out the shared reduction targets for each of the 6 zones.</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6.05(4) sets out the method for calculating the default shared reduction amount as at 31 December 2016, in the absence of any alternative shared reduction request in accordance with the subsections 6.05(5)</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(14).</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6.05(5) states that a shared reduction request may be made by a Basin State.</w:t>
      </w:r>
    </w:p>
    <w:p w:rsidR="00954B89" w:rsidRPr="00515061" w:rsidRDefault="00954B89" w:rsidP="00511B9B">
      <w:pPr>
        <w:pStyle w:val="ListParagraph"/>
        <w:spacing w:after="0"/>
        <w:ind w:left="0"/>
        <w:rPr>
          <w:rFonts w:ascii="Times New Roman" w:hAnsi="Times New Roman" w:cs="Times New Roman"/>
          <w:sz w:val="24"/>
          <w:szCs w:val="24"/>
        </w:rPr>
      </w:pPr>
    </w:p>
    <w:p w:rsidR="00897430"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Subsection 6.05(6) details the requirements for a shared reduction request </w:t>
      </w:r>
      <w:r w:rsidR="00573B35">
        <w:rPr>
          <w:rFonts w:ascii="Times New Roman" w:hAnsi="Times New Roman" w:cs="Times New Roman"/>
          <w:sz w:val="24"/>
          <w:szCs w:val="24"/>
        </w:rPr>
        <w:t xml:space="preserve">(called a ‘re-allocation adjustment request’ in this section) </w:t>
      </w:r>
      <w:r w:rsidRPr="00515061">
        <w:rPr>
          <w:rFonts w:ascii="Times New Roman" w:hAnsi="Times New Roman" w:cs="Times New Roman"/>
          <w:sz w:val="24"/>
          <w:szCs w:val="24"/>
        </w:rPr>
        <w:t>to be made by a Basin State:</w:t>
      </w:r>
    </w:p>
    <w:p w:rsidR="00897430" w:rsidRDefault="00897430" w:rsidP="00511B9B">
      <w:pPr>
        <w:pStyle w:val="ListParagraph"/>
        <w:spacing w:after="0"/>
        <w:ind w:left="0"/>
        <w:rPr>
          <w:rFonts w:ascii="Times New Roman" w:hAnsi="Times New Roman" w:cs="Times New Roman"/>
          <w:sz w:val="24"/>
          <w:szCs w:val="24"/>
        </w:rPr>
      </w:pPr>
    </w:p>
    <w:p w:rsidR="00897430" w:rsidRPr="00664749" w:rsidRDefault="008A58FE" w:rsidP="009F43BB">
      <w:pPr>
        <w:pStyle w:val="ListParagraph"/>
        <w:numPr>
          <w:ilvl w:val="0"/>
          <w:numId w:val="12"/>
        </w:numPr>
        <w:spacing w:after="0"/>
        <w:rPr>
          <w:rFonts w:ascii="Times New Roman" w:hAnsi="Times New Roman" w:cs="Times New Roman"/>
          <w:sz w:val="24"/>
          <w:szCs w:val="24"/>
        </w:rPr>
      </w:pPr>
      <w:r w:rsidRPr="00664749">
        <w:rPr>
          <w:rFonts w:ascii="Times New Roman" w:hAnsi="Times New Roman" w:cs="Times New Roman"/>
          <w:sz w:val="24"/>
          <w:szCs w:val="24"/>
        </w:rPr>
        <w:t>firstly, it must be made before 1 July 2018 and before any WRP in the zone is submitted to the Authority for assessment</w:t>
      </w:r>
      <w:r w:rsidR="00897430" w:rsidRPr="00664749">
        <w:rPr>
          <w:rFonts w:ascii="Times New Roman" w:hAnsi="Times New Roman" w:cs="Times New Roman"/>
          <w:sz w:val="24"/>
          <w:szCs w:val="24"/>
        </w:rPr>
        <w:t xml:space="preserve"> (excluding any WRP submitted before 14 November 2017)</w:t>
      </w:r>
      <w:r w:rsidRPr="00664749">
        <w:rPr>
          <w:rFonts w:ascii="Times New Roman" w:hAnsi="Times New Roman" w:cs="Times New Roman"/>
          <w:sz w:val="24"/>
          <w:szCs w:val="24"/>
        </w:rPr>
        <w:t xml:space="preserve">; </w:t>
      </w:r>
    </w:p>
    <w:p w:rsidR="00897430" w:rsidRPr="00897D8B" w:rsidRDefault="008A58FE" w:rsidP="009F43BB">
      <w:pPr>
        <w:pStyle w:val="ListParagraph"/>
        <w:numPr>
          <w:ilvl w:val="0"/>
          <w:numId w:val="12"/>
        </w:numPr>
        <w:spacing w:after="0"/>
        <w:rPr>
          <w:rFonts w:ascii="Times New Roman" w:hAnsi="Times New Roman" w:cs="Times New Roman"/>
          <w:sz w:val="24"/>
          <w:szCs w:val="24"/>
        </w:rPr>
      </w:pPr>
      <w:r w:rsidRPr="00897D8B">
        <w:rPr>
          <w:rFonts w:ascii="Times New Roman" w:hAnsi="Times New Roman" w:cs="Times New Roman"/>
          <w:sz w:val="24"/>
          <w:szCs w:val="24"/>
        </w:rPr>
        <w:t>secondly</w:t>
      </w:r>
      <w:r w:rsidR="00B5074E">
        <w:rPr>
          <w:rFonts w:ascii="Times New Roman" w:hAnsi="Times New Roman" w:cs="Times New Roman"/>
          <w:sz w:val="24"/>
          <w:szCs w:val="24"/>
        </w:rPr>
        <w:t xml:space="preserve"> – if </w:t>
      </w:r>
      <w:r w:rsidR="0032621F">
        <w:rPr>
          <w:rFonts w:ascii="Times New Roman" w:hAnsi="Times New Roman" w:cs="Times New Roman"/>
          <w:sz w:val="24"/>
          <w:szCs w:val="24"/>
        </w:rPr>
        <w:t xml:space="preserve">the request is made before the Amendment Instrument comes into effect, the </w:t>
      </w:r>
      <w:r w:rsidR="00897430" w:rsidRPr="00897D8B">
        <w:rPr>
          <w:rFonts w:ascii="Times New Roman" w:hAnsi="Times New Roman" w:cs="Times New Roman"/>
          <w:sz w:val="24"/>
          <w:szCs w:val="24"/>
        </w:rPr>
        <w:t xml:space="preserve">request </w:t>
      </w:r>
      <w:r w:rsidR="00B5074E">
        <w:rPr>
          <w:rFonts w:ascii="Times New Roman" w:hAnsi="Times New Roman" w:cs="Times New Roman"/>
          <w:sz w:val="24"/>
          <w:szCs w:val="24"/>
        </w:rPr>
        <w:t xml:space="preserve">is to be expressed as being made </w:t>
      </w:r>
      <w:r w:rsidR="00897430" w:rsidRPr="00897D8B">
        <w:rPr>
          <w:rFonts w:ascii="Times New Roman" w:hAnsi="Times New Roman" w:cs="Times New Roman"/>
          <w:sz w:val="24"/>
          <w:szCs w:val="24"/>
        </w:rPr>
        <w:t>in anticipation of this Amendment Instrument becoming law;</w:t>
      </w:r>
    </w:p>
    <w:p w:rsidR="00897430" w:rsidRPr="009F43BB" w:rsidRDefault="00897430" w:rsidP="009F43BB">
      <w:pPr>
        <w:pStyle w:val="ListParagraph"/>
        <w:numPr>
          <w:ilvl w:val="0"/>
          <w:numId w:val="12"/>
        </w:numPr>
        <w:spacing w:after="0"/>
        <w:rPr>
          <w:rFonts w:ascii="Times New Roman" w:hAnsi="Times New Roman" w:cs="Times New Roman"/>
          <w:sz w:val="24"/>
          <w:szCs w:val="24"/>
        </w:rPr>
      </w:pPr>
      <w:r w:rsidRPr="00897D8B">
        <w:rPr>
          <w:rFonts w:ascii="Times New Roman" w:hAnsi="Times New Roman" w:cs="Times New Roman"/>
          <w:sz w:val="24"/>
          <w:szCs w:val="24"/>
        </w:rPr>
        <w:t xml:space="preserve">thirdly, </w:t>
      </w:r>
      <w:r w:rsidR="008A58FE" w:rsidRPr="00897D8B">
        <w:rPr>
          <w:rFonts w:ascii="Times New Roman" w:hAnsi="Times New Roman" w:cs="Times New Roman"/>
          <w:sz w:val="24"/>
          <w:szCs w:val="24"/>
        </w:rPr>
        <w:t xml:space="preserve">the request must ensure the total of the SDLs for the zone </w:t>
      </w:r>
      <w:r w:rsidR="00720121" w:rsidRPr="00897D8B">
        <w:rPr>
          <w:rFonts w:ascii="Times New Roman" w:hAnsi="Times New Roman" w:cs="Times New Roman"/>
          <w:sz w:val="24"/>
          <w:szCs w:val="24"/>
        </w:rPr>
        <w:t>meets the</w:t>
      </w:r>
      <w:r w:rsidR="008A58FE" w:rsidRPr="00897D8B">
        <w:rPr>
          <w:rFonts w:ascii="Times New Roman" w:hAnsi="Times New Roman" w:cs="Times New Roman"/>
          <w:sz w:val="24"/>
          <w:szCs w:val="24"/>
        </w:rPr>
        <w:t xml:space="preserve"> reduction target </w:t>
      </w:r>
      <w:r w:rsidR="00720121" w:rsidRPr="00897D8B">
        <w:rPr>
          <w:rFonts w:ascii="Times New Roman" w:hAnsi="Times New Roman" w:cs="Times New Roman"/>
          <w:sz w:val="24"/>
          <w:szCs w:val="24"/>
        </w:rPr>
        <w:t xml:space="preserve">for the zone (as </w:t>
      </w:r>
      <w:r w:rsidR="008A58FE" w:rsidRPr="00897D8B">
        <w:rPr>
          <w:rFonts w:ascii="Times New Roman" w:hAnsi="Times New Roman" w:cs="Times New Roman"/>
          <w:sz w:val="24"/>
          <w:szCs w:val="24"/>
        </w:rPr>
        <w:t>set out in subsection 6.05(3)</w:t>
      </w:r>
      <w:r w:rsidR="00720121" w:rsidRPr="00897D8B">
        <w:rPr>
          <w:rFonts w:ascii="Times New Roman" w:hAnsi="Times New Roman" w:cs="Times New Roman"/>
          <w:sz w:val="24"/>
          <w:szCs w:val="24"/>
        </w:rPr>
        <w:t>)</w:t>
      </w:r>
      <w:r w:rsidR="008A58FE" w:rsidRPr="00897D8B">
        <w:rPr>
          <w:rFonts w:ascii="Times New Roman" w:hAnsi="Times New Roman" w:cs="Times New Roman"/>
          <w:sz w:val="24"/>
          <w:szCs w:val="24"/>
        </w:rPr>
        <w:t xml:space="preserve"> and</w:t>
      </w:r>
      <w:r w:rsidR="00720121" w:rsidRPr="00897D8B">
        <w:rPr>
          <w:rFonts w:ascii="Times New Roman" w:hAnsi="Times New Roman" w:cs="Times New Roman"/>
          <w:sz w:val="24"/>
          <w:szCs w:val="24"/>
        </w:rPr>
        <w:t xml:space="preserve"> the </w:t>
      </w:r>
      <w:r w:rsidR="00B5074E">
        <w:rPr>
          <w:rFonts w:ascii="Times New Roman" w:hAnsi="Times New Roman" w:cs="Times New Roman"/>
          <w:sz w:val="24"/>
          <w:szCs w:val="24"/>
        </w:rPr>
        <w:t xml:space="preserve">shared reduction amount </w:t>
      </w:r>
      <w:r w:rsidR="008A58FE" w:rsidRPr="00897D8B">
        <w:rPr>
          <w:rFonts w:ascii="Times New Roman" w:hAnsi="Times New Roman" w:cs="Times New Roman"/>
          <w:sz w:val="24"/>
          <w:szCs w:val="24"/>
        </w:rPr>
        <w:t>cannot be less than zero for any SDL resource unit</w:t>
      </w:r>
      <w:r w:rsidRPr="009F43BB">
        <w:rPr>
          <w:rFonts w:ascii="Times New Roman" w:hAnsi="Times New Roman" w:cs="Times New Roman"/>
          <w:sz w:val="24"/>
          <w:szCs w:val="24"/>
        </w:rPr>
        <w:t>,</w:t>
      </w:r>
      <w:r w:rsidR="008A58FE" w:rsidRPr="00664749">
        <w:rPr>
          <w:rFonts w:ascii="Times New Roman" w:hAnsi="Times New Roman" w:cs="Times New Roman"/>
          <w:sz w:val="24"/>
          <w:szCs w:val="24"/>
        </w:rPr>
        <w:t xml:space="preserve"> and</w:t>
      </w:r>
      <w:r w:rsidRPr="009F43BB">
        <w:rPr>
          <w:rFonts w:ascii="Times New Roman" w:hAnsi="Times New Roman" w:cs="Times New Roman"/>
          <w:sz w:val="24"/>
          <w:szCs w:val="24"/>
        </w:rPr>
        <w:t>;</w:t>
      </w:r>
    </w:p>
    <w:p w:rsidR="00897D8B" w:rsidRPr="009F43BB" w:rsidRDefault="00897430" w:rsidP="009F43BB">
      <w:pPr>
        <w:pStyle w:val="ListParagraph"/>
        <w:numPr>
          <w:ilvl w:val="0"/>
          <w:numId w:val="12"/>
        </w:numPr>
        <w:spacing w:after="0"/>
        <w:rPr>
          <w:rFonts w:ascii="Times New Roman" w:hAnsi="Times New Roman" w:cs="Times New Roman"/>
          <w:sz w:val="24"/>
          <w:szCs w:val="24"/>
        </w:rPr>
      </w:pPr>
      <w:r w:rsidRPr="009F43BB">
        <w:rPr>
          <w:rFonts w:ascii="Times New Roman" w:hAnsi="Times New Roman" w:cs="Times New Roman"/>
          <w:sz w:val="24"/>
          <w:szCs w:val="24"/>
        </w:rPr>
        <w:t>fourthly</w:t>
      </w:r>
      <w:r w:rsidR="008A58FE" w:rsidRPr="00664749">
        <w:rPr>
          <w:rFonts w:ascii="Times New Roman" w:hAnsi="Times New Roman" w:cs="Times New Roman"/>
          <w:sz w:val="24"/>
          <w:szCs w:val="24"/>
        </w:rPr>
        <w:t>, the request takes into account the amount of water already recovered by the Commonwealth as of the date of the request.</w:t>
      </w:r>
      <w:r w:rsidR="00442CAB" w:rsidRPr="009F43BB">
        <w:rPr>
          <w:rFonts w:ascii="Times New Roman" w:hAnsi="Times New Roman" w:cs="Times New Roman"/>
          <w:sz w:val="24"/>
          <w:szCs w:val="24"/>
        </w:rPr>
        <w:t xml:space="preserve"> </w:t>
      </w:r>
    </w:p>
    <w:p w:rsidR="00897D8B" w:rsidRDefault="00897D8B" w:rsidP="009F43BB">
      <w:pPr>
        <w:spacing w:after="0"/>
        <w:rPr>
          <w:rFonts w:ascii="Times New Roman" w:hAnsi="Times New Roman" w:cs="Times New Roman"/>
          <w:sz w:val="24"/>
          <w:szCs w:val="24"/>
          <w:highlight w:val="green"/>
        </w:rPr>
      </w:pPr>
    </w:p>
    <w:p w:rsidR="00954B89" w:rsidRPr="00664749" w:rsidRDefault="00D06DCF" w:rsidP="009F43BB">
      <w:pPr>
        <w:spacing w:after="0"/>
        <w:rPr>
          <w:rFonts w:ascii="Times New Roman" w:hAnsi="Times New Roman" w:cs="Times New Roman"/>
          <w:sz w:val="24"/>
          <w:szCs w:val="24"/>
        </w:rPr>
      </w:pPr>
      <w:r>
        <w:rPr>
          <w:rFonts w:ascii="Times New Roman" w:hAnsi="Times New Roman" w:cs="Times New Roman"/>
          <w:sz w:val="24"/>
          <w:szCs w:val="24"/>
        </w:rPr>
        <w:t>In summary, t</w:t>
      </w:r>
      <w:r w:rsidR="00442CAB" w:rsidRPr="009F43BB">
        <w:rPr>
          <w:rFonts w:ascii="Times New Roman" w:hAnsi="Times New Roman" w:cs="Times New Roman"/>
          <w:sz w:val="24"/>
          <w:szCs w:val="24"/>
        </w:rPr>
        <w:t xml:space="preserve">his </w:t>
      </w:r>
      <w:r>
        <w:rPr>
          <w:rFonts w:ascii="Times New Roman" w:hAnsi="Times New Roman" w:cs="Times New Roman"/>
          <w:sz w:val="24"/>
          <w:szCs w:val="24"/>
        </w:rPr>
        <w:t>subsection 6.05(6)</w:t>
      </w:r>
      <w:r w:rsidR="00442CAB" w:rsidRPr="009F43BB">
        <w:rPr>
          <w:rFonts w:ascii="Times New Roman" w:hAnsi="Times New Roman" w:cs="Times New Roman"/>
          <w:sz w:val="24"/>
          <w:szCs w:val="24"/>
        </w:rPr>
        <w:t xml:space="preserve"> enables a Basin </w:t>
      </w:r>
      <w:r w:rsidR="00E2595C">
        <w:rPr>
          <w:rFonts w:ascii="Times New Roman" w:hAnsi="Times New Roman" w:cs="Times New Roman"/>
          <w:sz w:val="24"/>
          <w:szCs w:val="24"/>
        </w:rPr>
        <w:t>S</w:t>
      </w:r>
      <w:r w:rsidR="00442CAB" w:rsidRPr="009F43BB">
        <w:rPr>
          <w:rFonts w:ascii="Times New Roman" w:hAnsi="Times New Roman" w:cs="Times New Roman"/>
          <w:sz w:val="24"/>
          <w:szCs w:val="24"/>
        </w:rPr>
        <w:t xml:space="preserve">tate to </w:t>
      </w:r>
      <w:r w:rsidR="00E2595C">
        <w:rPr>
          <w:rFonts w:ascii="Times New Roman" w:hAnsi="Times New Roman" w:cs="Times New Roman"/>
          <w:sz w:val="24"/>
          <w:szCs w:val="24"/>
        </w:rPr>
        <w:t xml:space="preserve">have made </w:t>
      </w:r>
      <w:r w:rsidR="00442CAB" w:rsidRPr="009F43BB">
        <w:rPr>
          <w:rFonts w:ascii="Times New Roman" w:hAnsi="Times New Roman" w:cs="Times New Roman"/>
          <w:sz w:val="24"/>
          <w:szCs w:val="24"/>
        </w:rPr>
        <w:t>a shared reduction request by 30 June 2018 (if that is before this Amendment Instrument becomes law) and this will be a valid shared reduction request.</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6.05(7) states that a shared reduction request cannot be varied or replaced once made.</w:t>
      </w:r>
      <w:r w:rsidR="00E2595C">
        <w:rPr>
          <w:rFonts w:ascii="Times New Roman" w:hAnsi="Times New Roman" w:cs="Times New Roman"/>
          <w:sz w:val="24"/>
          <w:szCs w:val="24"/>
        </w:rPr>
        <w:t xml:space="preserve"> Noting that an additional request for a variation of shared reduction amounts under subsections 6.05(9) – (12) may be made by a Basin State between 1 July 2018 and </w:t>
      </w:r>
      <w:r w:rsidR="008F68AE">
        <w:rPr>
          <w:rFonts w:ascii="Times New Roman" w:hAnsi="Times New Roman" w:cs="Times New Roman"/>
          <w:sz w:val="24"/>
          <w:szCs w:val="24"/>
        </w:rPr>
        <w:t>3</w:t>
      </w:r>
      <w:r w:rsidR="00E2595C">
        <w:rPr>
          <w:rFonts w:ascii="Times New Roman" w:hAnsi="Times New Roman" w:cs="Times New Roman"/>
          <w:sz w:val="24"/>
          <w:szCs w:val="24"/>
        </w:rPr>
        <w:t xml:space="preserve">1 December 2018.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6.05(8) provides that if the Authority receives a shared reduction request it must publish</w:t>
      </w:r>
      <w:r w:rsidR="008C6829">
        <w:rPr>
          <w:rFonts w:ascii="Times New Roman" w:hAnsi="Times New Roman" w:cs="Times New Roman"/>
          <w:sz w:val="24"/>
          <w:szCs w:val="24"/>
        </w:rPr>
        <w:t>, as soon as practicable,</w:t>
      </w:r>
      <w:r w:rsidRPr="00515061">
        <w:rPr>
          <w:rFonts w:ascii="Times New Roman" w:hAnsi="Times New Roman" w:cs="Times New Roman"/>
          <w:sz w:val="24"/>
          <w:szCs w:val="24"/>
        </w:rPr>
        <w:t xml:space="preserve"> the requested SDL shared reduction amounts on its website.</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Subsections 6.05(9)</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(13)</w:t>
      </w:r>
      <w:r w:rsidR="00231B1A" w:rsidRPr="00515061">
        <w:rPr>
          <w:rFonts w:ascii="Times New Roman" w:hAnsi="Times New Roman" w:cs="Times New Roman"/>
          <w:sz w:val="24"/>
          <w:szCs w:val="24"/>
        </w:rPr>
        <w:t xml:space="preserve"> set out the process for Basin S</w:t>
      </w:r>
      <w:r w:rsidRPr="00515061">
        <w:rPr>
          <w:rFonts w:ascii="Times New Roman" w:hAnsi="Times New Roman" w:cs="Times New Roman"/>
          <w:sz w:val="24"/>
          <w:szCs w:val="24"/>
        </w:rPr>
        <w:t>tates to request variations to the shared reduction amounts or to the default shared reduction amount between 1 July 2018 and 31 December 2018</w:t>
      </w:r>
      <w:r w:rsidR="00720121" w:rsidRPr="00515061">
        <w:rPr>
          <w:rFonts w:ascii="Times New Roman" w:hAnsi="Times New Roman" w:cs="Times New Roman"/>
          <w:sz w:val="24"/>
          <w:szCs w:val="24"/>
        </w:rPr>
        <w:t>, due to a change in water recovery</w:t>
      </w:r>
      <w:r w:rsidRPr="00515061">
        <w:rPr>
          <w:rFonts w:ascii="Times New Roman" w:hAnsi="Times New Roman" w:cs="Times New Roman"/>
          <w:sz w:val="24"/>
          <w:szCs w:val="24"/>
        </w:rPr>
        <w:t xml:space="preserve">. The </w:t>
      </w:r>
      <w:r w:rsidR="00FB2A89" w:rsidRPr="00515061">
        <w:rPr>
          <w:rFonts w:ascii="Times New Roman" w:hAnsi="Times New Roman" w:cs="Times New Roman"/>
          <w:sz w:val="24"/>
          <w:szCs w:val="24"/>
        </w:rPr>
        <w:t xml:space="preserve">variation </w:t>
      </w:r>
      <w:r w:rsidRPr="00515061">
        <w:rPr>
          <w:rFonts w:ascii="Times New Roman" w:hAnsi="Times New Roman" w:cs="Times New Roman"/>
          <w:sz w:val="24"/>
          <w:szCs w:val="24"/>
        </w:rPr>
        <w:t>request must comply with the requirement in paragraph 6.05(6)(</w:t>
      </w:r>
      <w:r w:rsidR="008C6829">
        <w:rPr>
          <w:rFonts w:ascii="Times New Roman" w:hAnsi="Times New Roman" w:cs="Times New Roman"/>
          <w:sz w:val="24"/>
          <w:szCs w:val="24"/>
        </w:rPr>
        <w:t>c</w:t>
      </w:r>
      <w:r w:rsidRPr="00515061">
        <w:rPr>
          <w:rFonts w:ascii="Times New Roman" w:hAnsi="Times New Roman" w:cs="Times New Roman"/>
          <w:sz w:val="24"/>
          <w:szCs w:val="24"/>
        </w:rPr>
        <w:t>), take into account Commonwealth water recovery, and cannot change the shared reduction amounts for a WRP that has already been</w:t>
      </w:r>
      <w:r w:rsidR="00FB2A89" w:rsidRPr="00515061">
        <w:rPr>
          <w:rFonts w:ascii="Times New Roman" w:hAnsi="Times New Roman" w:cs="Times New Roman"/>
          <w:sz w:val="24"/>
          <w:szCs w:val="24"/>
        </w:rPr>
        <w:t xml:space="preserve"> submitted to the Authority. If a Basin State makes a variation request</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Authority may agree to the request only if the Authority and the Department consider it appropriate to accommodate changes in water recovery targets. If there is a variation request agreed by the Authority</w:t>
      </w:r>
      <w:r w:rsidR="001B57AF">
        <w:rPr>
          <w:rFonts w:ascii="Times New Roman" w:hAnsi="Times New Roman" w:cs="Times New Roman"/>
          <w:sz w:val="24"/>
          <w:szCs w:val="24"/>
        </w:rPr>
        <w:t>,</w:t>
      </w:r>
      <w:r w:rsidRPr="00515061">
        <w:rPr>
          <w:rFonts w:ascii="Times New Roman" w:hAnsi="Times New Roman" w:cs="Times New Roman"/>
          <w:sz w:val="24"/>
          <w:szCs w:val="24"/>
        </w:rPr>
        <w:t xml:space="preserve"> then </w:t>
      </w:r>
      <w:r w:rsidR="00713755">
        <w:rPr>
          <w:rFonts w:ascii="Times New Roman" w:hAnsi="Times New Roman" w:cs="Times New Roman"/>
          <w:sz w:val="24"/>
          <w:szCs w:val="24"/>
        </w:rPr>
        <w:t>the Authority must update the relevant shared reduction amounts that have been published, or if those amounts have not yet been published, publish them on its website</w:t>
      </w:r>
      <w:r w:rsidRPr="00515061">
        <w:rPr>
          <w:rFonts w:ascii="Times New Roman" w:hAnsi="Times New Roman" w:cs="Times New Roman"/>
          <w:sz w:val="24"/>
          <w:szCs w:val="24"/>
        </w:rPr>
        <w:t>.</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6.05(14) clarifies that once published, the shared reduction amounts cannot be changed. The resulting SDLs are the SDLs that will used be in WRPs for accreditation.</w:t>
      </w:r>
      <w:bookmarkEnd w:id="32"/>
    </w:p>
    <w:p w:rsidR="00760E1E" w:rsidRPr="00515061" w:rsidRDefault="00760E1E" w:rsidP="00511B9B">
      <w:pPr>
        <w:pStyle w:val="ListParagraph"/>
        <w:spacing w:after="0"/>
        <w:ind w:left="0"/>
        <w:rPr>
          <w:rFonts w:ascii="Times New Roman" w:hAnsi="Times New Roman" w:cs="Times New Roman"/>
          <w:sz w:val="24"/>
          <w:szCs w:val="24"/>
        </w:rPr>
      </w:pPr>
    </w:p>
    <w:p w:rsidR="002C550A" w:rsidRPr="00515061" w:rsidRDefault="008A58FE" w:rsidP="00511B9B">
      <w:pPr>
        <w:pStyle w:val="ListParagraph"/>
        <w:numPr>
          <w:ilvl w:val="0"/>
          <w:numId w:val="16"/>
        </w:numPr>
        <w:spacing w:after="0"/>
        <w:rPr>
          <w:rFonts w:ascii="Times New Roman" w:hAnsi="Times New Roman" w:cs="Times New Roman"/>
          <w:sz w:val="24"/>
          <w:szCs w:val="24"/>
        </w:rPr>
      </w:pPr>
      <w:r w:rsidRPr="00515061">
        <w:rPr>
          <w:rFonts w:ascii="Times New Roman" w:hAnsi="Times New Roman" w:cs="Times New Roman"/>
          <w:b/>
          <w:sz w:val="24"/>
          <w:szCs w:val="24"/>
        </w:rPr>
        <w:t>Compliance with SDLs for surface water (items 25, 28, 29 and 30)</w:t>
      </w:r>
      <w:bookmarkStart w:id="33" w:name="_Toc466982420"/>
      <w:r w:rsidR="002C550A" w:rsidRPr="00515061">
        <w:rPr>
          <w:rFonts w:ascii="Times New Roman" w:hAnsi="Times New Roman" w:cs="Times New Roman"/>
          <w:b/>
          <w:sz w:val="24"/>
          <w:szCs w:val="24"/>
        </w:rPr>
        <w:t xml:space="preserve"> </w:t>
      </w:r>
    </w:p>
    <w:p w:rsidR="002C550A" w:rsidRPr="00515061" w:rsidRDefault="002C550A" w:rsidP="00511B9B">
      <w:pPr>
        <w:pStyle w:val="ListParagraph"/>
        <w:spacing w:after="0"/>
        <w:ind w:left="1080"/>
        <w:rPr>
          <w:rFonts w:ascii="Times New Roman" w:hAnsi="Times New Roman" w:cs="Times New Roman"/>
          <w:sz w:val="24"/>
          <w:szCs w:val="24"/>
        </w:rPr>
      </w:pPr>
    </w:p>
    <w:p w:rsidR="008B1BF6"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Method for determining compliance with the long-term</w:t>
      </w:r>
      <w:r w:rsidR="00F946EC" w:rsidRPr="00515061">
        <w:rPr>
          <w:rFonts w:ascii="Times New Roman" w:hAnsi="Times New Roman" w:cs="Times New Roman"/>
          <w:sz w:val="24"/>
          <w:szCs w:val="24"/>
          <w:u w:val="single"/>
        </w:rPr>
        <w:t xml:space="preserve"> sustainable</w:t>
      </w:r>
      <w:r w:rsidRPr="00515061">
        <w:rPr>
          <w:rFonts w:ascii="Times New Roman" w:hAnsi="Times New Roman" w:cs="Times New Roman"/>
          <w:sz w:val="24"/>
          <w:szCs w:val="24"/>
          <w:u w:val="single"/>
        </w:rPr>
        <w:t xml:space="preserve"> annual diversion limit</w:t>
      </w:r>
      <w:bookmarkStart w:id="34" w:name="_Toc465685259"/>
      <w:bookmarkEnd w:id="33"/>
    </w:p>
    <w:p w:rsidR="008B1BF6" w:rsidRPr="00515061" w:rsidRDefault="008B1BF6" w:rsidP="00511B9B">
      <w:pPr>
        <w:pStyle w:val="ListParagraph"/>
        <w:spacing w:after="0"/>
        <w:ind w:left="0"/>
        <w:rPr>
          <w:rFonts w:ascii="Times New Roman" w:hAnsi="Times New Roman" w:cs="Times New Roman"/>
          <w:sz w:val="24"/>
          <w:szCs w:val="24"/>
          <w:u w:val="single"/>
        </w:rPr>
      </w:pPr>
    </w:p>
    <w:p w:rsidR="002C550A"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method for assessing compliance with the SDLs is contained in Chapter 6 of the Basin Plan. As discussed above, in </w:t>
      </w:r>
      <w:r w:rsidRPr="00515061">
        <w:rPr>
          <w:rFonts w:ascii="Times New Roman" w:hAnsi="Times New Roman" w:cs="Times New Roman"/>
          <w:i/>
          <w:sz w:val="24"/>
          <w:szCs w:val="24"/>
        </w:rPr>
        <w:t>2(d) Groundwater reviews and other groundwater amendments -Introducing a new compliance test for groundwater SDL resource units</w:t>
      </w:r>
      <w:r w:rsidR="004D2D59" w:rsidRPr="00515061">
        <w:rPr>
          <w:rFonts w:ascii="Times New Roman" w:hAnsi="Times New Roman" w:cs="Times New Roman"/>
          <w:sz w:val="24"/>
          <w:szCs w:val="24"/>
        </w:rPr>
        <w:t xml:space="preserve"> of this explanatory statement</w:t>
      </w:r>
      <w:r w:rsidR="00C348A2" w:rsidRPr="00515061">
        <w:rPr>
          <w:rFonts w:ascii="Times New Roman" w:hAnsi="Times New Roman" w:cs="Times New Roman"/>
          <w:sz w:val="24"/>
          <w:szCs w:val="24"/>
        </w:rPr>
        <w:t xml:space="preserve">, </w:t>
      </w:r>
      <w:r w:rsidR="00C348A2" w:rsidRPr="00515061">
        <w:rPr>
          <w:rFonts w:ascii="Times New Roman" w:hAnsi="Times New Roman" w:cs="Times New Roman"/>
          <w:b/>
          <w:sz w:val="24"/>
          <w:szCs w:val="24"/>
        </w:rPr>
        <w:t>i</w:t>
      </w:r>
      <w:r w:rsidRPr="00515061">
        <w:rPr>
          <w:rFonts w:ascii="Times New Roman" w:hAnsi="Times New Roman" w:cs="Times New Roman"/>
          <w:b/>
          <w:sz w:val="24"/>
          <w:szCs w:val="24"/>
        </w:rPr>
        <w:t xml:space="preserve">tem 31 </w:t>
      </w:r>
      <w:r w:rsidRPr="00515061">
        <w:rPr>
          <w:rFonts w:ascii="Times New Roman" w:hAnsi="Times New Roman" w:cs="Times New Roman"/>
          <w:sz w:val="24"/>
          <w:szCs w:val="24"/>
        </w:rPr>
        <w:t>of the Amendment Instrument introduces a separate compliance test for groundwater SDL resource units in the new Division 3 of Part 4 of Chapter 6 of the Basin Plan.</w:t>
      </w:r>
    </w:p>
    <w:p w:rsidR="008B1BF6" w:rsidRPr="00515061" w:rsidRDefault="008B1BF6" w:rsidP="00511B9B">
      <w:pPr>
        <w:pStyle w:val="ListParagraph"/>
        <w:spacing w:after="0"/>
        <w:ind w:left="0"/>
        <w:rPr>
          <w:rFonts w:ascii="Times New Roman" w:hAnsi="Times New Roman" w:cs="Times New Roman"/>
          <w:sz w:val="24"/>
          <w:szCs w:val="24"/>
        </w:rPr>
      </w:pPr>
    </w:p>
    <w:p w:rsidR="008A58FE"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Compliance will be determined for each SDL resource unit in each water accounting period, after 30 June 2019, through the register of take. The method for determining compliance for surface water SDL resource units is provided in the Basin Plan as follows: </w:t>
      </w:r>
    </w:p>
    <w:p w:rsidR="00231B1A" w:rsidRPr="00515061" w:rsidRDefault="00231B1A" w:rsidP="00511B9B">
      <w:pPr>
        <w:pStyle w:val="ListParagraph"/>
        <w:spacing w:after="0"/>
        <w:ind w:left="0"/>
        <w:rPr>
          <w:rFonts w:ascii="Times New Roman" w:hAnsi="Times New Roman" w:cs="Times New Roman"/>
          <w:sz w:val="24"/>
          <w:szCs w:val="24"/>
        </w:rPr>
      </w:pP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 xml:space="preserve">If the annual actual take is greater than the annual permitted take, the difference is recorded as a debit. </w:t>
      </w: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 xml:space="preserve">If the annual actual take is less than the annual permitted take, the difference is recorded as a credit. </w:t>
      </w: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 xml:space="preserve">If the annual actual take and the annual permitted take are equal the difference is recorded as a zero. </w:t>
      </w: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The cumulative balance of the difference between permitted take and actual take is recorded annually on a register kept by the Authority.</w:t>
      </w:r>
    </w:p>
    <w:p w:rsidR="00A54580"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If there is a cumulative debit (adjusted to take into account any buying and selling of environmental water) equal to or greater than 20% of the SDL</w:t>
      </w:r>
      <w:r w:rsidR="00720121" w:rsidRPr="00515061">
        <w:rPr>
          <w:rFonts w:ascii="Times New Roman" w:hAnsi="Times New Roman" w:cs="Times New Roman"/>
          <w:sz w:val="24"/>
          <w:szCs w:val="24"/>
        </w:rPr>
        <w:t>,</w:t>
      </w:r>
      <w:r w:rsidRPr="00515061">
        <w:rPr>
          <w:rFonts w:ascii="Times New Roman" w:hAnsi="Times New Roman" w:cs="Times New Roman"/>
          <w:sz w:val="24"/>
          <w:szCs w:val="24"/>
        </w:rPr>
        <w:t xml:space="preserve"> a Basin State </w:t>
      </w:r>
      <w:r w:rsidR="00720121" w:rsidRPr="00515061">
        <w:rPr>
          <w:rFonts w:ascii="Times New Roman" w:hAnsi="Times New Roman" w:cs="Times New Roman"/>
          <w:sz w:val="24"/>
          <w:szCs w:val="24"/>
        </w:rPr>
        <w:t>may</w:t>
      </w:r>
      <w:r w:rsidRPr="00515061">
        <w:rPr>
          <w:rFonts w:ascii="Times New Roman" w:hAnsi="Times New Roman" w:cs="Times New Roman"/>
          <w:sz w:val="24"/>
          <w:szCs w:val="24"/>
        </w:rPr>
        <w:t xml:space="preserve"> provide a </w:t>
      </w:r>
      <w:r w:rsidR="007517B4" w:rsidRPr="00515061">
        <w:rPr>
          <w:rFonts w:ascii="Times New Roman" w:hAnsi="Times New Roman" w:cs="Times New Roman"/>
          <w:sz w:val="24"/>
          <w:szCs w:val="24"/>
        </w:rPr>
        <w:t>reasonable excuse</w:t>
      </w:r>
      <w:r w:rsidRPr="00515061">
        <w:rPr>
          <w:rFonts w:ascii="Times New Roman" w:hAnsi="Times New Roman" w:cs="Times New Roman"/>
          <w:sz w:val="24"/>
          <w:szCs w:val="24"/>
        </w:rPr>
        <w:t xml:space="preserve"> for the debit in the SDL resource unit. </w:t>
      </w:r>
    </w:p>
    <w:p w:rsidR="008B1BF6" w:rsidRPr="00515061" w:rsidRDefault="008B1BF6" w:rsidP="008B1BF6">
      <w:pPr>
        <w:spacing w:after="0"/>
        <w:ind w:left="72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Basin Plan contains a </w:t>
      </w:r>
      <w:r w:rsidR="007517B4" w:rsidRPr="00515061">
        <w:rPr>
          <w:rFonts w:ascii="Times New Roman" w:hAnsi="Times New Roman" w:cs="Times New Roman"/>
          <w:sz w:val="24"/>
          <w:szCs w:val="24"/>
        </w:rPr>
        <w:t>reasonable excuse</w:t>
      </w:r>
      <w:r w:rsidRPr="00515061">
        <w:rPr>
          <w:rFonts w:ascii="Times New Roman" w:hAnsi="Times New Roman" w:cs="Times New Roman"/>
          <w:sz w:val="24"/>
          <w:szCs w:val="24"/>
        </w:rPr>
        <w:t xml:space="preserve"> provision (see section 6.12 of the Basin Plan) to allow </w:t>
      </w:r>
      <w:r w:rsidR="004464B9" w:rsidRPr="00515061">
        <w:rPr>
          <w:rFonts w:ascii="Times New Roman" w:hAnsi="Times New Roman" w:cs="Times New Roman"/>
          <w:sz w:val="24"/>
          <w:szCs w:val="24"/>
        </w:rPr>
        <w:t>a Basin State</w:t>
      </w:r>
      <w:r w:rsidRPr="00515061">
        <w:rPr>
          <w:rFonts w:ascii="Times New Roman" w:hAnsi="Times New Roman" w:cs="Times New Roman"/>
          <w:sz w:val="24"/>
          <w:szCs w:val="24"/>
        </w:rPr>
        <w:t xml:space="preserve"> to remain compliant with the SDL </w:t>
      </w:r>
      <w:r w:rsidR="004464B9" w:rsidRPr="00515061">
        <w:rPr>
          <w:rFonts w:ascii="Times New Roman" w:hAnsi="Times New Roman" w:cs="Times New Roman"/>
          <w:sz w:val="24"/>
          <w:szCs w:val="24"/>
        </w:rPr>
        <w:t xml:space="preserve">for a SDL resource unit </w:t>
      </w:r>
      <w:r w:rsidRPr="00515061">
        <w:rPr>
          <w:rFonts w:ascii="Times New Roman" w:hAnsi="Times New Roman" w:cs="Times New Roman"/>
          <w:sz w:val="24"/>
          <w:szCs w:val="24"/>
        </w:rPr>
        <w:t>despite exceeding</w:t>
      </w:r>
      <w:r w:rsidR="00176925" w:rsidRPr="00515061">
        <w:rPr>
          <w:rFonts w:ascii="Times New Roman" w:hAnsi="Times New Roman" w:cs="Times New Roman"/>
          <w:sz w:val="24"/>
          <w:szCs w:val="24"/>
        </w:rPr>
        <w:t xml:space="preserve"> 20% of the SDL</w:t>
      </w:r>
      <w:r w:rsidR="00231B1A" w:rsidRPr="00515061">
        <w:rPr>
          <w:rFonts w:ascii="Times New Roman" w:hAnsi="Times New Roman" w:cs="Times New Roman"/>
          <w:sz w:val="24"/>
          <w:szCs w:val="24"/>
        </w:rPr>
        <w:t xml:space="preserve">. </w:t>
      </w:r>
      <w:r w:rsidR="004464B9" w:rsidRPr="00515061">
        <w:rPr>
          <w:rFonts w:ascii="Times New Roman" w:hAnsi="Times New Roman" w:cs="Times New Roman"/>
          <w:sz w:val="24"/>
          <w:szCs w:val="24"/>
        </w:rPr>
        <w:t xml:space="preserve">A Basin State is taken to have a reasonable excuse if the excess arises as a result of: the operation of the WRP for the SDL resource unit; or circumstances beyond the Basin State’s control. </w:t>
      </w:r>
      <w:r w:rsidR="00753FB6" w:rsidRPr="00515061">
        <w:rPr>
          <w:rFonts w:ascii="Times New Roman" w:hAnsi="Times New Roman" w:cs="Times New Roman"/>
          <w:sz w:val="24"/>
          <w:szCs w:val="24"/>
        </w:rPr>
        <w:t xml:space="preserve">However, the application of a reasonable excuse is not limited to these two circumstances. </w:t>
      </w:r>
      <w:r w:rsidR="00231B1A" w:rsidRPr="00515061">
        <w:rPr>
          <w:rFonts w:ascii="Times New Roman" w:hAnsi="Times New Roman" w:cs="Times New Roman"/>
          <w:sz w:val="24"/>
          <w:szCs w:val="24"/>
        </w:rPr>
        <w:t>If a Basin S</w:t>
      </w:r>
      <w:r w:rsidR="000A3383" w:rsidRPr="00515061">
        <w:rPr>
          <w:rFonts w:ascii="Times New Roman" w:hAnsi="Times New Roman" w:cs="Times New Roman"/>
          <w:sz w:val="24"/>
          <w:szCs w:val="24"/>
        </w:rPr>
        <w:t xml:space="preserve">tate </w:t>
      </w:r>
      <w:r w:rsidR="007517B4" w:rsidRPr="00515061">
        <w:rPr>
          <w:rFonts w:ascii="Times New Roman" w:hAnsi="Times New Roman" w:cs="Times New Roman"/>
          <w:sz w:val="24"/>
          <w:szCs w:val="24"/>
        </w:rPr>
        <w:t>has a cumulative debit balance (after adjustment to take into account any buying or selling of environmental water) equal to or greater than 20% of the SDL</w:t>
      </w:r>
      <w:r w:rsidRPr="00515061">
        <w:rPr>
          <w:rFonts w:ascii="Times New Roman" w:hAnsi="Times New Roman" w:cs="Times New Roman"/>
          <w:sz w:val="24"/>
          <w:szCs w:val="24"/>
        </w:rPr>
        <w:t xml:space="preserve">, and a </w:t>
      </w:r>
      <w:r w:rsidR="007517B4" w:rsidRPr="00515061">
        <w:rPr>
          <w:rFonts w:ascii="Times New Roman" w:hAnsi="Times New Roman" w:cs="Times New Roman"/>
          <w:sz w:val="24"/>
          <w:szCs w:val="24"/>
        </w:rPr>
        <w:t>reasonable excuse</w:t>
      </w:r>
      <w:r w:rsidRPr="00515061">
        <w:rPr>
          <w:rFonts w:ascii="Times New Roman" w:hAnsi="Times New Roman" w:cs="Times New Roman"/>
          <w:sz w:val="24"/>
          <w:szCs w:val="24"/>
        </w:rPr>
        <w:t xml:space="preserve"> is provided</w:t>
      </w:r>
      <w:r w:rsidR="00720121" w:rsidRPr="00515061">
        <w:rPr>
          <w:rFonts w:ascii="Times New Roman" w:hAnsi="Times New Roman" w:cs="Times New Roman"/>
          <w:sz w:val="24"/>
          <w:szCs w:val="24"/>
        </w:rPr>
        <w:t xml:space="preserve"> for the excess (or a portion of the excess that will bring the Basin State to under 20% of the SDL)</w:t>
      </w:r>
      <w:r w:rsidR="00231B1A" w:rsidRPr="00515061">
        <w:rPr>
          <w:rFonts w:ascii="Times New Roman" w:hAnsi="Times New Roman" w:cs="Times New Roman"/>
          <w:sz w:val="24"/>
          <w:szCs w:val="24"/>
        </w:rPr>
        <w:t>, the Basin S</w:t>
      </w:r>
      <w:r w:rsidRPr="00515061">
        <w:rPr>
          <w:rFonts w:ascii="Times New Roman" w:hAnsi="Times New Roman" w:cs="Times New Roman"/>
          <w:sz w:val="24"/>
          <w:szCs w:val="24"/>
        </w:rPr>
        <w:t xml:space="preserve">tate will be compliant with the SDLs for the relevant SDL resource unit. </w:t>
      </w:r>
      <w:bookmarkStart w:id="35" w:name="_Toc466982421"/>
      <w:bookmarkEnd w:id="34"/>
    </w:p>
    <w:p w:rsidR="00860114" w:rsidRPr="00515061" w:rsidRDefault="00860114" w:rsidP="00511B9B">
      <w:pPr>
        <w:spacing w:after="0"/>
        <w:rPr>
          <w:rFonts w:ascii="Times New Roman" w:hAnsi="Times New Roman" w:cs="Times New Roman"/>
          <w:sz w:val="24"/>
          <w:szCs w:val="24"/>
        </w:rPr>
      </w:pPr>
    </w:p>
    <w:p w:rsidR="008B1BF6" w:rsidRPr="00515061" w:rsidRDefault="00860114" w:rsidP="00511B9B">
      <w:pPr>
        <w:spacing w:after="0"/>
        <w:rPr>
          <w:rFonts w:ascii="Times New Roman" w:hAnsi="Times New Roman" w:cs="Times New Roman"/>
          <w:sz w:val="24"/>
          <w:szCs w:val="24"/>
        </w:rPr>
      </w:pPr>
      <w:r w:rsidRPr="00515061">
        <w:rPr>
          <w:rFonts w:ascii="Times New Roman" w:hAnsi="Times New Roman" w:cs="Times New Roman"/>
          <w:sz w:val="24"/>
          <w:szCs w:val="24"/>
        </w:rPr>
        <w:t>Subsection 6.12(5) provides that once the Authority has determined that the Basin State has a valid claim for a reasonable excuse then the Basin State needs to provide the Authority with the steps it will take to reduce the cumulative balance of the register of take to zero (the ‘make good’ steps). The ‘make good’ steps will not be required in the particular circumstance where, for reasons beyond the Basin State’s control, the Commonwealth has failed to reach its water recovery target for a SDL resource unit. Further information is provided below under the headings ‘</w:t>
      </w:r>
      <w:r w:rsidRPr="00515061">
        <w:rPr>
          <w:rFonts w:ascii="Times New Roman" w:hAnsi="Times New Roman" w:cs="Times New Roman"/>
          <w:i/>
          <w:sz w:val="24"/>
          <w:szCs w:val="24"/>
        </w:rPr>
        <w:t>Forgiveness due to the Commonwealth failing to reach its water recovery target for a surface water SDL resource unit</w:t>
      </w:r>
      <w:r w:rsidRPr="00515061">
        <w:rPr>
          <w:rFonts w:ascii="Times New Roman" w:hAnsi="Times New Roman" w:cs="Times New Roman"/>
          <w:sz w:val="24"/>
          <w:szCs w:val="24"/>
        </w:rPr>
        <w:t>’ and ‘</w:t>
      </w:r>
      <w:r w:rsidRPr="00515061">
        <w:rPr>
          <w:rFonts w:ascii="Times New Roman" w:hAnsi="Times New Roman" w:cs="Times New Roman"/>
          <w:i/>
          <w:sz w:val="24"/>
          <w:szCs w:val="24"/>
        </w:rPr>
        <w:t>Decoupling of certain steps relating to the claim for a reasonable excuse</w:t>
      </w:r>
      <w:r w:rsidRPr="00515061">
        <w:rPr>
          <w:rFonts w:ascii="Times New Roman" w:hAnsi="Times New Roman" w:cs="Times New Roman"/>
          <w:sz w:val="24"/>
          <w:szCs w:val="24"/>
        </w:rPr>
        <w:t>’.</w:t>
      </w:r>
    </w:p>
    <w:p w:rsidR="00860114" w:rsidRPr="00515061" w:rsidRDefault="00860114" w:rsidP="00511B9B">
      <w:pPr>
        <w:spacing w:after="0"/>
        <w:rPr>
          <w:rFonts w:ascii="Times New Roman" w:hAnsi="Times New Roman" w:cs="Times New Roman"/>
          <w:sz w:val="24"/>
          <w:szCs w:val="24"/>
        </w:rPr>
      </w:pPr>
    </w:p>
    <w:bookmarkEnd w:id="35"/>
    <w:p w:rsidR="008B1BF6" w:rsidRPr="00515061" w:rsidRDefault="00860114"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Forgiveness due to the Commonwealth failing to reach its water recovery target for a surface water SDL resource unit</w:t>
      </w:r>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25</w:t>
      </w:r>
      <w:r w:rsidRPr="00515061">
        <w:rPr>
          <w:rFonts w:ascii="Times New Roman" w:hAnsi="Times New Roman" w:cs="Times New Roman"/>
          <w:sz w:val="24"/>
          <w:szCs w:val="24"/>
        </w:rPr>
        <w:t xml:space="preserve"> of the Amendment Instrument (subsection 6.11(5) of the Basin Plan) enables an adjustment of the cumulative balance on the register of take for a surface water SDL resource unit for the annual removal of any debits incurred in the previous water accounting period, but only if the debit occurred due to the </w:t>
      </w:r>
      <w:r w:rsidR="000A3383" w:rsidRPr="00515061">
        <w:rPr>
          <w:rFonts w:ascii="Times New Roman" w:hAnsi="Times New Roman" w:cs="Times New Roman"/>
          <w:sz w:val="24"/>
          <w:szCs w:val="24"/>
        </w:rPr>
        <w:t xml:space="preserve">particular </w:t>
      </w:r>
      <w:r w:rsidRPr="00515061">
        <w:rPr>
          <w:rFonts w:ascii="Times New Roman" w:hAnsi="Times New Roman" w:cs="Times New Roman"/>
          <w:sz w:val="24"/>
          <w:szCs w:val="24"/>
        </w:rPr>
        <w:t>circumstance where the Commonwealth has not achieved the water recovery target it has set for itself in relation to the SDL resource unit (that is, the example in paragraph 6.12(4)(b) applied). The debit must have been attributable to this particular circumstance occurring and it must also be b</w:t>
      </w:r>
      <w:r w:rsidR="00245C60" w:rsidRPr="00515061">
        <w:rPr>
          <w:rFonts w:ascii="Times New Roman" w:hAnsi="Times New Roman" w:cs="Times New Roman"/>
          <w:sz w:val="24"/>
          <w:szCs w:val="24"/>
        </w:rPr>
        <w:t>eyond the Basin State’s control.</w:t>
      </w:r>
      <w:r w:rsidRPr="00515061">
        <w:rPr>
          <w:rFonts w:ascii="Times New Roman" w:hAnsi="Times New Roman" w:cs="Times New Roman"/>
          <w:sz w:val="24"/>
          <w:szCs w:val="24"/>
        </w:rPr>
        <w:t xml:space="preserve"> </w:t>
      </w:r>
      <w:r w:rsidR="00245C60" w:rsidRPr="00515061">
        <w:rPr>
          <w:rFonts w:ascii="Times New Roman" w:hAnsi="Times New Roman" w:cs="Times New Roman"/>
          <w:sz w:val="24"/>
          <w:szCs w:val="24"/>
        </w:rPr>
        <w:t>This means</w:t>
      </w:r>
      <w:r w:rsidRPr="00515061">
        <w:rPr>
          <w:rFonts w:ascii="Times New Roman" w:hAnsi="Times New Roman" w:cs="Times New Roman"/>
          <w:sz w:val="24"/>
          <w:szCs w:val="24"/>
        </w:rPr>
        <w:t xml:space="preserve"> if the state hindered the Commonwealth’s water recovery efforts </w:t>
      </w:r>
      <w:r w:rsidR="001F57B9" w:rsidRPr="00515061">
        <w:rPr>
          <w:rFonts w:ascii="Times New Roman" w:hAnsi="Times New Roman" w:cs="Times New Roman"/>
          <w:sz w:val="24"/>
          <w:szCs w:val="24"/>
        </w:rPr>
        <w:t>or if a s</w:t>
      </w:r>
      <w:r w:rsidR="00A730B7" w:rsidRPr="00515061">
        <w:rPr>
          <w:rFonts w:ascii="Times New Roman" w:hAnsi="Times New Roman" w:cs="Times New Roman"/>
          <w:sz w:val="24"/>
          <w:szCs w:val="24"/>
        </w:rPr>
        <w:t xml:space="preserve">tate commits to recover water and it fails to meet this commitment, </w:t>
      </w:r>
      <w:r w:rsidR="006B5179" w:rsidRPr="00515061">
        <w:rPr>
          <w:rFonts w:ascii="Times New Roman" w:hAnsi="Times New Roman" w:cs="Times New Roman"/>
          <w:sz w:val="24"/>
          <w:szCs w:val="24"/>
        </w:rPr>
        <w:t xml:space="preserve">then </w:t>
      </w:r>
      <w:r w:rsidR="00245C60" w:rsidRPr="00515061">
        <w:rPr>
          <w:rFonts w:ascii="Times New Roman" w:hAnsi="Times New Roman" w:cs="Times New Roman"/>
          <w:sz w:val="24"/>
          <w:szCs w:val="24"/>
        </w:rPr>
        <w:t xml:space="preserve">this circumstance would not apply, and </w:t>
      </w:r>
      <w:r w:rsidR="006B5179" w:rsidRPr="00515061">
        <w:rPr>
          <w:rFonts w:ascii="Times New Roman" w:hAnsi="Times New Roman" w:cs="Times New Roman"/>
          <w:sz w:val="24"/>
          <w:szCs w:val="24"/>
        </w:rPr>
        <w:t xml:space="preserve">an adjustment </w:t>
      </w:r>
      <w:r w:rsidR="00245C60" w:rsidRPr="00515061">
        <w:rPr>
          <w:rFonts w:ascii="Times New Roman" w:hAnsi="Times New Roman" w:cs="Times New Roman"/>
          <w:sz w:val="24"/>
          <w:szCs w:val="24"/>
        </w:rPr>
        <w:t xml:space="preserve">to the register of take </w:t>
      </w:r>
      <w:r w:rsidR="006B5179" w:rsidRPr="00515061">
        <w:rPr>
          <w:rFonts w:ascii="Times New Roman" w:hAnsi="Times New Roman" w:cs="Times New Roman"/>
          <w:sz w:val="24"/>
          <w:szCs w:val="24"/>
        </w:rPr>
        <w:t>would not be made</w:t>
      </w:r>
      <w:r w:rsidRPr="00515061">
        <w:rPr>
          <w:rFonts w:ascii="Times New Roman" w:hAnsi="Times New Roman" w:cs="Times New Roman"/>
          <w:sz w:val="24"/>
          <w:szCs w:val="24"/>
        </w:rPr>
        <w:t>. This example refers to the Australian Government’s commitment to ‘bridge the gap’ to the SDLs under the Basin Plan. This is a separate matter to the accounting for the disposal and acquisition of held environmental water under paragraph 6.12(1)(a) of the Basin Plan.</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u w:val="single"/>
        </w:rPr>
      </w:pPr>
      <w:r w:rsidRPr="00515061">
        <w:rPr>
          <w:rFonts w:ascii="Times New Roman" w:hAnsi="Times New Roman" w:cs="Times New Roman"/>
          <w:sz w:val="24"/>
          <w:szCs w:val="24"/>
          <w:u w:val="single"/>
        </w:rPr>
        <w:t>Decoupling of certain steps relating to the claim for a reasonable excuse</w:t>
      </w:r>
    </w:p>
    <w:p w:rsidR="008B1BF6" w:rsidRPr="00515061" w:rsidRDefault="008B1BF6" w:rsidP="00511B9B">
      <w:pPr>
        <w:spacing w:after="0"/>
        <w:rPr>
          <w:rFonts w:ascii="Times New Roman" w:hAnsi="Times New Roman" w:cs="Times New Roman"/>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28 and 30</w:t>
      </w:r>
      <w:r w:rsidRPr="00515061">
        <w:rPr>
          <w:rFonts w:ascii="Times New Roman" w:hAnsi="Times New Roman" w:cs="Times New Roman"/>
          <w:sz w:val="24"/>
          <w:szCs w:val="24"/>
        </w:rPr>
        <w:t xml:space="preserve"> of the Amendment Instrument de-link the two steps required for a Basin State to claim it has a reasonable excuse, as previously set out under subsection 6.12(3) of the Basin Plan,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xml:space="preserve">. </w:t>
      </w:r>
      <w:r w:rsidRPr="00515061">
        <w:rPr>
          <w:rFonts w:ascii="Times New Roman" w:hAnsi="Times New Roman" w:cs="Times New Roman"/>
          <w:b/>
          <w:sz w:val="24"/>
          <w:szCs w:val="24"/>
        </w:rPr>
        <w:t>Item 28</w:t>
      </w:r>
      <w:r w:rsidRPr="00515061">
        <w:rPr>
          <w:rFonts w:ascii="Times New Roman" w:hAnsi="Times New Roman" w:cs="Times New Roman"/>
          <w:sz w:val="24"/>
          <w:szCs w:val="24"/>
        </w:rPr>
        <w:t xml:space="preserve"> (subsection 6.12(3)) provides that for a </w:t>
      </w:r>
      <w:r w:rsidR="001F57B9" w:rsidRPr="00515061">
        <w:rPr>
          <w:rFonts w:ascii="Times New Roman" w:hAnsi="Times New Roman" w:cs="Times New Roman"/>
          <w:sz w:val="24"/>
          <w:szCs w:val="24"/>
        </w:rPr>
        <w:t>Basin S</w:t>
      </w:r>
      <w:r w:rsidRPr="00515061">
        <w:rPr>
          <w:rFonts w:ascii="Times New Roman" w:hAnsi="Times New Roman" w:cs="Times New Roman"/>
          <w:sz w:val="24"/>
          <w:szCs w:val="24"/>
        </w:rPr>
        <w:t>tate to claim to the Authority that it has a reasonable excuse for an excess in a SDL resource unit</w:t>
      </w:r>
      <w:r w:rsidR="0063500C" w:rsidRPr="00515061">
        <w:rPr>
          <w:rFonts w:ascii="Times New Roman" w:hAnsi="Times New Roman" w:cs="Times New Roman"/>
          <w:sz w:val="24"/>
          <w:szCs w:val="24"/>
        </w:rPr>
        <w:t>,</w:t>
      </w:r>
      <w:r w:rsidRPr="00515061">
        <w:rPr>
          <w:rFonts w:ascii="Times New Roman" w:hAnsi="Times New Roman" w:cs="Times New Roman"/>
          <w:sz w:val="24"/>
          <w:szCs w:val="24"/>
        </w:rPr>
        <w:t xml:space="preserve"> then it must also provide a report to the Authority setting out the reasons for the excess. </w:t>
      </w:r>
      <w:r w:rsidRPr="00515061">
        <w:rPr>
          <w:rFonts w:ascii="Times New Roman" w:hAnsi="Times New Roman" w:cs="Times New Roman"/>
          <w:b/>
          <w:sz w:val="24"/>
          <w:szCs w:val="24"/>
        </w:rPr>
        <w:t>Item 30</w:t>
      </w:r>
      <w:r w:rsidRPr="00515061">
        <w:rPr>
          <w:rFonts w:ascii="Times New Roman" w:hAnsi="Times New Roman" w:cs="Times New Roman"/>
          <w:sz w:val="24"/>
          <w:szCs w:val="24"/>
        </w:rPr>
        <w:t xml:space="preserve"> (subsection 6.12(5)) provides that a Basin State that relies on a claim for a reasonable excuse must then provide the Authority with the steps it will take to reduce the cumulative balance of the register of take to zero (the ‘make good’ steps).</w:t>
      </w:r>
    </w:p>
    <w:p w:rsidR="008B1BF6" w:rsidRPr="00515061" w:rsidRDefault="008B1BF6" w:rsidP="00511B9B">
      <w:pPr>
        <w:spacing w:after="0"/>
        <w:rPr>
          <w:rFonts w:ascii="Times New Roman" w:hAnsi="Times New Roman" w:cs="Times New Roman"/>
          <w:sz w:val="24"/>
          <w:szCs w:val="24"/>
        </w:rPr>
      </w:pPr>
    </w:p>
    <w:p w:rsidR="000E12C4" w:rsidRPr="00515061" w:rsidRDefault="000E12C4" w:rsidP="000E12C4">
      <w:pPr>
        <w:spacing w:after="0"/>
        <w:rPr>
          <w:rFonts w:ascii="Times New Roman" w:hAnsi="Times New Roman"/>
          <w:sz w:val="24"/>
          <w:szCs w:val="24"/>
        </w:rPr>
      </w:pPr>
      <w:r w:rsidRPr="00515061">
        <w:rPr>
          <w:rFonts w:ascii="Times New Roman" w:hAnsi="Times New Roman"/>
          <w:sz w:val="24"/>
          <w:szCs w:val="24"/>
        </w:rPr>
        <w:t xml:space="preserve">Note 1 at subsection 6.12(5) (see </w:t>
      </w:r>
      <w:r w:rsidRPr="00515061">
        <w:rPr>
          <w:rFonts w:ascii="Times New Roman" w:hAnsi="Times New Roman"/>
          <w:b/>
          <w:sz w:val="24"/>
          <w:szCs w:val="24"/>
        </w:rPr>
        <w:t>item 30</w:t>
      </w:r>
      <w:r w:rsidRPr="00515061">
        <w:rPr>
          <w:rFonts w:ascii="Times New Roman" w:hAnsi="Times New Roman"/>
          <w:sz w:val="24"/>
          <w:szCs w:val="24"/>
        </w:rPr>
        <w:t>) deals with the circumstance where the Basin State’s cumulative balance will be adjusted under subsection 6.11(5) to give a credit for any amount attributable to particular circumstance where, for reasons beyond the Basin State’s control, the Commonwealth has failed to reach its water recovery target for a SDL resource unit. In this circumstance the Basin State does not need to provide any ‘make good’ steps to the Authority.</w:t>
      </w:r>
    </w:p>
    <w:p w:rsidR="008B1BF6" w:rsidRPr="00515061" w:rsidRDefault="008B1BF6" w:rsidP="00511B9B">
      <w:pPr>
        <w:spacing w:after="0"/>
        <w:rPr>
          <w:rFonts w:ascii="Times New Roman" w:hAnsi="Times New Roman" w:cs="Times New Roman"/>
          <w:sz w:val="24"/>
          <w:szCs w:val="24"/>
        </w:rPr>
      </w:pPr>
    </w:p>
    <w:p w:rsidR="00B13B2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Note 2 has been repealed from below subsection 6.12(4) (see </w:t>
      </w:r>
      <w:r w:rsidRPr="00515061">
        <w:rPr>
          <w:rFonts w:ascii="Times New Roman" w:hAnsi="Times New Roman" w:cs="Times New Roman"/>
          <w:b/>
          <w:sz w:val="24"/>
          <w:szCs w:val="24"/>
        </w:rPr>
        <w:t>item 29</w:t>
      </w:r>
      <w:r w:rsidRPr="00515061">
        <w:rPr>
          <w:rFonts w:ascii="Times New Roman" w:hAnsi="Times New Roman" w:cs="Times New Roman"/>
          <w:sz w:val="24"/>
          <w:szCs w:val="24"/>
        </w:rPr>
        <w:t xml:space="preserve">) and replaced at subsection 6.12(5) (see </w:t>
      </w:r>
      <w:r w:rsidRPr="00515061">
        <w:rPr>
          <w:rFonts w:ascii="Times New Roman" w:hAnsi="Times New Roman" w:cs="Times New Roman"/>
          <w:b/>
          <w:sz w:val="24"/>
          <w:szCs w:val="24"/>
        </w:rPr>
        <w:t>item 30</w:t>
      </w:r>
      <w:r w:rsidRPr="00515061">
        <w:rPr>
          <w:rFonts w:ascii="Times New Roman" w:hAnsi="Times New Roman" w:cs="Times New Roman"/>
          <w:sz w:val="24"/>
          <w:szCs w:val="24"/>
        </w:rPr>
        <w:t>). This note relates to the Authority’s powers under the Water Act to undertake au</w:t>
      </w:r>
      <w:r w:rsidR="00720121" w:rsidRPr="00515061">
        <w:rPr>
          <w:rFonts w:ascii="Times New Roman" w:hAnsi="Times New Roman" w:cs="Times New Roman"/>
          <w:sz w:val="24"/>
          <w:szCs w:val="24"/>
        </w:rPr>
        <w:t>dits in relation to compliance.</w:t>
      </w:r>
    </w:p>
    <w:p w:rsidR="00B13B29" w:rsidRPr="00515061" w:rsidRDefault="00B13B29" w:rsidP="00511B9B">
      <w:pPr>
        <w:spacing w:after="0"/>
        <w:rPr>
          <w:rFonts w:ascii="Times New Roman" w:hAnsi="Times New Roman" w:cs="Times New Roman"/>
          <w:sz w:val="24"/>
          <w:szCs w:val="24"/>
        </w:rPr>
      </w:pPr>
    </w:p>
    <w:p w:rsidR="00B13B29" w:rsidRPr="00515061" w:rsidRDefault="008A58FE" w:rsidP="00511B9B">
      <w:pPr>
        <w:pStyle w:val="ListParagraph"/>
        <w:numPr>
          <w:ilvl w:val="0"/>
          <w:numId w:val="17"/>
        </w:numPr>
        <w:spacing w:after="0"/>
        <w:rPr>
          <w:rFonts w:ascii="Times New Roman" w:hAnsi="Times New Roman" w:cs="Times New Roman"/>
          <w:b/>
          <w:sz w:val="24"/>
          <w:szCs w:val="24"/>
        </w:rPr>
      </w:pPr>
      <w:r w:rsidRPr="00515061">
        <w:rPr>
          <w:rFonts w:ascii="Times New Roman" w:hAnsi="Times New Roman" w:cs="Times New Roman"/>
          <w:b/>
          <w:sz w:val="24"/>
          <w:szCs w:val="24"/>
        </w:rPr>
        <w:t>Surface water WRP and SDL resource unit boundary amendments (items 6 and 12)</w:t>
      </w:r>
    </w:p>
    <w:p w:rsidR="00B13B29" w:rsidRPr="00515061" w:rsidRDefault="00B13B29" w:rsidP="00511B9B">
      <w:pPr>
        <w:spacing w:after="0"/>
        <w:rPr>
          <w:rFonts w:ascii="Times New Roman" w:hAnsi="Times New Roman" w:cs="Times New Roman"/>
          <w:sz w:val="24"/>
          <w:szCs w:val="24"/>
        </w:rPr>
      </w:pPr>
    </w:p>
    <w:p w:rsidR="00B13B2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Basin Plan refers to maps which identify the sustainable diversion limit resource unit boundaries, and the WRP area boundaries. The maps are held by and published b</w:t>
      </w:r>
      <w:r w:rsidR="00720121" w:rsidRPr="00515061">
        <w:rPr>
          <w:rFonts w:ascii="Times New Roman" w:hAnsi="Times New Roman" w:cs="Times New Roman"/>
          <w:sz w:val="24"/>
          <w:szCs w:val="24"/>
        </w:rPr>
        <w:t xml:space="preserve">y </w:t>
      </w:r>
      <w:r w:rsidRPr="00515061">
        <w:rPr>
          <w:rFonts w:ascii="Times New Roman" w:hAnsi="Times New Roman" w:cs="Times New Roman"/>
          <w:sz w:val="24"/>
          <w:szCs w:val="24"/>
        </w:rPr>
        <w:t>the Authority</w:t>
      </w:r>
      <w:r w:rsidR="00720121" w:rsidRPr="00515061">
        <w:rPr>
          <w:rFonts w:ascii="Times New Roman" w:hAnsi="Times New Roman" w:cs="Times New Roman"/>
          <w:sz w:val="24"/>
          <w:szCs w:val="24"/>
        </w:rPr>
        <w:t xml:space="preserve"> at </w:t>
      </w:r>
      <w:hyperlink r:id="rId17" w:history="1">
        <w:r w:rsidR="00720121" w:rsidRPr="00515061">
          <w:rPr>
            <w:rStyle w:val="Hyperlink"/>
            <w:rFonts w:ascii="Times New Roman" w:hAnsi="Times New Roman" w:cs="Times New Roman"/>
            <w:sz w:val="24"/>
            <w:szCs w:val="24"/>
          </w:rPr>
          <w:t>https://www.mdba.gov.au/publications/maps-spatial-data</w:t>
        </w:r>
      </w:hyperlink>
      <w:r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WRP areas, where possible, are intended to align with state water planning areas. Note that section 22, item 2 of the Water Act states that the water resource planning areas in the Basin Plan should be aligned, as far as possible, with the State water resource planning boundaries. </w:t>
      </w:r>
      <w:r w:rsidR="00903F27" w:rsidRPr="00515061">
        <w:rPr>
          <w:rFonts w:ascii="Times New Roman" w:hAnsi="Times New Roman" w:cs="Times New Roman"/>
          <w:sz w:val="24"/>
          <w:szCs w:val="24"/>
        </w:rPr>
        <w:t xml:space="preserve">Basin </w:t>
      </w:r>
      <w:r w:rsidRPr="00515061">
        <w:rPr>
          <w:rFonts w:ascii="Times New Roman" w:hAnsi="Times New Roman" w:cs="Times New Roman"/>
          <w:sz w:val="24"/>
          <w:szCs w:val="24"/>
        </w:rPr>
        <w:t>States have proposed modest changes to these maps as they have varied their existing state boundaries. For example, a small area has been moved from one WRP area to another WRP area.</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WRP areas are divided into SDL resource units. Each unit is generally based on a catchment, and is intended to align with state planning boundaries, where possible. The states have asked the Authority to better align the Basin Plan WRP and SDL resource unit map boundaries with the state water management planning boundaries. </w:t>
      </w:r>
      <w:bookmarkStart w:id="36" w:name="_Toc465685248"/>
      <w:bookmarkStart w:id="37" w:name="_Toc466982410"/>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New South Wales surface water boundary changes</w:t>
      </w:r>
      <w:bookmarkEnd w:id="36"/>
      <w:bookmarkEnd w:id="37"/>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changes the surface water WRP boundaries (see </w:t>
      </w:r>
      <w:r w:rsidRPr="00515061">
        <w:rPr>
          <w:rFonts w:ascii="Times New Roman" w:hAnsi="Times New Roman" w:cs="Times New Roman"/>
          <w:b/>
          <w:sz w:val="24"/>
          <w:szCs w:val="24"/>
        </w:rPr>
        <w:t>item 6</w:t>
      </w:r>
      <w:r w:rsidRPr="00515061">
        <w:rPr>
          <w:rFonts w:ascii="Times New Roman" w:hAnsi="Times New Roman" w:cs="Times New Roman"/>
          <w:sz w:val="24"/>
          <w:szCs w:val="24"/>
        </w:rPr>
        <w:t xml:space="preserve">, paragraph 3.03(1)(c) of the Basin Plan) and surface water SDL resource unit boundaries (see </w:t>
      </w:r>
      <w:r w:rsidRPr="00515061">
        <w:rPr>
          <w:rFonts w:ascii="Times New Roman" w:hAnsi="Times New Roman" w:cs="Times New Roman"/>
          <w:b/>
          <w:sz w:val="24"/>
          <w:szCs w:val="24"/>
        </w:rPr>
        <w:t>item 12</w:t>
      </w:r>
      <w:r w:rsidRPr="00515061">
        <w:rPr>
          <w:rFonts w:ascii="Times New Roman" w:hAnsi="Times New Roman" w:cs="Times New Roman"/>
          <w:sz w:val="24"/>
          <w:szCs w:val="24"/>
        </w:rPr>
        <w:t>, paragraph 6.02(1)(c) of the Basin Plan</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change is to the boundaries of ten New South Wales surface water SDL resource units and nine New South Wales WRP areas. The Amendment Instrument adopts the current New South Wales water sharing plan boundaries, identified under the </w:t>
      </w:r>
      <w:r w:rsidRPr="00515061">
        <w:rPr>
          <w:rFonts w:ascii="Times New Roman" w:hAnsi="Times New Roman" w:cs="Times New Roman"/>
          <w:i/>
          <w:sz w:val="24"/>
          <w:szCs w:val="24"/>
        </w:rPr>
        <w:t>Water Management Act 2000 (</w:t>
      </w:r>
      <w:r w:rsidRPr="00515061">
        <w:rPr>
          <w:rFonts w:ascii="Times New Roman" w:hAnsi="Times New Roman" w:cs="Times New Roman"/>
          <w:sz w:val="24"/>
          <w:szCs w:val="24"/>
        </w:rPr>
        <w:t>NSW</w:t>
      </w:r>
      <w:r w:rsidRPr="00515061">
        <w:rPr>
          <w:rFonts w:ascii="Times New Roman" w:hAnsi="Times New Roman" w:cs="Times New Roman"/>
          <w:i/>
          <w:sz w:val="24"/>
          <w:szCs w:val="24"/>
        </w:rPr>
        <w:t>)</w:t>
      </w:r>
      <w:r w:rsidRPr="00515061">
        <w:rPr>
          <w:rFonts w:ascii="Times New Roman" w:hAnsi="Times New Roman" w:cs="Times New Roman"/>
          <w:sz w:val="24"/>
          <w:szCs w:val="24"/>
        </w:rPr>
        <w:t xml:space="preserve">, for the Basin Plan SDL resource unit and WRP area boundaries. This amendment reduces the administrative burden for both New South Wales and the Authority by assisting in facilitating the smooth transition from the current water sharing plans under the </w:t>
      </w:r>
      <w:r w:rsidRPr="00515061">
        <w:rPr>
          <w:rFonts w:ascii="Times New Roman" w:hAnsi="Times New Roman" w:cs="Times New Roman"/>
          <w:i/>
          <w:sz w:val="24"/>
          <w:szCs w:val="24"/>
        </w:rPr>
        <w:t xml:space="preserve">Water Management Act 2000 </w:t>
      </w:r>
      <w:r w:rsidRPr="00515061">
        <w:rPr>
          <w:rFonts w:ascii="Times New Roman" w:hAnsi="Times New Roman" w:cs="Times New Roman"/>
          <w:sz w:val="24"/>
          <w:szCs w:val="24"/>
        </w:rPr>
        <w:t xml:space="preserve">(NSW) to WRPs under the </w:t>
      </w:r>
      <w:r w:rsidRPr="00515061">
        <w:rPr>
          <w:rFonts w:ascii="Times New Roman" w:hAnsi="Times New Roman" w:cs="Times New Roman"/>
          <w:i/>
          <w:sz w:val="24"/>
          <w:szCs w:val="24"/>
        </w:rPr>
        <w:t>Water Act 2007</w:t>
      </w:r>
      <w:r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A877E6"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Basin Plan references maps that the Authority holds </w:t>
      </w:r>
      <w:r w:rsidR="00493B16" w:rsidRPr="00515061">
        <w:rPr>
          <w:rFonts w:ascii="Times New Roman" w:hAnsi="Times New Roman" w:cs="Times New Roman"/>
          <w:sz w:val="24"/>
          <w:szCs w:val="24"/>
        </w:rPr>
        <w:t xml:space="preserve">to </w:t>
      </w:r>
      <w:r w:rsidRPr="00515061">
        <w:rPr>
          <w:rFonts w:ascii="Times New Roman" w:hAnsi="Times New Roman" w:cs="Times New Roman"/>
          <w:sz w:val="24"/>
          <w:szCs w:val="24"/>
        </w:rPr>
        <w:t xml:space="preserve">identify the boundaries of both the SDL resource units and the WRP areas. </w:t>
      </w:r>
      <w:r w:rsidRPr="00515061">
        <w:rPr>
          <w:rFonts w:ascii="Times New Roman" w:hAnsi="Times New Roman" w:cs="Times New Roman"/>
          <w:b/>
          <w:sz w:val="24"/>
          <w:szCs w:val="24"/>
        </w:rPr>
        <w:t>Items 6 and 12</w:t>
      </w:r>
      <w:r w:rsidRPr="00515061">
        <w:rPr>
          <w:rFonts w:ascii="Times New Roman" w:hAnsi="Times New Roman" w:cs="Times New Roman"/>
          <w:sz w:val="24"/>
          <w:szCs w:val="24"/>
        </w:rPr>
        <w:t xml:space="preserve"> update the references in the Basin Plan to reflect the updated maps for surface water WRPs and surface water SDL resource units. The updated maps are published on the Authority’s website and </w:t>
      </w:r>
      <w:r w:rsidR="00442CAB">
        <w:rPr>
          <w:rFonts w:ascii="Times New Roman" w:hAnsi="Times New Roman" w:cs="Times New Roman"/>
          <w:sz w:val="24"/>
          <w:szCs w:val="24"/>
        </w:rPr>
        <w:t>became</w:t>
      </w:r>
      <w:r w:rsidRPr="00515061">
        <w:rPr>
          <w:rFonts w:ascii="Times New Roman" w:hAnsi="Times New Roman" w:cs="Times New Roman"/>
          <w:sz w:val="24"/>
          <w:szCs w:val="24"/>
        </w:rPr>
        <w:t xml:space="preserve"> effective </w:t>
      </w:r>
      <w:r w:rsidR="00F74949">
        <w:rPr>
          <w:rFonts w:ascii="Times New Roman" w:hAnsi="Times New Roman" w:cs="Times New Roman"/>
          <w:sz w:val="24"/>
          <w:szCs w:val="24"/>
        </w:rPr>
        <w:t>as at</w:t>
      </w:r>
      <w:r w:rsidR="00442CAB">
        <w:rPr>
          <w:rFonts w:ascii="Times New Roman" w:hAnsi="Times New Roman" w:cs="Times New Roman"/>
          <w:sz w:val="24"/>
          <w:szCs w:val="24"/>
        </w:rPr>
        <w:t xml:space="preserve"> 14 November 2017, the date of commencement of </w:t>
      </w:r>
      <w:r w:rsidR="00442CAB" w:rsidRPr="00A877E6">
        <w:rPr>
          <w:rFonts w:ascii="Times New Roman" w:hAnsi="Times New Roman" w:cs="Times New Roman"/>
          <w:sz w:val="24"/>
          <w:szCs w:val="24"/>
        </w:rPr>
        <w:t xml:space="preserve">the </w:t>
      </w:r>
      <w:r w:rsidR="00A877E6" w:rsidRPr="00A877E6">
        <w:rPr>
          <w:rFonts w:ascii="Times New Roman" w:hAnsi="Times New Roman" w:cs="Times New Roman"/>
          <w:sz w:val="24"/>
          <w:szCs w:val="24"/>
        </w:rPr>
        <w:t>Disallowed Instrument</w:t>
      </w:r>
      <w:r w:rsidR="00442CAB" w:rsidRPr="00A877E6">
        <w:rPr>
          <w:rFonts w:ascii="Times New Roman" w:hAnsi="Times New Roman" w:cs="Times New Roman"/>
          <w:sz w:val="24"/>
          <w:szCs w:val="24"/>
        </w:rPr>
        <w:t>.</w:t>
      </w:r>
      <w:r w:rsidRPr="00A877E6">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rPr>
      </w:pPr>
      <w:r w:rsidRPr="00515061">
        <w:rPr>
          <w:rFonts w:ascii="Times New Roman" w:hAnsi="Times New Roman" w:cs="Times New Roman"/>
          <w:sz w:val="24"/>
          <w:szCs w:val="24"/>
        </w:rPr>
        <w:t>The surface water SDL resource units affected by the boundary changes are the New South Wales Murray, Murrumbidgee, Lower Darling and Lachlan. In addition, changing the boundary of the Barwon</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Darling Watercourse will result in changes to all adjoining SDL resource units: Namoi; Gwydir; Macquarie</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Castlereagh; NSW Border Rivers and Intersecting Streams. All of these changes are very minimal. None of the changes have any impact on the SDLs in any of the SDL resource units listed in Schedule 2 of the Basin Plan</w:t>
      </w:r>
      <w:r w:rsidR="001D23E8" w:rsidRPr="00515061">
        <w:rPr>
          <w:rFonts w:ascii="Times New Roman" w:hAnsi="Times New Roman" w:cs="Times New Roman"/>
          <w:sz w:val="24"/>
          <w:szCs w:val="24"/>
        </w:rPr>
        <w:t xml:space="preserve"> and</w:t>
      </w:r>
      <w:r w:rsidR="001D23E8" w:rsidRPr="00515061">
        <w:rPr>
          <w:rFonts w:ascii="Times New Roman" w:hAnsi="Times New Roman" w:cs="Times New Roman"/>
          <w:bCs/>
          <w:sz w:val="24"/>
          <w:szCs w:val="24"/>
        </w:rPr>
        <w:t xml:space="preserve"> hence ensures that the SDLs continue to reflect an environmentally sustainable level of take</w:t>
      </w:r>
      <w:r w:rsidR="00C44A02" w:rsidRPr="00515061">
        <w:rPr>
          <w:rFonts w:ascii="Times New Roman" w:hAnsi="Times New Roman" w:cs="Times New Roman"/>
          <w:bCs/>
          <w:sz w:val="24"/>
          <w:szCs w:val="24"/>
        </w:rPr>
        <w:t>.</w:t>
      </w:r>
    </w:p>
    <w:p w:rsidR="008B1BF6" w:rsidRPr="00515061" w:rsidRDefault="008B1BF6" w:rsidP="00511B9B">
      <w:pPr>
        <w:spacing w:after="0"/>
        <w:rPr>
          <w:rFonts w:ascii="Times New Roman" w:hAnsi="Times New Roman" w:cs="Times New Roman"/>
          <w:bCs/>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WRP areas for surface water</w:t>
      </w:r>
      <w:r w:rsidR="00EB26D1"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are affected by the boundary changes</w:t>
      </w:r>
      <w:r w:rsidR="00EB26D1" w:rsidRPr="00515061">
        <w:rPr>
          <w:rFonts w:ascii="Times New Roman" w:hAnsi="Times New Roman" w:cs="Times New Roman"/>
          <w:sz w:val="24"/>
          <w:szCs w:val="24"/>
        </w:rPr>
        <w:t>,</w:t>
      </w:r>
      <w:r w:rsidRPr="00515061">
        <w:rPr>
          <w:rFonts w:ascii="Times New Roman" w:hAnsi="Times New Roman" w:cs="Times New Roman"/>
          <w:sz w:val="24"/>
          <w:szCs w:val="24"/>
        </w:rPr>
        <w:t xml:space="preserve"> are the New South Wales Murray and Lower Darling, Murrumbidgee and Lachlan. In addition, changing the boundary of the Barwon</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Darling Watercourse will result in changes to all adjoining WRP areas in New South Wales: Namoi; Gwydir; Macquarie</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Castlereagh; NSW Border Rivers and Intersecting Streams. All of these changes are very minimal. The percentage of change is less than 1% of the NSW Murray</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Basin area. The area changes do not change the SDLs in the associated SDL resource units</w:t>
      </w:r>
      <w:r w:rsidR="00D04AF5" w:rsidRPr="00515061">
        <w:rPr>
          <w:rFonts w:ascii="Times New Roman" w:hAnsi="Times New Roman" w:cs="Times New Roman"/>
          <w:sz w:val="24"/>
          <w:szCs w:val="24"/>
        </w:rPr>
        <w:t xml:space="preserve"> </w:t>
      </w:r>
      <w:r w:rsidR="00D04AF5" w:rsidRPr="00515061">
        <w:rPr>
          <w:rFonts w:ascii="Times New Roman" w:hAnsi="Times New Roman" w:cs="Times New Roman"/>
          <w:bCs/>
          <w:sz w:val="24"/>
          <w:szCs w:val="24"/>
        </w:rPr>
        <w:t>and hence ensure that the SDLs continue to reflect an environmentally sustainable level of take</w:t>
      </w:r>
      <w:r w:rsidR="00C44A02" w:rsidRPr="00515061">
        <w:rPr>
          <w:rFonts w:ascii="Times New Roman" w:hAnsi="Times New Roman" w:cs="Times New Roman"/>
          <w:bCs/>
          <w:sz w:val="24"/>
          <w:szCs w:val="24"/>
        </w:rPr>
        <w:t>.</w:t>
      </w:r>
      <w:r w:rsidRPr="00515061">
        <w:rPr>
          <w:rFonts w:ascii="Times New Roman" w:hAnsi="Times New Roman" w:cs="Times New Roman"/>
          <w:sz w:val="24"/>
          <w:szCs w:val="24"/>
        </w:rPr>
        <w:t xml:space="preserve"> </w:t>
      </w:r>
      <w:bookmarkStart w:id="38" w:name="_Toc466982411"/>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Queensland WRP amalgamation</w:t>
      </w:r>
      <w:bookmarkEnd w:id="38"/>
      <w:r w:rsidRPr="00515061">
        <w:rPr>
          <w:rFonts w:ascii="Times New Roman" w:hAnsi="Times New Roman" w:cs="Times New Roman"/>
          <w:bCs/>
          <w:sz w:val="24"/>
          <w:szCs w:val="24"/>
          <w:u w:val="single"/>
        </w:rPr>
        <w:t xml:space="preserve"> </w:t>
      </w:r>
      <w:bookmarkStart w:id="39" w:name="_Toc465685250"/>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DD517D" w:rsidP="00511B9B">
      <w:pPr>
        <w:spacing w:after="0"/>
        <w:rPr>
          <w:rFonts w:ascii="Times New Roman" w:hAnsi="Times New Roman" w:cs="Times New Roman"/>
          <w:sz w:val="24"/>
          <w:szCs w:val="24"/>
        </w:rPr>
      </w:pPr>
      <w:r w:rsidRPr="00515061">
        <w:rPr>
          <w:rFonts w:ascii="Times New Roman" w:hAnsi="Times New Roman" w:cs="Times New Roman"/>
          <w:b/>
          <w:sz w:val="24"/>
          <w:szCs w:val="24"/>
        </w:rPr>
        <w:t>I</w:t>
      </w:r>
      <w:r w:rsidR="008A58FE" w:rsidRPr="00515061">
        <w:rPr>
          <w:rFonts w:ascii="Times New Roman" w:hAnsi="Times New Roman" w:cs="Times New Roman"/>
          <w:b/>
          <w:sz w:val="24"/>
          <w:szCs w:val="24"/>
        </w:rPr>
        <w:t>tems 9 and 10</w:t>
      </w:r>
      <w:r w:rsidR="008A58FE" w:rsidRPr="00515061">
        <w:rPr>
          <w:rFonts w:ascii="Times New Roman" w:hAnsi="Times New Roman" w:cs="Times New Roman"/>
          <w:sz w:val="24"/>
          <w:szCs w:val="24"/>
        </w:rPr>
        <w:t xml:space="preserve"> of the Amendment Instrument</w:t>
      </w:r>
      <w:r w:rsidRPr="00515061">
        <w:rPr>
          <w:rFonts w:ascii="Times New Roman" w:hAnsi="Times New Roman" w:cs="Times New Roman"/>
          <w:sz w:val="24"/>
          <w:szCs w:val="24"/>
        </w:rPr>
        <w:t xml:space="preserve"> (as discussed above at </w:t>
      </w:r>
      <w:r w:rsidRPr="00515061">
        <w:rPr>
          <w:rFonts w:ascii="Times New Roman" w:hAnsi="Times New Roman" w:cs="Times New Roman"/>
          <w:i/>
          <w:sz w:val="24"/>
          <w:szCs w:val="24"/>
        </w:rPr>
        <w:t>2(c)</w:t>
      </w:r>
      <w:r w:rsidRPr="00515061">
        <w:rPr>
          <w:rFonts w:ascii="Times New Roman" w:hAnsi="Times New Roman" w:cs="Times New Roman"/>
          <w:sz w:val="24"/>
          <w:szCs w:val="24"/>
        </w:rPr>
        <w:t xml:space="preserve"> </w:t>
      </w:r>
      <w:r w:rsidRPr="00515061">
        <w:rPr>
          <w:rFonts w:ascii="Times New Roman" w:hAnsi="Times New Roman" w:cs="Times New Roman"/>
          <w:i/>
          <w:sz w:val="24"/>
          <w:szCs w:val="24"/>
        </w:rPr>
        <w:t>Changes to certain groundwater WRP area boundaries</w:t>
      </w:r>
      <w:r w:rsidR="004D2D59" w:rsidRPr="00515061">
        <w:rPr>
          <w:rFonts w:ascii="Times New Roman" w:hAnsi="Times New Roman" w:cs="Times New Roman"/>
          <w:i/>
          <w:sz w:val="24"/>
          <w:szCs w:val="24"/>
        </w:rPr>
        <w:t xml:space="preserve"> </w:t>
      </w:r>
      <w:r w:rsidR="004D2D59" w:rsidRPr="00515061">
        <w:rPr>
          <w:rFonts w:ascii="Times New Roman" w:hAnsi="Times New Roman" w:cs="Times New Roman"/>
          <w:sz w:val="24"/>
          <w:szCs w:val="24"/>
        </w:rPr>
        <w:t>of this explanatory statement</w:t>
      </w:r>
      <w:r w:rsidRPr="00515061">
        <w:rPr>
          <w:rFonts w:ascii="Times New Roman" w:hAnsi="Times New Roman" w:cs="Times New Roman"/>
          <w:sz w:val="24"/>
          <w:szCs w:val="24"/>
        </w:rPr>
        <w:t>),</w:t>
      </w:r>
      <w:r w:rsidR="008A58FE" w:rsidRPr="00515061">
        <w:rPr>
          <w:rFonts w:ascii="Times New Roman" w:hAnsi="Times New Roman" w:cs="Times New Roman"/>
          <w:sz w:val="24"/>
          <w:szCs w:val="24"/>
        </w:rPr>
        <w:t xml:space="preserve"> combine two Queensland WRP areas: Queensland Border Rivers WRP area; and Moonie WRP area. The amalgamation of these two WRP areas results in one WRP area, the Queensland Border Rivers</w:t>
      </w:r>
      <w:r w:rsidR="001841FB" w:rsidRPr="00515061">
        <w:rPr>
          <w:rFonts w:ascii="Times New Roman" w:hAnsi="Times New Roman" w:cs="Times New Roman"/>
          <w:sz w:val="24"/>
          <w:szCs w:val="24"/>
        </w:rPr>
        <w:t>-</w:t>
      </w:r>
      <w:r w:rsidR="008A58FE" w:rsidRPr="00515061">
        <w:rPr>
          <w:rFonts w:ascii="Times New Roman" w:hAnsi="Times New Roman" w:cs="Times New Roman"/>
          <w:sz w:val="24"/>
          <w:szCs w:val="24"/>
        </w:rPr>
        <w:t>Moonie WRP area. It will encompass two surface water SDL resource units: the Moonie SDL resource unit; and the Queensland Border Rivers SDL resource unit.</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Queensland Government requested this amalgamation as it reduces the administrative burden on both the state and the Authority. There are no impacts on any of the SDLs currently set in either of the WRP areas, or the SDL resource units as a consequence of this amalgamation</w:t>
      </w:r>
      <w:r w:rsidR="00D04AF5" w:rsidRPr="00515061">
        <w:rPr>
          <w:rFonts w:ascii="Times New Roman" w:hAnsi="Times New Roman" w:cs="Times New Roman"/>
          <w:sz w:val="24"/>
          <w:szCs w:val="24"/>
        </w:rPr>
        <w:t xml:space="preserve"> </w:t>
      </w:r>
      <w:r w:rsidR="00D04AF5" w:rsidRPr="00515061">
        <w:rPr>
          <w:rFonts w:ascii="Times New Roman" w:hAnsi="Times New Roman" w:cs="Times New Roman"/>
          <w:bCs/>
          <w:sz w:val="24"/>
          <w:szCs w:val="24"/>
        </w:rPr>
        <w:t>and hence ensures that the SDLs continue to reflect an environmentally sustainable level of take</w:t>
      </w:r>
      <w:r w:rsidR="00C44A02" w:rsidRPr="00515061">
        <w:rPr>
          <w:rFonts w:ascii="Times New Roman" w:hAnsi="Times New Roman" w:cs="Times New Roman"/>
          <w:bCs/>
          <w:sz w:val="24"/>
          <w:szCs w:val="24"/>
        </w:rPr>
        <w:t>.</w:t>
      </w:r>
      <w:r w:rsidRPr="00515061">
        <w:rPr>
          <w:rFonts w:ascii="Times New Roman" w:hAnsi="Times New Roman" w:cs="Times New Roman"/>
          <w:sz w:val="24"/>
          <w:szCs w:val="24"/>
        </w:rPr>
        <w:t xml:space="preserve"> See </w:t>
      </w:r>
      <w:r w:rsidR="004D2D59" w:rsidRPr="00515061">
        <w:rPr>
          <w:rFonts w:ascii="Times New Roman" w:hAnsi="Times New Roman" w:cs="Times New Roman"/>
          <w:sz w:val="24"/>
          <w:szCs w:val="24"/>
        </w:rPr>
        <w:t xml:space="preserve">above </w:t>
      </w:r>
      <w:r w:rsidRPr="00515061">
        <w:rPr>
          <w:rFonts w:ascii="Times New Roman" w:hAnsi="Times New Roman" w:cs="Times New Roman"/>
          <w:i/>
          <w:sz w:val="24"/>
          <w:szCs w:val="24"/>
        </w:rPr>
        <w:t xml:space="preserve">2(b) </w:t>
      </w:r>
      <w:r w:rsidR="004D2D59" w:rsidRPr="00515061">
        <w:rPr>
          <w:rFonts w:ascii="Times New Roman" w:hAnsi="Times New Roman" w:cs="Times New Roman"/>
          <w:i/>
          <w:sz w:val="24"/>
          <w:szCs w:val="24"/>
        </w:rPr>
        <w:t>Other groundwater baseline diversion limit and SDL changes</w:t>
      </w:r>
      <w:r w:rsidR="004D2D59" w:rsidRPr="00515061">
        <w:rPr>
          <w:rFonts w:ascii="Times New Roman" w:hAnsi="Times New Roman" w:cs="Times New Roman"/>
          <w:sz w:val="24"/>
          <w:szCs w:val="24"/>
        </w:rPr>
        <w:t xml:space="preserve"> of this explanatory statement,</w:t>
      </w:r>
      <w:r w:rsidRPr="00515061">
        <w:rPr>
          <w:rFonts w:ascii="Times New Roman" w:hAnsi="Times New Roman" w:cs="Times New Roman"/>
          <w:sz w:val="24"/>
          <w:szCs w:val="24"/>
        </w:rPr>
        <w:t xml:space="preserve"> for further detail regarding the amendments to the Basin Plan as a consequence of the Queensland WRP amalgamation.</w:t>
      </w:r>
      <w:bookmarkStart w:id="40" w:name="_Toc466982412"/>
    </w:p>
    <w:p w:rsidR="00DB753C" w:rsidRPr="00515061" w:rsidRDefault="00DB753C"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South Australian surface water boundary changes</w:t>
      </w:r>
      <w:bookmarkEnd w:id="39"/>
      <w:bookmarkEnd w:id="40"/>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changes the surface water WRP boundaries (see </w:t>
      </w:r>
      <w:r w:rsidRPr="00515061">
        <w:rPr>
          <w:rFonts w:ascii="Times New Roman" w:hAnsi="Times New Roman" w:cs="Times New Roman"/>
          <w:b/>
          <w:sz w:val="24"/>
          <w:szCs w:val="24"/>
        </w:rPr>
        <w:t>item 6</w:t>
      </w:r>
      <w:r w:rsidRPr="00515061">
        <w:rPr>
          <w:rFonts w:ascii="Times New Roman" w:hAnsi="Times New Roman" w:cs="Times New Roman"/>
          <w:sz w:val="24"/>
          <w:szCs w:val="24"/>
        </w:rPr>
        <w:t xml:space="preserve">, paragraph 3.03(1)(c) of the Basin Plan) of two South Australian WRP areas: South Australian River Murray WRP area and Eastern Mount Lofty Ranges WRP area. The amendment to the WRP boundaries fixes an error in the boundary lines between the two areas which occurred during the drafting of the maps held by the Authority. </w:t>
      </w:r>
    </w:p>
    <w:p w:rsidR="008B1BF6" w:rsidRPr="00515061" w:rsidRDefault="008B1BF6" w:rsidP="00511B9B">
      <w:pPr>
        <w:spacing w:after="0"/>
        <w:rPr>
          <w:rFonts w:ascii="Times New Roman" w:hAnsi="Times New Roman" w:cs="Times New Roman"/>
          <w:sz w:val="24"/>
          <w:szCs w:val="24"/>
        </w:rPr>
      </w:pPr>
    </w:p>
    <w:p w:rsidR="00AA187D" w:rsidRPr="00515061" w:rsidRDefault="008A58FE" w:rsidP="00511B9B">
      <w:pPr>
        <w:spacing w:after="0"/>
        <w:rPr>
          <w:rFonts w:ascii="Times New Roman" w:hAnsi="Times New Roman" w:cs="Times New Roman"/>
          <w:bCs/>
          <w:sz w:val="24"/>
          <w:szCs w:val="24"/>
        </w:rPr>
      </w:pPr>
      <w:r w:rsidRPr="00515061">
        <w:rPr>
          <w:rFonts w:ascii="Times New Roman" w:hAnsi="Times New Roman" w:cs="Times New Roman"/>
          <w:sz w:val="24"/>
          <w:szCs w:val="24"/>
        </w:rPr>
        <w:t>The changes only impact the WRP area boundaries and there are no changes required to the SDL resource unit boundaries. The percentage of change is less than 1% of the South Australian Murray</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Basin area. The area changes do not change the SDLs in the associated SDL resource units</w:t>
      </w:r>
      <w:r w:rsidR="001D23E8" w:rsidRPr="00515061">
        <w:rPr>
          <w:rFonts w:ascii="Times New Roman" w:hAnsi="Times New Roman" w:cs="Times New Roman"/>
          <w:sz w:val="24"/>
          <w:szCs w:val="24"/>
        </w:rPr>
        <w:t xml:space="preserve"> </w:t>
      </w:r>
      <w:r w:rsidR="001D23E8" w:rsidRPr="00515061">
        <w:rPr>
          <w:rFonts w:ascii="Times New Roman" w:hAnsi="Times New Roman" w:cs="Times New Roman"/>
          <w:bCs/>
          <w:sz w:val="24"/>
          <w:szCs w:val="24"/>
        </w:rPr>
        <w:t>and hence ensures that the SDL continue to reflect an environmentally sustainable level of take</w:t>
      </w:r>
      <w:r w:rsidR="00C44A02" w:rsidRPr="00515061">
        <w:rPr>
          <w:rFonts w:ascii="Times New Roman" w:hAnsi="Times New Roman" w:cs="Times New Roman"/>
          <w:bCs/>
          <w:sz w:val="24"/>
          <w:szCs w:val="24"/>
        </w:rPr>
        <w:t>.</w:t>
      </w:r>
    </w:p>
    <w:p w:rsidR="008B1BF6" w:rsidRPr="00515061" w:rsidRDefault="008B1BF6" w:rsidP="00511B9B">
      <w:pPr>
        <w:spacing w:after="0"/>
        <w:rPr>
          <w:rFonts w:ascii="Times New Roman" w:hAnsi="Times New Roman" w:cs="Times New Roman"/>
          <w:b/>
          <w:sz w:val="24"/>
          <w:szCs w:val="24"/>
        </w:rPr>
      </w:pPr>
    </w:p>
    <w:p w:rsidR="00AA187D" w:rsidRPr="00515061" w:rsidRDefault="008A58FE" w:rsidP="00963D75">
      <w:pPr>
        <w:pStyle w:val="ListParagraph"/>
        <w:keepNext/>
        <w:numPr>
          <w:ilvl w:val="0"/>
          <w:numId w:val="18"/>
        </w:numPr>
        <w:spacing w:after="0"/>
        <w:rPr>
          <w:rFonts w:ascii="Times New Roman" w:hAnsi="Times New Roman" w:cs="Times New Roman"/>
          <w:bCs/>
          <w:sz w:val="24"/>
          <w:szCs w:val="24"/>
          <w:u w:val="single"/>
        </w:rPr>
      </w:pPr>
      <w:r w:rsidRPr="00515061">
        <w:rPr>
          <w:rFonts w:ascii="Times New Roman" w:hAnsi="Times New Roman" w:cs="Times New Roman"/>
          <w:b/>
          <w:sz w:val="24"/>
          <w:szCs w:val="24"/>
        </w:rPr>
        <w:t>Water trading rules requirements</w:t>
      </w:r>
      <w:r w:rsidR="002C0EC6" w:rsidRPr="00515061">
        <w:rPr>
          <w:rFonts w:ascii="Times New Roman" w:hAnsi="Times New Roman" w:cs="Times New Roman"/>
          <w:b/>
          <w:sz w:val="24"/>
          <w:szCs w:val="24"/>
        </w:rPr>
        <w:t xml:space="preserve"> (items 4, 5 and 5</w:t>
      </w:r>
      <w:r w:rsidR="004C1221">
        <w:rPr>
          <w:rFonts w:ascii="Times New Roman" w:hAnsi="Times New Roman" w:cs="Times New Roman"/>
          <w:b/>
          <w:sz w:val="24"/>
          <w:szCs w:val="24"/>
        </w:rPr>
        <w:t>2</w:t>
      </w:r>
      <w:r w:rsidR="002C0EC6" w:rsidRPr="00515061">
        <w:rPr>
          <w:rFonts w:ascii="Times New Roman" w:hAnsi="Times New Roman" w:cs="Times New Roman"/>
          <w:b/>
          <w:sz w:val="24"/>
          <w:szCs w:val="24"/>
        </w:rPr>
        <w:t>-5</w:t>
      </w:r>
      <w:r w:rsidR="004C1221">
        <w:rPr>
          <w:rFonts w:ascii="Times New Roman" w:hAnsi="Times New Roman" w:cs="Times New Roman"/>
          <w:b/>
          <w:sz w:val="24"/>
          <w:szCs w:val="24"/>
        </w:rPr>
        <w:t>8</w:t>
      </w:r>
      <w:r w:rsidR="002C0EC6" w:rsidRPr="00515061">
        <w:rPr>
          <w:rFonts w:ascii="Times New Roman" w:hAnsi="Times New Roman" w:cs="Times New Roman"/>
          <w:b/>
          <w:sz w:val="24"/>
          <w:szCs w:val="24"/>
        </w:rPr>
        <w:t>)</w:t>
      </w:r>
    </w:p>
    <w:p w:rsidR="008B1BF6" w:rsidRPr="00515061" w:rsidRDefault="008B1BF6" w:rsidP="00963D75">
      <w:pPr>
        <w:pStyle w:val="ListParagraph"/>
        <w:keepNext/>
        <w:spacing w:after="0"/>
        <w:ind w:left="0"/>
        <w:rPr>
          <w:rFonts w:ascii="Times New Roman" w:hAnsi="Times New Roman" w:cs="Times New Roman"/>
          <w:sz w:val="24"/>
          <w:szCs w:val="24"/>
        </w:rPr>
      </w:pPr>
    </w:p>
    <w:p w:rsidR="008B1BF6" w:rsidRPr="00515061" w:rsidRDefault="002C0EC6" w:rsidP="00963D75">
      <w:pPr>
        <w:pStyle w:val="ListParagraph"/>
        <w:keepNext/>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Chapter 12 of the Basin Plan sets out the water trading rules </w:t>
      </w:r>
      <w:r w:rsidR="003E5E0B" w:rsidRPr="00515061">
        <w:rPr>
          <w:rFonts w:ascii="Times New Roman" w:hAnsi="Times New Roman" w:cs="Times New Roman"/>
          <w:sz w:val="24"/>
          <w:szCs w:val="24"/>
        </w:rPr>
        <w:t xml:space="preserve">for trading </w:t>
      </w:r>
      <w:r w:rsidR="006004E0" w:rsidRPr="00515061">
        <w:rPr>
          <w:rFonts w:ascii="Times New Roman" w:hAnsi="Times New Roman" w:cs="Times New Roman"/>
          <w:sz w:val="24"/>
          <w:szCs w:val="24"/>
        </w:rPr>
        <w:t xml:space="preserve">(including </w:t>
      </w:r>
      <w:r w:rsidR="003E5E0B" w:rsidRPr="00515061">
        <w:rPr>
          <w:rFonts w:ascii="Times New Roman" w:hAnsi="Times New Roman" w:cs="Times New Roman"/>
          <w:sz w:val="24"/>
          <w:szCs w:val="24"/>
        </w:rPr>
        <w:t>transfer</w:t>
      </w:r>
      <w:r w:rsidR="006004E0" w:rsidRPr="00515061">
        <w:rPr>
          <w:rFonts w:ascii="Times New Roman" w:hAnsi="Times New Roman" w:cs="Times New Roman"/>
          <w:sz w:val="24"/>
          <w:szCs w:val="24"/>
        </w:rPr>
        <w:t>)</w:t>
      </w:r>
      <w:r w:rsidR="003E5E0B" w:rsidRPr="00515061">
        <w:rPr>
          <w:rFonts w:ascii="Times New Roman" w:hAnsi="Times New Roman" w:cs="Times New Roman"/>
          <w:sz w:val="24"/>
          <w:szCs w:val="24"/>
        </w:rPr>
        <w:t xml:space="preserve"> of tradeable water rights in relation to Basin water resources</w:t>
      </w:r>
      <w:r w:rsidRPr="00515061">
        <w:rPr>
          <w:rFonts w:ascii="Times New Roman" w:hAnsi="Times New Roman" w:cs="Times New Roman"/>
          <w:sz w:val="24"/>
          <w:szCs w:val="24"/>
        </w:rPr>
        <w:t xml:space="preserve">. </w:t>
      </w:r>
      <w:r w:rsidR="00B02BC6" w:rsidRPr="00515061">
        <w:rPr>
          <w:rFonts w:ascii="Times New Roman" w:hAnsi="Times New Roman" w:cs="Times New Roman"/>
          <w:sz w:val="24"/>
          <w:szCs w:val="24"/>
        </w:rPr>
        <w:t xml:space="preserve">These rules </w:t>
      </w:r>
      <w:r w:rsidR="003E5E0B" w:rsidRPr="00515061">
        <w:rPr>
          <w:rFonts w:ascii="Times New Roman" w:hAnsi="Times New Roman" w:cs="Times New Roman"/>
          <w:sz w:val="24"/>
          <w:szCs w:val="24"/>
        </w:rPr>
        <w:t>contribute to achieving the Basin water market and trading objectives and principles that are set out in Schedule 3 to the Water Act. The rules aim to</w:t>
      </w:r>
      <w:r w:rsidR="00A50C3B" w:rsidRPr="00515061">
        <w:rPr>
          <w:rFonts w:ascii="Times New Roman" w:hAnsi="Times New Roman" w:cs="Times New Roman"/>
          <w:sz w:val="24"/>
          <w:szCs w:val="24"/>
        </w:rPr>
        <w:t xml:space="preserve"> ensure that</w:t>
      </w:r>
      <w:r w:rsidR="003E5E0B" w:rsidRPr="00515061">
        <w:rPr>
          <w:rFonts w:ascii="Times New Roman" w:hAnsi="Times New Roman" w:cs="Times New Roman"/>
          <w:sz w:val="24"/>
          <w:szCs w:val="24"/>
        </w:rPr>
        <w:t xml:space="preserve"> </w:t>
      </w:r>
      <w:r w:rsidR="00A50C3B" w:rsidRPr="00515061">
        <w:rPr>
          <w:rFonts w:ascii="Times New Roman" w:hAnsi="Times New Roman" w:cs="Times New Roman"/>
          <w:sz w:val="24"/>
          <w:szCs w:val="24"/>
        </w:rPr>
        <w:t xml:space="preserve">trade </w:t>
      </w:r>
      <w:r w:rsidR="006004E0" w:rsidRPr="00515061">
        <w:rPr>
          <w:rFonts w:ascii="Times New Roman" w:hAnsi="Times New Roman" w:cs="Times New Roman"/>
          <w:sz w:val="24"/>
          <w:szCs w:val="24"/>
        </w:rPr>
        <w:t xml:space="preserve">of water access rights </w:t>
      </w:r>
      <w:r w:rsidR="00A50C3B" w:rsidRPr="00515061">
        <w:rPr>
          <w:rFonts w:ascii="Times New Roman" w:hAnsi="Times New Roman" w:cs="Times New Roman"/>
          <w:sz w:val="24"/>
          <w:szCs w:val="24"/>
        </w:rPr>
        <w:t>within a regulated system, between regulated systems and within unregulated systems</w:t>
      </w:r>
      <w:r w:rsidR="003E5E0B" w:rsidRPr="00515061">
        <w:rPr>
          <w:rFonts w:ascii="Times New Roman" w:hAnsi="Times New Roman" w:cs="Times New Roman"/>
          <w:sz w:val="24"/>
          <w:szCs w:val="24"/>
        </w:rPr>
        <w:t xml:space="preserve">, </w:t>
      </w:r>
      <w:r w:rsidR="00A50C3B" w:rsidRPr="00515061">
        <w:rPr>
          <w:rFonts w:ascii="Times New Roman" w:hAnsi="Times New Roman" w:cs="Times New Roman"/>
          <w:sz w:val="24"/>
          <w:szCs w:val="24"/>
        </w:rPr>
        <w:t xml:space="preserve">occurs free of any restriction other than allowable restrictions. </w:t>
      </w:r>
      <w:r w:rsidRPr="00515061">
        <w:rPr>
          <w:rFonts w:ascii="Times New Roman" w:hAnsi="Times New Roman" w:cs="Times New Roman"/>
          <w:sz w:val="24"/>
          <w:szCs w:val="24"/>
        </w:rPr>
        <w:t xml:space="preserve">In implementing the water trading rules, the Authority identified a </w:t>
      </w:r>
      <w:r w:rsidR="00B02BC6" w:rsidRPr="00515061">
        <w:rPr>
          <w:rFonts w:ascii="Times New Roman" w:hAnsi="Times New Roman" w:cs="Times New Roman"/>
          <w:sz w:val="24"/>
          <w:szCs w:val="24"/>
        </w:rPr>
        <w:t>few</w:t>
      </w:r>
      <w:r w:rsidRPr="00515061">
        <w:rPr>
          <w:rFonts w:ascii="Times New Roman" w:hAnsi="Times New Roman" w:cs="Times New Roman"/>
          <w:sz w:val="24"/>
          <w:szCs w:val="24"/>
        </w:rPr>
        <w:t xml:space="preserve"> rules </w:t>
      </w:r>
      <w:r w:rsidR="00B02BC6" w:rsidRPr="00515061">
        <w:rPr>
          <w:rFonts w:ascii="Times New Roman" w:hAnsi="Times New Roman" w:cs="Times New Roman"/>
          <w:sz w:val="24"/>
          <w:szCs w:val="24"/>
        </w:rPr>
        <w:t>that required clarification</w:t>
      </w:r>
      <w:r w:rsidRPr="00515061">
        <w:rPr>
          <w:rFonts w:ascii="Times New Roman" w:hAnsi="Times New Roman" w:cs="Times New Roman"/>
          <w:sz w:val="24"/>
          <w:szCs w:val="24"/>
        </w:rPr>
        <w:t xml:space="preserve"> to ensure they operate</w:t>
      </w:r>
      <w:r w:rsidR="00B02BC6" w:rsidRPr="00515061">
        <w:rPr>
          <w:rFonts w:ascii="Times New Roman" w:hAnsi="Times New Roman" w:cs="Times New Roman"/>
          <w:sz w:val="24"/>
          <w:szCs w:val="24"/>
        </w:rPr>
        <w:t>d</w:t>
      </w:r>
      <w:r w:rsidRPr="00515061">
        <w:rPr>
          <w:rFonts w:ascii="Times New Roman" w:hAnsi="Times New Roman" w:cs="Times New Roman"/>
          <w:sz w:val="24"/>
          <w:szCs w:val="24"/>
        </w:rPr>
        <w:t xml:space="preserve"> in the manne</w:t>
      </w:r>
      <w:r w:rsidR="003D7BE9" w:rsidRPr="00515061">
        <w:rPr>
          <w:rFonts w:ascii="Times New Roman" w:hAnsi="Times New Roman" w:cs="Times New Roman"/>
          <w:sz w:val="24"/>
          <w:szCs w:val="24"/>
        </w:rPr>
        <w:t>r that was originally intended.</w:t>
      </w:r>
    </w:p>
    <w:p w:rsidR="008B1BF6" w:rsidRPr="00515061" w:rsidRDefault="008B1BF6" w:rsidP="00511B9B">
      <w:pPr>
        <w:pStyle w:val="ListParagraph"/>
        <w:spacing w:after="0"/>
        <w:ind w:left="0"/>
        <w:rPr>
          <w:rFonts w:ascii="Times New Roman" w:hAnsi="Times New Roman" w:cs="Times New Roman"/>
          <w:sz w:val="24"/>
          <w:szCs w:val="24"/>
        </w:rPr>
      </w:pPr>
    </w:p>
    <w:p w:rsidR="008B1BF6" w:rsidRPr="00515061" w:rsidRDefault="002C0EC6"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Authority obtained advice from the Australian Competition and Consumer Commission in preparing </w:t>
      </w:r>
      <w:r w:rsidR="006004E0" w:rsidRPr="00515061">
        <w:rPr>
          <w:rFonts w:ascii="Times New Roman" w:hAnsi="Times New Roman" w:cs="Times New Roman"/>
          <w:sz w:val="24"/>
          <w:szCs w:val="24"/>
        </w:rPr>
        <w:t>the Amendment Instrument</w:t>
      </w:r>
      <w:r w:rsidR="002B3794" w:rsidRPr="00515061">
        <w:rPr>
          <w:rFonts w:ascii="Times New Roman" w:hAnsi="Times New Roman" w:cs="Times New Roman"/>
          <w:sz w:val="24"/>
          <w:szCs w:val="24"/>
        </w:rPr>
        <w:t>,</w:t>
      </w:r>
      <w:r w:rsidRPr="00515061">
        <w:rPr>
          <w:rFonts w:ascii="Times New Roman" w:hAnsi="Times New Roman" w:cs="Times New Roman"/>
          <w:sz w:val="24"/>
          <w:szCs w:val="24"/>
        </w:rPr>
        <w:t xml:space="preserve"> as required by </w:t>
      </w:r>
      <w:r w:rsidR="001841FB" w:rsidRPr="00515061">
        <w:rPr>
          <w:rFonts w:ascii="Times New Roman" w:hAnsi="Times New Roman" w:cs="Times New Roman"/>
          <w:sz w:val="24"/>
          <w:szCs w:val="24"/>
        </w:rPr>
        <w:t>sub</w:t>
      </w:r>
      <w:r w:rsidR="00B02BC6" w:rsidRPr="00515061">
        <w:rPr>
          <w:rFonts w:ascii="Times New Roman" w:hAnsi="Times New Roman" w:cs="Times New Roman"/>
          <w:sz w:val="24"/>
          <w:szCs w:val="24"/>
        </w:rPr>
        <w:t>section 46(2) of the Water Act.</w:t>
      </w:r>
      <w:r w:rsidR="008B1BF6" w:rsidRPr="00515061">
        <w:rPr>
          <w:rFonts w:ascii="Times New Roman" w:hAnsi="Times New Roman" w:cs="Times New Roman"/>
          <w:sz w:val="24"/>
          <w:szCs w:val="24"/>
        </w:rPr>
        <w:t xml:space="preserve"> </w:t>
      </w:r>
    </w:p>
    <w:p w:rsidR="008B1BF6" w:rsidRPr="00515061" w:rsidRDefault="008B1BF6" w:rsidP="00511B9B">
      <w:pPr>
        <w:pStyle w:val="ListParagraph"/>
        <w:spacing w:after="0"/>
        <w:ind w:left="0"/>
        <w:rPr>
          <w:rFonts w:ascii="Times New Roman" w:hAnsi="Times New Roman" w:cs="Times New Roman"/>
          <w:sz w:val="24"/>
          <w:szCs w:val="24"/>
        </w:rPr>
      </w:pPr>
    </w:p>
    <w:p w:rsidR="008B1BF6" w:rsidRPr="00515061" w:rsidRDefault="008B1BF6" w:rsidP="008B1BF6">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T</w:t>
      </w:r>
      <w:r w:rsidR="002C0EC6" w:rsidRPr="00515061">
        <w:rPr>
          <w:rFonts w:ascii="Times New Roman" w:hAnsi="Times New Roman" w:cs="Times New Roman"/>
          <w:sz w:val="24"/>
          <w:szCs w:val="24"/>
        </w:rPr>
        <w:t xml:space="preserve">he </w:t>
      </w:r>
      <w:r w:rsidR="001F0EB2" w:rsidRPr="00515061">
        <w:rPr>
          <w:rFonts w:ascii="Times New Roman" w:hAnsi="Times New Roman" w:cs="Times New Roman"/>
          <w:sz w:val="24"/>
          <w:szCs w:val="24"/>
        </w:rPr>
        <w:t xml:space="preserve">Australian Competition and Consumer Commission </w:t>
      </w:r>
      <w:r w:rsidR="002C0EC6" w:rsidRPr="00515061">
        <w:rPr>
          <w:rFonts w:ascii="Times New Roman" w:hAnsi="Times New Roman" w:cs="Times New Roman"/>
          <w:sz w:val="24"/>
          <w:szCs w:val="24"/>
        </w:rPr>
        <w:t>advice identified minor amendments to the water trading rules to improve clarity and function.</w:t>
      </w:r>
      <w:r w:rsidR="001F0EB2" w:rsidRPr="00515061">
        <w:rPr>
          <w:rFonts w:ascii="Times New Roman" w:hAnsi="Times New Roman" w:cs="Times New Roman"/>
          <w:sz w:val="24"/>
          <w:szCs w:val="24"/>
        </w:rPr>
        <w:t xml:space="preserve"> The advice </w:t>
      </w:r>
      <w:r w:rsidR="002C40B9" w:rsidRPr="00515061">
        <w:rPr>
          <w:rFonts w:ascii="Times New Roman" w:hAnsi="Times New Roman" w:cs="Times New Roman"/>
          <w:sz w:val="24"/>
          <w:szCs w:val="24"/>
        </w:rPr>
        <w:t>is available</w:t>
      </w:r>
      <w:r w:rsidR="006004E0" w:rsidRPr="00515061">
        <w:rPr>
          <w:rFonts w:ascii="Times New Roman" w:hAnsi="Times New Roman" w:cs="Times New Roman"/>
          <w:sz w:val="24"/>
          <w:szCs w:val="24"/>
        </w:rPr>
        <w:t xml:space="preserve"> on the Authority’s website at </w:t>
      </w:r>
      <w:hyperlink r:id="rId18" w:history="1">
        <w:r w:rsidR="006004E0" w:rsidRPr="00515061">
          <w:rPr>
            <w:rStyle w:val="Hyperlink"/>
            <w:rFonts w:ascii="Times New Roman" w:hAnsi="Times New Roman" w:cs="Times New Roman"/>
            <w:sz w:val="24"/>
            <w:szCs w:val="24"/>
          </w:rPr>
          <w:t>https://www.mdba.gov.au/publications/mdba-reports/basin-plan-amendments-minor-practical-changes</w:t>
        </w:r>
      </w:hyperlink>
      <w:r w:rsidR="006004E0" w:rsidRPr="00515061">
        <w:rPr>
          <w:rFonts w:ascii="Times New Roman" w:hAnsi="Times New Roman" w:cs="Times New Roman"/>
          <w:sz w:val="24"/>
          <w:szCs w:val="24"/>
        </w:rPr>
        <w:t>.</w:t>
      </w:r>
      <w:bookmarkStart w:id="41" w:name="_Toc466982424"/>
    </w:p>
    <w:p w:rsidR="008B1BF6" w:rsidRPr="00515061" w:rsidRDefault="008B1BF6" w:rsidP="008B1BF6">
      <w:pPr>
        <w:pStyle w:val="ListParagraph"/>
        <w:spacing w:after="0"/>
        <w:ind w:left="0"/>
        <w:rPr>
          <w:rFonts w:ascii="Times New Roman" w:hAnsi="Times New Roman" w:cs="Times New Roman"/>
          <w:sz w:val="24"/>
          <w:szCs w:val="24"/>
        </w:rPr>
      </w:pPr>
    </w:p>
    <w:p w:rsidR="002C0EC6" w:rsidRPr="00515061" w:rsidRDefault="002C0EC6" w:rsidP="008B1BF6">
      <w:pPr>
        <w:pStyle w:val="ListParagraph"/>
        <w:spacing w:after="0"/>
        <w:ind w:left="0"/>
        <w:rPr>
          <w:rFonts w:ascii="Times New Roman" w:hAnsi="Times New Roman" w:cs="Times New Roman"/>
          <w:bCs/>
          <w:sz w:val="24"/>
          <w:szCs w:val="24"/>
          <w:u w:val="single"/>
        </w:rPr>
      </w:pPr>
      <w:r w:rsidRPr="00515061">
        <w:rPr>
          <w:rFonts w:ascii="Times New Roman" w:hAnsi="Times New Roman" w:cs="Times New Roman"/>
          <w:bCs/>
          <w:sz w:val="24"/>
          <w:szCs w:val="24"/>
          <w:u w:val="single"/>
        </w:rPr>
        <w:t>Clarifying free trade in surface water systems</w:t>
      </w:r>
      <w:bookmarkEnd w:id="41"/>
    </w:p>
    <w:p w:rsidR="008B1BF6" w:rsidRPr="00515061" w:rsidRDefault="008B1BF6" w:rsidP="008B1BF6">
      <w:pPr>
        <w:pStyle w:val="ListParagraph"/>
        <w:spacing w:after="0"/>
        <w:ind w:left="0"/>
        <w:rPr>
          <w:rFonts w:ascii="Times New Roman" w:hAnsi="Times New Roman" w:cs="Times New Roman"/>
          <w:sz w:val="24"/>
          <w:szCs w:val="24"/>
        </w:rPr>
      </w:pPr>
    </w:p>
    <w:p w:rsidR="008B1BF6" w:rsidRPr="00515061" w:rsidRDefault="003E5E0B" w:rsidP="00511B9B">
      <w:pPr>
        <w:spacing w:after="0"/>
        <w:rPr>
          <w:rFonts w:ascii="Times New Roman" w:hAnsi="Times New Roman" w:cs="Times New Roman"/>
          <w:sz w:val="24"/>
          <w:szCs w:val="24"/>
        </w:rPr>
      </w:pPr>
      <w:r w:rsidRPr="00515061">
        <w:rPr>
          <w:rFonts w:ascii="Times New Roman" w:hAnsi="Times New Roman" w:cs="Times New Roman"/>
          <w:sz w:val="24"/>
          <w:szCs w:val="24"/>
        </w:rPr>
        <w:t>Prior to the amendments, s</w:t>
      </w:r>
      <w:r w:rsidR="002C0EC6" w:rsidRPr="00515061">
        <w:rPr>
          <w:rFonts w:ascii="Times New Roman" w:hAnsi="Times New Roman" w:cs="Times New Roman"/>
          <w:sz w:val="24"/>
          <w:szCs w:val="24"/>
        </w:rPr>
        <w:t>ections 12.16 and 12.17 of the Basin Plan</w:t>
      </w:r>
      <w:r w:rsidR="00B02BC6" w:rsidRPr="00515061">
        <w:rPr>
          <w:rFonts w:ascii="Times New Roman" w:hAnsi="Times New Roman" w:cs="Times New Roman"/>
          <w:sz w:val="24"/>
          <w:szCs w:val="24"/>
        </w:rPr>
        <w:t xml:space="preserve"> </w:t>
      </w:r>
      <w:r w:rsidR="002C0EC6" w:rsidRPr="00515061">
        <w:rPr>
          <w:rFonts w:ascii="Times New Roman" w:hAnsi="Times New Roman" w:cs="Times New Roman"/>
          <w:sz w:val="24"/>
          <w:szCs w:val="24"/>
        </w:rPr>
        <w:t>ensure</w:t>
      </w:r>
      <w:r w:rsidR="00B02BC6" w:rsidRPr="00515061">
        <w:rPr>
          <w:rFonts w:ascii="Times New Roman" w:hAnsi="Times New Roman" w:cs="Times New Roman"/>
          <w:sz w:val="24"/>
          <w:szCs w:val="24"/>
        </w:rPr>
        <w:t>d that</w:t>
      </w:r>
      <w:r w:rsidR="002C0EC6" w:rsidRPr="00515061">
        <w:rPr>
          <w:rFonts w:ascii="Times New Roman" w:hAnsi="Times New Roman" w:cs="Times New Roman"/>
          <w:sz w:val="24"/>
          <w:szCs w:val="24"/>
        </w:rPr>
        <w:t xml:space="preserve"> trade in </w:t>
      </w:r>
      <w:r w:rsidR="00A50C3B" w:rsidRPr="00515061">
        <w:rPr>
          <w:rFonts w:ascii="Times New Roman" w:hAnsi="Times New Roman" w:cs="Times New Roman"/>
          <w:sz w:val="24"/>
          <w:szCs w:val="24"/>
        </w:rPr>
        <w:t>surface water within a regulated system, between regulated systems and within unregulated systems, occurred</w:t>
      </w:r>
      <w:r w:rsidR="002C0EC6" w:rsidRPr="00515061">
        <w:rPr>
          <w:rFonts w:ascii="Times New Roman" w:hAnsi="Times New Roman" w:cs="Times New Roman"/>
          <w:sz w:val="24"/>
          <w:szCs w:val="24"/>
        </w:rPr>
        <w:t xml:space="preserve"> free of any restriction </w:t>
      </w:r>
      <w:r w:rsidR="006004E0" w:rsidRPr="00515061">
        <w:rPr>
          <w:rFonts w:ascii="Times New Roman" w:hAnsi="Times New Roman" w:cs="Times New Roman"/>
          <w:sz w:val="24"/>
          <w:szCs w:val="24"/>
        </w:rPr>
        <w:t>on</w:t>
      </w:r>
      <w:r w:rsidR="00815BA8" w:rsidRPr="00515061">
        <w:rPr>
          <w:rFonts w:ascii="Times New Roman" w:hAnsi="Times New Roman" w:cs="Times New Roman"/>
          <w:sz w:val="24"/>
          <w:szCs w:val="24"/>
        </w:rPr>
        <w:t xml:space="preserve"> trade</w:t>
      </w:r>
      <w:r w:rsidR="00087406" w:rsidRPr="00515061">
        <w:rPr>
          <w:rFonts w:ascii="Times New Roman" w:hAnsi="Times New Roman" w:cs="Times New Roman"/>
          <w:sz w:val="24"/>
          <w:szCs w:val="24"/>
        </w:rPr>
        <w:t>,</w:t>
      </w:r>
      <w:r w:rsidR="00815BA8" w:rsidRPr="00515061">
        <w:rPr>
          <w:rFonts w:ascii="Times New Roman" w:hAnsi="Times New Roman" w:cs="Times New Roman"/>
          <w:sz w:val="24"/>
          <w:szCs w:val="24"/>
        </w:rPr>
        <w:t xml:space="preserve"> </w:t>
      </w:r>
      <w:r w:rsidR="002C0EC6" w:rsidRPr="00515061">
        <w:rPr>
          <w:rFonts w:ascii="Times New Roman" w:hAnsi="Times New Roman" w:cs="Times New Roman"/>
          <w:sz w:val="24"/>
          <w:szCs w:val="24"/>
        </w:rPr>
        <w:t xml:space="preserve">other than a restriction that is allowable under section 12.18 (see section 1.07 of the Basin Plan for definition of </w:t>
      </w:r>
      <w:r w:rsidR="002C0EC6" w:rsidRPr="00515061">
        <w:rPr>
          <w:rFonts w:ascii="Times New Roman" w:hAnsi="Times New Roman" w:cs="Times New Roman"/>
          <w:b/>
          <w:i/>
          <w:sz w:val="24"/>
          <w:szCs w:val="24"/>
        </w:rPr>
        <w:t>restriction</w:t>
      </w:r>
      <w:r w:rsidR="002C0EC6" w:rsidRPr="00515061">
        <w:rPr>
          <w:rFonts w:ascii="Times New Roman" w:hAnsi="Times New Roman" w:cs="Times New Roman"/>
          <w:sz w:val="24"/>
          <w:szCs w:val="24"/>
        </w:rPr>
        <w:t xml:space="preserve">). Section 12.17 </w:t>
      </w:r>
      <w:r w:rsidR="00B02BC6" w:rsidRPr="00515061">
        <w:rPr>
          <w:rFonts w:ascii="Times New Roman" w:hAnsi="Times New Roman" w:cs="Times New Roman"/>
          <w:sz w:val="24"/>
          <w:szCs w:val="24"/>
        </w:rPr>
        <w:t xml:space="preserve">previously </w:t>
      </w:r>
      <w:r w:rsidR="006004E0" w:rsidRPr="00515061">
        <w:rPr>
          <w:rFonts w:ascii="Times New Roman" w:hAnsi="Times New Roman" w:cs="Times New Roman"/>
          <w:sz w:val="24"/>
          <w:szCs w:val="24"/>
        </w:rPr>
        <w:t>expressly prohibited</w:t>
      </w:r>
      <w:r w:rsidR="00441F62" w:rsidRPr="00515061">
        <w:rPr>
          <w:rFonts w:ascii="Times New Roman" w:hAnsi="Times New Roman" w:cs="Times New Roman"/>
          <w:sz w:val="24"/>
          <w:szCs w:val="24"/>
        </w:rPr>
        <w:t xml:space="preserve"> a</w:t>
      </w:r>
      <w:r w:rsidR="006004E0" w:rsidRPr="00515061">
        <w:rPr>
          <w:rFonts w:ascii="Times New Roman" w:hAnsi="Times New Roman" w:cs="Times New Roman"/>
          <w:sz w:val="24"/>
          <w:szCs w:val="24"/>
        </w:rPr>
        <w:t xml:space="preserve"> </w:t>
      </w:r>
      <w:r w:rsidR="00441F62" w:rsidRPr="00515061">
        <w:rPr>
          <w:rFonts w:ascii="Times New Roman" w:hAnsi="Times New Roman" w:cs="Times New Roman"/>
          <w:sz w:val="24"/>
          <w:szCs w:val="24"/>
        </w:rPr>
        <w:t xml:space="preserve">restriction of trade that was a </w:t>
      </w:r>
      <w:r w:rsidR="00254BAB" w:rsidRPr="00515061">
        <w:rPr>
          <w:rFonts w:ascii="Times New Roman" w:hAnsi="Times New Roman" w:cs="Times New Roman"/>
          <w:b/>
          <w:i/>
          <w:sz w:val="24"/>
          <w:szCs w:val="24"/>
        </w:rPr>
        <w:t>volumetric limit</w:t>
      </w:r>
      <w:r w:rsidR="002C0EC6" w:rsidRPr="00515061">
        <w:rPr>
          <w:rFonts w:ascii="Times New Roman" w:hAnsi="Times New Roman" w:cs="Times New Roman"/>
          <w:sz w:val="24"/>
          <w:szCs w:val="24"/>
        </w:rPr>
        <w:t xml:space="preserve"> </w:t>
      </w:r>
      <w:r w:rsidR="00254BAB" w:rsidRPr="00515061">
        <w:rPr>
          <w:rFonts w:ascii="Times New Roman" w:hAnsi="Times New Roman" w:cs="Times New Roman"/>
          <w:sz w:val="24"/>
          <w:szCs w:val="24"/>
        </w:rPr>
        <w:t xml:space="preserve">(as defined in </w:t>
      </w:r>
      <w:r w:rsidR="005432D8" w:rsidRPr="00515061">
        <w:rPr>
          <w:rFonts w:ascii="Times New Roman" w:hAnsi="Times New Roman" w:cs="Times New Roman"/>
          <w:sz w:val="24"/>
          <w:szCs w:val="24"/>
        </w:rPr>
        <w:t xml:space="preserve">that </w:t>
      </w:r>
      <w:r w:rsidR="00254BAB" w:rsidRPr="00515061">
        <w:rPr>
          <w:rFonts w:ascii="Times New Roman" w:hAnsi="Times New Roman" w:cs="Times New Roman"/>
          <w:sz w:val="24"/>
          <w:szCs w:val="24"/>
        </w:rPr>
        <w:t>section)</w:t>
      </w:r>
      <w:r w:rsidR="00441F62" w:rsidRPr="00515061">
        <w:rPr>
          <w:rFonts w:ascii="Times New Roman" w:hAnsi="Times New Roman" w:cs="Times New Roman"/>
          <w:sz w:val="24"/>
          <w:szCs w:val="24"/>
        </w:rPr>
        <w:t>,</w:t>
      </w:r>
      <w:r w:rsidR="00254BAB" w:rsidRPr="00515061">
        <w:rPr>
          <w:rFonts w:ascii="Times New Roman" w:hAnsi="Times New Roman" w:cs="Times New Roman"/>
          <w:sz w:val="24"/>
          <w:szCs w:val="24"/>
        </w:rPr>
        <w:t xml:space="preserve"> </w:t>
      </w:r>
      <w:r w:rsidR="00441F62" w:rsidRPr="00515061">
        <w:rPr>
          <w:rFonts w:ascii="Times New Roman" w:hAnsi="Times New Roman" w:cs="Times New Roman"/>
          <w:sz w:val="24"/>
          <w:szCs w:val="24"/>
        </w:rPr>
        <w:t>except</w:t>
      </w:r>
      <w:r w:rsidR="00F00434" w:rsidRPr="00515061">
        <w:rPr>
          <w:rFonts w:ascii="Times New Roman" w:hAnsi="Times New Roman" w:cs="Times New Roman"/>
          <w:sz w:val="24"/>
          <w:szCs w:val="24"/>
        </w:rPr>
        <w:t xml:space="preserve"> for</w:t>
      </w:r>
      <w:r w:rsidR="00441F62" w:rsidRPr="00515061">
        <w:rPr>
          <w:rFonts w:ascii="Times New Roman" w:hAnsi="Times New Roman" w:cs="Times New Roman"/>
          <w:sz w:val="24"/>
          <w:szCs w:val="24"/>
        </w:rPr>
        <w:t xml:space="preserve"> allowable restrictions</w:t>
      </w:r>
      <w:r w:rsidR="00D20D02" w:rsidRPr="00515061">
        <w:rPr>
          <w:rFonts w:ascii="Times New Roman" w:hAnsi="Times New Roman" w:cs="Times New Roman"/>
          <w:sz w:val="24"/>
          <w:szCs w:val="24"/>
        </w:rPr>
        <w:t xml:space="preserve"> under section 12.18</w:t>
      </w:r>
      <w:r w:rsidR="00947F7D" w:rsidRPr="00515061">
        <w:rPr>
          <w:rFonts w:ascii="Times New Roman" w:hAnsi="Times New Roman" w:cs="Times New Roman"/>
          <w:sz w:val="24"/>
          <w:szCs w:val="24"/>
        </w:rPr>
        <w:t xml:space="preserve">, but did not expressly set out the relationship between the defined terms </w:t>
      </w:r>
      <w:r w:rsidR="00947F7D" w:rsidRPr="00515061">
        <w:rPr>
          <w:rFonts w:ascii="Times New Roman" w:hAnsi="Times New Roman" w:cs="Times New Roman"/>
          <w:b/>
          <w:i/>
          <w:sz w:val="24"/>
          <w:szCs w:val="24"/>
        </w:rPr>
        <w:t>restriction</w:t>
      </w:r>
      <w:r w:rsidR="00947F7D" w:rsidRPr="00515061">
        <w:rPr>
          <w:rFonts w:ascii="Times New Roman" w:hAnsi="Times New Roman" w:cs="Times New Roman"/>
          <w:sz w:val="24"/>
          <w:szCs w:val="24"/>
        </w:rPr>
        <w:t xml:space="preserve"> and </w:t>
      </w:r>
      <w:r w:rsidR="00947F7D" w:rsidRPr="00515061">
        <w:rPr>
          <w:rFonts w:ascii="Times New Roman" w:hAnsi="Times New Roman" w:cs="Times New Roman"/>
          <w:b/>
          <w:i/>
          <w:sz w:val="24"/>
          <w:szCs w:val="24"/>
        </w:rPr>
        <w:t>volumetric limit</w:t>
      </w:r>
      <w:r w:rsidR="003D7BE9" w:rsidRPr="00515061">
        <w:rPr>
          <w:rFonts w:ascii="Times New Roman" w:hAnsi="Times New Roman" w:cs="Times New Roman"/>
          <w:sz w:val="24"/>
          <w:szCs w:val="24"/>
        </w:rPr>
        <w:t>.</w:t>
      </w:r>
    </w:p>
    <w:p w:rsidR="008B1BF6" w:rsidRPr="00515061" w:rsidRDefault="008B1BF6" w:rsidP="00511B9B">
      <w:pPr>
        <w:spacing w:after="0"/>
        <w:rPr>
          <w:rFonts w:ascii="Times New Roman" w:hAnsi="Times New Roman" w:cs="Times New Roman"/>
          <w:sz w:val="24"/>
          <w:szCs w:val="24"/>
        </w:rPr>
      </w:pPr>
    </w:p>
    <w:p w:rsidR="008B1BF6" w:rsidRPr="00515061" w:rsidRDefault="00833619" w:rsidP="00511B9B">
      <w:pPr>
        <w:spacing w:after="0"/>
        <w:rPr>
          <w:rFonts w:ascii="Times New Roman" w:hAnsi="Times New Roman" w:cs="Times New Roman"/>
          <w:sz w:val="24"/>
          <w:szCs w:val="24"/>
        </w:rPr>
      </w:pPr>
      <w:r w:rsidRPr="00515061">
        <w:rPr>
          <w:rFonts w:ascii="Times New Roman" w:hAnsi="Times New Roman" w:cs="Times New Roman"/>
          <w:b/>
          <w:sz w:val="24"/>
          <w:szCs w:val="24"/>
        </w:rPr>
        <w:t>I</w:t>
      </w:r>
      <w:r w:rsidR="00B02BC6" w:rsidRPr="00515061">
        <w:rPr>
          <w:rFonts w:ascii="Times New Roman" w:hAnsi="Times New Roman" w:cs="Times New Roman"/>
          <w:b/>
          <w:sz w:val="24"/>
          <w:szCs w:val="24"/>
        </w:rPr>
        <w:t xml:space="preserve">tems </w:t>
      </w:r>
      <w:r w:rsidRPr="00515061">
        <w:rPr>
          <w:rFonts w:ascii="Times New Roman" w:hAnsi="Times New Roman" w:cs="Times New Roman"/>
          <w:b/>
          <w:sz w:val="24"/>
          <w:szCs w:val="24"/>
        </w:rPr>
        <w:t>4 and 5</w:t>
      </w:r>
      <w:r w:rsidR="004C1221">
        <w:rPr>
          <w:rFonts w:ascii="Times New Roman" w:hAnsi="Times New Roman" w:cs="Times New Roman"/>
          <w:b/>
          <w:sz w:val="24"/>
          <w:szCs w:val="24"/>
        </w:rPr>
        <w:t>3</w:t>
      </w:r>
      <w:r w:rsidR="00B02BC6" w:rsidRPr="00515061">
        <w:rPr>
          <w:rFonts w:ascii="Times New Roman" w:hAnsi="Times New Roman" w:cs="Times New Roman"/>
          <w:sz w:val="24"/>
          <w:szCs w:val="24"/>
        </w:rPr>
        <w:t xml:space="preserve"> of the Amendment Instrument </w:t>
      </w:r>
      <w:r w:rsidRPr="00515061">
        <w:rPr>
          <w:rFonts w:ascii="Times New Roman" w:hAnsi="Times New Roman" w:cs="Times New Roman"/>
          <w:sz w:val="24"/>
          <w:szCs w:val="24"/>
        </w:rPr>
        <w:t xml:space="preserve">expressly provide that </w:t>
      </w:r>
      <w:r w:rsidR="00F97BD6" w:rsidRPr="00515061">
        <w:rPr>
          <w:rFonts w:ascii="Times New Roman" w:hAnsi="Times New Roman" w:cs="Times New Roman"/>
          <w:sz w:val="24"/>
          <w:szCs w:val="24"/>
        </w:rPr>
        <w:t>the term</w:t>
      </w:r>
      <w:r w:rsidRPr="00515061">
        <w:rPr>
          <w:rFonts w:ascii="Times New Roman" w:hAnsi="Times New Roman" w:cs="Times New Roman"/>
          <w:sz w:val="24"/>
          <w:szCs w:val="24"/>
        </w:rPr>
        <w:t xml:space="preserve"> </w:t>
      </w:r>
      <w:r w:rsidRPr="00515061">
        <w:rPr>
          <w:rFonts w:ascii="Times New Roman" w:hAnsi="Times New Roman" w:cs="Times New Roman"/>
          <w:b/>
          <w:i/>
          <w:sz w:val="24"/>
          <w:szCs w:val="24"/>
        </w:rPr>
        <w:t>restriction</w:t>
      </w:r>
      <w:r w:rsidR="00B47CE5" w:rsidRPr="00515061">
        <w:rPr>
          <w:rFonts w:ascii="Times New Roman" w:hAnsi="Times New Roman" w:cs="Times New Roman"/>
          <w:sz w:val="24"/>
          <w:szCs w:val="24"/>
        </w:rPr>
        <w:t xml:space="preserve"> </w:t>
      </w:r>
      <w:r w:rsidRPr="00515061">
        <w:rPr>
          <w:rFonts w:ascii="Times New Roman" w:hAnsi="Times New Roman" w:cs="Times New Roman"/>
          <w:sz w:val="24"/>
          <w:szCs w:val="24"/>
        </w:rPr>
        <w:t>include</w:t>
      </w:r>
      <w:r w:rsidR="00F97BD6" w:rsidRPr="00515061">
        <w:rPr>
          <w:rFonts w:ascii="Times New Roman" w:hAnsi="Times New Roman" w:cs="Times New Roman"/>
          <w:sz w:val="24"/>
          <w:szCs w:val="24"/>
        </w:rPr>
        <w:t>s</w:t>
      </w:r>
      <w:r w:rsidRPr="00515061">
        <w:rPr>
          <w:rFonts w:ascii="Times New Roman" w:hAnsi="Times New Roman" w:cs="Times New Roman"/>
          <w:sz w:val="24"/>
          <w:szCs w:val="24"/>
        </w:rPr>
        <w:t xml:space="preserve"> a </w:t>
      </w:r>
      <w:r w:rsidRPr="00515061">
        <w:rPr>
          <w:rFonts w:ascii="Times New Roman" w:hAnsi="Times New Roman" w:cs="Times New Roman"/>
          <w:b/>
          <w:i/>
          <w:sz w:val="24"/>
          <w:szCs w:val="24"/>
        </w:rPr>
        <w:t>volumetric limit</w:t>
      </w:r>
      <w:r w:rsidR="002C0EC6" w:rsidRPr="00515061">
        <w:rPr>
          <w:rFonts w:ascii="Times New Roman" w:hAnsi="Times New Roman" w:cs="Times New Roman"/>
          <w:sz w:val="24"/>
          <w:szCs w:val="24"/>
        </w:rPr>
        <w:t xml:space="preserve">. </w:t>
      </w:r>
      <w:r w:rsidR="00F97BD6" w:rsidRPr="00515061">
        <w:rPr>
          <w:rFonts w:ascii="Times New Roman" w:hAnsi="Times New Roman" w:cs="Times New Roman"/>
          <w:sz w:val="24"/>
          <w:szCs w:val="24"/>
        </w:rPr>
        <w:t>This means that section 12.17 i</w:t>
      </w:r>
      <w:r w:rsidR="00FD46D1" w:rsidRPr="00515061">
        <w:rPr>
          <w:rFonts w:ascii="Times New Roman" w:hAnsi="Times New Roman" w:cs="Times New Roman"/>
          <w:sz w:val="24"/>
          <w:szCs w:val="24"/>
        </w:rPr>
        <w:t xml:space="preserve">s no longer necessary, </w:t>
      </w:r>
      <w:r w:rsidR="00F97BD6" w:rsidRPr="00515061">
        <w:rPr>
          <w:rFonts w:ascii="Times New Roman" w:hAnsi="Times New Roman" w:cs="Times New Roman"/>
          <w:sz w:val="24"/>
          <w:szCs w:val="24"/>
        </w:rPr>
        <w:t>so</w:t>
      </w:r>
      <w:r w:rsidR="00FD46D1" w:rsidRPr="00515061">
        <w:rPr>
          <w:rFonts w:ascii="Times New Roman" w:hAnsi="Times New Roman" w:cs="Times New Roman"/>
          <w:sz w:val="24"/>
          <w:szCs w:val="24"/>
        </w:rPr>
        <w:t xml:space="preserve"> this </w:t>
      </w:r>
      <w:r w:rsidR="00087406" w:rsidRPr="00515061">
        <w:rPr>
          <w:rFonts w:ascii="Times New Roman" w:hAnsi="Times New Roman" w:cs="Times New Roman"/>
          <w:sz w:val="24"/>
          <w:szCs w:val="24"/>
        </w:rPr>
        <w:t xml:space="preserve">section </w:t>
      </w:r>
      <w:r w:rsidR="00FD46D1" w:rsidRPr="00515061">
        <w:rPr>
          <w:rFonts w:ascii="Times New Roman" w:hAnsi="Times New Roman" w:cs="Times New Roman"/>
          <w:sz w:val="24"/>
          <w:szCs w:val="24"/>
        </w:rPr>
        <w:t xml:space="preserve">is repealed by </w:t>
      </w:r>
      <w:r w:rsidR="00FD46D1" w:rsidRPr="00515061">
        <w:rPr>
          <w:rFonts w:ascii="Times New Roman" w:hAnsi="Times New Roman" w:cs="Times New Roman"/>
          <w:b/>
          <w:sz w:val="24"/>
          <w:szCs w:val="24"/>
        </w:rPr>
        <w:t>item 5</w:t>
      </w:r>
      <w:r w:rsidR="004C1221">
        <w:rPr>
          <w:rFonts w:ascii="Times New Roman" w:hAnsi="Times New Roman" w:cs="Times New Roman"/>
          <w:b/>
          <w:sz w:val="24"/>
          <w:szCs w:val="24"/>
        </w:rPr>
        <w:t>4</w:t>
      </w:r>
      <w:r w:rsidR="00FD46D1"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087406" w:rsidP="00511B9B">
      <w:pPr>
        <w:spacing w:after="0"/>
        <w:rPr>
          <w:rFonts w:ascii="Times New Roman" w:hAnsi="Times New Roman" w:cs="Times New Roman"/>
          <w:sz w:val="24"/>
          <w:szCs w:val="24"/>
        </w:rPr>
      </w:pPr>
      <w:r w:rsidRPr="00515061">
        <w:rPr>
          <w:rFonts w:ascii="Times New Roman" w:hAnsi="Times New Roman" w:cs="Times New Roman"/>
          <w:b/>
          <w:sz w:val="24"/>
          <w:szCs w:val="24"/>
        </w:rPr>
        <w:t xml:space="preserve">Item 4 </w:t>
      </w:r>
      <w:r w:rsidRPr="00515061">
        <w:rPr>
          <w:rFonts w:ascii="Times New Roman" w:hAnsi="Times New Roman" w:cs="Times New Roman"/>
          <w:sz w:val="24"/>
          <w:szCs w:val="24"/>
        </w:rPr>
        <w:t xml:space="preserve">amends the definition of </w:t>
      </w:r>
      <w:r w:rsidRPr="00515061">
        <w:rPr>
          <w:rFonts w:ascii="Times New Roman" w:hAnsi="Times New Roman" w:cs="Times New Roman"/>
          <w:b/>
          <w:i/>
          <w:sz w:val="24"/>
          <w:szCs w:val="24"/>
        </w:rPr>
        <w:t>restrict</w:t>
      </w:r>
      <w:r w:rsidRPr="00515061">
        <w:rPr>
          <w:rFonts w:ascii="Times New Roman" w:hAnsi="Times New Roman" w:cs="Times New Roman"/>
          <w:b/>
          <w:sz w:val="24"/>
          <w:szCs w:val="24"/>
        </w:rPr>
        <w:t xml:space="preserve"> </w:t>
      </w:r>
      <w:r w:rsidRPr="00515061">
        <w:rPr>
          <w:rFonts w:ascii="Times New Roman" w:hAnsi="Times New Roman" w:cs="Times New Roman"/>
          <w:sz w:val="24"/>
          <w:szCs w:val="24"/>
        </w:rPr>
        <w:t xml:space="preserve">to clarify that </w:t>
      </w:r>
      <w:r w:rsidR="00E967C4" w:rsidRPr="00515061">
        <w:rPr>
          <w:rFonts w:ascii="Times New Roman" w:hAnsi="Times New Roman" w:cs="Times New Roman"/>
          <w:sz w:val="24"/>
          <w:szCs w:val="24"/>
        </w:rPr>
        <w:t>a</w:t>
      </w:r>
      <w:r w:rsidRPr="00515061">
        <w:rPr>
          <w:rFonts w:ascii="Times New Roman" w:hAnsi="Times New Roman" w:cs="Times New Roman"/>
          <w:sz w:val="24"/>
          <w:szCs w:val="24"/>
        </w:rPr>
        <w:t xml:space="preserve"> volumetric limit is a type of restriction, consistent with the consolidation of sections 12.16 and 12.17.</w:t>
      </w:r>
    </w:p>
    <w:p w:rsidR="008B1BF6" w:rsidRPr="00515061" w:rsidRDefault="008B1BF6" w:rsidP="00511B9B">
      <w:pPr>
        <w:spacing w:after="0"/>
        <w:rPr>
          <w:rFonts w:ascii="Times New Roman" w:hAnsi="Times New Roman" w:cs="Times New Roman"/>
          <w:sz w:val="24"/>
          <w:szCs w:val="24"/>
        </w:rPr>
      </w:pPr>
    </w:p>
    <w:p w:rsidR="008B1BF6" w:rsidRPr="00515061" w:rsidRDefault="00815BA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5</w:t>
      </w:r>
      <w:r w:rsidRPr="00515061">
        <w:rPr>
          <w:rFonts w:ascii="Times New Roman" w:hAnsi="Times New Roman" w:cs="Times New Roman"/>
          <w:sz w:val="24"/>
          <w:szCs w:val="24"/>
        </w:rPr>
        <w:t xml:space="preserve"> adds the definition of </w:t>
      </w:r>
      <w:r w:rsidRPr="00515061">
        <w:rPr>
          <w:rFonts w:ascii="Times New Roman" w:hAnsi="Times New Roman" w:cs="Times New Roman"/>
          <w:b/>
          <w:i/>
          <w:sz w:val="24"/>
          <w:szCs w:val="24"/>
        </w:rPr>
        <w:t>volumetric limit</w:t>
      </w:r>
      <w:r w:rsidRPr="00515061">
        <w:rPr>
          <w:rFonts w:ascii="Times New Roman" w:hAnsi="Times New Roman" w:cs="Times New Roman"/>
          <w:sz w:val="24"/>
          <w:szCs w:val="24"/>
        </w:rPr>
        <w:t xml:space="preserve"> to section 1.07(1) </w:t>
      </w:r>
      <w:r w:rsidR="00254BAB" w:rsidRPr="00515061">
        <w:rPr>
          <w:rFonts w:ascii="Times New Roman" w:hAnsi="Times New Roman" w:cs="Times New Roman"/>
          <w:sz w:val="24"/>
          <w:szCs w:val="24"/>
        </w:rPr>
        <w:t>(this definition</w:t>
      </w:r>
      <w:r w:rsidRPr="00515061">
        <w:rPr>
          <w:rFonts w:ascii="Times New Roman" w:hAnsi="Times New Roman" w:cs="Times New Roman"/>
          <w:sz w:val="24"/>
          <w:szCs w:val="24"/>
        </w:rPr>
        <w:t xml:space="preserve"> was previously included in section 12.17</w:t>
      </w:r>
      <w:r w:rsidR="00254BAB" w:rsidRPr="00515061">
        <w:rPr>
          <w:rFonts w:ascii="Times New Roman" w:hAnsi="Times New Roman" w:cs="Times New Roman"/>
          <w:sz w:val="24"/>
          <w:szCs w:val="24"/>
        </w:rPr>
        <w:t>)</w:t>
      </w:r>
      <w:r w:rsidR="00B47CE5" w:rsidRPr="00515061">
        <w:rPr>
          <w:rFonts w:ascii="Times New Roman" w:hAnsi="Times New Roman" w:cs="Times New Roman"/>
          <w:sz w:val="24"/>
          <w:szCs w:val="24"/>
        </w:rPr>
        <w:t>, and also updates</w:t>
      </w:r>
      <w:r w:rsidRPr="00515061">
        <w:rPr>
          <w:rFonts w:ascii="Times New Roman" w:hAnsi="Times New Roman" w:cs="Times New Roman"/>
          <w:sz w:val="24"/>
          <w:szCs w:val="24"/>
        </w:rPr>
        <w:t xml:space="preserve"> this definition to make it clear that</w:t>
      </w:r>
      <w:r w:rsidR="00254BAB" w:rsidRPr="00515061">
        <w:rPr>
          <w:rFonts w:ascii="Times New Roman" w:hAnsi="Times New Roman" w:cs="Times New Roman"/>
          <w:sz w:val="24"/>
          <w:szCs w:val="24"/>
        </w:rPr>
        <w:t xml:space="preserve"> a</w:t>
      </w:r>
      <w:r w:rsidRPr="00515061">
        <w:rPr>
          <w:rFonts w:ascii="Times New Roman" w:hAnsi="Times New Roman" w:cs="Times New Roman"/>
          <w:sz w:val="24"/>
          <w:szCs w:val="24"/>
        </w:rPr>
        <w:t xml:space="preserve"> volumetric limit also include</w:t>
      </w:r>
      <w:r w:rsidR="00254BAB" w:rsidRPr="00515061">
        <w:rPr>
          <w:rFonts w:ascii="Times New Roman" w:hAnsi="Times New Roman" w:cs="Times New Roman"/>
          <w:sz w:val="24"/>
          <w:szCs w:val="24"/>
        </w:rPr>
        <w:t>s a</w:t>
      </w:r>
      <w:r w:rsidRPr="00515061">
        <w:rPr>
          <w:rFonts w:ascii="Times New Roman" w:hAnsi="Times New Roman" w:cs="Times New Roman"/>
          <w:sz w:val="24"/>
          <w:szCs w:val="24"/>
        </w:rPr>
        <w:t xml:space="preserve"> limit </w:t>
      </w:r>
      <w:r w:rsidR="00254BAB" w:rsidRPr="00515061">
        <w:rPr>
          <w:rFonts w:ascii="Times New Roman" w:hAnsi="Times New Roman" w:cs="Times New Roman"/>
          <w:sz w:val="24"/>
          <w:szCs w:val="24"/>
        </w:rPr>
        <w:t>whose purpose or effect is to</w:t>
      </w:r>
      <w:r w:rsidRPr="00515061">
        <w:rPr>
          <w:rFonts w:ascii="Times New Roman" w:hAnsi="Times New Roman" w:cs="Times New Roman"/>
          <w:sz w:val="24"/>
          <w:szCs w:val="24"/>
        </w:rPr>
        <w:t xml:space="preserve"> cap the total volume of water that may be traded into an area</w:t>
      </w:r>
      <w:r w:rsidR="00254BAB"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as well as out of an area. </w:t>
      </w:r>
    </w:p>
    <w:p w:rsidR="008B1BF6" w:rsidRPr="00515061" w:rsidRDefault="008B1BF6" w:rsidP="00511B9B">
      <w:pPr>
        <w:spacing w:after="0"/>
        <w:rPr>
          <w:rFonts w:ascii="Times New Roman" w:hAnsi="Times New Roman" w:cs="Times New Roman"/>
          <w:sz w:val="24"/>
          <w:szCs w:val="24"/>
        </w:rPr>
      </w:pPr>
    </w:p>
    <w:p w:rsidR="008B1BF6" w:rsidRPr="00515061" w:rsidRDefault="00815BA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5</w:t>
      </w:r>
      <w:r w:rsidR="004C1221">
        <w:rPr>
          <w:rFonts w:ascii="Times New Roman" w:hAnsi="Times New Roman" w:cs="Times New Roman"/>
          <w:b/>
          <w:sz w:val="24"/>
          <w:szCs w:val="24"/>
        </w:rPr>
        <w:t>3</w:t>
      </w:r>
      <w:r w:rsidRPr="00515061">
        <w:rPr>
          <w:rFonts w:ascii="Times New Roman" w:hAnsi="Times New Roman" w:cs="Times New Roman"/>
          <w:b/>
          <w:sz w:val="24"/>
          <w:szCs w:val="24"/>
        </w:rPr>
        <w:t xml:space="preserve"> and 5</w:t>
      </w:r>
      <w:r w:rsidR="004C1221">
        <w:rPr>
          <w:rFonts w:ascii="Times New Roman" w:hAnsi="Times New Roman" w:cs="Times New Roman"/>
          <w:b/>
          <w:sz w:val="24"/>
          <w:szCs w:val="24"/>
        </w:rPr>
        <w:t>4</w:t>
      </w:r>
      <w:r w:rsidRPr="00515061">
        <w:rPr>
          <w:rFonts w:ascii="Times New Roman" w:hAnsi="Times New Roman" w:cs="Times New Roman"/>
          <w:sz w:val="24"/>
          <w:szCs w:val="24"/>
        </w:rPr>
        <w:t xml:space="preserve"> </w:t>
      </w:r>
      <w:r w:rsidR="003F6D1E" w:rsidRPr="00515061">
        <w:rPr>
          <w:rFonts w:ascii="Times New Roman" w:hAnsi="Times New Roman" w:cs="Times New Roman"/>
          <w:sz w:val="24"/>
          <w:szCs w:val="24"/>
        </w:rPr>
        <w:t xml:space="preserve">also </w:t>
      </w:r>
      <w:r w:rsidRPr="00515061">
        <w:rPr>
          <w:rFonts w:ascii="Times New Roman" w:hAnsi="Times New Roman" w:cs="Times New Roman"/>
          <w:sz w:val="24"/>
          <w:szCs w:val="24"/>
        </w:rPr>
        <w:t>remove</w:t>
      </w:r>
      <w:r w:rsidR="002C0EC6" w:rsidRPr="00515061">
        <w:rPr>
          <w:rFonts w:ascii="Times New Roman" w:hAnsi="Times New Roman" w:cs="Times New Roman"/>
          <w:sz w:val="24"/>
          <w:szCs w:val="24"/>
        </w:rPr>
        <w:t xml:space="preserve"> any ambiguity that</w:t>
      </w:r>
      <w:r w:rsidR="007007FE" w:rsidRPr="00515061">
        <w:rPr>
          <w:rFonts w:ascii="Times New Roman" w:hAnsi="Times New Roman" w:cs="Times New Roman"/>
          <w:sz w:val="24"/>
          <w:szCs w:val="24"/>
        </w:rPr>
        <w:t xml:space="preserve"> may have</w:t>
      </w:r>
      <w:r w:rsidR="002C0EC6" w:rsidRPr="00515061">
        <w:rPr>
          <w:rFonts w:ascii="Times New Roman" w:hAnsi="Times New Roman" w:cs="Times New Roman"/>
          <w:sz w:val="24"/>
          <w:szCs w:val="24"/>
        </w:rPr>
        <w:t xml:space="preserve"> exist</w:t>
      </w:r>
      <w:r w:rsidR="007007FE" w:rsidRPr="00515061">
        <w:rPr>
          <w:rFonts w:ascii="Times New Roman" w:hAnsi="Times New Roman" w:cs="Times New Roman"/>
          <w:sz w:val="24"/>
          <w:szCs w:val="24"/>
        </w:rPr>
        <w:t>ed</w:t>
      </w:r>
      <w:r w:rsidR="002C0EC6" w:rsidRPr="00515061">
        <w:rPr>
          <w:rFonts w:ascii="Times New Roman" w:hAnsi="Times New Roman" w:cs="Times New Roman"/>
          <w:sz w:val="24"/>
          <w:szCs w:val="24"/>
        </w:rPr>
        <w:t xml:space="preserve"> in relation to the inappropriate use of volumetric limits to restrict trade within unregulated systems</w:t>
      </w:r>
      <w:r w:rsidRPr="00515061">
        <w:rPr>
          <w:rFonts w:ascii="Times New Roman" w:hAnsi="Times New Roman" w:cs="Times New Roman"/>
          <w:sz w:val="24"/>
          <w:szCs w:val="24"/>
        </w:rPr>
        <w:t xml:space="preserve">, as this was not </w:t>
      </w:r>
      <w:r w:rsidR="00B47CE5" w:rsidRPr="00515061">
        <w:rPr>
          <w:rFonts w:ascii="Times New Roman" w:hAnsi="Times New Roman" w:cs="Times New Roman"/>
          <w:sz w:val="24"/>
          <w:szCs w:val="24"/>
        </w:rPr>
        <w:t xml:space="preserve">explicitly </w:t>
      </w:r>
      <w:r w:rsidRPr="00515061">
        <w:rPr>
          <w:rFonts w:ascii="Times New Roman" w:hAnsi="Times New Roman" w:cs="Times New Roman"/>
          <w:sz w:val="24"/>
          <w:szCs w:val="24"/>
        </w:rPr>
        <w:t>specified in section 12.17</w:t>
      </w:r>
      <w:r w:rsidR="003E5E0B" w:rsidRPr="00515061">
        <w:rPr>
          <w:rFonts w:ascii="Times New Roman" w:hAnsi="Times New Roman" w:cs="Times New Roman"/>
          <w:sz w:val="24"/>
          <w:szCs w:val="24"/>
        </w:rPr>
        <w:t xml:space="preserve"> prior to the amendments</w:t>
      </w:r>
      <w:r w:rsidR="002C0EC6" w:rsidRPr="00515061">
        <w:rPr>
          <w:rFonts w:ascii="Times New Roman" w:hAnsi="Times New Roman" w:cs="Times New Roman"/>
          <w:sz w:val="24"/>
          <w:szCs w:val="24"/>
        </w:rPr>
        <w:t>. This</w:t>
      </w:r>
      <w:r w:rsidRPr="00515061">
        <w:rPr>
          <w:rFonts w:ascii="Times New Roman" w:hAnsi="Times New Roman" w:cs="Times New Roman"/>
          <w:sz w:val="24"/>
          <w:szCs w:val="24"/>
        </w:rPr>
        <w:t xml:space="preserve"> amendment</w:t>
      </w:r>
      <w:r w:rsidR="002C0EC6" w:rsidRPr="00515061">
        <w:rPr>
          <w:rFonts w:ascii="Times New Roman" w:hAnsi="Times New Roman" w:cs="Times New Roman"/>
          <w:sz w:val="24"/>
          <w:szCs w:val="24"/>
        </w:rPr>
        <w:t xml:space="preserve"> makes it easier for regulated entities to understand their obligations in relation to providing for free trade within a regulated system, between regulated systems </w:t>
      </w:r>
      <w:r w:rsidR="003D7BE9" w:rsidRPr="00515061">
        <w:rPr>
          <w:rFonts w:ascii="Times New Roman" w:hAnsi="Times New Roman" w:cs="Times New Roman"/>
          <w:sz w:val="24"/>
          <w:szCs w:val="24"/>
        </w:rPr>
        <w:t>and within unregulated systems.</w:t>
      </w:r>
    </w:p>
    <w:p w:rsidR="008B1BF6" w:rsidRPr="00515061" w:rsidRDefault="008B1BF6" w:rsidP="00511B9B">
      <w:pPr>
        <w:spacing w:after="0"/>
        <w:rPr>
          <w:rFonts w:ascii="Times New Roman" w:hAnsi="Times New Roman" w:cs="Times New Roman"/>
          <w:sz w:val="24"/>
          <w:szCs w:val="24"/>
        </w:rPr>
      </w:pPr>
    </w:p>
    <w:p w:rsidR="008B1BF6" w:rsidRPr="00515061" w:rsidRDefault="00254BAB"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effect of the amendments in </w:t>
      </w:r>
      <w:r w:rsidRPr="00515061">
        <w:rPr>
          <w:rFonts w:ascii="Times New Roman" w:hAnsi="Times New Roman" w:cs="Times New Roman"/>
          <w:b/>
          <w:sz w:val="24"/>
          <w:szCs w:val="24"/>
        </w:rPr>
        <w:t>items 4, 5, 5</w:t>
      </w:r>
      <w:r w:rsidR="004C1221">
        <w:rPr>
          <w:rFonts w:ascii="Times New Roman" w:hAnsi="Times New Roman" w:cs="Times New Roman"/>
          <w:b/>
          <w:sz w:val="24"/>
          <w:szCs w:val="24"/>
        </w:rPr>
        <w:t>3</w:t>
      </w:r>
      <w:r w:rsidRPr="00515061">
        <w:rPr>
          <w:rFonts w:ascii="Times New Roman" w:hAnsi="Times New Roman" w:cs="Times New Roman"/>
          <w:b/>
          <w:sz w:val="24"/>
          <w:szCs w:val="24"/>
        </w:rPr>
        <w:t xml:space="preserve"> and 5</w:t>
      </w:r>
      <w:r w:rsidR="004C1221">
        <w:rPr>
          <w:rFonts w:ascii="Times New Roman" w:hAnsi="Times New Roman" w:cs="Times New Roman"/>
          <w:b/>
          <w:sz w:val="24"/>
          <w:szCs w:val="24"/>
        </w:rPr>
        <w:t>4</w:t>
      </w:r>
      <w:r w:rsidR="00664E5D" w:rsidRPr="00515061">
        <w:rPr>
          <w:rFonts w:ascii="Times New Roman" w:hAnsi="Times New Roman" w:cs="Times New Roman"/>
          <w:sz w:val="24"/>
          <w:szCs w:val="24"/>
        </w:rPr>
        <w:t xml:space="preserve"> is that a restriction on</w:t>
      </w:r>
      <w:r w:rsidRPr="00515061">
        <w:rPr>
          <w:rFonts w:ascii="Times New Roman" w:hAnsi="Times New Roman" w:cs="Times New Roman"/>
          <w:sz w:val="24"/>
          <w:szCs w:val="24"/>
        </w:rPr>
        <w:t xml:space="preserve"> trade </w:t>
      </w:r>
      <w:r w:rsidR="00664E5D" w:rsidRPr="00515061">
        <w:rPr>
          <w:rFonts w:ascii="Times New Roman" w:hAnsi="Times New Roman" w:cs="Times New Roman"/>
          <w:sz w:val="24"/>
          <w:szCs w:val="24"/>
        </w:rPr>
        <w:t>(including</w:t>
      </w:r>
      <w:r w:rsidRPr="00515061">
        <w:rPr>
          <w:rFonts w:ascii="Times New Roman" w:hAnsi="Times New Roman" w:cs="Times New Roman"/>
          <w:sz w:val="24"/>
          <w:szCs w:val="24"/>
        </w:rPr>
        <w:t xml:space="preserve"> </w:t>
      </w:r>
      <w:r w:rsidR="003F6D1E" w:rsidRPr="00515061">
        <w:rPr>
          <w:rFonts w:ascii="Times New Roman" w:hAnsi="Times New Roman" w:cs="Times New Roman"/>
          <w:sz w:val="24"/>
          <w:szCs w:val="24"/>
        </w:rPr>
        <w:t>a volumetric limit</w:t>
      </w:r>
      <w:r w:rsidR="00664E5D"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r w:rsidR="003F6D1E" w:rsidRPr="00515061">
        <w:rPr>
          <w:rFonts w:ascii="Times New Roman" w:hAnsi="Times New Roman" w:cs="Times New Roman"/>
          <w:sz w:val="24"/>
          <w:szCs w:val="24"/>
        </w:rPr>
        <w:t>continues to be prohibited</w:t>
      </w:r>
      <w:r w:rsidRPr="00515061">
        <w:rPr>
          <w:rFonts w:ascii="Times New Roman" w:hAnsi="Times New Roman" w:cs="Times New Roman"/>
          <w:sz w:val="24"/>
          <w:szCs w:val="24"/>
        </w:rPr>
        <w:t xml:space="preserve"> under the water trading rules</w:t>
      </w:r>
      <w:r w:rsidR="00664E5D" w:rsidRPr="00515061">
        <w:rPr>
          <w:rFonts w:ascii="Times New Roman" w:hAnsi="Times New Roman" w:cs="Times New Roman"/>
          <w:sz w:val="24"/>
          <w:szCs w:val="24"/>
        </w:rPr>
        <w:t>, other than a restriction that is allowable under section 12.18</w:t>
      </w:r>
      <w:r w:rsidRPr="00515061">
        <w:rPr>
          <w:rFonts w:ascii="Times New Roman" w:hAnsi="Times New Roman" w:cs="Times New Roman"/>
          <w:sz w:val="24"/>
          <w:szCs w:val="24"/>
        </w:rPr>
        <w:t>. These amendments clarify and remove any ambiguity</w:t>
      </w:r>
      <w:r w:rsidR="0001585F" w:rsidRPr="00515061">
        <w:rPr>
          <w:rFonts w:ascii="Times New Roman" w:hAnsi="Times New Roman" w:cs="Times New Roman"/>
          <w:sz w:val="24"/>
          <w:szCs w:val="24"/>
        </w:rPr>
        <w:t xml:space="preserve"> under the previous section 12.17</w:t>
      </w:r>
      <w:r w:rsidRPr="00515061">
        <w:rPr>
          <w:rFonts w:ascii="Times New Roman" w:hAnsi="Times New Roman" w:cs="Times New Roman"/>
          <w:sz w:val="24"/>
          <w:szCs w:val="24"/>
        </w:rPr>
        <w:t xml:space="preserve"> that may have existed in relation to the inappropriate use of a volum</w:t>
      </w:r>
      <w:bookmarkStart w:id="42" w:name="_Toc466982426"/>
      <w:r w:rsidR="003D7BE9" w:rsidRPr="00515061">
        <w:rPr>
          <w:rFonts w:ascii="Times New Roman" w:hAnsi="Times New Roman" w:cs="Times New Roman"/>
          <w:sz w:val="24"/>
          <w:szCs w:val="24"/>
        </w:rPr>
        <w:t xml:space="preserve">etric limit to restrict trade. </w:t>
      </w:r>
    </w:p>
    <w:p w:rsidR="008B1BF6" w:rsidRPr="00515061" w:rsidRDefault="008B1BF6" w:rsidP="00511B9B">
      <w:pPr>
        <w:spacing w:after="0"/>
        <w:rPr>
          <w:rFonts w:ascii="Times New Roman" w:hAnsi="Times New Roman" w:cs="Times New Roman"/>
          <w:sz w:val="24"/>
          <w:szCs w:val="24"/>
        </w:rPr>
      </w:pPr>
    </w:p>
    <w:p w:rsidR="008B1BF6" w:rsidRPr="00515061" w:rsidRDefault="003B517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5</w:t>
      </w:r>
      <w:r w:rsidR="004C1221">
        <w:rPr>
          <w:rFonts w:ascii="Times New Roman" w:hAnsi="Times New Roman" w:cs="Times New Roman"/>
          <w:b/>
          <w:sz w:val="24"/>
          <w:szCs w:val="24"/>
        </w:rPr>
        <w:t>2</w:t>
      </w:r>
      <w:r w:rsidRPr="00515061">
        <w:rPr>
          <w:rFonts w:ascii="Times New Roman" w:hAnsi="Times New Roman" w:cs="Times New Roman"/>
          <w:b/>
          <w:sz w:val="24"/>
          <w:szCs w:val="24"/>
        </w:rPr>
        <w:t>, 55</w:t>
      </w:r>
      <w:r w:rsidR="003E773B">
        <w:rPr>
          <w:rFonts w:ascii="Times New Roman" w:hAnsi="Times New Roman" w:cs="Times New Roman"/>
          <w:b/>
          <w:sz w:val="24"/>
          <w:szCs w:val="24"/>
        </w:rPr>
        <w:t>, 56</w:t>
      </w:r>
      <w:r w:rsidRPr="00515061">
        <w:rPr>
          <w:rFonts w:ascii="Times New Roman" w:hAnsi="Times New Roman" w:cs="Times New Roman"/>
          <w:b/>
          <w:sz w:val="24"/>
          <w:szCs w:val="24"/>
        </w:rPr>
        <w:t xml:space="preserve"> and 5</w:t>
      </w:r>
      <w:r w:rsidR="003E773B">
        <w:rPr>
          <w:rFonts w:ascii="Times New Roman" w:hAnsi="Times New Roman" w:cs="Times New Roman"/>
          <w:b/>
          <w:sz w:val="24"/>
          <w:szCs w:val="24"/>
        </w:rPr>
        <w:t>7</w:t>
      </w:r>
      <w:r w:rsidRPr="00515061">
        <w:rPr>
          <w:rFonts w:ascii="Times New Roman" w:hAnsi="Times New Roman" w:cs="Times New Roman"/>
          <w:sz w:val="24"/>
          <w:szCs w:val="24"/>
        </w:rPr>
        <w:t xml:space="preserve"> are consequential amendments to remove references to section 12.17 as this section longer exists, due to the amendment made by </w:t>
      </w:r>
      <w:r w:rsidR="00833619" w:rsidRPr="00515061">
        <w:rPr>
          <w:rFonts w:ascii="Times New Roman" w:hAnsi="Times New Roman" w:cs="Times New Roman"/>
          <w:b/>
          <w:sz w:val="24"/>
          <w:szCs w:val="24"/>
        </w:rPr>
        <w:t>i</w:t>
      </w:r>
      <w:r w:rsidRPr="00515061">
        <w:rPr>
          <w:rFonts w:ascii="Times New Roman" w:hAnsi="Times New Roman" w:cs="Times New Roman"/>
          <w:b/>
          <w:sz w:val="24"/>
          <w:szCs w:val="24"/>
        </w:rPr>
        <w:t>tem 5</w:t>
      </w:r>
      <w:r w:rsidR="004C1221">
        <w:rPr>
          <w:rFonts w:ascii="Times New Roman" w:hAnsi="Times New Roman" w:cs="Times New Roman"/>
          <w:b/>
          <w:sz w:val="24"/>
          <w:szCs w:val="24"/>
        </w:rPr>
        <w:t>4</w:t>
      </w:r>
      <w:r w:rsidR="003D7BE9" w:rsidRPr="00515061">
        <w:rPr>
          <w:rFonts w:ascii="Times New Roman" w:hAnsi="Times New Roman" w:cs="Times New Roman"/>
          <w:sz w:val="24"/>
          <w:szCs w:val="24"/>
        </w:rPr>
        <w:t>.</w:t>
      </w:r>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2C0EC6"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Maintaining information reporting requirements</w:t>
      </w:r>
      <w:bookmarkEnd w:id="42"/>
    </w:p>
    <w:p w:rsidR="008B1BF6" w:rsidRPr="00515061" w:rsidRDefault="008B1BF6" w:rsidP="00511B9B">
      <w:pPr>
        <w:spacing w:after="0"/>
        <w:rPr>
          <w:rFonts w:ascii="Times New Roman" w:hAnsi="Times New Roman" w:cs="Times New Roman"/>
          <w:bCs/>
          <w:sz w:val="24"/>
          <w:szCs w:val="24"/>
          <w:u w:val="single"/>
        </w:rPr>
      </w:pPr>
    </w:p>
    <w:p w:rsidR="008B1BF6" w:rsidRPr="00863700" w:rsidRDefault="002C0EC6" w:rsidP="00511B9B">
      <w:pPr>
        <w:spacing w:after="0"/>
        <w:rPr>
          <w:rFonts w:ascii="Times New Roman" w:hAnsi="Times New Roman" w:cs="Times New Roman"/>
          <w:sz w:val="24"/>
          <w:szCs w:val="24"/>
        </w:rPr>
      </w:pPr>
      <w:r w:rsidRPr="00515061">
        <w:rPr>
          <w:rFonts w:ascii="Times New Roman" w:hAnsi="Times New Roman" w:cs="Times New Roman"/>
          <w:sz w:val="24"/>
          <w:szCs w:val="24"/>
        </w:rPr>
        <w:t>S</w:t>
      </w:r>
      <w:r w:rsidR="007007FE" w:rsidRPr="00515061">
        <w:rPr>
          <w:rFonts w:ascii="Times New Roman" w:hAnsi="Times New Roman" w:cs="Times New Roman"/>
          <w:sz w:val="24"/>
          <w:szCs w:val="24"/>
        </w:rPr>
        <w:t>ubs</w:t>
      </w:r>
      <w:r w:rsidRPr="00515061">
        <w:rPr>
          <w:rFonts w:ascii="Times New Roman" w:hAnsi="Times New Roman" w:cs="Times New Roman"/>
          <w:sz w:val="24"/>
          <w:szCs w:val="24"/>
        </w:rPr>
        <w:t>ection 12.47</w:t>
      </w:r>
      <w:r w:rsidR="007007FE" w:rsidRPr="00515061">
        <w:rPr>
          <w:rFonts w:ascii="Times New Roman" w:hAnsi="Times New Roman" w:cs="Times New Roman"/>
          <w:sz w:val="24"/>
          <w:szCs w:val="24"/>
        </w:rPr>
        <w:t>(5)</w:t>
      </w:r>
      <w:r w:rsidRPr="00515061">
        <w:rPr>
          <w:rFonts w:ascii="Times New Roman" w:hAnsi="Times New Roman" w:cs="Times New Roman"/>
          <w:sz w:val="24"/>
          <w:szCs w:val="24"/>
        </w:rPr>
        <w:t xml:space="preserve"> of the Basin Plan, </w:t>
      </w:r>
      <w:r w:rsidR="00A93CAA" w:rsidRPr="00515061">
        <w:rPr>
          <w:rFonts w:ascii="Times New Roman" w:hAnsi="Times New Roman" w:cs="Times New Roman"/>
          <w:sz w:val="24"/>
          <w:szCs w:val="24"/>
        </w:rPr>
        <w:t xml:space="preserve">requires irrigation infrastructure operators that meet criteria </w:t>
      </w:r>
      <w:r w:rsidR="00664E5D" w:rsidRPr="00515061">
        <w:rPr>
          <w:rFonts w:ascii="Times New Roman" w:hAnsi="Times New Roman" w:cs="Times New Roman"/>
          <w:sz w:val="24"/>
          <w:szCs w:val="24"/>
        </w:rPr>
        <w:t xml:space="preserve">set out </w:t>
      </w:r>
      <w:r w:rsidR="00A93CAA" w:rsidRPr="00515061">
        <w:rPr>
          <w:rFonts w:ascii="Times New Roman" w:hAnsi="Times New Roman" w:cs="Times New Roman"/>
          <w:sz w:val="24"/>
          <w:szCs w:val="24"/>
        </w:rPr>
        <w:t xml:space="preserve">in the </w:t>
      </w:r>
      <w:r w:rsidR="00A93CAA" w:rsidRPr="00515061">
        <w:rPr>
          <w:rFonts w:ascii="Times New Roman" w:hAnsi="Times New Roman" w:cs="Times New Roman"/>
          <w:i/>
          <w:sz w:val="24"/>
          <w:szCs w:val="24"/>
        </w:rPr>
        <w:t>Water Charge (Infrastructure) Rules 2010</w:t>
      </w:r>
      <w:r w:rsidR="00C9769C" w:rsidRPr="00515061">
        <w:rPr>
          <w:rFonts w:ascii="Times New Roman" w:hAnsi="Times New Roman" w:cs="Times New Roman"/>
          <w:sz w:val="24"/>
          <w:szCs w:val="24"/>
        </w:rPr>
        <w:t xml:space="preserve"> (WCIR)</w:t>
      </w:r>
      <w:r w:rsidR="00A93CAA" w:rsidRPr="00515061">
        <w:rPr>
          <w:rFonts w:ascii="Times New Roman" w:hAnsi="Times New Roman" w:cs="Times New Roman"/>
          <w:i/>
          <w:sz w:val="24"/>
          <w:szCs w:val="24"/>
        </w:rPr>
        <w:t xml:space="preserve"> </w:t>
      </w:r>
      <w:r w:rsidR="00A93CAA" w:rsidRPr="00515061">
        <w:rPr>
          <w:rFonts w:ascii="Times New Roman" w:hAnsi="Times New Roman" w:cs="Times New Roman"/>
          <w:sz w:val="24"/>
          <w:szCs w:val="24"/>
        </w:rPr>
        <w:t xml:space="preserve">to provide their trading rules to the central information point. </w:t>
      </w:r>
      <w:r w:rsidR="005E2716" w:rsidRPr="00515061">
        <w:rPr>
          <w:rFonts w:ascii="Times New Roman" w:hAnsi="Times New Roman" w:cs="Times New Roman"/>
          <w:sz w:val="24"/>
          <w:szCs w:val="24"/>
        </w:rPr>
        <w:t>Prior to the amendments, s</w:t>
      </w:r>
      <w:r w:rsidR="00A93CAA" w:rsidRPr="00515061">
        <w:rPr>
          <w:rFonts w:ascii="Times New Roman" w:hAnsi="Times New Roman" w:cs="Times New Roman"/>
          <w:sz w:val="24"/>
          <w:szCs w:val="24"/>
        </w:rPr>
        <w:t xml:space="preserve">ection 12.47 </w:t>
      </w:r>
      <w:r w:rsidR="00664E5D" w:rsidRPr="00515061">
        <w:rPr>
          <w:rFonts w:ascii="Times New Roman" w:hAnsi="Times New Roman" w:cs="Times New Roman"/>
          <w:sz w:val="24"/>
          <w:szCs w:val="24"/>
        </w:rPr>
        <w:t>cross-</w:t>
      </w:r>
      <w:r w:rsidRPr="00515061">
        <w:rPr>
          <w:rFonts w:ascii="Times New Roman" w:hAnsi="Times New Roman" w:cs="Times New Roman"/>
          <w:sz w:val="24"/>
          <w:szCs w:val="24"/>
        </w:rPr>
        <w:t>reference</w:t>
      </w:r>
      <w:r w:rsidR="005E2716" w:rsidRPr="00515061">
        <w:rPr>
          <w:rFonts w:ascii="Times New Roman" w:hAnsi="Times New Roman" w:cs="Times New Roman"/>
          <w:sz w:val="24"/>
          <w:szCs w:val="24"/>
        </w:rPr>
        <w:t>d</w:t>
      </w:r>
      <w:r w:rsidRPr="00515061">
        <w:rPr>
          <w:rFonts w:ascii="Times New Roman" w:hAnsi="Times New Roman" w:cs="Times New Roman"/>
          <w:sz w:val="24"/>
          <w:szCs w:val="24"/>
        </w:rPr>
        <w:t xml:space="preserve"> criteria in the </w:t>
      </w:r>
      <w:r w:rsidR="00C9769C" w:rsidRPr="00515061">
        <w:rPr>
          <w:rFonts w:ascii="Times New Roman" w:hAnsi="Times New Roman" w:cs="Times New Roman"/>
          <w:sz w:val="24"/>
          <w:szCs w:val="24"/>
        </w:rPr>
        <w:t>WCIR</w:t>
      </w:r>
      <w:r w:rsidRPr="00515061">
        <w:rPr>
          <w:rFonts w:ascii="Times New Roman" w:hAnsi="Times New Roman" w:cs="Times New Roman"/>
          <w:sz w:val="24"/>
          <w:szCs w:val="24"/>
        </w:rPr>
        <w:t xml:space="preserve">. </w:t>
      </w:r>
      <w:r w:rsidR="00C60243" w:rsidRPr="00515061">
        <w:rPr>
          <w:rFonts w:ascii="Times New Roman" w:hAnsi="Times New Roman" w:cs="Times New Roman"/>
          <w:b/>
          <w:sz w:val="24"/>
          <w:szCs w:val="24"/>
        </w:rPr>
        <w:t xml:space="preserve">Item </w:t>
      </w:r>
      <w:r w:rsidR="00017BE4" w:rsidRPr="00515061">
        <w:rPr>
          <w:rFonts w:ascii="Times New Roman" w:hAnsi="Times New Roman" w:cs="Times New Roman"/>
          <w:b/>
          <w:sz w:val="24"/>
          <w:szCs w:val="24"/>
        </w:rPr>
        <w:t>5</w:t>
      </w:r>
      <w:r w:rsidR="00017BE4">
        <w:rPr>
          <w:rFonts w:ascii="Times New Roman" w:hAnsi="Times New Roman" w:cs="Times New Roman"/>
          <w:b/>
          <w:sz w:val="24"/>
          <w:szCs w:val="24"/>
        </w:rPr>
        <w:t>8</w:t>
      </w:r>
      <w:r w:rsidR="00017BE4" w:rsidRPr="00515061">
        <w:rPr>
          <w:rFonts w:ascii="Times New Roman" w:hAnsi="Times New Roman" w:cs="Times New Roman"/>
          <w:sz w:val="24"/>
          <w:szCs w:val="24"/>
        </w:rPr>
        <w:t xml:space="preserve"> </w:t>
      </w:r>
      <w:r w:rsidR="00C60243" w:rsidRPr="00515061">
        <w:rPr>
          <w:rFonts w:ascii="Times New Roman" w:hAnsi="Times New Roman" w:cs="Times New Roman"/>
          <w:sz w:val="24"/>
          <w:szCs w:val="24"/>
        </w:rPr>
        <w:t xml:space="preserve">removes this cross reference to the </w:t>
      </w:r>
      <w:r w:rsidR="00C9769C" w:rsidRPr="00515061">
        <w:rPr>
          <w:rFonts w:ascii="Times New Roman" w:hAnsi="Times New Roman" w:cs="Times New Roman"/>
          <w:sz w:val="24"/>
          <w:szCs w:val="24"/>
        </w:rPr>
        <w:t>WCIR</w:t>
      </w:r>
      <w:r w:rsidR="00C60243" w:rsidRPr="00515061">
        <w:rPr>
          <w:rFonts w:ascii="Times New Roman" w:hAnsi="Times New Roman" w:cs="Times New Roman"/>
          <w:sz w:val="24"/>
          <w:szCs w:val="24"/>
        </w:rPr>
        <w:t xml:space="preserve"> and </w:t>
      </w:r>
      <w:r w:rsidR="00664E5D" w:rsidRPr="00515061">
        <w:rPr>
          <w:rFonts w:ascii="Times New Roman" w:hAnsi="Times New Roman" w:cs="Times New Roman"/>
          <w:sz w:val="24"/>
          <w:szCs w:val="24"/>
        </w:rPr>
        <w:t xml:space="preserve">explicitly </w:t>
      </w:r>
      <w:r w:rsidR="00C60243" w:rsidRPr="00515061">
        <w:rPr>
          <w:rFonts w:ascii="Times New Roman" w:hAnsi="Times New Roman" w:cs="Times New Roman"/>
          <w:sz w:val="24"/>
          <w:szCs w:val="24"/>
        </w:rPr>
        <w:t>includes the criteria in the Basin Plan. This item maintains the previous effect of subsection 12.47(5) and means that the Basin Plan requirements in section 12.47 can operate independently of any future decision to amend the</w:t>
      </w:r>
      <w:r w:rsidR="00C9769C" w:rsidRPr="00515061">
        <w:rPr>
          <w:rFonts w:ascii="Times New Roman" w:hAnsi="Times New Roman" w:cs="Times New Roman"/>
          <w:sz w:val="24"/>
          <w:szCs w:val="24"/>
        </w:rPr>
        <w:t xml:space="preserve"> WCIR</w:t>
      </w:r>
      <w:r w:rsidR="00C60243" w:rsidRPr="00515061">
        <w:rPr>
          <w:rFonts w:ascii="Times New Roman" w:hAnsi="Times New Roman" w:cs="Times New Roman"/>
          <w:i/>
          <w:sz w:val="24"/>
          <w:szCs w:val="24"/>
        </w:rPr>
        <w:t>.</w:t>
      </w:r>
      <w:r w:rsidR="00223132" w:rsidRPr="00515061">
        <w:rPr>
          <w:rFonts w:ascii="Times New Roman" w:hAnsi="Times New Roman" w:cs="Times New Roman"/>
          <w:i/>
          <w:sz w:val="24"/>
          <w:szCs w:val="24"/>
        </w:rPr>
        <w:t xml:space="preserve"> </w:t>
      </w:r>
    </w:p>
    <w:p w:rsidR="008B1BF6" w:rsidRPr="00515061" w:rsidRDefault="008B1BF6" w:rsidP="00511B9B">
      <w:pPr>
        <w:spacing w:after="0"/>
        <w:rPr>
          <w:rFonts w:ascii="Times New Roman" w:hAnsi="Times New Roman" w:cs="Times New Roman"/>
          <w:sz w:val="24"/>
          <w:szCs w:val="24"/>
        </w:rPr>
      </w:pPr>
    </w:p>
    <w:p w:rsidR="002C0EC6" w:rsidRPr="00515061" w:rsidRDefault="002C0EC6"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5</w:t>
      </w:r>
      <w:r w:rsidR="00017BE4">
        <w:rPr>
          <w:rFonts w:ascii="Times New Roman" w:hAnsi="Times New Roman" w:cs="Times New Roman"/>
          <w:b/>
          <w:sz w:val="24"/>
          <w:szCs w:val="24"/>
        </w:rPr>
        <w:t>8</w:t>
      </w:r>
      <w:r w:rsidRPr="00515061">
        <w:rPr>
          <w:rFonts w:ascii="Times New Roman" w:hAnsi="Times New Roman" w:cs="Times New Roman"/>
          <w:sz w:val="24"/>
          <w:szCs w:val="24"/>
        </w:rPr>
        <w:t xml:space="preserve"> removes the references to criteria in the </w:t>
      </w:r>
      <w:r w:rsidR="00C9769C" w:rsidRPr="00515061">
        <w:rPr>
          <w:rFonts w:ascii="Times New Roman" w:hAnsi="Times New Roman" w:cs="Times New Roman"/>
          <w:iCs/>
          <w:sz w:val="24"/>
          <w:szCs w:val="24"/>
        </w:rPr>
        <w:t>WCIR</w:t>
      </w:r>
      <w:r w:rsidRPr="00515061">
        <w:rPr>
          <w:rFonts w:ascii="Times New Roman" w:hAnsi="Times New Roman" w:cs="Times New Roman"/>
          <w:sz w:val="24"/>
          <w:szCs w:val="24"/>
        </w:rPr>
        <w:t xml:space="preserve"> and inserts new </w:t>
      </w:r>
      <w:r w:rsidR="00A93CAA" w:rsidRPr="00515061">
        <w:rPr>
          <w:rFonts w:ascii="Times New Roman" w:hAnsi="Times New Roman" w:cs="Times New Roman"/>
          <w:sz w:val="24"/>
          <w:szCs w:val="24"/>
        </w:rPr>
        <w:t>sub</w:t>
      </w:r>
      <w:r w:rsidRPr="00515061">
        <w:rPr>
          <w:rFonts w:ascii="Times New Roman" w:hAnsi="Times New Roman" w:cs="Times New Roman"/>
          <w:sz w:val="24"/>
          <w:szCs w:val="24"/>
        </w:rPr>
        <w:t xml:space="preserve">sections </w:t>
      </w:r>
      <w:r w:rsidR="00A93CAA" w:rsidRPr="00515061">
        <w:rPr>
          <w:rFonts w:ascii="Times New Roman" w:hAnsi="Times New Roman" w:cs="Times New Roman"/>
          <w:sz w:val="24"/>
          <w:szCs w:val="24"/>
        </w:rPr>
        <w:t>12.47(</w:t>
      </w:r>
      <w:r w:rsidRPr="00515061">
        <w:rPr>
          <w:rFonts w:ascii="Times New Roman" w:hAnsi="Times New Roman" w:cs="Times New Roman"/>
          <w:sz w:val="24"/>
          <w:szCs w:val="24"/>
        </w:rPr>
        <w:t>4A</w:t>
      </w:r>
      <w:r w:rsidR="00A93CAA"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r w:rsidR="00A93CAA" w:rsidRPr="00515061">
        <w:rPr>
          <w:rFonts w:ascii="Times New Roman" w:hAnsi="Times New Roman" w:cs="Times New Roman"/>
          <w:sz w:val="24"/>
          <w:szCs w:val="24"/>
        </w:rPr>
        <w:t>(</w:t>
      </w:r>
      <w:r w:rsidRPr="00515061">
        <w:rPr>
          <w:rFonts w:ascii="Times New Roman" w:hAnsi="Times New Roman" w:cs="Times New Roman"/>
          <w:sz w:val="24"/>
          <w:szCs w:val="24"/>
        </w:rPr>
        <w:t>5</w:t>
      </w:r>
      <w:r w:rsidR="00A93CAA" w:rsidRPr="00515061">
        <w:rPr>
          <w:rFonts w:ascii="Times New Roman" w:hAnsi="Times New Roman" w:cs="Times New Roman"/>
          <w:sz w:val="24"/>
          <w:szCs w:val="24"/>
        </w:rPr>
        <w:t>)</w:t>
      </w:r>
      <w:r w:rsidRPr="00515061">
        <w:rPr>
          <w:rFonts w:ascii="Times New Roman" w:hAnsi="Times New Roman" w:cs="Times New Roman"/>
          <w:sz w:val="24"/>
          <w:szCs w:val="24"/>
        </w:rPr>
        <w:t xml:space="preserve"> a</w:t>
      </w:r>
      <w:r w:rsidR="00A93CAA" w:rsidRPr="00515061">
        <w:rPr>
          <w:rFonts w:ascii="Times New Roman" w:hAnsi="Times New Roman" w:cs="Times New Roman"/>
          <w:sz w:val="24"/>
          <w:szCs w:val="24"/>
        </w:rPr>
        <w:t>nd (5A) to explicitly include these</w:t>
      </w:r>
      <w:r w:rsidRPr="00515061">
        <w:rPr>
          <w:rFonts w:ascii="Times New Roman" w:hAnsi="Times New Roman" w:cs="Times New Roman"/>
          <w:sz w:val="24"/>
          <w:szCs w:val="24"/>
        </w:rPr>
        <w:t xml:space="preserve"> criteria in the Basin Plan. </w:t>
      </w:r>
    </w:p>
    <w:p w:rsidR="001072A1" w:rsidRPr="00515061" w:rsidRDefault="001072A1" w:rsidP="00511B9B">
      <w:pPr>
        <w:spacing w:after="0"/>
        <w:rPr>
          <w:rFonts w:ascii="Times New Roman" w:hAnsi="Times New Roman" w:cs="Times New Roman"/>
          <w:sz w:val="24"/>
          <w:szCs w:val="24"/>
        </w:rPr>
      </w:pPr>
    </w:p>
    <w:p w:rsidR="008B1BF6" w:rsidRPr="00515061" w:rsidRDefault="00A93CAA" w:rsidP="00511B9B">
      <w:pPr>
        <w:spacing w:after="0"/>
        <w:rPr>
          <w:rFonts w:ascii="Times New Roman" w:hAnsi="Times New Roman" w:cs="Times New Roman"/>
          <w:sz w:val="24"/>
          <w:szCs w:val="24"/>
        </w:rPr>
      </w:pPr>
      <w:r w:rsidRPr="00515061">
        <w:rPr>
          <w:rFonts w:ascii="Times New Roman" w:hAnsi="Times New Roman" w:cs="Times New Roman"/>
          <w:sz w:val="24"/>
          <w:szCs w:val="24"/>
        </w:rPr>
        <w:t>Subsection 12.47(5) incorporate</w:t>
      </w:r>
      <w:r w:rsidR="00392312" w:rsidRPr="00515061">
        <w:rPr>
          <w:rFonts w:ascii="Times New Roman" w:hAnsi="Times New Roman" w:cs="Times New Roman"/>
          <w:sz w:val="24"/>
          <w:szCs w:val="24"/>
        </w:rPr>
        <w:t>s</w:t>
      </w:r>
      <w:r w:rsidRPr="00515061">
        <w:rPr>
          <w:rFonts w:ascii="Times New Roman" w:hAnsi="Times New Roman" w:cs="Times New Roman"/>
          <w:sz w:val="24"/>
          <w:szCs w:val="24"/>
        </w:rPr>
        <w:t xml:space="preserve"> </w:t>
      </w:r>
      <w:r w:rsidR="00664E5D" w:rsidRPr="00515061">
        <w:rPr>
          <w:rFonts w:ascii="Times New Roman" w:hAnsi="Times New Roman" w:cs="Times New Roman"/>
          <w:sz w:val="24"/>
          <w:szCs w:val="24"/>
        </w:rPr>
        <w:t>provisions of</w:t>
      </w:r>
      <w:r w:rsidR="00001283" w:rsidRPr="00515061">
        <w:rPr>
          <w:rFonts w:ascii="Times New Roman" w:hAnsi="Times New Roman" w:cs="Times New Roman"/>
          <w:sz w:val="24"/>
          <w:szCs w:val="24"/>
        </w:rPr>
        <w:t xml:space="preserve"> Rule 15 of the </w:t>
      </w:r>
      <w:r w:rsidR="00C9769C" w:rsidRPr="00515061">
        <w:rPr>
          <w:rFonts w:ascii="Times New Roman" w:hAnsi="Times New Roman" w:cs="Times New Roman"/>
          <w:iCs/>
          <w:sz w:val="24"/>
          <w:szCs w:val="24"/>
        </w:rPr>
        <w:t>WCIR,</w:t>
      </w:r>
      <w:r w:rsidR="00001283" w:rsidRPr="00515061">
        <w:rPr>
          <w:rFonts w:ascii="Times New Roman" w:hAnsi="Times New Roman" w:cs="Times New Roman"/>
          <w:sz w:val="24"/>
          <w:szCs w:val="24"/>
        </w:rPr>
        <w:t xml:space="preserve"> </w:t>
      </w:r>
      <w:r w:rsidR="00664E5D" w:rsidRPr="00515061">
        <w:rPr>
          <w:rFonts w:ascii="Times New Roman" w:hAnsi="Times New Roman" w:cs="Times New Roman"/>
          <w:sz w:val="24"/>
          <w:szCs w:val="24"/>
        </w:rPr>
        <w:t xml:space="preserve">which determine when the rule applies to an infrastructure operator, </w:t>
      </w:r>
      <w:r w:rsidR="00392312" w:rsidRPr="00515061">
        <w:rPr>
          <w:rFonts w:ascii="Times New Roman" w:hAnsi="Times New Roman" w:cs="Times New Roman"/>
          <w:sz w:val="24"/>
          <w:szCs w:val="24"/>
        </w:rPr>
        <w:t xml:space="preserve">and subsection 12.47(4A) includes consequential amendments as a result of incorporating </w:t>
      </w:r>
      <w:r w:rsidR="00664E5D" w:rsidRPr="00515061">
        <w:rPr>
          <w:rFonts w:ascii="Times New Roman" w:hAnsi="Times New Roman" w:cs="Times New Roman"/>
          <w:sz w:val="24"/>
          <w:szCs w:val="24"/>
        </w:rPr>
        <w:t xml:space="preserve">provisions of </w:t>
      </w:r>
      <w:r w:rsidR="00392312" w:rsidRPr="00515061">
        <w:rPr>
          <w:rFonts w:ascii="Times New Roman" w:hAnsi="Times New Roman" w:cs="Times New Roman"/>
          <w:sz w:val="24"/>
          <w:szCs w:val="24"/>
        </w:rPr>
        <w:t>Rule 15 into this section.</w:t>
      </w:r>
    </w:p>
    <w:p w:rsidR="008B1BF6" w:rsidRPr="00515061" w:rsidRDefault="008B1BF6" w:rsidP="00511B9B">
      <w:pPr>
        <w:spacing w:after="0"/>
        <w:rPr>
          <w:rFonts w:ascii="Times New Roman" w:hAnsi="Times New Roman" w:cs="Times New Roman"/>
          <w:sz w:val="24"/>
          <w:szCs w:val="24"/>
        </w:rPr>
      </w:pPr>
    </w:p>
    <w:p w:rsidR="009E5D8C" w:rsidRPr="00515061" w:rsidRDefault="00392312" w:rsidP="00511B9B">
      <w:pPr>
        <w:spacing w:after="0"/>
        <w:rPr>
          <w:rFonts w:ascii="Times New Roman" w:hAnsi="Times New Roman" w:cs="Times New Roman"/>
          <w:sz w:val="24"/>
          <w:szCs w:val="24"/>
        </w:rPr>
      </w:pPr>
      <w:r w:rsidRPr="00515061">
        <w:rPr>
          <w:rFonts w:ascii="Times New Roman" w:hAnsi="Times New Roman" w:cs="Times New Roman"/>
          <w:sz w:val="24"/>
          <w:szCs w:val="24"/>
        </w:rPr>
        <w:t>Subsection 12.</w:t>
      </w:r>
      <w:r w:rsidR="00C44A02" w:rsidRPr="00515061">
        <w:rPr>
          <w:rFonts w:ascii="Times New Roman" w:hAnsi="Times New Roman" w:cs="Times New Roman"/>
          <w:sz w:val="24"/>
          <w:szCs w:val="24"/>
        </w:rPr>
        <w:t xml:space="preserve">47(5A) adds two definitions of </w:t>
      </w:r>
      <w:r w:rsidR="00C44A02" w:rsidRPr="00515061">
        <w:rPr>
          <w:rFonts w:ascii="Times New Roman" w:hAnsi="Times New Roman" w:cs="Times New Roman"/>
          <w:b/>
          <w:i/>
          <w:sz w:val="24"/>
          <w:szCs w:val="24"/>
        </w:rPr>
        <w:t>customer</w:t>
      </w:r>
      <w:r w:rsidR="00C44A02" w:rsidRPr="00515061">
        <w:rPr>
          <w:rFonts w:ascii="Times New Roman" w:hAnsi="Times New Roman" w:cs="Times New Roman"/>
          <w:sz w:val="24"/>
          <w:szCs w:val="24"/>
        </w:rPr>
        <w:t xml:space="preserve"> and </w:t>
      </w:r>
      <w:r w:rsidR="00C44A02" w:rsidRPr="00515061">
        <w:rPr>
          <w:rFonts w:ascii="Times New Roman" w:hAnsi="Times New Roman" w:cs="Times New Roman"/>
          <w:b/>
          <w:i/>
          <w:sz w:val="24"/>
          <w:szCs w:val="24"/>
        </w:rPr>
        <w:t>infrastructure service</w:t>
      </w:r>
      <w:r w:rsidRPr="00515061">
        <w:rPr>
          <w:rFonts w:ascii="Times New Roman" w:hAnsi="Times New Roman" w:cs="Times New Roman"/>
          <w:sz w:val="24"/>
          <w:szCs w:val="24"/>
        </w:rPr>
        <w:t xml:space="preserve"> from the </w:t>
      </w:r>
      <w:r w:rsidR="00C9769C" w:rsidRPr="00515061">
        <w:rPr>
          <w:rFonts w:ascii="Times New Roman" w:hAnsi="Times New Roman" w:cs="Times New Roman"/>
          <w:iCs/>
          <w:sz w:val="24"/>
          <w:szCs w:val="24"/>
        </w:rPr>
        <w:t>WCIR,</w:t>
      </w:r>
      <w:r w:rsidR="00C9769C" w:rsidRPr="00515061">
        <w:rPr>
          <w:rFonts w:ascii="Times New Roman" w:hAnsi="Times New Roman" w:cs="Times New Roman"/>
          <w:sz w:val="24"/>
          <w:szCs w:val="24"/>
        </w:rPr>
        <w:t xml:space="preserve"> </w:t>
      </w:r>
      <w:r w:rsidR="00B02BC6" w:rsidRPr="00515061">
        <w:rPr>
          <w:rFonts w:ascii="Times New Roman" w:hAnsi="Times New Roman" w:cs="Times New Roman"/>
          <w:sz w:val="24"/>
          <w:szCs w:val="24"/>
        </w:rPr>
        <w:t xml:space="preserve">which are </w:t>
      </w:r>
      <w:r w:rsidR="00171C6C" w:rsidRPr="00515061">
        <w:rPr>
          <w:rFonts w:ascii="Times New Roman" w:hAnsi="Times New Roman" w:cs="Times New Roman"/>
          <w:sz w:val="24"/>
          <w:szCs w:val="24"/>
        </w:rPr>
        <w:t>used in</w:t>
      </w:r>
      <w:r w:rsidR="00B02BC6" w:rsidRPr="00515061">
        <w:rPr>
          <w:rFonts w:ascii="Times New Roman" w:hAnsi="Times New Roman" w:cs="Times New Roman"/>
          <w:sz w:val="24"/>
          <w:szCs w:val="24"/>
        </w:rPr>
        <w:t xml:space="preserve"> Rule 15.</w:t>
      </w:r>
    </w:p>
    <w:p w:rsidR="00DB753C" w:rsidRPr="00515061" w:rsidRDefault="00DB753C" w:rsidP="00511B9B">
      <w:pPr>
        <w:spacing w:after="0"/>
        <w:rPr>
          <w:rFonts w:ascii="Times New Roman" w:hAnsi="Times New Roman" w:cs="Times New Roman"/>
          <w:b/>
          <w:sz w:val="24"/>
          <w:szCs w:val="24"/>
        </w:rPr>
      </w:pPr>
    </w:p>
    <w:p w:rsidR="009E5D8C" w:rsidRPr="00515061" w:rsidRDefault="008A58FE" w:rsidP="00511B9B">
      <w:pPr>
        <w:pStyle w:val="ListParagraph"/>
        <w:numPr>
          <w:ilvl w:val="0"/>
          <w:numId w:val="19"/>
        </w:numPr>
        <w:spacing w:after="0"/>
        <w:rPr>
          <w:rFonts w:ascii="Times New Roman" w:hAnsi="Times New Roman" w:cs="Times New Roman"/>
          <w:b/>
          <w:sz w:val="24"/>
          <w:szCs w:val="24"/>
        </w:rPr>
      </w:pPr>
      <w:r w:rsidRPr="00515061">
        <w:rPr>
          <w:rFonts w:ascii="Times New Roman" w:hAnsi="Times New Roman" w:cs="Times New Roman"/>
          <w:b/>
          <w:sz w:val="24"/>
          <w:szCs w:val="24"/>
        </w:rPr>
        <w:t xml:space="preserve">Revised </w:t>
      </w:r>
      <w:r w:rsidR="00D86EF8" w:rsidRPr="00515061">
        <w:rPr>
          <w:rFonts w:ascii="Times New Roman" w:hAnsi="Times New Roman" w:cs="Times New Roman"/>
          <w:b/>
          <w:sz w:val="24"/>
          <w:szCs w:val="24"/>
        </w:rPr>
        <w:t>b</w:t>
      </w:r>
      <w:r w:rsidRPr="00515061">
        <w:rPr>
          <w:rFonts w:ascii="Times New Roman" w:hAnsi="Times New Roman" w:cs="Times New Roman"/>
          <w:b/>
          <w:sz w:val="24"/>
          <w:szCs w:val="24"/>
        </w:rPr>
        <w:t>aseline diversion limit for the A</w:t>
      </w:r>
      <w:r w:rsidR="00920F5F" w:rsidRPr="00515061">
        <w:rPr>
          <w:rFonts w:ascii="Times New Roman" w:hAnsi="Times New Roman" w:cs="Times New Roman"/>
          <w:b/>
          <w:sz w:val="24"/>
          <w:szCs w:val="24"/>
        </w:rPr>
        <w:t xml:space="preserve">ustralian </w:t>
      </w:r>
      <w:r w:rsidRPr="00515061">
        <w:rPr>
          <w:rFonts w:ascii="Times New Roman" w:hAnsi="Times New Roman" w:cs="Times New Roman"/>
          <w:b/>
          <w:sz w:val="24"/>
          <w:szCs w:val="24"/>
        </w:rPr>
        <w:t>C</w:t>
      </w:r>
      <w:r w:rsidR="00920F5F" w:rsidRPr="00515061">
        <w:rPr>
          <w:rFonts w:ascii="Times New Roman" w:hAnsi="Times New Roman" w:cs="Times New Roman"/>
          <w:b/>
          <w:sz w:val="24"/>
          <w:szCs w:val="24"/>
        </w:rPr>
        <w:t xml:space="preserve">apital </w:t>
      </w:r>
      <w:r w:rsidRPr="00515061">
        <w:rPr>
          <w:rFonts w:ascii="Times New Roman" w:hAnsi="Times New Roman" w:cs="Times New Roman"/>
          <w:b/>
          <w:sz w:val="24"/>
          <w:szCs w:val="24"/>
        </w:rPr>
        <w:t>T</w:t>
      </w:r>
      <w:r w:rsidR="00920F5F" w:rsidRPr="00515061">
        <w:rPr>
          <w:rFonts w:ascii="Times New Roman" w:hAnsi="Times New Roman" w:cs="Times New Roman"/>
          <w:b/>
          <w:sz w:val="24"/>
          <w:szCs w:val="24"/>
        </w:rPr>
        <w:t>erritory</w:t>
      </w:r>
      <w:r w:rsidR="00415228" w:rsidRPr="00515061">
        <w:rPr>
          <w:rFonts w:ascii="Times New Roman" w:hAnsi="Times New Roman" w:cs="Times New Roman"/>
          <w:b/>
          <w:sz w:val="24"/>
          <w:szCs w:val="24"/>
        </w:rPr>
        <w:t xml:space="preserve"> (items 9</w:t>
      </w:r>
      <w:r w:rsidR="004C1221">
        <w:rPr>
          <w:rFonts w:ascii="Times New Roman" w:hAnsi="Times New Roman" w:cs="Times New Roman"/>
          <w:b/>
          <w:sz w:val="24"/>
          <w:szCs w:val="24"/>
        </w:rPr>
        <w:t>1</w:t>
      </w:r>
      <w:r w:rsidR="00415228" w:rsidRPr="00515061">
        <w:rPr>
          <w:rFonts w:ascii="Times New Roman" w:hAnsi="Times New Roman" w:cs="Times New Roman"/>
          <w:b/>
          <w:sz w:val="24"/>
          <w:szCs w:val="24"/>
        </w:rPr>
        <w:t xml:space="preserve"> and 9</w:t>
      </w:r>
      <w:r w:rsidR="004C1221">
        <w:rPr>
          <w:rFonts w:ascii="Times New Roman" w:hAnsi="Times New Roman" w:cs="Times New Roman"/>
          <w:b/>
          <w:sz w:val="24"/>
          <w:szCs w:val="24"/>
        </w:rPr>
        <w:t>4</w:t>
      </w:r>
      <w:r w:rsidR="00415228" w:rsidRPr="00515061">
        <w:rPr>
          <w:rFonts w:ascii="Times New Roman" w:hAnsi="Times New Roman" w:cs="Times New Roman"/>
          <w:b/>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8B1BF6" w:rsidP="00511B9B">
      <w:pPr>
        <w:spacing w:after="0"/>
        <w:rPr>
          <w:rFonts w:ascii="Times New Roman" w:hAnsi="Times New Roman" w:cs="Times New Roman"/>
          <w:sz w:val="24"/>
          <w:szCs w:val="24"/>
        </w:rPr>
      </w:pPr>
      <w:r w:rsidRPr="00515061">
        <w:rPr>
          <w:rFonts w:ascii="Times New Roman" w:hAnsi="Times New Roman" w:cs="Times New Roman"/>
          <w:sz w:val="24"/>
          <w:szCs w:val="24"/>
        </w:rPr>
        <w:t>T</w:t>
      </w:r>
      <w:r w:rsidR="00415228" w:rsidRPr="00515061">
        <w:rPr>
          <w:rFonts w:ascii="Times New Roman" w:hAnsi="Times New Roman" w:cs="Times New Roman"/>
          <w:sz w:val="24"/>
          <w:szCs w:val="24"/>
        </w:rPr>
        <w:t>he Basin Plan defines a baseline from which to determine required reductions in diversions. The Basin Plan refers to this as the baseline diversion limit. Schedule 3 of the Basin Plan sets out descriptions of the baseline diversion limits for each surface water SDL resource unit and includes notes of the Authority’s estimate of the quantity of water (in GL per year) represented by the descriptions of baseline diversion limits</w:t>
      </w:r>
      <w:r w:rsidR="003D7BE9"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41522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9</w:t>
      </w:r>
      <w:r w:rsidR="004C1221">
        <w:rPr>
          <w:rFonts w:ascii="Times New Roman" w:hAnsi="Times New Roman" w:cs="Times New Roman"/>
          <w:b/>
          <w:sz w:val="24"/>
          <w:szCs w:val="24"/>
        </w:rPr>
        <w:t>4</w:t>
      </w:r>
      <w:r w:rsidRPr="00515061">
        <w:rPr>
          <w:rFonts w:ascii="Times New Roman" w:hAnsi="Times New Roman" w:cs="Times New Roman"/>
          <w:sz w:val="24"/>
          <w:szCs w:val="24"/>
        </w:rPr>
        <w:t xml:space="preserve"> of the Amendment Instrument updates the description of the baseline diversion limit for the </w:t>
      </w:r>
      <w:r w:rsidR="003F42B2" w:rsidRPr="00515061">
        <w:rPr>
          <w:rFonts w:ascii="Times New Roman" w:hAnsi="Times New Roman" w:cs="Times New Roman"/>
          <w:sz w:val="24"/>
          <w:szCs w:val="24"/>
        </w:rPr>
        <w:t xml:space="preserve">ACT </w:t>
      </w:r>
      <w:r w:rsidR="00CC09E7" w:rsidRPr="00515061">
        <w:rPr>
          <w:rFonts w:ascii="Times New Roman" w:hAnsi="Times New Roman" w:cs="Times New Roman"/>
          <w:sz w:val="24"/>
          <w:szCs w:val="24"/>
        </w:rPr>
        <w:t xml:space="preserve">(surface water) </w:t>
      </w:r>
      <w:r w:rsidRPr="00515061">
        <w:rPr>
          <w:rFonts w:ascii="Times New Roman" w:hAnsi="Times New Roman" w:cs="Times New Roman"/>
          <w:sz w:val="24"/>
          <w:szCs w:val="24"/>
        </w:rPr>
        <w:t xml:space="preserve">in </w:t>
      </w:r>
      <w:r w:rsidR="00603C03" w:rsidRPr="00515061">
        <w:rPr>
          <w:rFonts w:ascii="Times New Roman" w:hAnsi="Times New Roman" w:cs="Times New Roman"/>
          <w:sz w:val="24"/>
          <w:szCs w:val="24"/>
        </w:rPr>
        <w:t xml:space="preserve">item 29 of </w:t>
      </w:r>
      <w:r w:rsidRPr="00515061">
        <w:rPr>
          <w:rFonts w:ascii="Times New Roman" w:hAnsi="Times New Roman" w:cs="Times New Roman"/>
          <w:sz w:val="24"/>
          <w:szCs w:val="24"/>
        </w:rPr>
        <w:t>Schedule 3</w:t>
      </w:r>
      <w:r w:rsidR="00603C03" w:rsidRPr="00515061">
        <w:rPr>
          <w:rFonts w:ascii="Times New Roman" w:hAnsi="Times New Roman" w:cs="Times New Roman"/>
          <w:sz w:val="24"/>
          <w:szCs w:val="24"/>
        </w:rPr>
        <w:t xml:space="preserve"> of the Basin Plan</w:t>
      </w:r>
      <w:r w:rsidRPr="00515061">
        <w:rPr>
          <w:rFonts w:ascii="Times New Roman" w:hAnsi="Times New Roman" w:cs="Times New Roman"/>
          <w:sz w:val="24"/>
          <w:szCs w:val="24"/>
        </w:rPr>
        <w:t xml:space="preserve">. </w:t>
      </w:r>
      <w:r w:rsidR="0003549F" w:rsidRPr="00515061">
        <w:rPr>
          <w:rFonts w:ascii="Times New Roman" w:hAnsi="Times New Roman" w:cs="Times New Roman"/>
          <w:sz w:val="24"/>
          <w:szCs w:val="24"/>
        </w:rPr>
        <w:t xml:space="preserve">Item 29 of </w:t>
      </w:r>
      <w:r w:rsidRPr="00515061">
        <w:rPr>
          <w:rFonts w:ascii="Times New Roman" w:hAnsi="Times New Roman" w:cs="Times New Roman"/>
          <w:sz w:val="24"/>
          <w:szCs w:val="24"/>
        </w:rPr>
        <w:t>Schedule 3</w:t>
      </w:r>
      <w:r w:rsidR="0003549F" w:rsidRPr="00515061">
        <w:rPr>
          <w:rFonts w:ascii="Times New Roman" w:hAnsi="Times New Roman" w:cs="Times New Roman"/>
          <w:sz w:val="24"/>
          <w:szCs w:val="24"/>
        </w:rPr>
        <w:t xml:space="preserve"> </w:t>
      </w:r>
      <w:r w:rsidRPr="00515061">
        <w:rPr>
          <w:rFonts w:ascii="Times New Roman" w:hAnsi="Times New Roman" w:cs="Times New Roman"/>
          <w:sz w:val="24"/>
          <w:szCs w:val="24"/>
        </w:rPr>
        <w:t>describes the limit of water taken by reference to subclause 9(1) of Schedule E to the Murray</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Basin Agreement</w:t>
      </w:r>
      <w:r w:rsidR="00175124" w:rsidRPr="00515061">
        <w:rPr>
          <w:rFonts w:ascii="Times New Roman" w:hAnsi="Times New Roman" w:cs="Times New Roman"/>
          <w:sz w:val="24"/>
          <w:szCs w:val="24"/>
        </w:rPr>
        <w:t xml:space="preserve"> (Schedule 1 of the Water Act)</w:t>
      </w:r>
      <w:r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41522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9</w:t>
      </w:r>
      <w:r w:rsidR="004C1221">
        <w:rPr>
          <w:rFonts w:ascii="Times New Roman" w:hAnsi="Times New Roman" w:cs="Times New Roman"/>
          <w:b/>
          <w:sz w:val="24"/>
          <w:szCs w:val="24"/>
        </w:rPr>
        <w:t>4</w:t>
      </w:r>
      <w:r w:rsidRPr="00515061">
        <w:rPr>
          <w:rFonts w:ascii="Times New Roman" w:hAnsi="Times New Roman" w:cs="Times New Roman"/>
          <w:sz w:val="24"/>
          <w:szCs w:val="24"/>
        </w:rPr>
        <w:t xml:space="preserve"> updates </w:t>
      </w:r>
      <w:r w:rsidR="0003549F" w:rsidRPr="00515061">
        <w:rPr>
          <w:rFonts w:ascii="Times New Roman" w:hAnsi="Times New Roman" w:cs="Times New Roman"/>
          <w:sz w:val="24"/>
          <w:szCs w:val="24"/>
        </w:rPr>
        <w:t xml:space="preserve">item 29 of </w:t>
      </w:r>
      <w:r w:rsidRPr="00515061">
        <w:rPr>
          <w:rFonts w:ascii="Times New Roman" w:hAnsi="Times New Roman" w:cs="Times New Roman"/>
          <w:sz w:val="24"/>
          <w:szCs w:val="24"/>
        </w:rPr>
        <w:t xml:space="preserve">Schedule 3 based on advice from the </w:t>
      </w:r>
      <w:r w:rsidR="00894744" w:rsidRPr="00515061">
        <w:rPr>
          <w:rFonts w:ascii="Times New Roman" w:hAnsi="Times New Roman" w:cs="Times New Roman"/>
          <w:sz w:val="24"/>
          <w:szCs w:val="24"/>
        </w:rPr>
        <w:t xml:space="preserve">ACT </w:t>
      </w:r>
      <w:r w:rsidRPr="00515061">
        <w:rPr>
          <w:rFonts w:ascii="Times New Roman" w:hAnsi="Times New Roman" w:cs="Times New Roman"/>
          <w:sz w:val="24"/>
          <w:szCs w:val="24"/>
        </w:rPr>
        <w:t>that an improved description of the baseline diversion limit is available due to</w:t>
      </w:r>
      <w:r w:rsidR="00603C03" w:rsidRPr="00515061">
        <w:rPr>
          <w:rFonts w:ascii="Times New Roman" w:hAnsi="Times New Roman" w:cs="Times New Roman"/>
          <w:sz w:val="24"/>
          <w:szCs w:val="24"/>
        </w:rPr>
        <w:t xml:space="preserve"> population growth up to 30 June 2009 (0.5GL per year),</w:t>
      </w:r>
      <w:r w:rsidRPr="00515061">
        <w:rPr>
          <w:rFonts w:ascii="Times New Roman" w:hAnsi="Times New Roman" w:cs="Times New Roman"/>
          <w:sz w:val="24"/>
          <w:szCs w:val="24"/>
        </w:rPr>
        <w:t xml:space="preserve"> The Living Murray contributions made by the ACT </w:t>
      </w:r>
      <w:r w:rsidR="00603C03" w:rsidRPr="00515061">
        <w:rPr>
          <w:rFonts w:ascii="Times New Roman" w:hAnsi="Times New Roman" w:cs="Times New Roman"/>
          <w:sz w:val="24"/>
          <w:szCs w:val="24"/>
        </w:rPr>
        <w:t xml:space="preserve">(2 GL per year) </w:t>
      </w:r>
      <w:r w:rsidRPr="00515061">
        <w:rPr>
          <w:rFonts w:ascii="Times New Roman" w:hAnsi="Times New Roman" w:cs="Times New Roman"/>
          <w:sz w:val="24"/>
          <w:szCs w:val="24"/>
        </w:rPr>
        <w:t>and new information on historic Commonwealth water use within the ACT</w:t>
      </w:r>
      <w:r w:rsidR="00603C03" w:rsidRPr="00515061">
        <w:rPr>
          <w:rFonts w:ascii="Times New Roman" w:hAnsi="Times New Roman" w:cs="Times New Roman"/>
          <w:sz w:val="24"/>
          <w:szCs w:val="24"/>
        </w:rPr>
        <w:t xml:space="preserve"> (0.2 GL per year)</w:t>
      </w:r>
      <w:r w:rsidRPr="00515061">
        <w:rPr>
          <w:rFonts w:ascii="Times New Roman" w:hAnsi="Times New Roman" w:cs="Times New Roman"/>
          <w:sz w:val="24"/>
          <w:szCs w:val="24"/>
        </w:rPr>
        <w:t>.</w:t>
      </w:r>
      <w:r w:rsidR="00603C03" w:rsidRPr="00515061">
        <w:rPr>
          <w:rFonts w:ascii="Times New Roman" w:hAnsi="Times New Roman" w:cs="Times New Roman"/>
          <w:sz w:val="24"/>
          <w:szCs w:val="24"/>
        </w:rPr>
        <w:t xml:space="preserve"> This is updated in both paragraph (a) of item 29 of Schedule 3 of the Basin Plan and the note to paragraph (a).</w:t>
      </w:r>
      <w:r w:rsidRPr="00515061">
        <w:rPr>
          <w:rFonts w:ascii="Times New Roman" w:hAnsi="Times New Roman" w:cs="Times New Roman"/>
          <w:sz w:val="24"/>
          <w:szCs w:val="24"/>
        </w:rPr>
        <w:t xml:space="preserve"> </w:t>
      </w:r>
      <w:r w:rsidR="00175124" w:rsidRPr="00515061">
        <w:rPr>
          <w:rFonts w:ascii="Times New Roman" w:hAnsi="Times New Roman" w:cs="Times New Roman"/>
          <w:sz w:val="24"/>
          <w:szCs w:val="24"/>
        </w:rPr>
        <w:t xml:space="preserve">The note to paragraph (a) also updates the </w:t>
      </w:r>
      <w:r w:rsidR="00C61594" w:rsidRPr="00515061">
        <w:rPr>
          <w:rFonts w:ascii="Times New Roman" w:hAnsi="Times New Roman" w:cs="Times New Roman"/>
          <w:sz w:val="24"/>
          <w:szCs w:val="24"/>
        </w:rPr>
        <w:t xml:space="preserve">Authority’s </w:t>
      </w:r>
      <w:r w:rsidR="00175124" w:rsidRPr="00515061">
        <w:rPr>
          <w:rFonts w:ascii="Times New Roman" w:hAnsi="Times New Roman" w:cs="Times New Roman"/>
          <w:sz w:val="24"/>
          <w:szCs w:val="24"/>
        </w:rPr>
        <w:t xml:space="preserve">estimate from </w:t>
      </w:r>
      <w:r w:rsidR="00C61594" w:rsidRPr="00515061">
        <w:rPr>
          <w:rFonts w:ascii="Times New Roman" w:hAnsi="Times New Roman" w:cs="Times New Roman"/>
          <w:sz w:val="24"/>
          <w:szCs w:val="24"/>
        </w:rPr>
        <w:t>40.5 GL per year to 42.7 GL per year based on the improved description of the baseline diversion limit due to population growth, The Living Murray contributions and historical Commonwealth water use.</w:t>
      </w:r>
      <w:r w:rsidR="003F653D" w:rsidRPr="00515061">
        <w:rPr>
          <w:rFonts w:ascii="Times New Roman" w:hAnsi="Times New Roman" w:cs="Times New Roman"/>
          <w:sz w:val="24"/>
          <w:szCs w:val="24"/>
        </w:rPr>
        <w:t xml:space="preserve"> Note that even though </w:t>
      </w:r>
      <w:r w:rsidR="008C10F3" w:rsidRPr="00515061">
        <w:rPr>
          <w:rFonts w:ascii="Times New Roman" w:hAnsi="Times New Roman" w:cs="Times New Roman"/>
          <w:sz w:val="24"/>
          <w:szCs w:val="24"/>
        </w:rPr>
        <w:t>Column 2 of item 29 of Schedule 3 of the Basin Plan has been repealed and substituted, there have been no changes to paragraphs (b), (c) and (d) of this Column 2, nor the notes relating to these paragraphs.</w:t>
      </w:r>
    </w:p>
    <w:p w:rsidR="008B1BF6" w:rsidRPr="00515061" w:rsidRDefault="008B1BF6" w:rsidP="00511B9B">
      <w:pPr>
        <w:spacing w:after="0"/>
        <w:rPr>
          <w:rFonts w:ascii="Times New Roman" w:hAnsi="Times New Roman" w:cs="Times New Roman"/>
          <w:sz w:val="24"/>
          <w:szCs w:val="24"/>
        </w:rPr>
      </w:pPr>
    </w:p>
    <w:p w:rsidR="008B1BF6" w:rsidRPr="00515061" w:rsidRDefault="003E5E0B"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t>
      </w:r>
      <w:r w:rsidR="00415228" w:rsidRPr="00515061">
        <w:rPr>
          <w:rFonts w:ascii="Times New Roman" w:hAnsi="Times New Roman" w:cs="Times New Roman"/>
          <w:sz w:val="24"/>
          <w:szCs w:val="24"/>
        </w:rPr>
        <w:t xml:space="preserve">ACT has met its contribution to The Living Murray with the recovery of 2 GL per year from </w:t>
      </w:r>
      <w:r w:rsidR="00D71668" w:rsidRPr="00515061">
        <w:rPr>
          <w:rFonts w:ascii="Times New Roman" w:hAnsi="Times New Roman" w:cs="Times New Roman"/>
          <w:sz w:val="24"/>
          <w:szCs w:val="24"/>
        </w:rPr>
        <w:t>New South Wales</w:t>
      </w:r>
      <w:r w:rsidR="00415228" w:rsidRPr="00515061">
        <w:rPr>
          <w:rFonts w:ascii="Times New Roman" w:hAnsi="Times New Roman" w:cs="Times New Roman"/>
          <w:sz w:val="24"/>
          <w:szCs w:val="24"/>
        </w:rPr>
        <w:t xml:space="preserve">. To avoid double counting </w:t>
      </w:r>
      <w:r w:rsidR="00D71668" w:rsidRPr="00515061">
        <w:rPr>
          <w:rFonts w:ascii="Times New Roman" w:hAnsi="Times New Roman" w:cs="Times New Roman"/>
          <w:sz w:val="24"/>
          <w:szCs w:val="24"/>
        </w:rPr>
        <w:t xml:space="preserve">of </w:t>
      </w:r>
      <w:r w:rsidR="00415228" w:rsidRPr="00515061">
        <w:rPr>
          <w:rFonts w:ascii="Times New Roman" w:hAnsi="Times New Roman" w:cs="Times New Roman"/>
          <w:sz w:val="24"/>
          <w:szCs w:val="24"/>
        </w:rPr>
        <w:t xml:space="preserve">this water, </w:t>
      </w:r>
      <w:r w:rsidR="00D71668" w:rsidRPr="00515061">
        <w:rPr>
          <w:rFonts w:ascii="Times New Roman" w:hAnsi="Times New Roman" w:cs="Times New Roman"/>
          <w:sz w:val="24"/>
          <w:szCs w:val="24"/>
        </w:rPr>
        <w:t>it was necessary to update the ACT’s</w:t>
      </w:r>
      <w:r w:rsidR="00415228" w:rsidRPr="00515061">
        <w:rPr>
          <w:rFonts w:ascii="Times New Roman" w:hAnsi="Times New Roman" w:cs="Times New Roman"/>
          <w:sz w:val="24"/>
          <w:szCs w:val="24"/>
        </w:rPr>
        <w:t xml:space="preserve"> baseline diversion limit and reflect these arrangements</w:t>
      </w:r>
      <w:r w:rsidR="00D71668" w:rsidRPr="00515061">
        <w:rPr>
          <w:rFonts w:ascii="Times New Roman" w:hAnsi="Times New Roman" w:cs="Times New Roman"/>
          <w:sz w:val="24"/>
          <w:szCs w:val="24"/>
        </w:rPr>
        <w:t xml:space="preserve"> in Schedule 3</w:t>
      </w:r>
      <w:r w:rsidR="008B1BF6"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D71668"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ACT has also provided new information on historic Commonwealth water use, based on improved understanding. This is due to the enactment of the </w:t>
      </w:r>
      <w:r w:rsidRPr="00515061">
        <w:rPr>
          <w:rFonts w:ascii="Times New Roman" w:hAnsi="Times New Roman" w:cs="Times New Roman"/>
          <w:i/>
          <w:sz w:val="24"/>
          <w:szCs w:val="24"/>
        </w:rPr>
        <w:t>A</w:t>
      </w:r>
      <w:r w:rsidR="003E5E0B" w:rsidRPr="00515061">
        <w:rPr>
          <w:rFonts w:ascii="Times New Roman" w:hAnsi="Times New Roman" w:cs="Times New Roman"/>
          <w:i/>
          <w:sz w:val="24"/>
          <w:szCs w:val="24"/>
        </w:rPr>
        <w:t xml:space="preserve">ustralian </w:t>
      </w:r>
      <w:r w:rsidRPr="00515061">
        <w:rPr>
          <w:rFonts w:ascii="Times New Roman" w:hAnsi="Times New Roman" w:cs="Times New Roman"/>
          <w:i/>
          <w:sz w:val="24"/>
          <w:szCs w:val="24"/>
        </w:rPr>
        <w:t>C</w:t>
      </w:r>
      <w:r w:rsidR="003E5E0B" w:rsidRPr="00515061">
        <w:rPr>
          <w:rFonts w:ascii="Times New Roman" w:hAnsi="Times New Roman" w:cs="Times New Roman"/>
          <w:i/>
          <w:sz w:val="24"/>
          <w:szCs w:val="24"/>
        </w:rPr>
        <w:t xml:space="preserve">apital </w:t>
      </w:r>
      <w:r w:rsidRPr="00515061">
        <w:rPr>
          <w:rFonts w:ascii="Times New Roman" w:hAnsi="Times New Roman" w:cs="Times New Roman"/>
          <w:i/>
          <w:sz w:val="24"/>
          <w:szCs w:val="24"/>
        </w:rPr>
        <w:t>T</w:t>
      </w:r>
      <w:r w:rsidR="003E5E0B" w:rsidRPr="00515061">
        <w:rPr>
          <w:rFonts w:ascii="Times New Roman" w:hAnsi="Times New Roman" w:cs="Times New Roman"/>
          <w:i/>
          <w:sz w:val="24"/>
          <w:szCs w:val="24"/>
        </w:rPr>
        <w:t>erritory</w:t>
      </w:r>
      <w:r w:rsidRPr="00515061">
        <w:rPr>
          <w:rFonts w:ascii="Times New Roman" w:hAnsi="Times New Roman" w:cs="Times New Roman"/>
          <w:i/>
          <w:sz w:val="24"/>
          <w:szCs w:val="24"/>
        </w:rPr>
        <w:t xml:space="preserve"> Water Management </w:t>
      </w:r>
      <w:r w:rsidR="00920F5F" w:rsidRPr="00515061">
        <w:rPr>
          <w:rFonts w:ascii="Times New Roman" w:hAnsi="Times New Roman" w:cs="Times New Roman"/>
          <w:i/>
          <w:sz w:val="24"/>
          <w:szCs w:val="24"/>
        </w:rPr>
        <w:t>Legislation Amendment Act 2013</w:t>
      </w:r>
      <w:r w:rsidR="001841FB" w:rsidRPr="00515061">
        <w:rPr>
          <w:rFonts w:ascii="Times New Roman" w:hAnsi="Times New Roman" w:cs="Times New Roman"/>
          <w:i/>
          <w:sz w:val="24"/>
          <w:szCs w:val="24"/>
        </w:rPr>
        <w:t>,</w:t>
      </w:r>
      <w:r w:rsidRPr="00515061">
        <w:rPr>
          <w:rFonts w:ascii="Times New Roman" w:hAnsi="Times New Roman" w:cs="Times New Roman"/>
          <w:i/>
          <w:sz w:val="24"/>
          <w:szCs w:val="24"/>
        </w:rPr>
        <w:t xml:space="preserve"> </w:t>
      </w:r>
      <w:r w:rsidRPr="00515061">
        <w:rPr>
          <w:rFonts w:ascii="Times New Roman" w:hAnsi="Times New Roman" w:cs="Times New Roman"/>
          <w:sz w:val="24"/>
          <w:szCs w:val="24"/>
        </w:rPr>
        <w:t xml:space="preserve">which transferred the management of certain Commonwealth water resources to the ACT. The ACT now meters the Commonwealth’s water use in the ACT and identified there would have been </w:t>
      </w:r>
      <w:r w:rsidR="003E773B">
        <w:rPr>
          <w:rFonts w:ascii="Times New Roman" w:hAnsi="Times New Roman" w:cs="Times New Roman"/>
          <w:sz w:val="24"/>
          <w:szCs w:val="24"/>
        </w:rPr>
        <w:t xml:space="preserve">a </w:t>
      </w:r>
      <w:r w:rsidRPr="00515061">
        <w:rPr>
          <w:rFonts w:ascii="Times New Roman" w:hAnsi="Times New Roman" w:cs="Times New Roman"/>
          <w:sz w:val="24"/>
          <w:szCs w:val="24"/>
        </w:rPr>
        <w:t xml:space="preserve">higher level of Commonwealth water use than originally estimated under the </w:t>
      </w:r>
      <w:r w:rsidR="008D6105" w:rsidRPr="00515061">
        <w:rPr>
          <w:rFonts w:ascii="Times New Roman" w:hAnsi="Times New Roman" w:cs="Times New Roman"/>
          <w:sz w:val="24"/>
          <w:szCs w:val="24"/>
        </w:rPr>
        <w:t xml:space="preserve">long-term diversion cap for the ACT specified in </w:t>
      </w:r>
      <w:r w:rsidR="00175124" w:rsidRPr="00515061">
        <w:rPr>
          <w:rFonts w:ascii="Times New Roman" w:hAnsi="Times New Roman" w:cs="Times New Roman"/>
          <w:sz w:val="24"/>
          <w:szCs w:val="24"/>
        </w:rPr>
        <w:t>subclause 9(1) of Schedule E to the Murray</w:t>
      </w:r>
      <w:r w:rsidR="00DA6FE3" w:rsidRPr="00515061">
        <w:rPr>
          <w:rFonts w:ascii="Times New Roman" w:hAnsi="Times New Roman" w:cs="Times New Roman"/>
          <w:sz w:val="24"/>
          <w:szCs w:val="24"/>
        </w:rPr>
        <w:t>-</w:t>
      </w:r>
      <w:r w:rsidR="00175124" w:rsidRPr="00515061">
        <w:rPr>
          <w:rFonts w:ascii="Times New Roman" w:hAnsi="Times New Roman" w:cs="Times New Roman"/>
          <w:sz w:val="24"/>
          <w:szCs w:val="24"/>
        </w:rPr>
        <w:t>Darling Basin Agreement.</w:t>
      </w:r>
    </w:p>
    <w:p w:rsidR="008B1BF6" w:rsidRPr="00515061" w:rsidRDefault="008B1BF6" w:rsidP="00511B9B">
      <w:pPr>
        <w:spacing w:after="0"/>
        <w:rPr>
          <w:rFonts w:ascii="Times New Roman" w:hAnsi="Times New Roman" w:cs="Times New Roman"/>
          <w:sz w:val="24"/>
          <w:szCs w:val="24"/>
        </w:rPr>
      </w:pPr>
    </w:p>
    <w:p w:rsidR="008B1BF6" w:rsidRPr="00515061" w:rsidRDefault="00175124"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9</w:t>
      </w:r>
      <w:r w:rsidR="004C1221">
        <w:rPr>
          <w:rFonts w:ascii="Times New Roman" w:hAnsi="Times New Roman" w:cs="Times New Roman"/>
          <w:b/>
          <w:sz w:val="24"/>
          <w:szCs w:val="24"/>
        </w:rPr>
        <w:t>1</w:t>
      </w:r>
      <w:r w:rsidRPr="00515061">
        <w:rPr>
          <w:rFonts w:ascii="Times New Roman" w:hAnsi="Times New Roman" w:cs="Times New Roman"/>
          <w:b/>
          <w:sz w:val="24"/>
          <w:szCs w:val="24"/>
        </w:rPr>
        <w:t xml:space="preserve"> </w:t>
      </w:r>
      <w:r w:rsidRPr="00515061">
        <w:rPr>
          <w:rFonts w:ascii="Times New Roman" w:hAnsi="Times New Roman" w:cs="Times New Roman"/>
          <w:sz w:val="24"/>
          <w:szCs w:val="24"/>
        </w:rPr>
        <w:t xml:space="preserve">updates the </w:t>
      </w:r>
      <w:r w:rsidR="00C61594" w:rsidRPr="00515061">
        <w:rPr>
          <w:rFonts w:ascii="Times New Roman" w:hAnsi="Times New Roman" w:cs="Times New Roman"/>
          <w:sz w:val="24"/>
          <w:szCs w:val="24"/>
        </w:rPr>
        <w:t>Authority’s estimate</w:t>
      </w:r>
      <w:r w:rsidR="00415228" w:rsidRPr="00515061">
        <w:rPr>
          <w:rFonts w:ascii="Times New Roman" w:hAnsi="Times New Roman" w:cs="Times New Roman"/>
          <w:sz w:val="24"/>
          <w:szCs w:val="24"/>
        </w:rPr>
        <w:t xml:space="preserve"> of the </w:t>
      </w:r>
      <w:r w:rsidRPr="00515061">
        <w:rPr>
          <w:rFonts w:ascii="Times New Roman" w:hAnsi="Times New Roman" w:cs="Times New Roman"/>
          <w:sz w:val="24"/>
          <w:szCs w:val="24"/>
        </w:rPr>
        <w:t>ACT</w:t>
      </w:r>
      <w:r w:rsidR="00CC09E7" w:rsidRPr="00515061">
        <w:rPr>
          <w:rFonts w:ascii="Times New Roman" w:hAnsi="Times New Roman" w:cs="Times New Roman"/>
          <w:sz w:val="24"/>
          <w:szCs w:val="24"/>
        </w:rPr>
        <w:t xml:space="preserve"> (surface water)</w:t>
      </w:r>
      <w:r w:rsidR="00415228" w:rsidRPr="00515061">
        <w:rPr>
          <w:rFonts w:ascii="Times New Roman" w:hAnsi="Times New Roman" w:cs="Times New Roman"/>
          <w:sz w:val="24"/>
          <w:szCs w:val="24"/>
        </w:rPr>
        <w:t xml:space="preserve"> baseline diversion limit</w:t>
      </w:r>
      <w:r w:rsidR="00C61594" w:rsidRPr="00515061">
        <w:rPr>
          <w:rFonts w:ascii="Times New Roman" w:hAnsi="Times New Roman" w:cs="Times New Roman"/>
          <w:sz w:val="24"/>
          <w:szCs w:val="24"/>
        </w:rPr>
        <w:t>, from 52.5 GL per year to 54.7</w:t>
      </w:r>
      <w:r w:rsidR="00415228" w:rsidRPr="00515061">
        <w:rPr>
          <w:rFonts w:ascii="Times New Roman" w:hAnsi="Times New Roman" w:cs="Times New Roman"/>
          <w:sz w:val="24"/>
          <w:szCs w:val="24"/>
        </w:rPr>
        <w:t xml:space="preserve"> GL per year. </w:t>
      </w:r>
      <w:r w:rsidR="00C61594" w:rsidRPr="00515061">
        <w:rPr>
          <w:rFonts w:ascii="Times New Roman" w:hAnsi="Times New Roman" w:cs="Times New Roman"/>
          <w:sz w:val="24"/>
          <w:szCs w:val="24"/>
        </w:rPr>
        <w:t xml:space="preserve">This increase of 2.2 GL per year is a consequential amendment following the update to the estimate of the baseline diversion limit of the ACT in </w:t>
      </w:r>
      <w:r w:rsidR="00C61594" w:rsidRPr="00515061">
        <w:rPr>
          <w:rFonts w:ascii="Times New Roman" w:hAnsi="Times New Roman" w:cs="Times New Roman"/>
          <w:b/>
          <w:sz w:val="24"/>
          <w:szCs w:val="24"/>
        </w:rPr>
        <w:t>item 9</w:t>
      </w:r>
      <w:r w:rsidR="004C1221">
        <w:rPr>
          <w:rFonts w:ascii="Times New Roman" w:hAnsi="Times New Roman" w:cs="Times New Roman"/>
          <w:b/>
          <w:sz w:val="24"/>
          <w:szCs w:val="24"/>
        </w:rPr>
        <w:t>4</w:t>
      </w:r>
      <w:r w:rsidR="00C61594" w:rsidRPr="00515061">
        <w:rPr>
          <w:rFonts w:ascii="Times New Roman" w:hAnsi="Times New Roman" w:cs="Times New Roman"/>
          <w:sz w:val="24"/>
          <w:szCs w:val="24"/>
        </w:rPr>
        <w:t xml:space="preserve"> above</w:t>
      </w:r>
      <w:r w:rsidR="00415228" w:rsidRPr="00515061">
        <w:rPr>
          <w:rFonts w:ascii="Times New Roman" w:hAnsi="Times New Roman" w:cs="Times New Roman"/>
          <w:sz w:val="24"/>
          <w:szCs w:val="24"/>
        </w:rPr>
        <w:t xml:space="preserve">. Relevant basin-wide figures have also been updated </w:t>
      </w:r>
      <w:r w:rsidR="00F34FDB" w:rsidRPr="00515061">
        <w:rPr>
          <w:rFonts w:ascii="Times New Roman" w:hAnsi="Times New Roman" w:cs="Times New Roman"/>
          <w:sz w:val="24"/>
          <w:szCs w:val="24"/>
        </w:rPr>
        <w:t xml:space="preserve">in the Basin Plan </w:t>
      </w:r>
      <w:r w:rsidR="00415228" w:rsidRPr="00515061">
        <w:rPr>
          <w:rFonts w:ascii="Times New Roman" w:hAnsi="Times New Roman" w:cs="Times New Roman"/>
          <w:sz w:val="24"/>
          <w:szCs w:val="24"/>
        </w:rPr>
        <w:t>where appropriate</w:t>
      </w:r>
      <w:r w:rsidR="00F34FDB" w:rsidRPr="00515061">
        <w:rPr>
          <w:rFonts w:ascii="Times New Roman" w:hAnsi="Times New Roman" w:cs="Times New Roman"/>
          <w:sz w:val="24"/>
          <w:szCs w:val="24"/>
        </w:rPr>
        <w:t xml:space="preserve">, for instance in </w:t>
      </w:r>
      <w:r w:rsidR="00F34FDB" w:rsidRPr="00515061">
        <w:rPr>
          <w:rFonts w:ascii="Times New Roman" w:hAnsi="Times New Roman" w:cs="Times New Roman"/>
          <w:b/>
          <w:sz w:val="24"/>
          <w:szCs w:val="24"/>
        </w:rPr>
        <w:t>item 14</w:t>
      </w:r>
      <w:r w:rsidR="00F34FDB" w:rsidRPr="00515061">
        <w:rPr>
          <w:rFonts w:ascii="Times New Roman" w:hAnsi="Times New Roman" w:cs="Times New Roman"/>
          <w:sz w:val="24"/>
          <w:szCs w:val="24"/>
        </w:rPr>
        <w:t xml:space="preserve"> (the note at subsection 6.04(2)</w:t>
      </w:r>
      <w:r w:rsidR="00BB4FBD" w:rsidRPr="00515061">
        <w:rPr>
          <w:rFonts w:ascii="Times New Roman" w:hAnsi="Times New Roman" w:cs="Times New Roman"/>
          <w:sz w:val="24"/>
          <w:szCs w:val="24"/>
        </w:rPr>
        <w:t xml:space="preserve"> as discussed above at </w:t>
      </w:r>
      <w:r w:rsidR="00BB4FBD" w:rsidRPr="00515061">
        <w:rPr>
          <w:rFonts w:ascii="Times New Roman" w:hAnsi="Times New Roman" w:cs="Times New Roman"/>
          <w:i/>
          <w:sz w:val="24"/>
          <w:szCs w:val="24"/>
        </w:rPr>
        <w:t>1</w:t>
      </w:r>
      <w:r w:rsidR="000A1E8F" w:rsidRPr="00515061">
        <w:rPr>
          <w:rFonts w:ascii="Times New Roman" w:hAnsi="Times New Roman" w:cs="Times New Roman"/>
          <w:i/>
          <w:sz w:val="24"/>
          <w:szCs w:val="24"/>
        </w:rPr>
        <w:t>.</w:t>
      </w:r>
      <w:r w:rsidR="00BB4FBD" w:rsidRPr="00515061">
        <w:rPr>
          <w:rFonts w:ascii="Times New Roman" w:hAnsi="Times New Roman" w:cs="Times New Roman"/>
          <w:i/>
          <w:sz w:val="24"/>
          <w:szCs w:val="24"/>
        </w:rPr>
        <w:t xml:space="preserve"> Northern Basin Review Amendments</w:t>
      </w:r>
      <w:r w:rsidR="000A1E8F" w:rsidRPr="00515061">
        <w:rPr>
          <w:rFonts w:ascii="Times New Roman" w:hAnsi="Times New Roman" w:cs="Times New Roman"/>
          <w:i/>
          <w:sz w:val="24"/>
          <w:szCs w:val="24"/>
        </w:rPr>
        <w:t xml:space="preserve"> </w:t>
      </w:r>
      <w:r w:rsidR="000A1E8F" w:rsidRPr="00515061">
        <w:rPr>
          <w:rFonts w:ascii="Times New Roman" w:hAnsi="Times New Roman" w:cs="Times New Roman"/>
          <w:sz w:val="24"/>
          <w:szCs w:val="24"/>
        </w:rPr>
        <w:t>of this explanatory statement</w:t>
      </w:r>
      <w:r w:rsidR="00F34FDB" w:rsidRPr="00515061">
        <w:rPr>
          <w:rFonts w:ascii="Times New Roman" w:hAnsi="Times New Roman" w:cs="Times New Roman"/>
          <w:sz w:val="24"/>
          <w:szCs w:val="24"/>
        </w:rPr>
        <w:t>)</w:t>
      </w:r>
      <w:r w:rsidR="00415228"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700E98" w:rsidRPr="00515061" w:rsidRDefault="00D04AF5" w:rsidP="00511B9B">
      <w:pPr>
        <w:spacing w:after="0"/>
        <w:rPr>
          <w:rFonts w:ascii="Times New Roman" w:hAnsi="Times New Roman" w:cs="Times New Roman"/>
          <w:sz w:val="24"/>
          <w:szCs w:val="24"/>
        </w:rPr>
      </w:pPr>
      <w:r w:rsidRPr="00515061">
        <w:rPr>
          <w:rFonts w:ascii="Times New Roman" w:hAnsi="Times New Roman" w:cs="Times New Roman"/>
          <w:sz w:val="24"/>
          <w:szCs w:val="24"/>
        </w:rPr>
        <w:t>The change to the baseline diversion limit in the ACT changes the SDL, as the SDL is the BDL minus the shared reduction amount of 4.9 GL per year</w:t>
      </w:r>
      <w:r w:rsidR="000F2F4B">
        <w:rPr>
          <w:rFonts w:ascii="Times New Roman" w:hAnsi="Times New Roman" w:cs="Times New Roman"/>
          <w:sz w:val="24"/>
          <w:szCs w:val="24"/>
        </w:rPr>
        <w:t xml:space="preserve"> plus the SDL adjustment amount.</w:t>
      </w:r>
      <w:r w:rsidR="00897D8B" w:rsidRPr="00897D8B">
        <w:rPr>
          <w:rFonts w:ascii="Times New Roman" w:hAnsi="Times New Roman" w:cs="Times New Roman"/>
          <w:sz w:val="24"/>
          <w:szCs w:val="24"/>
          <w:highlight w:val="green"/>
        </w:rPr>
        <w:t xml:space="preserve"> </w:t>
      </w:r>
      <w:r w:rsidR="00897D8B" w:rsidRPr="00852BDA">
        <w:rPr>
          <w:rFonts w:ascii="Times New Roman" w:hAnsi="Times New Roman" w:cs="Times New Roman"/>
          <w:sz w:val="24"/>
          <w:szCs w:val="24"/>
        </w:rPr>
        <w:t xml:space="preserve">Following the amendments to the Basin Plan made by the </w:t>
      </w:r>
      <w:r w:rsidR="00897D8B" w:rsidRPr="00852BDA">
        <w:rPr>
          <w:rFonts w:ascii="Times New Roman" w:hAnsi="Times New Roman" w:cs="Times New Roman"/>
          <w:i/>
          <w:sz w:val="24"/>
          <w:szCs w:val="24"/>
        </w:rPr>
        <w:t>Basin Plan Amendment (SDL Adjustments) Instrument 2017</w:t>
      </w:r>
      <w:r w:rsidR="00897D8B" w:rsidRPr="00852BDA">
        <w:rPr>
          <w:rFonts w:ascii="Times New Roman" w:hAnsi="Times New Roman" w:cs="Times New Roman"/>
          <w:sz w:val="24"/>
          <w:szCs w:val="24"/>
        </w:rPr>
        <w:t>, the SDL adjustment amount has been added to the formula for calculating SDL.</w:t>
      </w:r>
      <w:r w:rsidRPr="00515061">
        <w:rPr>
          <w:rFonts w:ascii="Times New Roman" w:hAnsi="Times New Roman" w:cs="Times New Roman"/>
          <w:sz w:val="24"/>
          <w:szCs w:val="24"/>
        </w:rPr>
        <w:t xml:space="preserve"> This change to the </w:t>
      </w:r>
      <w:r w:rsidR="00C44A02" w:rsidRPr="00515061">
        <w:rPr>
          <w:rFonts w:ascii="Times New Roman" w:hAnsi="Times New Roman" w:cs="Times New Roman"/>
          <w:sz w:val="24"/>
          <w:szCs w:val="24"/>
        </w:rPr>
        <w:t>baseline diversion limit reflects a better understanding of the circumstances in 2009. The consequential adjustment to the SDL is minor, such that it continues to represent</w:t>
      </w:r>
      <w:r w:rsidRPr="00515061">
        <w:rPr>
          <w:rFonts w:ascii="Times New Roman" w:hAnsi="Times New Roman" w:cs="Times New Roman"/>
          <w:sz w:val="24"/>
          <w:szCs w:val="24"/>
        </w:rPr>
        <w:t xml:space="preserve"> an environmentally sustainable level of take.</w:t>
      </w:r>
      <w:r w:rsidR="000F2F4B">
        <w:rPr>
          <w:rFonts w:ascii="Times New Roman" w:hAnsi="Times New Roman" w:cs="Times New Roman"/>
          <w:sz w:val="24"/>
          <w:szCs w:val="24"/>
        </w:rPr>
        <w:t xml:space="preserve"> </w:t>
      </w:r>
    </w:p>
    <w:p w:rsidR="008B1BF6" w:rsidRDefault="008B1BF6" w:rsidP="00511B9B">
      <w:pPr>
        <w:spacing w:after="0"/>
        <w:rPr>
          <w:rFonts w:ascii="Times New Roman" w:hAnsi="Times New Roman" w:cs="Times New Roman"/>
          <w:b/>
          <w:sz w:val="24"/>
          <w:szCs w:val="24"/>
        </w:rPr>
      </w:pPr>
    </w:p>
    <w:p w:rsidR="00566840" w:rsidRDefault="00566840" w:rsidP="00511B9B">
      <w:pPr>
        <w:spacing w:after="0"/>
        <w:rPr>
          <w:rFonts w:ascii="Times New Roman" w:hAnsi="Times New Roman" w:cs="Times New Roman"/>
          <w:b/>
          <w:sz w:val="24"/>
          <w:szCs w:val="24"/>
        </w:rPr>
      </w:pPr>
    </w:p>
    <w:p w:rsidR="00566840" w:rsidRPr="00515061" w:rsidRDefault="00566840" w:rsidP="00511B9B">
      <w:pPr>
        <w:spacing w:after="0"/>
        <w:rPr>
          <w:rFonts w:ascii="Times New Roman" w:hAnsi="Times New Roman" w:cs="Times New Roman"/>
          <w:b/>
          <w:sz w:val="24"/>
          <w:szCs w:val="24"/>
        </w:rPr>
      </w:pPr>
    </w:p>
    <w:p w:rsidR="00700E98" w:rsidRPr="00515061" w:rsidRDefault="008A58FE" w:rsidP="00511B9B">
      <w:pPr>
        <w:pStyle w:val="ListParagraph"/>
        <w:numPr>
          <w:ilvl w:val="0"/>
          <w:numId w:val="20"/>
        </w:numPr>
        <w:spacing w:after="0"/>
        <w:rPr>
          <w:rFonts w:ascii="Times New Roman" w:hAnsi="Times New Roman" w:cs="Times New Roman"/>
          <w:b/>
          <w:sz w:val="24"/>
          <w:szCs w:val="24"/>
        </w:rPr>
      </w:pPr>
      <w:r w:rsidRPr="00515061">
        <w:rPr>
          <w:rFonts w:ascii="Times New Roman" w:hAnsi="Times New Roman" w:cs="Times New Roman"/>
          <w:b/>
          <w:sz w:val="24"/>
          <w:szCs w:val="24"/>
        </w:rPr>
        <w:t>W</w:t>
      </w:r>
      <w:r w:rsidR="00920F5F" w:rsidRPr="00515061">
        <w:rPr>
          <w:rFonts w:ascii="Times New Roman" w:hAnsi="Times New Roman" w:cs="Times New Roman"/>
          <w:b/>
          <w:sz w:val="24"/>
          <w:szCs w:val="24"/>
        </w:rPr>
        <w:t xml:space="preserve">ater </w:t>
      </w:r>
      <w:r w:rsidRPr="00515061">
        <w:rPr>
          <w:rFonts w:ascii="Times New Roman" w:hAnsi="Times New Roman" w:cs="Times New Roman"/>
          <w:b/>
          <w:sz w:val="24"/>
          <w:szCs w:val="24"/>
        </w:rPr>
        <w:t>R</w:t>
      </w:r>
      <w:r w:rsidR="00920F5F" w:rsidRPr="00515061">
        <w:rPr>
          <w:rFonts w:ascii="Times New Roman" w:hAnsi="Times New Roman" w:cs="Times New Roman"/>
          <w:b/>
          <w:sz w:val="24"/>
          <w:szCs w:val="24"/>
        </w:rPr>
        <w:t xml:space="preserve">esource </w:t>
      </w:r>
      <w:r w:rsidRPr="00515061">
        <w:rPr>
          <w:rFonts w:ascii="Times New Roman" w:hAnsi="Times New Roman" w:cs="Times New Roman"/>
          <w:b/>
          <w:sz w:val="24"/>
          <w:szCs w:val="24"/>
        </w:rPr>
        <w:t>P</w:t>
      </w:r>
      <w:r w:rsidR="00920F5F" w:rsidRPr="00515061">
        <w:rPr>
          <w:rFonts w:ascii="Times New Roman" w:hAnsi="Times New Roman" w:cs="Times New Roman"/>
          <w:b/>
          <w:sz w:val="24"/>
          <w:szCs w:val="24"/>
        </w:rPr>
        <w:t>lan</w:t>
      </w:r>
      <w:r w:rsidRPr="00515061">
        <w:rPr>
          <w:rFonts w:ascii="Times New Roman" w:hAnsi="Times New Roman" w:cs="Times New Roman"/>
          <w:b/>
          <w:sz w:val="24"/>
          <w:szCs w:val="24"/>
        </w:rPr>
        <w:t xml:space="preserve"> requirements</w:t>
      </w:r>
      <w:r w:rsidR="0069430C" w:rsidRPr="00515061">
        <w:rPr>
          <w:rFonts w:ascii="Times New Roman" w:hAnsi="Times New Roman" w:cs="Times New Roman"/>
          <w:b/>
          <w:sz w:val="24"/>
          <w:szCs w:val="24"/>
        </w:rPr>
        <w:t xml:space="preserve"> (items </w:t>
      </w:r>
      <w:r w:rsidR="004C1221">
        <w:rPr>
          <w:rFonts w:ascii="Times New Roman" w:hAnsi="Times New Roman" w:cs="Times New Roman"/>
          <w:b/>
          <w:sz w:val="24"/>
          <w:szCs w:val="24"/>
        </w:rPr>
        <w:t>40</w:t>
      </w:r>
      <w:r w:rsidR="0069430C" w:rsidRPr="00515061">
        <w:rPr>
          <w:rFonts w:ascii="Times New Roman" w:hAnsi="Times New Roman" w:cs="Times New Roman"/>
          <w:b/>
          <w:sz w:val="24"/>
          <w:szCs w:val="24"/>
        </w:rPr>
        <w:t xml:space="preserve"> and 4</w:t>
      </w:r>
      <w:r w:rsidR="004C1221">
        <w:rPr>
          <w:rFonts w:ascii="Times New Roman" w:hAnsi="Times New Roman" w:cs="Times New Roman"/>
          <w:b/>
          <w:sz w:val="24"/>
          <w:szCs w:val="24"/>
        </w:rPr>
        <w:t>1</w:t>
      </w:r>
      <w:r w:rsidR="0069430C" w:rsidRPr="00515061">
        <w:rPr>
          <w:rFonts w:ascii="Times New Roman" w:hAnsi="Times New Roman" w:cs="Times New Roman"/>
          <w:b/>
          <w:sz w:val="24"/>
          <w:szCs w:val="24"/>
        </w:rPr>
        <w:t>)</w:t>
      </w:r>
    </w:p>
    <w:p w:rsidR="008B1BF6" w:rsidRPr="00515061" w:rsidRDefault="008B1BF6" w:rsidP="00511B9B">
      <w:pPr>
        <w:spacing w:after="0"/>
        <w:rPr>
          <w:rFonts w:ascii="Times New Roman" w:hAnsi="Times New Roman" w:cs="Times New Roman"/>
          <w:sz w:val="24"/>
          <w:szCs w:val="24"/>
        </w:rPr>
      </w:pPr>
    </w:p>
    <w:p w:rsidR="008B1BF6" w:rsidRPr="00515061" w:rsidRDefault="00B41AFA" w:rsidP="00511B9B">
      <w:pPr>
        <w:spacing w:after="0"/>
        <w:rPr>
          <w:rFonts w:ascii="Times New Roman" w:hAnsi="Times New Roman" w:cs="Times New Roman"/>
          <w:sz w:val="24"/>
          <w:szCs w:val="24"/>
        </w:rPr>
      </w:pPr>
      <w:r w:rsidRPr="00515061">
        <w:rPr>
          <w:rFonts w:ascii="Times New Roman" w:hAnsi="Times New Roman" w:cs="Times New Roman"/>
          <w:sz w:val="24"/>
          <w:szCs w:val="24"/>
        </w:rPr>
        <w:t>Chapter 10 of the Basin Plan sets out what material must be contained in WRPs for them to be accredited</w:t>
      </w:r>
      <w:r w:rsidR="00797807" w:rsidRPr="00515061">
        <w:rPr>
          <w:rFonts w:ascii="Times New Roman" w:hAnsi="Times New Roman" w:cs="Times New Roman"/>
          <w:sz w:val="24"/>
          <w:szCs w:val="24"/>
        </w:rPr>
        <w:t xml:space="preserve"> </w:t>
      </w:r>
      <w:r w:rsidR="003E5E0B" w:rsidRPr="00515061">
        <w:rPr>
          <w:rFonts w:ascii="Times New Roman" w:hAnsi="Times New Roman" w:cs="Times New Roman"/>
          <w:sz w:val="24"/>
          <w:szCs w:val="24"/>
        </w:rPr>
        <w:t xml:space="preserve">or adopted </w:t>
      </w:r>
      <w:r w:rsidR="00797807" w:rsidRPr="00515061">
        <w:rPr>
          <w:rFonts w:ascii="Times New Roman" w:hAnsi="Times New Roman" w:cs="Times New Roman"/>
          <w:sz w:val="24"/>
          <w:szCs w:val="24"/>
        </w:rPr>
        <w:t>as consistent with the Basin Plan, by the Minister under the Water Act</w:t>
      </w:r>
      <w:r w:rsidRPr="00515061">
        <w:rPr>
          <w:rFonts w:ascii="Times New Roman" w:hAnsi="Times New Roman" w:cs="Times New Roman"/>
          <w:sz w:val="24"/>
          <w:szCs w:val="24"/>
        </w:rPr>
        <w:t>. The Amendment Instrument makes minor amendments to the Basin Plan to simplify how this material is compiled by Basin States</w:t>
      </w:r>
      <w:r w:rsidR="003E773B">
        <w:rPr>
          <w:rFonts w:ascii="Times New Roman" w:hAnsi="Times New Roman" w:cs="Times New Roman"/>
          <w:sz w:val="24"/>
          <w:szCs w:val="24"/>
        </w:rPr>
        <w:t xml:space="preserve"> in order</w:t>
      </w:r>
      <w:r w:rsidRPr="00515061">
        <w:rPr>
          <w:rFonts w:ascii="Times New Roman" w:hAnsi="Times New Roman" w:cs="Times New Roman"/>
          <w:sz w:val="24"/>
          <w:szCs w:val="24"/>
        </w:rPr>
        <w:t xml:space="preserve"> to reduce duplication and the potential </w:t>
      </w:r>
      <w:bookmarkStart w:id="43" w:name="_Toc466982438"/>
      <w:r w:rsidR="003D7BE9" w:rsidRPr="00515061">
        <w:rPr>
          <w:rFonts w:ascii="Times New Roman" w:hAnsi="Times New Roman" w:cs="Times New Roman"/>
          <w:sz w:val="24"/>
          <w:szCs w:val="24"/>
        </w:rPr>
        <w:t>for errors and inconsistencies.</w:t>
      </w:r>
    </w:p>
    <w:p w:rsidR="008B1BF6" w:rsidRPr="00515061" w:rsidRDefault="008B1BF6" w:rsidP="00511B9B">
      <w:pPr>
        <w:spacing w:after="0"/>
        <w:rPr>
          <w:rFonts w:ascii="Times New Roman" w:hAnsi="Times New Roman" w:cs="Times New Roman"/>
          <w:sz w:val="24"/>
          <w:szCs w:val="24"/>
        </w:rPr>
      </w:pPr>
    </w:p>
    <w:p w:rsidR="008B1BF6" w:rsidRPr="00515061" w:rsidRDefault="00B41AFA" w:rsidP="00963D75">
      <w:pPr>
        <w:keepNext/>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Form of a WRP</w:t>
      </w:r>
      <w:bookmarkEnd w:id="43"/>
    </w:p>
    <w:p w:rsidR="008B1BF6" w:rsidRPr="00515061" w:rsidRDefault="008B1BF6" w:rsidP="00963D75">
      <w:pPr>
        <w:keepNext/>
        <w:spacing w:after="0"/>
        <w:rPr>
          <w:rFonts w:ascii="Times New Roman" w:hAnsi="Times New Roman" w:cs="Times New Roman"/>
          <w:bCs/>
          <w:sz w:val="24"/>
          <w:szCs w:val="24"/>
          <w:u w:val="single"/>
        </w:rPr>
      </w:pPr>
    </w:p>
    <w:p w:rsidR="00EA17C5" w:rsidRPr="00515061" w:rsidRDefault="00B41AFA" w:rsidP="00963D75">
      <w:pPr>
        <w:keepNext/>
        <w:spacing w:after="0"/>
        <w:rPr>
          <w:rFonts w:ascii="Times New Roman" w:hAnsi="Times New Roman" w:cs="Times New Roman"/>
          <w:sz w:val="24"/>
          <w:szCs w:val="24"/>
        </w:rPr>
      </w:pPr>
      <w:r w:rsidRPr="00515061">
        <w:rPr>
          <w:rFonts w:ascii="Times New Roman" w:hAnsi="Times New Roman" w:cs="Times New Roman"/>
          <w:sz w:val="24"/>
          <w:szCs w:val="24"/>
        </w:rPr>
        <w:t>A WRP can be constituted by a number of instruments and texts (see section 10.04 of the Basin Plan). Where two or more instruments are used, a WRP must include a list that specifies each Basin Plan requirement in Chapter 10 of the Basin Plan and the part of the WRP that addresses each requirement (subsection 10.04(4) of the Basin Plan). This list enables the Authority and the Minister to know which parts of the WRP to assess when determining c</w:t>
      </w:r>
      <w:r w:rsidR="003D7BE9" w:rsidRPr="00515061">
        <w:rPr>
          <w:rFonts w:ascii="Times New Roman" w:hAnsi="Times New Roman" w:cs="Times New Roman"/>
          <w:sz w:val="24"/>
          <w:szCs w:val="24"/>
        </w:rPr>
        <w:t>onsistency with the Basin Plan.</w:t>
      </w:r>
    </w:p>
    <w:p w:rsidR="00EA17C5" w:rsidRPr="00515061" w:rsidRDefault="00EA17C5" w:rsidP="00511B9B">
      <w:pPr>
        <w:spacing w:after="0"/>
        <w:rPr>
          <w:rFonts w:ascii="Times New Roman" w:hAnsi="Times New Roman" w:cs="Times New Roman"/>
          <w:sz w:val="24"/>
          <w:szCs w:val="24"/>
        </w:rPr>
      </w:pPr>
    </w:p>
    <w:p w:rsidR="00700E98" w:rsidRPr="00515061" w:rsidRDefault="00B41AFA" w:rsidP="00511B9B">
      <w:pPr>
        <w:spacing w:after="0"/>
        <w:rPr>
          <w:rFonts w:ascii="Times New Roman" w:hAnsi="Times New Roman" w:cs="Times New Roman"/>
          <w:sz w:val="24"/>
          <w:szCs w:val="24"/>
        </w:rPr>
      </w:pPr>
      <w:r w:rsidRPr="00515061">
        <w:rPr>
          <w:rFonts w:ascii="Times New Roman" w:hAnsi="Times New Roman" w:cs="Times New Roman"/>
          <w:b/>
          <w:sz w:val="24"/>
          <w:szCs w:val="24"/>
        </w:rPr>
        <w:t xml:space="preserve">Item </w:t>
      </w:r>
      <w:r w:rsidR="004C1221">
        <w:rPr>
          <w:rFonts w:ascii="Times New Roman" w:hAnsi="Times New Roman" w:cs="Times New Roman"/>
          <w:b/>
          <w:sz w:val="24"/>
          <w:szCs w:val="24"/>
        </w:rPr>
        <w:t>40</w:t>
      </w:r>
      <w:r w:rsidRPr="00515061">
        <w:rPr>
          <w:rFonts w:ascii="Times New Roman" w:hAnsi="Times New Roman" w:cs="Times New Roman"/>
          <w:sz w:val="24"/>
          <w:szCs w:val="24"/>
        </w:rPr>
        <w:t xml:space="preserve"> of the Amendment Instrument amends paragraphs 10.04(4)(a) and (b) of the Basin Plan and adds a note in subsection 10.04(4) to clarify that information which meets several WRP requirements may be compiled into a single document and the list for </w:t>
      </w:r>
      <w:r w:rsidR="004319DD" w:rsidRPr="00515061">
        <w:rPr>
          <w:rFonts w:ascii="Times New Roman" w:hAnsi="Times New Roman" w:cs="Times New Roman"/>
          <w:sz w:val="24"/>
          <w:szCs w:val="24"/>
        </w:rPr>
        <w:t>sub</w:t>
      </w:r>
      <w:r w:rsidRPr="00515061">
        <w:rPr>
          <w:rFonts w:ascii="Times New Roman" w:hAnsi="Times New Roman" w:cs="Times New Roman"/>
          <w:sz w:val="24"/>
          <w:szCs w:val="24"/>
        </w:rPr>
        <w:t>section 10.04(4) of the Basin Plan may specify that a single document addres</w:t>
      </w:r>
      <w:r w:rsidR="00340E42">
        <w:rPr>
          <w:rFonts w:ascii="Times New Roman" w:hAnsi="Times New Roman" w:cs="Times New Roman"/>
          <w:sz w:val="24"/>
          <w:szCs w:val="24"/>
        </w:rPr>
        <w:t>ses a group of WRP requirements</w:t>
      </w:r>
      <w:r w:rsidRPr="00515061">
        <w:rPr>
          <w:rFonts w:ascii="Times New Roman" w:hAnsi="Times New Roman" w:cs="Times New Roman"/>
          <w:sz w:val="24"/>
          <w:szCs w:val="24"/>
        </w:rPr>
        <w:t>.</w:t>
      </w:r>
      <w:bookmarkStart w:id="44" w:name="_Toc466982439"/>
    </w:p>
    <w:p w:rsidR="00EA17C5" w:rsidRPr="00515061" w:rsidRDefault="00EA17C5" w:rsidP="00511B9B">
      <w:pPr>
        <w:spacing w:after="0"/>
        <w:rPr>
          <w:rFonts w:ascii="Times New Roman" w:hAnsi="Times New Roman" w:cs="Times New Roman"/>
          <w:bCs/>
          <w:sz w:val="24"/>
          <w:szCs w:val="24"/>
          <w:u w:val="single"/>
        </w:rPr>
      </w:pPr>
    </w:p>
    <w:p w:rsidR="00EA17C5" w:rsidRPr="00515061" w:rsidRDefault="00B41AFA"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Minor correction of note about WRP accreditation</w:t>
      </w:r>
      <w:bookmarkEnd w:id="44"/>
      <w:r w:rsidRPr="00515061">
        <w:rPr>
          <w:rFonts w:ascii="Times New Roman" w:hAnsi="Times New Roman" w:cs="Times New Roman"/>
          <w:bCs/>
          <w:sz w:val="24"/>
          <w:szCs w:val="24"/>
          <w:u w:val="single"/>
        </w:rPr>
        <w:t xml:space="preserve"> </w:t>
      </w:r>
    </w:p>
    <w:p w:rsidR="00EA17C5" w:rsidRPr="00515061" w:rsidRDefault="00EA17C5" w:rsidP="00511B9B">
      <w:pPr>
        <w:spacing w:after="0"/>
        <w:rPr>
          <w:rFonts w:ascii="Times New Roman" w:hAnsi="Times New Roman" w:cs="Times New Roman"/>
          <w:bCs/>
          <w:sz w:val="24"/>
          <w:szCs w:val="24"/>
          <w:u w:val="single"/>
        </w:rPr>
      </w:pPr>
    </w:p>
    <w:p w:rsidR="00700E98" w:rsidRPr="00515061" w:rsidRDefault="0069430C"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w:t>
      </w:r>
      <w:r w:rsidR="004C1221">
        <w:rPr>
          <w:rFonts w:ascii="Times New Roman" w:hAnsi="Times New Roman" w:cs="Times New Roman"/>
          <w:b/>
          <w:sz w:val="24"/>
          <w:szCs w:val="24"/>
        </w:rPr>
        <w:t>1</w:t>
      </w:r>
      <w:r w:rsidRPr="00515061">
        <w:rPr>
          <w:rFonts w:ascii="Times New Roman" w:hAnsi="Times New Roman" w:cs="Times New Roman"/>
          <w:sz w:val="24"/>
          <w:szCs w:val="24"/>
        </w:rPr>
        <w:t xml:space="preserve"> repeals and substitutes</w:t>
      </w:r>
      <w:r w:rsidR="00B41AFA" w:rsidRPr="00515061">
        <w:rPr>
          <w:rFonts w:ascii="Times New Roman" w:hAnsi="Times New Roman" w:cs="Times New Roman"/>
          <w:sz w:val="24"/>
          <w:szCs w:val="24"/>
        </w:rPr>
        <w:t xml:space="preserve"> the note </w:t>
      </w:r>
      <w:r w:rsidRPr="00515061">
        <w:rPr>
          <w:rFonts w:ascii="Times New Roman" w:hAnsi="Times New Roman" w:cs="Times New Roman"/>
          <w:sz w:val="24"/>
          <w:szCs w:val="24"/>
        </w:rPr>
        <w:t>below Division 2 – Take for consumptive use of Part 3 of Chapter 10 of the Basin Plan</w:t>
      </w:r>
      <w:r w:rsidR="00B41AFA" w:rsidRPr="00515061">
        <w:rPr>
          <w:rFonts w:ascii="Times New Roman" w:hAnsi="Times New Roman" w:cs="Times New Roman"/>
          <w:sz w:val="24"/>
          <w:szCs w:val="24"/>
        </w:rPr>
        <w:t>. The 2016 amendments to the Water Act removed the default 10-year period for accreditation</w:t>
      </w:r>
      <w:r w:rsidRPr="00515061">
        <w:rPr>
          <w:rFonts w:ascii="Times New Roman" w:hAnsi="Times New Roman" w:cs="Times New Roman"/>
          <w:sz w:val="24"/>
          <w:szCs w:val="24"/>
        </w:rPr>
        <w:t xml:space="preserve"> of WRPs</w:t>
      </w:r>
      <w:r w:rsidR="00B41AFA" w:rsidRPr="00515061">
        <w:rPr>
          <w:rFonts w:ascii="Times New Roman" w:hAnsi="Times New Roman" w:cs="Times New Roman"/>
          <w:sz w:val="24"/>
          <w:szCs w:val="24"/>
        </w:rPr>
        <w:t xml:space="preserve">. Section 64 of the Water Act now provides that accreditation is valid as long as the WRP has effect under the state water management law, unless there is an amendment to the Basin Plan that affects WRP accreditations. </w:t>
      </w:r>
      <w:r w:rsidR="00173375" w:rsidRPr="00515061">
        <w:rPr>
          <w:rFonts w:ascii="Times New Roman" w:hAnsi="Times New Roman" w:cs="Times New Roman"/>
          <w:b/>
          <w:sz w:val="24"/>
          <w:szCs w:val="24"/>
        </w:rPr>
        <w:t>Item 4</w:t>
      </w:r>
      <w:r w:rsidR="004C1221">
        <w:rPr>
          <w:rFonts w:ascii="Times New Roman" w:hAnsi="Times New Roman" w:cs="Times New Roman"/>
          <w:b/>
          <w:sz w:val="24"/>
          <w:szCs w:val="24"/>
        </w:rPr>
        <w:t>1</w:t>
      </w:r>
      <w:r w:rsidR="00B41AFA" w:rsidRPr="00515061">
        <w:rPr>
          <w:rFonts w:ascii="Times New Roman" w:hAnsi="Times New Roman" w:cs="Times New Roman"/>
          <w:sz w:val="24"/>
          <w:szCs w:val="24"/>
        </w:rPr>
        <w:t xml:space="preserve"> </w:t>
      </w:r>
      <w:r w:rsidR="00173375" w:rsidRPr="00515061">
        <w:rPr>
          <w:rFonts w:ascii="Times New Roman" w:hAnsi="Times New Roman" w:cs="Times New Roman"/>
          <w:sz w:val="24"/>
          <w:szCs w:val="24"/>
        </w:rPr>
        <w:t xml:space="preserve">amends </w:t>
      </w:r>
      <w:r w:rsidR="00B41AFA" w:rsidRPr="00515061">
        <w:rPr>
          <w:rFonts w:ascii="Times New Roman" w:hAnsi="Times New Roman" w:cs="Times New Roman"/>
          <w:sz w:val="24"/>
          <w:szCs w:val="24"/>
        </w:rPr>
        <w:t xml:space="preserve">the Basin Plan reference to the 10-year accreditation period so it is consistent with the Water Act. </w:t>
      </w:r>
    </w:p>
    <w:p w:rsidR="00EA17C5" w:rsidRPr="00515061" w:rsidRDefault="00EA17C5" w:rsidP="00511B9B">
      <w:pPr>
        <w:spacing w:after="0"/>
        <w:rPr>
          <w:rFonts w:ascii="Times New Roman" w:hAnsi="Times New Roman" w:cs="Times New Roman"/>
          <w:sz w:val="24"/>
          <w:szCs w:val="24"/>
        </w:rPr>
      </w:pPr>
    </w:p>
    <w:p w:rsidR="00700E98" w:rsidRPr="00515061" w:rsidRDefault="002E1A40" w:rsidP="00511B9B">
      <w:pPr>
        <w:pStyle w:val="ListParagraph"/>
        <w:numPr>
          <w:ilvl w:val="0"/>
          <w:numId w:val="21"/>
        </w:numPr>
        <w:spacing w:after="0"/>
        <w:rPr>
          <w:rFonts w:ascii="Times New Roman" w:hAnsi="Times New Roman" w:cs="Times New Roman"/>
          <w:b/>
          <w:sz w:val="24"/>
          <w:szCs w:val="24"/>
        </w:rPr>
      </w:pPr>
      <w:r w:rsidRPr="00515061">
        <w:rPr>
          <w:rFonts w:ascii="Times New Roman" w:hAnsi="Times New Roman" w:cs="Times New Roman"/>
          <w:b/>
          <w:sz w:val="24"/>
          <w:szCs w:val="24"/>
        </w:rPr>
        <w:t xml:space="preserve">Other minor amendments (item </w:t>
      </w:r>
      <w:r w:rsidR="004C1221">
        <w:rPr>
          <w:rFonts w:ascii="Times New Roman" w:hAnsi="Times New Roman" w:cs="Times New Roman"/>
          <w:b/>
          <w:sz w:val="24"/>
          <w:szCs w:val="24"/>
        </w:rPr>
        <w:t>50</w:t>
      </w:r>
      <w:r w:rsidR="00E36755" w:rsidRPr="00515061">
        <w:rPr>
          <w:rFonts w:ascii="Times New Roman" w:hAnsi="Times New Roman" w:cs="Times New Roman"/>
          <w:b/>
          <w:sz w:val="24"/>
          <w:szCs w:val="24"/>
        </w:rPr>
        <w:t>, 6</w:t>
      </w:r>
      <w:r w:rsidR="004C1221">
        <w:rPr>
          <w:rFonts w:ascii="Times New Roman" w:hAnsi="Times New Roman" w:cs="Times New Roman"/>
          <w:b/>
          <w:sz w:val="24"/>
          <w:szCs w:val="24"/>
        </w:rPr>
        <w:t>8</w:t>
      </w:r>
      <w:r w:rsidR="00E36755" w:rsidRPr="00515061">
        <w:rPr>
          <w:rFonts w:ascii="Times New Roman" w:hAnsi="Times New Roman" w:cs="Times New Roman"/>
          <w:b/>
          <w:sz w:val="24"/>
          <w:szCs w:val="24"/>
        </w:rPr>
        <w:t>-</w:t>
      </w:r>
      <w:r w:rsidR="004C1221">
        <w:rPr>
          <w:rFonts w:ascii="Times New Roman" w:hAnsi="Times New Roman" w:cs="Times New Roman"/>
          <w:b/>
          <w:sz w:val="24"/>
          <w:szCs w:val="24"/>
        </w:rPr>
        <w:t>70</w:t>
      </w:r>
      <w:r w:rsidR="00E36755" w:rsidRPr="00515061">
        <w:rPr>
          <w:rFonts w:ascii="Times New Roman" w:hAnsi="Times New Roman" w:cs="Times New Roman"/>
          <w:b/>
          <w:sz w:val="24"/>
          <w:szCs w:val="24"/>
        </w:rPr>
        <w:t xml:space="preserve">, </w:t>
      </w:r>
      <w:r w:rsidR="003E773B">
        <w:rPr>
          <w:rFonts w:ascii="Times New Roman" w:hAnsi="Times New Roman" w:cs="Times New Roman"/>
          <w:b/>
          <w:sz w:val="24"/>
          <w:szCs w:val="24"/>
        </w:rPr>
        <w:t xml:space="preserve">72, </w:t>
      </w:r>
      <w:r w:rsidR="007D7A0E" w:rsidRPr="00515061">
        <w:rPr>
          <w:rFonts w:ascii="Times New Roman" w:hAnsi="Times New Roman" w:cs="Times New Roman"/>
          <w:b/>
          <w:sz w:val="24"/>
          <w:szCs w:val="24"/>
        </w:rPr>
        <w:t>7</w:t>
      </w:r>
      <w:r w:rsidR="004C1221">
        <w:rPr>
          <w:rFonts w:ascii="Times New Roman" w:hAnsi="Times New Roman" w:cs="Times New Roman"/>
          <w:b/>
          <w:sz w:val="24"/>
          <w:szCs w:val="24"/>
        </w:rPr>
        <w:t>4</w:t>
      </w:r>
      <w:r w:rsidR="00E36755" w:rsidRPr="00515061">
        <w:rPr>
          <w:rFonts w:ascii="Times New Roman" w:hAnsi="Times New Roman" w:cs="Times New Roman"/>
          <w:b/>
          <w:sz w:val="24"/>
          <w:szCs w:val="24"/>
        </w:rPr>
        <w:t>-</w:t>
      </w:r>
      <w:r w:rsidR="004C1221">
        <w:rPr>
          <w:rFonts w:ascii="Times New Roman" w:hAnsi="Times New Roman" w:cs="Times New Roman"/>
          <w:b/>
          <w:sz w:val="24"/>
          <w:szCs w:val="24"/>
        </w:rPr>
        <w:t>90</w:t>
      </w:r>
      <w:r w:rsidRPr="00515061">
        <w:rPr>
          <w:rFonts w:ascii="Times New Roman" w:hAnsi="Times New Roman" w:cs="Times New Roman"/>
          <w:b/>
          <w:sz w:val="24"/>
          <w:szCs w:val="24"/>
        </w:rPr>
        <w:t>)</w:t>
      </w:r>
    </w:p>
    <w:p w:rsidR="00EA17C5" w:rsidRPr="00515061" w:rsidRDefault="00EA17C5" w:rsidP="00511B9B">
      <w:pPr>
        <w:spacing w:after="0"/>
        <w:rPr>
          <w:rFonts w:ascii="Times New Roman" w:hAnsi="Times New Roman" w:cs="Times New Roman"/>
          <w:b/>
          <w:sz w:val="24"/>
          <w:szCs w:val="24"/>
        </w:rPr>
      </w:pPr>
    </w:p>
    <w:p w:rsidR="00EA17C5" w:rsidRPr="00515061" w:rsidRDefault="002E1A40" w:rsidP="00511B9B">
      <w:pPr>
        <w:spacing w:after="0"/>
        <w:rPr>
          <w:rFonts w:ascii="Times New Roman" w:hAnsi="Times New Roman" w:cs="Times New Roman"/>
          <w:sz w:val="24"/>
          <w:szCs w:val="24"/>
        </w:rPr>
      </w:pPr>
      <w:r w:rsidRPr="00515061">
        <w:rPr>
          <w:rFonts w:ascii="Times New Roman" w:hAnsi="Times New Roman" w:cs="Times New Roman"/>
          <w:b/>
          <w:sz w:val="24"/>
          <w:szCs w:val="24"/>
        </w:rPr>
        <w:t xml:space="preserve">Item </w:t>
      </w:r>
      <w:r w:rsidR="004C1221">
        <w:rPr>
          <w:rFonts w:ascii="Times New Roman" w:hAnsi="Times New Roman" w:cs="Times New Roman"/>
          <w:b/>
          <w:sz w:val="24"/>
          <w:szCs w:val="24"/>
        </w:rPr>
        <w:t>50</w:t>
      </w:r>
      <w:r w:rsidRPr="00515061">
        <w:rPr>
          <w:rFonts w:ascii="Times New Roman" w:hAnsi="Times New Roman" w:cs="Times New Roman"/>
          <w:sz w:val="24"/>
          <w:szCs w:val="24"/>
        </w:rPr>
        <w:t xml:space="preserve"> corrects an error in the heading of section 10.44 by replacing the text in the heading ‘water access entitlements’ with ‘water access rights’. The text in the section refers to water access rights.</w:t>
      </w:r>
    </w:p>
    <w:p w:rsidR="00EA17C5" w:rsidRPr="00515061" w:rsidRDefault="00EA17C5" w:rsidP="00511B9B">
      <w:pPr>
        <w:spacing w:after="0"/>
        <w:rPr>
          <w:rFonts w:ascii="Times New Roman" w:hAnsi="Times New Roman" w:cs="Times New Roman"/>
          <w:sz w:val="24"/>
          <w:szCs w:val="24"/>
        </w:rPr>
      </w:pPr>
    </w:p>
    <w:p w:rsidR="00EA17C5" w:rsidRPr="00515061" w:rsidRDefault="00EA17C5" w:rsidP="00EA17C5">
      <w:pPr>
        <w:spacing w:after="0"/>
        <w:rPr>
          <w:rFonts w:ascii="Times New Roman" w:hAnsi="Times New Roman" w:cs="Times New Roman"/>
          <w:sz w:val="24"/>
          <w:szCs w:val="24"/>
        </w:rPr>
      </w:pPr>
      <w:r w:rsidRPr="00515061">
        <w:rPr>
          <w:rFonts w:ascii="Times New Roman" w:hAnsi="Times New Roman" w:cs="Times New Roman"/>
          <w:b/>
          <w:sz w:val="24"/>
          <w:szCs w:val="24"/>
        </w:rPr>
        <w:t>I</w:t>
      </w:r>
      <w:r w:rsidR="00E66587" w:rsidRPr="00515061">
        <w:rPr>
          <w:rFonts w:ascii="Times New Roman" w:hAnsi="Times New Roman" w:cs="Times New Roman"/>
          <w:b/>
          <w:sz w:val="24"/>
          <w:szCs w:val="24"/>
        </w:rPr>
        <w:t>tems 6</w:t>
      </w:r>
      <w:r w:rsidR="004C1221">
        <w:rPr>
          <w:rFonts w:ascii="Times New Roman" w:hAnsi="Times New Roman" w:cs="Times New Roman"/>
          <w:b/>
          <w:sz w:val="24"/>
          <w:szCs w:val="24"/>
        </w:rPr>
        <w:t>8</w:t>
      </w:r>
      <w:r w:rsidR="00E66587" w:rsidRPr="00515061">
        <w:rPr>
          <w:rFonts w:ascii="Times New Roman" w:hAnsi="Times New Roman" w:cs="Times New Roman"/>
          <w:b/>
          <w:sz w:val="24"/>
          <w:szCs w:val="24"/>
        </w:rPr>
        <w:t>-</w:t>
      </w:r>
      <w:r w:rsidR="004C1221">
        <w:rPr>
          <w:rFonts w:ascii="Times New Roman" w:hAnsi="Times New Roman" w:cs="Times New Roman"/>
          <w:b/>
          <w:sz w:val="24"/>
          <w:szCs w:val="24"/>
        </w:rPr>
        <w:t>70</w:t>
      </w:r>
      <w:r w:rsidR="00E66587" w:rsidRPr="00515061">
        <w:rPr>
          <w:rFonts w:ascii="Times New Roman" w:hAnsi="Times New Roman" w:cs="Times New Roman"/>
          <w:b/>
          <w:sz w:val="24"/>
          <w:szCs w:val="24"/>
        </w:rPr>
        <w:t xml:space="preserve">, </w:t>
      </w:r>
      <w:r w:rsidR="003E773B">
        <w:rPr>
          <w:rFonts w:ascii="Times New Roman" w:hAnsi="Times New Roman" w:cs="Times New Roman"/>
          <w:b/>
          <w:sz w:val="24"/>
          <w:szCs w:val="24"/>
        </w:rPr>
        <w:t xml:space="preserve">72, </w:t>
      </w:r>
      <w:r w:rsidR="00ED3B8E" w:rsidRPr="00515061">
        <w:rPr>
          <w:rFonts w:ascii="Times New Roman" w:hAnsi="Times New Roman" w:cs="Times New Roman"/>
          <w:b/>
          <w:sz w:val="24"/>
          <w:szCs w:val="24"/>
        </w:rPr>
        <w:t>7</w:t>
      </w:r>
      <w:r w:rsidR="004C1221">
        <w:rPr>
          <w:rFonts w:ascii="Times New Roman" w:hAnsi="Times New Roman" w:cs="Times New Roman"/>
          <w:b/>
          <w:sz w:val="24"/>
          <w:szCs w:val="24"/>
        </w:rPr>
        <w:t>4</w:t>
      </w:r>
      <w:r w:rsidR="00E66587" w:rsidRPr="00515061">
        <w:rPr>
          <w:rFonts w:ascii="Times New Roman" w:hAnsi="Times New Roman" w:cs="Times New Roman"/>
          <w:b/>
          <w:sz w:val="24"/>
          <w:szCs w:val="24"/>
        </w:rPr>
        <w:t>-</w:t>
      </w:r>
      <w:r w:rsidR="004C1221">
        <w:rPr>
          <w:rFonts w:ascii="Times New Roman" w:hAnsi="Times New Roman" w:cs="Times New Roman"/>
          <w:b/>
          <w:sz w:val="24"/>
          <w:szCs w:val="24"/>
        </w:rPr>
        <w:t>90</w:t>
      </w:r>
      <w:r w:rsidR="00E36755" w:rsidRPr="00515061">
        <w:rPr>
          <w:rFonts w:ascii="Times New Roman" w:hAnsi="Times New Roman" w:cs="Times New Roman"/>
          <w:sz w:val="24"/>
          <w:szCs w:val="24"/>
        </w:rPr>
        <w:t xml:space="preserve"> update the n</w:t>
      </w:r>
      <w:r w:rsidR="00ED3B8E" w:rsidRPr="00515061">
        <w:rPr>
          <w:rFonts w:ascii="Times New Roman" w:hAnsi="Times New Roman" w:cs="Times New Roman"/>
          <w:sz w:val="24"/>
          <w:szCs w:val="24"/>
        </w:rPr>
        <w:t xml:space="preserve">otes in Column 2 of Schedule 2 </w:t>
      </w:r>
      <w:r w:rsidR="00E36755" w:rsidRPr="00515061">
        <w:rPr>
          <w:rFonts w:ascii="Times New Roman" w:hAnsi="Times New Roman" w:cs="Times New Roman"/>
          <w:sz w:val="24"/>
          <w:szCs w:val="24"/>
        </w:rPr>
        <w:t xml:space="preserve">by deleting any redundant text relating to the </w:t>
      </w:r>
      <w:r w:rsidR="00ED3B8E" w:rsidRPr="00515061">
        <w:rPr>
          <w:rFonts w:ascii="Times New Roman" w:hAnsi="Times New Roman" w:cs="Times New Roman"/>
          <w:sz w:val="24"/>
          <w:szCs w:val="24"/>
        </w:rPr>
        <w:t xml:space="preserve">remaining </w:t>
      </w:r>
      <w:r w:rsidR="00E36755" w:rsidRPr="00515061">
        <w:rPr>
          <w:rFonts w:ascii="Times New Roman" w:hAnsi="Times New Roman" w:cs="Times New Roman"/>
          <w:sz w:val="24"/>
          <w:szCs w:val="24"/>
        </w:rPr>
        <w:t>reduction to be achieved in relation to surface water SDL res</w:t>
      </w:r>
      <w:r w:rsidR="00ED3B8E" w:rsidRPr="00515061">
        <w:rPr>
          <w:rFonts w:ascii="Times New Roman" w:hAnsi="Times New Roman" w:cs="Times New Roman"/>
          <w:sz w:val="24"/>
          <w:szCs w:val="24"/>
        </w:rPr>
        <w:t>ource units as of 30 June 2012.</w:t>
      </w:r>
    </w:p>
    <w:p w:rsidR="00EA17C5" w:rsidRPr="00515061" w:rsidRDefault="00EA17C5" w:rsidP="00EA17C5">
      <w:pPr>
        <w:spacing w:after="0"/>
        <w:rPr>
          <w:rFonts w:ascii="Times New Roman" w:hAnsi="Times New Roman" w:cs="Times New Roman"/>
          <w:sz w:val="24"/>
          <w:szCs w:val="24"/>
        </w:rPr>
      </w:pPr>
    </w:p>
    <w:p w:rsidR="00A776AD" w:rsidRPr="00515061" w:rsidRDefault="00A776AD" w:rsidP="00511B9B">
      <w:pPr>
        <w:pStyle w:val="Normal-em"/>
        <w:spacing w:after="0" w:line="240" w:lineRule="auto"/>
        <w:jc w:val="right"/>
        <w:rPr>
          <w:b/>
          <w:caps/>
          <w:szCs w:val="24"/>
          <w:u w:val="single"/>
        </w:rPr>
        <w:sectPr w:rsidR="00A776AD" w:rsidRPr="00515061" w:rsidSect="00290270">
          <w:pgSz w:w="11907" w:h="16840" w:code="9"/>
          <w:pgMar w:top="1418" w:right="1418" w:bottom="1418" w:left="1418" w:header="284" w:footer="318" w:gutter="0"/>
          <w:pgNumType w:start="1"/>
          <w:cols w:space="720"/>
          <w:titlePg/>
          <w:docGrid w:linePitch="360"/>
        </w:sectPr>
      </w:pPr>
    </w:p>
    <w:p w:rsidR="0000459A" w:rsidRPr="00515061" w:rsidRDefault="00EA17C5" w:rsidP="00511B9B">
      <w:pPr>
        <w:pStyle w:val="Normal-em"/>
        <w:spacing w:after="0" w:line="240" w:lineRule="auto"/>
        <w:jc w:val="right"/>
        <w:rPr>
          <w:b/>
          <w:caps/>
          <w:szCs w:val="24"/>
          <w:u w:val="single"/>
        </w:rPr>
      </w:pPr>
      <w:r w:rsidRPr="00515061">
        <w:rPr>
          <w:b/>
          <w:caps/>
          <w:szCs w:val="24"/>
          <w:u w:val="single"/>
        </w:rPr>
        <w:t>A</w:t>
      </w:r>
      <w:r w:rsidR="0000459A" w:rsidRPr="00515061">
        <w:rPr>
          <w:b/>
          <w:caps/>
          <w:szCs w:val="24"/>
          <w:u w:val="single"/>
        </w:rPr>
        <w:t>ttachment B</w:t>
      </w:r>
    </w:p>
    <w:p w:rsidR="0000459A" w:rsidRPr="00515061" w:rsidRDefault="0000459A" w:rsidP="00511B9B">
      <w:pPr>
        <w:spacing w:after="0" w:line="240" w:lineRule="auto"/>
        <w:jc w:val="center"/>
        <w:rPr>
          <w:rFonts w:ascii="Times New Roman" w:hAnsi="Times New Roman" w:cs="Times New Roman"/>
          <w:b/>
          <w:sz w:val="24"/>
          <w:szCs w:val="24"/>
        </w:rPr>
      </w:pPr>
    </w:p>
    <w:p w:rsidR="002B1DB3" w:rsidRPr="00515061" w:rsidRDefault="002B1DB3" w:rsidP="00511B9B">
      <w:pPr>
        <w:spacing w:after="0" w:line="240" w:lineRule="auto"/>
        <w:jc w:val="center"/>
        <w:rPr>
          <w:rFonts w:ascii="Times New Roman" w:hAnsi="Times New Roman" w:cs="Times New Roman"/>
          <w:b/>
          <w:sz w:val="24"/>
          <w:szCs w:val="24"/>
        </w:rPr>
      </w:pPr>
      <w:r w:rsidRPr="00515061">
        <w:rPr>
          <w:rFonts w:ascii="Times New Roman" w:hAnsi="Times New Roman" w:cs="Times New Roman"/>
          <w:b/>
          <w:sz w:val="24"/>
          <w:szCs w:val="24"/>
        </w:rPr>
        <w:t>Statement of Compatibility with Human Rights</w:t>
      </w:r>
    </w:p>
    <w:p w:rsidR="00A776AD" w:rsidRPr="00515061" w:rsidRDefault="00A776AD" w:rsidP="00511B9B">
      <w:pPr>
        <w:spacing w:after="0" w:line="240" w:lineRule="auto"/>
        <w:jc w:val="center"/>
        <w:rPr>
          <w:rFonts w:ascii="Times New Roman" w:hAnsi="Times New Roman" w:cs="Times New Roman"/>
          <w:b/>
          <w:sz w:val="24"/>
          <w:szCs w:val="24"/>
        </w:rPr>
      </w:pPr>
    </w:p>
    <w:p w:rsidR="00A776AD" w:rsidRPr="00515061" w:rsidRDefault="00525AB0" w:rsidP="00511B9B">
      <w:pPr>
        <w:shd w:val="clear" w:color="auto" w:fill="FFFFFF"/>
        <w:spacing w:after="0"/>
        <w:jc w:val="center"/>
        <w:rPr>
          <w:rFonts w:ascii="Times New Roman" w:eastAsia="Times New Roman" w:hAnsi="Times New Roman"/>
          <w:sz w:val="24"/>
          <w:szCs w:val="24"/>
          <w:lang w:eastAsia="en-AU"/>
        </w:rPr>
      </w:pPr>
      <w:r w:rsidRPr="00515061">
        <w:rPr>
          <w:rFonts w:ascii="Times New Roman" w:eastAsia="Times New Roman" w:hAnsi="Times New Roman"/>
          <w:sz w:val="24"/>
          <w:szCs w:val="24"/>
          <w:lang w:eastAsia="en-AU"/>
        </w:rPr>
        <w:t xml:space="preserve">Prepared in accordance with Part 3 of the </w:t>
      </w:r>
      <w:r w:rsidRPr="00515061">
        <w:rPr>
          <w:rFonts w:ascii="Times New Roman" w:eastAsia="Times New Roman" w:hAnsi="Times New Roman"/>
          <w:i/>
          <w:iCs/>
          <w:sz w:val="24"/>
          <w:szCs w:val="24"/>
          <w:lang w:eastAsia="en-AU"/>
        </w:rPr>
        <w:t xml:space="preserve">Human Rights (Parliamentary Scrutiny) Act 2011 </w:t>
      </w:r>
    </w:p>
    <w:p w:rsidR="00A776AD" w:rsidRPr="00515061" w:rsidRDefault="00A776AD" w:rsidP="00511B9B">
      <w:pPr>
        <w:shd w:val="clear" w:color="auto" w:fill="FFFFFF"/>
        <w:spacing w:after="0"/>
        <w:jc w:val="center"/>
        <w:rPr>
          <w:rFonts w:ascii="Times New Roman" w:eastAsia="Times New Roman" w:hAnsi="Times New Roman"/>
          <w:sz w:val="24"/>
          <w:szCs w:val="24"/>
          <w:lang w:eastAsia="en-AU"/>
        </w:rPr>
      </w:pPr>
    </w:p>
    <w:p w:rsidR="006E1FCD" w:rsidRPr="00852BDA" w:rsidRDefault="006E1FCD" w:rsidP="006E1FCD">
      <w:pPr>
        <w:spacing w:after="0" w:line="240" w:lineRule="auto"/>
        <w:jc w:val="center"/>
        <w:rPr>
          <w:rFonts w:ascii="Times New Roman" w:hAnsi="Times New Roman" w:cs="Times New Roman"/>
          <w:b/>
          <w:i/>
          <w:sz w:val="24"/>
          <w:szCs w:val="24"/>
        </w:rPr>
      </w:pPr>
      <w:r w:rsidRPr="00852BDA">
        <w:rPr>
          <w:rFonts w:ascii="Times New Roman" w:hAnsi="Times New Roman" w:cs="Times New Roman"/>
          <w:b/>
          <w:i/>
          <w:sz w:val="24"/>
          <w:szCs w:val="24"/>
        </w:rPr>
        <w:t>Basin Plan Amendment Instrument (No. 1) 2018</w:t>
      </w:r>
    </w:p>
    <w:p w:rsidR="006E1FCD" w:rsidRDefault="006E1FCD" w:rsidP="00511B9B">
      <w:pPr>
        <w:shd w:val="clear" w:color="auto" w:fill="FFFFFF"/>
        <w:spacing w:after="0"/>
        <w:jc w:val="center"/>
        <w:rPr>
          <w:rFonts w:ascii="Times New Roman" w:eastAsia="Times New Roman" w:hAnsi="Times New Roman"/>
          <w:b/>
          <w:bCs/>
          <w:i/>
          <w:sz w:val="24"/>
          <w:szCs w:val="24"/>
          <w:lang w:eastAsia="en-AU"/>
        </w:rPr>
      </w:pPr>
    </w:p>
    <w:p w:rsidR="00A776AD" w:rsidRPr="00515061" w:rsidRDefault="00A776AD" w:rsidP="00CA0F8B">
      <w:pPr>
        <w:shd w:val="clear" w:color="auto" w:fill="FFFFFF"/>
        <w:spacing w:after="0"/>
        <w:rPr>
          <w:rFonts w:ascii="Times New Roman" w:eastAsia="Times New Roman" w:hAnsi="Times New Roman"/>
          <w:b/>
          <w:bCs/>
          <w:i/>
          <w:sz w:val="24"/>
          <w:szCs w:val="24"/>
          <w:lang w:eastAsia="en-AU"/>
        </w:rPr>
      </w:pPr>
    </w:p>
    <w:p w:rsidR="00AE3F7A" w:rsidRPr="00515061" w:rsidRDefault="00525AB0" w:rsidP="00511B9B">
      <w:pPr>
        <w:shd w:val="clear" w:color="auto" w:fill="FFFFFF"/>
        <w:spacing w:after="0"/>
        <w:jc w:val="center"/>
        <w:rPr>
          <w:rFonts w:ascii="Times New Roman" w:eastAsia="Times New Roman" w:hAnsi="Times New Roman"/>
          <w:sz w:val="24"/>
          <w:szCs w:val="24"/>
          <w:lang w:eastAsia="en-AU"/>
        </w:rPr>
      </w:pPr>
      <w:r w:rsidRPr="00CA0F8B">
        <w:rPr>
          <w:rFonts w:ascii="Times New Roman" w:eastAsia="Times New Roman" w:hAnsi="Times New Roman"/>
          <w:i/>
          <w:sz w:val="24"/>
          <w:szCs w:val="24"/>
          <w:lang w:eastAsia="en-AU"/>
        </w:rPr>
        <w:t>Th</w:t>
      </w:r>
      <w:r w:rsidR="00A116C5" w:rsidRPr="00CA0F8B">
        <w:rPr>
          <w:rFonts w:ascii="Times New Roman" w:eastAsia="Times New Roman" w:hAnsi="Times New Roman"/>
          <w:i/>
          <w:sz w:val="24"/>
          <w:szCs w:val="24"/>
          <w:lang w:eastAsia="en-AU"/>
        </w:rPr>
        <w:t>e</w:t>
      </w:r>
      <w:r w:rsidR="00A116C5">
        <w:rPr>
          <w:rFonts w:ascii="Times New Roman" w:eastAsia="Times New Roman" w:hAnsi="Times New Roman"/>
          <w:sz w:val="24"/>
          <w:szCs w:val="24"/>
          <w:lang w:eastAsia="en-AU"/>
        </w:rPr>
        <w:t xml:space="preserve"> </w:t>
      </w:r>
      <w:r w:rsidR="00A116C5">
        <w:rPr>
          <w:rFonts w:ascii="Times New Roman" w:eastAsia="Times New Roman" w:hAnsi="Times New Roman"/>
          <w:i/>
          <w:sz w:val="24"/>
          <w:szCs w:val="24"/>
          <w:lang w:eastAsia="en-AU"/>
        </w:rPr>
        <w:t>Basin Plan Amendment Instrument 2018 (No.1</w:t>
      </w:r>
      <w:r w:rsidR="00A116C5" w:rsidRPr="00CA0F8B">
        <w:rPr>
          <w:rFonts w:ascii="Times New Roman" w:eastAsia="Times New Roman" w:hAnsi="Times New Roman"/>
          <w:sz w:val="24"/>
          <w:szCs w:val="24"/>
          <w:lang w:eastAsia="en-AU"/>
        </w:rPr>
        <w:t>)</w:t>
      </w:r>
      <w:r w:rsidR="00A116C5">
        <w:rPr>
          <w:rFonts w:ascii="Times New Roman" w:eastAsia="Times New Roman" w:hAnsi="Times New Roman"/>
          <w:sz w:val="24"/>
          <w:szCs w:val="24"/>
          <w:lang w:eastAsia="en-AU"/>
        </w:rPr>
        <w:t xml:space="preserve"> (the</w:t>
      </w:r>
      <w:r w:rsidRPr="00515061">
        <w:rPr>
          <w:rFonts w:ascii="Times New Roman" w:eastAsia="Times New Roman" w:hAnsi="Times New Roman"/>
          <w:sz w:val="24"/>
          <w:szCs w:val="24"/>
          <w:lang w:eastAsia="en-AU"/>
        </w:rPr>
        <w:t xml:space="preserve"> </w:t>
      </w:r>
      <w:r w:rsidR="00D65964" w:rsidRPr="00515061">
        <w:rPr>
          <w:rFonts w:ascii="Times New Roman" w:eastAsia="Times New Roman" w:hAnsi="Times New Roman"/>
          <w:sz w:val="24"/>
          <w:szCs w:val="24"/>
          <w:lang w:eastAsia="en-AU"/>
        </w:rPr>
        <w:t>A</w:t>
      </w:r>
      <w:r w:rsidR="008A6BB8" w:rsidRPr="00515061">
        <w:rPr>
          <w:rFonts w:ascii="Times New Roman" w:eastAsia="Times New Roman" w:hAnsi="Times New Roman"/>
          <w:sz w:val="24"/>
          <w:szCs w:val="24"/>
          <w:lang w:eastAsia="en-AU"/>
        </w:rPr>
        <w:t>mendment I</w:t>
      </w:r>
      <w:r w:rsidRPr="00515061">
        <w:rPr>
          <w:rFonts w:ascii="Times New Roman" w:eastAsia="Times New Roman" w:hAnsi="Times New Roman"/>
          <w:sz w:val="24"/>
          <w:szCs w:val="24"/>
          <w:lang w:eastAsia="en-AU"/>
        </w:rPr>
        <w:t>nstrument</w:t>
      </w:r>
      <w:r w:rsidR="00A116C5">
        <w:rPr>
          <w:rFonts w:ascii="Times New Roman" w:eastAsia="Times New Roman" w:hAnsi="Times New Roman"/>
          <w:sz w:val="24"/>
          <w:szCs w:val="24"/>
          <w:lang w:eastAsia="en-AU"/>
        </w:rPr>
        <w:t>)</w:t>
      </w:r>
      <w:r w:rsidRPr="00515061">
        <w:rPr>
          <w:rFonts w:ascii="Times New Roman" w:eastAsia="Times New Roman" w:hAnsi="Times New Roman"/>
          <w:sz w:val="24"/>
          <w:szCs w:val="24"/>
          <w:lang w:eastAsia="en-AU"/>
        </w:rPr>
        <w:t xml:space="preserve"> is compatible with the human rights and freedoms recognised or declared in the international instruments listed in section 3 of the </w:t>
      </w:r>
      <w:r w:rsidRPr="00515061">
        <w:rPr>
          <w:rFonts w:ascii="Times New Roman" w:eastAsia="Times New Roman" w:hAnsi="Times New Roman"/>
          <w:i/>
          <w:iCs/>
          <w:sz w:val="24"/>
          <w:szCs w:val="24"/>
          <w:lang w:eastAsia="en-AU"/>
        </w:rPr>
        <w:t>Human Rights (Parliamentary Scrutiny) Act 2011</w:t>
      </w:r>
      <w:r w:rsidRPr="00515061">
        <w:rPr>
          <w:rFonts w:ascii="Times New Roman" w:eastAsia="Times New Roman" w:hAnsi="Times New Roman"/>
          <w:sz w:val="24"/>
          <w:szCs w:val="24"/>
          <w:lang w:eastAsia="en-AU"/>
        </w:rPr>
        <w:t>.</w:t>
      </w:r>
      <w:r w:rsidR="006E1FCD">
        <w:rPr>
          <w:rFonts w:ascii="Times New Roman" w:eastAsia="Times New Roman" w:hAnsi="Times New Roman"/>
          <w:sz w:val="24"/>
          <w:szCs w:val="24"/>
          <w:lang w:eastAsia="en-AU"/>
        </w:rPr>
        <w:t xml:space="preserve"> </w:t>
      </w:r>
    </w:p>
    <w:p w:rsidR="00A776AD" w:rsidRPr="00515061" w:rsidRDefault="00A776AD" w:rsidP="00511B9B">
      <w:pPr>
        <w:shd w:val="clear" w:color="auto" w:fill="FFFFFF"/>
        <w:spacing w:after="0"/>
        <w:jc w:val="center"/>
        <w:rPr>
          <w:rFonts w:ascii="Times New Roman" w:eastAsia="Times New Roman" w:hAnsi="Times New Roman"/>
          <w:sz w:val="24"/>
          <w:szCs w:val="24"/>
          <w:lang w:eastAsia="en-AU"/>
        </w:rPr>
      </w:pPr>
    </w:p>
    <w:p w:rsidR="00A776AD" w:rsidRPr="00515061" w:rsidRDefault="00525AB0" w:rsidP="00511B9B">
      <w:pPr>
        <w:shd w:val="clear" w:color="auto" w:fill="FFFFFF"/>
        <w:spacing w:after="0"/>
        <w:rPr>
          <w:rFonts w:ascii="Times New Roman" w:eastAsia="Times New Roman" w:hAnsi="Times New Roman"/>
          <w:b/>
          <w:sz w:val="24"/>
          <w:szCs w:val="24"/>
          <w:lang w:eastAsia="en-AU"/>
        </w:rPr>
      </w:pPr>
      <w:r w:rsidRPr="00515061">
        <w:rPr>
          <w:rFonts w:ascii="Times New Roman" w:eastAsia="Times New Roman" w:hAnsi="Times New Roman"/>
          <w:b/>
          <w:sz w:val="24"/>
          <w:szCs w:val="24"/>
          <w:lang w:eastAsia="en-AU"/>
        </w:rPr>
        <w:t xml:space="preserve">Overview of the Legislative Instrument </w:t>
      </w:r>
    </w:p>
    <w:p w:rsidR="00A776AD" w:rsidRPr="00515061" w:rsidRDefault="00A776AD" w:rsidP="00511B9B">
      <w:pPr>
        <w:shd w:val="clear" w:color="auto" w:fill="FFFFFF"/>
        <w:spacing w:after="0"/>
        <w:rPr>
          <w:rFonts w:ascii="Times New Roman" w:eastAsia="Times New Roman" w:hAnsi="Times New Roman"/>
          <w:b/>
          <w:sz w:val="24"/>
          <w:szCs w:val="24"/>
          <w:lang w:eastAsia="en-AU"/>
        </w:rPr>
      </w:pPr>
    </w:p>
    <w:p w:rsidR="00525AB0" w:rsidRPr="00515061" w:rsidRDefault="00525AB0" w:rsidP="00511B9B">
      <w:pPr>
        <w:shd w:val="clear" w:color="auto" w:fill="FFFFFF"/>
        <w:spacing w:after="0"/>
        <w:rPr>
          <w:rFonts w:ascii="Times New Roman" w:hAnsi="Times New Roman"/>
          <w:sz w:val="24"/>
          <w:szCs w:val="24"/>
        </w:rPr>
      </w:pPr>
      <w:r w:rsidRPr="00515061">
        <w:rPr>
          <w:rFonts w:ascii="Times New Roman" w:hAnsi="Times New Roman"/>
          <w:sz w:val="24"/>
          <w:szCs w:val="24"/>
        </w:rPr>
        <w:t xml:space="preserve">The </w:t>
      </w:r>
      <w:r w:rsidRPr="00515061">
        <w:rPr>
          <w:rFonts w:ascii="Times New Roman" w:hAnsi="Times New Roman"/>
          <w:i/>
          <w:sz w:val="24"/>
          <w:szCs w:val="24"/>
        </w:rPr>
        <w:t xml:space="preserve">Basin Plan 2012 </w:t>
      </w:r>
      <w:r w:rsidRPr="00515061">
        <w:rPr>
          <w:rFonts w:ascii="Times New Roman" w:hAnsi="Times New Roman"/>
          <w:sz w:val="24"/>
          <w:szCs w:val="24"/>
        </w:rPr>
        <w:t>(the Basin Plan) provides for co-ordinated and sustainable management of water resources in the Murray-Darling Basin. It sets new long-term average sustainable diversion limits to provide for a healthy river system</w:t>
      </w:r>
      <w:r w:rsidR="004319DD" w:rsidRPr="00515061">
        <w:rPr>
          <w:rFonts w:ascii="Times New Roman" w:hAnsi="Times New Roman"/>
          <w:sz w:val="24"/>
          <w:szCs w:val="24"/>
        </w:rPr>
        <w:t>,</w:t>
      </w:r>
      <w:r w:rsidRPr="00515061">
        <w:rPr>
          <w:rFonts w:ascii="Times New Roman" w:hAnsi="Times New Roman"/>
          <w:sz w:val="24"/>
          <w:szCs w:val="24"/>
        </w:rPr>
        <w:t xml:space="preserve"> while ensuring that the communities and industries that rely on Basin water resources remain productive into the future. </w:t>
      </w:r>
    </w:p>
    <w:p w:rsidR="00A776AD" w:rsidRPr="00515061" w:rsidRDefault="00A776AD" w:rsidP="00511B9B">
      <w:pPr>
        <w:shd w:val="clear" w:color="auto" w:fill="FFFFFF"/>
        <w:spacing w:after="0"/>
        <w:rPr>
          <w:rFonts w:ascii="Times New Roman" w:eastAsia="Times New Roman" w:hAnsi="Times New Roman"/>
          <w:sz w:val="24"/>
          <w:szCs w:val="24"/>
          <w:lang w:eastAsia="en-AU"/>
        </w:rPr>
      </w:pPr>
    </w:p>
    <w:p w:rsidR="00525AB0" w:rsidRPr="00515061" w:rsidRDefault="00525AB0" w:rsidP="00511B9B">
      <w:pPr>
        <w:shd w:val="clear" w:color="auto" w:fill="FFFFFF"/>
        <w:spacing w:after="0"/>
        <w:rPr>
          <w:rFonts w:ascii="Times New Roman" w:hAnsi="Times New Roman" w:cs="Times New Roman"/>
          <w:sz w:val="24"/>
        </w:rPr>
      </w:pPr>
      <w:r w:rsidRPr="00515061">
        <w:rPr>
          <w:rFonts w:ascii="Times New Roman" w:hAnsi="Times New Roman"/>
          <w:sz w:val="24"/>
          <w:szCs w:val="24"/>
        </w:rPr>
        <w:t>The changes to the Basin Plan</w:t>
      </w:r>
      <w:r w:rsidRPr="00515061">
        <w:rPr>
          <w:rFonts w:ascii="Times New Roman" w:hAnsi="Times New Roman"/>
          <w:i/>
          <w:sz w:val="24"/>
          <w:szCs w:val="24"/>
        </w:rPr>
        <w:t xml:space="preserve"> </w:t>
      </w:r>
      <w:r w:rsidRPr="00515061">
        <w:rPr>
          <w:rFonts w:ascii="Times New Roman" w:hAnsi="Times New Roman"/>
          <w:sz w:val="24"/>
          <w:szCs w:val="24"/>
        </w:rPr>
        <w:t xml:space="preserve">made by this </w:t>
      </w:r>
      <w:r w:rsidR="008A6BB8" w:rsidRPr="00515061">
        <w:rPr>
          <w:rFonts w:ascii="Times New Roman" w:hAnsi="Times New Roman"/>
          <w:sz w:val="24"/>
          <w:szCs w:val="24"/>
        </w:rPr>
        <w:t xml:space="preserve">Amendment Instrument </w:t>
      </w:r>
      <w:r w:rsidR="00EF389C" w:rsidRPr="00515061">
        <w:rPr>
          <w:rFonts w:ascii="Times New Roman" w:hAnsi="Times New Roman"/>
          <w:sz w:val="24"/>
          <w:szCs w:val="24"/>
        </w:rPr>
        <w:t>a</w:t>
      </w:r>
      <w:r w:rsidRPr="00515061">
        <w:rPr>
          <w:rFonts w:ascii="Times New Roman" w:hAnsi="Times New Roman"/>
          <w:sz w:val="24"/>
          <w:szCs w:val="24"/>
        </w:rPr>
        <w:t>rise from several reviews: the Northern Basin Review of sustainable diversion limits</w:t>
      </w:r>
      <w:r w:rsidR="008A6BB8" w:rsidRPr="00515061">
        <w:rPr>
          <w:rFonts w:ascii="Times New Roman" w:hAnsi="Times New Roman"/>
          <w:sz w:val="24"/>
          <w:szCs w:val="24"/>
        </w:rPr>
        <w:t xml:space="preserve"> (SDLs)</w:t>
      </w:r>
      <w:r w:rsidRPr="00515061">
        <w:rPr>
          <w:rFonts w:ascii="Times New Roman" w:hAnsi="Times New Roman"/>
          <w:sz w:val="24"/>
          <w:szCs w:val="24"/>
        </w:rPr>
        <w:t xml:space="preserve">; a review of sustainable diversion limits for three groundwater areas; and the Australian Government’s response to the independent review of the </w:t>
      </w:r>
      <w:r w:rsidRPr="00515061">
        <w:rPr>
          <w:rFonts w:ascii="Times New Roman" w:hAnsi="Times New Roman"/>
          <w:i/>
          <w:sz w:val="24"/>
          <w:szCs w:val="24"/>
        </w:rPr>
        <w:t>Water Act 2007</w:t>
      </w:r>
      <w:r w:rsidRPr="00515061">
        <w:rPr>
          <w:rFonts w:ascii="Times New Roman" w:hAnsi="Times New Roman"/>
          <w:sz w:val="24"/>
          <w:szCs w:val="24"/>
        </w:rPr>
        <w:t xml:space="preserve"> (the Water Act).</w:t>
      </w:r>
      <w:r w:rsidR="008A6BB8" w:rsidRPr="00515061">
        <w:rPr>
          <w:rFonts w:ascii="Times New Roman" w:hAnsi="Times New Roman" w:cs="Times New Roman"/>
          <w:sz w:val="24"/>
        </w:rPr>
        <w:t xml:space="preserve"> </w:t>
      </w:r>
    </w:p>
    <w:p w:rsidR="00A776AD" w:rsidRPr="00515061" w:rsidRDefault="00A776AD" w:rsidP="00511B9B">
      <w:pPr>
        <w:shd w:val="clear" w:color="auto" w:fill="FFFFFF"/>
        <w:spacing w:after="0"/>
        <w:rPr>
          <w:rFonts w:ascii="Times New Roman" w:hAnsi="Times New Roman"/>
          <w:sz w:val="24"/>
          <w:szCs w:val="24"/>
        </w:rPr>
      </w:pPr>
    </w:p>
    <w:p w:rsidR="00525AB0" w:rsidRPr="00515061" w:rsidRDefault="00525AB0" w:rsidP="00511B9B">
      <w:pPr>
        <w:spacing w:after="0"/>
        <w:textAlignment w:val="baseline"/>
        <w:rPr>
          <w:rFonts w:ascii="Times New Roman" w:eastAsia="Times New Roman" w:hAnsi="Times New Roman"/>
          <w:sz w:val="24"/>
          <w:szCs w:val="24"/>
          <w:lang w:eastAsia="en-AU"/>
        </w:rPr>
      </w:pPr>
      <w:r w:rsidRPr="00515061">
        <w:rPr>
          <w:rFonts w:ascii="Times New Roman" w:hAnsi="Times New Roman"/>
          <w:sz w:val="24"/>
          <w:szCs w:val="24"/>
        </w:rPr>
        <w:t xml:space="preserve">The </w:t>
      </w:r>
      <w:r w:rsidR="008A6BB8" w:rsidRPr="00515061">
        <w:rPr>
          <w:rFonts w:ascii="Times New Roman" w:hAnsi="Times New Roman"/>
          <w:sz w:val="24"/>
          <w:szCs w:val="24"/>
        </w:rPr>
        <w:t>Amendment I</w:t>
      </w:r>
      <w:r w:rsidRPr="00515061">
        <w:rPr>
          <w:rFonts w:ascii="Times New Roman" w:hAnsi="Times New Roman"/>
          <w:sz w:val="24"/>
          <w:szCs w:val="24"/>
        </w:rPr>
        <w:t xml:space="preserve">nstrument </w:t>
      </w:r>
      <w:r w:rsidR="00BC5347" w:rsidRPr="00515061">
        <w:rPr>
          <w:rFonts w:ascii="Times New Roman" w:hAnsi="Times New Roman"/>
          <w:sz w:val="24"/>
          <w:szCs w:val="24"/>
        </w:rPr>
        <w:t>increases net SDLs in the northern Basin by 70</w:t>
      </w:r>
      <w:r w:rsidRPr="00515061">
        <w:rPr>
          <w:rFonts w:ascii="Times New Roman" w:hAnsi="Times New Roman"/>
          <w:sz w:val="24"/>
          <w:szCs w:val="24"/>
        </w:rPr>
        <w:t xml:space="preserve"> gigalitres (GL). </w:t>
      </w:r>
      <w:r w:rsidRPr="00515061">
        <w:rPr>
          <w:rFonts w:ascii="Times New Roman" w:eastAsia="Times New Roman" w:hAnsi="Times New Roman"/>
          <w:sz w:val="24"/>
          <w:szCs w:val="24"/>
          <w:lang w:eastAsia="en-AU"/>
        </w:rPr>
        <w:t>Th</w:t>
      </w:r>
      <w:r w:rsidR="00BC5347" w:rsidRPr="00515061">
        <w:rPr>
          <w:rFonts w:ascii="Times New Roman" w:eastAsia="Times New Roman" w:hAnsi="Times New Roman"/>
          <w:sz w:val="24"/>
          <w:szCs w:val="24"/>
          <w:lang w:eastAsia="en-AU"/>
        </w:rPr>
        <w:t>e</w:t>
      </w:r>
      <w:r w:rsidRPr="00515061">
        <w:rPr>
          <w:rFonts w:ascii="Times New Roman" w:eastAsia="Times New Roman" w:hAnsi="Times New Roman"/>
          <w:sz w:val="24"/>
          <w:szCs w:val="24"/>
          <w:lang w:eastAsia="en-AU"/>
        </w:rPr>
        <w:t xml:space="preserve"> reduction </w:t>
      </w:r>
      <w:r w:rsidR="00BC5347" w:rsidRPr="00515061">
        <w:rPr>
          <w:rFonts w:ascii="Times New Roman" w:eastAsia="Times New Roman" w:hAnsi="Times New Roman"/>
          <w:sz w:val="24"/>
          <w:szCs w:val="24"/>
          <w:lang w:eastAsia="en-AU"/>
        </w:rPr>
        <w:t xml:space="preserve">in water recovery </w:t>
      </w:r>
      <w:r w:rsidRPr="00515061">
        <w:rPr>
          <w:rFonts w:ascii="Times New Roman" w:eastAsia="Times New Roman" w:hAnsi="Times New Roman"/>
          <w:sz w:val="24"/>
          <w:szCs w:val="24"/>
          <w:lang w:eastAsia="en-AU"/>
        </w:rPr>
        <w:t xml:space="preserve">will minimise socio-economic impacts within </w:t>
      </w:r>
      <w:r w:rsidR="008A6BB8" w:rsidRPr="00515061">
        <w:rPr>
          <w:rFonts w:ascii="Times New Roman" w:eastAsia="Times New Roman" w:hAnsi="Times New Roman"/>
          <w:sz w:val="24"/>
          <w:szCs w:val="24"/>
          <w:lang w:eastAsia="en-AU"/>
        </w:rPr>
        <w:t>n</w:t>
      </w:r>
      <w:r w:rsidRPr="00515061">
        <w:rPr>
          <w:rFonts w:ascii="Times New Roman" w:eastAsia="Times New Roman" w:hAnsi="Times New Roman"/>
          <w:sz w:val="24"/>
          <w:szCs w:val="24"/>
          <w:lang w:eastAsia="en-AU"/>
        </w:rPr>
        <w:t xml:space="preserve">orthern Basin communities and deliver almost equivalent environmental outcomes by taking a more targeted approach to water recovery. </w:t>
      </w:r>
    </w:p>
    <w:p w:rsidR="00A776AD" w:rsidRPr="00515061" w:rsidRDefault="00A776AD" w:rsidP="00511B9B">
      <w:pPr>
        <w:spacing w:after="0"/>
        <w:textAlignment w:val="baseline"/>
        <w:rPr>
          <w:rFonts w:ascii="Times New Roman" w:eastAsia="Times New Roman" w:hAnsi="Times New Roman"/>
          <w:sz w:val="24"/>
          <w:szCs w:val="24"/>
          <w:lang w:eastAsia="en-AU"/>
        </w:rPr>
      </w:pPr>
    </w:p>
    <w:p w:rsidR="00525AB0" w:rsidRPr="00515061" w:rsidRDefault="00525AB0" w:rsidP="00511B9B">
      <w:pPr>
        <w:spacing w:after="0"/>
        <w:textAlignment w:val="baseline"/>
        <w:rPr>
          <w:rFonts w:ascii="Times New Roman" w:eastAsia="Times New Roman" w:hAnsi="Times New Roman"/>
          <w:sz w:val="24"/>
          <w:szCs w:val="24"/>
          <w:lang w:eastAsia="en-AU"/>
        </w:rPr>
      </w:pPr>
      <w:r w:rsidRPr="00515061">
        <w:rPr>
          <w:rFonts w:ascii="Times New Roman" w:hAnsi="Times New Roman"/>
          <w:sz w:val="24"/>
          <w:szCs w:val="24"/>
        </w:rPr>
        <w:t xml:space="preserve">The </w:t>
      </w:r>
      <w:r w:rsidR="008A6BB8" w:rsidRPr="00515061">
        <w:rPr>
          <w:rFonts w:ascii="Times New Roman" w:hAnsi="Times New Roman"/>
          <w:sz w:val="24"/>
          <w:szCs w:val="24"/>
        </w:rPr>
        <w:t>Amendment I</w:t>
      </w:r>
      <w:r w:rsidRPr="00515061">
        <w:rPr>
          <w:rFonts w:ascii="Times New Roman" w:hAnsi="Times New Roman"/>
          <w:sz w:val="24"/>
          <w:szCs w:val="24"/>
        </w:rPr>
        <w:t xml:space="preserve">nstrument increases the </w:t>
      </w:r>
      <w:r w:rsidR="00BC5347" w:rsidRPr="00515061">
        <w:rPr>
          <w:rFonts w:ascii="Times New Roman" w:hAnsi="Times New Roman"/>
          <w:sz w:val="24"/>
          <w:szCs w:val="24"/>
        </w:rPr>
        <w:t xml:space="preserve">SDL </w:t>
      </w:r>
      <w:r w:rsidRPr="00515061">
        <w:rPr>
          <w:rFonts w:ascii="Times New Roman" w:hAnsi="Times New Roman"/>
          <w:sz w:val="24"/>
          <w:szCs w:val="24"/>
        </w:rPr>
        <w:t>for the extraction of the Basin’s groundwater from</w:t>
      </w:r>
      <w:r w:rsidRPr="00515061">
        <w:rPr>
          <w:rFonts w:ascii="Times New Roman" w:eastAsia="Times New Roman" w:hAnsi="Times New Roman"/>
          <w:sz w:val="24"/>
          <w:szCs w:val="24"/>
          <w:lang w:eastAsia="en-AU"/>
        </w:rPr>
        <w:t xml:space="preserve"> 3,334 GL per year to 3,494 GL per year. The increases in </w:t>
      </w:r>
      <w:r w:rsidR="00AF7F83" w:rsidRPr="00515061">
        <w:rPr>
          <w:rFonts w:ascii="Times New Roman" w:eastAsia="Times New Roman" w:hAnsi="Times New Roman"/>
          <w:sz w:val="24"/>
          <w:szCs w:val="24"/>
          <w:lang w:eastAsia="en-AU"/>
        </w:rPr>
        <w:t xml:space="preserve">groundwater </w:t>
      </w:r>
      <w:r w:rsidRPr="00515061">
        <w:rPr>
          <w:rFonts w:ascii="Times New Roman" w:eastAsia="Times New Roman" w:hAnsi="Times New Roman"/>
          <w:sz w:val="24"/>
          <w:szCs w:val="24"/>
          <w:lang w:eastAsia="en-AU"/>
        </w:rPr>
        <w:t>extraction limits will have minimal impact on the environment</w:t>
      </w:r>
      <w:r w:rsidR="00AF7F83" w:rsidRPr="00515061">
        <w:rPr>
          <w:rFonts w:ascii="Times New Roman" w:eastAsia="Times New Roman" w:hAnsi="Times New Roman"/>
          <w:sz w:val="24"/>
          <w:szCs w:val="24"/>
          <w:lang w:eastAsia="en-AU"/>
        </w:rPr>
        <w:t xml:space="preserve"> due to suitable management actions in place to manage the potential impacts of increased groundwater take</w:t>
      </w:r>
      <w:r w:rsidRPr="00515061">
        <w:rPr>
          <w:rFonts w:ascii="Times New Roman" w:eastAsia="Times New Roman" w:hAnsi="Times New Roman"/>
          <w:sz w:val="24"/>
          <w:szCs w:val="24"/>
          <w:lang w:eastAsia="en-AU"/>
        </w:rPr>
        <w:t>.</w:t>
      </w:r>
    </w:p>
    <w:p w:rsidR="00A776AD" w:rsidRPr="00515061" w:rsidRDefault="00A776AD" w:rsidP="00511B9B">
      <w:pPr>
        <w:spacing w:after="0"/>
        <w:textAlignment w:val="baseline"/>
        <w:rPr>
          <w:rFonts w:ascii="Times New Roman" w:eastAsia="Times New Roman" w:hAnsi="Times New Roman"/>
          <w:sz w:val="24"/>
          <w:szCs w:val="24"/>
          <w:lang w:eastAsia="en-AU"/>
        </w:rPr>
      </w:pPr>
    </w:p>
    <w:p w:rsidR="00A776AD" w:rsidRPr="00515061" w:rsidRDefault="00525AB0" w:rsidP="00511B9B">
      <w:pPr>
        <w:shd w:val="clear" w:color="auto" w:fill="FFFFFF"/>
        <w:spacing w:after="0"/>
        <w:rPr>
          <w:rFonts w:ascii="Times New Roman" w:hAnsi="Times New Roman"/>
          <w:sz w:val="24"/>
          <w:szCs w:val="24"/>
        </w:rPr>
      </w:pPr>
      <w:r w:rsidRPr="00515061">
        <w:rPr>
          <w:rFonts w:ascii="Times New Roman" w:hAnsi="Times New Roman"/>
          <w:sz w:val="24"/>
          <w:szCs w:val="24"/>
        </w:rPr>
        <w:t xml:space="preserve">A number of other technical amendments aim to ensure the effective operation of the Basin Plan. These include better alignment of water resource plan areas with state water planning boundaries; </w:t>
      </w:r>
      <w:r w:rsidR="008A6BB8" w:rsidRPr="00515061">
        <w:rPr>
          <w:rFonts w:ascii="Times New Roman" w:hAnsi="Times New Roman"/>
          <w:sz w:val="24"/>
          <w:szCs w:val="24"/>
        </w:rPr>
        <w:t xml:space="preserve">changes to the compliance methodology for surface water and groundwater SDL resource units; </w:t>
      </w:r>
      <w:r w:rsidRPr="00515061">
        <w:rPr>
          <w:rFonts w:ascii="Times New Roman" w:hAnsi="Times New Roman"/>
          <w:sz w:val="24"/>
          <w:szCs w:val="24"/>
        </w:rPr>
        <w:t>clarifying certain water trade rules based on advice from the Australian Competition and Consumer Commission; and allowing additional time for Basin States to nominate their preferred allocation o</w:t>
      </w:r>
      <w:r w:rsidR="00AE3F7A" w:rsidRPr="00515061">
        <w:rPr>
          <w:rFonts w:ascii="Times New Roman" w:hAnsi="Times New Roman"/>
          <w:sz w:val="24"/>
          <w:szCs w:val="24"/>
        </w:rPr>
        <w:t>f the shared reduction amounts.</w:t>
      </w:r>
    </w:p>
    <w:p w:rsidR="00017BE4" w:rsidRDefault="00017BE4" w:rsidP="00511B9B">
      <w:pPr>
        <w:shd w:val="clear" w:color="auto" w:fill="FFFFFF"/>
        <w:spacing w:after="0"/>
        <w:rPr>
          <w:rFonts w:ascii="Times New Roman" w:hAnsi="Times New Roman"/>
          <w:b/>
          <w:iCs/>
          <w:sz w:val="24"/>
          <w:szCs w:val="24"/>
        </w:rPr>
      </w:pPr>
    </w:p>
    <w:p w:rsidR="00566840" w:rsidRDefault="00566840" w:rsidP="00511B9B">
      <w:pPr>
        <w:shd w:val="clear" w:color="auto" w:fill="FFFFFF"/>
        <w:spacing w:after="0"/>
        <w:rPr>
          <w:rFonts w:ascii="Times New Roman" w:hAnsi="Times New Roman"/>
          <w:b/>
          <w:iCs/>
          <w:sz w:val="24"/>
          <w:szCs w:val="24"/>
        </w:rPr>
      </w:pPr>
    </w:p>
    <w:p w:rsidR="00566840" w:rsidRDefault="00566840" w:rsidP="00511B9B">
      <w:pPr>
        <w:shd w:val="clear" w:color="auto" w:fill="FFFFFF"/>
        <w:spacing w:after="0"/>
        <w:rPr>
          <w:rFonts w:ascii="Times New Roman" w:hAnsi="Times New Roman"/>
          <w:b/>
          <w:iCs/>
          <w:sz w:val="24"/>
          <w:szCs w:val="24"/>
        </w:rPr>
      </w:pPr>
    </w:p>
    <w:p w:rsidR="00566840" w:rsidRDefault="00566840" w:rsidP="00511B9B">
      <w:pPr>
        <w:shd w:val="clear" w:color="auto" w:fill="FFFFFF"/>
        <w:spacing w:after="0"/>
        <w:rPr>
          <w:rFonts w:ascii="Times New Roman" w:hAnsi="Times New Roman"/>
          <w:b/>
          <w:iCs/>
          <w:sz w:val="24"/>
          <w:szCs w:val="24"/>
        </w:rPr>
      </w:pPr>
    </w:p>
    <w:p w:rsidR="00A776AD" w:rsidRPr="00515061" w:rsidRDefault="00525AB0" w:rsidP="00511B9B">
      <w:pPr>
        <w:shd w:val="clear" w:color="auto" w:fill="FFFFFF"/>
        <w:spacing w:after="0"/>
        <w:rPr>
          <w:rFonts w:ascii="Times New Roman" w:hAnsi="Times New Roman"/>
          <w:b/>
          <w:iCs/>
          <w:sz w:val="24"/>
          <w:szCs w:val="24"/>
        </w:rPr>
      </w:pPr>
      <w:r w:rsidRPr="00515061">
        <w:rPr>
          <w:rFonts w:ascii="Times New Roman" w:hAnsi="Times New Roman"/>
          <w:b/>
          <w:iCs/>
          <w:sz w:val="24"/>
          <w:szCs w:val="24"/>
        </w:rPr>
        <w:t>Human Rights Implications</w:t>
      </w:r>
    </w:p>
    <w:p w:rsidR="00A776AD" w:rsidRPr="00515061" w:rsidRDefault="00A776AD" w:rsidP="00511B9B">
      <w:pPr>
        <w:shd w:val="clear" w:color="auto" w:fill="FFFFFF"/>
        <w:spacing w:after="0"/>
        <w:rPr>
          <w:rFonts w:ascii="Times New Roman" w:hAnsi="Times New Roman"/>
          <w:b/>
          <w:iCs/>
          <w:sz w:val="24"/>
          <w:szCs w:val="24"/>
        </w:rPr>
      </w:pPr>
    </w:p>
    <w:p w:rsidR="00525AB0" w:rsidRPr="00515061" w:rsidRDefault="00525AB0" w:rsidP="00511B9B">
      <w:pPr>
        <w:shd w:val="clear" w:color="auto" w:fill="FFFFFF"/>
        <w:spacing w:after="0"/>
        <w:rPr>
          <w:rFonts w:ascii="Times New Roman" w:hAnsi="Times New Roman"/>
          <w:iCs/>
          <w:sz w:val="24"/>
          <w:szCs w:val="24"/>
        </w:rPr>
      </w:pPr>
      <w:r w:rsidRPr="00515061">
        <w:rPr>
          <w:rFonts w:ascii="Times New Roman" w:hAnsi="Times New Roman"/>
          <w:iCs/>
          <w:sz w:val="24"/>
          <w:szCs w:val="24"/>
        </w:rPr>
        <w:t xml:space="preserve">The </w:t>
      </w:r>
      <w:r w:rsidR="008A6BB8" w:rsidRPr="00515061">
        <w:rPr>
          <w:rFonts w:ascii="Times New Roman" w:hAnsi="Times New Roman"/>
          <w:iCs/>
          <w:sz w:val="24"/>
          <w:szCs w:val="24"/>
        </w:rPr>
        <w:t>Amendment I</w:t>
      </w:r>
      <w:r w:rsidRPr="00515061">
        <w:rPr>
          <w:rFonts w:ascii="Times New Roman" w:hAnsi="Times New Roman"/>
          <w:iCs/>
          <w:sz w:val="24"/>
          <w:szCs w:val="24"/>
        </w:rPr>
        <w:t xml:space="preserve">nstrument engages the right to an adequate standard of living and the right to health in the International Covenant on Economic, Social and Cultural Rights (ICESCR). The right to an adequate standard of living is protected in Article 11 of the ICESCR and the right to physical and mental health is protected in article 12 of the ICESCR. </w:t>
      </w:r>
    </w:p>
    <w:p w:rsidR="006D4138" w:rsidRPr="00515061" w:rsidRDefault="006D4138" w:rsidP="00511B9B">
      <w:pPr>
        <w:shd w:val="clear" w:color="auto" w:fill="FFFFFF"/>
        <w:spacing w:after="0"/>
        <w:rPr>
          <w:rFonts w:ascii="Times New Roman" w:hAnsi="Times New Roman"/>
          <w:sz w:val="24"/>
          <w:szCs w:val="24"/>
        </w:rPr>
      </w:pPr>
    </w:p>
    <w:p w:rsidR="00525AB0" w:rsidRPr="00515061" w:rsidRDefault="00525AB0" w:rsidP="00511B9B">
      <w:pPr>
        <w:spacing w:after="0"/>
        <w:rPr>
          <w:rFonts w:ascii="Times New Roman" w:hAnsi="Times New Roman"/>
          <w:iCs/>
          <w:sz w:val="24"/>
          <w:szCs w:val="24"/>
        </w:rPr>
      </w:pPr>
      <w:r w:rsidRPr="00515061">
        <w:rPr>
          <w:rFonts w:ascii="Times New Roman" w:hAnsi="Times New Roman"/>
          <w:iCs/>
          <w:sz w:val="24"/>
          <w:szCs w:val="24"/>
        </w:rPr>
        <w:t>The Committee on Economic, Social and Cultural Rights (the Committee), established to oversee the implementation of the ICESCR, has interpreted these articles as including a human right to water</w:t>
      </w:r>
      <w:r w:rsidR="00EF389C" w:rsidRPr="00515061">
        <w:rPr>
          <w:rFonts w:ascii="Times New Roman" w:hAnsi="Times New Roman"/>
          <w:iCs/>
          <w:sz w:val="24"/>
          <w:szCs w:val="24"/>
        </w:rPr>
        <w:t>,</w:t>
      </w:r>
      <w:r w:rsidRPr="00515061">
        <w:rPr>
          <w:rFonts w:ascii="Times New Roman" w:hAnsi="Times New Roman"/>
          <w:iCs/>
          <w:sz w:val="24"/>
          <w:szCs w:val="24"/>
        </w:rPr>
        <w:t xml:space="preserve"> which encompasses an entitlement to ‘sufficient, safe, acceptable, physically accessible and affordable water for personal and domestic uses’.</w:t>
      </w:r>
    </w:p>
    <w:p w:rsidR="006D4138" w:rsidRPr="00515061" w:rsidRDefault="006D4138" w:rsidP="00511B9B">
      <w:pPr>
        <w:spacing w:after="0"/>
        <w:rPr>
          <w:rFonts w:ascii="Times New Roman" w:hAnsi="Times New Roman"/>
          <w:iCs/>
          <w:sz w:val="24"/>
          <w:szCs w:val="24"/>
        </w:rPr>
      </w:pPr>
    </w:p>
    <w:p w:rsidR="00525AB0" w:rsidRPr="00515061" w:rsidRDefault="00525AB0"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Committee has noted the importance of ensuring sustainable access to water res</w:t>
      </w:r>
      <w:r w:rsidR="002A74C5" w:rsidRPr="00515061">
        <w:rPr>
          <w:rFonts w:ascii="Times New Roman" w:hAnsi="Times New Roman"/>
          <w:sz w:val="24"/>
          <w:szCs w:val="24"/>
          <w:lang w:eastAsia="en-AU"/>
        </w:rPr>
        <w:t>ources for agricultural purposes,</w:t>
      </w:r>
      <w:r w:rsidRPr="00515061">
        <w:rPr>
          <w:rFonts w:ascii="Times New Roman" w:hAnsi="Times New Roman"/>
          <w:sz w:val="24"/>
          <w:szCs w:val="24"/>
          <w:lang w:eastAsia="en-AU"/>
        </w:rPr>
        <w:t xml:space="preserve"> to realise the right to adequate food. Attention should be given to ensuring that farmers have equitable access to water and water management systems, including sustainable rain harvesting and irrigation technology. In order to ensure that there is sufficient and safe water for present and future generations, countries should adopt programs that reduce depletion of water resources t</w:t>
      </w:r>
      <w:r w:rsidR="008A6BB8" w:rsidRPr="00515061">
        <w:rPr>
          <w:rFonts w:ascii="Times New Roman" w:hAnsi="Times New Roman"/>
          <w:sz w:val="24"/>
          <w:szCs w:val="24"/>
          <w:lang w:eastAsia="en-AU"/>
        </w:rPr>
        <w:t>hrough unsustainable extraction and diversion</w:t>
      </w:r>
      <w:r w:rsidRPr="00515061">
        <w:rPr>
          <w:rFonts w:ascii="Times New Roman" w:hAnsi="Times New Roman"/>
          <w:sz w:val="24"/>
          <w:szCs w:val="24"/>
          <w:lang w:eastAsia="en-AU"/>
        </w:rPr>
        <w:t>.</w:t>
      </w:r>
    </w:p>
    <w:p w:rsidR="006D4138" w:rsidRPr="00515061" w:rsidRDefault="006D4138" w:rsidP="00511B9B">
      <w:pPr>
        <w:spacing w:after="0"/>
        <w:rPr>
          <w:rFonts w:ascii="Times New Roman" w:hAnsi="Times New Roman"/>
          <w:sz w:val="24"/>
          <w:szCs w:val="24"/>
          <w:lang w:eastAsia="en-AU"/>
        </w:rPr>
      </w:pPr>
    </w:p>
    <w:p w:rsidR="00525AB0" w:rsidRPr="00515061" w:rsidRDefault="00525AB0"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hu</w:t>
      </w:r>
      <w:r w:rsidR="008A6BB8" w:rsidRPr="00515061">
        <w:rPr>
          <w:rFonts w:ascii="Times New Roman" w:hAnsi="Times New Roman"/>
          <w:sz w:val="24"/>
          <w:szCs w:val="24"/>
          <w:lang w:eastAsia="en-AU"/>
        </w:rPr>
        <w:t>man rights implications of the Amendment I</w:t>
      </w:r>
      <w:r w:rsidRPr="00515061">
        <w:rPr>
          <w:rFonts w:ascii="Times New Roman" w:hAnsi="Times New Roman"/>
          <w:sz w:val="24"/>
          <w:szCs w:val="24"/>
          <w:lang w:eastAsia="en-AU"/>
        </w:rPr>
        <w:t xml:space="preserve">nstrument must be considered in the context of the </w:t>
      </w:r>
      <w:r w:rsidR="008A6BB8" w:rsidRPr="00515061">
        <w:rPr>
          <w:rFonts w:ascii="Times New Roman" w:hAnsi="Times New Roman"/>
          <w:sz w:val="24"/>
          <w:szCs w:val="24"/>
          <w:lang w:eastAsia="en-AU"/>
        </w:rPr>
        <w:t xml:space="preserve">Water </w:t>
      </w:r>
      <w:r w:rsidRPr="00515061">
        <w:rPr>
          <w:rFonts w:ascii="Times New Roman" w:hAnsi="Times New Roman"/>
          <w:sz w:val="24"/>
          <w:szCs w:val="24"/>
          <w:lang w:eastAsia="en-AU"/>
        </w:rPr>
        <w:t xml:space="preserve">Act. The overall framework of the </w:t>
      </w:r>
      <w:r w:rsidR="008A6BB8" w:rsidRPr="00515061">
        <w:rPr>
          <w:rFonts w:ascii="Times New Roman" w:hAnsi="Times New Roman"/>
          <w:sz w:val="24"/>
          <w:szCs w:val="24"/>
          <w:lang w:eastAsia="en-AU"/>
        </w:rPr>
        <w:t xml:space="preserve">Water </w:t>
      </w:r>
      <w:r w:rsidRPr="00515061">
        <w:rPr>
          <w:rFonts w:ascii="Times New Roman" w:hAnsi="Times New Roman"/>
          <w:sz w:val="24"/>
          <w:szCs w:val="24"/>
          <w:lang w:eastAsia="en-AU"/>
        </w:rPr>
        <w:t xml:space="preserve">Act supports access to sufficient, safe, acceptable and physically accessible water for personal and domestic uses. This is reflected in the </w:t>
      </w:r>
      <w:r w:rsidR="008A6BB8" w:rsidRPr="00515061">
        <w:rPr>
          <w:rFonts w:ascii="Times New Roman" w:hAnsi="Times New Roman"/>
          <w:sz w:val="24"/>
          <w:szCs w:val="24"/>
          <w:lang w:eastAsia="en-AU"/>
        </w:rPr>
        <w:t xml:space="preserve">Water </w:t>
      </w:r>
      <w:r w:rsidRPr="00515061">
        <w:rPr>
          <w:rFonts w:ascii="Times New Roman" w:hAnsi="Times New Roman"/>
          <w:sz w:val="24"/>
          <w:szCs w:val="24"/>
          <w:lang w:eastAsia="en-AU"/>
        </w:rPr>
        <w:t>Act by section 20</w:t>
      </w:r>
      <w:r w:rsidR="00EF389C" w:rsidRPr="00515061">
        <w:rPr>
          <w:rFonts w:ascii="Times New Roman" w:hAnsi="Times New Roman"/>
          <w:sz w:val="24"/>
          <w:szCs w:val="24"/>
          <w:lang w:eastAsia="en-AU"/>
        </w:rPr>
        <w:t>,</w:t>
      </w:r>
      <w:r w:rsidRPr="00515061">
        <w:rPr>
          <w:rFonts w:ascii="Times New Roman" w:hAnsi="Times New Roman"/>
          <w:sz w:val="24"/>
          <w:szCs w:val="24"/>
          <w:lang w:eastAsia="en-AU"/>
        </w:rPr>
        <w:t xml:space="preserve"> which sets out the purpose of the Basin Plan</w:t>
      </w:r>
      <w:r w:rsidR="008A6BB8" w:rsidRPr="00515061">
        <w:rPr>
          <w:rFonts w:ascii="Times New Roman" w:hAnsi="Times New Roman"/>
          <w:sz w:val="24"/>
          <w:szCs w:val="24"/>
          <w:lang w:eastAsia="en-AU"/>
        </w:rPr>
        <w:t>,</w:t>
      </w:r>
      <w:r w:rsidRPr="00515061">
        <w:rPr>
          <w:rFonts w:ascii="Times New Roman" w:hAnsi="Times New Roman"/>
          <w:sz w:val="24"/>
          <w:szCs w:val="24"/>
          <w:lang w:eastAsia="en-AU"/>
        </w:rPr>
        <w:t xml:space="preserve"> and is supported by subsection 22(1) which sets out the specific content required to be included in the Basin Plan, such as a water quality and salinity management plan (item 10). These sections, together with </w:t>
      </w:r>
      <w:r w:rsidR="004319DD" w:rsidRPr="00515061">
        <w:rPr>
          <w:rFonts w:ascii="Times New Roman" w:hAnsi="Times New Roman"/>
          <w:sz w:val="24"/>
          <w:szCs w:val="24"/>
          <w:lang w:eastAsia="en-AU"/>
        </w:rPr>
        <w:t xml:space="preserve">paragraph </w:t>
      </w:r>
      <w:r w:rsidRPr="00515061">
        <w:rPr>
          <w:rFonts w:ascii="Times New Roman" w:hAnsi="Times New Roman"/>
          <w:sz w:val="24"/>
          <w:szCs w:val="24"/>
          <w:lang w:eastAsia="en-AU"/>
        </w:rPr>
        <w:t>86A(1)(a)</w:t>
      </w:r>
      <w:r w:rsidR="004319DD" w:rsidRPr="00515061">
        <w:rPr>
          <w:rFonts w:ascii="Times New Roman" w:hAnsi="Times New Roman"/>
          <w:sz w:val="24"/>
          <w:szCs w:val="24"/>
          <w:lang w:eastAsia="en-AU"/>
        </w:rPr>
        <w:t xml:space="preserve"> of the Water Act,</w:t>
      </w:r>
      <w:r w:rsidRPr="00515061">
        <w:rPr>
          <w:rFonts w:ascii="Times New Roman" w:hAnsi="Times New Roman"/>
          <w:sz w:val="24"/>
          <w:szCs w:val="24"/>
          <w:lang w:eastAsia="en-AU"/>
        </w:rPr>
        <w:t xml:space="preserve"> which requires regard to be given to critical human water needs and water quality, support the human right to water.</w:t>
      </w:r>
    </w:p>
    <w:p w:rsidR="006D4138" w:rsidRPr="00515061" w:rsidRDefault="006D4138" w:rsidP="00511B9B">
      <w:pPr>
        <w:spacing w:after="0"/>
        <w:rPr>
          <w:rFonts w:ascii="Times New Roman" w:hAnsi="Times New Roman"/>
          <w:sz w:val="24"/>
          <w:szCs w:val="24"/>
          <w:lang w:eastAsia="en-AU"/>
        </w:rPr>
      </w:pPr>
    </w:p>
    <w:p w:rsidR="00AF7F83" w:rsidRPr="00515061" w:rsidRDefault="00AF7F83"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Amendment Instrument</w:t>
      </w:r>
      <w:r w:rsidR="00525AB0" w:rsidRPr="00515061">
        <w:rPr>
          <w:rFonts w:ascii="Times New Roman" w:hAnsi="Times New Roman"/>
          <w:sz w:val="24"/>
          <w:szCs w:val="24"/>
          <w:lang w:eastAsia="en-AU"/>
        </w:rPr>
        <w:t xml:space="preserve"> support</w:t>
      </w:r>
      <w:r w:rsidRPr="00515061">
        <w:rPr>
          <w:rFonts w:ascii="Times New Roman" w:hAnsi="Times New Roman"/>
          <w:sz w:val="24"/>
          <w:szCs w:val="24"/>
          <w:lang w:eastAsia="en-AU"/>
        </w:rPr>
        <w:t>s</w:t>
      </w:r>
      <w:r w:rsidR="00525AB0" w:rsidRPr="00515061">
        <w:rPr>
          <w:rFonts w:ascii="Times New Roman" w:hAnsi="Times New Roman"/>
          <w:sz w:val="24"/>
          <w:szCs w:val="24"/>
          <w:lang w:eastAsia="en-AU"/>
        </w:rPr>
        <w:t xml:space="preserve"> the right to an adequate standard of living by reducing the water recovery target </w:t>
      </w:r>
      <w:r w:rsidRPr="00515061">
        <w:rPr>
          <w:rFonts w:ascii="Times New Roman" w:hAnsi="Times New Roman"/>
          <w:sz w:val="24"/>
          <w:szCs w:val="24"/>
          <w:lang w:eastAsia="en-AU"/>
        </w:rPr>
        <w:t xml:space="preserve">in the northern Basin </w:t>
      </w:r>
      <w:r w:rsidR="00525AB0" w:rsidRPr="00515061">
        <w:rPr>
          <w:rFonts w:ascii="Times New Roman" w:hAnsi="Times New Roman"/>
          <w:sz w:val="24"/>
          <w:szCs w:val="24"/>
          <w:lang w:eastAsia="en-AU"/>
        </w:rPr>
        <w:t>from 390 GL to 320 GL</w:t>
      </w:r>
      <w:r w:rsidR="004319DD" w:rsidRPr="00515061">
        <w:rPr>
          <w:rFonts w:ascii="Times New Roman" w:hAnsi="Times New Roman"/>
          <w:sz w:val="24"/>
          <w:szCs w:val="24"/>
          <w:lang w:eastAsia="en-AU"/>
        </w:rPr>
        <w:t>,</w:t>
      </w:r>
      <w:r w:rsidR="00525AB0" w:rsidRPr="00515061">
        <w:rPr>
          <w:rFonts w:ascii="Times New Roman" w:hAnsi="Times New Roman"/>
          <w:sz w:val="24"/>
          <w:szCs w:val="24"/>
          <w:lang w:eastAsia="en-AU"/>
        </w:rPr>
        <w:t xml:space="preserve"> </w:t>
      </w:r>
      <w:r w:rsidR="00871970">
        <w:rPr>
          <w:rFonts w:ascii="Times New Roman" w:hAnsi="Times New Roman"/>
          <w:sz w:val="24"/>
          <w:szCs w:val="24"/>
          <w:lang w:eastAsia="en-AU"/>
        </w:rPr>
        <w:t xml:space="preserve">which will </w:t>
      </w:r>
      <w:r w:rsidR="00525AB0" w:rsidRPr="00515061">
        <w:rPr>
          <w:rFonts w:ascii="Times New Roman" w:hAnsi="Times New Roman"/>
          <w:sz w:val="24"/>
          <w:szCs w:val="24"/>
          <w:lang w:eastAsia="en-AU"/>
        </w:rPr>
        <w:t xml:space="preserve">minimise any adverse socio-economic effects on communities. At the same time, the </w:t>
      </w:r>
      <w:r w:rsidRPr="00515061">
        <w:rPr>
          <w:rFonts w:ascii="Times New Roman" w:hAnsi="Times New Roman"/>
          <w:sz w:val="24"/>
          <w:szCs w:val="24"/>
          <w:lang w:eastAsia="en-AU"/>
        </w:rPr>
        <w:t>A</w:t>
      </w:r>
      <w:r w:rsidR="00525AB0" w:rsidRPr="00515061">
        <w:rPr>
          <w:rFonts w:ascii="Times New Roman" w:hAnsi="Times New Roman"/>
          <w:sz w:val="24"/>
          <w:szCs w:val="24"/>
          <w:lang w:eastAsia="en-AU"/>
        </w:rPr>
        <w:t>mendment</w:t>
      </w:r>
      <w:r w:rsidRPr="00515061">
        <w:rPr>
          <w:rFonts w:ascii="Times New Roman" w:hAnsi="Times New Roman"/>
          <w:sz w:val="24"/>
          <w:szCs w:val="24"/>
          <w:lang w:eastAsia="en-AU"/>
        </w:rPr>
        <w:t xml:space="preserve"> Instrument</w:t>
      </w:r>
      <w:r w:rsidR="00525AB0" w:rsidRPr="00515061">
        <w:rPr>
          <w:rFonts w:ascii="Times New Roman" w:hAnsi="Times New Roman"/>
          <w:sz w:val="24"/>
          <w:szCs w:val="24"/>
          <w:lang w:eastAsia="en-AU"/>
        </w:rPr>
        <w:t xml:space="preserve"> deliver</w:t>
      </w:r>
      <w:r w:rsidRPr="00515061">
        <w:rPr>
          <w:rFonts w:ascii="Times New Roman" w:hAnsi="Times New Roman"/>
          <w:sz w:val="24"/>
          <w:szCs w:val="24"/>
          <w:lang w:eastAsia="en-AU"/>
        </w:rPr>
        <w:t>s</w:t>
      </w:r>
      <w:r w:rsidR="00525AB0" w:rsidRPr="00515061">
        <w:rPr>
          <w:rFonts w:ascii="Times New Roman" w:hAnsi="Times New Roman"/>
          <w:sz w:val="24"/>
          <w:szCs w:val="24"/>
          <w:lang w:eastAsia="en-AU"/>
        </w:rPr>
        <w:t xml:space="preserve"> </w:t>
      </w:r>
      <w:r w:rsidRPr="00515061">
        <w:rPr>
          <w:rFonts w:ascii="Times New Roman" w:hAnsi="Times New Roman"/>
          <w:sz w:val="24"/>
          <w:szCs w:val="24"/>
          <w:lang w:eastAsia="en-AU"/>
        </w:rPr>
        <w:t xml:space="preserve">almost </w:t>
      </w:r>
      <w:r w:rsidR="00525AB0" w:rsidRPr="00515061">
        <w:rPr>
          <w:rFonts w:ascii="Times New Roman" w:hAnsi="Times New Roman"/>
          <w:sz w:val="24"/>
          <w:szCs w:val="24"/>
          <w:lang w:eastAsia="en-AU"/>
        </w:rPr>
        <w:t xml:space="preserve">equivalent environmental outcomes in line with the Committee’s emphasis on ensuring that there is sufficient and safe water available for future generations. </w:t>
      </w:r>
    </w:p>
    <w:p w:rsidR="006D4138" w:rsidRPr="00515061" w:rsidRDefault="006D4138" w:rsidP="00511B9B">
      <w:pPr>
        <w:spacing w:after="0"/>
        <w:rPr>
          <w:rFonts w:ascii="Times New Roman" w:hAnsi="Times New Roman"/>
          <w:sz w:val="24"/>
          <w:szCs w:val="24"/>
          <w:lang w:eastAsia="en-AU"/>
        </w:rPr>
      </w:pPr>
    </w:p>
    <w:p w:rsidR="00F67048" w:rsidRPr="00515061" w:rsidRDefault="00F67048" w:rsidP="00511B9B">
      <w:pPr>
        <w:spacing w:after="0"/>
        <w:rPr>
          <w:rFonts w:ascii="Times New Roman" w:hAnsi="Times New Roman"/>
          <w:sz w:val="24"/>
          <w:szCs w:val="24"/>
          <w:lang w:eastAsia="en-AU"/>
        </w:rPr>
      </w:pPr>
      <w:r w:rsidRPr="00515061">
        <w:rPr>
          <w:rFonts w:ascii="Times New Roman" w:hAnsi="Times New Roman"/>
          <w:sz w:val="24"/>
          <w:szCs w:val="24"/>
          <w:lang w:eastAsia="en-AU"/>
        </w:rPr>
        <w:t xml:space="preserve">The Amendment Instrument does not change the </w:t>
      </w:r>
      <w:r w:rsidR="00F42B83" w:rsidRPr="00515061">
        <w:rPr>
          <w:rFonts w:ascii="Times New Roman" w:hAnsi="Times New Roman"/>
          <w:sz w:val="24"/>
          <w:szCs w:val="24"/>
          <w:lang w:eastAsia="en-AU"/>
        </w:rPr>
        <w:t xml:space="preserve">Basin Plan </w:t>
      </w:r>
      <w:r w:rsidRPr="00515061">
        <w:rPr>
          <w:rFonts w:ascii="Times New Roman" w:hAnsi="Times New Roman"/>
          <w:sz w:val="24"/>
          <w:szCs w:val="24"/>
          <w:lang w:eastAsia="en-AU"/>
        </w:rPr>
        <w:t xml:space="preserve">requirements for Basin States to consider Indigenous values and uses in water resource planning. Chapter 10 of the Basin Plan ensures that a </w:t>
      </w:r>
      <w:r w:rsidR="001421BC" w:rsidRPr="00515061">
        <w:rPr>
          <w:rFonts w:ascii="Times New Roman" w:hAnsi="Times New Roman"/>
          <w:sz w:val="24"/>
          <w:szCs w:val="24"/>
          <w:lang w:eastAsia="en-AU"/>
        </w:rPr>
        <w:t xml:space="preserve">water resource plan </w:t>
      </w:r>
      <w:r w:rsidRPr="00515061">
        <w:rPr>
          <w:rFonts w:ascii="Times New Roman" w:hAnsi="Times New Roman"/>
          <w:sz w:val="24"/>
          <w:szCs w:val="24"/>
          <w:lang w:eastAsia="en-AU"/>
        </w:rPr>
        <w:t xml:space="preserve">must be prepared in consultation with relevant Indigenous organisations and consider certain specified matters relevant to Indigenous people. </w:t>
      </w:r>
      <w:r w:rsidR="00AF140E" w:rsidRPr="00515061">
        <w:rPr>
          <w:rFonts w:ascii="Times New Roman" w:hAnsi="Times New Roman"/>
          <w:sz w:val="24"/>
          <w:szCs w:val="24"/>
          <w:lang w:eastAsia="en-AU"/>
        </w:rPr>
        <w:t xml:space="preserve">Indigenous </w:t>
      </w:r>
      <w:r w:rsidRPr="00515061">
        <w:rPr>
          <w:rFonts w:ascii="Times New Roman" w:hAnsi="Times New Roman"/>
          <w:sz w:val="24"/>
          <w:szCs w:val="24"/>
          <w:lang w:eastAsia="en-AU"/>
        </w:rPr>
        <w:t xml:space="preserve">people and organisations were consulted during the amendment process and the </w:t>
      </w:r>
      <w:r w:rsidR="002D6BDE" w:rsidRPr="00515061">
        <w:rPr>
          <w:rFonts w:ascii="Times New Roman" w:hAnsi="Times New Roman"/>
          <w:sz w:val="24"/>
          <w:szCs w:val="24"/>
          <w:lang w:eastAsia="en-AU"/>
        </w:rPr>
        <w:t xml:space="preserve">Amendment Instrument continues to maintain </w:t>
      </w:r>
      <w:r w:rsidR="00AF140E" w:rsidRPr="00515061">
        <w:rPr>
          <w:rFonts w:ascii="Times New Roman" w:hAnsi="Times New Roman"/>
          <w:sz w:val="24"/>
          <w:szCs w:val="24"/>
          <w:lang w:eastAsia="en-AU"/>
        </w:rPr>
        <w:t>Indigenous</w:t>
      </w:r>
      <w:r w:rsidR="002D6BDE" w:rsidRPr="00515061">
        <w:rPr>
          <w:rFonts w:ascii="Times New Roman" w:hAnsi="Times New Roman"/>
          <w:sz w:val="24"/>
          <w:szCs w:val="24"/>
          <w:lang w:eastAsia="en-AU"/>
        </w:rPr>
        <w:t xml:space="preserve"> peoples’</w:t>
      </w:r>
      <w:r w:rsidRPr="00515061">
        <w:rPr>
          <w:rFonts w:ascii="Times New Roman" w:hAnsi="Times New Roman"/>
          <w:sz w:val="24"/>
          <w:szCs w:val="24"/>
          <w:lang w:eastAsia="en-AU"/>
        </w:rPr>
        <w:t xml:space="preserve"> access to adequate</w:t>
      </w:r>
      <w:r w:rsidR="00F42B83" w:rsidRPr="00515061">
        <w:rPr>
          <w:rFonts w:ascii="Times New Roman" w:hAnsi="Times New Roman"/>
          <w:sz w:val="24"/>
          <w:szCs w:val="24"/>
          <w:lang w:eastAsia="en-AU"/>
        </w:rPr>
        <w:t xml:space="preserve"> and safe water</w:t>
      </w:r>
      <w:r w:rsidR="00EF389C" w:rsidRPr="00515061">
        <w:rPr>
          <w:rFonts w:ascii="Times New Roman" w:hAnsi="Times New Roman"/>
          <w:sz w:val="24"/>
          <w:szCs w:val="24"/>
          <w:lang w:eastAsia="en-AU"/>
        </w:rPr>
        <w:t>,</w:t>
      </w:r>
      <w:r w:rsidR="00F42B83" w:rsidRPr="00515061">
        <w:rPr>
          <w:rFonts w:ascii="Times New Roman" w:hAnsi="Times New Roman"/>
          <w:sz w:val="24"/>
          <w:szCs w:val="24"/>
          <w:lang w:eastAsia="en-AU"/>
        </w:rPr>
        <w:t xml:space="preserve"> </w:t>
      </w:r>
      <w:r w:rsidR="002D6BDE" w:rsidRPr="00515061">
        <w:rPr>
          <w:rFonts w:ascii="Times New Roman" w:hAnsi="Times New Roman"/>
          <w:sz w:val="24"/>
          <w:szCs w:val="24"/>
          <w:lang w:eastAsia="en-AU"/>
        </w:rPr>
        <w:t xml:space="preserve">which </w:t>
      </w:r>
      <w:r w:rsidR="00F42B83" w:rsidRPr="00515061">
        <w:rPr>
          <w:rFonts w:ascii="Times New Roman" w:hAnsi="Times New Roman"/>
          <w:sz w:val="24"/>
          <w:szCs w:val="24"/>
          <w:lang w:eastAsia="en-AU"/>
        </w:rPr>
        <w:t xml:space="preserve">helps to achieve </w:t>
      </w:r>
      <w:r w:rsidR="00AF140E" w:rsidRPr="00515061">
        <w:rPr>
          <w:rFonts w:ascii="Times New Roman" w:hAnsi="Times New Roman"/>
          <w:sz w:val="24"/>
          <w:szCs w:val="24"/>
          <w:lang w:eastAsia="en-AU"/>
        </w:rPr>
        <w:t>Indigenous</w:t>
      </w:r>
      <w:r w:rsidR="00F42B83" w:rsidRPr="00515061">
        <w:rPr>
          <w:rFonts w:ascii="Times New Roman" w:hAnsi="Times New Roman"/>
          <w:sz w:val="24"/>
          <w:szCs w:val="24"/>
          <w:lang w:eastAsia="en-AU"/>
        </w:rPr>
        <w:t xml:space="preserve"> social and cultural objectives as they relate to waterways.</w:t>
      </w:r>
    </w:p>
    <w:p w:rsidR="006D4138" w:rsidRPr="00515061" w:rsidRDefault="006D4138" w:rsidP="00511B9B">
      <w:pPr>
        <w:spacing w:after="0"/>
        <w:rPr>
          <w:rFonts w:ascii="Times New Roman" w:hAnsi="Times New Roman"/>
          <w:sz w:val="24"/>
          <w:szCs w:val="24"/>
          <w:lang w:eastAsia="en-AU"/>
        </w:rPr>
      </w:pPr>
    </w:p>
    <w:p w:rsidR="00525AB0" w:rsidRPr="00515061" w:rsidRDefault="00AF7F83"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Amendment Instrument also increases the SDL for the extraction of the Basin’s groundwater from 3,334 GL per year to 3,494 GL per year. The increases in groundwater extraction limits will have minimal impacts on the environment due to suitable management actions in place to manage the potential impacts of increased groundwater take.</w:t>
      </w:r>
    </w:p>
    <w:p w:rsidR="006D4138" w:rsidRPr="00515061" w:rsidRDefault="006D4138" w:rsidP="00511B9B">
      <w:pPr>
        <w:spacing w:after="0"/>
        <w:rPr>
          <w:rFonts w:ascii="Times New Roman" w:hAnsi="Times New Roman"/>
          <w:sz w:val="24"/>
          <w:szCs w:val="24"/>
          <w:lang w:eastAsia="en-AU"/>
        </w:rPr>
      </w:pPr>
    </w:p>
    <w:p w:rsidR="00525AB0" w:rsidRPr="00515061" w:rsidRDefault="00AF7F83" w:rsidP="00511B9B">
      <w:pPr>
        <w:spacing w:after="0"/>
        <w:rPr>
          <w:rFonts w:ascii="Times New Roman" w:hAnsi="Times New Roman"/>
          <w:sz w:val="24"/>
          <w:szCs w:val="24"/>
          <w:lang w:eastAsia="en-AU"/>
        </w:rPr>
      </w:pPr>
      <w:r w:rsidRPr="00515061">
        <w:rPr>
          <w:rFonts w:ascii="Times New Roman" w:hAnsi="Times New Roman"/>
          <w:iCs/>
          <w:sz w:val="24"/>
          <w:szCs w:val="24"/>
        </w:rPr>
        <w:t>The Amendment Instrument</w:t>
      </w:r>
      <w:r w:rsidR="00525AB0" w:rsidRPr="00515061">
        <w:rPr>
          <w:rFonts w:ascii="Times New Roman" w:hAnsi="Times New Roman"/>
          <w:iCs/>
          <w:sz w:val="24"/>
          <w:szCs w:val="24"/>
        </w:rPr>
        <w:t xml:space="preserve"> support</w:t>
      </w:r>
      <w:r w:rsidRPr="00515061">
        <w:rPr>
          <w:rFonts w:ascii="Times New Roman" w:hAnsi="Times New Roman"/>
          <w:iCs/>
          <w:sz w:val="24"/>
          <w:szCs w:val="24"/>
        </w:rPr>
        <w:t>s</w:t>
      </w:r>
      <w:r w:rsidR="00525AB0" w:rsidRPr="00515061">
        <w:rPr>
          <w:rFonts w:ascii="Times New Roman" w:hAnsi="Times New Roman"/>
          <w:iCs/>
          <w:sz w:val="24"/>
          <w:szCs w:val="24"/>
        </w:rPr>
        <w:t xml:space="preserve"> the Committee’s interpretation of </w:t>
      </w:r>
      <w:r w:rsidR="004319DD" w:rsidRPr="00515061">
        <w:rPr>
          <w:rFonts w:ascii="Times New Roman" w:hAnsi="Times New Roman"/>
          <w:iCs/>
          <w:sz w:val="24"/>
          <w:szCs w:val="24"/>
        </w:rPr>
        <w:t>A</w:t>
      </w:r>
      <w:r w:rsidR="00525AB0" w:rsidRPr="00515061">
        <w:rPr>
          <w:rFonts w:ascii="Times New Roman" w:hAnsi="Times New Roman"/>
          <w:iCs/>
          <w:sz w:val="24"/>
          <w:szCs w:val="24"/>
        </w:rPr>
        <w:t>rticle</w:t>
      </w:r>
      <w:r w:rsidR="0008166E" w:rsidRPr="00515061">
        <w:rPr>
          <w:rFonts w:ascii="Times New Roman" w:hAnsi="Times New Roman"/>
          <w:iCs/>
          <w:sz w:val="24"/>
          <w:szCs w:val="24"/>
        </w:rPr>
        <w:t>s</w:t>
      </w:r>
      <w:r w:rsidR="00525AB0" w:rsidRPr="00515061">
        <w:rPr>
          <w:rFonts w:ascii="Times New Roman" w:hAnsi="Times New Roman"/>
          <w:iCs/>
          <w:sz w:val="24"/>
          <w:szCs w:val="24"/>
        </w:rPr>
        <w:t xml:space="preserve"> 11</w:t>
      </w:r>
      <w:r w:rsidR="0008166E" w:rsidRPr="00515061">
        <w:rPr>
          <w:rFonts w:ascii="Times New Roman" w:hAnsi="Times New Roman"/>
          <w:iCs/>
          <w:sz w:val="24"/>
          <w:szCs w:val="24"/>
        </w:rPr>
        <w:t xml:space="preserve"> and 12</w:t>
      </w:r>
      <w:r w:rsidR="00525AB0" w:rsidRPr="00515061">
        <w:rPr>
          <w:rFonts w:ascii="Times New Roman" w:hAnsi="Times New Roman"/>
          <w:iCs/>
          <w:sz w:val="24"/>
          <w:szCs w:val="24"/>
        </w:rPr>
        <w:t xml:space="preserve"> as including </w:t>
      </w:r>
      <w:r w:rsidR="00525AB0" w:rsidRPr="00515061">
        <w:rPr>
          <w:rFonts w:ascii="Times New Roman" w:hAnsi="Times New Roman"/>
          <w:sz w:val="24"/>
          <w:szCs w:val="24"/>
          <w:lang w:eastAsia="en-AU"/>
        </w:rPr>
        <w:t xml:space="preserve">farmers </w:t>
      </w:r>
      <w:r w:rsidR="0008166E" w:rsidRPr="00515061">
        <w:rPr>
          <w:rFonts w:ascii="Times New Roman" w:hAnsi="Times New Roman"/>
          <w:sz w:val="24"/>
          <w:szCs w:val="24"/>
          <w:lang w:eastAsia="en-AU"/>
        </w:rPr>
        <w:t xml:space="preserve">and irrigators </w:t>
      </w:r>
      <w:r w:rsidR="00525AB0" w:rsidRPr="00515061">
        <w:rPr>
          <w:rFonts w:ascii="Times New Roman" w:hAnsi="Times New Roman"/>
          <w:sz w:val="24"/>
          <w:szCs w:val="24"/>
          <w:lang w:eastAsia="en-AU"/>
        </w:rPr>
        <w:t>having equitable access to water and water management systems</w:t>
      </w:r>
      <w:r w:rsidR="003E773B">
        <w:rPr>
          <w:rFonts w:ascii="Times New Roman" w:hAnsi="Times New Roman"/>
          <w:sz w:val="24"/>
          <w:szCs w:val="24"/>
          <w:lang w:eastAsia="en-AU"/>
        </w:rPr>
        <w:t xml:space="preserve"> in order</w:t>
      </w:r>
      <w:r w:rsidR="00525AB0" w:rsidRPr="00515061">
        <w:rPr>
          <w:rFonts w:ascii="Times New Roman" w:hAnsi="Times New Roman"/>
          <w:sz w:val="24"/>
          <w:szCs w:val="24"/>
          <w:lang w:eastAsia="en-AU"/>
        </w:rPr>
        <w:t xml:space="preserve"> </w:t>
      </w:r>
      <w:r w:rsidR="0008166E" w:rsidRPr="00515061">
        <w:rPr>
          <w:rFonts w:ascii="Times New Roman" w:hAnsi="Times New Roman"/>
          <w:sz w:val="24"/>
          <w:szCs w:val="24"/>
          <w:lang w:eastAsia="en-AU"/>
        </w:rPr>
        <w:t>to meet the requirements of a sustainable irrigation sector</w:t>
      </w:r>
      <w:r w:rsidR="00525AB0" w:rsidRPr="00515061">
        <w:rPr>
          <w:rFonts w:ascii="Times New Roman" w:hAnsi="Times New Roman"/>
          <w:sz w:val="24"/>
          <w:szCs w:val="24"/>
          <w:lang w:eastAsia="en-AU"/>
        </w:rPr>
        <w:t>.</w:t>
      </w:r>
      <w:r w:rsidR="0008166E" w:rsidRPr="00515061">
        <w:rPr>
          <w:rFonts w:ascii="Times New Roman" w:hAnsi="Times New Roman"/>
          <w:sz w:val="24"/>
          <w:szCs w:val="24"/>
          <w:lang w:eastAsia="en-AU"/>
        </w:rPr>
        <w:t xml:space="preserve"> The Amendment Instrument continues to maintain sustainable limits on water use</w:t>
      </w:r>
      <w:r w:rsidR="00D86EF8" w:rsidRPr="00515061">
        <w:rPr>
          <w:rFonts w:ascii="Times New Roman" w:hAnsi="Times New Roman"/>
          <w:sz w:val="24"/>
          <w:szCs w:val="24"/>
          <w:lang w:eastAsia="en-AU"/>
        </w:rPr>
        <w:t>.</w:t>
      </w:r>
      <w:r w:rsidR="0008166E" w:rsidRPr="00515061">
        <w:rPr>
          <w:rFonts w:ascii="Times New Roman" w:hAnsi="Times New Roman"/>
          <w:sz w:val="24"/>
          <w:szCs w:val="24"/>
          <w:lang w:eastAsia="en-AU"/>
        </w:rPr>
        <w:t xml:space="preserve"> </w:t>
      </w:r>
      <w:r w:rsidR="00D86EF8" w:rsidRPr="00515061">
        <w:rPr>
          <w:rFonts w:ascii="Times New Roman" w:hAnsi="Times New Roman"/>
          <w:sz w:val="24"/>
          <w:szCs w:val="24"/>
          <w:lang w:eastAsia="en-AU"/>
        </w:rPr>
        <w:t>T</w:t>
      </w:r>
      <w:r w:rsidR="0008166E" w:rsidRPr="00515061">
        <w:rPr>
          <w:rFonts w:ascii="Times New Roman" w:hAnsi="Times New Roman"/>
          <w:sz w:val="24"/>
          <w:szCs w:val="24"/>
          <w:lang w:eastAsia="en-AU"/>
        </w:rPr>
        <w:t xml:space="preserve">his means managing the water resources in the Basin to meet the needs of all Australians, including </w:t>
      </w:r>
      <w:r w:rsidR="00AF140E" w:rsidRPr="00515061">
        <w:rPr>
          <w:rFonts w:ascii="Times New Roman" w:hAnsi="Times New Roman"/>
          <w:sz w:val="24"/>
          <w:szCs w:val="24"/>
          <w:lang w:eastAsia="en-AU"/>
        </w:rPr>
        <w:t>Indigenous</w:t>
      </w:r>
      <w:r w:rsidR="0008166E" w:rsidRPr="00515061">
        <w:rPr>
          <w:rFonts w:ascii="Times New Roman" w:hAnsi="Times New Roman"/>
          <w:sz w:val="24"/>
          <w:szCs w:val="24"/>
          <w:lang w:eastAsia="en-AU"/>
        </w:rPr>
        <w:t xml:space="preserve"> people, who </w:t>
      </w:r>
      <w:r w:rsidR="00AF140E" w:rsidRPr="00515061">
        <w:rPr>
          <w:rFonts w:ascii="Times New Roman" w:hAnsi="Times New Roman"/>
          <w:sz w:val="24"/>
          <w:szCs w:val="24"/>
          <w:lang w:eastAsia="en-AU"/>
        </w:rPr>
        <w:t>use the Basin water resources for</w:t>
      </w:r>
      <w:r w:rsidR="0008166E" w:rsidRPr="00515061">
        <w:rPr>
          <w:rFonts w:ascii="Times New Roman" w:hAnsi="Times New Roman"/>
          <w:sz w:val="24"/>
          <w:szCs w:val="24"/>
          <w:lang w:eastAsia="en-AU"/>
        </w:rPr>
        <w:t xml:space="preserve"> cultural, social, environmental, spiritual and economic </w:t>
      </w:r>
      <w:r w:rsidR="00AF140E" w:rsidRPr="00515061">
        <w:rPr>
          <w:rFonts w:ascii="Times New Roman" w:hAnsi="Times New Roman"/>
          <w:sz w:val="24"/>
          <w:szCs w:val="24"/>
          <w:lang w:eastAsia="en-AU"/>
        </w:rPr>
        <w:t>purposes</w:t>
      </w:r>
      <w:r w:rsidR="0008166E" w:rsidRPr="00515061">
        <w:rPr>
          <w:rFonts w:ascii="Times New Roman" w:hAnsi="Times New Roman"/>
          <w:sz w:val="24"/>
          <w:szCs w:val="24"/>
          <w:lang w:eastAsia="en-AU"/>
        </w:rPr>
        <w:t>; farmers, who need reliable stock and domestic supplies; tourism operators, rural and regional communities and cities</w:t>
      </w:r>
      <w:r w:rsidR="00EF389C" w:rsidRPr="00515061">
        <w:rPr>
          <w:rFonts w:ascii="Times New Roman" w:hAnsi="Times New Roman"/>
          <w:sz w:val="24"/>
          <w:szCs w:val="24"/>
          <w:lang w:eastAsia="en-AU"/>
        </w:rPr>
        <w:t>,</w:t>
      </w:r>
      <w:r w:rsidR="0008166E" w:rsidRPr="00515061">
        <w:rPr>
          <w:rFonts w:ascii="Times New Roman" w:hAnsi="Times New Roman"/>
          <w:sz w:val="24"/>
          <w:szCs w:val="24"/>
          <w:lang w:eastAsia="en-AU"/>
        </w:rPr>
        <w:t xml:space="preserve"> which need reliable, clean, drinking supplies. </w:t>
      </w:r>
    </w:p>
    <w:p w:rsidR="006D4138" w:rsidRPr="00515061" w:rsidRDefault="006D4138" w:rsidP="00511B9B">
      <w:pPr>
        <w:spacing w:after="0"/>
        <w:rPr>
          <w:rFonts w:ascii="Times New Roman" w:hAnsi="Times New Roman"/>
          <w:iCs/>
          <w:sz w:val="24"/>
          <w:szCs w:val="24"/>
        </w:rPr>
      </w:pPr>
    </w:p>
    <w:p w:rsidR="00525AB0" w:rsidRPr="00515061" w:rsidRDefault="00525AB0" w:rsidP="00511B9B">
      <w:pPr>
        <w:spacing w:after="0"/>
        <w:rPr>
          <w:rFonts w:ascii="Times New Roman" w:hAnsi="Times New Roman"/>
          <w:b/>
          <w:sz w:val="24"/>
          <w:szCs w:val="24"/>
        </w:rPr>
      </w:pPr>
      <w:r w:rsidRPr="00515061">
        <w:rPr>
          <w:rFonts w:ascii="Times New Roman" w:hAnsi="Times New Roman"/>
          <w:b/>
          <w:sz w:val="24"/>
          <w:szCs w:val="24"/>
        </w:rPr>
        <w:t>Conclusion</w:t>
      </w:r>
    </w:p>
    <w:p w:rsidR="006D4138" w:rsidRPr="00515061" w:rsidRDefault="006D4138" w:rsidP="00511B9B">
      <w:pPr>
        <w:spacing w:after="0"/>
        <w:rPr>
          <w:rFonts w:ascii="Times New Roman" w:hAnsi="Times New Roman"/>
          <w:b/>
          <w:sz w:val="24"/>
          <w:szCs w:val="24"/>
        </w:rPr>
      </w:pPr>
    </w:p>
    <w:p w:rsidR="00525AB0" w:rsidRPr="00515061" w:rsidRDefault="00525AB0" w:rsidP="00511B9B">
      <w:pPr>
        <w:spacing w:after="0"/>
        <w:rPr>
          <w:rFonts w:ascii="Times New Roman" w:hAnsi="Times New Roman"/>
          <w:sz w:val="24"/>
          <w:szCs w:val="24"/>
        </w:rPr>
      </w:pPr>
      <w:r w:rsidRPr="00515061">
        <w:rPr>
          <w:rFonts w:ascii="Times New Roman" w:hAnsi="Times New Roman"/>
          <w:sz w:val="24"/>
          <w:szCs w:val="24"/>
        </w:rPr>
        <w:t xml:space="preserve">The </w:t>
      </w:r>
      <w:r w:rsidR="00AF7F83" w:rsidRPr="00515061">
        <w:rPr>
          <w:rFonts w:ascii="Times New Roman" w:hAnsi="Times New Roman"/>
          <w:sz w:val="24"/>
          <w:szCs w:val="24"/>
        </w:rPr>
        <w:t>Amendment I</w:t>
      </w:r>
      <w:r w:rsidRPr="00515061">
        <w:rPr>
          <w:rFonts w:ascii="Times New Roman" w:hAnsi="Times New Roman"/>
          <w:sz w:val="24"/>
          <w:szCs w:val="24"/>
        </w:rPr>
        <w:t>nstrument is compatible with human rights because it advances the protection of human rights, specifically in relation to the right to an adequate standard of living and the right to the highest attainable level/standard of physical and mental health in the manner described.</w:t>
      </w:r>
    </w:p>
    <w:p w:rsidR="006D4138" w:rsidRPr="00515061" w:rsidRDefault="006D4138" w:rsidP="00511B9B">
      <w:pPr>
        <w:spacing w:after="0"/>
        <w:rPr>
          <w:rFonts w:ascii="Times New Roman" w:hAnsi="Times New Roman"/>
          <w:iCs/>
          <w:sz w:val="24"/>
          <w:szCs w:val="24"/>
        </w:rPr>
      </w:pPr>
    </w:p>
    <w:p w:rsidR="006D4138" w:rsidRDefault="006D4138" w:rsidP="00511B9B">
      <w:pPr>
        <w:spacing w:after="0"/>
        <w:jc w:val="center"/>
        <w:rPr>
          <w:rFonts w:ascii="Times New Roman" w:hAnsi="Times New Roman"/>
          <w:iCs/>
          <w:sz w:val="24"/>
          <w:szCs w:val="24"/>
        </w:rPr>
      </w:pPr>
    </w:p>
    <w:p w:rsidR="006D4138" w:rsidRDefault="006D4138" w:rsidP="00511B9B">
      <w:pPr>
        <w:spacing w:after="0"/>
        <w:jc w:val="center"/>
        <w:rPr>
          <w:rFonts w:ascii="Times New Roman" w:hAnsi="Times New Roman"/>
          <w:iCs/>
          <w:sz w:val="24"/>
          <w:szCs w:val="24"/>
        </w:rPr>
      </w:pPr>
    </w:p>
    <w:p w:rsidR="00566840" w:rsidRPr="00515061" w:rsidRDefault="00566840" w:rsidP="00511B9B">
      <w:pPr>
        <w:spacing w:after="0"/>
        <w:jc w:val="center"/>
        <w:rPr>
          <w:rFonts w:ascii="Times New Roman" w:hAnsi="Times New Roman"/>
          <w:iCs/>
          <w:sz w:val="24"/>
          <w:szCs w:val="24"/>
        </w:rPr>
      </w:pPr>
    </w:p>
    <w:p w:rsidR="00CA14D5" w:rsidRPr="00CA14D5" w:rsidRDefault="00462E20" w:rsidP="00CA14D5">
      <w:pPr>
        <w:jc w:val="center"/>
        <w:rPr>
          <w:rFonts w:ascii="Times New Roman" w:hAnsi="Times New Roman" w:cs="Times New Roman"/>
          <w:b/>
          <w:bCs/>
          <w:sz w:val="24"/>
          <w:szCs w:val="24"/>
        </w:rPr>
      </w:pPr>
      <w:r w:rsidRPr="00CA14D5">
        <w:rPr>
          <w:rFonts w:ascii="Times New Roman" w:hAnsi="Times New Roman" w:cs="Times New Roman"/>
          <w:b/>
          <w:bCs/>
          <w:iCs/>
          <w:sz w:val="24"/>
          <w:szCs w:val="24"/>
        </w:rPr>
        <w:t xml:space="preserve">The Hon. </w:t>
      </w:r>
      <w:r w:rsidR="00442CAB">
        <w:rPr>
          <w:rFonts w:ascii="Times New Roman" w:hAnsi="Times New Roman" w:cs="Times New Roman"/>
          <w:b/>
          <w:bCs/>
          <w:sz w:val="24"/>
          <w:szCs w:val="24"/>
        </w:rPr>
        <w:t>David Littlep</w:t>
      </w:r>
      <w:r w:rsidR="00017BE4">
        <w:rPr>
          <w:rFonts w:ascii="Times New Roman" w:hAnsi="Times New Roman" w:cs="Times New Roman"/>
          <w:b/>
          <w:bCs/>
          <w:sz w:val="24"/>
          <w:szCs w:val="24"/>
        </w:rPr>
        <w:t>roud MP</w:t>
      </w:r>
    </w:p>
    <w:p w:rsidR="00CA14D5" w:rsidRPr="00CA14D5" w:rsidRDefault="00CA14D5" w:rsidP="00CA14D5">
      <w:pPr>
        <w:jc w:val="center"/>
        <w:rPr>
          <w:rFonts w:ascii="Times New Roman" w:hAnsi="Times New Roman" w:cs="Times New Roman"/>
          <w:b/>
          <w:bCs/>
          <w:sz w:val="24"/>
          <w:szCs w:val="24"/>
        </w:rPr>
      </w:pPr>
      <w:r w:rsidRPr="00CA14D5">
        <w:rPr>
          <w:rFonts w:ascii="Times New Roman" w:hAnsi="Times New Roman" w:cs="Times New Roman"/>
          <w:b/>
          <w:bCs/>
          <w:sz w:val="24"/>
          <w:szCs w:val="24"/>
        </w:rPr>
        <w:t>Minister for Agriculture and Water Resources</w:t>
      </w:r>
    </w:p>
    <w:p w:rsidR="00462E20" w:rsidRPr="00CA14D5" w:rsidRDefault="00462E20" w:rsidP="00CA14D5">
      <w:pPr>
        <w:spacing w:after="0"/>
        <w:jc w:val="center"/>
        <w:rPr>
          <w:rFonts w:ascii="Times New Roman" w:hAnsi="Times New Roman" w:cs="Times New Roman"/>
          <w:b/>
          <w:bCs/>
          <w:iCs/>
          <w:sz w:val="24"/>
          <w:szCs w:val="24"/>
        </w:rPr>
      </w:pPr>
    </w:p>
    <w:sectPr w:rsidR="00462E20" w:rsidRPr="00CA14D5" w:rsidSect="00A776AD">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4E" w:rsidRDefault="0096024E" w:rsidP="00151C54">
      <w:r>
        <w:separator/>
      </w:r>
    </w:p>
  </w:endnote>
  <w:endnote w:type="continuationSeparator" w:id="0">
    <w:p w:rsidR="0096024E" w:rsidRDefault="0096024E"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885014"/>
      <w:docPartObj>
        <w:docPartGallery w:val="Page Numbers (Bottom of Page)"/>
        <w:docPartUnique/>
      </w:docPartObj>
    </w:sdtPr>
    <w:sdtEndPr>
      <w:rPr>
        <w:rFonts w:ascii="Times New Roman" w:hAnsi="Times New Roman" w:cs="Times New Roman"/>
        <w:noProof/>
        <w:sz w:val="22"/>
        <w:szCs w:val="22"/>
      </w:rPr>
    </w:sdtEndPr>
    <w:sdtContent>
      <w:p w:rsidR="00166169" w:rsidRDefault="00166169">
        <w:pPr>
          <w:pStyle w:val="Footer"/>
          <w:jc w:val="center"/>
          <w:rPr>
            <w:rFonts w:ascii="Times New Roman" w:hAnsi="Times New Roman" w:cs="Times New Roman"/>
            <w:noProof/>
            <w:sz w:val="22"/>
            <w:szCs w:val="22"/>
          </w:rPr>
        </w:pPr>
        <w:r w:rsidRPr="00290270">
          <w:rPr>
            <w:rFonts w:ascii="Times New Roman" w:hAnsi="Times New Roman" w:cs="Times New Roman"/>
            <w:sz w:val="22"/>
            <w:szCs w:val="22"/>
          </w:rPr>
          <w:fldChar w:fldCharType="begin"/>
        </w:r>
        <w:r w:rsidRPr="00290270">
          <w:rPr>
            <w:rFonts w:ascii="Times New Roman" w:hAnsi="Times New Roman" w:cs="Times New Roman"/>
            <w:sz w:val="22"/>
            <w:szCs w:val="22"/>
          </w:rPr>
          <w:instrText xml:space="preserve"> PAGE   \* MERGEFORMAT </w:instrText>
        </w:r>
        <w:r w:rsidRPr="00290270">
          <w:rPr>
            <w:rFonts w:ascii="Times New Roman" w:hAnsi="Times New Roman" w:cs="Times New Roman"/>
            <w:sz w:val="22"/>
            <w:szCs w:val="22"/>
          </w:rPr>
          <w:fldChar w:fldCharType="separate"/>
        </w:r>
        <w:r w:rsidR="00F22747">
          <w:rPr>
            <w:rFonts w:ascii="Times New Roman" w:hAnsi="Times New Roman" w:cs="Times New Roman"/>
            <w:noProof/>
            <w:sz w:val="22"/>
            <w:szCs w:val="22"/>
          </w:rPr>
          <w:t>2</w:t>
        </w:r>
        <w:r w:rsidRPr="00290270">
          <w:rPr>
            <w:rFonts w:ascii="Times New Roman" w:hAnsi="Times New Roman" w:cs="Times New Roman"/>
            <w:noProof/>
            <w:sz w:val="22"/>
            <w:szCs w:val="22"/>
          </w:rPr>
          <w:fldChar w:fldCharType="end"/>
        </w:r>
      </w:p>
    </w:sdtContent>
  </w:sdt>
  <w:p w:rsidR="00166169" w:rsidRPr="00A116C5" w:rsidRDefault="00166169" w:rsidP="00A116C5">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169" w:rsidRDefault="00166169">
    <w:pPr>
      <w:pStyle w:val="Footer"/>
    </w:pPr>
  </w:p>
  <w:p w:rsidR="00166169" w:rsidRPr="00FF1EC8" w:rsidRDefault="00166169" w:rsidP="00871970">
    <w:pPr>
      <w:pStyle w:val="Footer"/>
      <w:rPr>
        <w:sz w:val="16"/>
      </w:rPr>
    </w:pPr>
    <w:r>
      <w:rPr>
        <w:sz w:val="16"/>
      </w:rPr>
      <w:fldChar w:fldCharType="begin"/>
    </w:r>
    <w:r>
      <w:rPr>
        <w:sz w:val="16"/>
      </w:rPr>
      <w:instrText xml:space="preserve"> DOCPROPERTY  WSFooter  \* MERGEFORMAT </w:instrText>
    </w:r>
    <w:r>
      <w:rPr>
        <w:sz w:val="16"/>
      </w:rPr>
      <w:fldChar w:fldCharType="separate"/>
    </w:r>
    <w:r w:rsidR="00DF74E7">
      <w:rPr>
        <w:sz w:val="16"/>
      </w:rPr>
      <w:t>29986550</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693595"/>
      <w:docPartObj>
        <w:docPartGallery w:val="Page Numbers (Bottom of Page)"/>
        <w:docPartUnique/>
      </w:docPartObj>
    </w:sdtPr>
    <w:sdtEndPr>
      <w:rPr>
        <w:rFonts w:ascii="Times New Roman" w:hAnsi="Times New Roman" w:cs="Times New Roman"/>
        <w:noProof/>
        <w:sz w:val="22"/>
        <w:szCs w:val="22"/>
      </w:rPr>
    </w:sdtEndPr>
    <w:sdtContent>
      <w:p w:rsidR="00166169" w:rsidRDefault="00166169">
        <w:pPr>
          <w:pStyle w:val="Footer"/>
          <w:jc w:val="center"/>
          <w:rPr>
            <w:rFonts w:ascii="Times New Roman" w:hAnsi="Times New Roman" w:cs="Times New Roman"/>
            <w:noProof/>
            <w:sz w:val="22"/>
            <w:szCs w:val="22"/>
          </w:rPr>
        </w:pPr>
        <w:r w:rsidRPr="00511B9B">
          <w:rPr>
            <w:rFonts w:ascii="Times New Roman" w:hAnsi="Times New Roman" w:cs="Times New Roman"/>
            <w:sz w:val="22"/>
            <w:szCs w:val="22"/>
          </w:rPr>
          <w:fldChar w:fldCharType="begin"/>
        </w:r>
        <w:r w:rsidRPr="00511B9B">
          <w:rPr>
            <w:rFonts w:ascii="Times New Roman" w:hAnsi="Times New Roman" w:cs="Times New Roman"/>
            <w:sz w:val="22"/>
            <w:szCs w:val="22"/>
          </w:rPr>
          <w:instrText xml:space="preserve"> PAGE   \* MERGEFORMAT </w:instrText>
        </w:r>
        <w:r w:rsidRPr="00511B9B">
          <w:rPr>
            <w:rFonts w:ascii="Times New Roman" w:hAnsi="Times New Roman" w:cs="Times New Roman"/>
            <w:sz w:val="22"/>
            <w:szCs w:val="22"/>
          </w:rPr>
          <w:fldChar w:fldCharType="separate"/>
        </w:r>
        <w:r w:rsidR="00DF74E7">
          <w:rPr>
            <w:rFonts w:ascii="Times New Roman" w:hAnsi="Times New Roman" w:cs="Times New Roman"/>
            <w:noProof/>
            <w:sz w:val="22"/>
            <w:szCs w:val="22"/>
          </w:rPr>
          <w:t>1</w:t>
        </w:r>
        <w:r w:rsidRPr="00511B9B">
          <w:rPr>
            <w:rFonts w:ascii="Times New Roman" w:hAnsi="Times New Roman" w:cs="Times New Roman"/>
            <w:noProof/>
            <w:sz w:val="22"/>
            <w:szCs w:val="22"/>
          </w:rPr>
          <w:fldChar w:fldCharType="end"/>
        </w:r>
      </w:p>
    </w:sdtContent>
  </w:sdt>
  <w:p w:rsidR="00166169" w:rsidRPr="00995536" w:rsidRDefault="00166169" w:rsidP="00995536">
    <w:pPr>
      <w:pStyle w:val="Footer"/>
      <w:rPr>
        <w:sz w:val="16"/>
      </w:rPr>
    </w:pPr>
    <w:r>
      <w:rPr>
        <w:sz w:val="16"/>
      </w:rPr>
      <w:fldChar w:fldCharType="begin"/>
    </w:r>
    <w:r>
      <w:rPr>
        <w:sz w:val="16"/>
      </w:rPr>
      <w:instrText xml:space="preserve"> DOCPROPERTY  WSFooter  \* MERGEFORMAT </w:instrText>
    </w:r>
    <w:r>
      <w:rPr>
        <w:sz w:val="16"/>
      </w:rPr>
      <w:fldChar w:fldCharType="separate"/>
    </w:r>
    <w:r w:rsidR="00DF74E7">
      <w:rPr>
        <w:sz w:val="16"/>
      </w:rPr>
      <w:t>29986550</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4E" w:rsidRDefault="0096024E" w:rsidP="00151C54">
      <w:r>
        <w:separator/>
      </w:r>
    </w:p>
  </w:footnote>
  <w:footnote w:type="continuationSeparator" w:id="0">
    <w:p w:rsidR="0096024E" w:rsidRDefault="0096024E"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D95"/>
    <w:multiLevelType w:val="hybridMultilevel"/>
    <w:tmpl w:val="97AE9BE4"/>
    <w:lvl w:ilvl="0" w:tplc="374A9BFE">
      <w:start w:val="7"/>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6230E4"/>
    <w:multiLevelType w:val="hybridMultilevel"/>
    <w:tmpl w:val="CF2C5E84"/>
    <w:lvl w:ilvl="0" w:tplc="90E67242">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3E65F4"/>
    <w:multiLevelType w:val="hybridMultilevel"/>
    <w:tmpl w:val="95AEE068"/>
    <w:lvl w:ilvl="0" w:tplc="90E67242">
      <w:numFmt w:val="bullet"/>
      <w:lvlText w:val="-"/>
      <w:lvlJc w:val="left"/>
      <w:pPr>
        <w:ind w:left="1440" w:hanging="360"/>
      </w:pPr>
      <w:rPr>
        <w:rFonts w:ascii="Calibri" w:eastAsiaTheme="minorHAnsi" w:hAnsi="Calibri" w:cstheme="minorBidi" w:hint="default"/>
      </w:rPr>
    </w:lvl>
    <w:lvl w:ilvl="1" w:tplc="90E67242">
      <w:numFmt w:val="bullet"/>
      <w:lvlText w:val="-"/>
      <w:lvlJc w:val="left"/>
      <w:pPr>
        <w:ind w:left="2160" w:hanging="360"/>
      </w:pPr>
      <w:rPr>
        <w:rFonts w:ascii="Calibri" w:eastAsiaTheme="minorHAnsi" w:hAnsi="Calibri"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4B274FE"/>
    <w:multiLevelType w:val="hybridMultilevel"/>
    <w:tmpl w:val="EF1829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200E80"/>
    <w:multiLevelType w:val="hybridMultilevel"/>
    <w:tmpl w:val="542EFF4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581229"/>
    <w:multiLevelType w:val="hybridMultilevel"/>
    <w:tmpl w:val="D49C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7" w15:restartNumberingAfterBreak="0">
    <w:nsid w:val="3809718D"/>
    <w:multiLevelType w:val="hybridMultilevel"/>
    <w:tmpl w:val="97ECA9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50B0793"/>
    <w:multiLevelType w:val="hybridMultilevel"/>
    <w:tmpl w:val="754456DC"/>
    <w:lvl w:ilvl="0" w:tplc="9CE0C90C">
      <w:start w:val="4"/>
      <w:numFmt w:val="lowerLetter"/>
      <w:lvlText w:val="%1)"/>
      <w:lvlJc w:val="left"/>
      <w:pPr>
        <w:ind w:left="108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5AB70F7"/>
    <w:multiLevelType w:val="hybridMultilevel"/>
    <w:tmpl w:val="E8386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F13983"/>
    <w:multiLevelType w:val="hybridMultilevel"/>
    <w:tmpl w:val="3F8EB3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81357EA"/>
    <w:multiLevelType w:val="hybridMultilevel"/>
    <w:tmpl w:val="C53AC294"/>
    <w:lvl w:ilvl="0" w:tplc="E3FE19D0">
      <w:start w:val="3"/>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A9737A8"/>
    <w:multiLevelType w:val="hybridMultilevel"/>
    <w:tmpl w:val="BF5CDB16"/>
    <w:lvl w:ilvl="0" w:tplc="0C090017">
      <w:start w:val="1"/>
      <w:numFmt w:val="lowerLetter"/>
      <w:lvlText w:val="%1)"/>
      <w:lvlJc w:val="left"/>
      <w:pPr>
        <w:ind w:left="720" w:hanging="360"/>
      </w:pPr>
    </w:lvl>
    <w:lvl w:ilvl="1" w:tplc="8ACE88A6">
      <w:numFmt w:val="bullet"/>
      <w:lvlText w:val="-"/>
      <w:lvlJc w:val="left"/>
      <w:pPr>
        <w:ind w:left="1440" w:hanging="360"/>
      </w:pPr>
      <w:rPr>
        <w:rFonts w:ascii="Times New Roman" w:eastAsiaTheme="minorEastAsia"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790F3C"/>
    <w:multiLevelType w:val="hybridMultilevel"/>
    <w:tmpl w:val="E9F272B8"/>
    <w:lvl w:ilvl="0" w:tplc="90E6724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21AB1"/>
    <w:multiLevelType w:val="hybridMultilevel"/>
    <w:tmpl w:val="5E346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4F73D2"/>
    <w:multiLevelType w:val="hybridMultilevel"/>
    <w:tmpl w:val="1A92A698"/>
    <w:lvl w:ilvl="0" w:tplc="90E6724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CD1F6E"/>
    <w:multiLevelType w:val="hybridMultilevel"/>
    <w:tmpl w:val="DC02E71E"/>
    <w:lvl w:ilvl="0" w:tplc="00F2A2DA">
      <w:start w:val="1"/>
      <w:numFmt w:val="lowerLetter"/>
      <w:lvlText w:val="%1)"/>
      <w:lvlJc w:val="left"/>
      <w:pPr>
        <w:ind w:left="1080" w:hanging="360"/>
      </w:pPr>
      <w:rPr>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7F92B49"/>
    <w:multiLevelType w:val="hybridMultilevel"/>
    <w:tmpl w:val="A9EA1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92741D"/>
    <w:multiLevelType w:val="hybridMultilevel"/>
    <w:tmpl w:val="AD68174E"/>
    <w:lvl w:ilvl="0" w:tplc="CFE06936">
      <w:start w:val="6"/>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91E73FC"/>
    <w:multiLevelType w:val="hybridMultilevel"/>
    <w:tmpl w:val="CB5E4F9C"/>
    <w:lvl w:ilvl="0" w:tplc="C9C2D382">
      <w:start w:val="5"/>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2C21CD"/>
    <w:multiLevelType w:val="hybridMultilevel"/>
    <w:tmpl w:val="C6927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6"/>
  </w:num>
  <w:num w:numId="2">
    <w:abstractNumId w:val="22"/>
  </w:num>
  <w:num w:numId="3">
    <w:abstractNumId w:val="8"/>
  </w:num>
  <w:num w:numId="4">
    <w:abstractNumId w:val="3"/>
  </w:num>
  <w:num w:numId="5">
    <w:abstractNumId w:val="21"/>
  </w:num>
  <w:num w:numId="6">
    <w:abstractNumId w:val="10"/>
  </w:num>
  <w:num w:numId="7">
    <w:abstractNumId w:val="15"/>
  </w:num>
  <w:num w:numId="8">
    <w:abstractNumId w:val="5"/>
  </w:num>
  <w:num w:numId="9">
    <w:abstractNumId w:val="13"/>
  </w:num>
  <w:num w:numId="10">
    <w:abstractNumId w:val="7"/>
  </w:num>
  <w:num w:numId="11">
    <w:abstractNumId w:val="14"/>
  </w:num>
  <w:num w:numId="12">
    <w:abstractNumId w:val="1"/>
  </w:num>
  <w:num w:numId="13">
    <w:abstractNumId w:val="2"/>
  </w:num>
  <w:num w:numId="14">
    <w:abstractNumId w:val="16"/>
  </w:num>
  <w:num w:numId="15">
    <w:abstractNumId w:val="4"/>
  </w:num>
  <w:num w:numId="16">
    <w:abstractNumId w:val="17"/>
  </w:num>
  <w:num w:numId="17">
    <w:abstractNumId w:val="12"/>
  </w:num>
  <w:num w:numId="18">
    <w:abstractNumId w:val="9"/>
  </w:num>
  <w:num w:numId="19">
    <w:abstractNumId w:val="20"/>
  </w:num>
  <w:num w:numId="20">
    <w:abstractNumId w:val="19"/>
  </w:num>
  <w:num w:numId="21">
    <w:abstractNumId w:val="0"/>
  </w:num>
  <w:num w:numId="22">
    <w:abstractNumId w:val="18"/>
  </w:num>
  <w:num w:numId="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09CA"/>
    <w:rsid w:val="00000D71"/>
    <w:rsid w:val="00001283"/>
    <w:rsid w:val="00003168"/>
    <w:rsid w:val="00003855"/>
    <w:rsid w:val="00003B3E"/>
    <w:rsid w:val="0000459A"/>
    <w:rsid w:val="0000542D"/>
    <w:rsid w:val="0000636F"/>
    <w:rsid w:val="000104C4"/>
    <w:rsid w:val="000112C4"/>
    <w:rsid w:val="0001424E"/>
    <w:rsid w:val="0001585F"/>
    <w:rsid w:val="0001696D"/>
    <w:rsid w:val="00016B22"/>
    <w:rsid w:val="00016D4E"/>
    <w:rsid w:val="00017BE4"/>
    <w:rsid w:val="000223C5"/>
    <w:rsid w:val="00023409"/>
    <w:rsid w:val="000240FC"/>
    <w:rsid w:val="00026EF6"/>
    <w:rsid w:val="0003549F"/>
    <w:rsid w:val="00035636"/>
    <w:rsid w:val="00036E22"/>
    <w:rsid w:val="00041A39"/>
    <w:rsid w:val="00041C68"/>
    <w:rsid w:val="00042A0A"/>
    <w:rsid w:val="000444F2"/>
    <w:rsid w:val="000455B8"/>
    <w:rsid w:val="00045B65"/>
    <w:rsid w:val="0004612B"/>
    <w:rsid w:val="0004663D"/>
    <w:rsid w:val="000503F4"/>
    <w:rsid w:val="00050A4E"/>
    <w:rsid w:val="0005169C"/>
    <w:rsid w:val="00057399"/>
    <w:rsid w:val="000629B8"/>
    <w:rsid w:val="00063464"/>
    <w:rsid w:val="000645AB"/>
    <w:rsid w:val="000658AA"/>
    <w:rsid w:val="00066319"/>
    <w:rsid w:val="000724DF"/>
    <w:rsid w:val="00075C1C"/>
    <w:rsid w:val="00077F92"/>
    <w:rsid w:val="0008166E"/>
    <w:rsid w:val="00087406"/>
    <w:rsid w:val="00090544"/>
    <w:rsid w:val="0009187A"/>
    <w:rsid w:val="00091BB2"/>
    <w:rsid w:val="00092F2C"/>
    <w:rsid w:val="000962BA"/>
    <w:rsid w:val="000966CB"/>
    <w:rsid w:val="000976DB"/>
    <w:rsid w:val="000A1E8F"/>
    <w:rsid w:val="000A2A89"/>
    <w:rsid w:val="000A3383"/>
    <w:rsid w:val="000A52A2"/>
    <w:rsid w:val="000A65F6"/>
    <w:rsid w:val="000B0AC3"/>
    <w:rsid w:val="000B129E"/>
    <w:rsid w:val="000B12B5"/>
    <w:rsid w:val="000B26A9"/>
    <w:rsid w:val="000B36C5"/>
    <w:rsid w:val="000B497D"/>
    <w:rsid w:val="000C0031"/>
    <w:rsid w:val="000C177C"/>
    <w:rsid w:val="000C3693"/>
    <w:rsid w:val="000C7B8E"/>
    <w:rsid w:val="000D07B5"/>
    <w:rsid w:val="000D4A99"/>
    <w:rsid w:val="000D606D"/>
    <w:rsid w:val="000D63A9"/>
    <w:rsid w:val="000D78D6"/>
    <w:rsid w:val="000E0BAA"/>
    <w:rsid w:val="000E12C4"/>
    <w:rsid w:val="000E382B"/>
    <w:rsid w:val="000E7020"/>
    <w:rsid w:val="000F08F2"/>
    <w:rsid w:val="000F0DD9"/>
    <w:rsid w:val="000F1313"/>
    <w:rsid w:val="000F2F4B"/>
    <w:rsid w:val="000F52CA"/>
    <w:rsid w:val="000F566C"/>
    <w:rsid w:val="000F66FF"/>
    <w:rsid w:val="0010142C"/>
    <w:rsid w:val="00102163"/>
    <w:rsid w:val="00102662"/>
    <w:rsid w:val="00105129"/>
    <w:rsid w:val="00105EDF"/>
    <w:rsid w:val="001061B1"/>
    <w:rsid w:val="0010644D"/>
    <w:rsid w:val="001072A1"/>
    <w:rsid w:val="00111018"/>
    <w:rsid w:val="00111065"/>
    <w:rsid w:val="001125D9"/>
    <w:rsid w:val="00113549"/>
    <w:rsid w:val="00113C4E"/>
    <w:rsid w:val="00115DAC"/>
    <w:rsid w:val="0012062A"/>
    <w:rsid w:val="00124979"/>
    <w:rsid w:val="00125507"/>
    <w:rsid w:val="00126584"/>
    <w:rsid w:val="00127498"/>
    <w:rsid w:val="0012775E"/>
    <w:rsid w:val="00127A29"/>
    <w:rsid w:val="001372D1"/>
    <w:rsid w:val="001421BC"/>
    <w:rsid w:val="00142A3A"/>
    <w:rsid w:val="00143D86"/>
    <w:rsid w:val="00151C54"/>
    <w:rsid w:val="00151DF0"/>
    <w:rsid w:val="00153032"/>
    <w:rsid w:val="00154162"/>
    <w:rsid w:val="00154B6B"/>
    <w:rsid w:val="00155F84"/>
    <w:rsid w:val="00156C03"/>
    <w:rsid w:val="001613E9"/>
    <w:rsid w:val="00161CE2"/>
    <w:rsid w:val="00166169"/>
    <w:rsid w:val="001669D6"/>
    <w:rsid w:val="00166B44"/>
    <w:rsid w:val="001718B5"/>
    <w:rsid w:val="00171C6C"/>
    <w:rsid w:val="00173375"/>
    <w:rsid w:val="001746B7"/>
    <w:rsid w:val="00175124"/>
    <w:rsid w:val="00175A86"/>
    <w:rsid w:val="00175BD8"/>
    <w:rsid w:val="00176925"/>
    <w:rsid w:val="0018060E"/>
    <w:rsid w:val="00180DEF"/>
    <w:rsid w:val="001813AC"/>
    <w:rsid w:val="00181F5C"/>
    <w:rsid w:val="0018228A"/>
    <w:rsid w:val="001832CF"/>
    <w:rsid w:val="001841FB"/>
    <w:rsid w:val="00185FC2"/>
    <w:rsid w:val="00186C59"/>
    <w:rsid w:val="0019035C"/>
    <w:rsid w:val="00192D07"/>
    <w:rsid w:val="00193D66"/>
    <w:rsid w:val="00193EF0"/>
    <w:rsid w:val="00194D8A"/>
    <w:rsid w:val="00195361"/>
    <w:rsid w:val="001A02C0"/>
    <w:rsid w:val="001A21FE"/>
    <w:rsid w:val="001A5CE3"/>
    <w:rsid w:val="001B14DA"/>
    <w:rsid w:val="001B1EA7"/>
    <w:rsid w:val="001B57AF"/>
    <w:rsid w:val="001C09FB"/>
    <w:rsid w:val="001C34EA"/>
    <w:rsid w:val="001C4C8F"/>
    <w:rsid w:val="001C4D78"/>
    <w:rsid w:val="001D006D"/>
    <w:rsid w:val="001D0D27"/>
    <w:rsid w:val="001D137B"/>
    <w:rsid w:val="001D23E8"/>
    <w:rsid w:val="001D653C"/>
    <w:rsid w:val="001E0B4E"/>
    <w:rsid w:val="001E0D7B"/>
    <w:rsid w:val="001E1A14"/>
    <w:rsid w:val="001E2B0B"/>
    <w:rsid w:val="001E6727"/>
    <w:rsid w:val="001F0224"/>
    <w:rsid w:val="001F0EB2"/>
    <w:rsid w:val="001F410D"/>
    <w:rsid w:val="001F47AF"/>
    <w:rsid w:val="001F57B9"/>
    <w:rsid w:val="001F5A48"/>
    <w:rsid w:val="001F679D"/>
    <w:rsid w:val="001F6C35"/>
    <w:rsid w:val="00200CD7"/>
    <w:rsid w:val="00200EC4"/>
    <w:rsid w:val="002039E3"/>
    <w:rsid w:val="00203AAB"/>
    <w:rsid w:val="002059F1"/>
    <w:rsid w:val="0021143F"/>
    <w:rsid w:val="0021219B"/>
    <w:rsid w:val="002158E9"/>
    <w:rsid w:val="0021669C"/>
    <w:rsid w:val="002213F8"/>
    <w:rsid w:val="00221489"/>
    <w:rsid w:val="00222D21"/>
    <w:rsid w:val="00223132"/>
    <w:rsid w:val="0022346A"/>
    <w:rsid w:val="00224D28"/>
    <w:rsid w:val="0022530F"/>
    <w:rsid w:val="002257E2"/>
    <w:rsid w:val="00225F14"/>
    <w:rsid w:val="00226300"/>
    <w:rsid w:val="00227E36"/>
    <w:rsid w:val="00227FCD"/>
    <w:rsid w:val="00230FAC"/>
    <w:rsid w:val="00231B1A"/>
    <w:rsid w:val="00232442"/>
    <w:rsid w:val="0023244D"/>
    <w:rsid w:val="00234019"/>
    <w:rsid w:val="00240117"/>
    <w:rsid w:val="00240128"/>
    <w:rsid w:val="002401CB"/>
    <w:rsid w:val="00242647"/>
    <w:rsid w:val="00244E7F"/>
    <w:rsid w:val="00245752"/>
    <w:rsid w:val="00245C60"/>
    <w:rsid w:val="00247BE5"/>
    <w:rsid w:val="0025307C"/>
    <w:rsid w:val="00253AB7"/>
    <w:rsid w:val="00254BAB"/>
    <w:rsid w:val="00255CBD"/>
    <w:rsid w:val="0025773E"/>
    <w:rsid w:val="00262041"/>
    <w:rsid w:val="002653CF"/>
    <w:rsid w:val="00271068"/>
    <w:rsid w:val="00271C2E"/>
    <w:rsid w:val="002737B5"/>
    <w:rsid w:val="00273C11"/>
    <w:rsid w:val="0028049C"/>
    <w:rsid w:val="00281CE5"/>
    <w:rsid w:val="00282295"/>
    <w:rsid w:val="00283E15"/>
    <w:rsid w:val="0028557B"/>
    <w:rsid w:val="00285616"/>
    <w:rsid w:val="0028562B"/>
    <w:rsid w:val="00286BA9"/>
    <w:rsid w:val="00286F0A"/>
    <w:rsid w:val="00290270"/>
    <w:rsid w:val="0029379E"/>
    <w:rsid w:val="002968FF"/>
    <w:rsid w:val="00296A32"/>
    <w:rsid w:val="0029727D"/>
    <w:rsid w:val="002A1BBA"/>
    <w:rsid w:val="002A1DF6"/>
    <w:rsid w:val="002A367D"/>
    <w:rsid w:val="002A378A"/>
    <w:rsid w:val="002A500B"/>
    <w:rsid w:val="002A74C5"/>
    <w:rsid w:val="002B1DB3"/>
    <w:rsid w:val="002B2B54"/>
    <w:rsid w:val="002B3794"/>
    <w:rsid w:val="002B42B9"/>
    <w:rsid w:val="002C0EC6"/>
    <w:rsid w:val="002C26C0"/>
    <w:rsid w:val="002C40B9"/>
    <w:rsid w:val="002C550A"/>
    <w:rsid w:val="002D2972"/>
    <w:rsid w:val="002D3A77"/>
    <w:rsid w:val="002D3C1B"/>
    <w:rsid w:val="002D3CE5"/>
    <w:rsid w:val="002D41BA"/>
    <w:rsid w:val="002D6351"/>
    <w:rsid w:val="002D6BDE"/>
    <w:rsid w:val="002D7EAA"/>
    <w:rsid w:val="002E1A40"/>
    <w:rsid w:val="002F1115"/>
    <w:rsid w:val="002F1E13"/>
    <w:rsid w:val="002F2F4C"/>
    <w:rsid w:val="002F449C"/>
    <w:rsid w:val="002F629E"/>
    <w:rsid w:val="002F657A"/>
    <w:rsid w:val="002F6F3E"/>
    <w:rsid w:val="003015AF"/>
    <w:rsid w:val="0030320B"/>
    <w:rsid w:val="00305F96"/>
    <w:rsid w:val="003064B1"/>
    <w:rsid w:val="00311C1E"/>
    <w:rsid w:val="00312B0C"/>
    <w:rsid w:val="00313BF9"/>
    <w:rsid w:val="00314B3B"/>
    <w:rsid w:val="003222D2"/>
    <w:rsid w:val="0032250D"/>
    <w:rsid w:val="003228F6"/>
    <w:rsid w:val="00326022"/>
    <w:rsid w:val="0032621F"/>
    <w:rsid w:val="00326BDE"/>
    <w:rsid w:val="00331A64"/>
    <w:rsid w:val="003345FD"/>
    <w:rsid w:val="003352D0"/>
    <w:rsid w:val="00335F99"/>
    <w:rsid w:val="00340E42"/>
    <w:rsid w:val="0034113D"/>
    <w:rsid w:val="00344C0B"/>
    <w:rsid w:val="00346FBE"/>
    <w:rsid w:val="00347773"/>
    <w:rsid w:val="00351F14"/>
    <w:rsid w:val="00355347"/>
    <w:rsid w:val="00355388"/>
    <w:rsid w:val="00356CA9"/>
    <w:rsid w:val="00360508"/>
    <w:rsid w:val="00360BA8"/>
    <w:rsid w:val="00360BC5"/>
    <w:rsid w:val="003619AA"/>
    <w:rsid w:val="00365085"/>
    <w:rsid w:val="003661B1"/>
    <w:rsid w:val="003710C0"/>
    <w:rsid w:val="0037276D"/>
    <w:rsid w:val="00373068"/>
    <w:rsid w:val="003755DC"/>
    <w:rsid w:val="003823F3"/>
    <w:rsid w:val="00382C1F"/>
    <w:rsid w:val="003869BF"/>
    <w:rsid w:val="00392312"/>
    <w:rsid w:val="00392390"/>
    <w:rsid w:val="0039787E"/>
    <w:rsid w:val="00397EA4"/>
    <w:rsid w:val="003A2479"/>
    <w:rsid w:val="003B2BF3"/>
    <w:rsid w:val="003B3582"/>
    <w:rsid w:val="003B3F4F"/>
    <w:rsid w:val="003B5178"/>
    <w:rsid w:val="003B7E8C"/>
    <w:rsid w:val="003C1F9F"/>
    <w:rsid w:val="003C45CA"/>
    <w:rsid w:val="003D0372"/>
    <w:rsid w:val="003D0B5A"/>
    <w:rsid w:val="003D1E54"/>
    <w:rsid w:val="003D4F73"/>
    <w:rsid w:val="003D5F67"/>
    <w:rsid w:val="003D66CD"/>
    <w:rsid w:val="003D6D6F"/>
    <w:rsid w:val="003D7BE9"/>
    <w:rsid w:val="003E0906"/>
    <w:rsid w:val="003E1D7B"/>
    <w:rsid w:val="003E5A9B"/>
    <w:rsid w:val="003E5CA0"/>
    <w:rsid w:val="003E5E0B"/>
    <w:rsid w:val="003E773B"/>
    <w:rsid w:val="003F3017"/>
    <w:rsid w:val="003F3A75"/>
    <w:rsid w:val="003F42B2"/>
    <w:rsid w:val="003F4464"/>
    <w:rsid w:val="003F5618"/>
    <w:rsid w:val="003F5F9C"/>
    <w:rsid w:val="003F6124"/>
    <w:rsid w:val="003F63F0"/>
    <w:rsid w:val="003F653D"/>
    <w:rsid w:val="003F6D1E"/>
    <w:rsid w:val="003F7EB7"/>
    <w:rsid w:val="00402F72"/>
    <w:rsid w:val="00403878"/>
    <w:rsid w:val="00406294"/>
    <w:rsid w:val="00415209"/>
    <w:rsid w:val="00415228"/>
    <w:rsid w:val="00415D32"/>
    <w:rsid w:val="00417598"/>
    <w:rsid w:val="0042019D"/>
    <w:rsid w:val="004223EC"/>
    <w:rsid w:val="004233E0"/>
    <w:rsid w:val="004301A4"/>
    <w:rsid w:val="00430440"/>
    <w:rsid w:val="004319DD"/>
    <w:rsid w:val="004345AD"/>
    <w:rsid w:val="004358E6"/>
    <w:rsid w:val="00435B2B"/>
    <w:rsid w:val="0043767E"/>
    <w:rsid w:val="00441D01"/>
    <w:rsid w:val="00441F62"/>
    <w:rsid w:val="00442785"/>
    <w:rsid w:val="00442CAB"/>
    <w:rsid w:val="00443F5E"/>
    <w:rsid w:val="00443F64"/>
    <w:rsid w:val="004464B9"/>
    <w:rsid w:val="004465FF"/>
    <w:rsid w:val="00446A72"/>
    <w:rsid w:val="0045372B"/>
    <w:rsid w:val="004565E0"/>
    <w:rsid w:val="004607C8"/>
    <w:rsid w:val="00461420"/>
    <w:rsid w:val="00462B73"/>
    <w:rsid w:val="00462E20"/>
    <w:rsid w:val="00463D8F"/>
    <w:rsid w:val="00470AE8"/>
    <w:rsid w:val="00470D5C"/>
    <w:rsid w:val="0047217C"/>
    <w:rsid w:val="00472628"/>
    <w:rsid w:val="00474BBD"/>
    <w:rsid w:val="00483CF0"/>
    <w:rsid w:val="00483F78"/>
    <w:rsid w:val="00485C1E"/>
    <w:rsid w:val="00486239"/>
    <w:rsid w:val="00487617"/>
    <w:rsid w:val="004911D1"/>
    <w:rsid w:val="00493B16"/>
    <w:rsid w:val="004A10DC"/>
    <w:rsid w:val="004A2C24"/>
    <w:rsid w:val="004A3A20"/>
    <w:rsid w:val="004A719F"/>
    <w:rsid w:val="004A7236"/>
    <w:rsid w:val="004B0DD7"/>
    <w:rsid w:val="004B0E5E"/>
    <w:rsid w:val="004B5B41"/>
    <w:rsid w:val="004B61BB"/>
    <w:rsid w:val="004C1221"/>
    <w:rsid w:val="004C276E"/>
    <w:rsid w:val="004C5892"/>
    <w:rsid w:val="004C5E4F"/>
    <w:rsid w:val="004C708F"/>
    <w:rsid w:val="004D223F"/>
    <w:rsid w:val="004D257B"/>
    <w:rsid w:val="004D2D59"/>
    <w:rsid w:val="004D37A7"/>
    <w:rsid w:val="004D3F4A"/>
    <w:rsid w:val="004E3514"/>
    <w:rsid w:val="004E41AD"/>
    <w:rsid w:val="004E7280"/>
    <w:rsid w:val="004F2F66"/>
    <w:rsid w:val="004F611C"/>
    <w:rsid w:val="004F6C0D"/>
    <w:rsid w:val="004F7EB1"/>
    <w:rsid w:val="0050279C"/>
    <w:rsid w:val="00502C61"/>
    <w:rsid w:val="00503735"/>
    <w:rsid w:val="0050577F"/>
    <w:rsid w:val="00506E1C"/>
    <w:rsid w:val="0050708B"/>
    <w:rsid w:val="005079D9"/>
    <w:rsid w:val="00511B9B"/>
    <w:rsid w:val="005123BF"/>
    <w:rsid w:val="00515061"/>
    <w:rsid w:val="00517763"/>
    <w:rsid w:val="00517E03"/>
    <w:rsid w:val="0052158A"/>
    <w:rsid w:val="00522306"/>
    <w:rsid w:val="00523158"/>
    <w:rsid w:val="00523612"/>
    <w:rsid w:val="00524522"/>
    <w:rsid w:val="005247AE"/>
    <w:rsid w:val="00525AB0"/>
    <w:rsid w:val="00536411"/>
    <w:rsid w:val="005371A8"/>
    <w:rsid w:val="005372F0"/>
    <w:rsid w:val="005373F3"/>
    <w:rsid w:val="005374F3"/>
    <w:rsid w:val="00540EE4"/>
    <w:rsid w:val="005413A0"/>
    <w:rsid w:val="005432D8"/>
    <w:rsid w:val="00543544"/>
    <w:rsid w:val="0054418A"/>
    <w:rsid w:val="00544AAB"/>
    <w:rsid w:val="00546688"/>
    <w:rsid w:val="00547846"/>
    <w:rsid w:val="005505AB"/>
    <w:rsid w:val="0055431F"/>
    <w:rsid w:val="00561859"/>
    <w:rsid w:val="00561D91"/>
    <w:rsid w:val="00561FC3"/>
    <w:rsid w:val="005631CC"/>
    <w:rsid w:val="005664BC"/>
    <w:rsid w:val="00566840"/>
    <w:rsid w:val="0057163B"/>
    <w:rsid w:val="0057275B"/>
    <w:rsid w:val="00572BFA"/>
    <w:rsid w:val="00573B35"/>
    <w:rsid w:val="00576DBD"/>
    <w:rsid w:val="00577485"/>
    <w:rsid w:val="00582E28"/>
    <w:rsid w:val="005869C8"/>
    <w:rsid w:val="00594C2F"/>
    <w:rsid w:val="005958BB"/>
    <w:rsid w:val="005971A9"/>
    <w:rsid w:val="005A0774"/>
    <w:rsid w:val="005A0DDB"/>
    <w:rsid w:val="005A3E3B"/>
    <w:rsid w:val="005A5712"/>
    <w:rsid w:val="005A5CC6"/>
    <w:rsid w:val="005B1D9A"/>
    <w:rsid w:val="005B4B59"/>
    <w:rsid w:val="005B5810"/>
    <w:rsid w:val="005B63FD"/>
    <w:rsid w:val="005B67FC"/>
    <w:rsid w:val="005B6B55"/>
    <w:rsid w:val="005B759C"/>
    <w:rsid w:val="005C1AC3"/>
    <w:rsid w:val="005C2644"/>
    <w:rsid w:val="005C42C3"/>
    <w:rsid w:val="005C7337"/>
    <w:rsid w:val="005D16FE"/>
    <w:rsid w:val="005D1ABF"/>
    <w:rsid w:val="005D2477"/>
    <w:rsid w:val="005D48E8"/>
    <w:rsid w:val="005D53EF"/>
    <w:rsid w:val="005E0A42"/>
    <w:rsid w:val="005E0E6C"/>
    <w:rsid w:val="005E2716"/>
    <w:rsid w:val="005E3D4B"/>
    <w:rsid w:val="005E59B8"/>
    <w:rsid w:val="005E60BD"/>
    <w:rsid w:val="005E7C80"/>
    <w:rsid w:val="005F09ED"/>
    <w:rsid w:val="005F66F2"/>
    <w:rsid w:val="005F7321"/>
    <w:rsid w:val="006004E0"/>
    <w:rsid w:val="00600753"/>
    <w:rsid w:val="006020E8"/>
    <w:rsid w:val="006022C4"/>
    <w:rsid w:val="00602D63"/>
    <w:rsid w:val="00603C03"/>
    <w:rsid w:val="00604085"/>
    <w:rsid w:val="00607648"/>
    <w:rsid w:val="00611040"/>
    <w:rsid w:val="00611F9E"/>
    <w:rsid w:val="00612997"/>
    <w:rsid w:val="00612E34"/>
    <w:rsid w:val="00612FEB"/>
    <w:rsid w:val="00616229"/>
    <w:rsid w:val="006170BB"/>
    <w:rsid w:val="006173A8"/>
    <w:rsid w:val="00621432"/>
    <w:rsid w:val="00621726"/>
    <w:rsid w:val="00623AD0"/>
    <w:rsid w:val="00631C4B"/>
    <w:rsid w:val="006327D8"/>
    <w:rsid w:val="00633472"/>
    <w:rsid w:val="00634D11"/>
    <w:rsid w:val="0063500C"/>
    <w:rsid w:val="006400BC"/>
    <w:rsid w:val="00640950"/>
    <w:rsid w:val="006445EB"/>
    <w:rsid w:val="00644EF4"/>
    <w:rsid w:val="00646568"/>
    <w:rsid w:val="006465CF"/>
    <w:rsid w:val="0064772B"/>
    <w:rsid w:val="00650566"/>
    <w:rsid w:val="00651342"/>
    <w:rsid w:val="00652426"/>
    <w:rsid w:val="006531AC"/>
    <w:rsid w:val="00653C86"/>
    <w:rsid w:val="0065533A"/>
    <w:rsid w:val="006553D3"/>
    <w:rsid w:val="00656A2F"/>
    <w:rsid w:val="006609C8"/>
    <w:rsid w:val="0066356F"/>
    <w:rsid w:val="00664749"/>
    <w:rsid w:val="00664E5D"/>
    <w:rsid w:val="00666C1A"/>
    <w:rsid w:val="00672AA4"/>
    <w:rsid w:val="00673857"/>
    <w:rsid w:val="006739B8"/>
    <w:rsid w:val="0068172E"/>
    <w:rsid w:val="006821AE"/>
    <w:rsid w:val="00683974"/>
    <w:rsid w:val="00686A45"/>
    <w:rsid w:val="00690055"/>
    <w:rsid w:val="00690746"/>
    <w:rsid w:val="0069430C"/>
    <w:rsid w:val="00697877"/>
    <w:rsid w:val="006A0894"/>
    <w:rsid w:val="006A13FB"/>
    <w:rsid w:val="006A320D"/>
    <w:rsid w:val="006A6D1F"/>
    <w:rsid w:val="006A78C5"/>
    <w:rsid w:val="006B1EDB"/>
    <w:rsid w:val="006B2198"/>
    <w:rsid w:val="006B2A71"/>
    <w:rsid w:val="006B4584"/>
    <w:rsid w:val="006B5179"/>
    <w:rsid w:val="006B59E7"/>
    <w:rsid w:val="006B7280"/>
    <w:rsid w:val="006C110C"/>
    <w:rsid w:val="006C2C51"/>
    <w:rsid w:val="006C3DB7"/>
    <w:rsid w:val="006D080B"/>
    <w:rsid w:val="006D4138"/>
    <w:rsid w:val="006D57A4"/>
    <w:rsid w:val="006D7481"/>
    <w:rsid w:val="006D781A"/>
    <w:rsid w:val="006E0B17"/>
    <w:rsid w:val="006E14A5"/>
    <w:rsid w:val="006E1FCD"/>
    <w:rsid w:val="006E3D3D"/>
    <w:rsid w:val="006E54E5"/>
    <w:rsid w:val="006E6178"/>
    <w:rsid w:val="006F1AD5"/>
    <w:rsid w:val="006F3F3F"/>
    <w:rsid w:val="006F7149"/>
    <w:rsid w:val="007002E0"/>
    <w:rsid w:val="007007FE"/>
    <w:rsid w:val="00700E98"/>
    <w:rsid w:val="00700F91"/>
    <w:rsid w:val="00701ADB"/>
    <w:rsid w:val="00702AA7"/>
    <w:rsid w:val="007048C3"/>
    <w:rsid w:val="00713755"/>
    <w:rsid w:val="00720121"/>
    <w:rsid w:val="00720AEC"/>
    <w:rsid w:val="00721289"/>
    <w:rsid w:val="00721E46"/>
    <w:rsid w:val="00722218"/>
    <w:rsid w:val="00725442"/>
    <w:rsid w:val="0072591D"/>
    <w:rsid w:val="00725DC1"/>
    <w:rsid w:val="00727DD5"/>
    <w:rsid w:val="0073071B"/>
    <w:rsid w:val="00730AAE"/>
    <w:rsid w:val="0073191A"/>
    <w:rsid w:val="00732CD8"/>
    <w:rsid w:val="00734BCB"/>
    <w:rsid w:val="007355C2"/>
    <w:rsid w:val="00737359"/>
    <w:rsid w:val="00741D40"/>
    <w:rsid w:val="00742C55"/>
    <w:rsid w:val="00743395"/>
    <w:rsid w:val="00745BFD"/>
    <w:rsid w:val="00746FF4"/>
    <w:rsid w:val="007517B4"/>
    <w:rsid w:val="00752583"/>
    <w:rsid w:val="00753FB6"/>
    <w:rsid w:val="0075739A"/>
    <w:rsid w:val="00760E1E"/>
    <w:rsid w:val="00763BD7"/>
    <w:rsid w:val="007656DF"/>
    <w:rsid w:val="00765EEE"/>
    <w:rsid w:val="00766648"/>
    <w:rsid w:val="00767315"/>
    <w:rsid w:val="00767639"/>
    <w:rsid w:val="00767A46"/>
    <w:rsid w:val="00767D95"/>
    <w:rsid w:val="00770CA0"/>
    <w:rsid w:val="00770E36"/>
    <w:rsid w:val="007727DB"/>
    <w:rsid w:val="00772D46"/>
    <w:rsid w:val="007751C6"/>
    <w:rsid w:val="007757C6"/>
    <w:rsid w:val="00784976"/>
    <w:rsid w:val="007861F5"/>
    <w:rsid w:val="0079101B"/>
    <w:rsid w:val="00794F9C"/>
    <w:rsid w:val="00797807"/>
    <w:rsid w:val="00797A18"/>
    <w:rsid w:val="007A57BF"/>
    <w:rsid w:val="007B24F8"/>
    <w:rsid w:val="007B3C0B"/>
    <w:rsid w:val="007B3C56"/>
    <w:rsid w:val="007B76FB"/>
    <w:rsid w:val="007C2A7F"/>
    <w:rsid w:val="007C45D8"/>
    <w:rsid w:val="007C6E53"/>
    <w:rsid w:val="007D57D5"/>
    <w:rsid w:val="007D7A0E"/>
    <w:rsid w:val="007E7C50"/>
    <w:rsid w:val="007F20F2"/>
    <w:rsid w:val="007F21BF"/>
    <w:rsid w:val="007F347F"/>
    <w:rsid w:val="007F4553"/>
    <w:rsid w:val="007F6773"/>
    <w:rsid w:val="007F6B26"/>
    <w:rsid w:val="008001F0"/>
    <w:rsid w:val="0080051B"/>
    <w:rsid w:val="00806EBA"/>
    <w:rsid w:val="008070A9"/>
    <w:rsid w:val="008118D5"/>
    <w:rsid w:val="00812869"/>
    <w:rsid w:val="00813900"/>
    <w:rsid w:val="00813B12"/>
    <w:rsid w:val="00814398"/>
    <w:rsid w:val="00814E00"/>
    <w:rsid w:val="008157A8"/>
    <w:rsid w:val="00815BA8"/>
    <w:rsid w:val="00817F9E"/>
    <w:rsid w:val="008224BE"/>
    <w:rsid w:val="0082572E"/>
    <w:rsid w:val="008259B1"/>
    <w:rsid w:val="008300B9"/>
    <w:rsid w:val="00833619"/>
    <w:rsid w:val="00836409"/>
    <w:rsid w:val="00837761"/>
    <w:rsid w:val="00840C12"/>
    <w:rsid w:val="00841053"/>
    <w:rsid w:val="0084335B"/>
    <w:rsid w:val="0085100D"/>
    <w:rsid w:val="00851C9D"/>
    <w:rsid w:val="00852BDA"/>
    <w:rsid w:val="00856AD6"/>
    <w:rsid w:val="00860114"/>
    <w:rsid w:val="00860CA6"/>
    <w:rsid w:val="008628DE"/>
    <w:rsid w:val="00862F7C"/>
    <w:rsid w:val="00863700"/>
    <w:rsid w:val="00867732"/>
    <w:rsid w:val="00867C58"/>
    <w:rsid w:val="00870516"/>
    <w:rsid w:val="00871970"/>
    <w:rsid w:val="00872828"/>
    <w:rsid w:val="0087329A"/>
    <w:rsid w:val="00876623"/>
    <w:rsid w:val="00877C5B"/>
    <w:rsid w:val="008803FB"/>
    <w:rsid w:val="008842EC"/>
    <w:rsid w:val="00884B3F"/>
    <w:rsid w:val="0088627B"/>
    <w:rsid w:val="0088724A"/>
    <w:rsid w:val="0089165F"/>
    <w:rsid w:val="00891FB4"/>
    <w:rsid w:val="008942B6"/>
    <w:rsid w:val="00894744"/>
    <w:rsid w:val="00896EBE"/>
    <w:rsid w:val="008972CF"/>
    <w:rsid w:val="00897430"/>
    <w:rsid w:val="0089780D"/>
    <w:rsid w:val="00897D8B"/>
    <w:rsid w:val="008A123F"/>
    <w:rsid w:val="008A52D2"/>
    <w:rsid w:val="008A58FE"/>
    <w:rsid w:val="008A6BB8"/>
    <w:rsid w:val="008B1BF6"/>
    <w:rsid w:val="008B370D"/>
    <w:rsid w:val="008B67FE"/>
    <w:rsid w:val="008B73F3"/>
    <w:rsid w:val="008C0C77"/>
    <w:rsid w:val="008C10F3"/>
    <w:rsid w:val="008C1C7B"/>
    <w:rsid w:val="008C1FD9"/>
    <w:rsid w:val="008C2029"/>
    <w:rsid w:val="008C3F1D"/>
    <w:rsid w:val="008C4F4D"/>
    <w:rsid w:val="008C659A"/>
    <w:rsid w:val="008C6829"/>
    <w:rsid w:val="008D29F0"/>
    <w:rsid w:val="008D365B"/>
    <w:rsid w:val="008D4378"/>
    <w:rsid w:val="008D6105"/>
    <w:rsid w:val="008E02C0"/>
    <w:rsid w:val="008E2309"/>
    <w:rsid w:val="008E3A45"/>
    <w:rsid w:val="008E4B34"/>
    <w:rsid w:val="008F244F"/>
    <w:rsid w:val="008F376D"/>
    <w:rsid w:val="008F4453"/>
    <w:rsid w:val="008F5C1A"/>
    <w:rsid w:val="008F68AE"/>
    <w:rsid w:val="00902018"/>
    <w:rsid w:val="009025E7"/>
    <w:rsid w:val="0090284E"/>
    <w:rsid w:val="00903F27"/>
    <w:rsid w:val="009050A4"/>
    <w:rsid w:val="009057F7"/>
    <w:rsid w:val="00906C45"/>
    <w:rsid w:val="009152CA"/>
    <w:rsid w:val="00916136"/>
    <w:rsid w:val="00920F5F"/>
    <w:rsid w:val="00922C40"/>
    <w:rsid w:val="00934839"/>
    <w:rsid w:val="009355BD"/>
    <w:rsid w:val="0093573C"/>
    <w:rsid w:val="009361B4"/>
    <w:rsid w:val="00941551"/>
    <w:rsid w:val="009449EC"/>
    <w:rsid w:val="00947F7D"/>
    <w:rsid w:val="00954B89"/>
    <w:rsid w:val="0096024E"/>
    <w:rsid w:val="00961BAD"/>
    <w:rsid w:val="00961FB9"/>
    <w:rsid w:val="00963D75"/>
    <w:rsid w:val="00964177"/>
    <w:rsid w:val="0096568F"/>
    <w:rsid w:val="0096597A"/>
    <w:rsid w:val="00965C76"/>
    <w:rsid w:val="00967C10"/>
    <w:rsid w:val="009708E4"/>
    <w:rsid w:val="009710A4"/>
    <w:rsid w:val="00971BEB"/>
    <w:rsid w:val="00973468"/>
    <w:rsid w:val="00973DD1"/>
    <w:rsid w:val="00974226"/>
    <w:rsid w:val="00976805"/>
    <w:rsid w:val="0098126A"/>
    <w:rsid w:val="00981437"/>
    <w:rsid w:val="00981C2D"/>
    <w:rsid w:val="009908D6"/>
    <w:rsid w:val="00990F5C"/>
    <w:rsid w:val="00992814"/>
    <w:rsid w:val="00995536"/>
    <w:rsid w:val="00995B18"/>
    <w:rsid w:val="00995D93"/>
    <w:rsid w:val="009A11A2"/>
    <w:rsid w:val="009A38F6"/>
    <w:rsid w:val="009A7DB2"/>
    <w:rsid w:val="009B27B8"/>
    <w:rsid w:val="009B3AB8"/>
    <w:rsid w:val="009B3BDE"/>
    <w:rsid w:val="009B489C"/>
    <w:rsid w:val="009B51F6"/>
    <w:rsid w:val="009C51C6"/>
    <w:rsid w:val="009D0981"/>
    <w:rsid w:val="009D2CE1"/>
    <w:rsid w:val="009D52D4"/>
    <w:rsid w:val="009E0F68"/>
    <w:rsid w:val="009E3B7B"/>
    <w:rsid w:val="009E5D8C"/>
    <w:rsid w:val="009E61C5"/>
    <w:rsid w:val="009E677B"/>
    <w:rsid w:val="009F0D23"/>
    <w:rsid w:val="009F3224"/>
    <w:rsid w:val="009F43BB"/>
    <w:rsid w:val="00A026A5"/>
    <w:rsid w:val="00A1066E"/>
    <w:rsid w:val="00A116C5"/>
    <w:rsid w:val="00A13F36"/>
    <w:rsid w:val="00A15081"/>
    <w:rsid w:val="00A17603"/>
    <w:rsid w:val="00A20A67"/>
    <w:rsid w:val="00A21378"/>
    <w:rsid w:val="00A271A6"/>
    <w:rsid w:val="00A34A82"/>
    <w:rsid w:val="00A351C1"/>
    <w:rsid w:val="00A35642"/>
    <w:rsid w:val="00A37FDF"/>
    <w:rsid w:val="00A403C0"/>
    <w:rsid w:val="00A41ECE"/>
    <w:rsid w:val="00A426C7"/>
    <w:rsid w:val="00A44169"/>
    <w:rsid w:val="00A509DB"/>
    <w:rsid w:val="00A50C3B"/>
    <w:rsid w:val="00A52E1C"/>
    <w:rsid w:val="00A54580"/>
    <w:rsid w:val="00A57FCD"/>
    <w:rsid w:val="00A6288A"/>
    <w:rsid w:val="00A629BA"/>
    <w:rsid w:val="00A63F09"/>
    <w:rsid w:val="00A717EC"/>
    <w:rsid w:val="00A730B7"/>
    <w:rsid w:val="00A776AD"/>
    <w:rsid w:val="00A806A9"/>
    <w:rsid w:val="00A82A52"/>
    <w:rsid w:val="00A874E4"/>
    <w:rsid w:val="00A877E6"/>
    <w:rsid w:val="00A91F08"/>
    <w:rsid w:val="00A92DEF"/>
    <w:rsid w:val="00A92EDB"/>
    <w:rsid w:val="00A93291"/>
    <w:rsid w:val="00A936DB"/>
    <w:rsid w:val="00A93CAA"/>
    <w:rsid w:val="00A942B4"/>
    <w:rsid w:val="00AA08FC"/>
    <w:rsid w:val="00AA187D"/>
    <w:rsid w:val="00AA1EE6"/>
    <w:rsid w:val="00AA46FF"/>
    <w:rsid w:val="00AA6B3A"/>
    <w:rsid w:val="00AB02C0"/>
    <w:rsid w:val="00AB3BA4"/>
    <w:rsid w:val="00AB5AD2"/>
    <w:rsid w:val="00AB703C"/>
    <w:rsid w:val="00AC51EB"/>
    <w:rsid w:val="00AD1B21"/>
    <w:rsid w:val="00AD2984"/>
    <w:rsid w:val="00AD4432"/>
    <w:rsid w:val="00AD485F"/>
    <w:rsid w:val="00AD4DA2"/>
    <w:rsid w:val="00AD5326"/>
    <w:rsid w:val="00AD648F"/>
    <w:rsid w:val="00AD7500"/>
    <w:rsid w:val="00AE098D"/>
    <w:rsid w:val="00AE0C72"/>
    <w:rsid w:val="00AE0FC7"/>
    <w:rsid w:val="00AE3F7A"/>
    <w:rsid w:val="00AE7481"/>
    <w:rsid w:val="00AE79BA"/>
    <w:rsid w:val="00AF0EC0"/>
    <w:rsid w:val="00AF140E"/>
    <w:rsid w:val="00AF416C"/>
    <w:rsid w:val="00AF7F83"/>
    <w:rsid w:val="00B02BC6"/>
    <w:rsid w:val="00B030B7"/>
    <w:rsid w:val="00B11262"/>
    <w:rsid w:val="00B13B29"/>
    <w:rsid w:val="00B20811"/>
    <w:rsid w:val="00B20EBE"/>
    <w:rsid w:val="00B21F97"/>
    <w:rsid w:val="00B233F6"/>
    <w:rsid w:val="00B26C7F"/>
    <w:rsid w:val="00B2764F"/>
    <w:rsid w:val="00B321A9"/>
    <w:rsid w:val="00B33AD1"/>
    <w:rsid w:val="00B34C03"/>
    <w:rsid w:val="00B34C06"/>
    <w:rsid w:val="00B37AB7"/>
    <w:rsid w:val="00B4176A"/>
    <w:rsid w:val="00B41AFA"/>
    <w:rsid w:val="00B452D1"/>
    <w:rsid w:val="00B47019"/>
    <w:rsid w:val="00B47CE5"/>
    <w:rsid w:val="00B5074E"/>
    <w:rsid w:val="00B51A27"/>
    <w:rsid w:val="00B52150"/>
    <w:rsid w:val="00B53B1D"/>
    <w:rsid w:val="00B57443"/>
    <w:rsid w:val="00B61B1B"/>
    <w:rsid w:val="00B65C14"/>
    <w:rsid w:val="00B65FE9"/>
    <w:rsid w:val="00B66DFF"/>
    <w:rsid w:val="00B73CA7"/>
    <w:rsid w:val="00B808E7"/>
    <w:rsid w:val="00B80FF5"/>
    <w:rsid w:val="00B83213"/>
    <w:rsid w:val="00B84529"/>
    <w:rsid w:val="00B85B6A"/>
    <w:rsid w:val="00B86137"/>
    <w:rsid w:val="00B8671A"/>
    <w:rsid w:val="00B9412F"/>
    <w:rsid w:val="00B95183"/>
    <w:rsid w:val="00B951B2"/>
    <w:rsid w:val="00BA0B39"/>
    <w:rsid w:val="00BA3404"/>
    <w:rsid w:val="00BA5B79"/>
    <w:rsid w:val="00BA77CB"/>
    <w:rsid w:val="00BA7E48"/>
    <w:rsid w:val="00BB22F3"/>
    <w:rsid w:val="00BB414B"/>
    <w:rsid w:val="00BB4AD3"/>
    <w:rsid w:val="00BB4CD3"/>
    <w:rsid w:val="00BB4FBD"/>
    <w:rsid w:val="00BB5A07"/>
    <w:rsid w:val="00BB609B"/>
    <w:rsid w:val="00BB7041"/>
    <w:rsid w:val="00BC12A9"/>
    <w:rsid w:val="00BC258A"/>
    <w:rsid w:val="00BC3F69"/>
    <w:rsid w:val="00BC5347"/>
    <w:rsid w:val="00BC5586"/>
    <w:rsid w:val="00BC5611"/>
    <w:rsid w:val="00BC6B2F"/>
    <w:rsid w:val="00BD0C2E"/>
    <w:rsid w:val="00BD34E3"/>
    <w:rsid w:val="00BD3594"/>
    <w:rsid w:val="00BD68AE"/>
    <w:rsid w:val="00BD70DF"/>
    <w:rsid w:val="00BE3DD2"/>
    <w:rsid w:val="00BE6151"/>
    <w:rsid w:val="00BE6861"/>
    <w:rsid w:val="00BE69E4"/>
    <w:rsid w:val="00BF056C"/>
    <w:rsid w:val="00BF0B80"/>
    <w:rsid w:val="00BF30C0"/>
    <w:rsid w:val="00BF4004"/>
    <w:rsid w:val="00BF4755"/>
    <w:rsid w:val="00BF47EB"/>
    <w:rsid w:val="00BF4D0A"/>
    <w:rsid w:val="00BF6ECF"/>
    <w:rsid w:val="00C01614"/>
    <w:rsid w:val="00C06F49"/>
    <w:rsid w:val="00C10E36"/>
    <w:rsid w:val="00C124F2"/>
    <w:rsid w:val="00C142FA"/>
    <w:rsid w:val="00C154F5"/>
    <w:rsid w:val="00C202B3"/>
    <w:rsid w:val="00C26504"/>
    <w:rsid w:val="00C30016"/>
    <w:rsid w:val="00C32367"/>
    <w:rsid w:val="00C33AD8"/>
    <w:rsid w:val="00C33B21"/>
    <w:rsid w:val="00C348A2"/>
    <w:rsid w:val="00C36CC7"/>
    <w:rsid w:val="00C44A02"/>
    <w:rsid w:val="00C463C2"/>
    <w:rsid w:val="00C46405"/>
    <w:rsid w:val="00C4736B"/>
    <w:rsid w:val="00C50DC7"/>
    <w:rsid w:val="00C52CC5"/>
    <w:rsid w:val="00C55BA8"/>
    <w:rsid w:val="00C57334"/>
    <w:rsid w:val="00C57A6A"/>
    <w:rsid w:val="00C60243"/>
    <w:rsid w:val="00C6028C"/>
    <w:rsid w:val="00C61594"/>
    <w:rsid w:val="00C61BFA"/>
    <w:rsid w:val="00C64B9F"/>
    <w:rsid w:val="00C66C58"/>
    <w:rsid w:val="00C74269"/>
    <w:rsid w:val="00C745C5"/>
    <w:rsid w:val="00C74D33"/>
    <w:rsid w:val="00C804E7"/>
    <w:rsid w:val="00C81402"/>
    <w:rsid w:val="00C8491D"/>
    <w:rsid w:val="00C850E3"/>
    <w:rsid w:val="00C85EBE"/>
    <w:rsid w:val="00C90185"/>
    <w:rsid w:val="00C90F97"/>
    <w:rsid w:val="00C9474A"/>
    <w:rsid w:val="00C951CA"/>
    <w:rsid w:val="00C9769C"/>
    <w:rsid w:val="00CA0734"/>
    <w:rsid w:val="00CA0F8B"/>
    <w:rsid w:val="00CA14D5"/>
    <w:rsid w:val="00CA1658"/>
    <w:rsid w:val="00CA2439"/>
    <w:rsid w:val="00CA6467"/>
    <w:rsid w:val="00CA7169"/>
    <w:rsid w:val="00CB26E2"/>
    <w:rsid w:val="00CB570B"/>
    <w:rsid w:val="00CB7606"/>
    <w:rsid w:val="00CC06BE"/>
    <w:rsid w:val="00CC06F6"/>
    <w:rsid w:val="00CC09E7"/>
    <w:rsid w:val="00CC0ECD"/>
    <w:rsid w:val="00CD1B54"/>
    <w:rsid w:val="00CD5463"/>
    <w:rsid w:val="00CD5D1C"/>
    <w:rsid w:val="00CD6FD3"/>
    <w:rsid w:val="00CD7150"/>
    <w:rsid w:val="00CE0C9D"/>
    <w:rsid w:val="00CE1C22"/>
    <w:rsid w:val="00CE2C13"/>
    <w:rsid w:val="00CE4A04"/>
    <w:rsid w:val="00CE6590"/>
    <w:rsid w:val="00CE72E2"/>
    <w:rsid w:val="00CE73AE"/>
    <w:rsid w:val="00CF1E27"/>
    <w:rsid w:val="00CF2006"/>
    <w:rsid w:val="00CF7161"/>
    <w:rsid w:val="00CF7570"/>
    <w:rsid w:val="00D00EC5"/>
    <w:rsid w:val="00D01BF9"/>
    <w:rsid w:val="00D04AF5"/>
    <w:rsid w:val="00D0550D"/>
    <w:rsid w:val="00D067A7"/>
    <w:rsid w:val="00D06DCF"/>
    <w:rsid w:val="00D076DD"/>
    <w:rsid w:val="00D1040B"/>
    <w:rsid w:val="00D121A6"/>
    <w:rsid w:val="00D12470"/>
    <w:rsid w:val="00D153AC"/>
    <w:rsid w:val="00D20D02"/>
    <w:rsid w:val="00D220AB"/>
    <w:rsid w:val="00D22A65"/>
    <w:rsid w:val="00D23906"/>
    <w:rsid w:val="00D26B42"/>
    <w:rsid w:val="00D27B5B"/>
    <w:rsid w:val="00D375E8"/>
    <w:rsid w:val="00D37AAF"/>
    <w:rsid w:val="00D37CDC"/>
    <w:rsid w:val="00D41972"/>
    <w:rsid w:val="00D4419D"/>
    <w:rsid w:val="00D44C3C"/>
    <w:rsid w:val="00D45E13"/>
    <w:rsid w:val="00D5042F"/>
    <w:rsid w:val="00D557BA"/>
    <w:rsid w:val="00D6436C"/>
    <w:rsid w:val="00D65964"/>
    <w:rsid w:val="00D70F10"/>
    <w:rsid w:val="00D71668"/>
    <w:rsid w:val="00D72495"/>
    <w:rsid w:val="00D7415F"/>
    <w:rsid w:val="00D80EFA"/>
    <w:rsid w:val="00D8354E"/>
    <w:rsid w:val="00D840C5"/>
    <w:rsid w:val="00D868E6"/>
    <w:rsid w:val="00D86EF8"/>
    <w:rsid w:val="00D92D8D"/>
    <w:rsid w:val="00D96A30"/>
    <w:rsid w:val="00DA1920"/>
    <w:rsid w:val="00DA2671"/>
    <w:rsid w:val="00DA2B15"/>
    <w:rsid w:val="00DA6FE3"/>
    <w:rsid w:val="00DA782C"/>
    <w:rsid w:val="00DB616B"/>
    <w:rsid w:val="00DB753C"/>
    <w:rsid w:val="00DC0D46"/>
    <w:rsid w:val="00DC6043"/>
    <w:rsid w:val="00DC741D"/>
    <w:rsid w:val="00DC7E24"/>
    <w:rsid w:val="00DD01DF"/>
    <w:rsid w:val="00DD2C31"/>
    <w:rsid w:val="00DD517D"/>
    <w:rsid w:val="00DD65B8"/>
    <w:rsid w:val="00DE2764"/>
    <w:rsid w:val="00DE2A2C"/>
    <w:rsid w:val="00DE3940"/>
    <w:rsid w:val="00DE40C0"/>
    <w:rsid w:val="00DE4A15"/>
    <w:rsid w:val="00DE6B9D"/>
    <w:rsid w:val="00DE6C04"/>
    <w:rsid w:val="00DF03A3"/>
    <w:rsid w:val="00DF3F6E"/>
    <w:rsid w:val="00DF5DBD"/>
    <w:rsid w:val="00DF74E7"/>
    <w:rsid w:val="00DF7765"/>
    <w:rsid w:val="00E01CC2"/>
    <w:rsid w:val="00E03679"/>
    <w:rsid w:val="00E049A1"/>
    <w:rsid w:val="00E05466"/>
    <w:rsid w:val="00E11DD1"/>
    <w:rsid w:val="00E1550F"/>
    <w:rsid w:val="00E15AAF"/>
    <w:rsid w:val="00E16042"/>
    <w:rsid w:val="00E160D4"/>
    <w:rsid w:val="00E16175"/>
    <w:rsid w:val="00E17750"/>
    <w:rsid w:val="00E17A7C"/>
    <w:rsid w:val="00E21C5A"/>
    <w:rsid w:val="00E2369E"/>
    <w:rsid w:val="00E24E1A"/>
    <w:rsid w:val="00E2595C"/>
    <w:rsid w:val="00E2693A"/>
    <w:rsid w:val="00E30320"/>
    <w:rsid w:val="00E3285E"/>
    <w:rsid w:val="00E33BAD"/>
    <w:rsid w:val="00E34976"/>
    <w:rsid w:val="00E36755"/>
    <w:rsid w:val="00E41A54"/>
    <w:rsid w:val="00E500E6"/>
    <w:rsid w:val="00E51B44"/>
    <w:rsid w:val="00E545CF"/>
    <w:rsid w:val="00E547E2"/>
    <w:rsid w:val="00E555F7"/>
    <w:rsid w:val="00E57AA7"/>
    <w:rsid w:val="00E57D7B"/>
    <w:rsid w:val="00E63433"/>
    <w:rsid w:val="00E63D78"/>
    <w:rsid w:val="00E6594F"/>
    <w:rsid w:val="00E66348"/>
    <w:rsid w:val="00E66514"/>
    <w:rsid w:val="00E66587"/>
    <w:rsid w:val="00E67E4F"/>
    <w:rsid w:val="00E701FE"/>
    <w:rsid w:val="00E70274"/>
    <w:rsid w:val="00E7142E"/>
    <w:rsid w:val="00E73D2C"/>
    <w:rsid w:val="00E76AB5"/>
    <w:rsid w:val="00E8229F"/>
    <w:rsid w:val="00E83361"/>
    <w:rsid w:val="00E87BE2"/>
    <w:rsid w:val="00E922D3"/>
    <w:rsid w:val="00E944E7"/>
    <w:rsid w:val="00E95098"/>
    <w:rsid w:val="00E9571B"/>
    <w:rsid w:val="00E96375"/>
    <w:rsid w:val="00E967C4"/>
    <w:rsid w:val="00EA09B1"/>
    <w:rsid w:val="00EA17C5"/>
    <w:rsid w:val="00EA3216"/>
    <w:rsid w:val="00EA4647"/>
    <w:rsid w:val="00EA7474"/>
    <w:rsid w:val="00EB0116"/>
    <w:rsid w:val="00EB2412"/>
    <w:rsid w:val="00EB26D1"/>
    <w:rsid w:val="00EB28E6"/>
    <w:rsid w:val="00EB5390"/>
    <w:rsid w:val="00EC10BF"/>
    <w:rsid w:val="00EC2826"/>
    <w:rsid w:val="00EC4AD6"/>
    <w:rsid w:val="00EC717A"/>
    <w:rsid w:val="00EC7892"/>
    <w:rsid w:val="00ED1CCB"/>
    <w:rsid w:val="00ED3B8E"/>
    <w:rsid w:val="00ED4752"/>
    <w:rsid w:val="00ED6616"/>
    <w:rsid w:val="00ED6AC8"/>
    <w:rsid w:val="00EE0A3F"/>
    <w:rsid w:val="00EE0F6C"/>
    <w:rsid w:val="00EE0F8E"/>
    <w:rsid w:val="00EE3966"/>
    <w:rsid w:val="00EE41D3"/>
    <w:rsid w:val="00EE4B20"/>
    <w:rsid w:val="00EE4EF7"/>
    <w:rsid w:val="00EE5CDE"/>
    <w:rsid w:val="00EF25DD"/>
    <w:rsid w:val="00EF25F6"/>
    <w:rsid w:val="00EF306E"/>
    <w:rsid w:val="00EF389C"/>
    <w:rsid w:val="00EF41AE"/>
    <w:rsid w:val="00EF79D1"/>
    <w:rsid w:val="00F00434"/>
    <w:rsid w:val="00F03224"/>
    <w:rsid w:val="00F061B6"/>
    <w:rsid w:val="00F11BB3"/>
    <w:rsid w:val="00F12365"/>
    <w:rsid w:val="00F143D3"/>
    <w:rsid w:val="00F1562C"/>
    <w:rsid w:val="00F20847"/>
    <w:rsid w:val="00F21CC8"/>
    <w:rsid w:val="00F22747"/>
    <w:rsid w:val="00F24725"/>
    <w:rsid w:val="00F3162E"/>
    <w:rsid w:val="00F318E9"/>
    <w:rsid w:val="00F325C4"/>
    <w:rsid w:val="00F33DB9"/>
    <w:rsid w:val="00F34FDB"/>
    <w:rsid w:val="00F35756"/>
    <w:rsid w:val="00F42B1E"/>
    <w:rsid w:val="00F42B83"/>
    <w:rsid w:val="00F43745"/>
    <w:rsid w:val="00F457BF"/>
    <w:rsid w:val="00F51523"/>
    <w:rsid w:val="00F54953"/>
    <w:rsid w:val="00F56A95"/>
    <w:rsid w:val="00F575AA"/>
    <w:rsid w:val="00F57849"/>
    <w:rsid w:val="00F60809"/>
    <w:rsid w:val="00F620CB"/>
    <w:rsid w:val="00F66FC4"/>
    <w:rsid w:val="00F67048"/>
    <w:rsid w:val="00F673E3"/>
    <w:rsid w:val="00F713B8"/>
    <w:rsid w:val="00F7256E"/>
    <w:rsid w:val="00F74949"/>
    <w:rsid w:val="00F7536E"/>
    <w:rsid w:val="00F75936"/>
    <w:rsid w:val="00F7754B"/>
    <w:rsid w:val="00F7776D"/>
    <w:rsid w:val="00F811F1"/>
    <w:rsid w:val="00F846D3"/>
    <w:rsid w:val="00F85B38"/>
    <w:rsid w:val="00F92A09"/>
    <w:rsid w:val="00F946EC"/>
    <w:rsid w:val="00F9475C"/>
    <w:rsid w:val="00F9528A"/>
    <w:rsid w:val="00F95723"/>
    <w:rsid w:val="00F95C87"/>
    <w:rsid w:val="00F97BD6"/>
    <w:rsid w:val="00FA26FF"/>
    <w:rsid w:val="00FA65D3"/>
    <w:rsid w:val="00FB0FEC"/>
    <w:rsid w:val="00FB1493"/>
    <w:rsid w:val="00FB2A89"/>
    <w:rsid w:val="00FB373C"/>
    <w:rsid w:val="00FB43F5"/>
    <w:rsid w:val="00FB4B41"/>
    <w:rsid w:val="00FC126A"/>
    <w:rsid w:val="00FC2509"/>
    <w:rsid w:val="00FC3E51"/>
    <w:rsid w:val="00FD1D13"/>
    <w:rsid w:val="00FD400B"/>
    <w:rsid w:val="00FD46D1"/>
    <w:rsid w:val="00FD49D9"/>
    <w:rsid w:val="00FE0565"/>
    <w:rsid w:val="00FE229B"/>
    <w:rsid w:val="00FE4D40"/>
    <w:rsid w:val="00FF0F0F"/>
    <w:rsid w:val="00FF1EC8"/>
    <w:rsid w:val="00FF2195"/>
    <w:rsid w:val="00FF3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NormalWeb">
    <w:name w:val="Normal (Web)"/>
    <w:basedOn w:val="Normal"/>
    <w:uiPriority w:val="99"/>
    <w:semiHidden/>
    <w:unhideWhenUsed/>
    <w:rsid w:val="00AD4DA2"/>
    <w:pPr>
      <w:spacing w:after="0" w:line="240" w:lineRule="auto"/>
      <w:textAlignment w:val="baseline"/>
    </w:pPr>
    <w:rPr>
      <w:rFonts w:ascii="Times New Roman" w:eastAsia="Times New Roman" w:hAnsi="Times New Roman" w:cs="Times New Roman"/>
      <w:sz w:val="24"/>
      <w:szCs w:val="24"/>
      <w:lang w:eastAsia="en-AU"/>
    </w:rPr>
  </w:style>
  <w:style w:type="paragraph" w:customStyle="1" w:styleId="Default">
    <w:name w:val="Default"/>
    <w:rsid w:val="0072591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153AC"/>
    <w:pPr>
      <w:spacing w:after="0" w:line="240" w:lineRule="auto"/>
    </w:pPr>
  </w:style>
  <w:style w:type="character" w:customStyle="1" w:styleId="EndnoteTextChar">
    <w:name w:val="Endnote Text Char"/>
    <w:basedOn w:val="DefaultParagraphFont"/>
    <w:link w:val="EndnoteText"/>
    <w:uiPriority w:val="99"/>
    <w:semiHidden/>
    <w:rsid w:val="00D153AC"/>
  </w:style>
  <w:style w:type="character" w:styleId="EndnoteReference">
    <w:name w:val="endnote reference"/>
    <w:basedOn w:val="DefaultParagraphFont"/>
    <w:uiPriority w:val="99"/>
    <w:semiHidden/>
    <w:unhideWhenUsed/>
    <w:rsid w:val="00D153AC"/>
    <w:rPr>
      <w:vertAlign w:val="superscript"/>
    </w:rPr>
  </w:style>
  <w:style w:type="character" w:styleId="FollowedHyperlink">
    <w:name w:val="FollowedHyperlink"/>
    <w:basedOn w:val="DefaultParagraphFont"/>
    <w:uiPriority w:val="99"/>
    <w:semiHidden/>
    <w:unhideWhenUsed/>
    <w:rsid w:val="00FC3E51"/>
    <w:rPr>
      <w:color w:val="800080" w:themeColor="followedHyperlink"/>
      <w:u w:val="single"/>
    </w:rPr>
  </w:style>
  <w:style w:type="paragraph" w:customStyle="1" w:styleId="BodyText1">
    <w:name w:val="Body Text1"/>
    <w:basedOn w:val="Normal"/>
    <w:uiPriority w:val="99"/>
    <w:qFormat/>
    <w:rsid w:val="00E2693A"/>
    <w:pPr>
      <w:spacing w:after="24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77981">
      <w:bodyDiv w:val="1"/>
      <w:marLeft w:val="0"/>
      <w:marRight w:val="0"/>
      <w:marTop w:val="0"/>
      <w:marBottom w:val="0"/>
      <w:divBdr>
        <w:top w:val="none" w:sz="0" w:space="0" w:color="auto"/>
        <w:left w:val="none" w:sz="0" w:space="0" w:color="auto"/>
        <w:bottom w:val="none" w:sz="0" w:space="0" w:color="auto"/>
        <w:right w:val="none" w:sz="0" w:space="0" w:color="auto"/>
      </w:divBdr>
    </w:div>
    <w:div w:id="482430156">
      <w:bodyDiv w:val="1"/>
      <w:marLeft w:val="0"/>
      <w:marRight w:val="0"/>
      <w:marTop w:val="0"/>
      <w:marBottom w:val="0"/>
      <w:divBdr>
        <w:top w:val="none" w:sz="0" w:space="0" w:color="auto"/>
        <w:left w:val="none" w:sz="0" w:space="0" w:color="auto"/>
        <w:bottom w:val="none" w:sz="0" w:space="0" w:color="auto"/>
        <w:right w:val="none" w:sz="0" w:space="0" w:color="auto"/>
      </w:divBdr>
      <w:divsChild>
        <w:div w:id="1702707082">
          <w:marLeft w:val="0"/>
          <w:marRight w:val="0"/>
          <w:marTop w:val="0"/>
          <w:marBottom w:val="0"/>
          <w:divBdr>
            <w:top w:val="none" w:sz="0" w:space="0" w:color="auto"/>
            <w:left w:val="none" w:sz="0" w:space="0" w:color="auto"/>
            <w:bottom w:val="none" w:sz="0" w:space="0" w:color="auto"/>
            <w:right w:val="none" w:sz="0" w:space="0" w:color="auto"/>
          </w:divBdr>
          <w:divsChild>
            <w:div w:id="823742242">
              <w:marLeft w:val="0"/>
              <w:marRight w:val="0"/>
              <w:marTop w:val="0"/>
              <w:marBottom w:val="0"/>
              <w:divBdr>
                <w:top w:val="none" w:sz="0" w:space="0" w:color="auto"/>
                <w:left w:val="none" w:sz="0" w:space="0" w:color="auto"/>
                <w:bottom w:val="none" w:sz="0" w:space="0" w:color="auto"/>
                <w:right w:val="none" w:sz="0" w:space="0" w:color="auto"/>
              </w:divBdr>
              <w:divsChild>
                <w:div w:id="281115074">
                  <w:marLeft w:val="0"/>
                  <w:marRight w:val="0"/>
                  <w:marTop w:val="0"/>
                  <w:marBottom w:val="0"/>
                  <w:divBdr>
                    <w:top w:val="none" w:sz="0" w:space="0" w:color="auto"/>
                    <w:left w:val="none" w:sz="0" w:space="0" w:color="auto"/>
                    <w:bottom w:val="none" w:sz="0" w:space="0" w:color="auto"/>
                    <w:right w:val="none" w:sz="0" w:space="0" w:color="auto"/>
                  </w:divBdr>
                  <w:divsChild>
                    <w:div w:id="738358454">
                      <w:marLeft w:val="0"/>
                      <w:marRight w:val="0"/>
                      <w:marTop w:val="0"/>
                      <w:marBottom w:val="0"/>
                      <w:divBdr>
                        <w:top w:val="none" w:sz="0" w:space="0" w:color="auto"/>
                        <w:left w:val="none" w:sz="0" w:space="0" w:color="auto"/>
                        <w:bottom w:val="none" w:sz="0" w:space="0" w:color="auto"/>
                        <w:right w:val="none" w:sz="0" w:space="0" w:color="auto"/>
                      </w:divBdr>
                      <w:divsChild>
                        <w:div w:id="763381132">
                          <w:marLeft w:val="150"/>
                          <w:marRight w:val="150"/>
                          <w:marTop w:val="0"/>
                          <w:marBottom w:val="0"/>
                          <w:divBdr>
                            <w:top w:val="none" w:sz="0" w:space="0" w:color="auto"/>
                            <w:left w:val="none" w:sz="0" w:space="0" w:color="auto"/>
                            <w:bottom w:val="none" w:sz="0" w:space="0" w:color="auto"/>
                            <w:right w:val="none" w:sz="0" w:space="0" w:color="auto"/>
                          </w:divBdr>
                          <w:divsChild>
                            <w:div w:id="1084693220">
                              <w:marLeft w:val="0"/>
                              <w:marRight w:val="0"/>
                              <w:marTop w:val="0"/>
                              <w:marBottom w:val="0"/>
                              <w:divBdr>
                                <w:top w:val="none" w:sz="0" w:space="0" w:color="auto"/>
                                <w:left w:val="none" w:sz="0" w:space="0" w:color="auto"/>
                                <w:bottom w:val="none" w:sz="0" w:space="0" w:color="auto"/>
                                <w:right w:val="none" w:sz="0" w:space="0" w:color="auto"/>
                              </w:divBdr>
                              <w:divsChild>
                                <w:div w:id="960261893">
                                  <w:marLeft w:val="0"/>
                                  <w:marRight w:val="0"/>
                                  <w:marTop w:val="0"/>
                                  <w:marBottom w:val="0"/>
                                  <w:divBdr>
                                    <w:top w:val="none" w:sz="0" w:space="0" w:color="auto"/>
                                    <w:left w:val="none" w:sz="0" w:space="0" w:color="auto"/>
                                    <w:bottom w:val="none" w:sz="0" w:space="0" w:color="auto"/>
                                    <w:right w:val="none" w:sz="0" w:space="0" w:color="auto"/>
                                  </w:divBdr>
                                  <w:divsChild>
                                    <w:div w:id="77600534">
                                      <w:marLeft w:val="0"/>
                                      <w:marRight w:val="0"/>
                                      <w:marTop w:val="0"/>
                                      <w:marBottom w:val="0"/>
                                      <w:divBdr>
                                        <w:top w:val="none" w:sz="0" w:space="0" w:color="auto"/>
                                        <w:left w:val="none" w:sz="0" w:space="0" w:color="auto"/>
                                        <w:bottom w:val="none" w:sz="0" w:space="0" w:color="auto"/>
                                        <w:right w:val="none" w:sz="0" w:space="0" w:color="auto"/>
                                      </w:divBdr>
                                      <w:divsChild>
                                        <w:div w:id="1823041350">
                                          <w:marLeft w:val="0"/>
                                          <w:marRight w:val="0"/>
                                          <w:marTop w:val="0"/>
                                          <w:marBottom w:val="0"/>
                                          <w:divBdr>
                                            <w:top w:val="none" w:sz="0" w:space="0" w:color="auto"/>
                                            <w:left w:val="none" w:sz="0" w:space="0" w:color="auto"/>
                                            <w:bottom w:val="none" w:sz="0" w:space="0" w:color="auto"/>
                                            <w:right w:val="none" w:sz="0" w:space="0" w:color="auto"/>
                                          </w:divBdr>
                                          <w:divsChild>
                                            <w:div w:id="989988020">
                                              <w:marLeft w:val="0"/>
                                              <w:marRight w:val="0"/>
                                              <w:marTop w:val="0"/>
                                              <w:marBottom w:val="0"/>
                                              <w:divBdr>
                                                <w:top w:val="none" w:sz="0" w:space="0" w:color="auto"/>
                                                <w:left w:val="none" w:sz="0" w:space="0" w:color="auto"/>
                                                <w:bottom w:val="none" w:sz="0" w:space="0" w:color="auto"/>
                                                <w:right w:val="none" w:sz="0" w:space="0" w:color="auto"/>
                                              </w:divBdr>
                                              <w:divsChild>
                                                <w:div w:id="577902752">
                                                  <w:marLeft w:val="0"/>
                                                  <w:marRight w:val="0"/>
                                                  <w:marTop w:val="0"/>
                                                  <w:marBottom w:val="0"/>
                                                  <w:divBdr>
                                                    <w:top w:val="none" w:sz="0" w:space="0" w:color="auto"/>
                                                    <w:left w:val="none" w:sz="0" w:space="0" w:color="auto"/>
                                                    <w:bottom w:val="none" w:sz="0" w:space="0" w:color="auto"/>
                                                    <w:right w:val="none" w:sz="0" w:space="0" w:color="auto"/>
                                                  </w:divBdr>
                                                  <w:divsChild>
                                                    <w:div w:id="483815870">
                                                      <w:marLeft w:val="0"/>
                                                      <w:marRight w:val="0"/>
                                                      <w:marTop w:val="0"/>
                                                      <w:marBottom w:val="0"/>
                                                      <w:divBdr>
                                                        <w:top w:val="none" w:sz="0" w:space="0" w:color="auto"/>
                                                        <w:left w:val="none" w:sz="0" w:space="0" w:color="auto"/>
                                                        <w:bottom w:val="none" w:sz="0" w:space="0" w:color="auto"/>
                                                        <w:right w:val="none" w:sz="0" w:space="0" w:color="auto"/>
                                                      </w:divBdr>
                                                      <w:divsChild>
                                                        <w:div w:id="87388746">
                                                          <w:marLeft w:val="0"/>
                                                          <w:marRight w:val="0"/>
                                                          <w:marTop w:val="0"/>
                                                          <w:marBottom w:val="0"/>
                                                          <w:divBdr>
                                                            <w:top w:val="none" w:sz="0" w:space="0" w:color="auto"/>
                                                            <w:left w:val="none" w:sz="0" w:space="0" w:color="auto"/>
                                                            <w:bottom w:val="none" w:sz="0" w:space="0" w:color="auto"/>
                                                            <w:right w:val="none" w:sz="0" w:space="0" w:color="auto"/>
                                                          </w:divBdr>
                                                          <w:divsChild>
                                                            <w:div w:id="14504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612043">
      <w:bodyDiv w:val="1"/>
      <w:marLeft w:val="0"/>
      <w:marRight w:val="0"/>
      <w:marTop w:val="0"/>
      <w:marBottom w:val="0"/>
      <w:divBdr>
        <w:top w:val="none" w:sz="0" w:space="0" w:color="auto"/>
        <w:left w:val="none" w:sz="0" w:space="0" w:color="auto"/>
        <w:bottom w:val="none" w:sz="0" w:space="0" w:color="auto"/>
        <w:right w:val="none" w:sz="0" w:space="0" w:color="auto"/>
      </w:divBdr>
    </w:div>
    <w:div w:id="1379356031">
      <w:bodyDiv w:val="1"/>
      <w:marLeft w:val="0"/>
      <w:marRight w:val="0"/>
      <w:marTop w:val="0"/>
      <w:marBottom w:val="0"/>
      <w:divBdr>
        <w:top w:val="none" w:sz="0" w:space="0" w:color="auto"/>
        <w:left w:val="none" w:sz="0" w:space="0" w:color="auto"/>
        <w:bottom w:val="none" w:sz="0" w:space="0" w:color="auto"/>
        <w:right w:val="none" w:sz="0" w:space="0" w:color="auto"/>
      </w:divBdr>
    </w:div>
    <w:div w:id="1848906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mdba.gov.au/publications/mdba-reports/basin-plan-amendments-minor-practical-chan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mdba.gov.au/publications/maps-spatial-data" TargetMode="External"/><Relationship Id="rId2" Type="http://schemas.openxmlformats.org/officeDocument/2006/relationships/customXml" Target="../customXml/item2.xml"/><Relationship Id="rId16" Type="http://schemas.openxmlformats.org/officeDocument/2006/relationships/hyperlink" Target="http://www.agriculture.gov.au/water/policy/legislation/water-act-re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dba.gov.au/basin-plan-roll-out/basin-plan-amendments/basin-plan-amendments-groundwat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ba.gov.au/basin-plan-roll-out/basin-plan-amendments/basin-plan-amendments-northern-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8B3DA0D-B5DC-4227-B263-02D9B92521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B9399196450346AE8C6089617144E2" ma:contentTypeVersion="" ma:contentTypeDescription="PDMS Document Site Content Type" ma:contentTypeScope="" ma:versionID="9785236c2063bb1a82728b1b4109da43">
  <xsd:schema xmlns:xsd="http://www.w3.org/2001/XMLSchema" xmlns:xs="http://www.w3.org/2001/XMLSchema" xmlns:p="http://schemas.microsoft.com/office/2006/metadata/properties" xmlns:ns2="88B3DA0D-B5DC-4227-B263-02D9B92521E3" targetNamespace="http://schemas.microsoft.com/office/2006/metadata/properties" ma:root="true" ma:fieldsID="699a5f6e7a58e4c953d1cbb8e3f722a4" ns2:_="">
    <xsd:import namespace="88B3DA0D-B5DC-4227-B263-02D9B92521E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3DA0D-B5DC-4227-B263-02D9B92521E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7075-9594-440A-BC8E-286F86C2BE0E}">
  <ds:schemaRefs>
    <ds:schemaRef ds:uri="http://schemas.microsoft.com/sharepoint/v3/contenttype/forms"/>
  </ds:schemaRefs>
</ds:datastoreItem>
</file>

<file path=customXml/itemProps2.xml><?xml version="1.0" encoding="utf-8"?>
<ds:datastoreItem xmlns:ds="http://schemas.openxmlformats.org/officeDocument/2006/customXml" ds:itemID="{A396E51B-E1A4-4EA0-B95D-55831A9D9F6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8B3DA0D-B5DC-4227-B263-02D9B92521E3"/>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3506AA-9CCD-424A-970D-B3A240A0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3DA0D-B5DC-4227-B263-02D9B9252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71F0A-F908-4D14-8DA8-EC4290E5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15929</Words>
  <Characters>90800</Characters>
  <Application>Microsoft Office Word</Application>
  <DocSecurity>4</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106516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Hall, Fleur</cp:lastModifiedBy>
  <cp:revision>2</cp:revision>
  <cp:lastPrinted>2018-06-29T05:10:00Z</cp:lastPrinted>
  <dcterms:created xsi:type="dcterms:W3CDTF">2018-07-02T03:10:00Z</dcterms:created>
  <dcterms:modified xsi:type="dcterms:W3CDTF">2018-07-02T03:10:00Z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0x010100266966F133664895A6EE3632470D45F5002CB9399196450346AE8C6089617144E2</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29986550</vt:lpwstr>
  </property>
  <property fmtid="{D5CDD505-2E9C-101B-9397-08002B2CF9AE}" pid="6" name="checkforsharepointfields">
    <vt:lpwstr>True</vt:lpwstr>
  </property>
  <property fmtid="{D5CDD505-2E9C-101B-9397-08002B2CF9AE}" pid="7" name="Template Filename">
    <vt:lpwstr/>
  </property>
</Properties>
</file>