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DA" w:rsidRPr="00BC76EB" w:rsidRDefault="002533F0" w:rsidP="0012642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p>
    <w:p w:rsidR="002533F0" w:rsidRPr="00BC76EB" w:rsidRDefault="002533F0" w:rsidP="002533F0">
      <w:pPr>
        <w:spacing w:before="0"/>
        <w:ind w:right="91"/>
        <w:jc w:val="center"/>
        <w:rPr>
          <w:rFonts w:ascii="Arial" w:hAnsi="Arial" w:cs="Arial"/>
          <w:szCs w:val="24"/>
        </w:rPr>
      </w:pPr>
    </w:p>
    <w:p w:rsidR="00EC0C59" w:rsidRPr="00BC76EB" w:rsidRDefault="00EC0C59" w:rsidP="002533F0">
      <w:pPr>
        <w:spacing w:before="0"/>
        <w:ind w:right="91"/>
        <w:jc w:val="center"/>
        <w:rPr>
          <w:rFonts w:ascii="Arial" w:hAnsi="Arial" w:cs="Arial"/>
          <w:b/>
          <w:szCs w:val="24"/>
          <w:u w:val="single"/>
        </w:rPr>
      </w:pPr>
    </w:p>
    <w:p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D0020E">
        <w:rPr>
          <w:rFonts w:ascii="Arial" w:hAnsi="Arial" w:cs="Arial"/>
          <w:szCs w:val="24"/>
        </w:rPr>
        <w:t>Social Services</w:t>
      </w:r>
    </w:p>
    <w:p w:rsidR="002533F0" w:rsidRPr="00BC76EB" w:rsidRDefault="002533F0" w:rsidP="002533F0">
      <w:pPr>
        <w:spacing w:before="0"/>
        <w:ind w:right="91"/>
        <w:jc w:val="center"/>
        <w:rPr>
          <w:rFonts w:ascii="Arial" w:hAnsi="Arial" w:cs="Arial"/>
          <w:i/>
          <w:szCs w:val="24"/>
        </w:rPr>
      </w:pPr>
    </w:p>
    <w:p w:rsidR="00D0020E" w:rsidRPr="00D0020E" w:rsidRDefault="00D0020E" w:rsidP="00D0020E">
      <w:pPr>
        <w:spacing w:before="0"/>
        <w:ind w:right="91"/>
        <w:jc w:val="center"/>
        <w:rPr>
          <w:rFonts w:ascii="Arial" w:hAnsi="Arial" w:cs="Arial"/>
          <w:i/>
          <w:szCs w:val="24"/>
        </w:rPr>
      </w:pPr>
      <w:r w:rsidRPr="00D0020E">
        <w:rPr>
          <w:rFonts w:ascii="Arial" w:hAnsi="Arial" w:cs="Arial"/>
          <w:i/>
          <w:szCs w:val="24"/>
        </w:rPr>
        <w:t>National Redress Scheme for Institutional Child</w:t>
      </w:r>
      <w:bookmarkStart w:id="1" w:name="BK_S1P1L3C6"/>
      <w:bookmarkEnd w:id="1"/>
      <w:r w:rsidRPr="00D0020E">
        <w:rPr>
          <w:rFonts w:ascii="Arial" w:hAnsi="Arial" w:cs="Arial"/>
          <w:i/>
          <w:szCs w:val="24"/>
        </w:rPr>
        <w:t xml:space="preserve"> Sexual Abuse </w:t>
      </w:r>
      <w:r>
        <w:rPr>
          <w:rFonts w:ascii="Arial" w:hAnsi="Arial" w:cs="Arial"/>
          <w:i/>
          <w:szCs w:val="24"/>
        </w:rPr>
        <w:t xml:space="preserve">Act </w:t>
      </w:r>
      <w:r w:rsidRPr="00D0020E">
        <w:rPr>
          <w:rFonts w:ascii="Arial" w:hAnsi="Arial" w:cs="Arial"/>
          <w:i/>
          <w:szCs w:val="24"/>
        </w:rPr>
        <w:t>2018</w:t>
      </w:r>
    </w:p>
    <w:p w:rsidR="00D0020E" w:rsidRPr="00BC76EB" w:rsidRDefault="00D0020E" w:rsidP="002533F0">
      <w:pPr>
        <w:spacing w:before="0"/>
        <w:ind w:right="91"/>
        <w:jc w:val="center"/>
        <w:rPr>
          <w:rFonts w:ascii="Arial" w:hAnsi="Arial" w:cs="Arial"/>
          <w:szCs w:val="24"/>
        </w:rPr>
      </w:pPr>
    </w:p>
    <w:p w:rsidR="00966756" w:rsidRPr="00BC76EB" w:rsidRDefault="00966756" w:rsidP="002533F0">
      <w:pPr>
        <w:spacing w:before="0"/>
        <w:ind w:right="91"/>
        <w:jc w:val="center"/>
        <w:rPr>
          <w:rFonts w:ascii="Arial" w:hAnsi="Arial" w:cs="Arial"/>
          <w:szCs w:val="24"/>
        </w:rPr>
      </w:pPr>
    </w:p>
    <w:p w:rsidR="002533F0" w:rsidRPr="00BC76EB" w:rsidRDefault="00D0020E" w:rsidP="002533F0">
      <w:pPr>
        <w:spacing w:before="0"/>
        <w:ind w:right="91"/>
        <w:jc w:val="center"/>
        <w:rPr>
          <w:rFonts w:ascii="Arial" w:hAnsi="Arial" w:cs="Arial"/>
          <w:i/>
          <w:szCs w:val="24"/>
        </w:rPr>
      </w:pPr>
      <w:r w:rsidRPr="00D0020E">
        <w:rPr>
          <w:rFonts w:ascii="Arial" w:hAnsi="Arial" w:cs="Arial"/>
          <w:i/>
          <w:szCs w:val="24"/>
        </w:rPr>
        <w:t xml:space="preserve">National Redress Scheme for Institutional Child Sexual Abuse </w:t>
      </w:r>
      <w:r w:rsidR="00C24DFE">
        <w:rPr>
          <w:rFonts w:ascii="Arial" w:hAnsi="Arial" w:cs="Arial"/>
          <w:i/>
          <w:szCs w:val="24"/>
        </w:rPr>
        <w:t>Assessment Framework</w:t>
      </w:r>
      <w:r w:rsidRPr="00D0020E">
        <w:rPr>
          <w:rFonts w:ascii="Arial" w:hAnsi="Arial" w:cs="Arial"/>
          <w:i/>
          <w:szCs w:val="24"/>
        </w:rPr>
        <w:t> 2018</w:t>
      </w:r>
    </w:p>
    <w:p w:rsidR="002533F0" w:rsidRPr="00BC76EB" w:rsidRDefault="002533F0" w:rsidP="002533F0">
      <w:pPr>
        <w:spacing w:before="0"/>
        <w:ind w:right="91"/>
        <w:jc w:val="center"/>
        <w:rPr>
          <w:rFonts w:ascii="Arial" w:hAnsi="Arial" w:cs="Arial"/>
          <w:i/>
          <w:szCs w:val="24"/>
        </w:rPr>
      </w:pPr>
    </w:p>
    <w:p w:rsidR="002533F0" w:rsidRPr="00BC76EB" w:rsidRDefault="00AF4095" w:rsidP="000A4D9B">
      <w:pPr>
        <w:spacing w:before="0"/>
        <w:ind w:right="91"/>
        <w:jc w:val="both"/>
        <w:rPr>
          <w:rFonts w:ascii="Arial" w:hAnsi="Arial" w:cs="Arial"/>
          <w:b/>
          <w:szCs w:val="24"/>
        </w:rPr>
      </w:pPr>
      <w:r>
        <w:rPr>
          <w:rFonts w:ascii="Arial" w:hAnsi="Arial" w:cs="Arial"/>
          <w:b/>
          <w:szCs w:val="24"/>
        </w:rPr>
        <w:t>Background</w:t>
      </w:r>
    </w:p>
    <w:p w:rsidR="000244B2" w:rsidRDefault="000244B2" w:rsidP="000A4D9B">
      <w:pPr>
        <w:jc w:val="both"/>
        <w:rPr>
          <w:rFonts w:ascii="Arial" w:hAnsi="Arial" w:cs="Arial"/>
          <w:szCs w:val="24"/>
        </w:rPr>
      </w:pPr>
      <w:proofErr w:type="gramStart"/>
      <w:r>
        <w:rPr>
          <w:rStyle w:val="BookTitle"/>
          <w:rFonts w:ascii="Arial" w:hAnsi="Arial" w:cs="Arial"/>
          <w:i w:val="0"/>
          <w:iCs w:val="0"/>
          <w:smallCaps w:val="0"/>
          <w:spacing w:val="0"/>
          <w:szCs w:val="24"/>
        </w:rPr>
        <w:t xml:space="preserve">The </w:t>
      </w:r>
      <w:r w:rsidR="001660A4">
        <w:rPr>
          <w:rStyle w:val="BookTitle"/>
          <w:rFonts w:ascii="Arial" w:hAnsi="Arial" w:cs="Arial"/>
          <w:iCs w:val="0"/>
          <w:smallCaps w:val="0"/>
          <w:spacing w:val="0"/>
          <w:szCs w:val="24"/>
        </w:rPr>
        <w:t xml:space="preserve">National Redress Scheme for Institutional Child Sexual Abuse </w:t>
      </w:r>
      <w:r w:rsidR="00C24DFE">
        <w:rPr>
          <w:rStyle w:val="BookTitle"/>
          <w:rFonts w:ascii="Arial" w:hAnsi="Arial" w:cs="Arial"/>
          <w:iCs w:val="0"/>
          <w:smallCaps w:val="0"/>
          <w:spacing w:val="0"/>
          <w:szCs w:val="24"/>
        </w:rPr>
        <w:t>Assessment Framework</w:t>
      </w:r>
      <w:r w:rsidR="001660A4">
        <w:rPr>
          <w:rStyle w:val="BookTitle"/>
          <w:rFonts w:ascii="Arial" w:hAnsi="Arial" w:cs="Arial"/>
          <w:iCs w:val="0"/>
          <w:smallCaps w:val="0"/>
          <w:spacing w:val="0"/>
          <w:szCs w:val="24"/>
        </w:rPr>
        <w:t xml:space="preserve"> 2018 </w:t>
      </w:r>
      <w:r w:rsidR="001660A4">
        <w:rPr>
          <w:rStyle w:val="BookTitle"/>
          <w:rFonts w:ascii="Arial" w:hAnsi="Arial" w:cs="Arial"/>
          <w:i w:val="0"/>
          <w:iCs w:val="0"/>
          <w:smallCaps w:val="0"/>
          <w:spacing w:val="0"/>
          <w:szCs w:val="24"/>
        </w:rPr>
        <w:t xml:space="preserve">(the </w:t>
      </w:r>
      <w:r w:rsidR="00C24DFE">
        <w:rPr>
          <w:rStyle w:val="BookTitle"/>
          <w:rFonts w:ascii="Arial" w:hAnsi="Arial" w:cs="Arial"/>
          <w:i w:val="0"/>
          <w:iCs w:val="0"/>
          <w:smallCaps w:val="0"/>
          <w:spacing w:val="0"/>
          <w:szCs w:val="24"/>
        </w:rPr>
        <w:t xml:space="preserve">Assessment </w:t>
      </w:r>
      <w:r w:rsidR="00C24DFE">
        <w:rPr>
          <w:rFonts w:ascii="Arial" w:hAnsi="Arial" w:cs="Arial"/>
          <w:szCs w:val="24"/>
        </w:rPr>
        <w:t>Framework</w:t>
      </w:r>
      <w:r w:rsidR="001660A4">
        <w:rPr>
          <w:rFonts w:ascii="Arial" w:hAnsi="Arial" w:cs="Arial"/>
          <w:szCs w:val="24"/>
        </w:rPr>
        <w:t>)</w:t>
      </w:r>
      <w:r w:rsidR="00E046CE">
        <w:rPr>
          <w:rFonts w:ascii="Arial" w:hAnsi="Arial" w:cs="Arial"/>
          <w:szCs w:val="24"/>
        </w:rPr>
        <w:t xml:space="preserve"> </w:t>
      </w:r>
      <w:r w:rsidR="00C24DFE">
        <w:rPr>
          <w:rFonts w:ascii="Arial" w:hAnsi="Arial" w:cs="Arial"/>
          <w:szCs w:val="24"/>
        </w:rPr>
        <w:t>sets out the method, including</w:t>
      </w:r>
      <w:r>
        <w:rPr>
          <w:rFonts w:ascii="Arial" w:hAnsi="Arial" w:cs="Arial"/>
          <w:szCs w:val="24"/>
        </w:rPr>
        <w:t xml:space="preserve"> </w:t>
      </w:r>
      <w:r w:rsidR="00834B8B">
        <w:rPr>
          <w:rFonts w:ascii="Arial" w:hAnsi="Arial" w:cs="Arial"/>
          <w:szCs w:val="24"/>
        </w:rPr>
        <w:t>matters</w:t>
      </w:r>
      <w:r>
        <w:rPr>
          <w:rFonts w:ascii="Arial" w:hAnsi="Arial" w:cs="Arial"/>
          <w:szCs w:val="24"/>
        </w:rPr>
        <w:t xml:space="preserve"> </w:t>
      </w:r>
      <w:r w:rsidR="00C24DFE">
        <w:rPr>
          <w:rFonts w:ascii="Arial" w:hAnsi="Arial" w:cs="Arial"/>
          <w:szCs w:val="24"/>
        </w:rPr>
        <w:t xml:space="preserve">to be taken into account </w:t>
      </w:r>
      <w:r>
        <w:rPr>
          <w:rFonts w:ascii="Arial" w:hAnsi="Arial" w:cs="Arial"/>
          <w:szCs w:val="24"/>
        </w:rPr>
        <w:t>for the purposes of</w:t>
      </w:r>
      <w:r w:rsidR="00A139A9">
        <w:rPr>
          <w:rFonts w:ascii="Arial" w:hAnsi="Arial" w:cs="Arial"/>
          <w:szCs w:val="24"/>
        </w:rPr>
        <w:t xml:space="preserve"> working out the amount of redress payment for a person and the amount of the counselling and psychological component of redress for a person for </w:t>
      </w:r>
      <w:r w:rsidR="00EE2F6B">
        <w:rPr>
          <w:rFonts w:ascii="Arial" w:hAnsi="Arial" w:cs="Arial"/>
          <w:szCs w:val="24"/>
        </w:rPr>
        <w:t>the</w:t>
      </w:r>
      <w:r>
        <w:rPr>
          <w:rFonts w:ascii="Arial" w:hAnsi="Arial" w:cs="Arial"/>
          <w:szCs w:val="24"/>
        </w:rPr>
        <w:t xml:space="preserve"> </w:t>
      </w:r>
      <w:r w:rsidR="00EE2F6B">
        <w:rPr>
          <w:rFonts w:ascii="Arial" w:hAnsi="Arial" w:cs="Arial"/>
          <w:szCs w:val="24"/>
        </w:rPr>
        <w:t>National</w:t>
      </w:r>
      <w:r w:rsidR="00EE2F6B" w:rsidRPr="000244B2">
        <w:rPr>
          <w:rFonts w:ascii="Arial" w:hAnsi="Arial" w:cs="Arial"/>
          <w:szCs w:val="24"/>
        </w:rPr>
        <w:t xml:space="preserve"> Redress Scheme for Institutional Ch</w:t>
      </w:r>
      <w:r w:rsidR="00EE2F6B">
        <w:rPr>
          <w:rFonts w:ascii="Arial" w:hAnsi="Arial" w:cs="Arial"/>
          <w:szCs w:val="24"/>
        </w:rPr>
        <w:t xml:space="preserve">ild Sexual Abuse (the Scheme) as enabled by </w:t>
      </w:r>
      <w:r>
        <w:rPr>
          <w:rFonts w:ascii="Arial" w:hAnsi="Arial" w:cs="Arial"/>
          <w:szCs w:val="24"/>
        </w:rPr>
        <w:t xml:space="preserve">the </w:t>
      </w:r>
      <w:r w:rsidRPr="00D0020E">
        <w:rPr>
          <w:rFonts w:ascii="Arial" w:hAnsi="Arial" w:cs="Arial"/>
          <w:i/>
          <w:szCs w:val="24"/>
        </w:rPr>
        <w:t xml:space="preserve">National Redress Scheme for Institutional Child Sexual Abuse </w:t>
      </w:r>
      <w:r>
        <w:rPr>
          <w:rFonts w:ascii="Arial" w:hAnsi="Arial" w:cs="Arial"/>
          <w:i/>
          <w:szCs w:val="24"/>
        </w:rPr>
        <w:t xml:space="preserve">Act </w:t>
      </w:r>
      <w:r w:rsidRPr="00D0020E">
        <w:rPr>
          <w:rFonts w:ascii="Arial" w:hAnsi="Arial" w:cs="Arial"/>
          <w:i/>
          <w:szCs w:val="24"/>
        </w:rPr>
        <w:t>2018</w:t>
      </w:r>
      <w:r w:rsidR="001660A4">
        <w:rPr>
          <w:rFonts w:ascii="Arial" w:hAnsi="Arial" w:cs="Arial"/>
          <w:i/>
          <w:szCs w:val="24"/>
        </w:rPr>
        <w:t xml:space="preserve"> </w:t>
      </w:r>
      <w:r w:rsidR="001660A4">
        <w:rPr>
          <w:rFonts w:ascii="Arial" w:hAnsi="Arial" w:cs="Arial"/>
          <w:szCs w:val="24"/>
        </w:rPr>
        <w:t>(the Act)</w:t>
      </w:r>
      <w:r>
        <w:rPr>
          <w:rFonts w:ascii="Arial" w:hAnsi="Arial" w:cs="Arial"/>
          <w:szCs w:val="24"/>
        </w:rPr>
        <w:t>.</w:t>
      </w:r>
      <w:proofErr w:type="gramEnd"/>
    </w:p>
    <w:p w:rsidR="00377607" w:rsidRPr="000244B2" w:rsidRDefault="00377607" w:rsidP="00C24DFE">
      <w:pPr>
        <w:jc w:val="both"/>
        <w:rPr>
          <w:rFonts w:ascii="Arial" w:hAnsi="Arial" w:cs="Arial"/>
          <w:szCs w:val="24"/>
        </w:rPr>
      </w:pPr>
      <w:proofErr w:type="gramStart"/>
      <w:r w:rsidRPr="000244B2">
        <w:rPr>
          <w:rFonts w:ascii="Arial" w:hAnsi="Arial" w:cs="Arial"/>
          <w:szCs w:val="24"/>
        </w:rPr>
        <w:t xml:space="preserve">The Scheme will provide three elements of redress to eligible </w:t>
      </w:r>
      <w:r w:rsidR="00A139A9">
        <w:rPr>
          <w:rFonts w:ascii="Arial" w:hAnsi="Arial" w:cs="Arial"/>
          <w:szCs w:val="24"/>
        </w:rPr>
        <w:t>people</w:t>
      </w:r>
      <w:r w:rsidRPr="000244B2">
        <w:rPr>
          <w:rFonts w:ascii="Arial" w:hAnsi="Arial" w:cs="Arial"/>
          <w:szCs w:val="24"/>
        </w:rPr>
        <w:t xml:space="preserve">: a monetary payment of up to $150,000 may be provided as tangible recognition of the wrong suffered, access to counselling and psychological services </w:t>
      </w:r>
      <w:r w:rsidR="00380574">
        <w:rPr>
          <w:rFonts w:ascii="Arial" w:hAnsi="Arial" w:cs="Arial"/>
          <w:szCs w:val="24"/>
        </w:rPr>
        <w:t>or</w:t>
      </w:r>
      <w:r w:rsidR="00236983">
        <w:rPr>
          <w:rFonts w:ascii="Arial" w:hAnsi="Arial" w:cs="Arial"/>
          <w:szCs w:val="24"/>
        </w:rPr>
        <w:t xml:space="preserve"> (depending on</w:t>
      </w:r>
      <w:r w:rsidR="001161FC">
        <w:rPr>
          <w:rFonts w:ascii="Arial" w:hAnsi="Arial" w:cs="Arial"/>
          <w:szCs w:val="24"/>
        </w:rPr>
        <w:t xml:space="preserve"> where the person </w:t>
      </w:r>
      <w:r w:rsidR="00C24DFE">
        <w:rPr>
          <w:rFonts w:ascii="Arial" w:hAnsi="Arial" w:cs="Arial"/>
          <w:szCs w:val="24"/>
        </w:rPr>
        <w:t>lives</w:t>
      </w:r>
      <w:r w:rsidR="00236983">
        <w:rPr>
          <w:rFonts w:ascii="Arial" w:hAnsi="Arial" w:cs="Arial"/>
          <w:szCs w:val="24"/>
        </w:rPr>
        <w:t xml:space="preserve">) </w:t>
      </w:r>
      <w:r w:rsidR="00380574">
        <w:rPr>
          <w:rFonts w:ascii="Arial" w:hAnsi="Arial" w:cs="Arial"/>
          <w:szCs w:val="24"/>
        </w:rPr>
        <w:t>a counselling and psychological services payment of up to $5,000</w:t>
      </w:r>
      <w:r w:rsidR="00236983">
        <w:rPr>
          <w:rFonts w:ascii="Arial" w:hAnsi="Arial" w:cs="Arial"/>
          <w:szCs w:val="24"/>
        </w:rPr>
        <w:t>,</w:t>
      </w:r>
      <w:r w:rsidR="00380574">
        <w:rPr>
          <w:rFonts w:ascii="Arial" w:hAnsi="Arial" w:cs="Arial"/>
          <w:szCs w:val="24"/>
        </w:rPr>
        <w:t xml:space="preserve"> </w:t>
      </w:r>
      <w:r w:rsidRPr="000244B2">
        <w:rPr>
          <w:rFonts w:ascii="Arial" w:hAnsi="Arial" w:cs="Arial"/>
          <w:szCs w:val="24"/>
        </w:rPr>
        <w:t xml:space="preserve">and the Scheme will facilitate a direct personal response from responsible institutions at the request of </w:t>
      </w:r>
      <w:r w:rsidR="00A139A9">
        <w:rPr>
          <w:rFonts w:ascii="Arial" w:hAnsi="Arial" w:cs="Arial"/>
          <w:szCs w:val="24"/>
        </w:rPr>
        <w:t>the person</w:t>
      </w:r>
      <w:r w:rsidRPr="000244B2">
        <w:rPr>
          <w:rFonts w:ascii="Arial" w:hAnsi="Arial" w:cs="Arial"/>
          <w:szCs w:val="24"/>
        </w:rPr>
        <w:t>.  </w:t>
      </w:r>
      <w:proofErr w:type="gramEnd"/>
      <w:r w:rsidRPr="000244B2">
        <w:rPr>
          <w:rFonts w:ascii="Arial" w:hAnsi="Arial" w:cs="Arial"/>
          <w:szCs w:val="24"/>
        </w:rPr>
        <w:t>The Scheme will commence on 1 July 2018 and will operate for a period of 10 years. </w:t>
      </w:r>
    </w:p>
    <w:p w:rsidR="00C24DFE" w:rsidRDefault="000A4D9B" w:rsidP="007F7FBE">
      <w:pPr>
        <w:jc w:val="both"/>
        <w:rPr>
          <w:rFonts w:ascii="Arial" w:hAnsi="Arial" w:cs="Arial"/>
          <w:szCs w:val="24"/>
        </w:rPr>
      </w:pPr>
      <w:r>
        <w:rPr>
          <w:rFonts w:ascii="Arial" w:hAnsi="Arial" w:cs="Arial"/>
          <w:szCs w:val="24"/>
        </w:rPr>
        <w:t xml:space="preserve">Section </w:t>
      </w:r>
      <w:r w:rsidR="00C24DFE">
        <w:rPr>
          <w:rFonts w:ascii="Arial" w:hAnsi="Arial" w:cs="Arial"/>
          <w:szCs w:val="24"/>
        </w:rPr>
        <w:t>32</w:t>
      </w:r>
      <w:r w:rsidR="00E046CE">
        <w:rPr>
          <w:rFonts w:ascii="Arial" w:hAnsi="Arial" w:cs="Arial"/>
          <w:szCs w:val="24"/>
        </w:rPr>
        <w:t xml:space="preserve"> of the </w:t>
      </w:r>
      <w:r w:rsidR="00D56F78" w:rsidRPr="001660A4">
        <w:rPr>
          <w:rFonts w:ascii="Arial" w:hAnsi="Arial" w:cs="Arial"/>
          <w:szCs w:val="24"/>
        </w:rPr>
        <w:t>Act</w:t>
      </w:r>
      <w:r w:rsidR="00D56F78">
        <w:rPr>
          <w:rFonts w:ascii="Arial" w:hAnsi="Arial" w:cs="Arial"/>
          <w:i/>
          <w:szCs w:val="24"/>
        </w:rPr>
        <w:t xml:space="preserve"> </w:t>
      </w:r>
      <w:r w:rsidR="00E046CE">
        <w:rPr>
          <w:rFonts w:ascii="Arial" w:hAnsi="Arial" w:cs="Arial"/>
          <w:szCs w:val="24"/>
        </w:rPr>
        <w:t xml:space="preserve">provides the </w:t>
      </w:r>
      <w:r w:rsidR="00E046CE" w:rsidRPr="000E7DB4">
        <w:rPr>
          <w:rFonts w:ascii="Arial" w:hAnsi="Arial" w:cs="Arial"/>
          <w:szCs w:val="24"/>
        </w:rPr>
        <w:t xml:space="preserve">Minister with the power to </w:t>
      </w:r>
      <w:r w:rsidR="00C24DFE">
        <w:rPr>
          <w:rFonts w:ascii="Arial" w:hAnsi="Arial" w:cs="Arial"/>
          <w:szCs w:val="24"/>
        </w:rPr>
        <w:t>declare, in writing,</w:t>
      </w:r>
      <w:r w:rsidR="00E046CE">
        <w:rPr>
          <w:rFonts w:ascii="Arial" w:hAnsi="Arial" w:cs="Arial"/>
          <w:szCs w:val="24"/>
        </w:rPr>
        <w:t xml:space="preserve"> </w:t>
      </w:r>
      <w:r w:rsidR="00C24DFE">
        <w:rPr>
          <w:rFonts w:ascii="Arial" w:hAnsi="Arial" w:cs="Arial"/>
          <w:szCs w:val="24"/>
        </w:rPr>
        <w:t>a method, or matters to take into account</w:t>
      </w:r>
      <w:r w:rsidR="007F7FBE">
        <w:rPr>
          <w:rFonts w:ascii="Arial" w:hAnsi="Arial" w:cs="Arial"/>
          <w:szCs w:val="24"/>
        </w:rPr>
        <w:t xml:space="preserve"> for the purposes of working out the amount of redress payment, and the amount of the counselling and psychological component of redress</w:t>
      </w:r>
      <w:r w:rsidR="00E642EA">
        <w:rPr>
          <w:rFonts w:ascii="Arial" w:hAnsi="Arial" w:cs="Arial"/>
          <w:szCs w:val="24"/>
        </w:rPr>
        <w:t xml:space="preserve"> for a person</w:t>
      </w:r>
      <w:r w:rsidR="007F7FBE">
        <w:rPr>
          <w:rFonts w:ascii="Arial" w:hAnsi="Arial" w:cs="Arial"/>
          <w:szCs w:val="24"/>
        </w:rPr>
        <w:t xml:space="preserve">.  </w:t>
      </w:r>
    </w:p>
    <w:p w:rsidR="007F7FBE" w:rsidRDefault="007F7FBE" w:rsidP="007F7FBE">
      <w:pPr>
        <w:jc w:val="both"/>
        <w:rPr>
          <w:rFonts w:ascii="Arial" w:hAnsi="Arial" w:cs="Arial"/>
        </w:rPr>
      </w:pPr>
      <w:r>
        <w:rPr>
          <w:rFonts w:ascii="Arial" w:hAnsi="Arial" w:cs="Arial"/>
          <w:szCs w:val="24"/>
        </w:rPr>
        <w:t xml:space="preserve">Although the Assessment Framework </w:t>
      </w:r>
      <w:r>
        <w:rPr>
          <w:rFonts w:ascii="Arial" w:hAnsi="Arial" w:cs="Arial"/>
        </w:rPr>
        <w:t xml:space="preserve">is a legislative instrument, it is exempt from section 42 of the </w:t>
      </w:r>
      <w:r>
        <w:rPr>
          <w:rFonts w:ascii="Arial" w:hAnsi="Arial" w:cs="Arial"/>
          <w:i/>
          <w:iCs/>
        </w:rPr>
        <w:t>Legislation Act 2003</w:t>
      </w:r>
      <w:r>
        <w:rPr>
          <w:rFonts w:ascii="Arial" w:hAnsi="Arial" w:cs="Arial"/>
          <w:iCs/>
        </w:rPr>
        <w:t>,</w:t>
      </w:r>
      <w:r>
        <w:rPr>
          <w:rFonts w:ascii="Arial" w:hAnsi="Arial" w:cs="Arial"/>
        </w:rPr>
        <w:t xml:space="preserve"> which provides for disallowance.  It is necessary to exempt the Assessment Framework from disallowance so that the method or matters to be taken into account </w:t>
      </w:r>
      <w:proofErr w:type="gramStart"/>
      <w:r>
        <w:rPr>
          <w:rFonts w:ascii="Arial" w:hAnsi="Arial" w:cs="Arial"/>
        </w:rPr>
        <w:t>for the purpose of</w:t>
      </w:r>
      <w:proofErr w:type="gramEnd"/>
      <w:r>
        <w:rPr>
          <w:rFonts w:ascii="Arial" w:hAnsi="Arial" w:cs="Arial"/>
        </w:rPr>
        <w:t xml:space="preserve"> working out the amount of redress payment for a person are certain for applicants to the Scheme and decision-makers.  This declaration would ordinarily be of an administrative character and would not be a legislative instrument without this provision.  However, in order to ensure certainty and transparency it is appropriate to make this declaration a legislative instrument. </w:t>
      </w:r>
    </w:p>
    <w:p w:rsidR="008C13DE" w:rsidRDefault="008C13DE" w:rsidP="007F7FBE">
      <w:pPr>
        <w:jc w:val="both"/>
        <w:rPr>
          <w:rFonts w:ascii="Arial" w:hAnsi="Arial" w:cs="Arial"/>
        </w:rPr>
      </w:pPr>
      <w:r>
        <w:rPr>
          <w:rFonts w:ascii="Arial" w:hAnsi="Arial" w:cs="Arial"/>
        </w:rPr>
        <w:t xml:space="preserve">The Assessment Framework </w:t>
      </w:r>
      <w:proofErr w:type="gramStart"/>
      <w:r>
        <w:rPr>
          <w:rFonts w:ascii="Arial" w:hAnsi="Arial" w:cs="Arial"/>
        </w:rPr>
        <w:t>is designed</w:t>
      </w:r>
      <w:proofErr w:type="gramEnd"/>
      <w:r>
        <w:rPr>
          <w:rFonts w:ascii="Arial" w:hAnsi="Arial" w:cs="Arial"/>
        </w:rPr>
        <w:t xml:space="preserve"> to provide a framework to bind decision makers but to </w:t>
      </w:r>
      <w:r w:rsidRPr="00CF54AF">
        <w:rPr>
          <w:rFonts w:ascii="Arial" w:hAnsi="Arial" w:cs="Arial"/>
        </w:rPr>
        <w:t xml:space="preserve">avoid re-traumatising </w:t>
      </w:r>
      <w:r w:rsidR="00D21283" w:rsidRPr="00CF54AF">
        <w:rPr>
          <w:rFonts w:ascii="Arial" w:hAnsi="Arial" w:cs="Arial"/>
        </w:rPr>
        <w:t>survivors</w:t>
      </w:r>
      <w:r w:rsidR="00CF54AF">
        <w:rPr>
          <w:rFonts w:ascii="Arial" w:hAnsi="Arial" w:cs="Arial"/>
        </w:rPr>
        <w:t>.</w:t>
      </w:r>
      <w:r w:rsidRPr="00CF54AF">
        <w:rPr>
          <w:rFonts w:ascii="Arial" w:hAnsi="Arial" w:cs="Arial"/>
        </w:rPr>
        <w:t xml:space="preserve"> This</w:t>
      </w:r>
      <w:r>
        <w:rPr>
          <w:rFonts w:ascii="Arial" w:hAnsi="Arial" w:cs="Arial"/>
        </w:rPr>
        <w:t xml:space="preserve"> framework will be supported by assessment framework policy </w:t>
      </w:r>
      <w:proofErr w:type="gramStart"/>
      <w:r>
        <w:rPr>
          <w:rFonts w:ascii="Arial" w:hAnsi="Arial" w:cs="Arial"/>
        </w:rPr>
        <w:t>guidelines which</w:t>
      </w:r>
      <w:proofErr w:type="gramEnd"/>
      <w:r>
        <w:rPr>
          <w:rFonts w:ascii="Arial" w:hAnsi="Arial" w:cs="Arial"/>
        </w:rPr>
        <w:t xml:space="preserve"> will provide further detail and examples to assist decision makers to apply the Assessment Framework to the range of circumstances. </w:t>
      </w:r>
    </w:p>
    <w:p w:rsidR="000B4130" w:rsidRPr="00BC76EB" w:rsidRDefault="000B4130" w:rsidP="000A4D9B">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Commencement</w:t>
      </w:r>
    </w:p>
    <w:p w:rsidR="00A279B7" w:rsidRPr="00A279B7" w:rsidRDefault="00A279B7" w:rsidP="00A279B7">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Commencement of t</w:t>
      </w:r>
      <w:r w:rsidR="006A64EF">
        <w:rPr>
          <w:rStyle w:val="BookTitle"/>
          <w:rFonts w:ascii="Arial" w:hAnsi="Arial" w:cs="Arial"/>
          <w:i w:val="0"/>
          <w:iCs w:val="0"/>
          <w:smallCaps w:val="0"/>
          <w:spacing w:val="0"/>
          <w:szCs w:val="24"/>
        </w:rPr>
        <w:t xml:space="preserve">he </w:t>
      </w:r>
      <w:r>
        <w:rPr>
          <w:rStyle w:val="BookTitle"/>
          <w:rFonts w:ascii="Arial" w:hAnsi="Arial" w:cs="Arial"/>
          <w:i w:val="0"/>
          <w:iCs w:val="0"/>
          <w:smallCaps w:val="0"/>
          <w:spacing w:val="0"/>
          <w:szCs w:val="24"/>
        </w:rPr>
        <w:t>Assessment Framework</w:t>
      </w:r>
      <w:r w:rsidR="00003A9C" w:rsidRPr="00003A9C">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is</w:t>
      </w:r>
      <w:r>
        <w:rPr>
          <w:rFonts w:ascii="Arial" w:hAnsi="Arial" w:cs="Arial"/>
        </w:rPr>
        <w:t xml:space="preserve"> the later of </w:t>
      </w:r>
      <w:r>
        <w:rPr>
          <w:rStyle w:val="BookTitle"/>
          <w:rFonts w:ascii="Arial" w:hAnsi="Arial" w:cs="Arial"/>
          <w:i w:val="0"/>
          <w:iCs w:val="0"/>
          <w:smallCaps w:val="0"/>
          <w:spacing w:val="0"/>
          <w:szCs w:val="24"/>
        </w:rPr>
        <w:t>the commencement of the Act and the start of the day after this instrument is registered.</w:t>
      </w:r>
    </w:p>
    <w:p w:rsidR="00DB568C" w:rsidRDefault="00DB568C" w:rsidP="000A4D9B">
      <w:pPr>
        <w:jc w:val="both"/>
        <w:rPr>
          <w:rStyle w:val="BookTitle"/>
          <w:rFonts w:ascii="Arial" w:hAnsi="Arial" w:cs="Arial"/>
          <w:b/>
          <w:i w:val="0"/>
          <w:iCs w:val="0"/>
          <w:smallCaps w:val="0"/>
          <w:spacing w:val="0"/>
          <w:szCs w:val="24"/>
        </w:rPr>
      </w:pPr>
    </w:p>
    <w:p w:rsidR="006A6D51" w:rsidRPr="00BC76EB" w:rsidRDefault="006A6D51" w:rsidP="000A4D9B">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8C13DE" w:rsidRDefault="008C13DE" w:rsidP="008C13DE">
      <w:pPr>
        <w:jc w:val="both"/>
        <w:rPr>
          <w:rFonts w:ascii="Arial" w:hAnsi="Arial" w:cs="Arial"/>
          <w:szCs w:val="24"/>
        </w:rPr>
      </w:pPr>
      <w:r>
        <w:rPr>
          <w:rFonts w:ascii="Arial" w:hAnsi="Arial" w:cs="Arial"/>
          <w:szCs w:val="24"/>
        </w:rPr>
        <w:t xml:space="preserve">The Assessment Framework, and the policy guidance material on which it </w:t>
      </w:r>
      <w:proofErr w:type="gramStart"/>
      <w:r>
        <w:rPr>
          <w:rFonts w:ascii="Arial" w:hAnsi="Arial" w:cs="Arial"/>
          <w:szCs w:val="24"/>
        </w:rPr>
        <w:t>was based</w:t>
      </w:r>
      <w:proofErr w:type="gramEnd"/>
      <w:r>
        <w:rPr>
          <w:rFonts w:ascii="Arial" w:hAnsi="Arial" w:cs="Arial"/>
          <w:szCs w:val="24"/>
        </w:rPr>
        <w:t xml:space="preserve">, were consulted on extensively with officials from all states and territories in order to encourage all jurisdictions to participate in the Scheme. Further consultation on the policy within the Assessment Framework </w:t>
      </w:r>
      <w:proofErr w:type="gramStart"/>
      <w:r>
        <w:rPr>
          <w:rFonts w:ascii="Arial" w:hAnsi="Arial" w:cs="Arial"/>
          <w:szCs w:val="24"/>
        </w:rPr>
        <w:t>was also undertaken</w:t>
      </w:r>
      <w:proofErr w:type="gramEnd"/>
      <w:r>
        <w:rPr>
          <w:rFonts w:ascii="Arial" w:hAnsi="Arial" w:cs="Arial"/>
          <w:szCs w:val="24"/>
        </w:rPr>
        <w:t xml:space="preserve"> with Commonwealth Departments and key non-government institutions.</w:t>
      </w:r>
    </w:p>
    <w:p w:rsidR="008C13DE" w:rsidRDefault="008C13DE" w:rsidP="008C13DE">
      <w:pPr>
        <w:jc w:val="both"/>
        <w:rPr>
          <w:rFonts w:ascii="Arial" w:hAnsi="Arial" w:cs="Arial"/>
          <w:szCs w:val="24"/>
        </w:rPr>
      </w:pPr>
      <w:r>
        <w:rPr>
          <w:rFonts w:ascii="Arial" w:hAnsi="Arial" w:cs="Arial"/>
          <w:szCs w:val="24"/>
        </w:rPr>
        <w:t xml:space="preserve">In addition, the Act and </w:t>
      </w:r>
      <w:proofErr w:type="gramStart"/>
      <w:r>
        <w:rPr>
          <w:rFonts w:ascii="Arial" w:hAnsi="Arial" w:cs="Arial"/>
          <w:szCs w:val="24"/>
        </w:rPr>
        <w:t>Rules which this Assessment Framework supports</w:t>
      </w:r>
      <w:proofErr w:type="gramEnd"/>
      <w:r>
        <w:rPr>
          <w:rFonts w:ascii="Arial" w:hAnsi="Arial" w:cs="Arial"/>
          <w:szCs w:val="24"/>
        </w:rPr>
        <w:t xml:space="preserve"> w</w:t>
      </w:r>
      <w:r w:rsidR="006712CB">
        <w:rPr>
          <w:rFonts w:ascii="Arial" w:hAnsi="Arial" w:cs="Arial"/>
          <w:szCs w:val="24"/>
        </w:rPr>
        <w:t>ere</w:t>
      </w:r>
      <w:r>
        <w:rPr>
          <w:rFonts w:ascii="Arial" w:hAnsi="Arial" w:cs="Arial"/>
          <w:szCs w:val="24"/>
        </w:rPr>
        <w:t xml:space="preserve"> consulted on with officials from all states and territories, Commonwealth Departments and members of key non</w:t>
      </w:r>
      <w:r>
        <w:rPr>
          <w:rFonts w:ascii="Arial" w:hAnsi="Arial" w:cs="Arial"/>
          <w:szCs w:val="24"/>
        </w:rPr>
        <w:noBreakHyphen/>
        <w:t>government institutions.</w:t>
      </w:r>
    </w:p>
    <w:p w:rsidR="006C0C1C" w:rsidRDefault="006C0C1C" w:rsidP="000A4D9B">
      <w:pPr>
        <w:spacing w:before="0" w:after="200" w:line="276" w:lineRule="auto"/>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br w:type="page"/>
      </w:r>
    </w:p>
    <w:p w:rsidR="006A6D51" w:rsidRPr="00BC76EB" w:rsidRDefault="006A6D51" w:rsidP="001505B1">
      <w:pPr>
        <w:jc w:val="cente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Explanation of the provisions</w:t>
      </w:r>
    </w:p>
    <w:p w:rsidR="00871F28" w:rsidRPr="00570F9C" w:rsidRDefault="00871F28" w:rsidP="000A4D9B">
      <w:pPr>
        <w:jc w:val="both"/>
        <w:rPr>
          <w:rStyle w:val="BookTitle"/>
          <w:rFonts w:ascii="Arial" w:hAnsi="Arial" w:cs="Arial"/>
          <w:b/>
          <w:i w:val="0"/>
          <w:iCs w:val="0"/>
          <w:smallCaps w:val="0"/>
          <w:spacing w:val="0"/>
          <w:szCs w:val="24"/>
          <w:u w:val="single"/>
        </w:rPr>
      </w:pPr>
      <w:r w:rsidRPr="00570F9C">
        <w:rPr>
          <w:rStyle w:val="BookTitle"/>
          <w:rFonts w:ascii="Arial" w:hAnsi="Arial" w:cs="Arial"/>
          <w:b/>
          <w:i w:val="0"/>
          <w:iCs w:val="0"/>
          <w:smallCaps w:val="0"/>
          <w:spacing w:val="0"/>
          <w:szCs w:val="24"/>
          <w:u w:val="single"/>
        </w:rPr>
        <w:t xml:space="preserve">Part </w:t>
      </w:r>
      <w:r w:rsidR="00446D6C" w:rsidRPr="00570F9C">
        <w:rPr>
          <w:rStyle w:val="BookTitle"/>
          <w:rFonts w:ascii="Arial" w:hAnsi="Arial" w:cs="Arial"/>
          <w:b/>
          <w:i w:val="0"/>
          <w:iCs w:val="0"/>
          <w:smallCaps w:val="0"/>
          <w:spacing w:val="0"/>
          <w:szCs w:val="24"/>
          <w:u w:val="single"/>
        </w:rPr>
        <w:t>1</w:t>
      </w:r>
      <w:r w:rsidR="008E2C17" w:rsidRPr="00570F9C">
        <w:rPr>
          <w:rStyle w:val="BookTitle"/>
          <w:rFonts w:ascii="Arial" w:hAnsi="Arial" w:cs="Arial"/>
          <w:b/>
          <w:i w:val="0"/>
          <w:iCs w:val="0"/>
          <w:smallCaps w:val="0"/>
          <w:spacing w:val="0"/>
          <w:szCs w:val="24"/>
          <w:u w:val="single"/>
        </w:rPr>
        <w:t xml:space="preserve"> – Preliminary</w:t>
      </w:r>
    </w:p>
    <w:p w:rsidR="00314EF3" w:rsidRDefault="001505B1" w:rsidP="001505B1">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Section</w:t>
      </w:r>
      <w:r w:rsidR="00E504CE">
        <w:rPr>
          <w:rStyle w:val="BookTitle"/>
          <w:rFonts w:ascii="Arial" w:hAnsi="Arial" w:cs="Arial"/>
          <w:b/>
          <w:i w:val="0"/>
          <w:iCs w:val="0"/>
          <w:smallCaps w:val="0"/>
          <w:spacing w:val="0"/>
          <w:szCs w:val="24"/>
        </w:rPr>
        <w:t xml:space="preserve"> 1</w:t>
      </w:r>
      <w:r w:rsidR="00E504CE">
        <w:rPr>
          <w:rStyle w:val="BookTitle"/>
          <w:rFonts w:ascii="Arial" w:hAnsi="Arial" w:cs="Arial"/>
          <w:b/>
          <w:i w:val="0"/>
          <w:iCs w:val="0"/>
          <w:smallCaps w:val="0"/>
          <w:spacing w:val="0"/>
          <w:szCs w:val="24"/>
        </w:rPr>
        <w:tab/>
      </w:r>
      <w:r w:rsidR="00314EF3">
        <w:rPr>
          <w:rStyle w:val="BookTitle"/>
          <w:rFonts w:ascii="Arial" w:hAnsi="Arial" w:cs="Arial"/>
          <w:b/>
          <w:i w:val="0"/>
          <w:iCs w:val="0"/>
          <w:smallCaps w:val="0"/>
          <w:spacing w:val="0"/>
          <w:szCs w:val="24"/>
        </w:rPr>
        <w:t>Name</w:t>
      </w:r>
    </w:p>
    <w:p w:rsidR="008E2C17" w:rsidRPr="008E2C17" w:rsidRDefault="00314EF3" w:rsidP="001505B1">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1 </w:t>
      </w:r>
      <w:r w:rsidR="008E2C17" w:rsidRPr="00BC76EB">
        <w:rPr>
          <w:rStyle w:val="BookTitle"/>
          <w:rFonts w:ascii="Arial" w:hAnsi="Arial" w:cs="Arial"/>
          <w:i w:val="0"/>
          <w:iCs w:val="0"/>
          <w:smallCaps w:val="0"/>
          <w:spacing w:val="0"/>
          <w:szCs w:val="24"/>
        </w:rPr>
        <w:t xml:space="preserve">provides </w:t>
      </w:r>
      <w:r w:rsidR="008E2C17">
        <w:rPr>
          <w:rStyle w:val="BookTitle"/>
          <w:rFonts w:ascii="Arial" w:hAnsi="Arial" w:cs="Arial"/>
          <w:i w:val="0"/>
          <w:iCs w:val="0"/>
          <w:smallCaps w:val="0"/>
          <w:spacing w:val="0"/>
          <w:szCs w:val="24"/>
        </w:rPr>
        <w:t>that</w:t>
      </w:r>
      <w:r w:rsidR="001505B1">
        <w:rPr>
          <w:rStyle w:val="BookTitle"/>
          <w:rFonts w:ascii="Arial" w:hAnsi="Arial" w:cs="Arial"/>
          <w:i w:val="0"/>
          <w:iCs w:val="0"/>
          <w:smallCaps w:val="0"/>
          <w:spacing w:val="0"/>
          <w:szCs w:val="24"/>
        </w:rPr>
        <w:t xml:space="preserve"> the</w:t>
      </w:r>
      <w:r w:rsidR="008E2C17">
        <w:rPr>
          <w:rStyle w:val="BookTitle"/>
          <w:rFonts w:ascii="Arial" w:hAnsi="Arial" w:cs="Arial"/>
          <w:i w:val="0"/>
          <w:iCs w:val="0"/>
          <w:smallCaps w:val="0"/>
          <w:spacing w:val="0"/>
          <w:szCs w:val="24"/>
        </w:rPr>
        <w:t xml:space="preserve"> </w:t>
      </w:r>
      <w:r w:rsidR="008E2C17" w:rsidRPr="008E2C17">
        <w:rPr>
          <w:rFonts w:ascii="Arial" w:hAnsi="Arial" w:cs="Arial"/>
        </w:rPr>
        <w:t>instrument is the</w:t>
      </w:r>
      <w:r w:rsidR="004049ED">
        <w:rPr>
          <w:rFonts w:ascii="Arial" w:hAnsi="Arial" w:cs="Arial"/>
        </w:rPr>
        <w:t xml:space="preserve"> </w:t>
      </w:r>
      <w:r w:rsidR="004049ED">
        <w:rPr>
          <w:rFonts w:ascii="Arial" w:hAnsi="Arial" w:cs="Arial"/>
          <w:i/>
        </w:rPr>
        <w:t xml:space="preserve">National Redress Scheme for Institutional Child Sexual Abuse </w:t>
      </w:r>
      <w:r w:rsidR="00A279B7">
        <w:rPr>
          <w:rFonts w:ascii="Arial" w:hAnsi="Arial" w:cs="Arial"/>
          <w:i/>
        </w:rPr>
        <w:t>Assessment Framework</w:t>
      </w:r>
      <w:r w:rsidR="004049ED">
        <w:rPr>
          <w:rFonts w:ascii="Arial" w:hAnsi="Arial" w:cs="Arial"/>
          <w:i/>
        </w:rPr>
        <w:t xml:space="preserve"> 2018.</w:t>
      </w:r>
    </w:p>
    <w:p w:rsidR="00314EF3" w:rsidRDefault="001505B1" w:rsidP="001505B1">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Section</w:t>
      </w:r>
      <w:r w:rsidR="00E504CE">
        <w:rPr>
          <w:rStyle w:val="BookTitle"/>
          <w:rFonts w:ascii="Arial" w:hAnsi="Arial" w:cs="Arial"/>
          <w:b/>
          <w:i w:val="0"/>
          <w:iCs w:val="0"/>
          <w:smallCaps w:val="0"/>
          <w:spacing w:val="0"/>
          <w:szCs w:val="24"/>
        </w:rPr>
        <w:t xml:space="preserve"> 2</w:t>
      </w:r>
      <w:r w:rsidR="00E504CE">
        <w:rPr>
          <w:rStyle w:val="BookTitle"/>
          <w:rFonts w:ascii="Arial" w:hAnsi="Arial" w:cs="Arial"/>
          <w:b/>
          <w:i w:val="0"/>
          <w:iCs w:val="0"/>
          <w:smallCaps w:val="0"/>
          <w:spacing w:val="0"/>
          <w:szCs w:val="24"/>
        </w:rPr>
        <w:tab/>
      </w:r>
      <w:r w:rsidR="00314EF3">
        <w:rPr>
          <w:rStyle w:val="BookTitle"/>
          <w:rFonts w:ascii="Arial" w:hAnsi="Arial" w:cs="Arial"/>
          <w:b/>
          <w:i w:val="0"/>
          <w:iCs w:val="0"/>
          <w:smallCaps w:val="0"/>
          <w:spacing w:val="0"/>
          <w:szCs w:val="24"/>
        </w:rPr>
        <w:t>Commencement</w:t>
      </w:r>
      <w:r>
        <w:rPr>
          <w:rStyle w:val="BookTitle"/>
          <w:rFonts w:ascii="Arial" w:hAnsi="Arial" w:cs="Arial"/>
          <w:b/>
          <w:i w:val="0"/>
          <w:iCs w:val="0"/>
          <w:smallCaps w:val="0"/>
          <w:spacing w:val="0"/>
          <w:szCs w:val="24"/>
        </w:rPr>
        <w:t xml:space="preserve"> </w:t>
      </w:r>
    </w:p>
    <w:p w:rsidR="00F36D7E" w:rsidRPr="008E2C17" w:rsidRDefault="00314EF3" w:rsidP="001505B1">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2 </w:t>
      </w:r>
      <w:r w:rsidR="00F36D7E" w:rsidRPr="00BC76EB">
        <w:rPr>
          <w:rStyle w:val="BookTitle"/>
          <w:rFonts w:ascii="Arial" w:hAnsi="Arial" w:cs="Arial"/>
          <w:i w:val="0"/>
          <w:iCs w:val="0"/>
          <w:smallCaps w:val="0"/>
          <w:spacing w:val="0"/>
          <w:szCs w:val="24"/>
        </w:rPr>
        <w:t xml:space="preserve">provides </w:t>
      </w:r>
      <w:r w:rsidR="00F36D7E">
        <w:rPr>
          <w:rStyle w:val="BookTitle"/>
          <w:rFonts w:ascii="Arial" w:hAnsi="Arial" w:cs="Arial"/>
          <w:i w:val="0"/>
          <w:iCs w:val="0"/>
          <w:smallCaps w:val="0"/>
          <w:spacing w:val="0"/>
          <w:szCs w:val="24"/>
        </w:rPr>
        <w:t xml:space="preserve">that </w:t>
      </w:r>
      <w:r w:rsidR="00F36D7E">
        <w:rPr>
          <w:rFonts w:ascii="Arial" w:hAnsi="Arial" w:cs="Arial"/>
        </w:rPr>
        <w:t xml:space="preserve">the </w:t>
      </w:r>
      <w:r w:rsidR="001505B1">
        <w:rPr>
          <w:rFonts w:ascii="Arial" w:hAnsi="Arial" w:cs="Arial"/>
        </w:rPr>
        <w:t>instrument</w:t>
      </w:r>
      <w:r w:rsidR="00F36D7E">
        <w:rPr>
          <w:rFonts w:ascii="Arial" w:hAnsi="Arial" w:cs="Arial"/>
        </w:rPr>
        <w:t xml:space="preserve"> </w:t>
      </w:r>
      <w:r w:rsidR="00C9172A">
        <w:rPr>
          <w:rFonts w:ascii="Arial" w:hAnsi="Arial" w:cs="Arial"/>
        </w:rPr>
        <w:t xml:space="preserve">will </w:t>
      </w:r>
      <w:r w:rsidR="00F36D7E" w:rsidRPr="00003A9C">
        <w:rPr>
          <w:rStyle w:val="BookTitle"/>
          <w:rFonts w:ascii="Arial" w:hAnsi="Arial" w:cs="Arial"/>
          <w:i w:val="0"/>
          <w:iCs w:val="0"/>
          <w:smallCaps w:val="0"/>
          <w:spacing w:val="0"/>
          <w:szCs w:val="24"/>
        </w:rPr>
        <w:t xml:space="preserve">commence </w:t>
      </w:r>
      <w:r w:rsidR="00A279B7">
        <w:rPr>
          <w:rFonts w:ascii="Arial" w:hAnsi="Arial" w:cs="Arial"/>
        </w:rPr>
        <w:t>on</w:t>
      </w:r>
      <w:r w:rsidR="00F36D7E" w:rsidRPr="00003A9C">
        <w:rPr>
          <w:rFonts w:ascii="Arial" w:hAnsi="Arial" w:cs="Arial"/>
        </w:rPr>
        <w:t xml:space="preserve"> the </w:t>
      </w:r>
      <w:r w:rsidR="00A279B7">
        <w:rPr>
          <w:rFonts w:ascii="Arial" w:hAnsi="Arial" w:cs="Arial"/>
        </w:rPr>
        <w:t>later of</w:t>
      </w:r>
      <w:r w:rsidR="00F36D7E" w:rsidRPr="00003A9C">
        <w:rPr>
          <w:rFonts w:ascii="Arial" w:hAnsi="Arial" w:cs="Arial"/>
        </w:rPr>
        <w:t xml:space="preserve"> the </w:t>
      </w:r>
      <w:r w:rsidR="00A279B7">
        <w:rPr>
          <w:rFonts w:ascii="Arial" w:hAnsi="Arial" w:cs="Arial"/>
        </w:rPr>
        <w:t>Act</w:t>
      </w:r>
      <w:r w:rsidR="00F36D7E">
        <w:rPr>
          <w:rFonts w:ascii="Arial" w:hAnsi="Arial" w:cs="Arial"/>
        </w:rPr>
        <w:t xml:space="preserve"> </w:t>
      </w:r>
      <w:r w:rsidR="00A279B7">
        <w:rPr>
          <w:rFonts w:ascii="Arial" w:hAnsi="Arial" w:cs="Arial"/>
        </w:rPr>
        <w:t>and the start of the day after this instrument is registered</w:t>
      </w:r>
      <w:r w:rsidR="00F36D7E">
        <w:rPr>
          <w:rFonts w:ascii="Arial" w:hAnsi="Arial" w:cs="Arial"/>
        </w:rPr>
        <w:t>.</w:t>
      </w:r>
    </w:p>
    <w:p w:rsidR="00314EF3" w:rsidRDefault="001505B1" w:rsidP="001505B1">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Section</w:t>
      </w:r>
      <w:r w:rsidR="00E504CE">
        <w:rPr>
          <w:rStyle w:val="BookTitle"/>
          <w:rFonts w:ascii="Arial" w:hAnsi="Arial" w:cs="Arial"/>
          <w:b/>
          <w:i w:val="0"/>
          <w:iCs w:val="0"/>
          <w:smallCaps w:val="0"/>
          <w:spacing w:val="0"/>
          <w:szCs w:val="24"/>
        </w:rPr>
        <w:t xml:space="preserve"> 3</w:t>
      </w:r>
      <w:r w:rsidR="00E504CE">
        <w:rPr>
          <w:rStyle w:val="BookTitle"/>
          <w:rFonts w:ascii="Arial" w:hAnsi="Arial" w:cs="Arial"/>
          <w:b/>
          <w:i w:val="0"/>
          <w:iCs w:val="0"/>
          <w:smallCaps w:val="0"/>
          <w:spacing w:val="0"/>
          <w:szCs w:val="24"/>
        </w:rPr>
        <w:tab/>
      </w:r>
      <w:r w:rsidR="00314EF3">
        <w:rPr>
          <w:rStyle w:val="BookTitle"/>
          <w:rFonts w:ascii="Arial" w:hAnsi="Arial" w:cs="Arial"/>
          <w:b/>
          <w:i w:val="0"/>
          <w:iCs w:val="0"/>
          <w:smallCaps w:val="0"/>
          <w:spacing w:val="0"/>
          <w:szCs w:val="24"/>
        </w:rPr>
        <w:t>Authority</w:t>
      </w:r>
    </w:p>
    <w:p w:rsidR="003E449E" w:rsidRPr="003E449E" w:rsidRDefault="00314EF3" w:rsidP="001505B1">
      <w:pPr>
        <w:jc w:val="both"/>
        <w:rPr>
          <w:rFonts w:ascii="Arial" w:hAnsi="Arial" w:cs="Arial"/>
          <w:szCs w:val="24"/>
        </w:rPr>
      </w:pPr>
      <w:r>
        <w:rPr>
          <w:rStyle w:val="BookTitle"/>
          <w:rFonts w:ascii="Arial" w:hAnsi="Arial" w:cs="Arial"/>
          <w:i w:val="0"/>
          <w:iCs w:val="0"/>
          <w:smallCaps w:val="0"/>
          <w:spacing w:val="0"/>
          <w:szCs w:val="24"/>
        </w:rPr>
        <w:t xml:space="preserve">Section 3 </w:t>
      </w:r>
      <w:r w:rsidR="00F36D7E" w:rsidRPr="003E449E">
        <w:rPr>
          <w:rStyle w:val="BookTitle"/>
          <w:rFonts w:ascii="Arial" w:hAnsi="Arial" w:cs="Arial"/>
          <w:i w:val="0"/>
          <w:iCs w:val="0"/>
          <w:smallCaps w:val="0"/>
          <w:spacing w:val="0"/>
          <w:szCs w:val="24"/>
        </w:rPr>
        <w:t xml:space="preserve">provides that </w:t>
      </w:r>
      <w:r w:rsidR="001505B1">
        <w:rPr>
          <w:rFonts w:ascii="Arial" w:hAnsi="Arial" w:cs="Arial"/>
        </w:rPr>
        <w:t xml:space="preserve">this instrument </w:t>
      </w:r>
      <w:proofErr w:type="gramStart"/>
      <w:r w:rsidR="001505B1">
        <w:rPr>
          <w:rFonts w:ascii="Arial" w:hAnsi="Arial" w:cs="Arial"/>
        </w:rPr>
        <w:t>is</w:t>
      </w:r>
      <w:proofErr w:type="gramEnd"/>
      <w:r w:rsidR="003E449E" w:rsidRPr="003E449E">
        <w:rPr>
          <w:rFonts w:ascii="Arial" w:hAnsi="Arial" w:cs="Arial"/>
        </w:rPr>
        <w:t xml:space="preserve"> </w:t>
      </w:r>
      <w:r w:rsidR="003E449E">
        <w:rPr>
          <w:rFonts w:ascii="Arial" w:hAnsi="Arial" w:cs="Arial"/>
        </w:rPr>
        <w:t xml:space="preserve">made </w:t>
      </w:r>
      <w:r w:rsidR="003E449E" w:rsidRPr="003E449E">
        <w:rPr>
          <w:rFonts w:ascii="Arial" w:hAnsi="Arial" w:cs="Arial"/>
        </w:rPr>
        <w:t xml:space="preserve">under </w:t>
      </w:r>
      <w:r w:rsidR="00F32100">
        <w:rPr>
          <w:rFonts w:ascii="Arial" w:hAnsi="Arial" w:cs="Arial"/>
        </w:rPr>
        <w:t xml:space="preserve">section 32 of </w:t>
      </w:r>
      <w:r w:rsidR="003E449E" w:rsidRPr="003E449E">
        <w:rPr>
          <w:rFonts w:ascii="Arial" w:hAnsi="Arial" w:cs="Arial"/>
        </w:rPr>
        <w:t xml:space="preserve">the </w:t>
      </w:r>
      <w:r w:rsidR="00F32100">
        <w:rPr>
          <w:rFonts w:ascii="Arial" w:hAnsi="Arial" w:cs="Arial"/>
          <w:i/>
        </w:rPr>
        <w:t>National Redress Scheme for Institutional Child Sexual Abuse Act 2018</w:t>
      </w:r>
      <w:r w:rsidR="00A279B7">
        <w:rPr>
          <w:rFonts w:ascii="Arial" w:hAnsi="Arial" w:cs="Arial"/>
        </w:rPr>
        <w:t>.</w:t>
      </w:r>
    </w:p>
    <w:p w:rsidR="00314EF3" w:rsidRDefault="001505B1" w:rsidP="000A4D9B">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Section</w:t>
      </w:r>
      <w:r w:rsidR="00E504CE">
        <w:rPr>
          <w:rStyle w:val="BookTitle"/>
          <w:rFonts w:ascii="Arial" w:hAnsi="Arial" w:cs="Arial"/>
          <w:b/>
          <w:i w:val="0"/>
          <w:iCs w:val="0"/>
          <w:smallCaps w:val="0"/>
          <w:spacing w:val="0"/>
          <w:szCs w:val="24"/>
        </w:rPr>
        <w:t xml:space="preserve"> 4</w:t>
      </w:r>
      <w:r w:rsidR="00E504CE">
        <w:rPr>
          <w:rStyle w:val="BookTitle"/>
          <w:rFonts w:ascii="Arial" w:hAnsi="Arial" w:cs="Arial"/>
          <w:b/>
          <w:i w:val="0"/>
          <w:iCs w:val="0"/>
          <w:smallCaps w:val="0"/>
          <w:spacing w:val="0"/>
          <w:szCs w:val="24"/>
        </w:rPr>
        <w:tab/>
      </w:r>
      <w:r w:rsidR="00314EF3">
        <w:rPr>
          <w:rStyle w:val="BookTitle"/>
          <w:rFonts w:ascii="Arial" w:hAnsi="Arial" w:cs="Arial"/>
          <w:b/>
          <w:i w:val="0"/>
          <w:iCs w:val="0"/>
          <w:smallCaps w:val="0"/>
          <w:spacing w:val="0"/>
          <w:szCs w:val="24"/>
        </w:rPr>
        <w:t>Definitions</w:t>
      </w:r>
    </w:p>
    <w:p w:rsidR="003E449E" w:rsidRPr="001505B1" w:rsidRDefault="00314EF3" w:rsidP="000A4D9B">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4 </w:t>
      </w:r>
      <w:r w:rsidR="001505B1">
        <w:rPr>
          <w:rStyle w:val="BookTitle"/>
          <w:rFonts w:ascii="Arial" w:hAnsi="Arial" w:cs="Arial"/>
          <w:i w:val="0"/>
          <w:iCs w:val="0"/>
          <w:smallCaps w:val="0"/>
          <w:spacing w:val="0"/>
          <w:szCs w:val="24"/>
        </w:rPr>
        <w:t xml:space="preserve">provides definitional terms used in this instrument.  </w:t>
      </w:r>
    </w:p>
    <w:p w:rsidR="00D95352" w:rsidRDefault="00D95352" w:rsidP="000A4D9B">
      <w:pPr>
        <w:jc w:val="both"/>
        <w:rPr>
          <w:rFonts w:ascii="Arial" w:hAnsi="Arial" w:cs="Arial"/>
        </w:rPr>
      </w:pPr>
      <w:r w:rsidRPr="00D95352">
        <w:rPr>
          <w:rFonts w:ascii="Arial" w:hAnsi="Arial" w:cs="Arial"/>
          <w:szCs w:val="24"/>
        </w:rPr>
        <w:t>The note</w:t>
      </w:r>
      <w:r w:rsidR="001505B1">
        <w:rPr>
          <w:rFonts w:ascii="Arial" w:hAnsi="Arial" w:cs="Arial"/>
          <w:szCs w:val="24"/>
        </w:rPr>
        <w:t xml:space="preserve"> at the beginning of this section</w:t>
      </w:r>
      <w:r w:rsidRPr="00D95352">
        <w:rPr>
          <w:rFonts w:ascii="Arial" w:hAnsi="Arial" w:cs="Arial"/>
          <w:szCs w:val="24"/>
        </w:rPr>
        <w:t xml:space="preserve"> identifies a number of terms defined in the </w:t>
      </w:r>
      <w:r w:rsidR="001505B1">
        <w:rPr>
          <w:rFonts w:ascii="Arial" w:hAnsi="Arial" w:cs="Arial"/>
        </w:rPr>
        <w:t>Act</w:t>
      </w:r>
      <w:r w:rsidRPr="00D95352">
        <w:rPr>
          <w:rFonts w:ascii="Arial" w:hAnsi="Arial" w:cs="Arial"/>
        </w:rPr>
        <w:t xml:space="preserve">, including </w:t>
      </w:r>
      <w:r w:rsidR="00A279B7">
        <w:rPr>
          <w:rFonts w:ascii="Arial" w:hAnsi="Arial" w:cs="Arial"/>
          <w:i/>
        </w:rPr>
        <w:t xml:space="preserve">counselling and psychological component, non-sexual abuse, </w:t>
      </w:r>
      <w:proofErr w:type="gramStart"/>
      <w:r w:rsidR="00A279B7">
        <w:rPr>
          <w:rFonts w:ascii="Arial" w:hAnsi="Arial" w:cs="Arial"/>
          <w:i/>
        </w:rPr>
        <w:t>redress</w:t>
      </w:r>
      <w:proofErr w:type="gramEnd"/>
      <w:r w:rsidR="00A279B7">
        <w:rPr>
          <w:rFonts w:ascii="Arial" w:hAnsi="Arial" w:cs="Arial"/>
          <w:i/>
        </w:rPr>
        <w:t xml:space="preserve"> payment, related and sexual abuse</w:t>
      </w:r>
      <w:r w:rsidRPr="00D95352">
        <w:rPr>
          <w:rFonts w:ascii="Arial" w:hAnsi="Arial" w:cs="Arial"/>
        </w:rPr>
        <w:t>.</w:t>
      </w:r>
    </w:p>
    <w:p w:rsidR="003A5C77" w:rsidRDefault="001505B1" w:rsidP="000A4D9B">
      <w:pPr>
        <w:jc w:val="both"/>
        <w:rPr>
          <w:rFonts w:ascii="Arial" w:hAnsi="Arial" w:cs="Arial"/>
          <w:i/>
        </w:rPr>
      </w:pPr>
      <w:r w:rsidRPr="001505B1">
        <w:rPr>
          <w:rFonts w:ascii="Arial" w:hAnsi="Arial" w:cs="Arial"/>
          <w:b/>
          <w:i/>
          <w:szCs w:val="24"/>
        </w:rPr>
        <w:t>Act</w:t>
      </w:r>
      <w:r>
        <w:rPr>
          <w:rFonts w:ascii="Arial" w:hAnsi="Arial" w:cs="Arial"/>
          <w:b/>
          <w:szCs w:val="24"/>
        </w:rPr>
        <w:t xml:space="preserve"> </w:t>
      </w:r>
      <w:r>
        <w:rPr>
          <w:rFonts w:ascii="Arial" w:hAnsi="Arial" w:cs="Arial"/>
          <w:szCs w:val="24"/>
        </w:rPr>
        <w:t>means</w:t>
      </w:r>
      <w:r w:rsidR="003A5C77" w:rsidRPr="00B72CD1">
        <w:rPr>
          <w:rFonts w:ascii="Arial" w:hAnsi="Arial" w:cs="Arial"/>
          <w:szCs w:val="24"/>
        </w:rPr>
        <w:t xml:space="preserve"> the</w:t>
      </w:r>
      <w:r w:rsidR="003A5C77">
        <w:rPr>
          <w:rFonts w:ascii="Arial" w:hAnsi="Arial" w:cs="Arial"/>
          <w:szCs w:val="24"/>
        </w:rPr>
        <w:t xml:space="preserve"> </w:t>
      </w:r>
      <w:r w:rsidR="003A5C77" w:rsidRPr="00D95352">
        <w:rPr>
          <w:rFonts w:ascii="Arial" w:hAnsi="Arial" w:cs="Arial"/>
          <w:i/>
        </w:rPr>
        <w:t>National Redress Scheme for Institutional Child Sexual Abuse Act 2018</w:t>
      </w:r>
      <w:r w:rsidR="003A5C77">
        <w:rPr>
          <w:rFonts w:ascii="Arial" w:hAnsi="Arial" w:cs="Arial"/>
          <w:i/>
        </w:rPr>
        <w:t>.</w:t>
      </w:r>
    </w:p>
    <w:p w:rsidR="00ED027F" w:rsidRDefault="00A279B7" w:rsidP="000A4D9B">
      <w:pPr>
        <w:jc w:val="both"/>
        <w:rPr>
          <w:rFonts w:ascii="Arial" w:hAnsi="Arial" w:cs="Arial"/>
        </w:rPr>
      </w:pPr>
      <w:proofErr w:type="gramStart"/>
      <w:r>
        <w:rPr>
          <w:rFonts w:ascii="Arial" w:hAnsi="Arial" w:cs="Arial"/>
          <w:b/>
          <w:i/>
        </w:rPr>
        <w:t>contact</w:t>
      </w:r>
      <w:proofErr w:type="gramEnd"/>
      <w:r>
        <w:rPr>
          <w:rFonts w:ascii="Arial" w:hAnsi="Arial" w:cs="Arial"/>
          <w:b/>
          <w:i/>
        </w:rPr>
        <w:t xml:space="preserve"> abuse</w:t>
      </w:r>
      <w:r w:rsidR="0050082C">
        <w:rPr>
          <w:rFonts w:ascii="Arial" w:hAnsi="Arial" w:cs="Arial"/>
        </w:rPr>
        <w:t>:</w:t>
      </w:r>
      <w:r>
        <w:rPr>
          <w:rFonts w:ascii="Arial" w:hAnsi="Arial" w:cs="Arial"/>
          <w:b/>
          <w:i/>
        </w:rPr>
        <w:t xml:space="preserve"> </w:t>
      </w:r>
      <w:r w:rsidR="0050082C">
        <w:rPr>
          <w:rFonts w:ascii="Arial" w:hAnsi="Arial" w:cs="Arial"/>
        </w:rPr>
        <w:t xml:space="preserve"> </w:t>
      </w:r>
      <w:r w:rsidR="00904173">
        <w:rPr>
          <w:rFonts w:ascii="Arial" w:hAnsi="Arial" w:cs="Arial"/>
        </w:rPr>
        <w:t>relevant sexual abuse of a person</w:t>
      </w:r>
      <w:r>
        <w:rPr>
          <w:rFonts w:ascii="Arial" w:hAnsi="Arial" w:cs="Arial"/>
        </w:rPr>
        <w:t xml:space="preserve"> is </w:t>
      </w:r>
      <w:r>
        <w:rPr>
          <w:rFonts w:ascii="Arial" w:hAnsi="Arial" w:cs="Arial"/>
          <w:b/>
          <w:i/>
        </w:rPr>
        <w:t>contact abuse</w:t>
      </w:r>
      <w:r>
        <w:rPr>
          <w:rFonts w:ascii="Arial" w:hAnsi="Arial" w:cs="Arial"/>
        </w:rPr>
        <w:t xml:space="preserve"> if:</w:t>
      </w:r>
    </w:p>
    <w:p w:rsidR="00A279B7" w:rsidRDefault="00A279B7" w:rsidP="00A279B7">
      <w:pPr>
        <w:pStyle w:val="ListParagraph"/>
        <w:numPr>
          <w:ilvl w:val="0"/>
          <w:numId w:val="55"/>
        </w:numPr>
        <w:jc w:val="both"/>
        <w:rPr>
          <w:rFonts w:ascii="Arial" w:hAnsi="Arial" w:cs="Arial"/>
        </w:rPr>
      </w:pPr>
      <w:r>
        <w:rPr>
          <w:rFonts w:ascii="Arial" w:hAnsi="Arial" w:cs="Arial"/>
        </w:rPr>
        <w:t>any of that abuse involved physical contact with the person by someone else or by an object used by someone else (even if the rest of the sexual abuse of the person within the scope of the Scheme did not); and</w:t>
      </w:r>
    </w:p>
    <w:p w:rsidR="00A279B7" w:rsidRDefault="00A279B7" w:rsidP="00A279B7">
      <w:pPr>
        <w:pStyle w:val="ListParagraph"/>
        <w:jc w:val="both"/>
        <w:rPr>
          <w:rFonts w:ascii="Arial" w:hAnsi="Arial" w:cs="Arial"/>
        </w:rPr>
      </w:pPr>
    </w:p>
    <w:p w:rsidR="00A279B7" w:rsidRDefault="00A279B7" w:rsidP="00A279B7">
      <w:pPr>
        <w:pStyle w:val="ListParagraph"/>
        <w:numPr>
          <w:ilvl w:val="0"/>
          <w:numId w:val="55"/>
        </w:numPr>
        <w:jc w:val="both"/>
        <w:rPr>
          <w:rFonts w:ascii="Arial" w:hAnsi="Arial" w:cs="Arial"/>
        </w:rPr>
      </w:pPr>
      <w:proofErr w:type="gramStart"/>
      <w:r>
        <w:rPr>
          <w:rFonts w:ascii="Arial" w:hAnsi="Arial" w:cs="Arial"/>
        </w:rPr>
        <w:t>none</w:t>
      </w:r>
      <w:proofErr w:type="gramEnd"/>
      <w:r>
        <w:rPr>
          <w:rFonts w:ascii="Arial" w:hAnsi="Arial" w:cs="Arial"/>
        </w:rPr>
        <w:t xml:space="preserve"> of th</w:t>
      </w:r>
      <w:r w:rsidR="00904173">
        <w:rPr>
          <w:rFonts w:ascii="Arial" w:hAnsi="Arial" w:cs="Arial"/>
        </w:rPr>
        <w:t xml:space="preserve">at abuse </w:t>
      </w:r>
      <w:r>
        <w:rPr>
          <w:rFonts w:ascii="Arial" w:hAnsi="Arial" w:cs="Arial"/>
        </w:rPr>
        <w:t>involved penetration of the person.</w:t>
      </w:r>
    </w:p>
    <w:p w:rsidR="00A279B7" w:rsidRDefault="00A279B7" w:rsidP="00A279B7">
      <w:pPr>
        <w:jc w:val="both"/>
        <w:rPr>
          <w:rFonts w:ascii="Arial" w:hAnsi="Arial" w:cs="Arial"/>
        </w:rPr>
      </w:pPr>
      <w:proofErr w:type="gramStart"/>
      <w:r>
        <w:rPr>
          <w:rFonts w:ascii="Arial" w:hAnsi="Arial" w:cs="Arial"/>
          <w:b/>
          <w:i/>
        </w:rPr>
        <w:t>exposure</w:t>
      </w:r>
      <w:proofErr w:type="gramEnd"/>
      <w:r>
        <w:rPr>
          <w:rFonts w:ascii="Arial" w:hAnsi="Arial" w:cs="Arial"/>
          <w:b/>
          <w:i/>
        </w:rPr>
        <w:t xml:space="preserve"> abuse</w:t>
      </w:r>
      <w:r w:rsidR="0050082C">
        <w:rPr>
          <w:rFonts w:ascii="Arial" w:hAnsi="Arial" w:cs="Arial"/>
        </w:rPr>
        <w:t>:</w:t>
      </w:r>
      <w:r>
        <w:rPr>
          <w:rFonts w:ascii="Arial" w:hAnsi="Arial" w:cs="Arial"/>
        </w:rPr>
        <w:t xml:space="preserve"> </w:t>
      </w:r>
      <w:r w:rsidR="00904173">
        <w:rPr>
          <w:rFonts w:ascii="Arial" w:hAnsi="Arial" w:cs="Arial"/>
        </w:rPr>
        <w:t>relevant sexual abuse of a person</w:t>
      </w:r>
      <w:r>
        <w:rPr>
          <w:rFonts w:ascii="Arial" w:hAnsi="Arial" w:cs="Arial"/>
        </w:rPr>
        <w:t xml:space="preserve"> is </w:t>
      </w:r>
      <w:r>
        <w:rPr>
          <w:rFonts w:ascii="Arial" w:hAnsi="Arial" w:cs="Arial"/>
          <w:b/>
          <w:i/>
        </w:rPr>
        <w:t>exposure abuse</w:t>
      </w:r>
      <w:r>
        <w:rPr>
          <w:rFonts w:ascii="Arial" w:hAnsi="Arial" w:cs="Arial"/>
        </w:rPr>
        <w:t xml:space="preserve"> if none of that abuse involved physical contact with the person (whether involving penetration of the person or not) by someone else or an object used by someone else.</w:t>
      </w:r>
    </w:p>
    <w:p w:rsidR="00A279B7" w:rsidRDefault="00C6794E" w:rsidP="00A279B7">
      <w:pPr>
        <w:jc w:val="both"/>
        <w:rPr>
          <w:rFonts w:ascii="Arial" w:hAnsi="Arial" w:cs="Arial"/>
        </w:rPr>
      </w:pPr>
      <w:proofErr w:type="gramStart"/>
      <w:r>
        <w:rPr>
          <w:rFonts w:ascii="Arial" w:hAnsi="Arial" w:cs="Arial"/>
          <w:b/>
          <w:i/>
        </w:rPr>
        <w:t>e</w:t>
      </w:r>
      <w:r w:rsidR="00A279B7">
        <w:rPr>
          <w:rFonts w:ascii="Arial" w:hAnsi="Arial" w:cs="Arial"/>
          <w:b/>
          <w:i/>
        </w:rPr>
        <w:t>xtreme</w:t>
      </w:r>
      <w:proofErr w:type="gramEnd"/>
      <w:r w:rsidR="00A279B7">
        <w:rPr>
          <w:rFonts w:ascii="Arial" w:hAnsi="Arial" w:cs="Arial"/>
          <w:b/>
          <w:i/>
        </w:rPr>
        <w:t xml:space="preserve"> circumstances</w:t>
      </w:r>
      <w:r w:rsidR="0050082C">
        <w:rPr>
          <w:rFonts w:ascii="Arial" w:hAnsi="Arial" w:cs="Arial"/>
        </w:rPr>
        <w:t>:</w:t>
      </w:r>
      <w:r w:rsidR="00A279B7">
        <w:rPr>
          <w:rFonts w:ascii="Arial" w:hAnsi="Arial" w:cs="Arial"/>
        </w:rPr>
        <w:t xml:space="preserve"> sexual abuse of a person occurred in </w:t>
      </w:r>
      <w:r w:rsidR="00A279B7">
        <w:rPr>
          <w:rFonts w:ascii="Arial" w:hAnsi="Arial" w:cs="Arial"/>
          <w:b/>
          <w:i/>
        </w:rPr>
        <w:t>extreme circumstances</w:t>
      </w:r>
      <w:r w:rsidR="00A279B7">
        <w:rPr>
          <w:rFonts w:ascii="Arial" w:hAnsi="Arial" w:cs="Arial"/>
        </w:rPr>
        <w:t xml:space="preserve"> if:</w:t>
      </w:r>
    </w:p>
    <w:p w:rsidR="00A279B7" w:rsidRDefault="00A279B7" w:rsidP="00A279B7">
      <w:pPr>
        <w:pStyle w:val="ListParagraph"/>
        <w:numPr>
          <w:ilvl w:val="0"/>
          <w:numId w:val="56"/>
        </w:numPr>
        <w:jc w:val="both"/>
        <w:rPr>
          <w:rFonts w:ascii="Arial" w:hAnsi="Arial" w:cs="Arial"/>
        </w:rPr>
      </w:pPr>
      <w:r>
        <w:rPr>
          <w:rFonts w:ascii="Arial" w:hAnsi="Arial" w:cs="Arial"/>
        </w:rPr>
        <w:t>the abuse was penetrative abuse; and</w:t>
      </w:r>
    </w:p>
    <w:p w:rsidR="00A279B7" w:rsidRDefault="00A279B7" w:rsidP="00A279B7">
      <w:pPr>
        <w:pStyle w:val="ListParagraph"/>
        <w:jc w:val="both"/>
        <w:rPr>
          <w:rFonts w:ascii="Arial" w:hAnsi="Arial" w:cs="Arial"/>
        </w:rPr>
      </w:pPr>
    </w:p>
    <w:p w:rsidR="00A279B7" w:rsidRDefault="00904173" w:rsidP="00A279B7">
      <w:pPr>
        <w:pStyle w:val="ListParagraph"/>
        <w:numPr>
          <w:ilvl w:val="0"/>
          <w:numId w:val="56"/>
        </w:numPr>
        <w:jc w:val="both"/>
        <w:rPr>
          <w:rFonts w:ascii="Arial" w:hAnsi="Arial" w:cs="Arial"/>
        </w:rPr>
      </w:pPr>
      <w:r>
        <w:rPr>
          <w:rFonts w:ascii="Arial" w:hAnsi="Arial" w:cs="Arial"/>
        </w:rPr>
        <w:t>taking into account</w:t>
      </w:r>
      <w:r w:rsidR="00A279B7">
        <w:rPr>
          <w:rFonts w:ascii="Arial" w:hAnsi="Arial" w:cs="Arial"/>
        </w:rPr>
        <w:t>:</w:t>
      </w:r>
    </w:p>
    <w:p w:rsidR="00A279B7" w:rsidRPr="00A279B7" w:rsidRDefault="00A279B7" w:rsidP="00A279B7">
      <w:pPr>
        <w:pStyle w:val="ListParagraph"/>
        <w:rPr>
          <w:rFonts w:ascii="Arial" w:hAnsi="Arial" w:cs="Arial"/>
        </w:rPr>
      </w:pPr>
    </w:p>
    <w:p w:rsidR="00A279B7" w:rsidRDefault="00A279B7" w:rsidP="00A279B7">
      <w:pPr>
        <w:pStyle w:val="ListParagraph"/>
        <w:numPr>
          <w:ilvl w:val="1"/>
          <w:numId w:val="56"/>
        </w:numPr>
        <w:jc w:val="both"/>
        <w:rPr>
          <w:rFonts w:ascii="Arial" w:hAnsi="Arial" w:cs="Arial"/>
        </w:rPr>
      </w:pPr>
      <w:r>
        <w:rPr>
          <w:rFonts w:ascii="Arial" w:hAnsi="Arial" w:cs="Arial"/>
        </w:rPr>
        <w:t>whether the person was institutionally vulnerable; and</w:t>
      </w:r>
    </w:p>
    <w:p w:rsidR="00A279B7" w:rsidRDefault="00A279B7" w:rsidP="00A279B7">
      <w:pPr>
        <w:pStyle w:val="ListParagraph"/>
        <w:numPr>
          <w:ilvl w:val="1"/>
          <w:numId w:val="56"/>
        </w:numPr>
        <w:jc w:val="both"/>
        <w:rPr>
          <w:rFonts w:ascii="Arial" w:hAnsi="Arial" w:cs="Arial"/>
        </w:rPr>
      </w:pPr>
      <w:r>
        <w:rPr>
          <w:rFonts w:ascii="Arial" w:hAnsi="Arial" w:cs="Arial"/>
        </w:rPr>
        <w:t>whether there was related non-sexual abuse of the person;</w:t>
      </w:r>
    </w:p>
    <w:p w:rsidR="00A279B7" w:rsidRDefault="00A279B7" w:rsidP="00A279B7">
      <w:pPr>
        <w:pStyle w:val="ListParagraph"/>
        <w:ind w:left="1440"/>
        <w:jc w:val="both"/>
        <w:rPr>
          <w:rFonts w:ascii="Arial" w:hAnsi="Arial" w:cs="Arial"/>
        </w:rPr>
      </w:pPr>
    </w:p>
    <w:p w:rsidR="00A279B7" w:rsidRDefault="00A279B7" w:rsidP="00A279B7">
      <w:pPr>
        <w:pStyle w:val="ListParagraph"/>
        <w:jc w:val="both"/>
        <w:rPr>
          <w:rFonts w:ascii="Arial" w:hAnsi="Arial" w:cs="Arial"/>
        </w:rPr>
      </w:pPr>
      <w:proofErr w:type="gramStart"/>
      <w:r w:rsidRPr="00A279B7">
        <w:rPr>
          <w:rFonts w:ascii="Arial" w:hAnsi="Arial" w:cs="Arial"/>
        </w:rPr>
        <w:lastRenderedPageBreak/>
        <w:t>it</w:t>
      </w:r>
      <w:proofErr w:type="gramEnd"/>
      <w:r w:rsidRPr="00A279B7">
        <w:rPr>
          <w:rFonts w:ascii="Arial" w:hAnsi="Arial" w:cs="Arial"/>
        </w:rPr>
        <w:t xml:space="preserve"> would be reasonable to conclude that the sexual abuse was so egregious, long-term or disabling to the person as to be particularly severe.</w:t>
      </w:r>
    </w:p>
    <w:p w:rsidR="00CF54AF" w:rsidRDefault="00C6794E" w:rsidP="00CF54AF">
      <w:pPr>
        <w:jc w:val="both"/>
        <w:rPr>
          <w:rFonts w:ascii="Arial" w:hAnsi="Arial" w:cs="Arial"/>
        </w:rPr>
      </w:pPr>
      <w:r>
        <w:rPr>
          <w:rFonts w:ascii="Arial" w:hAnsi="Arial" w:cs="Arial"/>
          <w:b/>
          <w:i/>
        </w:rPr>
        <w:t>i</w:t>
      </w:r>
      <w:r w:rsidR="00A279B7">
        <w:rPr>
          <w:rFonts w:ascii="Arial" w:hAnsi="Arial" w:cs="Arial"/>
          <w:b/>
          <w:i/>
        </w:rPr>
        <w:t>nstitutionally vulnerable</w:t>
      </w:r>
      <w:r w:rsidR="0050082C">
        <w:rPr>
          <w:rFonts w:ascii="Arial" w:hAnsi="Arial" w:cs="Arial"/>
        </w:rPr>
        <w:t>:</w:t>
      </w:r>
      <w:r w:rsidR="00A279B7">
        <w:rPr>
          <w:rFonts w:ascii="Arial" w:hAnsi="Arial" w:cs="Arial"/>
        </w:rPr>
        <w:t xml:space="preserve"> a person who suffered sexual abuse was </w:t>
      </w:r>
      <w:r w:rsidR="00A279B7">
        <w:rPr>
          <w:rFonts w:ascii="Arial" w:hAnsi="Arial" w:cs="Arial"/>
          <w:b/>
          <w:i/>
        </w:rPr>
        <w:t>institutional</w:t>
      </w:r>
      <w:r w:rsidR="00A139A9">
        <w:rPr>
          <w:rFonts w:ascii="Arial" w:hAnsi="Arial" w:cs="Arial"/>
          <w:b/>
          <w:i/>
        </w:rPr>
        <w:t>ly</w:t>
      </w:r>
      <w:r w:rsidR="00A279B7">
        <w:rPr>
          <w:rFonts w:ascii="Arial" w:hAnsi="Arial" w:cs="Arial"/>
          <w:b/>
          <w:i/>
        </w:rPr>
        <w:t xml:space="preserve"> vulnerable</w:t>
      </w:r>
      <w:r w:rsidR="00A279B7">
        <w:rPr>
          <w:rFonts w:ascii="Arial" w:hAnsi="Arial" w:cs="Arial"/>
        </w:rPr>
        <w:t xml:space="preserve"> if</w:t>
      </w:r>
      <w:r w:rsidR="00CF54AF">
        <w:rPr>
          <w:rFonts w:ascii="Arial" w:hAnsi="Arial" w:cs="Arial"/>
        </w:rPr>
        <w:t>, having regard to the following matters relating to the responsible institution for the abuse and the time of the abuse, it would be reasonable to conclude that the person’s living arrangements at the time increased the risk of sexual abuse of the person occurring:</w:t>
      </w:r>
    </w:p>
    <w:p w:rsidR="00CF54AF" w:rsidRDefault="00CF54AF" w:rsidP="00CF54AF">
      <w:pPr>
        <w:pStyle w:val="ListParagraph"/>
        <w:numPr>
          <w:ilvl w:val="0"/>
          <w:numId w:val="60"/>
        </w:numPr>
        <w:jc w:val="both"/>
        <w:rPr>
          <w:rFonts w:ascii="Arial" w:hAnsi="Arial" w:cs="Arial"/>
        </w:rPr>
      </w:pPr>
      <w:r>
        <w:rPr>
          <w:rFonts w:ascii="Arial" w:hAnsi="Arial" w:cs="Arial"/>
        </w:rPr>
        <w:t>whether the person lived in accommodation provided by the institution;</w:t>
      </w:r>
    </w:p>
    <w:p w:rsidR="00CF54AF" w:rsidRDefault="00CF54AF" w:rsidP="00CF54AF">
      <w:pPr>
        <w:pStyle w:val="ListParagraph"/>
        <w:numPr>
          <w:ilvl w:val="0"/>
          <w:numId w:val="60"/>
        </w:numPr>
        <w:jc w:val="both"/>
        <w:rPr>
          <w:rFonts w:ascii="Arial" w:hAnsi="Arial" w:cs="Arial"/>
        </w:rPr>
      </w:pPr>
      <w:r>
        <w:rPr>
          <w:rFonts w:ascii="Arial" w:hAnsi="Arial" w:cs="Arial"/>
        </w:rPr>
        <w:t>whether the institution was responsible for the day-to-day care or custody of the person;</w:t>
      </w:r>
    </w:p>
    <w:p w:rsidR="00CF54AF" w:rsidRDefault="00CF54AF" w:rsidP="00CF54AF">
      <w:pPr>
        <w:pStyle w:val="ListParagraph"/>
        <w:numPr>
          <w:ilvl w:val="0"/>
          <w:numId w:val="60"/>
        </w:numPr>
        <w:jc w:val="both"/>
        <w:rPr>
          <w:rFonts w:ascii="Arial" w:hAnsi="Arial" w:cs="Arial"/>
        </w:rPr>
      </w:pPr>
      <w:r>
        <w:rPr>
          <w:rFonts w:ascii="Arial" w:hAnsi="Arial" w:cs="Arial"/>
        </w:rPr>
        <w:t>whether the person had access to relatives or friends who were not in the day</w:t>
      </w:r>
      <w:r>
        <w:rPr>
          <w:rFonts w:ascii="Arial" w:hAnsi="Arial" w:cs="Arial"/>
        </w:rPr>
        <w:noBreakHyphen/>
        <w:t>to-day care or custody of the institution;</w:t>
      </w:r>
    </w:p>
    <w:p w:rsidR="00CF54AF" w:rsidRDefault="00CF54AF" w:rsidP="00CF54AF">
      <w:pPr>
        <w:pStyle w:val="ListParagraph"/>
        <w:numPr>
          <w:ilvl w:val="0"/>
          <w:numId w:val="60"/>
        </w:numPr>
        <w:jc w:val="both"/>
        <w:rPr>
          <w:rFonts w:ascii="Arial" w:hAnsi="Arial" w:cs="Arial"/>
        </w:rPr>
      </w:pPr>
      <w:r>
        <w:rPr>
          <w:rFonts w:ascii="Arial" w:hAnsi="Arial" w:cs="Arial"/>
        </w:rPr>
        <w:t>whether the person was reasonably able to leave the day-to-day care or custody of the institution;</w:t>
      </w:r>
    </w:p>
    <w:p w:rsidR="00CF54AF" w:rsidRDefault="00CF54AF" w:rsidP="00CF54AF">
      <w:pPr>
        <w:pStyle w:val="ListParagraph"/>
        <w:numPr>
          <w:ilvl w:val="0"/>
          <w:numId w:val="60"/>
        </w:numPr>
        <w:jc w:val="both"/>
        <w:rPr>
          <w:rFonts w:ascii="Arial" w:hAnsi="Arial" w:cs="Arial"/>
        </w:rPr>
      </w:pPr>
      <w:proofErr w:type="gramStart"/>
      <w:r>
        <w:rPr>
          <w:rFonts w:ascii="Arial" w:hAnsi="Arial" w:cs="Arial"/>
        </w:rPr>
        <w:t>whether</w:t>
      </w:r>
      <w:proofErr w:type="gramEnd"/>
      <w:r>
        <w:rPr>
          <w:rFonts w:ascii="Arial" w:hAnsi="Arial" w:cs="Arial"/>
        </w:rPr>
        <w:t xml:space="preserve"> the person was reasonably able to leave the place where the activities of the institution took place.</w:t>
      </w:r>
    </w:p>
    <w:p w:rsidR="00CF54AF" w:rsidRDefault="00CF54AF" w:rsidP="00CF54AF">
      <w:pPr>
        <w:jc w:val="both"/>
        <w:rPr>
          <w:rFonts w:ascii="Arial" w:hAnsi="Arial" w:cs="Arial"/>
        </w:rPr>
      </w:pPr>
      <w:r>
        <w:rPr>
          <w:rFonts w:ascii="Arial" w:hAnsi="Arial" w:cs="Arial"/>
        </w:rPr>
        <w:t xml:space="preserve">The reference to ‘responsible’ institution in this definition is intended to also apply to institutions that are equally responsible (see section 15 of the Act) which could result in more than one institution being responsible for the abuse. </w:t>
      </w:r>
    </w:p>
    <w:p w:rsidR="00A279B7" w:rsidRDefault="00C6794E" w:rsidP="00A279B7">
      <w:pPr>
        <w:jc w:val="both"/>
        <w:rPr>
          <w:rFonts w:ascii="Arial" w:hAnsi="Arial" w:cs="Arial"/>
        </w:rPr>
      </w:pPr>
      <w:proofErr w:type="gramStart"/>
      <w:r>
        <w:rPr>
          <w:rFonts w:ascii="Arial" w:hAnsi="Arial" w:cs="Arial"/>
          <w:b/>
          <w:i/>
        </w:rPr>
        <w:t>p</w:t>
      </w:r>
      <w:r w:rsidR="00A279B7">
        <w:rPr>
          <w:rFonts w:ascii="Arial" w:hAnsi="Arial" w:cs="Arial"/>
          <w:b/>
          <w:i/>
        </w:rPr>
        <w:t>enetrative</w:t>
      </w:r>
      <w:proofErr w:type="gramEnd"/>
      <w:r w:rsidR="00A279B7">
        <w:rPr>
          <w:rFonts w:ascii="Arial" w:hAnsi="Arial" w:cs="Arial"/>
          <w:b/>
          <w:i/>
        </w:rPr>
        <w:t xml:space="preserve"> abuse</w:t>
      </w:r>
      <w:r w:rsidR="0050082C">
        <w:rPr>
          <w:rFonts w:ascii="Arial" w:hAnsi="Arial" w:cs="Arial"/>
        </w:rPr>
        <w:t>:</w:t>
      </w:r>
      <w:r w:rsidR="00A279B7">
        <w:rPr>
          <w:rFonts w:ascii="Arial" w:hAnsi="Arial" w:cs="Arial"/>
        </w:rPr>
        <w:t xml:space="preserve"> </w:t>
      </w:r>
      <w:r w:rsidR="00904173">
        <w:rPr>
          <w:rFonts w:ascii="Arial" w:hAnsi="Arial" w:cs="Arial"/>
        </w:rPr>
        <w:t>relevant sexual abuse of a person</w:t>
      </w:r>
      <w:r w:rsidR="00A279B7">
        <w:rPr>
          <w:rFonts w:ascii="Arial" w:hAnsi="Arial" w:cs="Arial"/>
        </w:rPr>
        <w:t xml:space="preserve"> is </w:t>
      </w:r>
      <w:r w:rsidR="00A279B7">
        <w:rPr>
          <w:rFonts w:ascii="Arial" w:hAnsi="Arial" w:cs="Arial"/>
          <w:b/>
          <w:i/>
        </w:rPr>
        <w:t>penetrative abuse</w:t>
      </w:r>
      <w:r w:rsidR="00A279B7">
        <w:rPr>
          <w:rFonts w:ascii="Arial" w:hAnsi="Arial" w:cs="Arial"/>
        </w:rPr>
        <w:t xml:space="preserve"> if any of that abuse involved penetration of the person (even if the rest of that abuse did not).</w:t>
      </w:r>
    </w:p>
    <w:p w:rsidR="00904173" w:rsidRDefault="00581375" w:rsidP="00A279B7">
      <w:pPr>
        <w:jc w:val="both"/>
        <w:rPr>
          <w:rFonts w:ascii="Arial" w:hAnsi="Arial" w:cs="Arial"/>
        </w:rPr>
      </w:pPr>
      <w:r w:rsidRPr="00DB568C">
        <w:rPr>
          <w:rFonts w:ascii="Arial" w:hAnsi="Arial" w:cs="Arial"/>
          <w:b/>
          <w:i/>
        </w:rPr>
        <w:t>r</w:t>
      </w:r>
      <w:r w:rsidR="00904173" w:rsidRPr="00DB568C">
        <w:rPr>
          <w:rFonts w:ascii="Arial" w:hAnsi="Arial" w:cs="Arial"/>
          <w:b/>
          <w:i/>
        </w:rPr>
        <w:t>elevant sexual abuse</w:t>
      </w:r>
      <w:r w:rsidR="00904173">
        <w:rPr>
          <w:rFonts w:ascii="Arial" w:hAnsi="Arial" w:cs="Arial"/>
        </w:rPr>
        <w:t xml:space="preserve"> </w:t>
      </w:r>
      <w:r w:rsidR="0050082C">
        <w:rPr>
          <w:rFonts w:ascii="Arial" w:hAnsi="Arial" w:cs="Arial"/>
        </w:rPr>
        <w:t xml:space="preserve">is defined to </w:t>
      </w:r>
      <w:r w:rsidR="00904173">
        <w:rPr>
          <w:rFonts w:ascii="Arial" w:hAnsi="Arial" w:cs="Arial"/>
        </w:rPr>
        <w:t>mean</w:t>
      </w:r>
      <w:r>
        <w:rPr>
          <w:rFonts w:ascii="Arial" w:hAnsi="Arial" w:cs="Arial"/>
        </w:rPr>
        <w:t xml:space="preserve"> all of the sexual abuse of the person within the scope of the scheme for which one or more participating institutions are responsible (even if one or more participating institutions are responsible for some of that abuse and one or more other participating institutions are responsible for the rest of the abuse). </w:t>
      </w:r>
    </w:p>
    <w:p w:rsidR="00D55760" w:rsidRDefault="00D55760" w:rsidP="00E62FFD">
      <w:pPr>
        <w:spacing w:line="276" w:lineRule="auto"/>
        <w:jc w:val="both"/>
        <w:rPr>
          <w:rStyle w:val="BookTitle"/>
          <w:rFonts w:ascii="Arial" w:hAnsi="Arial" w:cs="Arial"/>
          <w:b/>
          <w:i w:val="0"/>
          <w:iCs w:val="0"/>
          <w:smallCaps w:val="0"/>
          <w:spacing w:val="0"/>
          <w:szCs w:val="24"/>
          <w:u w:val="single"/>
        </w:rPr>
      </w:pPr>
      <w:r>
        <w:rPr>
          <w:rStyle w:val="BookTitle"/>
          <w:rFonts w:ascii="Arial" w:hAnsi="Arial" w:cs="Arial"/>
          <w:b/>
          <w:i w:val="0"/>
          <w:iCs w:val="0"/>
          <w:smallCaps w:val="0"/>
          <w:spacing w:val="0"/>
          <w:szCs w:val="24"/>
          <w:u w:val="single"/>
        </w:rPr>
        <w:t xml:space="preserve">Part </w:t>
      </w:r>
      <w:proofErr w:type="gramStart"/>
      <w:r>
        <w:rPr>
          <w:rStyle w:val="BookTitle"/>
          <w:rFonts w:ascii="Arial" w:hAnsi="Arial" w:cs="Arial"/>
          <w:b/>
          <w:i w:val="0"/>
          <w:iCs w:val="0"/>
          <w:smallCaps w:val="0"/>
          <w:spacing w:val="0"/>
          <w:szCs w:val="24"/>
          <w:u w:val="single"/>
        </w:rPr>
        <w:t>2</w:t>
      </w:r>
      <w:proofErr w:type="gramEnd"/>
      <w:r w:rsidRPr="00C01943">
        <w:rPr>
          <w:rStyle w:val="BookTitle"/>
          <w:rFonts w:ascii="Arial" w:hAnsi="Arial" w:cs="Arial"/>
          <w:b/>
          <w:i w:val="0"/>
          <w:iCs w:val="0"/>
          <w:smallCaps w:val="0"/>
          <w:spacing w:val="0"/>
          <w:szCs w:val="24"/>
          <w:u w:val="single"/>
        </w:rPr>
        <w:t xml:space="preserve"> – </w:t>
      </w:r>
      <w:r w:rsidR="00C6794E">
        <w:rPr>
          <w:rStyle w:val="BookTitle"/>
          <w:rFonts w:ascii="Arial" w:hAnsi="Arial" w:cs="Arial"/>
          <w:b/>
          <w:i w:val="0"/>
          <w:iCs w:val="0"/>
          <w:smallCaps w:val="0"/>
          <w:spacing w:val="0"/>
          <w:szCs w:val="24"/>
          <w:u w:val="single"/>
        </w:rPr>
        <w:t>Amount of redress payment</w:t>
      </w:r>
    </w:p>
    <w:p w:rsidR="00E62FFD" w:rsidRDefault="003D62B3" w:rsidP="00E62FFD">
      <w:pPr>
        <w:spacing w:line="276" w:lineRule="auto"/>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Section 5 </w:t>
      </w:r>
      <w:r>
        <w:rPr>
          <w:rStyle w:val="BookTitle"/>
          <w:rFonts w:ascii="Arial" w:hAnsi="Arial" w:cs="Arial"/>
          <w:b/>
          <w:i w:val="0"/>
          <w:iCs w:val="0"/>
          <w:smallCaps w:val="0"/>
          <w:spacing w:val="0"/>
          <w:szCs w:val="24"/>
        </w:rPr>
        <w:tab/>
      </w:r>
      <w:r w:rsidR="00C6794E">
        <w:rPr>
          <w:rStyle w:val="BookTitle"/>
          <w:rFonts w:ascii="Arial" w:hAnsi="Arial" w:cs="Arial"/>
          <w:b/>
          <w:i w:val="0"/>
          <w:iCs w:val="0"/>
          <w:smallCaps w:val="0"/>
          <w:spacing w:val="0"/>
          <w:szCs w:val="24"/>
        </w:rPr>
        <w:t>Amount of redress payment</w:t>
      </w:r>
      <w:r>
        <w:rPr>
          <w:rStyle w:val="BookTitle"/>
          <w:rFonts w:ascii="Arial" w:hAnsi="Arial" w:cs="Arial"/>
          <w:b/>
          <w:i w:val="0"/>
          <w:iCs w:val="0"/>
          <w:smallCaps w:val="0"/>
          <w:spacing w:val="0"/>
          <w:szCs w:val="24"/>
        </w:rPr>
        <w:t xml:space="preserve"> </w:t>
      </w:r>
    </w:p>
    <w:p w:rsidR="00E62FFD" w:rsidRPr="00E62FFD" w:rsidRDefault="00E62FFD" w:rsidP="00E62FFD">
      <w:p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Section 5 sets out the method for calculating the amount of redress payment for a person.</w:t>
      </w:r>
    </w:p>
    <w:p w:rsidR="00A259F1" w:rsidRDefault="00E62FFD" w:rsidP="00E62FFD">
      <w:p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5(1) provides that the amount of redress payment for a person </w:t>
      </w:r>
      <w:proofErr w:type="gramStart"/>
      <w:r>
        <w:rPr>
          <w:rStyle w:val="BookTitle"/>
          <w:rFonts w:ascii="Arial" w:hAnsi="Arial" w:cs="Arial"/>
          <w:i w:val="0"/>
          <w:iCs w:val="0"/>
          <w:smallCaps w:val="0"/>
          <w:spacing w:val="0"/>
          <w:szCs w:val="24"/>
        </w:rPr>
        <w:t>is</w:t>
      </w:r>
      <w:proofErr w:type="gramEnd"/>
      <w:r>
        <w:rPr>
          <w:rStyle w:val="BookTitle"/>
          <w:rFonts w:ascii="Arial" w:hAnsi="Arial" w:cs="Arial"/>
          <w:i w:val="0"/>
          <w:iCs w:val="0"/>
          <w:smallCaps w:val="0"/>
          <w:spacing w:val="0"/>
          <w:szCs w:val="24"/>
        </w:rPr>
        <w:t xml:space="preserve"> worked out using the following table as described in subsection 5(2):</w:t>
      </w:r>
    </w:p>
    <w:p w:rsidR="00E62FFD" w:rsidRDefault="00E62FFD" w:rsidP="00E62FFD">
      <w:pPr>
        <w:spacing w:line="276" w:lineRule="auto"/>
        <w:jc w:val="both"/>
        <w:rPr>
          <w:rStyle w:val="BookTitle"/>
          <w:rFonts w:ascii="Arial" w:hAnsi="Arial" w:cs="Arial"/>
          <w:i w:val="0"/>
          <w:iCs w:val="0"/>
          <w:smallCaps w:val="0"/>
          <w:spacing w:val="0"/>
          <w:szCs w:val="24"/>
        </w:rPr>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1276"/>
        <w:gridCol w:w="1275"/>
        <w:gridCol w:w="1276"/>
        <w:gridCol w:w="1276"/>
        <w:gridCol w:w="1417"/>
        <w:gridCol w:w="1511"/>
        <w:gridCol w:w="279"/>
      </w:tblGrid>
      <w:tr w:rsidR="00E62FFD" w:rsidTr="00E62FFD">
        <w:trPr>
          <w:tblHeader/>
        </w:trPr>
        <w:tc>
          <w:tcPr>
            <w:tcW w:w="8310" w:type="dxa"/>
            <w:gridSpan w:val="7"/>
            <w:tcBorders>
              <w:top w:val="single" w:sz="12" w:space="0" w:color="auto"/>
              <w:left w:val="nil"/>
              <w:bottom w:val="single" w:sz="6" w:space="0" w:color="auto"/>
              <w:right w:val="nil"/>
            </w:tcBorders>
            <w:hideMark/>
          </w:tcPr>
          <w:p w:rsidR="00E62FFD" w:rsidRDefault="00E62FFD">
            <w:pPr>
              <w:pStyle w:val="TableHeading"/>
            </w:pPr>
            <w:r>
              <w:lastRenderedPageBreak/>
              <w:t>A</w:t>
            </w:r>
            <w:bookmarkStart w:id="2" w:name="BK_S3P3L7C2"/>
            <w:bookmarkEnd w:id="2"/>
            <w:r>
              <w:t>mount of redress payment</w:t>
            </w:r>
          </w:p>
        </w:tc>
      </w:tr>
      <w:tr w:rsidR="00E62FFD" w:rsidTr="00E62FFD">
        <w:trPr>
          <w:gridAfter w:val="1"/>
          <w:wAfter w:w="279" w:type="dxa"/>
          <w:tblHeader/>
        </w:trPr>
        <w:tc>
          <w:tcPr>
            <w:tcW w:w="1276" w:type="dxa"/>
            <w:tcBorders>
              <w:top w:val="single" w:sz="6" w:space="0" w:color="auto"/>
              <w:left w:val="nil"/>
              <w:bottom w:val="single" w:sz="12" w:space="0" w:color="auto"/>
              <w:right w:val="nil"/>
            </w:tcBorders>
            <w:hideMark/>
          </w:tcPr>
          <w:p w:rsidR="00E62FFD" w:rsidRDefault="00E62FFD">
            <w:pPr>
              <w:pStyle w:val="TableHeading"/>
            </w:pPr>
            <w:r>
              <w:t>Column 1</w:t>
            </w:r>
          </w:p>
          <w:p w:rsidR="00E62FFD" w:rsidRDefault="00E62FFD">
            <w:pPr>
              <w:pStyle w:val="TableHeading"/>
            </w:pPr>
            <w:r>
              <w:t>Kind of sexual abuse of the person</w:t>
            </w:r>
          </w:p>
        </w:tc>
        <w:tc>
          <w:tcPr>
            <w:tcW w:w="1275" w:type="dxa"/>
            <w:tcBorders>
              <w:top w:val="single" w:sz="6" w:space="0" w:color="auto"/>
              <w:left w:val="nil"/>
              <w:bottom w:val="single" w:sz="12" w:space="0" w:color="auto"/>
              <w:right w:val="nil"/>
            </w:tcBorders>
            <w:hideMark/>
          </w:tcPr>
          <w:p w:rsidR="00E62FFD" w:rsidRDefault="00E62FFD">
            <w:pPr>
              <w:pStyle w:val="TableHeading"/>
            </w:pPr>
            <w:r>
              <w:t>Column 2</w:t>
            </w:r>
          </w:p>
          <w:p w:rsidR="00E62FFD" w:rsidRDefault="00E62FFD">
            <w:pPr>
              <w:pStyle w:val="TableHeading"/>
            </w:pPr>
            <w:r>
              <w:t>Recognition of sexual abuse</w:t>
            </w:r>
          </w:p>
        </w:tc>
        <w:tc>
          <w:tcPr>
            <w:tcW w:w="1276" w:type="dxa"/>
            <w:tcBorders>
              <w:top w:val="single" w:sz="6" w:space="0" w:color="auto"/>
              <w:left w:val="nil"/>
              <w:bottom w:val="single" w:sz="12" w:space="0" w:color="auto"/>
              <w:right w:val="nil"/>
            </w:tcBorders>
            <w:hideMark/>
          </w:tcPr>
          <w:p w:rsidR="00E62FFD" w:rsidRDefault="00E62FFD">
            <w:pPr>
              <w:pStyle w:val="TableHeading"/>
            </w:pPr>
            <w:r>
              <w:t>Column 3</w:t>
            </w:r>
          </w:p>
          <w:p w:rsidR="00E62FFD" w:rsidRDefault="00E62FFD">
            <w:pPr>
              <w:pStyle w:val="TableHeading"/>
            </w:pPr>
            <w:r>
              <w:t>Recognition of impact of sexual abuse</w:t>
            </w:r>
          </w:p>
        </w:tc>
        <w:tc>
          <w:tcPr>
            <w:tcW w:w="1276" w:type="dxa"/>
            <w:tcBorders>
              <w:top w:val="single" w:sz="6" w:space="0" w:color="auto"/>
              <w:left w:val="nil"/>
              <w:bottom w:val="single" w:sz="12" w:space="0" w:color="auto"/>
              <w:right w:val="nil"/>
            </w:tcBorders>
            <w:hideMark/>
          </w:tcPr>
          <w:p w:rsidR="00E62FFD" w:rsidRDefault="00E62FFD">
            <w:pPr>
              <w:pStyle w:val="TableHeading"/>
            </w:pPr>
            <w:r>
              <w:t>Column 4</w:t>
            </w:r>
          </w:p>
          <w:p w:rsidR="00E62FFD" w:rsidRDefault="00E62FFD">
            <w:pPr>
              <w:pStyle w:val="TableHeading"/>
            </w:pPr>
            <w:r>
              <w:t>Recognition of related non</w:t>
            </w:r>
            <w:r>
              <w:noBreakHyphen/>
              <w:t>sexual abuse</w:t>
            </w:r>
          </w:p>
        </w:tc>
        <w:tc>
          <w:tcPr>
            <w:tcW w:w="1417" w:type="dxa"/>
            <w:tcBorders>
              <w:top w:val="single" w:sz="6" w:space="0" w:color="auto"/>
              <w:left w:val="nil"/>
              <w:bottom w:val="single" w:sz="12" w:space="0" w:color="auto"/>
              <w:right w:val="nil"/>
            </w:tcBorders>
            <w:hideMark/>
          </w:tcPr>
          <w:p w:rsidR="00E62FFD" w:rsidRDefault="00E62FFD">
            <w:pPr>
              <w:pStyle w:val="TableHeading"/>
            </w:pPr>
            <w:r>
              <w:t>Column 5</w:t>
            </w:r>
          </w:p>
          <w:p w:rsidR="00E62FFD" w:rsidRDefault="00E62FFD">
            <w:pPr>
              <w:pStyle w:val="TableHeading"/>
            </w:pPr>
            <w:r>
              <w:t>Recognition person was institutionally vulnerable</w:t>
            </w:r>
          </w:p>
        </w:tc>
        <w:tc>
          <w:tcPr>
            <w:tcW w:w="1511" w:type="dxa"/>
            <w:tcBorders>
              <w:top w:val="single" w:sz="6" w:space="0" w:color="auto"/>
              <w:left w:val="nil"/>
              <w:bottom w:val="single" w:sz="12" w:space="0" w:color="auto"/>
              <w:right w:val="nil"/>
            </w:tcBorders>
            <w:hideMark/>
          </w:tcPr>
          <w:p w:rsidR="00E62FFD" w:rsidRDefault="00E62FFD">
            <w:pPr>
              <w:pStyle w:val="TableHeading"/>
            </w:pPr>
            <w:r>
              <w:t>Column 6</w:t>
            </w:r>
          </w:p>
          <w:p w:rsidR="00E62FFD" w:rsidRDefault="00E62FFD">
            <w:pPr>
              <w:pStyle w:val="TableHeading"/>
            </w:pPr>
            <w:r>
              <w:t>Recognition of extreme circumstances of sexual abuse</w:t>
            </w:r>
          </w:p>
        </w:tc>
      </w:tr>
      <w:tr w:rsidR="00E62FFD" w:rsidTr="00E62FFD">
        <w:trPr>
          <w:gridAfter w:val="1"/>
          <w:wAfter w:w="279" w:type="dxa"/>
        </w:trPr>
        <w:tc>
          <w:tcPr>
            <w:tcW w:w="1276" w:type="dxa"/>
            <w:tcBorders>
              <w:top w:val="single" w:sz="12" w:space="0" w:color="auto"/>
              <w:left w:val="nil"/>
              <w:bottom w:val="single" w:sz="2" w:space="0" w:color="auto"/>
              <w:right w:val="nil"/>
            </w:tcBorders>
            <w:hideMark/>
          </w:tcPr>
          <w:p w:rsidR="00E62FFD" w:rsidRDefault="00E62FFD">
            <w:pPr>
              <w:pStyle w:val="Tabletext"/>
            </w:pPr>
            <w:r>
              <w:t>Penetrative abuse</w:t>
            </w:r>
          </w:p>
        </w:tc>
        <w:tc>
          <w:tcPr>
            <w:tcW w:w="1275" w:type="dxa"/>
            <w:tcBorders>
              <w:top w:val="single" w:sz="12" w:space="0" w:color="auto"/>
              <w:left w:val="nil"/>
              <w:bottom w:val="single" w:sz="2" w:space="0" w:color="auto"/>
              <w:right w:val="nil"/>
            </w:tcBorders>
            <w:hideMark/>
          </w:tcPr>
          <w:p w:rsidR="00E62FFD" w:rsidRDefault="00E62FFD">
            <w:pPr>
              <w:pStyle w:val="Tabletext"/>
            </w:pPr>
            <w:r>
              <w:t>$70,000</w:t>
            </w:r>
          </w:p>
        </w:tc>
        <w:tc>
          <w:tcPr>
            <w:tcW w:w="1276" w:type="dxa"/>
            <w:tcBorders>
              <w:top w:val="single" w:sz="12" w:space="0" w:color="auto"/>
              <w:left w:val="nil"/>
              <w:bottom w:val="single" w:sz="2" w:space="0" w:color="auto"/>
              <w:right w:val="nil"/>
            </w:tcBorders>
            <w:hideMark/>
          </w:tcPr>
          <w:p w:rsidR="00E62FFD" w:rsidRDefault="00E62FFD">
            <w:pPr>
              <w:pStyle w:val="Tabletext"/>
            </w:pPr>
            <w:r>
              <w:t>$20,000</w:t>
            </w:r>
          </w:p>
        </w:tc>
        <w:tc>
          <w:tcPr>
            <w:tcW w:w="1276" w:type="dxa"/>
            <w:tcBorders>
              <w:top w:val="single" w:sz="12" w:space="0" w:color="auto"/>
              <w:left w:val="nil"/>
              <w:bottom w:val="single" w:sz="2" w:space="0" w:color="auto"/>
              <w:right w:val="nil"/>
            </w:tcBorders>
            <w:hideMark/>
          </w:tcPr>
          <w:p w:rsidR="00E62FFD" w:rsidRDefault="00E62FFD">
            <w:pPr>
              <w:pStyle w:val="Tabletext"/>
            </w:pPr>
            <w:r>
              <w:t>$5,000</w:t>
            </w:r>
          </w:p>
        </w:tc>
        <w:tc>
          <w:tcPr>
            <w:tcW w:w="1417" w:type="dxa"/>
            <w:tcBorders>
              <w:top w:val="single" w:sz="12" w:space="0" w:color="auto"/>
              <w:left w:val="nil"/>
              <w:bottom w:val="single" w:sz="2" w:space="0" w:color="auto"/>
              <w:right w:val="nil"/>
            </w:tcBorders>
            <w:hideMark/>
          </w:tcPr>
          <w:p w:rsidR="00E62FFD" w:rsidRDefault="00E62FFD">
            <w:pPr>
              <w:pStyle w:val="Tabletext"/>
            </w:pPr>
            <w:r>
              <w:t>$5,000</w:t>
            </w:r>
          </w:p>
        </w:tc>
        <w:tc>
          <w:tcPr>
            <w:tcW w:w="1511" w:type="dxa"/>
            <w:tcBorders>
              <w:top w:val="single" w:sz="12" w:space="0" w:color="auto"/>
              <w:left w:val="nil"/>
              <w:bottom w:val="single" w:sz="2" w:space="0" w:color="auto"/>
              <w:right w:val="nil"/>
            </w:tcBorders>
            <w:hideMark/>
          </w:tcPr>
          <w:p w:rsidR="00E62FFD" w:rsidRDefault="00E62FFD">
            <w:pPr>
              <w:pStyle w:val="Tabletext"/>
            </w:pPr>
            <w:r>
              <w:t>$50,000</w:t>
            </w:r>
          </w:p>
        </w:tc>
      </w:tr>
      <w:tr w:rsidR="00E62FFD" w:rsidTr="00E62FFD">
        <w:trPr>
          <w:gridAfter w:val="1"/>
          <w:wAfter w:w="279" w:type="dxa"/>
        </w:trPr>
        <w:tc>
          <w:tcPr>
            <w:tcW w:w="1276" w:type="dxa"/>
            <w:tcBorders>
              <w:top w:val="single" w:sz="2" w:space="0" w:color="auto"/>
              <w:left w:val="nil"/>
              <w:bottom w:val="single" w:sz="2" w:space="0" w:color="auto"/>
              <w:right w:val="nil"/>
            </w:tcBorders>
            <w:hideMark/>
          </w:tcPr>
          <w:p w:rsidR="00E62FFD" w:rsidRDefault="00E62FFD">
            <w:pPr>
              <w:pStyle w:val="Tabletext"/>
            </w:pPr>
            <w:r>
              <w:t>Contact abuse</w:t>
            </w:r>
          </w:p>
        </w:tc>
        <w:tc>
          <w:tcPr>
            <w:tcW w:w="1275" w:type="dxa"/>
            <w:tcBorders>
              <w:top w:val="single" w:sz="2" w:space="0" w:color="auto"/>
              <w:left w:val="nil"/>
              <w:bottom w:val="single" w:sz="2" w:space="0" w:color="auto"/>
              <w:right w:val="nil"/>
            </w:tcBorders>
            <w:hideMark/>
          </w:tcPr>
          <w:p w:rsidR="00E62FFD" w:rsidRDefault="00E62FFD">
            <w:pPr>
              <w:pStyle w:val="Tabletext"/>
            </w:pPr>
            <w:r>
              <w:t>$30,000</w:t>
            </w:r>
          </w:p>
        </w:tc>
        <w:tc>
          <w:tcPr>
            <w:tcW w:w="1276" w:type="dxa"/>
            <w:tcBorders>
              <w:top w:val="single" w:sz="2" w:space="0" w:color="auto"/>
              <w:left w:val="nil"/>
              <w:bottom w:val="single" w:sz="2" w:space="0" w:color="auto"/>
              <w:right w:val="nil"/>
            </w:tcBorders>
            <w:hideMark/>
          </w:tcPr>
          <w:p w:rsidR="00E62FFD" w:rsidRDefault="00E62FFD">
            <w:pPr>
              <w:pStyle w:val="Tabletext"/>
            </w:pPr>
            <w:r>
              <w:t>$10,000</w:t>
            </w:r>
          </w:p>
        </w:tc>
        <w:tc>
          <w:tcPr>
            <w:tcW w:w="1276" w:type="dxa"/>
            <w:tcBorders>
              <w:top w:val="single" w:sz="2" w:space="0" w:color="auto"/>
              <w:left w:val="nil"/>
              <w:bottom w:val="single" w:sz="2" w:space="0" w:color="auto"/>
              <w:right w:val="nil"/>
            </w:tcBorders>
            <w:hideMark/>
          </w:tcPr>
          <w:p w:rsidR="00E62FFD" w:rsidRDefault="00E62FFD">
            <w:pPr>
              <w:pStyle w:val="Tabletext"/>
            </w:pPr>
            <w:r>
              <w:t>$5,000</w:t>
            </w:r>
          </w:p>
        </w:tc>
        <w:tc>
          <w:tcPr>
            <w:tcW w:w="1417" w:type="dxa"/>
            <w:tcBorders>
              <w:top w:val="single" w:sz="2" w:space="0" w:color="auto"/>
              <w:left w:val="nil"/>
              <w:bottom w:val="single" w:sz="2" w:space="0" w:color="auto"/>
              <w:right w:val="nil"/>
            </w:tcBorders>
            <w:hideMark/>
          </w:tcPr>
          <w:p w:rsidR="00E62FFD" w:rsidRDefault="00E62FFD">
            <w:pPr>
              <w:pStyle w:val="Tabletext"/>
            </w:pPr>
            <w:r>
              <w:t>$5,000</w:t>
            </w:r>
          </w:p>
        </w:tc>
        <w:tc>
          <w:tcPr>
            <w:tcW w:w="1511" w:type="dxa"/>
            <w:tcBorders>
              <w:top w:val="single" w:sz="2" w:space="0" w:color="auto"/>
              <w:left w:val="nil"/>
              <w:bottom w:val="single" w:sz="2" w:space="0" w:color="auto"/>
              <w:right w:val="nil"/>
            </w:tcBorders>
            <w:hideMark/>
          </w:tcPr>
          <w:p w:rsidR="00E62FFD" w:rsidRDefault="00E62FFD">
            <w:pPr>
              <w:pStyle w:val="Tabletext"/>
            </w:pPr>
            <w:r>
              <w:t>Nil</w:t>
            </w:r>
          </w:p>
        </w:tc>
      </w:tr>
      <w:tr w:rsidR="00E62FFD" w:rsidTr="00E62FFD">
        <w:trPr>
          <w:gridAfter w:val="1"/>
          <w:wAfter w:w="279" w:type="dxa"/>
        </w:trPr>
        <w:tc>
          <w:tcPr>
            <w:tcW w:w="1276" w:type="dxa"/>
            <w:tcBorders>
              <w:top w:val="single" w:sz="2" w:space="0" w:color="auto"/>
              <w:left w:val="nil"/>
              <w:bottom w:val="single" w:sz="12" w:space="0" w:color="auto"/>
              <w:right w:val="nil"/>
            </w:tcBorders>
            <w:hideMark/>
          </w:tcPr>
          <w:p w:rsidR="00E62FFD" w:rsidRDefault="00E62FFD">
            <w:pPr>
              <w:pStyle w:val="Tabletext"/>
            </w:pPr>
            <w:r>
              <w:t>Exposure abuse</w:t>
            </w:r>
          </w:p>
        </w:tc>
        <w:tc>
          <w:tcPr>
            <w:tcW w:w="1275" w:type="dxa"/>
            <w:tcBorders>
              <w:top w:val="single" w:sz="2" w:space="0" w:color="auto"/>
              <w:left w:val="nil"/>
              <w:bottom w:val="single" w:sz="12" w:space="0" w:color="auto"/>
              <w:right w:val="nil"/>
            </w:tcBorders>
            <w:hideMark/>
          </w:tcPr>
          <w:p w:rsidR="00E62FFD" w:rsidRDefault="00E62FFD">
            <w:pPr>
              <w:pStyle w:val="Tabletext"/>
            </w:pPr>
            <w:r>
              <w:t>$5,000</w:t>
            </w:r>
          </w:p>
        </w:tc>
        <w:tc>
          <w:tcPr>
            <w:tcW w:w="1276" w:type="dxa"/>
            <w:tcBorders>
              <w:top w:val="single" w:sz="2" w:space="0" w:color="auto"/>
              <w:left w:val="nil"/>
              <w:bottom w:val="single" w:sz="12" w:space="0" w:color="auto"/>
              <w:right w:val="nil"/>
            </w:tcBorders>
            <w:hideMark/>
          </w:tcPr>
          <w:p w:rsidR="00E62FFD" w:rsidRDefault="00E62FFD">
            <w:pPr>
              <w:pStyle w:val="Tabletext"/>
            </w:pPr>
            <w:r>
              <w:t>$5,000</w:t>
            </w:r>
          </w:p>
        </w:tc>
        <w:tc>
          <w:tcPr>
            <w:tcW w:w="1276" w:type="dxa"/>
            <w:tcBorders>
              <w:top w:val="single" w:sz="2" w:space="0" w:color="auto"/>
              <w:left w:val="nil"/>
              <w:bottom w:val="single" w:sz="12" w:space="0" w:color="auto"/>
              <w:right w:val="nil"/>
            </w:tcBorders>
            <w:hideMark/>
          </w:tcPr>
          <w:p w:rsidR="00E62FFD" w:rsidRDefault="00E62FFD">
            <w:pPr>
              <w:pStyle w:val="Tabletext"/>
            </w:pPr>
            <w:r>
              <w:t>$5,000</w:t>
            </w:r>
          </w:p>
        </w:tc>
        <w:tc>
          <w:tcPr>
            <w:tcW w:w="1417" w:type="dxa"/>
            <w:tcBorders>
              <w:top w:val="single" w:sz="2" w:space="0" w:color="auto"/>
              <w:left w:val="nil"/>
              <w:bottom w:val="single" w:sz="12" w:space="0" w:color="auto"/>
              <w:right w:val="nil"/>
            </w:tcBorders>
            <w:hideMark/>
          </w:tcPr>
          <w:p w:rsidR="00E62FFD" w:rsidRDefault="00E62FFD">
            <w:pPr>
              <w:pStyle w:val="Tabletext"/>
            </w:pPr>
            <w:r>
              <w:t>$5,000</w:t>
            </w:r>
          </w:p>
        </w:tc>
        <w:tc>
          <w:tcPr>
            <w:tcW w:w="1511" w:type="dxa"/>
            <w:tcBorders>
              <w:top w:val="single" w:sz="2" w:space="0" w:color="auto"/>
              <w:left w:val="nil"/>
              <w:bottom w:val="single" w:sz="12" w:space="0" w:color="auto"/>
              <w:right w:val="nil"/>
            </w:tcBorders>
            <w:hideMark/>
          </w:tcPr>
          <w:p w:rsidR="00E62FFD" w:rsidRDefault="00E62FFD">
            <w:pPr>
              <w:pStyle w:val="Tabletext"/>
            </w:pPr>
            <w:r>
              <w:t>Nil</w:t>
            </w:r>
          </w:p>
        </w:tc>
      </w:tr>
    </w:tbl>
    <w:p w:rsidR="00E62FFD" w:rsidRDefault="00E62FFD" w:rsidP="00E62FFD">
      <w:p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Note </w:t>
      </w:r>
      <w:proofErr w:type="gramStart"/>
      <w:r>
        <w:rPr>
          <w:rStyle w:val="BookTitle"/>
          <w:rFonts w:ascii="Arial" w:hAnsi="Arial" w:cs="Arial"/>
          <w:i w:val="0"/>
          <w:iCs w:val="0"/>
          <w:smallCaps w:val="0"/>
          <w:spacing w:val="0"/>
          <w:szCs w:val="24"/>
        </w:rPr>
        <w:t>1</w:t>
      </w:r>
      <w:proofErr w:type="gramEnd"/>
      <w:r>
        <w:rPr>
          <w:rStyle w:val="BookTitle"/>
          <w:rFonts w:ascii="Arial" w:hAnsi="Arial" w:cs="Arial"/>
          <w:i w:val="0"/>
          <w:iCs w:val="0"/>
          <w:smallCaps w:val="0"/>
          <w:spacing w:val="0"/>
          <w:szCs w:val="24"/>
        </w:rPr>
        <w:t xml:space="preserve"> clarifies that only one item of the table can be relevant to a person (because an item covers </w:t>
      </w:r>
      <w:r w:rsidR="00581375">
        <w:rPr>
          <w:rStyle w:val="BookTitle"/>
          <w:rFonts w:ascii="Arial" w:hAnsi="Arial" w:cs="Arial"/>
          <w:i w:val="0"/>
          <w:iCs w:val="0"/>
          <w:smallCaps w:val="0"/>
          <w:spacing w:val="0"/>
          <w:szCs w:val="24"/>
        </w:rPr>
        <w:t xml:space="preserve">all relevant sexual abuse </w:t>
      </w:r>
      <w:r>
        <w:rPr>
          <w:rStyle w:val="BookTitle"/>
          <w:rFonts w:ascii="Arial" w:hAnsi="Arial" w:cs="Arial"/>
          <w:i w:val="0"/>
          <w:iCs w:val="0"/>
          <w:smallCaps w:val="0"/>
          <w:spacing w:val="0"/>
          <w:szCs w:val="24"/>
        </w:rPr>
        <w:t>of the person within the scope of the Scheme).</w:t>
      </w:r>
    </w:p>
    <w:p w:rsidR="00E62FFD" w:rsidRDefault="00E62FFD" w:rsidP="00E62FFD">
      <w:p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Note </w:t>
      </w:r>
      <w:proofErr w:type="gramStart"/>
      <w:r>
        <w:rPr>
          <w:rStyle w:val="BookTitle"/>
          <w:rFonts w:ascii="Arial" w:hAnsi="Arial" w:cs="Arial"/>
          <w:i w:val="0"/>
          <w:iCs w:val="0"/>
          <w:smallCaps w:val="0"/>
          <w:spacing w:val="0"/>
          <w:szCs w:val="24"/>
        </w:rPr>
        <w:t>2</w:t>
      </w:r>
      <w:proofErr w:type="gramEnd"/>
      <w:r>
        <w:rPr>
          <w:rStyle w:val="BookTitle"/>
          <w:rFonts w:ascii="Arial" w:hAnsi="Arial" w:cs="Arial"/>
          <w:i w:val="0"/>
          <w:iCs w:val="0"/>
          <w:smallCaps w:val="0"/>
          <w:spacing w:val="0"/>
          <w:szCs w:val="24"/>
        </w:rPr>
        <w:t xml:space="preserve"> clarifies that the amount of the redress payment is also affected by section 30 of the Act and the rules made </w:t>
      </w:r>
      <w:r w:rsidR="00581375">
        <w:rPr>
          <w:rStyle w:val="BookTitle"/>
          <w:rFonts w:ascii="Arial" w:hAnsi="Arial" w:cs="Arial"/>
          <w:i w:val="0"/>
          <w:iCs w:val="0"/>
          <w:smallCaps w:val="0"/>
          <w:spacing w:val="0"/>
          <w:szCs w:val="24"/>
        </w:rPr>
        <w:t xml:space="preserve">for the purposes of </w:t>
      </w:r>
      <w:r>
        <w:rPr>
          <w:rStyle w:val="BookTitle"/>
          <w:rFonts w:ascii="Arial" w:hAnsi="Arial" w:cs="Arial"/>
          <w:i w:val="0"/>
          <w:iCs w:val="0"/>
          <w:smallCaps w:val="0"/>
          <w:spacing w:val="0"/>
          <w:szCs w:val="24"/>
        </w:rPr>
        <w:t>that section.</w:t>
      </w:r>
    </w:p>
    <w:p w:rsidR="00E62FFD" w:rsidRDefault="00E62FFD" w:rsidP="00E62FFD">
      <w:p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5(2) sets out the method of calculating a person’s redress payment.  The calculation is the total </w:t>
      </w:r>
      <w:proofErr w:type="gramStart"/>
      <w:r>
        <w:rPr>
          <w:rStyle w:val="BookTitle"/>
          <w:rFonts w:ascii="Arial" w:hAnsi="Arial" w:cs="Arial"/>
          <w:i w:val="0"/>
          <w:iCs w:val="0"/>
          <w:smallCaps w:val="0"/>
          <w:spacing w:val="0"/>
          <w:szCs w:val="24"/>
        </w:rPr>
        <w:t>of</w:t>
      </w:r>
      <w:proofErr w:type="gramEnd"/>
      <w:r>
        <w:rPr>
          <w:rStyle w:val="BookTitle"/>
          <w:rFonts w:ascii="Arial" w:hAnsi="Arial" w:cs="Arial"/>
          <w:i w:val="0"/>
          <w:iCs w:val="0"/>
          <w:smallCaps w:val="0"/>
          <w:spacing w:val="0"/>
          <w:szCs w:val="24"/>
        </w:rPr>
        <w:t>:</w:t>
      </w:r>
    </w:p>
    <w:p w:rsidR="00E62FFD" w:rsidRDefault="00E62FFD" w:rsidP="00E62FFD">
      <w:pPr>
        <w:pStyle w:val="ListParagraph"/>
        <w:numPr>
          <w:ilvl w:val="0"/>
          <w:numId w:val="57"/>
        </w:num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amount in column 2 of the item of the table re</w:t>
      </w:r>
      <w:r w:rsidR="007B1EFD">
        <w:rPr>
          <w:rStyle w:val="BookTitle"/>
          <w:rFonts w:ascii="Arial" w:hAnsi="Arial" w:cs="Arial"/>
          <w:i w:val="0"/>
          <w:iCs w:val="0"/>
          <w:smallCaps w:val="0"/>
          <w:spacing w:val="0"/>
          <w:szCs w:val="24"/>
        </w:rPr>
        <w:t>levant to the sexual abuse of the person; and</w:t>
      </w:r>
    </w:p>
    <w:p w:rsidR="007B1EFD" w:rsidRDefault="007B1EFD" w:rsidP="007B1EFD">
      <w:pPr>
        <w:pStyle w:val="ListParagraph"/>
        <w:spacing w:line="276" w:lineRule="auto"/>
        <w:jc w:val="both"/>
        <w:rPr>
          <w:rStyle w:val="BookTitle"/>
          <w:rFonts w:ascii="Arial" w:hAnsi="Arial" w:cs="Arial"/>
          <w:i w:val="0"/>
          <w:iCs w:val="0"/>
          <w:smallCaps w:val="0"/>
          <w:spacing w:val="0"/>
          <w:szCs w:val="24"/>
        </w:rPr>
      </w:pPr>
    </w:p>
    <w:p w:rsidR="007B1EFD" w:rsidRDefault="007B1EFD" w:rsidP="00E62FFD">
      <w:pPr>
        <w:pStyle w:val="ListParagraph"/>
        <w:numPr>
          <w:ilvl w:val="0"/>
          <w:numId w:val="57"/>
        </w:numPr>
        <w:spacing w:line="276" w:lineRule="auto"/>
        <w:jc w:val="both"/>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the</w:t>
      </w:r>
      <w:proofErr w:type="gramEnd"/>
      <w:r>
        <w:rPr>
          <w:rStyle w:val="BookTitle"/>
          <w:rFonts w:ascii="Arial" w:hAnsi="Arial" w:cs="Arial"/>
          <w:i w:val="0"/>
          <w:iCs w:val="0"/>
          <w:smallCaps w:val="0"/>
          <w:spacing w:val="0"/>
          <w:szCs w:val="24"/>
        </w:rPr>
        <w:t xml:space="preserve"> amount </w:t>
      </w:r>
      <w:r w:rsidR="00581375">
        <w:rPr>
          <w:rStyle w:val="BookTitle"/>
          <w:rFonts w:ascii="Arial" w:hAnsi="Arial" w:cs="Arial"/>
          <w:i w:val="0"/>
          <w:iCs w:val="0"/>
          <w:smallCaps w:val="0"/>
          <w:spacing w:val="0"/>
          <w:szCs w:val="24"/>
        </w:rPr>
        <w:t xml:space="preserve">in </w:t>
      </w:r>
      <w:r>
        <w:rPr>
          <w:rStyle w:val="BookTitle"/>
          <w:rFonts w:ascii="Arial" w:hAnsi="Arial" w:cs="Arial"/>
          <w:i w:val="0"/>
          <w:iCs w:val="0"/>
          <w:smallCaps w:val="0"/>
          <w:spacing w:val="0"/>
          <w:szCs w:val="24"/>
        </w:rPr>
        <w:t>column 3 of that item if the person’s application to the Operator for redress indicates that the sexual abuse of the person had an impact on the person’s wellbeing</w:t>
      </w:r>
      <w:r w:rsidR="00A55257">
        <w:rPr>
          <w:rStyle w:val="BookTitle"/>
          <w:rFonts w:ascii="Arial" w:hAnsi="Arial" w:cs="Arial"/>
          <w:i w:val="0"/>
          <w:iCs w:val="0"/>
          <w:smallCaps w:val="0"/>
          <w:spacing w:val="0"/>
          <w:szCs w:val="24"/>
        </w:rPr>
        <w:t>.  It would be open to the Operator to rely on the information provided in the application as to whether the person’s wellbeing was impacted by the sexual abuse</w:t>
      </w:r>
      <w:r w:rsidR="00D748FB">
        <w:rPr>
          <w:rStyle w:val="BookTitle"/>
          <w:rFonts w:ascii="Arial" w:hAnsi="Arial" w:cs="Arial"/>
          <w:i w:val="0"/>
          <w:iCs w:val="0"/>
          <w:smallCaps w:val="0"/>
          <w:spacing w:val="0"/>
          <w:szCs w:val="24"/>
        </w:rPr>
        <w:t>,</w:t>
      </w:r>
      <w:r w:rsidR="00A55257">
        <w:rPr>
          <w:rStyle w:val="BookTitle"/>
          <w:rFonts w:ascii="Arial" w:hAnsi="Arial" w:cs="Arial"/>
          <w:i w:val="0"/>
          <w:iCs w:val="0"/>
          <w:smallCaps w:val="0"/>
          <w:spacing w:val="0"/>
          <w:szCs w:val="24"/>
        </w:rPr>
        <w:t xml:space="preserve"> if the Operator believes that the person has provided sufficient </w:t>
      </w:r>
      <w:r w:rsidR="00D748FB">
        <w:rPr>
          <w:rStyle w:val="BookTitle"/>
          <w:rFonts w:ascii="Arial" w:hAnsi="Arial" w:cs="Arial"/>
          <w:i w:val="0"/>
          <w:iCs w:val="0"/>
          <w:smallCaps w:val="0"/>
          <w:spacing w:val="0"/>
          <w:szCs w:val="24"/>
        </w:rPr>
        <w:t>information to make that decision</w:t>
      </w:r>
      <w:r>
        <w:rPr>
          <w:rStyle w:val="BookTitle"/>
          <w:rFonts w:ascii="Arial" w:hAnsi="Arial" w:cs="Arial"/>
          <w:i w:val="0"/>
          <w:iCs w:val="0"/>
          <w:smallCaps w:val="0"/>
          <w:spacing w:val="0"/>
          <w:szCs w:val="24"/>
        </w:rPr>
        <w:t>; and</w:t>
      </w:r>
    </w:p>
    <w:p w:rsidR="007B1EFD" w:rsidRDefault="007B1EFD" w:rsidP="007B1EFD">
      <w:pPr>
        <w:pStyle w:val="ListParagraph"/>
        <w:spacing w:line="276" w:lineRule="auto"/>
        <w:jc w:val="both"/>
        <w:rPr>
          <w:rStyle w:val="BookTitle"/>
          <w:rFonts w:ascii="Arial" w:hAnsi="Arial" w:cs="Arial"/>
          <w:i w:val="0"/>
          <w:iCs w:val="0"/>
          <w:smallCaps w:val="0"/>
          <w:spacing w:val="0"/>
          <w:szCs w:val="24"/>
        </w:rPr>
      </w:pPr>
    </w:p>
    <w:p w:rsidR="007B1EFD" w:rsidRDefault="007B1EFD" w:rsidP="00E62FFD">
      <w:pPr>
        <w:pStyle w:val="ListParagraph"/>
        <w:numPr>
          <w:ilvl w:val="0"/>
          <w:numId w:val="57"/>
        </w:num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amount in column 4 of that item if there was non-sexual abuse of the person that was related to the sexual abuse; and</w:t>
      </w:r>
    </w:p>
    <w:p w:rsidR="007B1EFD" w:rsidRPr="007B1EFD" w:rsidRDefault="007B1EFD" w:rsidP="007B1EFD">
      <w:pPr>
        <w:pStyle w:val="ListParagraph"/>
        <w:rPr>
          <w:rStyle w:val="BookTitle"/>
          <w:rFonts w:ascii="Arial" w:hAnsi="Arial" w:cs="Arial"/>
          <w:i w:val="0"/>
          <w:iCs w:val="0"/>
          <w:smallCaps w:val="0"/>
          <w:spacing w:val="0"/>
          <w:szCs w:val="24"/>
        </w:rPr>
      </w:pPr>
    </w:p>
    <w:p w:rsidR="007B1EFD" w:rsidRDefault="007B1EFD" w:rsidP="00E62FFD">
      <w:pPr>
        <w:pStyle w:val="ListParagraph"/>
        <w:numPr>
          <w:ilvl w:val="0"/>
          <w:numId w:val="57"/>
        </w:numPr>
        <w:spacing w:line="276" w:lineRule="auto"/>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amount in column 5 of that item if the person was institutionally vulnerable; and</w:t>
      </w:r>
    </w:p>
    <w:p w:rsidR="007B1EFD" w:rsidRPr="007B1EFD" w:rsidRDefault="007B1EFD" w:rsidP="007B1EFD">
      <w:pPr>
        <w:pStyle w:val="ListParagraph"/>
        <w:rPr>
          <w:rStyle w:val="BookTitle"/>
          <w:rFonts w:ascii="Arial" w:hAnsi="Arial" w:cs="Arial"/>
          <w:i w:val="0"/>
          <w:iCs w:val="0"/>
          <w:smallCaps w:val="0"/>
          <w:spacing w:val="0"/>
          <w:szCs w:val="24"/>
        </w:rPr>
      </w:pPr>
    </w:p>
    <w:p w:rsidR="007B1EFD" w:rsidRPr="00E62FFD" w:rsidRDefault="007B1EFD" w:rsidP="00E62FFD">
      <w:pPr>
        <w:pStyle w:val="ListParagraph"/>
        <w:numPr>
          <w:ilvl w:val="0"/>
          <w:numId w:val="57"/>
        </w:numPr>
        <w:spacing w:line="276" w:lineRule="auto"/>
        <w:jc w:val="both"/>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the</w:t>
      </w:r>
      <w:proofErr w:type="gramEnd"/>
      <w:r>
        <w:rPr>
          <w:rStyle w:val="BookTitle"/>
          <w:rFonts w:ascii="Arial" w:hAnsi="Arial" w:cs="Arial"/>
          <w:i w:val="0"/>
          <w:iCs w:val="0"/>
          <w:smallCaps w:val="0"/>
          <w:spacing w:val="0"/>
          <w:szCs w:val="24"/>
        </w:rPr>
        <w:t xml:space="preserve"> amount (if any) in column </w:t>
      </w:r>
      <w:r w:rsidR="00581375">
        <w:rPr>
          <w:rStyle w:val="BookTitle"/>
          <w:rFonts w:ascii="Arial" w:hAnsi="Arial" w:cs="Arial"/>
          <w:i w:val="0"/>
          <w:iCs w:val="0"/>
          <w:smallCaps w:val="0"/>
          <w:spacing w:val="0"/>
          <w:szCs w:val="24"/>
        </w:rPr>
        <w:t xml:space="preserve">6 </w:t>
      </w:r>
      <w:r>
        <w:rPr>
          <w:rStyle w:val="BookTitle"/>
          <w:rFonts w:ascii="Arial" w:hAnsi="Arial" w:cs="Arial"/>
          <w:i w:val="0"/>
          <w:iCs w:val="0"/>
          <w:smallCaps w:val="0"/>
          <w:spacing w:val="0"/>
          <w:szCs w:val="24"/>
        </w:rPr>
        <w:t xml:space="preserve">of the item if the sexual abuse occurred in extreme circumstances. </w:t>
      </w:r>
    </w:p>
    <w:p w:rsidR="008E2C17" w:rsidRDefault="008E2C17" w:rsidP="00E62FFD">
      <w:pPr>
        <w:spacing w:line="276" w:lineRule="auto"/>
        <w:jc w:val="both"/>
        <w:rPr>
          <w:rStyle w:val="BookTitle"/>
          <w:rFonts w:ascii="Arial" w:hAnsi="Arial" w:cs="Arial"/>
          <w:b/>
          <w:i w:val="0"/>
          <w:iCs w:val="0"/>
          <w:smallCaps w:val="0"/>
          <w:spacing w:val="0"/>
          <w:szCs w:val="24"/>
          <w:u w:val="single"/>
        </w:rPr>
      </w:pPr>
      <w:r w:rsidRPr="00C01943">
        <w:rPr>
          <w:rStyle w:val="BookTitle"/>
          <w:rFonts w:ascii="Arial" w:hAnsi="Arial" w:cs="Arial"/>
          <w:b/>
          <w:i w:val="0"/>
          <w:iCs w:val="0"/>
          <w:smallCaps w:val="0"/>
          <w:spacing w:val="0"/>
          <w:szCs w:val="24"/>
          <w:u w:val="single"/>
        </w:rPr>
        <w:t xml:space="preserve">Part </w:t>
      </w:r>
      <w:proofErr w:type="gramStart"/>
      <w:r w:rsidR="00D55760">
        <w:rPr>
          <w:rStyle w:val="BookTitle"/>
          <w:rFonts w:ascii="Arial" w:hAnsi="Arial" w:cs="Arial"/>
          <w:b/>
          <w:i w:val="0"/>
          <w:iCs w:val="0"/>
          <w:smallCaps w:val="0"/>
          <w:spacing w:val="0"/>
          <w:szCs w:val="24"/>
          <w:u w:val="single"/>
        </w:rPr>
        <w:t>3</w:t>
      </w:r>
      <w:proofErr w:type="gramEnd"/>
      <w:r w:rsidRPr="00C01943">
        <w:rPr>
          <w:rStyle w:val="BookTitle"/>
          <w:rFonts w:ascii="Arial" w:hAnsi="Arial" w:cs="Arial"/>
          <w:b/>
          <w:i w:val="0"/>
          <w:iCs w:val="0"/>
          <w:smallCaps w:val="0"/>
          <w:spacing w:val="0"/>
          <w:szCs w:val="24"/>
          <w:u w:val="single"/>
        </w:rPr>
        <w:t xml:space="preserve"> </w:t>
      </w:r>
      <w:r w:rsidR="00C01943" w:rsidRPr="00C01943">
        <w:rPr>
          <w:rStyle w:val="BookTitle"/>
          <w:rFonts w:ascii="Arial" w:hAnsi="Arial" w:cs="Arial"/>
          <w:b/>
          <w:i w:val="0"/>
          <w:iCs w:val="0"/>
          <w:smallCaps w:val="0"/>
          <w:spacing w:val="0"/>
          <w:szCs w:val="24"/>
          <w:u w:val="single"/>
        </w:rPr>
        <w:t xml:space="preserve">– </w:t>
      </w:r>
      <w:r w:rsidR="00C6794E">
        <w:rPr>
          <w:rStyle w:val="BookTitle"/>
          <w:rFonts w:ascii="Arial" w:hAnsi="Arial" w:cs="Arial"/>
          <w:b/>
          <w:i w:val="0"/>
          <w:iCs w:val="0"/>
          <w:smallCaps w:val="0"/>
          <w:spacing w:val="0"/>
          <w:szCs w:val="24"/>
          <w:u w:val="single"/>
        </w:rPr>
        <w:t>Amount of counselling and psychological component of redress</w:t>
      </w:r>
    </w:p>
    <w:p w:rsidR="00E504CE" w:rsidRDefault="00E504CE" w:rsidP="00DF3813">
      <w:pPr>
        <w:jc w:val="both"/>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Section </w:t>
      </w:r>
      <w:proofErr w:type="gramStart"/>
      <w:r w:rsidR="00F321FD">
        <w:rPr>
          <w:rStyle w:val="BookTitle"/>
          <w:rFonts w:ascii="Arial" w:hAnsi="Arial" w:cs="Arial"/>
          <w:b/>
          <w:i w:val="0"/>
          <w:iCs w:val="0"/>
          <w:smallCaps w:val="0"/>
          <w:spacing w:val="0"/>
          <w:szCs w:val="24"/>
        </w:rPr>
        <w:t>6</w:t>
      </w:r>
      <w:proofErr w:type="gramEnd"/>
      <w:r w:rsidR="00C6794E">
        <w:rPr>
          <w:rStyle w:val="BookTitle"/>
          <w:rFonts w:ascii="Arial" w:hAnsi="Arial" w:cs="Arial"/>
          <w:b/>
          <w:i w:val="0"/>
          <w:iCs w:val="0"/>
          <w:smallCaps w:val="0"/>
          <w:spacing w:val="0"/>
          <w:szCs w:val="24"/>
        </w:rPr>
        <w:t xml:space="preserve"> – Amount of counselling and psychological component of redress</w:t>
      </w:r>
    </w:p>
    <w:p w:rsidR="007B1EFD" w:rsidRDefault="007B1EFD" w:rsidP="00DF3813">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Section </w:t>
      </w:r>
      <w:proofErr w:type="gramStart"/>
      <w:r>
        <w:rPr>
          <w:rStyle w:val="BookTitle"/>
          <w:rFonts w:ascii="Arial" w:hAnsi="Arial" w:cs="Arial"/>
          <w:i w:val="0"/>
          <w:iCs w:val="0"/>
          <w:smallCaps w:val="0"/>
          <w:spacing w:val="0"/>
          <w:szCs w:val="24"/>
        </w:rPr>
        <w:t>6</w:t>
      </w:r>
      <w:proofErr w:type="gramEnd"/>
      <w:r>
        <w:rPr>
          <w:rStyle w:val="BookTitle"/>
          <w:rFonts w:ascii="Arial" w:hAnsi="Arial" w:cs="Arial"/>
          <w:i w:val="0"/>
          <w:iCs w:val="0"/>
          <w:smallCaps w:val="0"/>
          <w:spacing w:val="0"/>
          <w:szCs w:val="24"/>
        </w:rPr>
        <w:t xml:space="preserve"> sets out the method for calculating the amount of the counselling and psychological component of redress.  The amount of the component for a person </w:t>
      </w:r>
      <w:proofErr w:type="gramStart"/>
      <w:r>
        <w:rPr>
          <w:rStyle w:val="BookTitle"/>
          <w:rFonts w:ascii="Arial" w:hAnsi="Arial" w:cs="Arial"/>
          <w:i w:val="0"/>
          <w:iCs w:val="0"/>
          <w:smallCaps w:val="0"/>
          <w:spacing w:val="0"/>
          <w:szCs w:val="24"/>
        </w:rPr>
        <w:t>is worked</w:t>
      </w:r>
      <w:proofErr w:type="gramEnd"/>
      <w:r>
        <w:rPr>
          <w:rStyle w:val="BookTitle"/>
          <w:rFonts w:ascii="Arial" w:hAnsi="Arial" w:cs="Arial"/>
          <w:i w:val="0"/>
          <w:iCs w:val="0"/>
          <w:smallCaps w:val="0"/>
          <w:spacing w:val="0"/>
          <w:szCs w:val="24"/>
        </w:rPr>
        <w:t xml:space="preserve"> out using the following table:</w:t>
      </w:r>
    </w:p>
    <w:p w:rsidR="007B1EFD" w:rsidRDefault="007B1EFD" w:rsidP="00DF3813">
      <w:pPr>
        <w:jc w:val="both"/>
        <w:rPr>
          <w:rStyle w:val="BookTitle"/>
          <w:rFonts w:ascii="Arial" w:hAnsi="Arial" w:cs="Arial"/>
          <w:i w:val="0"/>
          <w:iCs w:val="0"/>
          <w:smallCaps w:val="0"/>
          <w:spacing w:val="0"/>
          <w:szCs w:val="24"/>
        </w:rPr>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5386"/>
        <w:gridCol w:w="2506"/>
        <w:gridCol w:w="421"/>
      </w:tblGrid>
      <w:tr w:rsidR="007B1EFD" w:rsidTr="007B1EFD">
        <w:trPr>
          <w:tblHeader/>
        </w:trPr>
        <w:tc>
          <w:tcPr>
            <w:tcW w:w="8313" w:type="dxa"/>
            <w:gridSpan w:val="3"/>
            <w:tcBorders>
              <w:top w:val="single" w:sz="12" w:space="0" w:color="auto"/>
              <w:left w:val="nil"/>
              <w:bottom w:val="single" w:sz="6" w:space="0" w:color="auto"/>
              <w:right w:val="nil"/>
            </w:tcBorders>
            <w:hideMark/>
          </w:tcPr>
          <w:p w:rsidR="007B1EFD" w:rsidRDefault="007B1EFD">
            <w:pPr>
              <w:pStyle w:val="TableHeading"/>
            </w:pPr>
            <w:r>
              <w:t>Amount of the counselling and psychological component of redress</w:t>
            </w:r>
          </w:p>
        </w:tc>
      </w:tr>
      <w:tr w:rsidR="007B1EFD" w:rsidTr="007B1EFD">
        <w:trPr>
          <w:gridAfter w:val="1"/>
          <w:wAfter w:w="421" w:type="dxa"/>
          <w:tblHeader/>
        </w:trPr>
        <w:tc>
          <w:tcPr>
            <w:tcW w:w="5386" w:type="dxa"/>
            <w:tcBorders>
              <w:top w:val="single" w:sz="6" w:space="0" w:color="auto"/>
              <w:left w:val="nil"/>
              <w:bottom w:val="single" w:sz="12" w:space="0" w:color="auto"/>
              <w:right w:val="nil"/>
            </w:tcBorders>
            <w:hideMark/>
          </w:tcPr>
          <w:p w:rsidR="007B1EFD" w:rsidRDefault="007B1EFD">
            <w:pPr>
              <w:pStyle w:val="TableHeading"/>
            </w:pPr>
            <w:r>
              <w:t>Column 1</w:t>
            </w:r>
          </w:p>
          <w:p w:rsidR="007B1EFD" w:rsidRDefault="007B1EFD">
            <w:pPr>
              <w:pStyle w:val="TableHeading"/>
            </w:pPr>
            <w:r>
              <w:t>Kind of sexual abuse of the person</w:t>
            </w:r>
          </w:p>
        </w:tc>
        <w:tc>
          <w:tcPr>
            <w:tcW w:w="2506" w:type="dxa"/>
            <w:tcBorders>
              <w:top w:val="single" w:sz="6" w:space="0" w:color="auto"/>
              <w:left w:val="nil"/>
              <w:bottom w:val="single" w:sz="12" w:space="0" w:color="auto"/>
              <w:right w:val="nil"/>
            </w:tcBorders>
            <w:hideMark/>
          </w:tcPr>
          <w:p w:rsidR="007B1EFD" w:rsidRDefault="007B1EFD">
            <w:pPr>
              <w:pStyle w:val="TableHeading"/>
            </w:pPr>
            <w:r>
              <w:t>Column 2</w:t>
            </w:r>
          </w:p>
          <w:p w:rsidR="007B1EFD" w:rsidRDefault="007B1EFD">
            <w:pPr>
              <w:pStyle w:val="TableHeading"/>
            </w:pPr>
            <w:r>
              <w:t>Amount of the component</w:t>
            </w:r>
          </w:p>
        </w:tc>
      </w:tr>
      <w:tr w:rsidR="007B1EFD" w:rsidTr="007B1EFD">
        <w:trPr>
          <w:gridAfter w:val="1"/>
          <w:wAfter w:w="421" w:type="dxa"/>
        </w:trPr>
        <w:tc>
          <w:tcPr>
            <w:tcW w:w="5386" w:type="dxa"/>
            <w:tcBorders>
              <w:top w:val="single" w:sz="12" w:space="0" w:color="auto"/>
              <w:left w:val="nil"/>
              <w:bottom w:val="single" w:sz="2" w:space="0" w:color="auto"/>
              <w:right w:val="nil"/>
            </w:tcBorders>
            <w:hideMark/>
          </w:tcPr>
          <w:p w:rsidR="007B1EFD" w:rsidRDefault="007B1EFD">
            <w:pPr>
              <w:pStyle w:val="Tabletext"/>
            </w:pPr>
            <w:r>
              <w:t>Penetrative abuse</w:t>
            </w:r>
          </w:p>
        </w:tc>
        <w:tc>
          <w:tcPr>
            <w:tcW w:w="2506" w:type="dxa"/>
            <w:tcBorders>
              <w:top w:val="single" w:sz="12" w:space="0" w:color="auto"/>
              <w:left w:val="nil"/>
              <w:bottom w:val="single" w:sz="2" w:space="0" w:color="auto"/>
              <w:right w:val="nil"/>
            </w:tcBorders>
            <w:hideMark/>
          </w:tcPr>
          <w:p w:rsidR="007B1EFD" w:rsidRDefault="007B1EFD">
            <w:pPr>
              <w:pStyle w:val="Tabletext"/>
            </w:pPr>
            <w:r>
              <w:t>$5,000</w:t>
            </w:r>
          </w:p>
        </w:tc>
      </w:tr>
      <w:tr w:rsidR="007B1EFD" w:rsidTr="007B1EFD">
        <w:trPr>
          <w:gridAfter w:val="1"/>
          <w:wAfter w:w="421" w:type="dxa"/>
        </w:trPr>
        <w:tc>
          <w:tcPr>
            <w:tcW w:w="5386" w:type="dxa"/>
            <w:tcBorders>
              <w:top w:val="single" w:sz="2" w:space="0" w:color="auto"/>
              <w:left w:val="nil"/>
              <w:bottom w:val="single" w:sz="2" w:space="0" w:color="auto"/>
              <w:right w:val="nil"/>
            </w:tcBorders>
            <w:hideMark/>
          </w:tcPr>
          <w:p w:rsidR="007B1EFD" w:rsidRDefault="007B1EFD">
            <w:pPr>
              <w:pStyle w:val="Tabletext"/>
            </w:pPr>
            <w:r>
              <w:t>Contact abuse</w:t>
            </w:r>
          </w:p>
        </w:tc>
        <w:tc>
          <w:tcPr>
            <w:tcW w:w="2506" w:type="dxa"/>
            <w:tcBorders>
              <w:top w:val="single" w:sz="2" w:space="0" w:color="auto"/>
              <w:left w:val="nil"/>
              <w:bottom w:val="single" w:sz="2" w:space="0" w:color="auto"/>
              <w:right w:val="nil"/>
            </w:tcBorders>
            <w:hideMark/>
          </w:tcPr>
          <w:p w:rsidR="007B1EFD" w:rsidRDefault="007B1EFD">
            <w:pPr>
              <w:pStyle w:val="Tabletext"/>
            </w:pPr>
            <w:r>
              <w:t>$2,500</w:t>
            </w:r>
          </w:p>
        </w:tc>
      </w:tr>
      <w:tr w:rsidR="007B1EFD" w:rsidTr="007B1EFD">
        <w:trPr>
          <w:gridAfter w:val="1"/>
          <w:wAfter w:w="421" w:type="dxa"/>
        </w:trPr>
        <w:tc>
          <w:tcPr>
            <w:tcW w:w="5386" w:type="dxa"/>
            <w:tcBorders>
              <w:top w:val="single" w:sz="2" w:space="0" w:color="auto"/>
              <w:left w:val="nil"/>
              <w:bottom w:val="single" w:sz="12" w:space="0" w:color="auto"/>
              <w:right w:val="nil"/>
            </w:tcBorders>
            <w:hideMark/>
          </w:tcPr>
          <w:p w:rsidR="007B1EFD" w:rsidRDefault="007B1EFD">
            <w:pPr>
              <w:pStyle w:val="Tabletext"/>
            </w:pPr>
            <w:r>
              <w:t>Exposure abuse</w:t>
            </w:r>
          </w:p>
        </w:tc>
        <w:tc>
          <w:tcPr>
            <w:tcW w:w="2506" w:type="dxa"/>
            <w:tcBorders>
              <w:top w:val="single" w:sz="2" w:space="0" w:color="auto"/>
              <w:left w:val="nil"/>
              <w:bottom w:val="single" w:sz="12" w:space="0" w:color="auto"/>
              <w:right w:val="nil"/>
            </w:tcBorders>
            <w:hideMark/>
          </w:tcPr>
          <w:p w:rsidR="007B1EFD" w:rsidRDefault="007B1EFD">
            <w:pPr>
              <w:pStyle w:val="Tabletext"/>
            </w:pPr>
            <w:r>
              <w:t>$1,250</w:t>
            </w:r>
          </w:p>
        </w:tc>
      </w:tr>
    </w:tbl>
    <w:p w:rsidR="007B1EFD" w:rsidRPr="007B1EFD" w:rsidRDefault="007B1EFD" w:rsidP="00DF3813">
      <w:pPr>
        <w:jc w:val="both"/>
        <w:rPr>
          <w:rStyle w:val="BookTitle"/>
          <w:rFonts w:ascii="Arial" w:hAnsi="Arial" w:cs="Arial"/>
          <w:i w:val="0"/>
          <w:iCs w:val="0"/>
          <w:smallCaps w:val="0"/>
          <w:spacing w:val="0"/>
          <w:szCs w:val="24"/>
        </w:rPr>
      </w:pPr>
    </w:p>
    <w:p w:rsidR="00A06750" w:rsidRPr="009156A6" w:rsidRDefault="00A06750" w:rsidP="00A06750">
      <w:pPr>
        <w:jc w:val="both"/>
        <w:rPr>
          <w:rStyle w:val="BookTitle"/>
          <w:rFonts w:ascii="Arial" w:hAnsi="Arial" w:cs="Arial"/>
          <w:i w:val="0"/>
          <w:iCs w:val="0"/>
          <w:smallCaps w:val="0"/>
          <w:spacing w:val="0"/>
          <w:szCs w:val="24"/>
        </w:rPr>
      </w:pPr>
    </w:p>
    <w:p w:rsidR="00C6794E" w:rsidRDefault="00C6794E" w:rsidP="00731977">
      <w:pPr>
        <w:spacing w:line="276" w:lineRule="auto"/>
        <w:jc w:val="both"/>
        <w:rPr>
          <w:rFonts w:ascii="Arial" w:hAnsi="Arial" w:cs="Arial"/>
          <w:szCs w:val="24"/>
        </w:rPr>
        <w:sectPr w:rsidR="00C6794E">
          <w:headerReference w:type="default" r:id="rId8"/>
          <w:pgSz w:w="11906" w:h="16838"/>
          <w:pgMar w:top="1440" w:right="1440" w:bottom="1440" w:left="1440" w:header="708" w:footer="708" w:gutter="0"/>
          <w:cols w:space="708"/>
          <w:docGrid w:linePitch="360"/>
        </w:sectPr>
      </w:pPr>
      <w:bookmarkStart w:id="3" w:name="_Toc290210739"/>
    </w:p>
    <w:p w:rsidR="006546B7" w:rsidRPr="00BC76EB" w:rsidRDefault="006546B7" w:rsidP="00314EF3">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rsidR="006546B7" w:rsidRPr="00BC76EB" w:rsidRDefault="006546B7" w:rsidP="00314EF3">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0A4D9B">
      <w:pPr>
        <w:spacing w:before="120" w:after="120"/>
        <w:jc w:val="both"/>
        <w:rPr>
          <w:rFonts w:ascii="Arial" w:hAnsi="Arial" w:cs="Arial"/>
          <w:szCs w:val="24"/>
        </w:rPr>
      </w:pPr>
    </w:p>
    <w:p w:rsidR="006546B7" w:rsidRPr="00C6794E" w:rsidRDefault="00C6794E" w:rsidP="00314EF3">
      <w:pPr>
        <w:spacing w:before="120" w:after="120"/>
        <w:jc w:val="center"/>
        <w:rPr>
          <w:rFonts w:ascii="Arial" w:hAnsi="Arial" w:cs="Arial"/>
          <w:b/>
          <w:i/>
          <w:szCs w:val="24"/>
        </w:rPr>
      </w:pPr>
      <w:r>
        <w:rPr>
          <w:rFonts w:ascii="Arial" w:hAnsi="Arial" w:cs="Arial"/>
          <w:b/>
          <w:i/>
          <w:szCs w:val="24"/>
        </w:rPr>
        <w:t>National Redress Scheme for Institutional Child Sexual Abuse Assessment Framework 2018</w:t>
      </w:r>
    </w:p>
    <w:p w:rsidR="003F237B" w:rsidRPr="003F237B" w:rsidRDefault="003F237B" w:rsidP="000A4D9B">
      <w:pPr>
        <w:spacing w:before="120" w:after="120"/>
        <w:jc w:val="both"/>
        <w:rPr>
          <w:rFonts w:ascii="Arial" w:hAnsi="Arial" w:cs="Arial"/>
          <w:b/>
          <w:szCs w:val="24"/>
        </w:rPr>
      </w:pPr>
    </w:p>
    <w:p w:rsidR="006546B7" w:rsidRPr="00BC76EB" w:rsidRDefault="00C6794E" w:rsidP="000A4D9B">
      <w:pPr>
        <w:spacing w:before="120" w:after="120"/>
        <w:jc w:val="both"/>
        <w:rPr>
          <w:rFonts w:ascii="Arial" w:hAnsi="Arial" w:cs="Arial"/>
          <w:szCs w:val="24"/>
        </w:rPr>
      </w:pPr>
      <w:r>
        <w:rPr>
          <w:rFonts w:ascii="Arial" w:hAnsi="Arial" w:cs="Arial"/>
          <w:szCs w:val="24"/>
        </w:rPr>
        <w:t xml:space="preserve">This Declaration is </w:t>
      </w:r>
      <w:r w:rsidR="006546B7" w:rsidRPr="00BC76EB">
        <w:rPr>
          <w:rFonts w:ascii="Arial" w:hAnsi="Arial" w:cs="Arial"/>
          <w:szCs w:val="24"/>
        </w:rPr>
        <w:t>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rsidR="006546B7" w:rsidRPr="00BC76EB" w:rsidRDefault="002A63EA" w:rsidP="000A4D9B">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rsidR="00D3034A" w:rsidRDefault="00D3034A" w:rsidP="00D3034A">
      <w:pPr>
        <w:jc w:val="both"/>
        <w:rPr>
          <w:rFonts w:ascii="Arial" w:hAnsi="Arial" w:cs="Arial"/>
          <w:szCs w:val="24"/>
        </w:rPr>
      </w:pPr>
      <w:r w:rsidRPr="00E660B5">
        <w:rPr>
          <w:rFonts w:ascii="Arial" w:hAnsi="Arial"/>
        </w:rPr>
        <w:t xml:space="preserve">The National Redress Scheme for Institutional Child Sexual Abuse </w:t>
      </w:r>
      <w:r>
        <w:rPr>
          <w:rFonts w:ascii="Arial" w:hAnsi="Arial" w:cs="Arial"/>
          <w:szCs w:val="24"/>
        </w:rPr>
        <w:t>Assessment Framework</w:t>
      </w:r>
      <w:r w:rsidRPr="00E660B5">
        <w:rPr>
          <w:rFonts w:ascii="Arial" w:hAnsi="Arial"/>
        </w:rPr>
        <w:t xml:space="preserve"> 2018 (the </w:t>
      </w:r>
      <w:r>
        <w:rPr>
          <w:rFonts w:ascii="Arial" w:hAnsi="Arial" w:cs="Arial"/>
          <w:szCs w:val="24"/>
        </w:rPr>
        <w:t xml:space="preserve">Assessment Framework) prescribe matters for the purposes of the National Redress Scheme for Persons of Institutional Child Sexual Abuse (the Scheme) established by the </w:t>
      </w:r>
      <w:r>
        <w:rPr>
          <w:rFonts w:ascii="Arial" w:hAnsi="Arial" w:cs="Arial"/>
          <w:i/>
          <w:szCs w:val="24"/>
        </w:rPr>
        <w:t xml:space="preserve">National Redress Scheme for Institutional Child Sexual Abuse Act 2018 </w:t>
      </w:r>
      <w:r>
        <w:rPr>
          <w:rFonts w:ascii="Arial" w:hAnsi="Arial" w:cs="Arial"/>
          <w:szCs w:val="24"/>
        </w:rPr>
        <w:t>(the Act).</w:t>
      </w:r>
    </w:p>
    <w:p w:rsidR="000F2079" w:rsidRDefault="00D3034A" w:rsidP="00D3034A">
      <w:pPr>
        <w:jc w:val="both"/>
        <w:rPr>
          <w:rFonts w:ascii="Arial" w:hAnsi="Arial" w:cs="Arial"/>
          <w:szCs w:val="24"/>
        </w:rPr>
      </w:pPr>
      <w:r>
        <w:rPr>
          <w:rFonts w:ascii="Arial" w:hAnsi="Arial" w:cs="Arial"/>
          <w:szCs w:val="24"/>
        </w:rPr>
        <w:t xml:space="preserve">The Scheme will provide three elements of redress to people that have experienced institutional child sexual abuse: </w:t>
      </w:r>
    </w:p>
    <w:p w:rsidR="000F2079" w:rsidRDefault="00D3034A" w:rsidP="00E660B5">
      <w:pPr>
        <w:pStyle w:val="ListParagraph"/>
        <w:numPr>
          <w:ilvl w:val="0"/>
          <w:numId w:val="59"/>
        </w:numPr>
        <w:jc w:val="both"/>
        <w:rPr>
          <w:rFonts w:ascii="Arial" w:hAnsi="Arial" w:cs="Arial"/>
          <w:szCs w:val="24"/>
        </w:rPr>
      </w:pPr>
      <w:r w:rsidRPr="00E660B5">
        <w:rPr>
          <w:rFonts w:ascii="Arial" w:hAnsi="Arial" w:cs="Arial"/>
          <w:szCs w:val="24"/>
        </w:rPr>
        <w:t>a monetary payment of up to $150,000 may be provided as tangible recognition of the wrong people have suffered</w:t>
      </w:r>
      <w:r w:rsidR="000F2079">
        <w:rPr>
          <w:rFonts w:ascii="Arial" w:hAnsi="Arial" w:cs="Arial"/>
          <w:szCs w:val="24"/>
        </w:rPr>
        <w:t xml:space="preserve">; </w:t>
      </w:r>
    </w:p>
    <w:p w:rsidR="000F2079" w:rsidRDefault="00D3034A" w:rsidP="00E660B5">
      <w:pPr>
        <w:pStyle w:val="ListParagraph"/>
        <w:numPr>
          <w:ilvl w:val="0"/>
          <w:numId w:val="59"/>
        </w:numPr>
        <w:jc w:val="both"/>
        <w:rPr>
          <w:rFonts w:ascii="Arial" w:hAnsi="Arial" w:cs="Arial"/>
          <w:szCs w:val="24"/>
        </w:rPr>
      </w:pPr>
      <w:r w:rsidRPr="00E660B5">
        <w:rPr>
          <w:rFonts w:ascii="Arial" w:hAnsi="Arial" w:cs="Arial"/>
          <w:szCs w:val="24"/>
        </w:rPr>
        <w:t>people will receive access to counselling and psychological services</w:t>
      </w:r>
      <w:r w:rsidR="000F2079">
        <w:rPr>
          <w:rFonts w:ascii="Arial" w:hAnsi="Arial" w:cs="Arial"/>
          <w:szCs w:val="24"/>
        </w:rPr>
        <w:t>;</w:t>
      </w:r>
      <w:r w:rsidRPr="00E660B5">
        <w:rPr>
          <w:rFonts w:ascii="Arial" w:hAnsi="Arial" w:cs="Arial"/>
          <w:szCs w:val="24"/>
        </w:rPr>
        <w:t xml:space="preserve"> and </w:t>
      </w:r>
    </w:p>
    <w:p w:rsidR="000F2079" w:rsidRDefault="00D3034A" w:rsidP="00E660B5">
      <w:pPr>
        <w:pStyle w:val="ListParagraph"/>
        <w:numPr>
          <w:ilvl w:val="0"/>
          <w:numId w:val="59"/>
        </w:numPr>
        <w:jc w:val="both"/>
        <w:rPr>
          <w:rFonts w:ascii="Arial" w:hAnsi="Arial" w:cs="Arial"/>
          <w:szCs w:val="24"/>
        </w:rPr>
      </w:pPr>
      <w:proofErr w:type="gramStart"/>
      <w:r w:rsidRPr="00E660B5">
        <w:rPr>
          <w:rFonts w:ascii="Arial" w:hAnsi="Arial" w:cs="Arial"/>
          <w:szCs w:val="24"/>
        </w:rPr>
        <w:t>the</w:t>
      </w:r>
      <w:proofErr w:type="gramEnd"/>
      <w:r w:rsidRPr="00E660B5">
        <w:rPr>
          <w:rFonts w:ascii="Arial" w:hAnsi="Arial" w:cs="Arial"/>
          <w:szCs w:val="24"/>
        </w:rPr>
        <w:t xml:space="preserve"> Scheme will facilitate a direct personal response from responsible institutions at the request of a person. </w:t>
      </w:r>
    </w:p>
    <w:p w:rsidR="00D3034A" w:rsidRPr="00E660B5" w:rsidRDefault="00D3034A" w:rsidP="000F2079">
      <w:pPr>
        <w:jc w:val="both"/>
        <w:rPr>
          <w:rFonts w:ascii="Arial" w:hAnsi="Arial" w:cs="Arial"/>
          <w:szCs w:val="24"/>
        </w:rPr>
      </w:pPr>
      <w:r w:rsidRPr="00E660B5">
        <w:rPr>
          <w:rFonts w:ascii="Arial" w:hAnsi="Arial" w:cs="Arial"/>
          <w:szCs w:val="24"/>
        </w:rPr>
        <w:t> The Scheme will commence on 1 July 2018 and will operate for a period of 10 years. </w:t>
      </w:r>
    </w:p>
    <w:p w:rsidR="00D3034A" w:rsidRDefault="00D3034A" w:rsidP="00D3034A">
      <w:pPr>
        <w:jc w:val="both"/>
        <w:rPr>
          <w:rFonts w:ascii="Arial" w:hAnsi="Arial" w:cs="Arial"/>
          <w:szCs w:val="24"/>
        </w:rPr>
      </w:pPr>
      <w:r>
        <w:rPr>
          <w:rFonts w:ascii="Arial" w:hAnsi="Arial" w:cs="Arial"/>
          <w:szCs w:val="24"/>
        </w:rPr>
        <w:t>Section 32 of the Act</w:t>
      </w:r>
      <w:r>
        <w:rPr>
          <w:rFonts w:ascii="Arial" w:hAnsi="Arial" w:cs="Arial"/>
          <w:i/>
          <w:szCs w:val="24"/>
        </w:rPr>
        <w:t xml:space="preserve"> </w:t>
      </w:r>
      <w:r>
        <w:rPr>
          <w:rFonts w:ascii="Arial" w:hAnsi="Arial" w:cs="Arial"/>
          <w:szCs w:val="24"/>
        </w:rPr>
        <w:t>provides</w:t>
      </w:r>
      <w:r w:rsidR="000F2079">
        <w:rPr>
          <w:rFonts w:ascii="Arial" w:hAnsi="Arial" w:cs="Arial"/>
          <w:szCs w:val="24"/>
        </w:rPr>
        <w:t xml:space="preserve"> that</w:t>
      </w:r>
      <w:r>
        <w:rPr>
          <w:rFonts w:ascii="Arial" w:hAnsi="Arial" w:cs="Arial"/>
          <w:szCs w:val="24"/>
        </w:rPr>
        <w:t xml:space="preserve"> the Minister may declare, in writing, a method, or matters to take into account, for the purposes of working out the amount of redress payment for a person and the amount of the counselling and psychological component of redress. This declaration is the Assessment Framework. The necessary and convenient power provided in </w:t>
      </w:r>
      <w:r w:rsidR="00DC7E54">
        <w:rPr>
          <w:rFonts w:ascii="Arial" w:hAnsi="Arial" w:cs="Arial"/>
          <w:szCs w:val="24"/>
        </w:rPr>
        <w:t>s</w:t>
      </w:r>
      <w:r>
        <w:rPr>
          <w:rFonts w:ascii="Arial" w:hAnsi="Arial" w:cs="Arial"/>
          <w:szCs w:val="24"/>
        </w:rPr>
        <w:t xml:space="preserve">ection </w:t>
      </w:r>
      <w:r w:rsidR="00DC7E54">
        <w:rPr>
          <w:rFonts w:ascii="Arial" w:hAnsi="Arial" w:cs="Arial"/>
          <w:szCs w:val="24"/>
        </w:rPr>
        <w:t>179 provides that the Minister may make Rules for the purposes of the Scheme, including for matters that are necessary or convenient to give effect to the Act</w:t>
      </w:r>
      <w:r w:rsidR="00F8059F">
        <w:rPr>
          <w:rFonts w:ascii="Arial" w:hAnsi="Arial" w:cs="Arial"/>
          <w:szCs w:val="24"/>
        </w:rPr>
        <w:t xml:space="preserve">. This </w:t>
      </w:r>
      <w:r>
        <w:rPr>
          <w:rFonts w:ascii="Arial" w:hAnsi="Arial" w:cs="Arial"/>
          <w:szCs w:val="24"/>
        </w:rPr>
        <w:t xml:space="preserve">ensures that the Commonwealth is able to incorporate additional matters that arise over the </w:t>
      </w:r>
      <w:proofErr w:type="gramStart"/>
      <w:r>
        <w:rPr>
          <w:rFonts w:ascii="Arial" w:hAnsi="Arial" w:cs="Arial"/>
          <w:szCs w:val="24"/>
        </w:rPr>
        <w:t>10 year</w:t>
      </w:r>
      <w:proofErr w:type="gramEnd"/>
      <w:r>
        <w:rPr>
          <w:rFonts w:ascii="Arial" w:hAnsi="Arial" w:cs="Arial"/>
          <w:szCs w:val="24"/>
        </w:rPr>
        <w:t xml:space="preserve"> course of the Scheme.  </w:t>
      </w:r>
    </w:p>
    <w:p w:rsidR="00D3034A" w:rsidRDefault="00D3034A" w:rsidP="00D3034A">
      <w:pPr>
        <w:jc w:val="both"/>
        <w:rPr>
          <w:rFonts w:ascii="Arial" w:hAnsi="Arial" w:cs="Arial"/>
          <w:szCs w:val="24"/>
        </w:rPr>
      </w:pPr>
      <w:r>
        <w:rPr>
          <w:rFonts w:ascii="Arial" w:hAnsi="Arial" w:cs="Arial"/>
          <w:szCs w:val="24"/>
        </w:rPr>
        <w:t xml:space="preserve">The Assessment Framework provides the detailed requirements necessary to support and implement the Scheme. The method statement in </w:t>
      </w:r>
      <w:r w:rsidR="00F8059F">
        <w:rPr>
          <w:rFonts w:ascii="Arial" w:hAnsi="Arial" w:cs="Arial"/>
          <w:szCs w:val="24"/>
        </w:rPr>
        <w:t>s</w:t>
      </w:r>
      <w:r>
        <w:rPr>
          <w:rFonts w:ascii="Arial" w:hAnsi="Arial" w:cs="Arial"/>
          <w:szCs w:val="24"/>
        </w:rPr>
        <w:t xml:space="preserve">ection 30(2) of the Act requires the Operator to apply the Assessment Framework to work out the person’s redress payment and the amount of the institution’s share of that redress payment. The Assessment Framework sets out the circumstances, and associated payment amounts that determine the value of a person’s redress payment. The Assessment Framework also sets out the amount of the counselling and psychological component based on the amount of the person’s redress payment. </w:t>
      </w:r>
    </w:p>
    <w:p w:rsidR="006546B7" w:rsidRPr="00BC76EB" w:rsidRDefault="006546B7" w:rsidP="000A4D9B">
      <w:pPr>
        <w:spacing w:after="120"/>
        <w:jc w:val="both"/>
        <w:rPr>
          <w:rFonts w:ascii="Arial" w:hAnsi="Arial" w:cs="Arial"/>
          <w:b/>
          <w:szCs w:val="24"/>
        </w:rPr>
      </w:pPr>
      <w:r w:rsidRPr="00BC76EB">
        <w:rPr>
          <w:rFonts w:ascii="Arial" w:hAnsi="Arial" w:cs="Arial"/>
          <w:b/>
          <w:szCs w:val="24"/>
        </w:rPr>
        <w:lastRenderedPageBreak/>
        <w:t>Human rights implications</w:t>
      </w:r>
    </w:p>
    <w:p w:rsidR="00ED3A69" w:rsidRDefault="00ED3A69" w:rsidP="00ED3A69">
      <w:pPr>
        <w:spacing w:before="120" w:after="120"/>
        <w:jc w:val="both"/>
        <w:rPr>
          <w:rFonts w:ascii="Arial" w:hAnsi="Arial" w:cs="Arial"/>
          <w:b/>
          <w:szCs w:val="24"/>
        </w:rPr>
      </w:pPr>
      <w:r>
        <w:rPr>
          <w:rFonts w:ascii="Arial" w:hAnsi="Arial" w:cs="Arial"/>
          <w:b/>
          <w:szCs w:val="24"/>
        </w:rPr>
        <w:t>The right to state-supported recovery for child victims of abuse</w:t>
      </w:r>
    </w:p>
    <w:p w:rsidR="00ED3A69" w:rsidRDefault="00ED3A69" w:rsidP="00ED3A69">
      <w:pPr>
        <w:spacing w:before="120" w:after="120"/>
        <w:jc w:val="both"/>
        <w:rPr>
          <w:rFonts w:ascii="Arial" w:hAnsi="Arial" w:cs="Arial"/>
          <w:szCs w:val="24"/>
        </w:rPr>
      </w:pPr>
      <w:r>
        <w:rPr>
          <w:rFonts w:ascii="Arial" w:hAnsi="Arial" w:cs="Arial"/>
          <w:szCs w:val="24"/>
        </w:rPr>
        <w:t xml:space="preserve">Article 39 of the </w:t>
      </w:r>
      <w:r w:rsidR="00F8059F">
        <w:rPr>
          <w:rFonts w:ascii="Arial" w:hAnsi="Arial" w:cs="Arial"/>
          <w:i/>
          <w:szCs w:val="24"/>
        </w:rPr>
        <w:t xml:space="preserve">Convention on the Rights of the Child </w:t>
      </w:r>
      <w:r w:rsidR="00F8059F">
        <w:rPr>
          <w:rFonts w:ascii="Arial" w:hAnsi="Arial" w:cs="Arial"/>
          <w:szCs w:val="24"/>
        </w:rPr>
        <w:t>(</w:t>
      </w:r>
      <w:r>
        <w:rPr>
          <w:rFonts w:ascii="Arial" w:hAnsi="Arial" w:cs="Arial"/>
          <w:szCs w:val="24"/>
        </w:rPr>
        <w:t>CRC</w:t>
      </w:r>
      <w:r w:rsidR="00F8059F">
        <w:rPr>
          <w:rFonts w:ascii="Arial" w:hAnsi="Arial" w:cs="Arial"/>
          <w:szCs w:val="24"/>
        </w:rPr>
        <w:t>)</w:t>
      </w:r>
      <w:r>
        <w:rPr>
          <w:rFonts w:ascii="Arial" w:hAnsi="Arial" w:cs="Arial"/>
          <w:szCs w:val="24"/>
        </w:rPr>
        <w:t xml:space="preserve"> guarantees the right to state-supported recovery for child victims of neglect, exploitation and abuse.</w:t>
      </w:r>
    </w:p>
    <w:p w:rsidR="00ED3A69" w:rsidRDefault="00ED3A69" w:rsidP="00ED3A69">
      <w:pPr>
        <w:spacing w:before="120" w:after="120"/>
        <w:jc w:val="both"/>
        <w:rPr>
          <w:rFonts w:ascii="Arial" w:hAnsi="Arial" w:cs="Arial"/>
          <w:szCs w:val="24"/>
        </w:rPr>
      </w:pPr>
      <w:r>
        <w:rPr>
          <w:rFonts w:ascii="Arial" w:hAnsi="Arial" w:cs="Arial"/>
          <w:szCs w:val="24"/>
        </w:rPr>
        <w:t xml:space="preserve">The Assessment Framework promotes this right by providing the detailed requirements necessary to support and implement the Scheme, specifically by providing the mechanism for working out a person’s redress payment amount and the amount of the counselling and psychological component. </w:t>
      </w:r>
    </w:p>
    <w:p w:rsidR="00ED3A69" w:rsidRDefault="00ED3A69" w:rsidP="00ED3A69">
      <w:pPr>
        <w:spacing w:before="120" w:after="120"/>
        <w:jc w:val="both"/>
        <w:rPr>
          <w:rFonts w:ascii="Arial" w:hAnsi="Arial" w:cs="Arial"/>
          <w:szCs w:val="24"/>
        </w:rPr>
      </w:pPr>
      <w:r>
        <w:rPr>
          <w:rFonts w:ascii="Arial" w:hAnsi="Arial" w:cs="Arial"/>
          <w:szCs w:val="24"/>
        </w:rPr>
        <w:t>The Scheme will support the recovery of people that have experienced institutional child sexual abuse that occurred prior to the cut off day (the date of the Scheme’s commencement) in Commonwealth institutional settings, and in other institutions that are participating in the Scheme.</w:t>
      </w:r>
    </w:p>
    <w:p w:rsidR="00A63EE8" w:rsidRDefault="00A63EE8" w:rsidP="00A63EE8">
      <w:pPr>
        <w:spacing w:before="120" w:after="120"/>
        <w:jc w:val="both"/>
        <w:rPr>
          <w:rFonts w:ascii="Arial" w:hAnsi="Arial" w:cs="Arial"/>
          <w:szCs w:val="24"/>
        </w:rPr>
      </w:pPr>
      <w:r>
        <w:rPr>
          <w:rFonts w:ascii="Arial" w:hAnsi="Arial" w:cs="Arial"/>
          <w:b/>
          <w:szCs w:val="24"/>
        </w:rPr>
        <w:t>The right to protection from sexual abuse</w:t>
      </w:r>
    </w:p>
    <w:p w:rsidR="00A63EE8" w:rsidRDefault="00A63EE8" w:rsidP="00A63EE8">
      <w:pPr>
        <w:spacing w:before="120" w:after="120"/>
        <w:jc w:val="both"/>
        <w:rPr>
          <w:rFonts w:ascii="Arial" w:hAnsi="Arial" w:cs="Arial"/>
          <w:szCs w:val="24"/>
        </w:rPr>
      </w:pPr>
      <w:r>
        <w:rPr>
          <w:rFonts w:ascii="Arial" w:hAnsi="Arial" w:cs="Arial"/>
          <w:szCs w:val="24"/>
        </w:rPr>
        <w:t>Articles 19 and 34 of the CRC guarantee the right of every child to protection from all forms of physical or mental violence, injury or abuse, including sexual exploitation and abuse.</w:t>
      </w:r>
    </w:p>
    <w:p w:rsidR="00A63EE8" w:rsidRDefault="00A63EE8" w:rsidP="00A63EE8">
      <w:pPr>
        <w:spacing w:before="120" w:after="120"/>
        <w:jc w:val="both"/>
        <w:rPr>
          <w:rFonts w:ascii="Arial" w:hAnsi="Arial" w:cs="Arial"/>
          <w:szCs w:val="24"/>
        </w:rPr>
      </w:pPr>
      <w:r>
        <w:rPr>
          <w:rFonts w:ascii="Arial" w:hAnsi="Arial" w:cs="Arial"/>
          <w:szCs w:val="24"/>
        </w:rPr>
        <w:t xml:space="preserve">The Assessment Framework promotes this right through providing the detailed requirements necessary to support and implement the Scheme. </w:t>
      </w:r>
    </w:p>
    <w:p w:rsidR="00A63EE8" w:rsidRDefault="00A63EE8" w:rsidP="00A63EE8">
      <w:pPr>
        <w:spacing w:before="120" w:after="120"/>
        <w:jc w:val="both"/>
        <w:rPr>
          <w:rFonts w:ascii="Arial" w:hAnsi="Arial" w:cs="Arial"/>
          <w:szCs w:val="24"/>
        </w:rPr>
      </w:pPr>
      <w:r>
        <w:rPr>
          <w:rFonts w:ascii="Arial" w:hAnsi="Arial" w:cs="Arial"/>
          <w:szCs w:val="24"/>
        </w:rPr>
        <w:t>The Scheme seeks to recognise and alleviate the impact of historical failures of the Commonwealth and other government and non-government organisations to uphold this right.</w:t>
      </w:r>
    </w:p>
    <w:p w:rsidR="00ED3A69" w:rsidRDefault="00ED3A69" w:rsidP="00ED3A69">
      <w:pPr>
        <w:spacing w:before="120" w:after="120"/>
        <w:jc w:val="both"/>
        <w:rPr>
          <w:rFonts w:ascii="Arial" w:hAnsi="Arial" w:cs="Arial"/>
          <w:b/>
          <w:szCs w:val="24"/>
        </w:rPr>
      </w:pPr>
      <w:r>
        <w:rPr>
          <w:rFonts w:ascii="Arial" w:hAnsi="Arial" w:cs="Arial"/>
          <w:b/>
          <w:szCs w:val="24"/>
        </w:rPr>
        <w:t xml:space="preserve">The right to health </w:t>
      </w:r>
    </w:p>
    <w:p w:rsidR="00ED3A69" w:rsidRDefault="00ED3A69" w:rsidP="00ED3A69">
      <w:pPr>
        <w:spacing w:before="120" w:after="120"/>
        <w:jc w:val="both"/>
        <w:rPr>
          <w:rFonts w:ascii="Arial" w:hAnsi="Arial" w:cs="Arial"/>
          <w:szCs w:val="24"/>
        </w:rPr>
      </w:pPr>
      <w:r>
        <w:rPr>
          <w:rFonts w:ascii="Arial" w:hAnsi="Arial" w:cs="Arial"/>
          <w:szCs w:val="24"/>
        </w:rPr>
        <w:t xml:space="preserve">Article 12 of the </w:t>
      </w:r>
      <w:r w:rsidR="00F8059F">
        <w:rPr>
          <w:rFonts w:ascii="Arial" w:hAnsi="Arial" w:cs="Arial"/>
          <w:i/>
          <w:szCs w:val="24"/>
        </w:rPr>
        <w:t xml:space="preserve">International Covenant on Economic, Social and Cultural Rights </w:t>
      </w:r>
      <w:r w:rsidR="00F8059F">
        <w:rPr>
          <w:rFonts w:ascii="Arial" w:hAnsi="Arial" w:cs="Arial"/>
          <w:szCs w:val="24"/>
        </w:rPr>
        <w:t>(</w:t>
      </w:r>
      <w:r>
        <w:rPr>
          <w:rFonts w:ascii="Arial" w:hAnsi="Arial" w:cs="Arial"/>
          <w:szCs w:val="24"/>
        </w:rPr>
        <w:t>ICESCR</w:t>
      </w:r>
      <w:r w:rsidR="00F8059F">
        <w:rPr>
          <w:rFonts w:ascii="Arial" w:hAnsi="Arial" w:cs="Arial"/>
          <w:szCs w:val="24"/>
        </w:rPr>
        <w:t>)</w:t>
      </w:r>
      <w:r>
        <w:rPr>
          <w:rFonts w:ascii="Arial" w:hAnsi="Arial" w:cs="Arial"/>
          <w:szCs w:val="24"/>
        </w:rPr>
        <w:t xml:space="preserve"> </w:t>
      </w:r>
      <w:r w:rsidR="00F8059F">
        <w:rPr>
          <w:rFonts w:ascii="Arial" w:hAnsi="Arial" w:cs="Arial"/>
          <w:szCs w:val="24"/>
        </w:rPr>
        <w:t>recognises</w:t>
      </w:r>
      <w:r>
        <w:rPr>
          <w:rFonts w:ascii="Arial" w:hAnsi="Arial" w:cs="Arial"/>
          <w:szCs w:val="24"/>
        </w:rPr>
        <w:t xml:space="preserve"> the right of everyone to the highest attainable standard of physical and mental health</w:t>
      </w:r>
      <w:r w:rsidR="00F8059F">
        <w:rPr>
          <w:rFonts w:ascii="Arial" w:hAnsi="Arial" w:cs="Arial"/>
          <w:szCs w:val="24"/>
        </w:rPr>
        <w:t xml:space="preserve"> and provides </w:t>
      </w:r>
      <w:r w:rsidR="0005737F">
        <w:rPr>
          <w:rFonts w:ascii="Arial" w:hAnsi="Arial" w:cs="Arial"/>
          <w:szCs w:val="24"/>
        </w:rPr>
        <w:t>for states to take steps to achieve the full realisation of this right</w:t>
      </w:r>
      <w:r>
        <w:rPr>
          <w:rFonts w:ascii="Arial" w:hAnsi="Arial" w:cs="Arial"/>
          <w:szCs w:val="24"/>
        </w:rPr>
        <w:t xml:space="preserve">. </w:t>
      </w:r>
    </w:p>
    <w:p w:rsidR="00ED3A69" w:rsidRDefault="00ED3A69" w:rsidP="00ED3A69">
      <w:pPr>
        <w:spacing w:before="120" w:after="120"/>
        <w:jc w:val="both"/>
        <w:rPr>
          <w:rFonts w:ascii="Arial" w:hAnsi="Arial" w:cs="Arial"/>
          <w:szCs w:val="24"/>
        </w:rPr>
      </w:pPr>
      <w:r>
        <w:rPr>
          <w:rFonts w:ascii="Arial" w:hAnsi="Arial" w:cs="Arial"/>
          <w:szCs w:val="24"/>
        </w:rPr>
        <w:t xml:space="preserve">The Assessment Framework promotes this right through providing the detailed requirements necessary to support and implement the Scheme, particularly through the counselling and psychological component. </w:t>
      </w:r>
    </w:p>
    <w:p w:rsidR="00ED3A69" w:rsidRDefault="00ED3A69" w:rsidP="00ED3A69">
      <w:pPr>
        <w:spacing w:before="120" w:after="120"/>
        <w:jc w:val="both"/>
        <w:rPr>
          <w:rFonts w:ascii="Arial" w:hAnsi="Arial" w:cs="Arial"/>
          <w:szCs w:val="24"/>
        </w:rPr>
      </w:pPr>
      <w:r>
        <w:rPr>
          <w:rFonts w:ascii="Arial" w:hAnsi="Arial" w:cs="Arial"/>
          <w:szCs w:val="24"/>
        </w:rPr>
        <w:t xml:space="preserve">The Scheme promotes persons’ right to health by providing access to counselling and psychological services to persons who seek it as one of the three elements of redress, maximising persons’ access to health services. </w:t>
      </w:r>
      <w:proofErr w:type="gramStart"/>
      <w:r>
        <w:rPr>
          <w:rFonts w:ascii="Arial" w:hAnsi="Arial" w:cs="Arial"/>
          <w:szCs w:val="24"/>
        </w:rPr>
        <w:t>Counselling and psychological services will be delivered either</w:t>
      </w:r>
      <w:proofErr w:type="gramEnd"/>
      <w:r>
        <w:rPr>
          <w:rFonts w:ascii="Arial" w:hAnsi="Arial" w:cs="Arial"/>
          <w:szCs w:val="24"/>
        </w:rPr>
        <w:t xml:space="preserve"> through a direct payment or state or territory based services, depending on the residence of the person.</w:t>
      </w:r>
    </w:p>
    <w:p w:rsidR="006546B7" w:rsidRPr="00BC76EB" w:rsidRDefault="006546B7" w:rsidP="000A4D9B">
      <w:pPr>
        <w:spacing w:after="120"/>
        <w:jc w:val="both"/>
        <w:rPr>
          <w:rFonts w:ascii="Arial" w:hAnsi="Arial" w:cs="Arial"/>
          <w:b/>
          <w:szCs w:val="24"/>
        </w:rPr>
      </w:pPr>
      <w:r w:rsidRPr="00BC76EB">
        <w:rPr>
          <w:rFonts w:ascii="Arial" w:hAnsi="Arial" w:cs="Arial"/>
          <w:b/>
          <w:szCs w:val="24"/>
        </w:rPr>
        <w:t>Conclusion</w:t>
      </w:r>
    </w:p>
    <w:p w:rsidR="006546B7" w:rsidRPr="00BC76EB" w:rsidRDefault="00374A77" w:rsidP="000A4D9B">
      <w:pPr>
        <w:spacing w:before="120" w:after="120"/>
        <w:jc w:val="both"/>
        <w:rPr>
          <w:rFonts w:ascii="Arial" w:hAnsi="Arial" w:cs="Arial"/>
          <w:szCs w:val="24"/>
        </w:rPr>
      </w:pPr>
      <w:r w:rsidRPr="00BC76EB">
        <w:rPr>
          <w:rFonts w:ascii="Arial" w:hAnsi="Arial" w:cs="Arial"/>
          <w:szCs w:val="24"/>
        </w:rPr>
        <w:t xml:space="preserve">The </w:t>
      </w:r>
      <w:r w:rsidR="00D21283">
        <w:rPr>
          <w:rFonts w:ascii="Arial" w:hAnsi="Arial" w:cs="Arial"/>
          <w:szCs w:val="24"/>
        </w:rPr>
        <w:t>Assessment Framework</w:t>
      </w:r>
      <w:r w:rsidR="00734AC7">
        <w:rPr>
          <w:rFonts w:ascii="Arial" w:hAnsi="Arial" w:cs="Arial"/>
          <w:szCs w:val="24"/>
        </w:rPr>
        <w:t xml:space="preserve"> is</w:t>
      </w:r>
      <w:r w:rsidR="006546B7" w:rsidRPr="00BC76EB">
        <w:rPr>
          <w:rFonts w:ascii="Arial" w:hAnsi="Arial" w:cs="Arial"/>
          <w:szCs w:val="24"/>
        </w:rPr>
        <w:t xml:space="preserve"> compatible with human </w:t>
      </w:r>
      <w:proofErr w:type="gramStart"/>
      <w:r w:rsidR="006546B7" w:rsidRPr="00BC76EB">
        <w:rPr>
          <w:rFonts w:ascii="Arial" w:hAnsi="Arial" w:cs="Arial"/>
          <w:szCs w:val="24"/>
        </w:rPr>
        <w:t>rights</w:t>
      </w:r>
      <w:proofErr w:type="gramEnd"/>
      <w:r w:rsidR="006546B7" w:rsidRPr="00BC76EB">
        <w:rPr>
          <w:rFonts w:ascii="Arial" w:hAnsi="Arial" w:cs="Arial"/>
          <w:szCs w:val="24"/>
        </w:rPr>
        <w:t xml:space="preserve"> as </w:t>
      </w:r>
      <w:r w:rsidR="00734AC7">
        <w:rPr>
          <w:rFonts w:ascii="Arial" w:hAnsi="Arial" w:cs="Arial"/>
          <w:szCs w:val="24"/>
        </w:rPr>
        <w:t>it</w:t>
      </w:r>
      <w:r w:rsidRPr="00BC76EB">
        <w:rPr>
          <w:rFonts w:ascii="Arial" w:hAnsi="Arial" w:cs="Arial"/>
          <w:szCs w:val="24"/>
        </w:rPr>
        <w:t xml:space="preserve"> </w:t>
      </w:r>
      <w:r w:rsidR="005C390A" w:rsidRPr="00BC76EB">
        <w:rPr>
          <w:rFonts w:ascii="Arial" w:hAnsi="Arial" w:cs="Arial"/>
          <w:szCs w:val="24"/>
        </w:rPr>
        <w:t>do</w:t>
      </w:r>
      <w:r w:rsidR="006546B7" w:rsidRPr="00BC76EB">
        <w:rPr>
          <w:rFonts w:ascii="Arial" w:hAnsi="Arial" w:cs="Arial"/>
          <w:szCs w:val="24"/>
        </w:rPr>
        <w:t xml:space="preserve"> not raise any human rights issues.</w:t>
      </w:r>
    </w:p>
    <w:p w:rsidR="00E77A01" w:rsidRDefault="00E77A01" w:rsidP="000A4D9B">
      <w:pPr>
        <w:spacing w:before="120" w:after="120"/>
        <w:jc w:val="both"/>
        <w:rPr>
          <w:rFonts w:ascii="Arial" w:hAnsi="Arial" w:cs="Arial"/>
          <w:szCs w:val="24"/>
        </w:rPr>
      </w:pPr>
    </w:p>
    <w:p w:rsidR="006B03A5" w:rsidRPr="00BC76EB" w:rsidRDefault="006B03A5" w:rsidP="000A4D9B">
      <w:pPr>
        <w:spacing w:before="120" w:after="120"/>
        <w:jc w:val="both"/>
        <w:rPr>
          <w:rFonts w:ascii="Arial" w:hAnsi="Arial" w:cs="Arial"/>
          <w:szCs w:val="24"/>
        </w:rPr>
      </w:pPr>
    </w:p>
    <w:p w:rsidR="004F1EE6" w:rsidRPr="00573A89" w:rsidRDefault="006B03A5" w:rsidP="006B03A5">
      <w:pPr>
        <w:spacing w:before="120" w:after="120"/>
        <w:jc w:val="center"/>
        <w:rPr>
          <w:rStyle w:val="BookTitle"/>
          <w:rFonts w:ascii="Arial" w:hAnsi="Arial" w:cs="Arial"/>
          <w:i w:val="0"/>
          <w:iCs w:val="0"/>
          <w:smallCaps w:val="0"/>
          <w:spacing w:val="0"/>
          <w:szCs w:val="24"/>
        </w:rPr>
      </w:pPr>
      <w:bookmarkStart w:id="4" w:name="_Toc290210738"/>
      <w:r>
        <w:rPr>
          <w:rFonts w:ascii="Arial" w:hAnsi="Arial" w:cs="Arial"/>
          <w:b/>
          <w:szCs w:val="24"/>
        </w:rPr>
        <w:t xml:space="preserve">The </w:t>
      </w:r>
      <w:r w:rsidR="004F1EE6" w:rsidRPr="00573A89">
        <w:rPr>
          <w:rFonts w:ascii="Arial" w:hAnsi="Arial" w:cs="Arial"/>
          <w:b/>
          <w:szCs w:val="24"/>
        </w:rPr>
        <w:t xml:space="preserve">Hon Dan </w:t>
      </w:r>
      <w:proofErr w:type="spellStart"/>
      <w:r w:rsidR="004F1EE6" w:rsidRPr="00573A89">
        <w:rPr>
          <w:rFonts w:ascii="Arial" w:hAnsi="Arial" w:cs="Arial"/>
          <w:b/>
          <w:szCs w:val="24"/>
        </w:rPr>
        <w:t>Tehan</w:t>
      </w:r>
      <w:proofErr w:type="spellEnd"/>
      <w:r w:rsidR="004F1EE6" w:rsidRPr="00573A89">
        <w:rPr>
          <w:rFonts w:ascii="Arial" w:hAnsi="Arial" w:cs="Arial"/>
          <w:b/>
          <w:szCs w:val="24"/>
        </w:rPr>
        <w:t xml:space="preserve"> MP, Minister for Social Services</w:t>
      </w:r>
      <w:bookmarkEnd w:id="3"/>
      <w:bookmarkEnd w:id="4"/>
    </w:p>
    <w:sectPr w:rsidR="004F1EE6" w:rsidRPr="00573A8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DA" w:rsidRDefault="001221DA" w:rsidP="00AD1645">
      <w:pPr>
        <w:spacing w:before="0"/>
      </w:pPr>
      <w:r>
        <w:separator/>
      </w:r>
    </w:p>
  </w:endnote>
  <w:endnote w:type="continuationSeparator" w:id="0">
    <w:p w:rsidR="001221DA" w:rsidRDefault="001221DA"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DA" w:rsidRDefault="001221DA" w:rsidP="00AD1645">
      <w:pPr>
        <w:spacing w:before="0"/>
      </w:pPr>
      <w:r>
        <w:separator/>
      </w:r>
    </w:p>
  </w:footnote>
  <w:footnote w:type="continuationSeparator" w:id="0">
    <w:p w:rsidR="001221DA" w:rsidRDefault="001221DA"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94E" w:rsidRPr="00E660B5" w:rsidRDefault="00C6794E" w:rsidP="00C6794E">
    <w:pPr>
      <w:pStyle w:val="Header"/>
      <w:jc w:val="center"/>
      <w:rPr>
        <w:rFonts w:ascii="Arial" w:hAnsi="Arial" w:cs="Arial"/>
        <w:i/>
        <w:sz w:val="20"/>
      </w:rPr>
    </w:pPr>
    <w:r w:rsidRPr="00E660B5">
      <w:rPr>
        <w:rFonts w:ascii="Arial" w:hAnsi="Arial" w:cs="Arial"/>
        <w:i/>
        <w:sz w:val="20"/>
      </w:rPr>
      <w:t>National Redress Scheme for Institutional Child Sexual Abuse Assessment Framework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94E" w:rsidRPr="00E660B5" w:rsidRDefault="00C6794E" w:rsidP="00C6794E">
    <w:pPr>
      <w:pStyle w:val="Header"/>
      <w:jc w:val="center"/>
      <w:rPr>
        <w:rFonts w:ascii="Arial" w:hAnsi="Arial" w:cs="Arial"/>
        <w:i/>
        <w:sz w:val="20"/>
      </w:rPr>
    </w:pPr>
    <w:r w:rsidRPr="00E660B5">
      <w:rPr>
        <w:rFonts w:ascii="Arial" w:hAnsi="Arial" w:cs="Arial"/>
        <w:i/>
        <w:sz w:val="20"/>
      </w:rPr>
      <w:t>Statement of Compatibility with Human Rights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47D"/>
    <w:multiLevelType w:val="hybridMultilevel"/>
    <w:tmpl w:val="53369C08"/>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51C46"/>
    <w:multiLevelType w:val="hybridMultilevel"/>
    <w:tmpl w:val="2E40ABA0"/>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208E0"/>
    <w:multiLevelType w:val="hybridMultilevel"/>
    <w:tmpl w:val="706EB1A6"/>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8123F"/>
    <w:multiLevelType w:val="hybridMultilevel"/>
    <w:tmpl w:val="85929188"/>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2700B9"/>
    <w:multiLevelType w:val="hybridMultilevel"/>
    <w:tmpl w:val="90800760"/>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3017C1"/>
    <w:multiLevelType w:val="hybridMultilevel"/>
    <w:tmpl w:val="E1344AB2"/>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11C3B"/>
    <w:multiLevelType w:val="hybridMultilevel"/>
    <w:tmpl w:val="B83E9E52"/>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96A46"/>
    <w:multiLevelType w:val="hybridMultilevel"/>
    <w:tmpl w:val="A36A8682"/>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60573"/>
    <w:multiLevelType w:val="hybridMultilevel"/>
    <w:tmpl w:val="131ED5C8"/>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7E76FA"/>
    <w:multiLevelType w:val="hybridMultilevel"/>
    <w:tmpl w:val="73C265C0"/>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FB6FF1"/>
    <w:multiLevelType w:val="hybridMultilevel"/>
    <w:tmpl w:val="E8E2EEAE"/>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81A83"/>
    <w:multiLevelType w:val="hybridMultilevel"/>
    <w:tmpl w:val="A860E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A1392"/>
    <w:multiLevelType w:val="hybridMultilevel"/>
    <w:tmpl w:val="01BABFB0"/>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1E2699"/>
    <w:multiLevelType w:val="hybridMultilevel"/>
    <w:tmpl w:val="D13C86A2"/>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2210D"/>
    <w:multiLevelType w:val="hybridMultilevel"/>
    <w:tmpl w:val="3892C2B8"/>
    <w:lvl w:ilvl="0" w:tplc="65C21A0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7A351B"/>
    <w:multiLevelType w:val="hybridMultilevel"/>
    <w:tmpl w:val="3150549A"/>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06A0ED2"/>
    <w:multiLevelType w:val="hybridMultilevel"/>
    <w:tmpl w:val="6BCA84D8"/>
    <w:lvl w:ilvl="0" w:tplc="65C21A00">
      <w:start w:val="1"/>
      <w:numFmt w:val="lowerLetter"/>
      <w:lvlText w:val="(%1)"/>
      <w:lvlJc w:val="left"/>
      <w:pPr>
        <w:ind w:left="720" w:hanging="360"/>
      </w:pPr>
      <w:rPr>
        <w:rFonts w:hint="default"/>
      </w:rPr>
    </w:lvl>
    <w:lvl w:ilvl="1" w:tplc="8014253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1052AE"/>
    <w:multiLevelType w:val="hybridMultilevel"/>
    <w:tmpl w:val="34D68298"/>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D81748"/>
    <w:multiLevelType w:val="hybridMultilevel"/>
    <w:tmpl w:val="8D4C3BFC"/>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40348A"/>
    <w:multiLevelType w:val="hybridMultilevel"/>
    <w:tmpl w:val="30523FF2"/>
    <w:lvl w:ilvl="0" w:tplc="65C21A00">
      <w:start w:val="1"/>
      <w:numFmt w:val="lowerLetter"/>
      <w:lvlText w:val="(%1)"/>
      <w:lvlJc w:val="left"/>
      <w:pPr>
        <w:ind w:left="720" w:hanging="360"/>
      </w:pPr>
      <w:rPr>
        <w:rFonts w:hint="default"/>
      </w:rPr>
    </w:lvl>
    <w:lvl w:ilvl="1" w:tplc="8014253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DA13BC"/>
    <w:multiLevelType w:val="hybridMultilevel"/>
    <w:tmpl w:val="B0B45946"/>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691C50"/>
    <w:multiLevelType w:val="hybridMultilevel"/>
    <w:tmpl w:val="D4008962"/>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113F70"/>
    <w:multiLevelType w:val="hybridMultilevel"/>
    <w:tmpl w:val="D4008834"/>
    <w:lvl w:ilvl="0" w:tplc="9E68AD0E">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5D1204"/>
    <w:multiLevelType w:val="hybridMultilevel"/>
    <w:tmpl w:val="61A0D1D8"/>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8257D34"/>
    <w:multiLevelType w:val="hybridMultilevel"/>
    <w:tmpl w:val="094887FC"/>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8403AE"/>
    <w:multiLevelType w:val="hybridMultilevel"/>
    <w:tmpl w:val="102CB494"/>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9BE34AD"/>
    <w:multiLevelType w:val="hybridMultilevel"/>
    <w:tmpl w:val="403C9A16"/>
    <w:lvl w:ilvl="0" w:tplc="A7363C36">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6" w15:restartNumberingAfterBreak="0">
    <w:nsid w:val="4EEC6CE9"/>
    <w:multiLevelType w:val="hybridMultilevel"/>
    <w:tmpl w:val="B216964A"/>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AD31C1"/>
    <w:multiLevelType w:val="hybridMultilevel"/>
    <w:tmpl w:val="EFC891C4"/>
    <w:lvl w:ilvl="0" w:tplc="6B38CF1C">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6C76C1"/>
    <w:multiLevelType w:val="hybridMultilevel"/>
    <w:tmpl w:val="4B7A207C"/>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15:restartNumberingAfterBreak="0">
    <w:nsid w:val="648D4654"/>
    <w:multiLevelType w:val="hybridMultilevel"/>
    <w:tmpl w:val="C3D43606"/>
    <w:lvl w:ilvl="0" w:tplc="CF9637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C90B60"/>
    <w:multiLevelType w:val="hybridMultilevel"/>
    <w:tmpl w:val="3F0C242A"/>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D120AC6"/>
    <w:multiLevelType w:val="hybridMultilevel"/>
    <w:tmpl w:val="09B0FEB2"/>
    <w:lvl w:ilvl="0" w:tplc="6B38CF1C">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FA73582"/>
    <w:multiLevelType w:val="hybridMultilevel"/>
    <w:tmpl w:val="0CE63A2E"/>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2805993"/>
    <w:multiLevelType w:val="hybridMultilevel"/>
    <w:tmpl w:val="6870E6A8"/>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8E74C1"/>
    <w:multiLevelType w:val="hybridMultilevel"/>
    <w:tmpl w:val="CE0AE7A6"/>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5F5139C"/>
    <w:multiLevelType w:val="hybridMultilevel"/>
    <w:tmpl w:val="2C204148"/>
    <w:lvl w:ilvl="0" w:tplc="65C21A00">
      <w:start w:val="1"/>
      <w:numFmt w:val="lowerLetter"/>
      <w:lvlText w:val="(%1)"/>
      <w:lvlJc w:val="left"/>
      <w:pPr>
        <w:ind w:left="720" w:hanging="360"/>
      </w:pPr>
      <w:rPr>
        <w:rFonts w:hint="default"/>
      </w:rPr>
    </w:lvl>
    <w:lvl w:ilvl="1" w:tplc="6B38CF1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7239F3"/>
    <w:multiLevelType w:val="hybridMultilevel"/>
    <w:tmpl w:val="DDF6B9A0"/>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AFA296D"/>
    <w:multiLevelType w:val="hybridMultilevel"/>
    <w:tmpl w:val="F2E028D0"/>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B6513AA"/>
    <w:multiLevelType w:val="hybridMultilevel"/>
    <w:tmpl w:val="12A0DBD6"/>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D963DA5"/>
    <w:multiLevelType w:val="hybridMultilevel"/>
    <w:tmpl w:val="342E419A"/>
    <w:lvl w:ilvl="0" w:tplc="8014253C">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DEC18BC"/>
    <w:multiLevelType w:val="hybridMultilevel"/>
    <w:tmpl w:val="24960C4C"/>
    <w:lvl w:ilvl="0" w:tplc="65C21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7"/>
  </w:num>
  <w:num w:numId="4">
    <w:abstractNumId w:val="40"/>
  </w:num>
  <w:num w:numId="5">
    <w:abstractNumId w:val="38"/>
  </w:num>
  <w:num w:numId="6">
    <w:abstractNumId w:val="7"/>
  </w:num>
  <w:num w:numId="7">
    <w:abstractNumId w:val="32"/>
  </w:num>
  <w:num w:numId="8">
    <w:abstractNumId w:val="42"/>
  </w:num>
  <w:num w:numId="9">
    <w:abstractNumId w:val="22"/>
  </w:num>
  <w:num w:numId="10">
    <w:abstractNumId w:val="44"/>
  </w:num>
  <w:num w:numId="11">
    <w:abstractNumId w:val="10"/>
  </w:num>
  <w:num w:numId="12">
    <w:abstractNumId w:val="15"/>
  </w:num>
  <w:num w:numId="13">
    <w:abstractNumId w:val="3"/>
  </w:num>
  <w:num w:numId="14">
    <w:abstractNumId w:val="25"/>
  </w:num>
  <w:num w:numId="15">
    <w:abstractNumId w:val="19"/>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5"/>
  </w:num>
  <w:num w:numId="20">
    <w:abstractNumId w:val="55"/>
  </w:num>
  <w:num w:numId="21">
    <w:abstractNumId w:val="52"/>
  </w:num>
  <w:num w:numId="22">
    <w:abstractNumId w:val="14"/>
  </w:num>
  <w:num w:numId="23">
    <w:abstractNumId w:val="39"/>
  </w:num>
  <w:num w:numId="24">
    <w:abstractNumId w:val="1"/>
  </w:num>
  <w:num w:numId="25">
    <w:abstractNumId w:val="8"/>
  </w:num>
  <w:num w:numId="26">
    <w:abstractNumId w:val="43"/>
  </w:num>
  <w:num w:numId="27">
    <w:abstractNumId w:val="47"/>
  </w:num>
  <w:num w:numId="28">
    <w:abstractNumId w:val="35"/>
  </w:num>
  <w:num w:numId="29">
    <w:abstractNumId w:val="20"/>
  </w:num>
  <w:num w:numId="30">
    <w:abstractNumId w:val="30"/>
  </w:num>
  <w:num w:numId="31">
    <w:abstractNumId w:val="26"/>
  </w:num>
  <w:num w:numId="32">
    <w:abstractNumId w:val="43"/>
  </w:num>
  <w:num w:numId="33">
    <w:abstractNumId w:val="46"/>
  </w:num>
  <w:num w:numId="34">
    <w:abstractNumId w:val="51"/>
  </w:num>
  <w:num w:numId="35">
    <w:abstractNumId w:val="24"/>
  </w:num>
  <w:num w:numId="36">
    <w:abstractNumId w:val="49"/>
  </w:num>
  <w:num w:numId="37">
    <w:abstractNumId w:val="12"/>
  </w:num>
  <w:num w:numId="38">
    <w:abstractNumId w:val="50"/>
  </w:num>
  <w:num w:numId="39">
    <w:abstractNumId w:val="36"/>
  </w:num>
  <w:num w:numId="40">
    <w:abstractNumId w:val="9"/>
  </w:num>
  <w:num w:numId="41">
    <w:abstractNumId w:val="34"/>
  </w:num>
  <w:num w:numId="42">
    <w:abstractNumId w:val="41"/>
  </w:num>
  <w:num w:numId="43">
    <w:abstractNumId w:val="31"/>
  </w:num>
  <w:num w:numId="44">
    <w:abstractNumId w:val="28"/>
  </w:num>
  <w:num w:numId="45">
    <w:abstractNumId w:val="53"/>
  </w:num>
  <w:num w:numId="46">
    <w:abstractNumId w:val="17"/>
  </w:num>
  <w:num w:numId="47">
    <w:abstractNumId w:val="29"/>
  </w:num>
  <w:num w:numId="48">
    <w:abstractNumId w:val="54"/>
  </w:num>
  <w:num w:numId="49">
    <w:abstractNumId w:val="27"/>
  </w:num>
  <w:num w:numId="50">
    <w:abstractNumId w:val="23"/>
  </w:num>
  <w:num w:numId="51">
    <w:abstractNumId w:val="6"/>
  </w:num>
  <w:num w:numId="52">
    <w:abstractNumId w:val="33"/>
  </w:num>
  <w:num w:numId="53">
    <w:abstractNumId w:val="48"/>
  </w:num>
  <w:num w:numId="54">
    <w:abstractNumId w:val="0"/>
  </w:num>
  <w:num w:numId="55">
    <w:abstractNumId w:val="18"/>
  </w:num>
  <w:num w:numId="56">
    <w:abstractNumId w:val="2"/>
  </w:num>
  <w:num w:numId="57">
    <w:abstractNumId w:val="21"/>
  </w:num>
  <w:num w:numId="58">
    <w:abstractNumId w:val="45"/>
  </w:num>
  <w:num w:numId="59">
    <w:abstractNumId w:val="16"/>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12D7"/>
    <w:rsid w:val="00002D50"/>
    <w:rsid w:val="00003A9C"/>
    <w:rsid w:val="00004004"/>
    <w:rsid w:val="0000668E"/>
    <w:rsid w:val="00010386"/>
    <w:rsid w:val="00021ED2"/>
    <w:rsid w:val="00023A94"/>
    <w:rsid w:val="000244B2"/>
    <w:rsid w:val="00030B79"/>
    <w:rsid w:val="00030CA7"/>
    <w:rsid w:val="00031D0B"/>
    <w:rsid w:val="00032026"/>
    <w:rsid w:val="00034E2B"/>
    <w:rsid w:val="00043B6D"/>
    <w:rsid w:val="00045BF2"/>
    <w:rsid w:val="00051C3F"/>
    <w:rsid w:val="0005737F"/>
    <w:rsid w:val="0006021A"/>
    <w:rsid w:val="00066DAE"/>
    <w:rsid w:val="00074C1A"/>
    <w:rsid w:val="000760DC"/>
    <w:rsid w:val="0007714C"/>
    <w:rsid w:val="00077835"/>
    <w:rsid w:val="00081EAE"/>
    <w:rsid w:val="000844AF"/>
    <w:rsid w:val="00084B46"/>
    <w:rsid w:val="00085730"/>
    <w:rsid w:val="000868D3"/>
    <w:rsid w:val="00090A14"/>
    <w:rsid w:val="00096550"/>
    <w:rsid w:val="00096B8D"/>
    <w:rsid w:val="000A0CC1"/>
    <w:rsid w:val="000A3595"/>
    <w:rsid w:val="000A4D9B"/>
    <w:rsid w:val="000A772F"/>
    <w:rsid w:val="000B37E1"/>
    <w:rsid w:val="000B4130"/>
    <w:rsid w:val="000C142D"/>
    <w:rsid w:val="000C2DDB"/>
    <w:rsid w:val="000C5204"/>
    <w:rsid w:val="000C75E3"/>
    <w:rsid w:val="000C76CC"/>
    <w:rsid w:val="000D0896"/>
    <w:rsid w:val="000D365F"/>
    <w:rsid w:val="000D4EA2"/>
    <w:rsid w:val="000D556F"/>
    <w:rsid w:val="000D63A2"/>
    <w:rsid w:val="000D6D68"/>
    <w:rsid w:val="000D7142"/>
    <w:rsid w:val="000E02A0"/>
    <w:rsid w:val="000E0AF7"/>
    <w:rsid w:val="000E1386"/>
    <w:rsid w:val="000E3915"/>
    <w:rsid w:val="000E7DB4"/>
    <w:rsid w:val="000E7F1F"/>
    <w:rsid w:val="000F0C37"/>
    <w:rsid w:val="000F2079"/>
    <w:rsid w:val="001022C0"/>
    <w:rsid w:val="00103C3D"/>
    <w:rsid w:val="00103DE7"/>
    <w:rsid w:val="00106767"/>
    <w:rsid w:val="00113D59"/>
    <w:rsid w:val="001154CF"/>
    <w:rsid w:val="001161FC"/>
    <w:rsid w:val="0011719D"/>
    <w:rsid w:val="001221DA"/>
    <w:rsid w:val="00126429"/>
    <w:rsid w:val="00130020"/>
    <w:rsid w:val="001310C6"/>
    <w:rsid w:val="00133201"/>
    <w:rsid w:val="00140359"/>
    <w:rsid w:val="001502F9"/>
    <w:rsid w:val="001505B1"/>
    <w:rsid w:val="0015134A"/>
    <w:rsid w:val="001514A0"/>
    <w:rsid w:val="00152472"/>
    <w:rsid w:val="00163809"/>
    <w:rsid w:val="001660A4"/>
    <w:rsid w:val="0016653C"/>
    <w:rsid w:val="00175BC6"/>
    <w:rsid w:val="00181D7A"/>
    <w:rsid w:val="001847D7"/>
    <w:rsid w:val="00190FE1"/>
    <w:rsid w:val="00191AEC"/>
    <w:rsid w:val="001920F3"/>
    <w:rsid w:val="00197896"/>
    <w:rsid w:val="001A18BD"/>
    <w:rsid w:val="001A737C"/>
    <w:rsid w:val="001A7B1F"/>
    <w:rsid w:val="001B5379"/>
    <w:rsid w:val="001C64F9"/>
    <w:rsid w:val="001D4FC2"/>
    <w:rsid w:val="001D69AF"/>
    <w:rsid w:val="001E5B72"/>
    <w:rsid w:val="001E5D12"/>
    <w:rsid w:val="001E630D"/>
    <w:rsid w:val="001E7422"/>
    <w:rsid w:val="001F32F6"/>
    <w:rsid w:val="001F4805"/>
    <w:rsid w:val="001F4E3C"/>
    <w:rsid w:val="001F7CB7"/>
    <w:rsid w:val="00203E4F"/>
    <w:rsid w:val="002116DD"/>
    <w:rsid w:val="0021286A"/>
    <w:rsid w:val="002154EE"/>
    <w:rsid w:val="002156D4"/>
    <w:rsid w:val="00215BC4"/>
    <w:rsid w:val="0022159D"/>
    <w:rsid w:val="00224887"/>
    <w:rsid w:val="002329E1"/>
    <w:rsid w:val="002334D9"/>
    <w:rsid w:val="00234292"/>
    <w:rsid w:val="00234F9E"/>
    <w:rsid w:val="00235F0A"/>
    <w:rsid w:val="00236983"/>
    <w:rsid w:val="0024465E"/>
    <w:rsid w:val="0024555E"/>
    <w:rsid w:val="00245F01"/>
    <w:rsid w:val="002465A3"/>
    <w:rsid w:val="0024760C"/>
    <w:rsid w:val="00247966"/>
    <w:rsid w:val="002533F0"/>
    <w:rsid w:val="002620CB"/>
    <w:rsid w:val="002642C7"/>
    <w:rsid w:val="00264C31"/>
    <w:rsid w:val="002731A0"/>
    <w:rsid w:val="002741BD"/>
    <w:rsid w:val="00274CAF"/>
    <w:rsid w:val="00276D06"/>
    <w:rsid w:val="00276F09"/>
    <w:rsid w:val="00277A6E"/>
    <w:rsid w:val="00277BD7"/>
    <w:rsid w:val="0028003E"/>
    <w:rsid w:val="002810A5"/>
    <w:rsid w:val="00283079"/>
    <w:rsid w:val="00286FDC"/>
    <w:rsid w:val="002926E3"/>
    <w:rsid w:val="00292B33"/>
    <w:rsid w:val="002A0E63"/>
    <w:rsid w:val="002A2A71"/>
    <w:rsid w:val="002A523B"/>
    <w:rsid w:val="002A6007"/>
    <w:rsid w:val="002A63EA"/>
    <w:rsid w:val="002B0175"/>
    <w:rsid w:val="002B0FD0"/>
    <w:rsid w:val="002B312B"/>
    <w:rsid w:val="002B6868"/>
    <w:rsid w:val="002C0F57"/>
    <w:rsid w:val="002C1403"/>
    <w:rsid w:val="002C1825"/>
    <w:rsid w:val="002C1938"/>
    <w:rsid w:val="002C2252"/>
    <w:rsid w:val="002C6177"/>
    <w:rsid w:val="002D0F1C"/>
    <w:rsid w:val="002D2ED9"/>
    <w:rsid w:val="002D35D8"/>
    <w:rsid w:val="002D4522"/>
    <w:rsid w:val="002D7B9F"/>
    <w:rsid w:val="002E0BB1"/>
    <w:rsid w:val="002E3C79"/>
    <w:rsid w:val="002E45E2"/>
    <w:rsid w:val="002E76CF"/>
    <w:rsid w:val="002F02C0"/>
    <w:rsid w:val="002F0406"/>
    <w:rsid w:val="00300D8B"/>
    <w:rsid w:val="00304126"/>
    <w:rsid w:val="003119FD"/>
    <w:rsid w:val="00311FB6"/>
    <w:rsid w:val="00312F23"/>
    <w:rsid w:val="00314EF3"/>
    <w:rsid w:val="00321356"/>
    <w:rsid w:val="0032278E"/>
    <w:rsid w:val="003233A1"/>
    <w:rsid w:val="00325314"/>
    <w:rsid w:val="00334F9D"/>
    <w:rsid w:val="00337065"/>
    <w:rsid w:val="003430FC"/>
    <w:rsid w:val="003434E2"/>
    <w:rsid w:val="00344171"/>
    <w:rsid w:val="00345FFE"/>
    <w:rsid w:val="0035378F"/>
    <w:rsid w:val="00354D8F"/>
    <w:rsid w:val="00355F6D"/>
    <w:rsid w:val="003606C5"/>
    <w:rsid w:val="00365424"/>
    <w:rsid w:val="003700FB"/>
    <w:rsid w:val="00371DB4"/>
    <w:rsid w:val="00374A77"/>
    <w:rsid w:val="00377607"/>
    <w:rsid w:val="00380574"/>
    <w:rsid w:val="00380666"/>
    <w:rsid w:val="00381900"/>
    <w:rsid w:val="00387D89"/>
    <w:rsid w:val="00392EB6"/>
    <w:rsid w:val="00393D4E"/>
    <w:rsid w:val="00394743"/>
    <w:rsid w:val="003A04AD"/>
    <w:rsid w:val="003A1F80"/>
    <w:rsid w:val="003A5C77"/>
    <w:rsid w:val="003A76A3"/>
    <w:rsid w:val="003A7FD6"/>
    <w:rsid w:val="003B2BB8"/>
    <w:rsid w:val="003B44E1"/>
    <w:rsid w:val="003C0FC0"/>
    <w:rsid w:val="003C3368"/>
    <w:rsid w:val="003C54B6"/>
    <w:rsid w:val="003C7E02"/>
    <w:rsid w:val="003D34FF"/>
    <w:rsid w:val="003D62B3"/>
    <w:rsid w:val="003D71F6"/>
    <w:rsid w:val="003E1784"/>
    <w:rsid w:val="003E449E"/>
    <w:rsid w:val="003F160D"/>
    <w:rsid w:val="003F237B"/>
    <w:rsid w:val="003F3769"/>
    <w:rsid w:val="003F575C"/>
    <w:rsid w:val="00400273"/>
    <w:rsid w:val="00403DDB"/>
    <w:rsid w:val="004049ED"/>
    <w:rsid w:val="00407B7B"/>
    <w:rsid w:val="00410740"/>
    <w:rsid w:val="00420387"/>
    <w:rsid w:val="0042132E"/>
    <w:rsid w:val="00423C8D"/>
    <w:rsid w:val="00426210"/>
    <w:rsid w:val="00433193"/>
    <w:rsid w:val="00435D6B"/>
    <w:rsid w:val="0044119A"/>
    <w:rsid w:val="00446D6C"/>
    <w:rsid w:val="00450D71"/>
    <w:rsid w:val="0045240C"/>
    <w:rsid w:val="00453FC9"/>
    <w:rsid w:val="00454405"/>
    <w:rsid w:val="00456FBD"/>
    <w:rsid w:val="00457792"/>
    <w:rsid w:val="004646E1"/>
    <w:rsid w:val="00466A52"/>
    <w:rsid w:val="00467A8C"/>
    <w:rsid w:val="00470C3D"/>
    <w:rsid w:val="0047116E"/>
    <w:rsid w:val="00471BD0"/>
    <w:rsid w:val="004726FF"/>
    <w:rsid w:val="00473DD0"/>
    <w:rsid w:val="004814F1"/>
    <w:rsid w:val="00482411"/>
    <w:rsid w:val="00487EC2"/>
    <w:rsid w:val="004956ED"/>
    <w:rsid w:val="0049646F"/>
    <w:rsid w:val="00497768"/>
    <w:rsid w:val="00497EF0"/>
    <w:rsid w:val="004A0C19"/>
    <w:rsid w:val="004A126A"/>
    <w:rsid w:val="004A188B"/>
    <w:rsid w:val="004A24AF"/>
    <w:rsid w:val="004B3147"/>
    <w:rsid w:val="004B54CA"/>
    <w:rsid w:val="004B5697"/>
    <w:rsid w:val="004C163F"/>
    <w:rsid w:val="004C2C74"/>
    <w:rsid w:val="004C2CAA"/>
    <w:rsid w:val="004C51CD"/>
    <w:rsid w:val="004D336A"/>
    <w:rsid w:val="004E08AD"/>
    <w:rsid w:val="004E3A61"/>
    <w:rsid w:val="004E5CBF"/>
    <w:rsid w:val="004E7095"/>
    <w:rsid w:val="004F1CD0"/>
    <w:rsid w:val="004F1EE6"/>
    <w:rsid w:val="004F264A"/>
    <w:rsid w:val="004F3E62"/>
    <w:rsid w:val="004F5308"/>
    <w:rsid w:val="004F69ED"/>
    <w:rsid w:val="0050082C"/>
    <w:rsid w:val="00502968"/>
    <w:rsid w:val="00504827"/>
    <w:rsid w:val="00505C15"/>
    <w:rsid w:val="00511520"/>
    <w:rsid w:val="00527238"/>
    <w:rsid w:val="00530090"/>
    <w:rsid w:val="00532B7D"/>
    <w:rsid w:val="005332C8"/>
    <w:rsid w:val="00540BD8"/>
    <w:rsid w:val="005507C4"/>
    <w:rsid w:val="0055503B"/>
    <w:rsid w:val="005552A2"/>
    <w:rsid w:val="00560248"/>
    <w:rsid w:val="00562CBC"/>
    <w:rsid w:val="00566538"/>
    <w:rsid w:val="00566BF6"/>
    <w:rsid w:val="0056789B"/>
    <w:rsid w:val="00570884"/>
    <w:rsid w:val="00570F9C"/>
    <w:rsid w:val="00576086"/>
    <w:rsid w:val="00576330"/>
    <w:rsid w:val="0057641C"/>
    <w:rsid w:val="005766D2"/>
    <w:rsid w:val="00581375"/>
    <w:rsid w:val="00585A11"/>
    <w:rsid w:val="00586367"/>
    <w:rsid w:val="00591D1A"/>
    <w:rsid w:val="00594251"/>
    <w:rsid w:val="00594505"/>
    <w:rsid w:val="00595D79"/>
    <w:rsid w:val="005C390A"/>
    <w:rsid w:val="005C3AA9"/>
    <w:rsid w:val="005C54B4"/>
    <w:rsid w:val="005C78B2"/>
    <w:rsid w:val="005D091F"/>
    <w:rsid w:val="005D0BB7"/>
    <w:rsid w:val="005D2607"/>
    <w:rsid w:val="005E3054"/>
    <w:rsid w:val="005E4167"/>
    <w:rsid w:val="005E4362"/>
    <w:rsid w:val="005E4607"/>
    <w:rsid w:val="005E7B26"/>
    <w:rsid w:val="005F0C78"/>
    <w:rsid w:val="005F41C9"/>
    <w:rsid w:val="005F5E17"/>
    <w:rsid w:val="006048FB"/>
    <w:rsid w:val="00606BF9"/>
    <w:rsid w:val="0061181E"/>
    <w:rsid w:val="00612025"/>
    <w:rsid w:val="00613B52"/>
    <w:rsid w:val="00614C63"/>
    <w:rsid w:val="00620404"/>
    <w:rsid w:val="00622668"/>
    <w:rsid w:val="00622B71"/>
    <w:rsid w:val="00622D63"/>
    <w:rsid w:val="00623DF2"/>
    <w:rsid w:val="00624E34"/>
    <w:rsid w:val="00632F44"/>
    <w:rsid w:val="00633763"/>
    <w:rsid w:val="006402A6"/>
    <w:rsid w:val="006407D3"/>
    <w:rsid w:val="0064167D"/>
    <w:rsid w:val="00643D55"/>
    <w:rsid w:val="006454A9"/>
    <w:rsid w:val="006503B2"/>
    <w:rsid w:val="00650B9C"/>
    <w:rsid w:val="00650C1C"/>
    <w:rsid w:val="006546B7"/>
    <w:rsid w:val="006643AB"/>
    <w:rsid w:val="00664828"/>
    <w:rsid w:val="0067070B"/>
    <w:rsid w:val="006712CB"/>
    <w:rsid w:val="00675DB2"/>
    <w:rsid w:val="0067686C"/>
    <w:rsid w:val="00681C7F"/>
    <w:rsid w:val="00683FF5"/>
    <w:rsid w:val="00687351"/>
    <w:rsid w:val="006904B8"/>
    <w:rsid w:val="006A0241"/>
    <w:rsid w:val="006A1F70"/>
    <w:rsid w:val="006A4CE7"/>
    <w:rsid w:val="006A5D55"/>
    <w:rsid w:val="006A64EF"/>
    <w:rsid w:val="006A6D51"/>
    <w:rsid w:val="006B03A5"/>
    <w:rsid w:val="006B5D6C"/>
    <w:rsid w:val="006C063E"/>
    <w:rsid w:val="006C0C1C"/>
    <w:rsid w:val="006C4324"/>
    <w:rsid w:val="006C5E5E"/>
    <w:rsid w:val="006C7051"/>
    <w:rsid w:val="006D7E0F"/>
    <w:rsid w:val="006E1B19"/>
    <w:rsid w:val="006E2C0A"/>
    <w:rsid w:val="006F0769"/>
    <w:rsid w:val="006F7A9D"/>
    <w:rsid w:val="00701486"/>
    <w:rsid w:val="0070660C"/>
    <w:rsid w:val="00710860"/>
    <w:rsid w:val="00720E42"/>
    <w:rsid w:val="00731977"/>
    <w:rsid w:val="00734AC7"/>
    <w:rsid w:val="0073766B"/>
    <w:rsid w:val="00751BC5"/>
    <w:rsid w:val="00760B30"/>
    <w:rsid w:val="007626C0"/>
    <w:rsid w:val="00762A05"/>
    <w:rsid w:val="00762A0A"/>
    <w:rsid w:val="0076507C"/>
    <w:rsid w:val="007650F2"/>
    <w:rsid w:val="007700D9"/>
    <w:rsid w:val="00771003"/>
    <w:rsid w:val="00773106"/>
    <w:rsid w:val="0077461F"/>
    <w:rsid w:val="0078126B"/>
    <w:rsid w:val="00785261"/>
    <w:rsid w:val="007907A8"/>
    <w:rsid w:val="007938F3"/>
    <w:rsid w:val="0079557B"/>
    <w:rsid w:val="007A1BFC"/>
    <w:rsid w:val="007A53DD"/>
    <w:rsid w:val="007B0256"/>
    <w:rsid w:val="007B1EFD"/>
    <w:rsid w:val="007B1F35"/>
    <w:rsid w:val="007B42A1"/>
    <w:rsid w:val="007B5CE7"/>
    <w:rsid w:val="007B69DD"/>
    <w:rsid w:val="007C4060"/>
    <w:rsid w:val="007C5234"/>
    <w:rsid w:val="007D49BE"/>
    <w:rsid w:val="007D6273"/>
    <w:rsid w:val="007D7F03"/>
    <w:rsid w:val="007E4FAD"/>
    <w:rsid w:val="007F080B"/>
    <w:rsid w:val="007F44F6"/>
    <w:rsid w:val="007F529E"/>
    <w:rsid w:val="007F7FBE"/>
    <w:rsid w:val="00807CD7"/>
    <w:rsid w:val="00816CFA"/>
    <w:rsid w:val="008242FE"/>
    <w:rsid w:val="008273BE"/>
    <w:rsid w:val="00830043"/>
    <w:rsid w:val="0083135C"/>
    <w:rsid w:val="008315C3"/>
    <w:rsid w:val="00834B8B"/>
    <w:rsid w:val="00836CFE"/>
    <w:rsid w:val="00841C22"/>
    <w:rsid w:val="00843C3D"/>
    <w:rsid w:val="00846D13"/>
    <w:rsid w:val="00851C28"/>
    <w:rsid w:val="008541E4"/>
    <w:rsid w:val="00860BE9"/>
    <w:rsid w:val="00861832"/>
    <w:rsid w:val="00863BC3"/>
    <w:rsid w:val="00866898"/>
    <w:rsid w:val="008669B7"/>
    <w:rsid w:val="00870129"/>
    <w:rsid w:val="008707FE"/>
    <w:rsid w:val="00871F28"/>
    <w:rsid w:val="00872608"/>
    <w:rsid w:val="008761FF"/>
    <w:rsid w:val="00880E92"/>
    <w:rsid w:val="008954BF"/>
    <w:rsid w:val="00896226"/>
    <w:rsid w:val="00896466"/>
    <w:rsid w:val="008A1D07"/>
    <w:rsid w:val="008A4431"/>
    <w:rsid w:val="008B026E"/>
    <w:rsid w:val="008B1AA5"/>
    <w:rsid w:val="008B41E0"/>
    <w:rsid w:val="008B4CF1"/>
    <w:rsid w:val="008B6574"/>
    <w:rsid w:val="008C07E5"/>
    <w:rsid w:val="008C13DE"/>
    <w:rsid w:val="008C69D5"/>
    <w:rsid w:val="008D2D41"/>
    <w:rsid w:val="008D2FC2"/>
    <w:rsid w:val="008D59CA"/>
    <w:rsid w:val="008D68B6"/>
    <w:rsid w:val="008D7A97"/>
    <w:rsid w:val="008E0496"/>
    <w:rsid w:val="008E1D0E"/>
    <w:rsid w:val="008E2C17"/>
    <w:rsid w:val="008E320A"/>
    <w:rsid w:val="008E7A92"/>
    <w:rsid w:val="008F5702"/>
    <w:rsid w:val="0090001F"/>
    <w:rsid w:val="00904173"/>
    <w:rsid w:val="009061CA"/>
    <w:rsid w:val="00906481"/>
    <w:rsid w:val="00906FB2"/>
    <w:rsid w:val="0090702B"/>
    <w:rsid w:val="0090710A"/>
    <w:rsid w:val="009140F6"/>
    <w:rsid w:val="009156A6"/>
    <w:rsid w:val="00915A96"/>
    <w:rsid w:val="00922054"/>
    <w:rsid w:val="009225F0"/>
    <w:rsid w:val="00925633"/>
    <w:rsid w:val="00930624"/>
    <w:rsid w:val="00932E80"/>
    <w:rsid w:val="009332B3"/>
    <w:rsid w:val="00935A03"/>
    <w:rsid w:val="00941703"/>
    <w:rsid w:val="009426E4"/>
    <w:rsid w:val="00945FBA"/>
    <w:rsid w:val="00946730"/>
    <w:rsid w:val="00950ACB"/>
    <w:rsid w:val="0095196E"/>
    <w:rsid w:val="00952665"/>
    <w:rsid w:val="00956519"/>
    <w:rsid w:val="009662E7"/>
    <w:rsid w:val="00966756"/>
    <w:rsid w:val="00966F79"/>
    <w:rsid w:val="00966F87"/>
    <w:rsid w:val="00967AF8"/>
    <w:rsid w:val="00970C88"/>
    <w:rsid w:val="00980E88"/>
    <w:rsid w:val="00985038"/>
    <w:rsid w:val="00986315"/>
    <w:rsid w:val="0099649B"/>
    <w:rsid w:val="009A4EAB"/>
    <w:rsid w:val="009A5D3E"/>
    <w:rsid w:val="009B2063"/>
    <w:rsid w:val="009B71A9"/>
    <w:rsid w:val="009B79B7"/>
    <w:rsid w:val="009C0C9C"/>
    <w:rsid w:val="009C63A9"/>
    <w:rsid w:val="009C63B6"/>
    <w:rsid w:val="009D1BE5"/>
    <w:rsid w:val="009D41FE"/>
    <w:rsid w:val="009E71AF"/>
    <w:rsid w:val="009F3C43"/>
    <w:rsid w:val="00A06750"/>
    <w:rsid w:val="00A06B72"/>
    <w:rsid w:val="00A139A9"/>
    <w:rsid w:val="00A213EE"/>
    <w:rsid w:val="00A21899"/>
    <w:rsid w:val="00A259F1"/>
    <w:rsid w:val="00A261A0"/>
    <w:rsid w:val="00A26250"/>
    <w:rsid w:val="00A279B7"/>
    <w:rsid w:val="00A27E85"/>
    <w:rsid w:val="00A375D4"/>
    <w:rsid w:val="00A37984"/>
    <w:rsid w:val="00A42690"/>
    <w:rsid w:val="00A44956"/>
    <w:rsid w:val="00A45981"/>
    <w:rsid w:val="00A4616D"/>
    <w:rsid w:val="00A5357C"/>
    <w:rsid w:val="00A55257"/>
    <w:rsid w:val="00A6045B"/>
    <w:rsid w:val="00A6326A"/>
    <w:rsid w:val="00A63D74"/>
    <w:rsid w:val="00A63EE8"/>
    <w:rsid w:val="00A66DD0"/>
    <w:rsid w:val="00A719D2"/>
    <w:rsid w:val="00A763EC"/>
    <w:rsid w:val="00A8767B"/>
    <w:rsid w:val="00A92B53"/>
    <w:rsid w:val="00A9436E"/>
    <w:rsid w:val="00A94C22"/>
    <w:rsid w:val="00AA0F80"/>
    <w:rsid w:val="00AA37AC"/>
    <w:rsid w:val="00AA45C6"/>
    <w:rsid w:val="00AA51E7"/>
    <w:rsid w:val="00AB4782"/>
    <w:rsid w:val="00AB7356"/>
    <w:rsid w:val="00AC271F"/>
    <w:rsid w:val="00AC635D"/>
    <w:rsid w:val="00AD1347"/>
    <w:rsid w:val="00AD1645"/>
    <w:rsid w:val="00AD16BF"/>
    <w:rsid w:val="00AD69FE"/>
    <w:rsid w:val="00AD7FAB"/>
    <w:rsid w:val="00AE11F6"/>
    <w:rsid w:val="00AE184D"/>
    <w:rsid w:val="00AE3176"/>
    <w:rsid w:val="00AE5991"/>
    <w:rsid w:val="00AF0E6A"/>
    <w:rsid w:val="00AF4095"/>
    <w:rsid w:val="00B00D32"/>
    <w:rsid w:val="00B01538"/>
    <w:rsid w:val="00B04E17"/>
    <w:rsid w:val="00B04EB0"/>
    <w:rsid w:val="00B05D4F"/>
    <w:rsid w:val="00B109DC"/>
    <w:rsid w:val="00B1501D"/>
    <w:rsid w:val="00B23047"/>
    <w:rsid w:val="00B261D9"/>
    <w:rsid w:val="00B33E33"/>
    <w:rsid w:val="00B376E6"/>
    <w:rsid w:val="00B404F4"/>
    <w:rsid w:val="00B45FCA"/>
    <w:rsid w:val="00B52B87"/>
    <w:rsid w:val="00B537CD"/>
    <w:rsid w:val="00B54C30"/>
    <w:rsid w:val="00B55459"/>
    <w:rsid w:val="00B57278"/>
    <w:rsid w:val="00B62AAF"/>
    <w:rsid w:val="00B6472A"/>
    <w:rsid w:val="00B64DBD"/>
    <w:rsid w:val="00B73421"/>
    <w:rsid w:val="00B73680"/>
    <w:rsid w:val="00B74531"/>
    <w:rsid w:val="00B769E0"/>
    <w:rsid w:val="00B777D9"/>
    <w:rsid w:val="00B821A0"/>
    <w:rsid w:val="00B92BF2"/>
    <w:rsid w:val="00BA2DB9"/>
    <w:rsid w:val="00BA3877"/>
    <w:rsid w:val="00BA5673"/>
    <w:rsid w:val="00BA5CF8"/>
    <w:rsid w:val="00BB0B44"/>
    <w:rsid w:val="00BB0D37"/>
    <w:rsid w:val="00BB3DB2"/>
    <w:rsid w:val="00BC0C7F"/>
    <w:rsid w:val="00BC3462"/>
    <w:rsid w:val="00BC35F6"/>
    <w:rsid w:val="00BC76EB"/>
    <w:rsid w:val="00BD09F1"/>
    <w:rsid w:val="00BD1FF8"/>
    <w:rsid w:val="00BD25AE"/>
    <w:rsid w:val="00BD7E9D"/>
    <w:rsid w:val="00BE56A0"/>
    <w:rsid w:val="00BE66F6"/>
    <w:rsid w:val="00BE7148"/>
    <w:rsid w:val="00BF15CA"/>
    <w:rsid w:val="00BF2FB3"/>
    <w:rsid w:val="00BF6AA2"/>
    <w:rsid w:val="00C01943"/>
    <w:rsid w:val="00C02A79"/>
    <w:rsid w:val="00C06E1B"/>
    <w:rsid w:val="00C06E47"/>
    <w:rsid w:val="00C21C68"/>
    <w:rsid w:val="00C24DFE"/>
    <w:rsid w:val="00C2733D"/>
    <w:rsid w:val="00C3204C"/>
    <w:rsid w:val="00C337B0"/>
    <w:rsid w:val="00C3470C"/>
    <w:rsid w:val="00C37944"/>
    <w:rsid w:val="00C37BA8"/>
    <w:rsid w:val="00C4511C"/>
    <w:rsid w:val="00C455A2"/>
    <w:rsid w:val="00C47DA7"/>
    <w:rsid w:val="00C559BF"/>
    <w:rsid w:val="00C61C08"/>
    <w:rsid w:val="00C6211C"/>
    <w:rsid w:val="00C66CFA"/>
    <w:rsid w:val="00C6794E"/>
    <w:rsid w:val="00C7238E"/>
    <w:rsid w:val="00C77B41"/>
    <w:rsid w:val="00C81023"/>
    <w:rsid w:val="00C85915"/>
    <w:rsid w:val="00C9172A"/>
    <w:rsid w:val="00C91BCC"/>
    <w:rsid w:val="00CA33B2"/>
    <w:rsid w:val="00CA3D78"/>
    <w:rsid w:val="00CA43C4"/>
    <w:rsid w:val="00CA6F15"/>
    <w:rsid w:val="00CB344C"/>
    <w:rsid w:val="00CB42CE"/>
    <w:rsid w:val="00CB6FA9"/>
    <w:rsid w:val="00CB6FC4"/>
    <w:rsid w:val="00CC22A4"/>
    <w:rsid w:val="00CC748C"/>
    <w:rsid w:val="00CC7EC4"/>
    <w:rsid w:val="00CD0DDB"/>
    <w:rsid w:val="00CE1802"/>
    <w:rsid w:val="00CE6C0C"/>
    <w:rsid w:val="00CF0527"/>
    <w:rsid w:val="00CF54AF"/>
    <w:rsid w:val="00CF5A4E"/>
    <w:rsid w:val="00CF7170"/>
    <w:rsid w:val="00D0020E"/>
    <w:rsid w:val="00D01D5D"/>
    <w:rsid w:val="00D030DF"/>
    <w:rsid w:val="00D105F7"/>
    <w:rsid w:val="00D10FA0"/>
    <w:rsid w:val="00D1706F"/>
    <w:rsid w:val="00D1775A"/>
    <w:rsid w:val="00D2075E"/>
    <w:rsid w:val="00D21283"/>
    <w:rsid w:val="00D21D83"/>
    <w:rsid w:val="00D231A4"/>
    <w:rsid w:val="00D243C5"/>
    <w:rsid w:val="00D24D3B"/>
    <w:rsid w:val="00D25508"/>
    <w:rsid w:val="00D3034A"/>
    <w:rsid w:val="00D3071D"/>
    <w:rsid w:val="00D31C51"/>
    <w:rsid w:val="00D355CD"/>
    <w:rsid w:val="00D367AA"/>
    <w:rsid w:val="00D37BD0"/>
    <w:rsid w:val="00D37C2C"/>
    <w:rsid w:val="00D43AC7"/>
    <w:rsid w:val="00D459E0"/>
    <w:rsid w:val="00D520A1"/>
    <w:rsid w:val="00D55760"/>
    <w:rsid w:val="00D56F78"/>
    <w:rsid w:val="00D61C4B"/>
    <w:rsid w:val="00D63033"/>
    <w:rsid w:val="00D708CA"/>
    <w:rsid w:val="00D72F4B"/>
    <w:rsid w:val="00D748FB"/>
    <w:rsid w:val="00D80CBB"/>
    <w:rsid w:val="00D849AE"/>
    <w:rsid w:val="00D85F27"/>
    <w:rsid w:val="00D923A4"/>
    <w:rsid w:val="00D92F93"/>
    <w:rsid w:val="00D95352"/>
    <w:rsid w:val="00D9664A"/>
    <w:rsid w:val="00DA1000"/>
    <w:rsid w:val="00DA3AC3"/>
    <w:rsid w:val="00DB0487"/>
    <w:rsid w:val="00DB568C"/>
    <w:rsid w:val="00DB6E7A"/>
    <w:rsid w:val="00DC765C"/>
    <w:rsid w:val="00DC7E54"/>
    <w:rsid w:val="00DD3BC1"/>
    <w:rsid w:val="00DD7C44"/>
    <w:rsid w:val="00DE0717"/>
    <w:rsid w:val="00DE3A1F"/>
    <w:rsid w:val="00DF3813"/>
    <w:rsid w:val="00DF4D56"/>
    <w:rsid w:val="00E01E71"/>
    <w:rsid w:val="00E027AF"/>
    <w:rsid w:val="00E046CE"/>
    <w:rsid w:val="00E10C70"/>
    <w:rsid w:val="00E125BA"/>
    <w:rsid w:val="00E15CFF"/>
    <w:rsid w:val="00E230ED"/>
    <w:rsid w:val="00E234D1"/>
    <w:rsid w:val="00E23C53"/>
    <w:rsid w:val="00E24549"/>
    <w:rsid w:val="00E302D9"/>
    <w:rsid w:val="00E30800"/>
    <w:rsid w:val="00E32139"/>
    <w:rsid w:val="00E346EE"/>
    <w:rsid w:val="00E34C74"/>
    <w:rsid w:val="00E44FD4"/>
    <w:rsid w:val="00E46FE9"/>
    <w:rsid w:val="00E504CE"/>
    <w:rsid w:val="00E56A19"/>
    <w:rsid w:val="00E62415"/>
    <w:rsid w:val="00E62FFD"/>
    <w:rsid w:val="00E6390F"/>
    <w:rsid w:val="00E642EA"/>
    <w:rsid w:val="00E660B5"/>
    <w:rsid w:val="00E708B1"/>
    <w:rsid w:val="00E709FE"/>
    <w:rsid w:val="00E72DC6"/>
    <w:rsid w:val="00E745BB"/>
    <w:rsid w:val="00E750AA"/>
    <w:rsid w:val="00E7675B"/>
    <w:rsid w:val="00E77A01"/>
    <w:rsid w:val="00E80508"/>
    <w:rsid w:val="00E8256B"/>
    <w:rsid w:val="00E87016"/>
    <w:rsid w:val="00E907A4"/>
    <w:rsid w:val="00E9738E"/>
    <w:rsid w:val="00EA16F9"/>
    <w:rsid w:val="00EA2C5A"/>
    <w:rsid w:val="00EA2DDC"/>
    <w:rsid w:val="00EA3666"/>
    <w:rsid w:val="00EA3F58"/>
    <w:rsid w:val="00EA677D"/>
    <w:rsid w:val="00EA6829"/>
    <w:rsid w:val="00EA76C2"/>
    <w:rsid w:val="00EB2AC1"/>
    <w:rsid w:val="00EB51BC"/>
    <w:rsid w:val="00EC0C59"/>
    <w:rsid w:val="00EC25F5"/>
    <w:rsid w:val="00EC47F6"/>
    <w:rsid w:val="00EC6B6A"/>
    <w:rsid w:val="00ED027F"/>
    <w:rsid w:val="00ED1D5E"/>
    <w:rsid w:val="00ED3A69"/>
    <w:rsid w:val="00ED6613"/>
    <w:rsid w:val="00ED6896"/>
    <w:rsid w:val="00ED68A2"/>
    <w:rsid w:val="00EE2764"/>
    <w:rsid w:val="00EE2F6B"/>
    <w:rsid w:val="00EE7E80"/>
    <w:rsid w:val="00EF4B85"/>
    <w:rsid w:val="00EF54F0"/>
    <w:rsid w:val="00EF6C1C"/>
    <w:rsid w:val="00F01952"/>
    <w:rsid w:val="00F0576D"/>
    <w:rsid w:val="00F108ED"/>
    <w:rsid w:val="00F12ACC"/>
    <w:rsid w:val="00F227A4"/>
    <w:rsid w:val="00F32100"/>
    <w:rsid w:val="00F321FD"/>
    <w:rsid w:val="00F328DA"/>
    <w:rsid w:val="00F35271"/>
    <w:rsid w:val="00F35580"/>
    <w:rsid w:val="00F36A22"/>
    <w:rsid w:val="00F36D7E"/>
    <w:rsid w:val="00F502A9"/>
    <w:rsid w:val="00F52853"/>
    <w:rsid w:val="00F61A88"/>
    <w:rsid w:val="00F65E82"/>
    <w:rsid w:val="00F66E63"/>
    <w:rsid w:val="00F676A2"/>
    <w:rsid w:val="00F67880"/>
    <w:rsid w:val="00F73705"/>
    <w:rsid w:val="00F73ED6"/>
    <w:rsid w:val="00F748A0"/>
    <w:rsid w:val="00F754A3"/>
    <w:rsid w:val="00F8059F"/>
    <w:rsid w:val="00F82A42"/>
    <w:rsid w:val="00F8672D"/>
    <w:rsid w:val="00F925B9"/>
    <w:rsid w:val="00FA43EA"/>
    <w:rsid w:val="00FA6F53"/>
    <w:rsid w:val="00FA6F66"/>
    <w:rsid w:val="00FA7196"/>
    <w:rsid w:val="00FB030F"/>
    <w:rsid w:val="00FC25E1"/>
    <w:rsid w:val="00FC41AD"/>
    <w:rsid w:val="00FC56EC"/>
    <w:rsid w:val="00FC6858"/>
    <w:rsid w:val="00FD1FC6"/>
    <w:rsid w:val="00FD2F20"/>
    <w:rsid w:val="00FD368E"/>
    <w:rsid w:val="00FD4A79"/>
    <w:rsid w:val="00FD6A87"/>
    <w:rsid w:val="00FD6BF4"/>
    <w:rsid w:val="00FD7A80"/>
    <w:rsid w:val="00FE5C69"/>
    <w:rsid w:val="00FF20B0"/>
    <w:rsid w:val="00FF232D"/>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107AD7-75FD-4382-B651-BBEC3A29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hortT">
    <w:name w:val="ShortT"/>
    <w:basedOn w:val="Normal"/>
    <w:next w:val="Normal"/>
    <w:qFormat/>
    <w:rsid w:val="00D0020E"/>
    <w:pPr>
      <w:spacing w:before="0"/>
    </w:pPr>
    <w:rPr>
      <w:b/>
      <w:sz w:val="40"/>
    </w:rPr>
  </w:style>
  <w:style w:type="paragraph" w:customStyle="1" w:styleId="notepara">
    <w:name w:val="note(para)"/>
    <w:aliases w:val="na"/>
    <w:basedOn w:val="Normal"/>
    <w:rsid w:val="00D95352"/>
    <w:pPr>
      <w:spacing w:before="40" w:line="198" w:lineRule="exact"/>
      <w:ind w:left="2354" w:hanging="369"/>
    </w:pPr>
    <w:rPr>
      <w:sz w:val="18"/>
    </w:rPr>
  </w:style>
  <w:style w:type="paragraph" w:customStyle="1" w:styleId="subsection">
    <w:name w:val="subsection"/>
    <w:aliases w:val="ss"/>
    <w:basedOn w:val="Normal"/>
    <w:link w:val="subsectionChar"/>
    <w:rsid w:val="00CB6FC4"/>
    <w:pPr>
      <w:tabs>
        <w:tab w:val="right" w:pos="1021"/>
      </w:tabs>
      <w:spacing w:before="180"/>
      <w:ind w:left="1134" w:hanging="1134"/>
    </w:pPr>
    <w:rPr>
      <w:sz w:val="22"/>
    </w:rPr>
  </w:style>
  <w:style w:type="paragraph" w:customStyle="1" w:styleId="paragraphsub">
    <w:name w:val="paragraph(sub)"/>
    <w:aliases w:val="aa"/>
    <w:basedOn w:val="Normal"/>
    <w:rsid w:val="00CB6FC4"/>
    <w:pPr>
      <w:tabs>
        <w:tab w:val="right" w:pos="1985"/>
      </w:tabs>
      <w:spacing w:before="40"/>
      <w:ind w:left="2098" w:hanging="2098"/>
    </w:pPr>
    <w:rPr>
      <w:sz w:val="22"/>
    </w:rPr>
  </w:style>
  <w:style w:type="character" w:customStyle="1" w:styleId="subsectionChar">
    <w:name w:val="subsection Char"/>
    <w:aliases w:val="ss Char"/>
    <w:link w:val="subsection"/>
    <w:locked/>
    <w:rsid w:val="00CB6FC4"/>
    <w:rPr>
      <w:rFonts w:ascii="Times New Roman" w:eastAsia="Times New Roman" w:hAnsi="Times New Roman" w:cs="Times New Roman"/>
      <w:szCs w:val="20"/>
      <w:lang w:eastAsia="en-AU"/>
    </w:rPr>
  </w:style>
  <w:style w:type="paragraph" w:customStyle="1" w:styleId="ActHead3">
    <w:name w:val="ActHead 3"/>
    <w:aliases w:val="d"/>
    <w:basedOn w:val="Normal"/>
    <w:next w:val="ActHead4"/>
    <w:qFormat/>
    <w:rsid w:val="00321356"/>
    <w:pPr>
      <w:keepNext/>
      <w:keepLines/>
      <w:ind w:left="1134" w:hanging="1134"/>
      <w:outlineLvl w:val="2"/>
    </w:pPr>
    <w:rPr>
      <w:b/>
      <w:kern w:val="28"/>
      <w:sz w:val="28"/>
    </w:rPr>
  </w:style>
  <w:style w:type="paragraph" w:customStyle="1" w:styleId="ActHead4">
    <w:name w:val="ActHead 4"/>
    <w:aliases w:val="sd"/>
    <w:basedOn w:val="Normal"/>
    <w:next w:val="ActHead5"/>
    <w:qFormat/>
    <w:rsid w:val="00321356"/>
    <w:pPr>
      <w:keepNext/>
      <w:keepLines/>
      <w:spacing w:before="220"/>
      <w:ind w:left="1134" w:hanging="1134"/>
      <w:outlineLvl w:val="3"/>
    </w:pPr>
    <w:rPr>
      <w:b/>
      <w:kern w:val="28"/>
      <w:sz w:val="26"/>
    </w:rPr>
  </w:style>
  <w:style w:type="paragraph" w:customStyle="1" w:styleId="ActHead5">
    <w:name w:val="ActHead 5"/>
    <w:aliases w:val="s"/>
    <w:basedOn w:val="Normal"/>
    <w:next w:val="subsection"/>
    <w:qFormat/>
    <w:rsid w:val="00321356"/>
    <w:pPr>
      <w:keepNext/>
      <w:keepLines/>
      <w:spacing w:before="280"/>
      <w:ind w:left="1134" w:hanging="1134"/>
      <w:outlineLvl w:val="4"/>
    </w:pPr>
    <w:rPr>
      <w:b/>
      <w:kern w:val="28"/>
    </w:rPr>
  </w:style>
  <w:style w:type="character" w:customStyle="1" w:styleId="CharDivNo">
    <w:name w:val="CharDivNo"/>
    <w:basedOn w:val="DefaultParagraphFont"/>
    <w:qFormat/>
    <w:rsid w:val="00321356"/>
  </w:style>
  <w:style w:type="character" w:customStyle="1" w:styleId="CharDivText">
    <w:name w:val="CharDivText"/>
    <w:basedOn w:val="DefaultParagraphFont"/>
    <w:qFormat/>
    <w:rsid w:val="00321356"/>
  </w:style>
  <w:style w:type="character" w:customStyle="1" w:styleId="CharSectno">
    <w:name w:val="CharSectno"/>
    <w:basedOn w:val="DefaultParagraphFont"/>
    <w:qFormat/>
    <w:rsid w:val="00321356"/>
  </w:style>
  <w:style w:type="character" w:customStyle="1" w:styleId="CharSubdNo">
    <w:name w:val="CharSubdNo"/>
    <w:basedOn w:val="DefaultParagraphFont"/>
    <w:uiPriority w:val="1"/>
    <w:qFormat/>
    <w:rsid w:val="00321356"/>
  </w:style>
  <w:style w:type="character" w:customStyle="1" w:styleId="CharSubdText">
    <w:name w:val="CharSubdText"/>
    <w:basedOn w:val="DefaultParagraphFont"/>
    <w:uiPriority w:val="1"/>
    <w:qFormat/>
    <w:rsid w:val="00321356"/>
  </w:style>
  <w:style w:type="paragraph" w:customStyle="1" w:styleId="notetext">
    <w:name w:val="note(text)"/>
    <w:aliases w:val="n"/>
    <w:basedOn w:val="Normal"/>
    <w:link w:val="notetextChar"/>
    <w:rsid w:val="00D1775A"/>
    <w:pPr>
      <w:spacing w:before="122"/>
      <w:ind w:left="1985" w:hanging="851"/>
    </w:pPr>
    <w:rPr>
      <w:sz w:val="18"/>
    </w:rPr>
  </w:style>
  <w:style w:type="character" w:customStyle="1" w:styleId="notetextChar">
    <w:name w:val="note(text) Char"/>
    <w:aliases w:val="n Char"/>
    <w:link w:val="notetext"/>
    <w:rsid w:val="00D1775A"/>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E302D9"/>
    <w:pPr>
      <w:spacing w:before="40"/>
      <w:ind w:left="1134"/>
    </w:pPr>
    <w:rPr>
      <w:sz w:val="22"/>
    </w:rPr>
  </w:style>
  <w:style w:type="paragraph" w:customStyle="1" w:styleId="SubsectionHead">
    <w:name w:val="SubsectionHead"/>
    <w:aliases w:val="ssh"/>
    <w:basedOn w:val="Normal"/>
    <w:next w:val="subsection"/>
    <w:rsid w:val="00F36A22"/>
    <w:pPr>
      <w:keepNext/>
      <w:keepLines/>
      <w:ind w:left="1134"/>
    </w:pPr>
    <w:rPr>
      <w:i/>
      <w:sz w:val="22"/>
    </w:rPr>
  </w:style>
  <w:style w:type="paragraph" w:customStyle="1" w:styleId="notedraft">
    <w:name w:val="note(draft)"/>
    <w:aliases w:val="nd"/>
    <w:basedOn w:val="Normal"/>
    <w:rsid w:val="000A0CC1"/>
    <w:pPr>
      <w:ind w:left="284" w:hanging="284"/>
    </w:pPr>
    <w:rPr>
      <w:i/>
    </w:rPr>
  </w:style>
  <w:style w:type="paragraph" w:styleId="Revision">
    <w:name w:val="Revision"/>
    <w:hidden/>
    <w:uiPriority w:val="99"/>
    <w:semiHidden/>
    <w:rsid w:val="00A261A0"/>
    <w:pPr>
      <w:spacing w:after="0" w:line="240" w:lineRule="auto"/>
    </w:pPr>
    <w:rPr>
      <w:rFonts w:ascii="Times New Roman" w:eastAsia="Times New Roman" w:hAnsi="Times New Roman" w:cs="Times New Roman"/>
      <w:sz w:val="24"/>
      <w:szCs w:val="20"/>
      <w:lang w:eastAsia="en-AU"/>
    </w:rPr>
  </w:style>
  <w:style w:type="paragraph" w:customStyle="1" w:styleId="Tabletext">
    <w:name w:val="Tabletext"/>
    <w:aliases w:val="tt"/>
    <w:basedOn w:val="Normal"/>
    <w:rsid w:val="00E62FFD"/>
    <w:pPr>
      <w:spacing w:before="60" w:line="240" w:lineRule="atLeast"/>
    </w:pPr>
    <w:rPr>
      <w:sz w:val="20"/>
    </w:rPr>
  </w:style>
  <w:style w:type="paragraph" w:customStyle="1" w:styleId="TableHeading">
    <w:name w:val="TableHeading"/>
    <w:aliases w:val="th"/>
    <w:basedOn w:val="Normal"/>
    <w:next w:val="Tabletext"/>
    <w:rsid w:val="00E62FFD"/>
    <w:pPr>
      <w:keepNext/>
      <w:spacing w:before="60" w:line="240" w:lineRule="atLeas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8262">
      <w:bodyDiv w:val="1"/>
      <w:marLeft w:val="0"/>
      <w:marRight w:val="0"/>
      <w:marTop w:val="0"/>
      <w:marBottom w:val="0"/>
      <w:divBdr>
        <w:top w:val="none" w:sz="0" w:space="0" w:color="auto"/>
        <w:left w:val="none" w:sz="0" w:space="0" w:color="auto"/>
        <w:bottom w:val="none" w:sz="0" w:space="0" w:color="auto"/>
        <w:right w:val="none" w:sz="0" w:space="0" w:color="auto"/>
      </w:divBdr>
      <w:divsChild>
        <w:div w:id="2033606276">
          <w:marLeft w:val="0"/>
          <w:marRight w:val="0"/>
          <w:marTop w:val="0"/>
          <w:marBottom w:val="0"/>
          <w:divBdr>
            <w:top w:val="none" w:sz="0" w:space="0" w:color="auto"/>
            <w:left w:val="none" w:sz="0" w:space="0" w:color="auto"/>
            <w:bottom w:val="none" w:sz="0" w:space="0" w:color="auto"/>
            <w:right w:val="none" w:sz="0" w:space="0" w:color="auto"/>
          </w:divBdr>
          <w:divsChild>
            <w:div w:id="1990206847">
              <w:marLeft w:val="0"/>
              <w:marRight w:val="0"/>
              <w:marTop w:val="0"/>
              <w:marBottom w:val="0"/>
              <w:divBdr>
                <w:top w:val="none" w:sz="0" w:space="0" w:color="auto"/>
                <w:left w:val="none" w:sz="0" w:space="0" w:color="auto"/>
                <w:bottom w:val="none" w:sz="0" w:space="0" w:color="auto"/>
                <w:right w:val="none" w:sz="0" w:space="0" w:color="auto"/>
              </w:divBdr>
              <w:divsChild>
                <w:div w:id="436680938">
                  <w:marLeft w:val="0"/>
                  <w:marRight w:val="0"/>
                  <w:marTop w:val="0"/>
                  <w:marBottom w:val="0"/>
                  <w:divBdr>
                    <w:top w:val="none" w:sz="0" w:space="0" w:color="auto"/>
                    <w:left w:val="none" w:sz="0" w:space="0" w:color="auto"/>
                    <w:bottom w:val="none" w:sz="0" w:space="0" w:color="auto"/>
                    <w:right w:val="none" w:sz="0" w:space="0" w:color="auto"/>
                  </w:divBdr>
                  <w:divsChild>
                    <w:div w:id="585118337">
                      <w:marLeft w:val="0"/>
                      <w:marRight w:val="0"/>
                      <w:marTop w:val="0"/>
                      <w:marBottom w:val="0"/>
                      <w:divBdr>
                        <w:top w:val="none" w:sz="0" w:space="0" w:color="auto"/>
                        <w:left w:val="none" w:sz="0" w:space="0" w:color="auto"/>
                        <w:bottom w:val="none" w:sz="0" w:space="0" w:color="auto"/>
                        <w:right w:val="none" w:sz="0" w:space="0" w:color="auto"/>
                      </w:divBdr>
                      <w:divsChild>
                        <w:div w:id="1248658186">
                          <w:marLeft w:val="0"/>
                          <w:marRight w:val="0"/>
                          <w:marTop w:val="0"/>
                          <w:marBottom w:val="0"/>
                          <w:divBdr>
                            <w:top w:val="none" w:sz="0" w:space="0" w:color="auto"/>
                            <w:left w:val="none" w:sz="0" w:space="0" w:color="auto"/>
                            <w:bottom w:val="none" w:sz="0" w:space="0" w:color="auto"/>
                            <w:right w:val="none" w:sz="0" w:space="0" w:color="auto"/>
                          </w:divBdr>
                          <w:divsChild>
                            <w:div w:id="731543475">
                              <w:marLeft w:val="0"/>
                              <w:marRight w:val="0"/>
                              <w:marTop w:val="0"/>
                              <w:marBottom w:val="0"/>
                              <w:divBdr>
                                <w:top w:val="none" w:sz="0" w:space="0" w:color="auto"/>
                                <w:left w:val="none" w:sz="0" w:space="0" w:color="auto"/>
                                <w:bottom w:val="none" w:sz="0" w:space="0" w:color="auto"/>
                                <w:right w:val="none" w:sz="0" w:space="0" w:color="auto"/>
                              </w:divBdr>
                              <w:divsChild>
                                <w:div w:id="626668715">
                                  <w:marLeft w:val="0"/>
                                  <w:marRight w:val="0"/>
                                  <w:marTop w:val="0"/>
                                  <w:marBottom w:val="0"/>
                                  <w:divBdr>
                                    <w:top w:val="none" w:sz="0" w:space="0" w:color="auto"/>
                                    <w:left w:val="none" w:sz="0" w:space="0" w:color="auto"/>
                                    <w:bottom w:val="none" w:sz="0" w:space="0" w:color="auto"/>
                                    <w:right w:val="none" w:sz="0" w:space="0" w:color="auto"/>
                                  </w:divBdr>
                                  <w:divsChild>
                                    <w:div w:id="1946182784">
                                      <w:marLeft w:val="0"/>
                                      <w:marRight w:val="0"/>
                                      <w:marTop w:val="0"/>
                                      <w:marBottom w:val="0"/>
                                      <w:divBdr>
                                        <w:top w:val="none" w:sz="0" w:space="0" w:color="auto"/>
                                        <w:left w:val="none" w:sz="0" w:space="0" w:color="auto"/>
                                        <w:bottom w:val="none" w:sz="0" w:space="0" w:color="auto"/>
                                        <w:right w:val="none" w:sz="0" w:space="0" w:color="auto"/>
                                      </w:divBdr>
                                      <w:divsChild>
                                        <w:div w:id="833911860">
                                          <w:marLeft w:val="0"/>
                                          <w:marRight w:val="0"/>
                                          <w:marTop w:val="0"/>
                                          <w:marBottom w:val="0"/>
                                          <w:divBdr>
                                            <w:top w:val="none" w:sz="0" w:space="0" w:color="auto"/>
                                            <w:left w:val="none" w:sz="0" w:space="0" w:color="auto"/>
                                            <w:bottom w:val="none" w:sz="0" w:space="0" w:color="auto"/>
                                            <w:right w:val="none" w:sz="0" w:space="0" w:color="auto"/>
                                          </w:divBdr>
                                          <w:divsChild>
                                            <w:div w:id="1116948026">
                                              <w:marLeft w:val="0"/>
                                              <w:marRight w:val="0"/>
                                              <w:marTop w:val="0"/>
                                              <w:marBottom w:val="0"/>
                                              <w:divBdr>
                                                <w:top w:val="none" w:sz="0" w:space="0" w:color="auto"/>
                                                <w:left w:val="none" w:sz="0" w:space="0" w:color="auto"/>
                                                <w:bottom w:val="none" w:sz="0" w:space="0" w:color="auto"/>
                                                <w:right w:val="none" w:sz="0" w:space="0" w:color="auto"/>
                                              </w:divBdr>
                                              <w:divsChild>
                                                <w:div w:id="435951886">
                                                  <w:marLeft w:val="0"/>
                                                  <w:marRight w:val="0"/>
                                                  <w:marTop w:val="0"/>
                                                  <w:marBottom w:val="0"/>
                                                  <w:divBdr>
                                                    <w:top w:val="none" w:sz="0" w:space="0" w:color="auto"/>
                                                    <w:left w:val="none" w:sz="0" w:space="0" w:color="auto"/>
                                                    <w:bottom w:val="none" w:sz="0" w:space="0" w:color="auto"/>
                                                    <w:right w:val="none" w:sz="0" w:space="0" w:color="auto"/>
                                                  </w:divBdr>
                                                  <w:divsChild>
                                                    <w:div w:id="363021901">
                                                      <w:marLeft w:val="0"/>
                                                      <w:marRight w:val="0"/>
                                                      <w:marTop w:val="0"/>
                                                      <w:marBottom w:val="0"/>
                                                      <w:divBdr>
                                                        <w:top w:val="none" w:sz="0" w:space="0" w:color="auto"/>
                                                        <w:left w:val="none" w:sz="0" w:space="0" w:color="auto"/>
                                                        <w:bottom w:val="none" w:sz="0" w:space="0" w:color="auto"/>
                                                        <w:right w:val="none" w:sz="0" w:space="0" w:color="auto"/>
                                                      </w:divBdr>
                                                      <w:divsChild>
                                                        <w:div w:id="2520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6418">
      <w:bodyDiv w:val="1"/>
      <w:marLeft w:val="0"/>
      <w:marRight w:val="0"/>
      <w:marTop w:val="0"/>
      <w:marBottom w:val="0"/>
      <w:divBdr>
        <w:top w:val="none" w:sz="0" w:space="0" w:color="auto"/>
        <w:left w:val="none" w:sz="0" w:space="0" w:color="auto"/>
        <w:bottom w:val="none" w:sz="0" w:space="0" w:color="auto"/>
        <w:right w:val="none" w:sz="0" w:space="0" w:color="auto"/>
      </w:divBdr>
    </w:div>
    <w:div w:id="430780209">
      <w:bodyDiv w:val="1"/>
      <w:marLeft w:val="0"/>
      <w:marRight w:val="0"/>
      <w:marTop w:val="0"/>
      <w:marBottom w:val="0"/>
      <w:divBdr>
        <w:top w:val="none" w:sz="0" w:space="0" w:color="auto"/>
        <w:left w:val="none" w:sz="0" w:space="0" w:color="auto"/>
        <w:bottom w:val="none" w:sz="0" w:space="0" w:color="auto"/>
        <w:right w:val="none" w:sz="0" w:space="0" w:color="auto"/>
      </w:divBdr>
    </w:div>
    <w:div w:id="462233107">
      <w:bodyDiv w:val="1"/>
      <w:marLeft w:val="0"/>
      <w:marRight w:val="0"/>
      <w:marTop w:val="0"/>
      <w:marBottom w:val="0"/>
      <w:divBdr>
        <w:top w:val="none" w:sz="0" w:space="0" w:color="auto"/>
        <w:left w:val="none" w:sz="0" w:space="0" w:color="auto"/>
        <w:bottom w:val="none" w:sz="0" w:space="0" w:color="auto"/>
        <w:right w:val="none" w:sz="0" w:space="0" w:color="auto"/>
      </w:divBdr>
    </w:div>
    <w:div w:id="679697930">
      <w:bodyDiv w:val="1"/>
      <w:marLeft w:val="0"/>
      <w:marRight w:val="0"/>
      <w:marTop w:val="0"/>
      <w:marBottom w:val="0"/>
      <w:divBdr>
        <w:top w:val="none" w:sz="0" w:space="0" w:color="auto"/>
        <w:left w:val="none" w:sz="0" w:space="0" w:color="auto"/>
        <w:bottom w:val="none" w:sz="0" w:space="0" w:color="auto"/>
        <w:right w:val="none" w:sz="0" w:space="0" w:color="auto"/>
      </w:divBdr>
    </w:div>
    <w:div w:id="1083338287">
      <w:bodyDiv w:val="1"/>
      <w:marLeft w:val="0"/>
      <w:marRight w:val="0"/>
      <w:marTop w:val="0"/>
      <w:marBottom w:val="0"/>
      <w:divBdr>
        <w:top w:val="none" w:sz="0" w:space="0" w:color="auto"/>
        <w:left w:val="none" w:sz="0" w:space="0" w:color="auto"/>
        <w:bottom w:val="none" w:sz="0" w:space="0" w:color="auto"/>
        <w:right w:val="none" w:sz="0" w:space="0" w:color="auto"/>
      </w:divBdr>
    </w:div>
    <w:div w:id="1097403106">
      <w:bodyDiv w:val="1"/>
      <w:marLeft w:val="0"/>
      <w:marRight w:val="0"/>
      <w:marTop w:val="0"/>
      <w:marBottom w:val="0"/>
      <w:divBdr>
        <w:top w:val="none" w:sz="0" w:space="0" w:color="auto"/>
        <w:left w:val="none" w:sz="0" w:space="0" w:color="auto"/>
        <w:bottom w:val="none" w:sz="0" w:space="0" w:color="auto"/>
        <w:right w:val="none" w:sz="0" w:space="0" w:color="auto"/>
      </w:divBdr>
    </w:div>
    <w:div w:id="1121916376">
      <w:bodyDiv w:val="1"/>
      <w:marLeft w:val="0"/>
      <w:marRight w:val="0"/>
      <w:marTop w:val="0"/>
      <w:marBottom w:val="0"/>
      <w:divBdr>
        <w:top w:val="none" w:sz="0" w:space="0" w:color="auto"/>
        <w:left w:val="none" w:sz="0" w:space="0" w:color="auto"/>
        <w:bottom w:val="none" w:sz="0" w:space="0" w:color="auto"/>
        <w:right w:val="none" w:sz="0" w:space="0" w:color="auto"/>
      </w:divBdr>
    </w:div>
    <w:div w:id="1375496809">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56862699">
      <w:bodyDiv w:val="1"/>
      <w:marLeft w:val="0"/>
      <w:marRight w:val="0"/>
      <w:marTop w:val="0"/>
      <w:marBottom w:val="0"/>
      <w:divBdr>
        <w:top w:val="none" w:sz="0" w:space="0" w:color="auto"/>
        <w:left w:val="none" w:sz="0" w:space="0" w:color="auto"/>
        <w:bottom w:val="none" w:sz="0" w:space="0" w:color="auto"/>
        <w:right w:val="none" w:sz="0" w:space="0" w:color="auto"/>
      </w:divBdr>
    </w:div>
    <w:div w:id="20261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033F-8D8E-4A5F-B470-6551B1F2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FINNEY, Kate</cp:lastModifiedBy>
  <cp:revision>2</cp:revision>
  <cp:lastPrinted>2018-06-28T05:52:00Z</cp:lastPrinted>
  <dcterms:created xsi:type="dcterms:W3CDTF">2018-06-28T06:10:00Z</dcterms:created>
  <dcterms:modified xsi:type="dcterms:W3CDTF">2018-06-28T06:10:00Z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29160359</vt:lpwstr>
  </property>
  <property fmtid="{D5CDD505-2E9C-101B-9397-08002B2CF9AE}" pid="6" name="Template Filename">
    <vt:lpwstr/>
  </property>
</Properties>
</file>