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12C86" w:rsidRDefault="00193461" w:rsidP="0020300C">
      <w:pPr>
        <w:rPr>
          <w:sz w:val="28"/>
        </w:rPr>
      </w:pPr>
      <w:r w:rsidRPr="00312C86">
        <w:rPr>
          <w:noProof/>
          <w:lang w:eastAsia="en-AU"/>
        </w:rPr>
        <w:drawing>
          <wp:inline distT="0" distB="0" distL="0" distR="0" wp14:anchorId="5150721B" wp14:editId="1636541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12C86" w:rsidRDefault="0048364F" w:rsidP="0048364F">
      <w:pPr>
        <w:rPr>
          <w:sz w:val="19"/>
        </w:rPr>
      </w:pPr>
    </w:p>
    <w:p w:rsidR="0048364F" w:rsidRPr="00312C86" w:rsidRDefault="00BA06BD" w:rsidP="0048364F">
      <w:pPr>
        <w:pStyle w:val="ShortT"/>
      </w:pPr>
      <w:r w:rsidRPr="00312C86">
        <w:t>Treasury Laws Amendment (ASIC Fee</w:t>
      </w:r>
      <w:r w:rsidR="009B3961" w:rsidRPr="00312C86">
        <w:t>s</w:t>
      </w:r>
      <w:r w:rsidRPr="00312C86">
        <w:t>) Regulations</w:t>
      </w:r>
      <w:r w:rsidR="00312C86" w:rsidRPr="00312C86">
        <w:t> </w:t>
      </w:r>
      <w:r w:rsidRPr="00312C86">
        <w:t>2018</w:t>
      </w:r>
    </w:p>
    <w:p w:rsidR="004F11E3" w:rsidRPr="00312C86" w:rsidRDefault="004F11E3" w:rsidP="00DC6265">
      <w:pPr>
        <w:pStyle w:val="SignCoverPageStart"/>
        <w:spacing w:before="240"/>
        <w:rPr>
          <w:szCs w:val="22"/>
        </w:rPr>
      </w:pPr>
      <w:r w:rsidRPr="00312C86">
        <w:rPr>
          <w:szCs w:val="22"/>
        </w:rPr>
        <w:t xml:space="preserve">I, </w:t>
      </w:r>
      <w:r w:rsidR="001239D7" w:rsidRPr="00312C86">
        <w:rPr>
          <w:szCs w:val="22"/>
        </w:rPr>
        <w:t>the Honourable Paul de Jersey AC QC, Administrator of the Commonwealth of Australia, acting with the advice of the Federal Executive Council, make the following regulations.</w:t>
      </w:r>
    </w:p>
    <w:p w:rsidR="004F11E3" w:rsidRPr="00312C86" w:rsidRDefault="004F11E3" w:rsidP="00DC6265">
      <w:pPr>
        <w:keepNext/>
        <w:spacing w:before="720" w:line="240" w:lineRule="atLeast"/>
        <w:ind w:right="397"/>
        <w:jc w:val="both"/>
        <w:rPr>
          <w:szCs w:val="22"/>
        </w:rPr>
      </w:pPr>
      <w:r w:rsidRPr="00312C86">
        <w:rPr>
          <w:szCs w:val="22"/>
        </w:rPr>
        <w:t xml:space="preserve">Dated </w:t>
      </w:r>
      <w:r w:rsidRPr="00312C86">
        <w:rPr>
          <w:szCs w:val="22"/>
        </w:rPr>
        <w:fldChar w:fldCharType="begin"/>
      </w:r>
      <w:r w:rsidRPr="00312C86">
        <w:rPr>
          <w:szCs w:val="22"/>
        </w:rPr>
        <w:instrText xml:space="preserve"> DOCPROPERTY  DateMade </w:instrText>
      </w:r>
      <w:r w:rsidRPr="00312C86">
        <w:rPr>
          <w:szCs w:val="22"/>
        </w:rPr>
        <w:fldChar w:fldCharType="separate"/>
      </w:r>
      <w:r w:rsidR="00254FB9">
        <w:rPr>
          <w:szCs w:val="22"/>
        </w:rPr>
        <w:t>29 June 2018</w:t>
      </w:r>
      <w:r w:rsidRPr="00312C86">
        <w:rPr>
          <w:szCs w:val="22"/>
        </w:rPr>
        <w:fldChar w:fldCharType="end"/>
      </w:r>
    </w:p>
    <w:p w:rsidR="004F11E3" w:rsidRPr="00312C86" w:rsidRDefault="004F11E3" w:rsidP="00DC626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12C86">
        <w:rPr>
          <w:szCs w:val="22"/>
        </w:rPr>
        <w:t>P</w:t>
      </w:r>
      <w:r w:rsidR="001239D7" w:rsidRPr="00312C86">
        <w:rPr>
          <w:szCs w:val="22"/>
        </w:rPr>
        <w:t>aul de Jersey</w:t>
      </w:r>
    </w:p>
    <w:p w:rsidR="004F11E3" w:rsidRPr="00312C86" w:rsidRDefault="001239D7" w:rsidP="00DC626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12C86">
        <w:rPr>
          <w:szCs w:val="22"/>
        </w:rPr>
        <w:t>Administrator</w:t>
      </w:r>
    </w:p>
    <w:p w:rsidR="004F11E3" w:rsidRPr="00312C86" w:rsidRDefault="004F11E3" w:rsidP="00DC626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12C86">
        <w:rPr>
          <w:szCs w:val="22"/>
        </w:rPr>
        <w:t>By His Excellency</w:t>
      </w:r>
      <w:r w:rsidR="003502F3" w:rsidRPr="00312C86">
        <w:rPr>
          <w:szCs w:val="22"/>
        </w:rPr>
        <w:t>’</w:t>
      </w:r>
      <w:r w:rsidRPr="00312C86">
        <w:rPr>
          <w:szCs w:val="22"/>
        </w:rPr>
        <w:t>s Command</w:t>
      </w:r>
    </w:p>
    <w:p w:rsidR="004F11E3" w:rsidRPr="00312C86" w:rsidRDefault="004F11E3" w:rsidP="00DC626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12C86">
        <w:rPr>
          <w:szCs w:val="22"/>
        </w:rPr>
        <w:t>Kelly O</w:t>
      </w:r>
      <w:r w:rsidR="003502F3" w:rsidRPr="00312C86">
        <w:rPr>
          <w:szCs w:val="22"/>
        </w:rPr>
        <w:t>’</w:t>
      </w:r>
      <w:r w:rsidRPr="00312C86">
        <w:rPr>
          <w:szCs w:val="22"/>
        </w:rPr>
        <w:t>Dwyer</w:t>
      </w:r>
      <w:r w:rsidR="0043650E" w:rsidRPr="00312C86">
        <w:rPr>
          <w:szCs w:val="22"/>
        </w:rPr>
        <w:t xml:space="preserve"> </w:t>
      </w:r>
    </w:p>
    <w:p w:rsidR="004F11E3" w:rsidRPr="00312C86" w:rsidRDefault="004F11E3" w:rsidP="00DC6265">
      <w:pPr>
        <w:pStyle w:val="SignCoverPageEnd"/>
        <w:rPr>
          <w:szCs w:val="22"/>
        </w:rPr>
      </w:pPr>
      <w:r w:rsidRPr="00312C86">
        <w:rPr>
          <w:szCs w:val="22"/>
        </w:rPr>
        <w:t>Minister for Revenue and Financial Services</w:t>
      </w:r>
    </w:p>
    <w:p w:rsidR="004F11E3" w:rsidRPr="00312C86" w:rsidRDefault="004F11E3" w:rsidP="00DC6265"/>
    <w:p w:rsidR="004F11E3" w:rsidRPr="00312C86" w:rsidRDefault="004F11E3" w:rsidP="00DC6265"/>
    <w:p w:rsidR="004F11E3" w:rsidRPr="00312C86" w:rsidRDefault="004F11E3" w:rsidP="00DC6265"/>
    <w:p w:rsidR="004F11E3" w:rsidRPr="00312C86" w:rsidRDefault="004F11E3" w:rsidP="004F11E3"/>
    <w:p w:rsidR="0048364F" w:rsidRPr="00312C86" w:rsidRDefault="0048364F" w:rsidP="0048364F">
      <w:pPr>
        <w:pStyle w:val="Header"/>
        <w:tabs>
          <w:tab w:val="clear" w:pos="4150"/>
          <w:tab w:val="clear" w:pos="8307"/>
        </w:tabs>
      </w:pPr>
      <w:r w:rsidRPr="00312C86">
        <w:rPr>
          <w:rStyle w:val="CharAmSchNo"/>
        </w:rPr>
        <w:t xml:space="preserve"> </w:t>
      </w:r>
      <w:r w:rsidRPr="00312C86">
        <w:rPr>
          <w:rStyle w:val="CharAmSchText"/>
        </w:rPr>
        <w:t xml:space="preserve"> </w:t>
      </w:r>
    </w:p>
    <w:p w:rsidR="0048364F" w:rsidRPr="00312C86" w:rsidRDefault="0048364F" w:rsidP="0048364F">
      <w:pPr>
        <w:pStyle w:val="Header"/>
        <w:tabs>
          <w:tab w:val="clear" w:pos="4150"/>
          <w:tab w:val="clear" w:pos="8307"/>
        </w:tabs>
      </w:pPr>
      <w:r w:rsidRPr="00312C86">
        <w:rPr>
          <w:rStyle w:val="CharAmPartNo"/>
        </w:rPr>
        <w:t xml:space="preserve"> </w:t>
      </w:r>
      <w:r w:rsidRPr="00312C86">
        <w:rPr>
          <w:rStyle w:val="CharAmPartText"/>
        </w:rPr>
        <w:t xml:space="preserve"> </w:t>
      </w:r>
    </w:p>
    <w:p w:rsidR="0048364F" w:rsidRPr="00312C86" w:rsidRDefault="0048364F" w:rsidP="0048364F">
      <w:pPr>
        <w:sectPr w:rsidR="0048364F" w:rsidRPr="00312C86" w:rsidSect="009618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12C86" w:rsidRDefault="0048364F" w:rsidP="005D6DAE">
      <w:pPr>
        <w:rPr>
          <w:sz w:val="36"/>
        </w:rPr>
      </w:pPr>
      <w:r w:rsidRPr="00312C86">
        <w:rPr>
          <w:sz w:val="36"/>
        </w:rPr>
        <w:lastRenderedPageBreak/>
        <w:t>Contents</w:t>
      </w:r>
    </w:p>
    <w:p w:rsidR="00D81665" w:rsidRPr="00312C86" w:rsidRDefault="00D816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C86">
        <w:fldChar w:fldCharType="begin"/>
      </w:r>
      <w:r w:rsidRPr="00312C86">
        <w:instrText xml:space="preserve"> TOC \o "1-9" </w:instrText>
      </w:r>
      <w:r w:rsidRPr="00312C86">
        <w:fldChar w:fldCharType="separate"/>
      </w:r>
      <w:r w:rsidRPr="00312C86">
        <w:rPr>
          <w:noProof/>
        </w:rPr>
        <w:t>1</w:t>
      </w:r>
      <w:r w:rsidRPr="00312C86">
        <w:rPr>
          <w:noProof/>
        </w:rPr>
        <w:tab/>
        <w:t>Name</w:t>
      </w:r>
      <w:r w:rsidRPr="00312C86">
        <w:rPr>
          <w:noProof/>
        </w:rPr>
        <w:tab/>
      </w:r>
      <w:r w:rsidRPr="00312C86">
        <w:rPr>
          <w:noProof/>
        </w:rPr>
        <w:fldChar w:fldCharType="begin"/>
      </w:r>
      <w:r w:rsidRPr="00312C86">
        <w:rPr>
          <w:noProof/>
        </w:rPr>
        <w:instrText xml:space="preserve"> PAGEREF _Toc517938645 \h </w:instrText>
      </w:r>
      <w:r w:rsidRPr="00312C86">
        <w:rPr>
          <w:noProof/>
        </w:rPr>
      </w:r>
      <w:r w:rsidRPr="00312C86">
        <w:rPr>
          <w:noProof/>
        </w:rPr>
        <w:fldChar w:fldCharType="separate"/>
      </w:r>
      <w:r w:rsidR="00254FB9">
        <w:rPr>
          <w:noProof/>
        </w:rPr>
        <w:t>1</w:t>
      </w:r>
      <w:r w:rsidRPr="00312C86">
        <w:rPr>
          <w:noProof/>
        </w:rPr>
        <w:fldChar w:fldCharType="end"/>
      </w:r>
    </w:p>
    <w:p w:rsidR="00D81665" w:rsidRPr="00312C86" w:rsidRDefault="00D816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C86">
        <w:rPr>
          <w:noProof/>
        </w:rPr>
        <w:t>2</w:t>
      </w:r>
      <w:r w:rsidRPr="00312C86">
        <w:rPr>
          <w:noProof/>
        </w:rPr>
        <w:tab/>
        <w:t>Commencement</w:t>
      </w:r>
      <w:r w:rsidRPr="00312C86">
        <w:rPr>
          <w:noProof/>
        </w:rPr>
        <w:tab/>
      </w:r>
      <w:r w:rsidRPr="00312C86">
        <w:rPr>
          <w:noProof/>
        </w:rPr>
        <w:fldChar w:fldCharType="begin"/>
      </w:r>
      <w:r w:rsidRPr="00312C86">
        <w:rPr>
          <w:noProof/>
        </w:rPr>
        <w:instrText xml:space="preserve"> PAGEREF _Toc517938646 \h </w:instrText>
      </w:r>
      <w:r w:rsidRPr="00312C86">
        <w:rPr>
          <w:noProof/>
        </w:rPr>
      </w:r>
      <w:r w:rsidRPr="00312C86">
        <w:rPr>
          <w:noProof/>
        </w:rPr>
        <w:fldChar w:fldCharType="separate"/>
      </w:r>
      <w:r w:rsidR="00254FB9">
        <w:rPr>
          <w:noProof/>
        </w:rPr>
        <w:t>1</w:t>
      </w:r>
      <w:r w:rsidRPr="00312C86">
        <w:rPr>
          <w:noProof/>
        </w:rPr>
        <w:fldChar w:fldCharType="end"/>
      </w:r>
    </w:p>
    <w:p w:rsidR="00D81665" w:rsidRPr="00312C86" w:rsidRDefault="00D816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C86">
        <w:rPr>
          <w:noProof/>
        </w:rPr>
        <w:t>3</w:t>
      </w:r>
      <w:r w:rsidRPr="00312C86">
        <w:rPr>
          <w:noProof/>
        </w:rPr>
        <w:tab/>
        <w:t>Authority</w:t>
      </w:r>
      <w:r w:rsidRPr="00312C86">
        <w:rPr>
          <w:noProof/>
        </w:rPr>
        <w:tab/>
      </w:r>
      <w:r w:rsidRPr="00312C86">
        <w:rPr>
          <w:noProof/>
        </w:rPr>
        <w:fldChar w:fldCharType="begin"/>
      </w:r>
      <w:r w:rsidRPr="00312C86">
        <w:rPr>
          <w:noProof/>
        </w:rPr>
        <w:instrText xml:space="preserve"> PAGEREF _Toc517938647 \h </w:instrText>
      </w:r>
      <w:r w:rsidRPr="00312C86">
        <w:rPr>
          <w:noProof/>
        </w:rPr>
      </w:r>
      <w:r w:rsidRPr="00312C86">
        <w:rPr>
          <w:noProof/>
        </w:rPr>
        <w:fldChar w:fldCharType="separate"/>
      </w:r>
      <w:r w:rsidR="00254FB9">
        <w:rPr>
          <w:noProof/>
        </w:rPr>
        <w:t>1</w:t>
      </w:r>
      <w:r w:rsidRPr="00312C86">
        <w:rPr>
          <w:noProof/>
        </w:rPr>
        <w:fldChar w:fldCharType="end"/>
      </w:r>
    </w:p>
    <w:p w:rsidR="00D81665" w:rsidRPr="00312C86" w:rsidRDefault="00D816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2C86">
        <w:rPr>
          <w:noProof/>
        </w:rPr>
        <w:t>4</w:t>
      </w:r>
      <w:r w:rsidRPr="00312C86">
        <w:rPr>
          <w:noProof/>
        </w:rPr>
        <w:tab/>
        <w:t>Schedules</w:t>
      </w:r>
      <w:r w:rsidRPr="00312C86">
        <w:rPr>
          <w:noProof/>
        </w:rPr>
        <w:tab/>
      </w:r>
      <w:r w:rsidRPr="00312C86">
        <w:rPr>
          <w:noProof/>
        </w:rPr>
        <w:fldChar w:fldCharType="begin"/>
      </w:r>
      <w:r w:rsidRPr="00312C86">
        <w:rPr>
          <w:noProof/>
        </w:rPr>
        <w:instrText xml:space="preserve"> PAGEREF _Toc517938648 \h </w:instrText>
      </w:r>
      <w:r w:rsidRPr="00312C86">
        <w:rPr>
          <w:noProof/>
        </w:rPr>
      </w:r>
      <w:r w:rsidRPr="00312C86">
        <w:rPr>
          <w:noProof/>
        </w:rPr>
        <w:fldChar w:fldCharType="separate"/>
      </w:r>
      <w:r w:rsidR="00254FB9">
        <w:rPr>
          <w:noProof/>
        </w:rPr>
        <w:t>1</w:t>
      </w:r>
      <w:r w:rsidRPr="00312C86">
        <w:rPr>
          <w:noProof/>
        </w:rPr>
        <w:fldChar w:fldCharType="end"/>
      </w:r>
    </w:p>
    <w:p w:rsidR="00D81665" w:rsidRPr="00312C86" w:rsidRDefault="00D8166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12C86">
        <w:rPr>
          <w:noProof/>
        </w:rPr>
        <w:t>Schedule</w:t>
      </w:r>
      <w:r w:rsidR="00312C86" w:rsidRPr="00312C86">
        <w:rPr>
          <w:noProof/>
        </w:rPr>
        <w:t> </w:t>
      </w:r>
      <w:r w:rsidRPr="00312C86">
        <w:rPr>
          <w:noProof/>
        </w:rPr>
        <w:t>1—Main amendments</w:t>
      </w:r>
      <w:r w:rsidRPr="00312C86">
        <w:rPr>
          <w:b w:val="0"/>
          <w:noProof/>
          <w:sz w:val="18"/>
        </w:rPr>
        <w:tab/>
      </w:r>
      <w:r w:rsidRPr="00312C86">
        <w:rPr>
          <w:b w:val="0"/>
          <w:noProof/>
          <w:sz w:val="18"/>
        </w:rPr>
        <w:fldChar w:fldCharType="begin"/>
      </w:r>
      <w:r w:rsidRPr="00312C86">
        <w:rPr>
          <w:b w:val="0"/>
          <w:noProof/>
          <w:sz w:val="18"/>
        </w:rPr>
        <w:instrText xml:space="preserve"> PAGEREF _Toc517938649 \h </w:instrText>
      </w:r>
      <w:r w:rsidRPr="00312C86">
        <w:rPr>
          <w:b w:val="0"/>
          <w:noProof/>
          <w:sz w:val="18"/>
        </w:rPr>
      </w:r>
      <w:r w:rsidRPr="00312C86">
        <w:rPr>
          <w:b w:val="0"/>
          <w:noProof/>
          <w:sz w:val="18"/>
        </w:rPr>
        <w:fldChar w:fldCharType="separate"/>
      </w:r>
      <w:r w:rsidR="00254FB9">
        <w:rPr>
          <w:b w:val="0"/>
          <w:noProof/>
          <w:sz w:val="18"/>
        </w:rPr>
        <w:t>2</w:t>
      </w:r>
      <w:r w:rsidRPr="00312C86">
        <w:rPr>
          <w:b w:val="0"/>
          <w:noProof/>
          <w:sz w:val="18"/>
        </w:rPr>
        <w:fldChar w:fldCharType="end"/>
      </w:r>
    </w:p>
    <w:p w:rsidR="00D81665" w:rsidRPr="00312C86" w:rsidRDefault="00D8166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12C86">
        <w:rPr>
          <w:noProof/>
        </w:rPr>
        <w:t>Corporations (Fees) Regulations</w:t>
      </w:r>
      <w:r w:rsidR="00312C86" w:rsidRPr="00312C86">
        <w:rPr>
          <w:noProof/>
        </w:rPr>
        <w:t> </w:t>
      </w:r>
      <w:r w:rsidRPr="00312C86">
        <w:rPr>
          <w:noProof/>
        </w:rPr>
        <w:t>2001</w:t>
      </w:r>
      <w:r w:rsidRPr="00312C86">
        <w:rPr>
          <w:i w:val="0"/>
          <w:noProof/>
          <w:sz w:val="18"/>
        </w:rPr>
        <w:tab/>
      </w:r>
      <w:r w:rsidRPr="00312C86">
        <w:rPr>
          <w:i w:val="0"/>
          <w:noProof/>
          <w:sz w:val="18"/>
        </w:rPr>
        <w:fldChar w:fldCharType="begin"/>
      </w:r>
      <w:r w:rsidRPr="00312C86">
        <w:rPr>
          <w:i w:val="0"/>
          <w:noProof/>
          <w:sz w:val="18"/>
        </w:rPr>
        <w:instrText xml:space="preserve"> PAGEREF _Toc517938650 \h </w:instrText>
      </w:r>
      <w:r w:rsidRPr="00312C86">
        <w:rPr>
          <w:i w:val="0"/>
          <w:noProof/>
          <w:sz w:val="18"/>
        </w:rPr>
      </w:r>
      <w:r w:rsidRPr="00312C86">
        <w:rPr>
          <w:i w:val="0"/>
          <w:noProof/>
          <w:sz w:val="18"/>
        </w:rPr>
        <w:fldChar w:fldCharType="separate"/>
      </w:r>
      <w:r w:rsidR="00254FB9">
        <w:rPr>
          <w:i w:val="0"/>
          <w:noProof/>
          <w:sz w:val="18"/>
        </w:rPr>
        <w:t>2</w:t>
      </w:r>
      <w:r w:rsidRPr="00312C86">
        <w:rPr>
          <w:i w:val="0"/>
          <w:noProof/>
          <w:sz w:val="18"/>
        </w:rPr>
        <w:fldChar w:fldCharType="end"/>
      </w:r>
    </w:p>
    <w:p w:rsidR="00D81665" w:rsidRPr="00312C86" w:rsidRDefault="00D8166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12C86">
        <w:rPr>
          <w:noProof/>
        </w:rPr>
        <w:t>National Consumer Credit Protection (Fees) Regulations</w:t>
      </w:r>
      <w:r w:rsidR="00312C86" w:rsidRPr="00312C86">
        <w:rPr>
          <w:noProof/>
        </w:rPr>
        <w:t> </w:t>
      </w:r>
      <w:r w:rsidRPr="00312C86">
        <w:rPr>
          <w:noProof/>
        </w:rPr>
        <w:t>2010</w:t>
      </w:r>
      <w:r w:rsidRPr="00312C86">
        <w:rPr>
          <w:i w:val="0"/>
          <w:noProof/>
          <w:sz w:val="18"/>
        </w:rPr>
        <w:tab/>
      </w:r>
      <w:r w:rsidRPr="00312C86">
        <w:rPr>
          <w:i w:val="0"/>
          <w:noProof/>
          <w:sz w:val="18"/>
        </w:rPr>
        <w:fldChar w:fldCharType="begin"/>
      </w:r>
      <w:r w:rsidRPr="00312C86">
        <w:rPr>
          <w:i w:val="0"/>
          <w:noProof/>
          <w:sz w:val="18"/>
        </w:rPr>
        <w:instrText xml:space="preserve"> PAGEREF _Toc517938658 \h </w:instrText>
      </w:r>
      <w:r w:rsidRPr="00312C86">
        <w:rPr>
          <w:i w:val="0"/>
          <w:noProof/>
          <w:sz w:val="18"/>
        </w:rPr>
      </w:r>
      <w:r w:rsidRPr="00312C86">
        <w:rPr>
          <w:i w:val="0"/>
          <w:noProof/>
          <w:sz w:val="18"/>
        </w:rPr>
        <w:fldChar w:fldCharType="separate"/>
      </w:r>
      <w:r w:rsidR="00254FB9">
        <w:rPr>
          <w:i w:val="0"/>
          <w:noProof/>
          <w:sz w:val="18"/>
        </w:rPr>
        <w:t>18</w:t>
      </w:r>
      <w:r w:rsidRPr="00312C86">
        <w:rPr>
          <w:i w:val="0"/>
          <w:noProof/>
          <w:sz w:val="18"/>
        </w:rPr>
        <w:fldChar w:fldCharType="end"/>
      </w:r>
    </w:p>
    <w:p w:rsidR="00D81665" w:rsidRPr="00312C86" w:rsidRDefault="00D8166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12C86">
        <w:rPr>
          <w:noProof/>
        </w:rPr>
        <w:t>Superannuation Auditor Registration Imposition Regulation</w:t>
      </w:r>
      <w:r w:rsidR="00312C86" w:rsidRPr="00312C86">
        <w:rPr>
          <w:noProof/>
        </w:rPr>
        <w:t> </w:t>
      </w:r>
      <w:r w:rsidRPr="00312C86">
        <w:rPr>
          <w:noProof/>
        </w:rPr>
        <w:t>2012</w:t>
      </w:r>
      <w:r w:rsidRPr="00312C86">
        <w:rPr>
          <w:i w:val="0"/>
          <w:noProof/>
          <w:sz w:val="18"/>
        </w:rPr>
        <w:tab/>
      </w:r>
      <w:r w:rsidRPr="00312C86">
        <w:rPr>
          <w:i w:val="0"/>
          <w:noProof/>
          <w:sz w:val="18"/>
        </w:rPr>
        <w:fldChar w:fldCharType="begin"/>
      </w:r>
      <w:r w:rsidRPr="00312C86">
        <w:rPr>
          <w:i w:val="0"/>
          <w:noProof/>
          <w:sz w:val="18"/>
        </w:rPr>
        <w:instrText xml:space="preserve"> PAGEREF _Toc517938670 \h </w:instrText>
      </w:r>
      <w:r w:rsidRPr="00312C86">
        <w:rPr>
          <w:i w:val="0"/>
          <w:noProof/>
          <w:sz w:val="18"/>
        </w:rPr>
      </w:r>
      <w:r w:rsidRPr="00312C86">
        <w:rPr>
          <w:i w:val="0"/>
          <w:noProof/>
          <w:sz w:val="18"/>
        </w:rPr>
        <w:fldChar w:fldCharType="separate"/>
      </w:r>
      <w:r w:rsidR="00254FB9">
        <w:rPr>
          <w:i w:val="0"/>
          <w:noProof/>
          <w:sz w:val="18"/>
        </w:rPr>
        <w:t>25</w:t>
      </w:r>
      <w:r w:rsidRPr="00312C86">
        <w:rPr>
          <w:i w:val="0"/>
          <w:noProof/>
          <w:sz w:val="18"/>
        </w:rPr>
        <w:fldChar w:fldCharType="end"/>
      </w:r>
    </w:p>
    <w:p w:rsidR="00D81665" w:rsidRPr="00312C86" w:rsidRDefault="00D8166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12C86">
        <w:rPr>
          <w:noProof/>
        </w:rPr>
        <w:t>Superannuation Industry (Supervision) Regulations</w:t>
      </w:r>
      <w:r w:rsidR="00312C86" w:rsidRPr="00312C86">
        <w:rPr>
          <w:noProof/>
        </w:rPr>
        <w:t> </w:t>
      </w:r>
      <w:r w:rsidRPr="00312C86">
        <w:rPr>
          <w:noProof/>
        </w:rPr>
        <w:t>1994</w:t>
      </w:r>
      <w:r w:rsidRPr="00312C86">
        <w:rPr>
          <w:i w:val="0"/>
          <w:noProof/>
          <w:sz w:val="18"/>
        </w:rPr>
        <w:tab/>
      </w:r>
      <w:r w:rsidRPr="00312C86">
        <w:rPr>
          <w:i w:val="0"/>
          <w:noProof/>
          <w:sz w:val="18"/>
        </w:rPr>
        <w:fldChar w:fldCharType="begin"/>
      </w:r>
      <w:r w:rsidRPr="00312C86">
        <w:rPr>
          <w:i w:val="0"/>
          <w:noProof/>
          <w:sz w:val="18"/>
        </w:rPr>
        <w:instrText xml:space="preserve"> PAGEREF _Toc517938673 \h </w:instrText>
      </w:r>
      <w:r w:rsidRPr="00312C86">
        <w:rPr>
          <w:i w:val="0"/>
          <w:noProof/>
          <w:sz w:val="18"/>
        </w:rPr>
      </w:r>
      <w:r w:rsidRPr="00312C86">
        <w:rPr>
          <w:i w:val="0"/>
          <w:noProof/>
          <w:sz w:val="18"/>
        </w:rPr>
        <w:fldChar w:fldCharType="separate"/>
      </w:r>
      <w:r w:rsidR="00254FB9">
        <w:rPr>
          <w:i w:val="0"/>
          <w:noProof/>
          <w:sz w:val="18"/>
        </w:rPr>
        <w:t>26</w:t>
      </w:r>
      <w:r w:rsidRPr="00312C86">
        <w:rPr>
          <w:i w:val="0"/>
          <w:noProof/>
          <w:sz w:val="18"/>
        </w:rPr>
        <w:fldChar w:fldCharType="end"/>
      </w:r>
    </w:p>
    <w:p w:rsidR="00D81665" w:rsidRPr="00312C86" w:rsidRDefault="00D8166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12C86">
        <w:rPr>
          <w:noProof/>
        </w:rPr>
        <w:t>Schedule</w:t>
      </w:r>
      <w:r w:rsidR="00312C86" w:rsidRPr="00312C86">
        <w:rPr>
          <w:noProof/>
        </w:rPr>
        <w:t> </w:t>
      </w:r>
      <w:r w:rsidRPr="00312C86">
        <w:rPr>
          <w:noProof/>
        </w:rPr>
        <w:t>2—Amendments commencing 1</w:t>
      </w:r>
      <w:r w:rsidR="00312C86" w:rsidRPr="00312C86">
        <w:rPr>
          <w:noProof/>
        </w:rPr>
        <w:t> </w:t>
      </w:r>
      <w:r w:rsidRPr="00312C86">
        <w:rPr>
          <w:noProof/>
        </w:rPr>
        <w:t>July 2019</w:t>
      </w:r>
      <w:r w:rsidRPr="00312C86">
        <w:rPr>
          <w:b w:val="0"/>
          <w:noProof/>
          <w:sz w:val="18"/>
        </w:rPr>
        <w:tab/>
      </w:r>
      <w:r w:rsidRPr="00312C86">
        <w:rPr>
          <w:b w:val="0"/>
          <w:noProof/>
          <w:sz w:val="18"/>
        </w:rPr>
        <w:fldChar w:fldCharType="begin"/>
      </w:r>
      <w:r w:rsidRPr="00312C86">
        <w:rPr>
          <w:b w:val="0"/>
          <w:noProof/>
          <w:sz w:val="18"/>
        </w:rPr>
        <w:instrText xml:space="preserve"> PAGEREF _Toc517938674 \h </w:instrText>
      </w:r>
      <w:r w:rsidRPr="00312C86">
        <w:rPr>
          <w:b w:val="0"/>
          <w:noProof/>
          <w:sz w:val="18"/>
        </w:rPr>
      </w:r>
      <w:r w:rsidRPr="00312C86">
        <w:rPr>
          <w:b w:val="0"/>
          <w:noProof/>
          <w:sz w:val="18"/>
        </w:rPr>
        <w:fldChar w:fldCharType="separate"/>
      </w:r>
      <w:r w:rsidR="00254FB9">
        <w:rPr>
          <w:b w:val="0"/>
          <w:noProof/>
          <w:sz w:val="18"/>
        </w:rPr>
        <w:t>28</w:t>
      </w:r>
      <w:r w:rsidRPr="00312C86">
        <w:rPr>
          <w:b w:val="0"/>
          <w:noProof/>
          <w:sz w:val="18"/>
        </w:rPr>
        <w:fldChar w:fldCharType="end"/>
      </w:r>
    </w:p>
    <w:p w:rsidR="00D81665" w:rsidRPr="00312C86" w:rsidRDefault="00D8166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12C86">
        <w:rPr>
          <w:noProof/>
        </w:rPr>
        <w:t>Corporations (Fees) Regulations</w:t>
      </w:r>
      <w:r w:rsidR="00312C86" w:rsidRPr="00312C86">
        <w:rPr>
          <w:noProof/>
        </w:rPr>
        <w:t> </w:t>
      </w:r>
      <w:r w:rsidRPr="00312C86">
        <w:rPr>
          <w:noProof/>
        </w:rPr>
        <w:t>2001</w:t>
      </w:r>
      <w:r w:rsidRPr="00312C86">
        <w:rPr>
          <w:i w:val="0"/>
          <w:noProof/>
          <w:sz w:val="18"/>
        </w:rPr>
        <w:tab/>
      </w:r>
      <w:r w:rsidRPr="00312C86">
        <w:rPr>
          <w:i w:val="0"/>
          <w:noProof/>
          <w:sz w:val="18"/>
        </w:rPr>
        <w:fldChar w:fldCharType="begin"/>
      </w:r>
      <w:r w:rsidRPr="00312C86">
        <w:rPr>
          <w:i w:val="0"/>
          <w:noProof/>
          <w:sz w:val="18"/>
        </w:rPr>
        <w:instrText xml:space="preserve"> PAGEREF _Toc517938675 \h </w:instrText>
      </w:r>
      <w:r w:rsidRPr="00312C86">
        <w:rPr>
          <w:i w:val="0"/>
          <w:noProof/>
          <w:sz w:val="18"/>
        </w:rPr>
      </w:r>
      <w:r w:rsidRPr="00312C86">
        <w:rPr>
          <w:i w:val="0"/>
          <w:noProof/>
          <w:sz w:val="18"/>
        </w:rPr>
        <w:fldChar w:fldCharType="separate"/>
      </w:r>
      <w:r w:rsidR="00254FB9">
        <w:rPr>
          <w:i w:val="0"/>
          <w:noProof/>
          <w:sz w:val="18"/>
        </w:rPr>
        <w:t>28</w:t>
      </w:r>
      <w:r w:rsidRPr="00312C86">
        <w:rPr>
          <w:i w:val="0"/>
          <w:noProof/>
          <w:sz w:val="18"/>
        </w:rPr>
        <w:fldChar w:fldCharType="end"/>
      </w:r>
    </w:p>
    <w:p w:rsidR="0048364F" w:rsidRPr="00312C86" w:rsidRDefault="00D81665" w:rsidP="0048364F">
      <w:r w:rsidRPr="00312C86">
        <w:fldChar w:fldCharType="end"/>
      </w:r>
    </w:p>
    <w:p w:rsidR="0048364F" w:rsidRPr="00312C86" w:rsidRDefault="0048364F" w:rsidP="0048364F">
      <w:pPr>
        <w:sectPr w:rsidR="0048364F" w:rsidRPr="00312C86" w:rsidSect="0096182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12C86" w:rsidRDefault="0048364F" w:rsidP="0048364F">
      <w:pPr>
        <w:pStyle w:val="ActHead5"/>
      </w:pPr>
      <w:bookmarkStart w:id="0" w:name="_Toc517938645"/>
      <w:r w:rsidRPr="00312C86">
        <w:rPr>
          <w:rStyle w:val="CharSectno"/>
        </w:rPr>
        <w:lastRenderedPageBreak/>
        <w:t>1</w:t>
      </w:r>
      <w:r w:rsidRPr="00312C86">
        <w:t xml:space="preserve">  </w:t>
      </w:r>
      <w:r w:rsidR="004F676E" w:rsidRPr="00312C86">
        <w:t>Name</w:t>
      </w:r>
      <w:bookmarkEnd w:id="0"/>
    </w:p>
    <w:p w:rsidR="0048364F" w:rsidRPr="00312C86" w:rsidRDefault="0048364F" w:rsidP="0048364F">
      <w:pPr>
        <w:pStyle w:val="subsection"/>
      </w:pPr>
      <w:r w:rsidRPr="00312C86">
        <w:tab/>
      </w:r>
      <w:r w:rsidRPr="00312C86">
        <w:tab/>
      </w:r>
      <w:r w:rsidR="003647ED" w:rsidRPr="00312C86">
        <w:t>This instrument is</w:t>
      </w:r>
      <w:r w:rsidRPr="00312C86">
        <w:t xml:space="preserve"> the </w:t>
      </w:r>
      <w:r w:rsidR="00414ADE" w:rsidRPr="00312C86">
        <w:rPr>
          <w:i/>
        </w:rPr>
        <w:fldChar w:fldCharType="begin"/>
      </w:r>
      <w:r w:rsidR="00414ADE" w:rsidRPr="00312C86">
        <w:rPr>
          <w:i/>
        </w:rPr>
        <w:instrText xml:space="preserve"> STYLEREF  ShortT </w:instrText>
      </w:r>
      <w:r w:rsidR="00414ADE" w:rsidRPr="00312C86">
        <w:rPr>
          <w:i/>
        </w:rPr>
        <w:fldChar w:fldCharType="separate"/>
      </w:r>
      <w:r w:rsidR="00254FB9">
        <w:rPr>
          <w:i/>
          <w:noProof/>
        </w:rPr>
        <w:t>Treasury Laws Amendment (ASIC Fees) Regulations 2018</w:t>
      </w:r>
      <w:r w:rsidR="00414ADE" w:rsidRPr="00312C86">
        <w:rPr>
          <w:i/>
        </w:rPr>
        <w:fldChar w:fldCharType="end"/>
      </w:r>
      <w:r w:rsidRPr="00312C86">
        <w:t>.</w:t>
      </w:r>
    </w:p>
    <w:p w:rsidR="004F676E" w:rsidRPr="00312C86" w:rsidRDefault="0048364F" w:rsidP="005452CC">
      <w:pPr>
        <w:pStyle w:val="ActHead5"/>
      </w:pPr>
      <w:bookmarkStart w:id="1" w:name="_Toc517938646"/>
      <w:r w:rsidRPr="00312C86">
        <w:rPr>
          <w:rStyle w:val="CharSectno"/>
        </w:rPr>
        <w:t>2</w:t>
      </w:r>
      <w:r w:rsidRPr="00312C86">
        <w:t xml:space="preserve">  Commencement</w:t>
      </w:r>
      <w:bookmarkEnd w:id="1"/>
    </w:p>
    <w:p w:rsidR="005452CC" w:rsidRPr="00312C86" w:rsidRDefault="005452CC" w:rsidP="00DE2CDD">
      <w:pPr>
        <w:pStyle w:val="subsection"/>
      </w:pPr>
      <w:bookmarkStart w:id="2" w:name="_GoBack"/>
      <w:r w:rsidRPr="00312C86">
        <w:tab/>
        <w:t>(1)</w:t>
      </w:r>
      <w:r w:rsidRPr="00312C86">
        <w:tab/>
        <w:t xml:space="preserve">Each provision of </w:t>
      </w:r>
      <w:r w:rsidR="003647ED" w:rsidRPr="00312C86">
        <w:t>this instrument</w:t>
      </w:r>
      <w:r w:rsidRPr="00312C86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035C47" w:rsidRPr="00312C86" w:rsidRDefault="00035C47" w:rsidP="00DE2CD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5C47" w:rsidRPr="00312C86" w:rsidTr="00A12A1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35C47" w:rsidRPr="00312C86" w:rsidRDefault="00035C47" w:rsidP="00DE2CDD">
            <w:pPr>
              <w:pStyle w:val="TableHeading"/>
            </w:pPr>
            <w:r w:rsidRPr="00312C86">
              <w:t>Commencement information</w:t>
            </w:r>
          </w:p>
        </w:tc>
      </w:tr>
      <w:tr w:rsidR="00035C47" w:rsidRPr="00312C86" w:rsidTr="00A12A1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35C47" w:rsidRPr="00312C86" w:rsidRDefault="00035C47" w:rsidP="00DE2CDD">
            <w:pPr>
              <w:pStyle w:val="TableHeading"/>
            </w:pPr>
            <w:r w:rsidRPr="00312C8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35C47" w:rsidRPr="00312C86" w:rsidRDefault="00035C47" w:rsidP="00DE2CDD">
            <w:pPr>
              <w:pStyle w:val="TableHeading"/>
            </w:pPr>
            <w:r w:rsidRPr="00312C8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35C47" w:rsidRPr="00312C86" w:rsidRDefault="00035C47" w:rsidP="00DE2CDD">
            <w:pPr>
              <w:pStyle w:val="TableHeading"/>
            </w:pPr>
            <w:r w:rsidRPr="00312C86">
              <w:t>Column 3</w:t>
            </w:r>
          </w:p>
        </w:tc>
      </w:tr>
      <w:tr w:rsidR="00035C47" w:rsidRPr="00312C86" w:rsidTr="00A12A1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35C47" w:rsidRPr="00312C86" w:rsidRDefault="00035C47" w:rsidP="00DE2CDD">
            <w:pPr>
              <w:pStyle w:val="TableHeading"/>
            </w:pPr>
            <w:r w:rsidRPr="00312C8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35C47" w:rsidRPr="00312C86" w:rsidRDefault="00035C47" w:rsidP="00DE2CDD">
            <w:pPr>
              <w:pStyle w:val="TableHeading"/>
            </w:pPr>
            <w:r w:rsidRPr="00312C8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35C47" w:rsidRPr="00312C86" w:rsidRDefault="00035C47" w:rsidP="00DE2CDD">
            <w:pPr>
              <w:pStyle w:val="TableHeading"/>
            </w:pPr>
            <w:r w:rsidRPr="00312C86">
              <w:t>Date/Details</w:t>
            </w:r>
          </w:p>
        </w:tc>
      </w:tr>
      <w:tr w:rsidR="00A12A15" w:rsidRPr="00312C86" w:rsidTr="00A12A15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:rsidR="00A12A15" w:rsidRPr="00312C86" w:rsidRDefault="00A12A15" w:rsidP="00AA50F3">
            <w:pPr>
              <w:pStyle w:val="Tabletext"/>
            </w:pPr>
            <w:r w:rsidRPr="00312C86">
              <w:t>1.  Sections</w:t>
            </w:r>
            <w:r w:rsidR="00312C86" w:rsidRPr="00312C86">
              <w:t> </w:t>
            </w:r>
            <w:r w:rsidRPr="00312C86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A12A15" w:rsidRPr="00312C86" w:rsidRDefault="00E20FFD" w:rsidP="006C2465">
            <w:pPr>
              <w:pStyle w:val="Tabletext"/>
            </w:pPr>
            <w:r w:rsidRPr="00312C86">
              <w:t>4</w:t>
            </w:r>
            <w:r w:rsidR="00312C86" w:rsidRPr="00312C86">
              <w:t> </w:t>
            </w:r>
            <w:r w:rsidRPr="00312C86">
              <w:t>July 2018.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A12A15" w:rsidRPr="00312C86" w:rsidRDefault="00E20FFD" w:rsidP="00AA50F3">
            <w:pPr>
              <w:pStyle w:val="Tabletext"/>
            </w:pPr>
            <w:r w:rsidRPr="00312C86">
              <w:t>4</w:t>
            </w:r>
            <w:r w:rsidR="00312C86" w:rsidRPr="00312C86">
              <w:t> </w:t>
            </w:r>
            <w:r w:rsidRPr="00312C86">
              <w:t>July 2018</w:t>
            </w:r>
          </w:p>
        </w:tc>
      </w:tr>
      <w:tr w:rsidR="00A12A15" w:rsidRPr="00312C86" w:rsidTr="00A12A15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A12A15" w:rsidRPr="00312C86" w:rsidRDefault="00A12A15" w:rsidP="00DE2CDD">
            <w:pPr>
              <w:pStyle w:val="Tabletext"/>
            </w:pPr>
            <w:r w:rsidRPr="00312C86">
              <w:t>2.  Schedule</w:t>
            </w:r>
            <w:r w:rsidR="00312C86" w:rsidRPr="00312C86">
              <w:t> </w:t>
            </w:r>
            <w:r w:rsidRPr="00312C86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A12A15" w:rsidRPr="00312C86" w:rsidRDefault="00E20FFD" w:rsidP="006C2465">
            <w:pPr>
              <w:pStyle w:val="Tabletext"/>
            </w:pPr>
            <w:r w:rsidRPr="00312C86">
              <w:t>4</w:t>
            </w:r>
            <w:r w:rsidR="00312C86" w:rsidRPr="00312C86">
              <w:t> </w:t>
            </w:r>
            <w:r w:rsidRPr="00312C86">
              <w:t>July 2018.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A12A15" w:rsidRPr="00312C86" w:rsidRDefault="00E20FFD" w:rsidP="00AA50F3">
            <w:pPr>
              <w:pStyle w:val="Tabletext"/>
            </w:pPr>
            <w:r w:rsidRPr="00312C86">
              <w:t>4</w:t>
            </w:r>
            <w:r w:rsidR="00312C86" w:rsidRPr="00312C86">
              <w:t> </w:t>
            </w:r>
            <w:r w:rsidRPr="00312C86">
              <w:t>July 2018</w:t>
            </w:r>
          </w:p>
        </w:tc>
      </w:tr>
      <w:tr w:rsidR="00035C47" w:rsidRPr="00312C86" w:rsidTr="00A12A15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35C47" w:rsidRPr="00312C86" w:rsidRDefault="00A12A15" w:rsidP="00DE2CDD">
            <w:pPr>
              <w:pStyle w:val="Tabletext"/>
            </w:pPr>
            <w:r w:rsidRPr="00312C86">
              <w:t>3.  Schedule</w:t>
            </w:r>
            <w:r w:rsidR="00312C86" w:rsidRPr="00312C86">
              <w:t> </w:t>
            </w:r>
            <w:r w:rsidRPr="00312C86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35C47" w:rsidRPr="00312C86" w:rsidRDefault="00A12A15" w:rsidP="00704C61">
            <w:pPr>
              <w:pStyle w:val="Tabletext"/>
            </w:pPr>
            <w:r w:rsidRPr="00312C86">
              <w:t>1</w:t>
            </w:r>
            <w:r w:rsidR="00312C86" w:rsidRPr="00312C86">
              <w:t> </w:t>
            </w:r>
            <w:r w:rsidRPr="00312C86">
              <w:t>July 2019.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35C47" w:rsidRPr="00312C86" w:rsidRDefault="00A12A15" w:rsidP="00DE2CDD">
            <w:pPr>
              <w:pStyle w:val="Tabletext"/>
            </w:pPr>
            <w:r w:rsidRPr="00312C86">
              <w:t>1</w:t>
            </w:r>
            <w:r w:rsidR="00312C86" w:rsidRPr="00312C86">
              <w:t> </w:t>
            </w:r>
            <w:r w:rsidRPr="00312C86">
              <w:t>July 2019</w:t>
            </w:r>
          </w:p>
        </w:tc>
      </w:tr>
    </w:tbl>
    <w:p w:rsidR="00035C47" w:rsidRPr="00312C86" w:rsidRDefault="00035C47" w:rsidP="00DE2CDD">
      <w:pPr>
        <w:pStyle w:val="notetext"/>
      </w:pPr>
      <w:r w:rsidRPr="00312C86">
        <w:rPr>
          <w:snapToGrid w:val="0"/>
          <w:lang w:eastAsia="en-US"/>
        </w:rPr>
        <w:t>Note:</w:t>
      </w:r>
      <w:r w:rsidRPr="00312C86">
        <w:rPr>
          <w:snapToGrid w:val="0"/>
          <w:lang w:eastAsia="en-US"/>
        </w:rPr>
        <w:tab/>
        <w:t xml:space="preserve">This table relates only to the provisions of this </w:t>
      </w:r>
      <w:r w:rsidRPr="00312C86">
        <w:t xml:space="preserve">instrument </w:t>
      </w:r>
      <w:r w:rsidRPr="00312C86">
        <w:rPr>
          <w:snapToGrid w:val="0"/>
          <w:lang w:eastAsia="en-US"/>
        </w:rPr>
        <w:t xml:space="preserve">as originally made. It will not be amended to deal with any later amendments of this </w:t>
      </w:r>
      <w:r w:rsidRPr="00312C86">
        <w:t>instrument</w:t>
      </w:r>
      <w:r w:rsidRPr="00312C86">
        <w:rPr>
          <w:snapToGrid w:val="0"/>
          <w:lang w:eastAsia="en-US"/>
        </w:rPr>
        <w:t>.</w:t>
      </w:r>
    </w:p>
    <w:p w:rsidR="00035C47" w:rsidRPr="00312C86" w:rsidRDefault="00035C47" w:rsidP="00DE2CDD">
      <w:pPr>
        <w:pStyle w:val="subsection"/>
      </w:pPr>
      <w:r w:rsidRPr="00312C86">
        <w:tab/>
        <w:t>(2)</w:t>
      </w:r>
      <w:r w:rsidRPr="00312C8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312C86" w:rsidRDefault="00BF6650" w:rsidP="00BF6650">
      <w:pPr>
        <w:pStyle w:val="ActHead5"/>
      </w:pPr>
      <w:bookmarkStart w:id="3" w:name="_Toc517938647"/>
      <w:r w:rsidRPr="00312C86">
        <w:rPr>
          <w:rStyle w:val="CharSectno"/>
        </w:rPr>
        <w:t>3</w:t>
      </w:r>
      <w:r w:rsidRPr="00312C86">
        <w:t xml:space="preserve">  Authority</w:t>
      </w:r>
      <w:bookmarkEnd w:id="3"/>
    </w:p>
    <w:p w:rsidR="00035C47" w:rsidRPr="00312C86" w:rsidRDefault="00BF6650" w:rsidP="00BF6650">
      <w:pPr>
        <w:pStyle w:val="subsection"/>
      </w:pPr>
      <w:r w:rsidRPr="00312C86">
        <w:tab/>
      </w:r>
      <w:r w:rsidRPr="00312C86">
        <w:tab/>
      </w:r>
      <w:r w:rsidR="003647ED" w:rsidRPr="00312C86">
        <w:t>This instrument is</w:t>
      </w:r>
      <w:r w:rsidRPr="00312C86">
        <w:t xml:space="preserve"> made under the</w:t>
      </w:r>
      <w:r w:rsidR="00035C47" w:rsidRPr="00312C86">
        <w:t xml:space="preserve"> following:</w:t>
      </w:r>
    </w:p>
    <w:p w:rsidR="00BF6650" w:rsidRPr="00312C86" w:rsidRDefault="00035C47" w:rsidP="00035C47">
      <w:pPr>
        <w:pStyle w:val="paragraph"/>
      </w:pPr>
      <w:r w:rsidRPr="00312C86">
        <w:tab/>
        <w:t>(a)</w:t>
      </w:r>
      <w:r w:rsidRPr="00312C86">
        <w:tab/>
        <w:t xml:space="preserve">the </w:t>
      </w:r>
      <w:r w:rsidRPr="00312C86">
        <w:rPr>
          <w:i/>
        </w:rPr>
        <w:t>Corporations (Fees) Act 2001</w:t>
      </w:r>
      <w:r w:rsidRPr="00312C86">
        <w:t>;</w:t>
      </w:r>
    </w:p>
    <w:p w:rsidR="00035C47" w:rsidRPr="00312C86" w:rsidRDefault="00035C47" w:rsidP="00035C47">
      <w:pPr>
        <w:pStyle w:val="paragraph"/>
      </w:pPr>
      <w:r w:rsidRPr="00312C86">
        <w:tab/>
        <w:t>(b)</w:t>
      </w:r>
      <w:r w:rsidRPr="00312C86">
        <w:tab/>
        <w:t xml:space="preserve">the </w:t>
      </w:r>
      <w:r w:rsidRPr="00312C86">
        <w:rPr>
          <w:i/>
        </w:rPr>
        <w:t>National Consumer Credit Protection (Fees) Act 2009</w:t>
      </w:r>
      <w:r w:rsidRPr="00312C86">
        <w:t>;</w:t>
      </w:r>
    </w:p>
    <w:p w:rsidR="00776601" w:rsidRPr="00312C86" w:rsidRDefault="00035C47" w:rsidP="00035C47">
      <w:pPr>
        <w:pStyle w:val="paragraph"/>
      </w:pPr>
      <w:r w:rsidRPr="00312C86">
        <w:tab/>
        <w:t>(c)</w:t>
      </w:r>
      <w:r w:rsidRPr="00312C86">
        <w:tab/>
        <w:t xml:space="preserve">the </w:t>
      </w:r>
      <w:r w:rsidRPr="00312C86">
        <w:rPr>
          <w:i/>
        </w:rPr>
        <w:t>Superannuation Auditor Registration Imposition Act 2012</w:t>
      </w:r>
      <w:r w:rsidR="00776601" w:rsidRPr="00312C86">
        <w:t>;</w:t>
      </w:r>
    </w:p>
    <w:p w:rsidR="00035C47" w:rsidRPr="00312C86" w:rsidRDefault="00776601" w:rsidP="00035C47">
      <w:pPr>
        <w:pStyle w:val="paragraph"/>
      </w:pPr>
      <w:r w:rsidRPr="00312C86">
        <w:tab/>
        <w:t>(d)</w:t>
      </w:r>
      <w:r w:rsidRPr="00312C86">
        <w:tab/>
        <w:t xml:space="preserve">the </w:t>
      </w:r>
      <w:r w:rsidRPr="00312C86">
        <w:rPr>
          <w:i/>
        </w:rPr>
        <w:t>Superannuation Industry (Supervision) Act 1993</w:t>
      </w:r>
      <w:r w:rsidR="00035C47" w:rsidRPr="00312C86">
        <w:t>.</w:t>
      </w:r>
    </w:p>
    <w:p w:rsidR="00557C7A" w:rsidRPr="00312C86" w:rsidRDefault="00BF6650" w:rsidP="00557C7A">
      <w:pPr>
        <w:pStyle w:val="ActHead5"/>
      </w:pPr>
      <w:bookmarkStart w:id="4" w:name="_Toc517938648"/>
      <w:r w:rsidRPr="00312C86">
        <w:rPr>
          <w:rStyle w:val="CharSectno"/>
        </w:rPr>
        <w:t>4</w:t>
      </w:r>
      <w:r w:rsidR="00557C7A" w:rsidRPr="00312C86">
        <w:t xml:space="preserve">  </w:t>
      </w:r>
      <w:r w:rsidR="00083F48" w:rsidRPr="00312C86">
        <w:t>Schedules</w:t>
      </w:r>
      <w:bookmarkEnd w:id="4"/>
    </w:p>
    <w:p w:rsidR="00557C7A" w:rsidRPr="00312C86" w:rsidRDefault="00557C7A" w:rsidP="00557C7A">
      <w:pPr>
        <w:pStyle w:val="subsection"/>
      </w:pPr>
      <w:r w:rsidRPr="00312C86">
        <w:tab/>
      </w:r>
      <w:r w:rsidRPr="00312C86">
        <w:tab/>
      </w:r>
      <w:r w:rsidR="00083F48" w:rsidRPr="00312C86">
        <w:t xml:space="preserve">Each </w:t>
      </w:r>
      <w:r w:rsidR="00160BD7" w:rsidRPr="00312C86">
        <w:t>instrument</w:t>
      </w:r>
      <w:r w:rsidR="00083F48" w:rsidRPr="00312C86">
        <w:t xml:space="preserve"> that is specified in a Schedule to </w:t>
      </w:r>
      <w:r w:rsidR="003647ED" w:rsidRPr="00312C86">
        <w:t>this instrument</w:t>
      </w:r>
      <w:r w:rsidR="00083F48" w:rsidRPr="00312C86">
        <w:t xml:space="preserve"> is amended or repealed as set out in the applicable items in the Schedule concerned, and any other item in a Schedule to </w:t>
      </w:r>
      <w:r w:rsidR="003647ED" w:rsidRPr="00312C86">
        <w:t>this instrument</w:t>
      </w:r>
      <w:r w:rsidR="00083F48" w:rsidRPr="00312C86">
        <w:t xml:space="preserve"> has effect according to its terms.</w:t>
      </w:r>
    </w:p>
    <w:p w:rsidR="0048364F" w:rsidRPr="00312C86" w:rsidRDefault="0048364F" w:rsidP="009C5989">
      <w:pPr>
        <w:pStyle w:val="ActHead6"/>
        <w:pageBreakBefore/>
      </w:pPr>
      <w:bookmarkStart w:id="5" w:name="_Toc517938649"/>
      <w:bookmarkStart w:id="6" w:name="opcAmSched"/>
      <w:r w:rsidRPr="00312C86">
        <w:rPr>
          <w:rStyle w:val="CharAmSchNo"/>
        </w:rPr>
        <w:lastRenderedPageBreak/>
        <w:t>Schedule</w:t>
      </w:r>
      <w:r w:rsidR="00312C86" w:rsidRPr="00312C86">
        <w:rPr>
          <w:rStyle w:val="CharAmSchNo"/>
        </w:rPr>
        <w:t> </w:t>
      </w:r>
      <w:r w:rsidRPr="00312C86">
        <w:rPr>
          <w:rStyle w:val="CharAmSchNo"/>
        </w:rPr>
        <w:t>1</w:t>
      </w:r>
      <w:r w:rsidRPr="00312C86">
        <w:t>—</w:t>
      </w:r>
      <w:r w:rsidR="003D1AE0" w:rsidRPr="00312C86">
        <w:rPr>
          <w:rStyle w:val="CharAmSchText"/>
        </w:rPr>
        <w:t>Main amendments</w:t>
      </w:r>
      <w:bookmarkEnd w:id="5"/>
    </w:p>
    <w:bookmarkEnd w:id="6"/>
    <w:p w:rsidR="0004044E" w:rsidRPr="00312C86" w:rsidRDefault="0004044E" w:rsidP="0004044E">
      <w:pPr>
        <w:pStyle w:val="Header"/>
      </w:pPr>
      <w:r w:rsidRPr="00312C86">
        <w:rPr>
          <w:rStyle w:val="CharAmPartNo"/>
        </w:rPr>
        <w:t xml:space="preserve"> </w:t>
      </w:r>
      <w:r w:rsidRPr="00312C86">
        <w:rPr>
          <w:rStyle w:val="CharAmPartText"/>
        </w:rPr>
        <w:t xml:space="preserve"> </w:t>
      </w:r>
    </w:p>
    <w:p w:rsidR="0084172C" w:rsidRPr="00312C86" w:rsidRDefault="00035C47" w:rsidP="00EA0D36">
      <w:pPr>
        <w:pStyle w:val="ActHead9"/>
      </w:pPr>
      <w:bookmarkStart w:id="7" w:name="_Toc517938650"/>
      <w:r w:rsidRPr="00312C86">
        <w:t>Corporations (Fees) Regulations</w:t>
      </w:r>
      <w:r w:rsidR="00312C86" w:rsidRPr="00312C86">
        <w:t> </w:t>
      </w:r>
      <w:r w:rsidRPr="00312C86">
        <w:t>2001</w:t>
      </w:r>
      <w:bookmarkEnd w:id="7"/>
    </w:p>
    <w:p w:rsidR="00365810" w:rsidRPr="00312C86" w:rsidRDefault="00143F24" w:rsidP="00365810">
      <w:pPr>
        <w:pStyle w:val="ItemHead"/>
      </w:pPr>
      <w:r w:rsidRPr="00312C86">
        <w:t>1</w:t>
      </w:r>
      <w:r w:rsidR="00365810" w:rsidRPr="00312C86">
        <w:t xml:space="preserve">  Part</w:t>
      </w:r>
      <w:r w:rsidR="00312C86" w:rsidRPr="00312C86">
        <w:t> </w:t>
      </w:r>
      <w:r w:rsidR="00365810" w:rsidRPr="00312C86">
        <w:t>1 (note before Part</w:t>
      </w:r>
      <w:r w:rsidR="00312C86" w:rsidRPr="00312C86">
        <w:t> </w:t>
      </w:r>
      <w:r w:rsidR="00365810" w:rsidRPr="00312C86">
        <w:t>1)</w:t>
      </w:r>
    </w:p>
    <w:p w:rsidR="00365810" w:rsidRPr="00312C86" w:rsidRDefault="00365810" w:rsidP="00365810">
      <w:pPr>
        <w:pStyle w:val="Item"/>
      </w:pPr>
      <w:r w:rsidRPr="00312C86">
        <w:t>Repeal the note.</w:t>
      </w:r>
    </w:p>
    <w:p w:rsidR="00FC5EDB" w:rsidRPr="00312C86" w:rsidRDefault="00143F24" w:rsidP="00FC5EDB">
      <w:pPr>
        <w:pStyle w:val="ItemHead"/>
      </w:pPr>
      <w:r w:rsidRPr="00312C86">
        <w:t>2</w:t>
      </w:r>
      <w:r w:rsidR="00FC5EDB" w:rsidRPr="00312C86">
        <w:t xml:space="preserve">  </w:t>
      </w:r>
      <w:r w:rsidR="008E1CE0" w:rsidRPr="00312C86">
        <w:t>Regulation</w:t>
      </w:r>
      <w:r w:rsidR="00312C86" w:rsidRPr="00312C86">
        <w:t> </w:t>
      </w:r>
      <w:r w:rsidR="00FC5EDB" w:rsidRPr="00312C86">
        <w:t>1B</w:t>
      </w:r>
    </w:p>
    <w:p w:rsidR="00FC5EDB" w:rsidRPr="00312C86" w:rsidRDefault="00FC5EDB" w:rsidP="00FC5EDB">
      <w:pPr>
        <w:pStyle w:val="Item"/>
      </w:pPr>
      <w:r w:rsidRPr="00312C86">
        <w:t>Insert:</w:t>
      </w:r>
    </w:p>
    <w:p w:rsidR="00FC5EDB" w:rsidRPr="00312C86" w:rsidRDefault="00FC5EDB" w:rsidP="00FC5EDB">
      <w:pPr>
        <w:pStyle w:val="Definition"/>
      </w:pPr>
      <w:r w:rsidRPr="00312C86">
        <w:rPr>
          <w:b/>
          <w:i/>
        </w:rPr>
        <w:t>indexable matter</w:t>
      </w:r>
      <w:r w:rsidRPr="00312C86">
        <w:t>: see subregulation</w:t>
      </w:r>
      <w:r w:rsidR="00312C86" w:rsidRPr="00312C86">
        <w:t> </w:t>
      </w:r>
      <w:r w:rsidRPr="00312C86">
        <w:t>3(2A).</w:t>
      </w:r>
    </w:p>
    <w:p w:rsidR="002336FE" w:rsidRPr="00312C86" w:rsidRDefault="002336FE" w:rsidP="00FC5EDB">
      <w:pPr>
        <w:pStyle w:val="Definition"/>
      </w:pPr>
      <w:r w:rsidRPr="00312C86">
        <w:rPr>
          <w:b/>
          <w:i/>
        </w:rPr>
        <w:t>old Law</w:t>
      </w:r>
      <w:r w:rsidRPr="00312C86">
        <w:t xml:space="preserve"> has the same meaning as in section</w:t>
      </w:r>
      <w:r w:rsidR="00312C86" w:rsidRPr="00312C86">
        <w:t> </w:t>
      </w:r>
      <w:r w:rsidRPr="00312C86">
        <w:t>1451 of the old Corporations Law.</w:t>
      </w:r>
    </w:p>
    <w:p w:rsidR="00401AEF" w:rsidRPr="00312C86" w:rsidRDefault="00CC0D84" w:rsidP="00CC0D84">
      <w:pPr>
        <w:pStyle w:val="Definition"/>
      </w:pPr>
      <w:r w:rsidRPr="00312C86">
        <w:rPr>
          <w:b/>
          <w:i/>
        </w:rPr>
        <w:t xml:space="preserve">retail </w:t>
      </w:r>
      <w:r w:rsidR="00401AEF" w:rsidRPr="00312C86">
        <w:rPr>
          <w:b/>
          <w:i/>
        </w:rPr>
        <w:t>financial services licence</w:t>
      </w:r>
      <w:r w:rsidR="00401AEF" w:rsidRPr="00312C86">
        <w:t xml:space="preserve"> means an Australian financial services licence </w:t>
      </w:r>
      <w:r w:rsidR="0013555C" w:rsidRPr="00312C86">
        <w:t>that covers the provision of a financial service to a retail client (within the meaning of Chapter</w:t>
      </w:r>
      <w:r w:rsidR="00312C86" w:rsidRPr="00312C86">
        <w:t> </w:t>
      </w:r>
      <w:r w:rsidR="0013555C" w:rsidRPr="00312C86">
        <w:t>7 of the Corporations Act), whether or not the licence also covers the provision of a financial service to a wholesale client (within the meaning of that Chapter).</w:t>
      </w:r>
    </w:p>
    <w:p w:rsidR="00CC0D84" w:rsidRPr="00312C86" w:rsidRDefault="00401AEF" w:rsidP="00401AEF">
      <w:pPr>
        <w:pStyle w:val="Definition"/>
      </w:pPr>
      <w:r w:rsidRPr="00312C86">
        <w:rPr>
          <w:b/>
          <w:i/>
        </w:rPr>
        <w:t>wholesale financial services licence</w:t>
      </w:r>
      <w:r w:rsidRPr="00312C86">
        <w:t xml:space="preserve"> means an Australian financial services licence </w:t>
      </w:r>
      <w:r w:rsidR="0013555C" w:rsidRPr="00312C86">
        <w:t>that is not a retail financial services licence.</w:t>
      </w:r>
    </w:p>
    <w:p w:rsidR="00604830" w:rsidRPr="00312C86" w:rsidRDefault="00143F24" w:rsidP="00604830">
      <w:pPr>
        <w:pStyle w:val="ItemHead"/>
      </w:pPr>
      <w:r w:rsidRPr="00312C86">
        <w:t>3</w:t>
      </w:r>
      <w:r w:rsidR="00604830" w:rsidRPr="00312C86">
        <w:t xml:space="preserve">  Regulation</w:t>
      </w:r>
      <w:r w:rsidR="00312C86" w:rsidRPr="00312C86">
        <w:t> </w:t>
      </w:r>
      <w:r w:rsidR="00604830" w:rsidRPr="00312C86">
        <w:t>2 (heading)</w:t>
      </w:r>
    </w:p>
    <w:p w:rsidR="00604830" w:rsidRPr="00312C86" w:rsidRDefault="00604830" w:rsidP="00604830">
      <w:pPr>
        <w:pStyle w:val="Item"/>
      </w:pPr>
      <w:r w:rsidRPr="00312C86">
        <w:t>Repeal the heading, substitute:</w:t>
      </w:r>
    </w:p>
    <w:p w:rsidR="00604830" w:rsidRPr="00312C86" w:rsidRDefault="00604830" w:rsidP="00604830">
      <w:pPr>
        <w:pStyle w:val="ActHead5"/>
      </w:pPr>
      <w:bookmarkStart w:id="8" w:name="_Toc517938651"/>
      <w:r w:rsidRPr="00312C86">
        <w:rPr>
          <w:rStyle w:val="CharSectno"/>
        </w:rPr>
        <w:t>2</w:t>
      </w:r>
      <w:r w:rsidRPr="00312C86">
        <w:t xml:space="preserve">  Interpretation (Schedules</w:t>
      </w:r>
      <w:r w:rsidR="00312C86" w:rsidRPr="00312C86">
        <w:t> </w:t>
      </w:r>
      <w:r w:rsidRPr="00312C86">
        <w:t>1 and 2)</w:t>
      </w:r>
      <w:bookmarkEnd w:id="8"/>
    </w:p>
    <w:p w:rsidR="00604830" w:rsidRPr="00312C86" w:rsidRDefault="00143F24" w:rsidP="00604830">
      <w:pPr>
        <w:pStyle w:val="ItemHead"/>
      </w:pPr>
      <w:r w:rsidRPr="00312C86">
        <w:t>4</w:t>
      </w:r>
      <w:r w:rsidR="00604830" w:rsidRPr="00312C86">
        <w:t xml:space="preserve">  Regulation</w:t>
      </w:r>
      <w:r w:rsidR="00312C86" w:rsidRPr="00312C86">
        <w:t> </w:t>
      </w:r>
      <w:r w:rsidR="00604830" w:rsidRPr="00312C86">
        <w:t>2</w:t>
      </w:r>
    </w:p>
    <w:p w:rsidR="00604830" w:rsidRPr="00312C86" w:rsidRDefault="00604830" w:rsidP="00604830">
      <w:pPr>
        <w:pStyle w:val="Item"/>
      </w:pPr>
      <w:r w:rsidRPr="00312C86">
        <w:t>Omit “Schedule</w:t>
      </w:r>
      <w:r w:rsidR="00312C86" w:rsidRPr="00312C86">
        <w:t> </w:t>
      </w:r>
      <w:r w:rsidRPr="00312C86">
        <w:t>1”, substitute “Schedules</w:t>
      </w:r>
      <w:r w:rsidR="00312C86" w:rsidRPr="00312C86">
        <w:t> </w:t>
      </w:r>
      <w:r w:rsidRPr="00312C86">
        <w:t>1 and 2”.</w:t>
      </w:r>
    </w:p>
    <w:p w:rsidR="00CD2855" w:rsidRPr="00312C86" w:rsidRDefault="00143F24" w:rsidP="00CD2855">
      <w:pPr>
        <w:pStyle w:val="ItemHead"/>
      </w:pPr>
      <w:r w:rsidRPr="00312C86">
        <w:t>5</w:t>
      </w:r>
      <w:r w:rsidR="00CD2855" w:rsidRPr="00312C86">
        <w:t xml:space="preserve">  Regulation</w:t>
      </w:r>
      <w:r w:rsidR="00312C86" w:rsidRPr="00312C86">
        <w:t> </w:t>
      </w:r>
      <w:r w:rsidR="00CD2855" w:rsidRPr="00312C86">
        <w:t>3 (heading)</w:t>
      </w:r>
    </w:p>
    <w:p w:rsidR="00CD2855" w:rsidRPr="00312C86" w:rsidRDefault="00CD2855" w:rsidP="00CD2855">
      <w:pPr>
        <w:pStyle w:val="Item"/>
      </w:pPr>
      <w:r w:rsidRPr="00312C86">
        <w:t>Repeal the heading, substitute:</w:t>
      </w:r>
    </w:p>
    <w:p w:rsidR="00CD2855" w:rsidRPr="00312C86" w:rsidRDefault="00CD2855" w:rsidP="00CD2855">
      <w:pPr>
        <w:pStyle w:val="ActHead5"/>
      </w:pPr>
      <w:bookmarkStart w:id="9" w:name="_Toc517938652"/>
      <w:r w:rsidRPr="00312C86">
        <w:rPr>
          <w:rStyle w:val="CharSectno"/>
        </w:rPr>
        <w:t>3</w:t>
      </w:r>
      <w:r w:rsidRPr="00312C86">
        <w:t xml:space="preserve">  Prescribed fees—Schedule</w:t>
      </w:r>
      <w:r w:rsidR="00E7069D" w:rsidRPr="00312C86">
        <w:t>s</w:t>
      </w:r>
      <w:r w:rsidR="00312C86" w:rsidRPr="00312C86">
        <w:t> </w:t>
      </w:r>
      <w:r w:rsidRPr="00312C86">
        <w:t>1</w:t>
      </w:r>
      <w:r w:rsidR="00E7069D" w:rsidRPr="00312C86">
        <w:t xml:space="preserve"> and 2</w:t>
      </w:r>
      <w:bookmarkEnd w:id="9"/>
    </w:p>
    <w:p w:rsidR="00604830" w:rsidRPr="00312C86" w:rsidRDefault="00143F24" w:rsidP="00604830">
      <w:pPr>
        <w:pStyle w:val="ItemHead"/>
      </w:pPr>
      <w:r w:rsidRPr="00312C86">
        <w:t>6</w:t>
      </w:r>
      <w:r w:rsidR="00604830" w:rsidRPr="00312C86">
        <w:t xml:space="preserve">  Subregulation</w:t>
      </w:r>
      <w:r w:rsidR="00312C86" w:rsidRPr="00312C86">
        <w:t> </w:t>
      </w:r>
      <w:r w:rsidR="00604830" w:rsidRPr="00312C86">
        <w:t>3(1)</w:t>
      </w:r>
    </w:p>
    <w:p w:rsidR="00604830" w:rsidRPr="00312C86" w:rsidRDefault="00604830" w:rsidP="00604830">
      <w:pPr>
        <w:pStyle w:val="Item"/>
      </w:pPr>
      <w:r w:rsidRPr="00312C86">
        <w:t>Omit “Sc</w:t>
      </w:r>
      <w:r w:rsidR="00305D8B" w:rsidRPr="00312C86">
        <w:t>hedule</w:t>
      </w:r>
      <w:r w:rsidR="00312C86" w:rsidRPr="00312C86">
        <w:t> </w:t>
      </w:r>
      <w:r w:rsidR="00305D8B" w:rsidRPr="00312C86">
        <w:t>1”, substitute “Schedule</w:t>
      </w:r>
      <w:r w:rsidR="00312C86" w:rsidRPr="00312C86">
        <w:t> </w:t>
      </w:r>
      <w:r w:rsidRPr="00312C86">
        <w:t xml:space="preserve">1 </w:t>
      </w:r>
      <w:r w:rsidR="00305D8B" w:rsidRPr="00312C86">
        <w:t xml:space="preserve">or </w:t>
      </w:r>
      <w:r w:rsidRPr="00312C86">
        <w:t xml:space="preserve">2, </w:t>
      </w:r>
      <w:r w:rsidR="00305D8B" w:rsidRPr="00312C86">
        <w:t>unless</w:t>
      </w:r>
      <w:r w:rsidRPr="00312C86">
        <w:t xml:space="preserve"> “no fee” appears in column 2 of the item”.</w:t>
      </w:r>
    </w:p>
    <w:p w:rsidR="00D73E9D" w:rsidRPr="00312C86" w:rsidRDefault="00143F24" w:rsidP="00D73E9D">
      <w:pPr>
        <w:pStyle w:val="ItemHead"/>
      </w:pPr>
      <w:r w:rsidRPr="00312C86">
        <w:t>7</w:t>
      </w:r>
      <w:r w:rsidR="00D73E9D" w:rsidRPr="00312C86">
        <w:t xml:space="preserve">  Subregulation</w:t>
      </w:r>
      <w:r w:rsidR="00312C86" w:rsidRPr="00312C86">
        <w:t> </w:t>
      </w:r>
      <w:r w:rsidR="00D73E9D" w:rsidRPr="00312C86">
        <w:t>3(2)</w:t>
      </w:r>
    </w:p>
    <w:p w:rsidR="00D73E9D" w:rsidRPr="00312C86" w:rsidRDefault="00D73E9D" w:rsidP="00D73E9D">
      <w:pPr>
        <w:pStyle w:val="Item"/>
      </w:pPr>
      <w:r w:rsidRPr="00312C86">
        <w:t>Repeal the subregulation, substitute:</w:t>
      </w:r>
    </w:p>
    <w:p w:rsidR="00D73E9D" w:rsidRPr="00312C86" w:rsidRDefault="00D73E9D" w:rsidP="00365810">
      <w:pPr>
        <w:pStyle w:val="subsection"/>
      </w:pPr>
      <w:r w:rsidRPr="00312C86">
        <w:tab/>
        <w:t>(2)</w:t>
      </w:r>
      <w:r w:rsidRPr="00312C86">
        <w:tab/>
      </w:r>
      <w:r w:rsidR="00365810" w:rsidRPr="00312C86">
        <w:t xml:space="preserve">The amount of the </w:t>
      </w:r>
      <w:r w:rsidRPr="00312C86">
        <w:t xml:space="preserve">fee </w:t>
      </w:r>
      <w:r w:rsidR="00744AA0" w:rsidRPr="00312C86">
        <w:t xml:space="preserve">on or after </w:t>
      </w:r>
      <w:r w:rsidR="00E20FFD" w:rsidRPr="00312C86">
        <w:t>4</w:t>
      </w:r>
      <w:r w:rsidR="00312C86" w:rsidRPr="00312C86">
        <w:t> </w:t>
      </w:r>
      <w:r w:rsidR="00E20FFD" w:rsidRPr="00312C86">
        <w:t>July 2018</w:t>
      </w:r>
      <w:r w:rsidR="00744AA0" w:rsidRPr="00312C86">
        <w:t xml:space="preserve"> </w:t>
      </w:r>
      <w:r w:rsidR="00365810" w:rsidRPr="00312C86">
        <w:t>is, subject to sub</w:t>
      </w:r>
      <w:r w:rsidR="00D42EA2" w:rsidRPr="00312C86">
        <w:t>regulation</w:t>
      </w:r>
      <w:r w:rsidR="00365810" w:rsidRPr="00312C86">
        <w:t>s (3)</w:t>
      </w:r>
      <w:r w:rsidR="00AB5680" w:rsidRPr="00312C86">
        <w:t xml:space="preserve"> to (5</w:t>
      </w:r>
      <w:r w:rsidR="00365810" w:rsidRPr="00312C86">
        <w:t xml:space="preserve">), the amount mentioned in column </w:t>
      </w:r>
      <w:r w:rsidR="001E4E26" w:rsidRPr="00312C86">
        <w:t>2</w:t>
      </w:r>
      <w:r w:rsidR="00365810" w:rsidRPr="00312C86">
        <w:t xml:space="preserve"> of the item.</w:t>
      </w:r>
    </w:p>
    <w:p w:rsidR="00D73E9D" w:rsidRPr="00312C86" w:rsidRDefault="00214BCE" w:rsidP="00D73E9D">
      <w:pPr>
        <w:pStyle w:val="SubsectionHead"/>
      </w:pPr>
      <w:r w:rsidRPr="00312C86">
        <w:t>Indexable</w:t>
      </w:r>
      <w:r w:rsidR="00D73E9D" w:rsidRPr="00312C86">
        <w:t xml:space="preserve"> matters</w:t>
      </w:r>
    </w:p>
    <w:p w:rsidR="00371CA8" w:rsidRPr="00312C86" w:rsidRDefault="00D73E9D" w:rsidP="00D24CDB">
      <w:pPr>
        <w:pStyle w:val="subsection"/>
      </w:pPr>
      <w:r w:rsidRPr="00312C86">
        <w:tab/>
        <w:t>(2A)</w:t>
      </w:r>
      <w:r w:rsidRPr="00312C86">
        <w:tab/>
        <w:t xml:space="preserve">A chargeable matter is an </w:t>
      </w:r>
      <w:r w:rsidRPr="00312C86">
        <w:rPr>
          <w:b/>
          <w:i/>
        </w:rPr>
        <w:t>indexable matter</w:t>
      </w:r>
      <w:r w:rsidR="00D24CDB" w:rsidRPr="00312C86">
        <w:t xml:space="preserve"> if </w:t>
      </w:r>
      <w:r w:rsidRPr="00312C86">
        <w:t>it is mentioned in</w:t>
      </w:r>
      <w:r w:rsidR="00371CA8" w:rsidRPr="00312C86">
        <w:t xml:space="preserve"> </w:t>
      </w:r>
      <w:r w:rsidR="00D775CB" w:rsidRPr="00312C86">
        <w:t xml:space="preserve">an item in </w:t>
      </w:r>
      <w:r w:rsidR="00371CA8" w:rsidRPr="00312C86">
        <w:t>Schedule</w:t>
      </w:r>
      <w:r w:rsidR="00312C86" w:rsidRPr="00312C86">
        <w:t> </w:t>
      </w:r>
      <w:r w:rsidR="00604830" w:rsidRPr="00312C86">
        <w:t>2</w:t>
      </w:r>
      <w:r w:rsidR="00E66A65" w:rsidRPr="00312C86">
        <w:t>,</w:t>
      </w:r>
      <w:r w:rsidR="00604830" w:rsidRPr="00312C86">
        <w:t xml:space="preserve"> </w:t>
      </w:r>
      <w:r w:rsidR="00305D8B" w:rsidRPr="00312C86">
        <w:t>unless</w:t>
      </w:r>
      <w:r w:rsidR="002B0370" w:rsidRPr="00312C86">
        <w:t xml:space="preserve"> “no fee” appears in column 2 of the </w:t>
      </w:r>
      <w:r w:rsidR="00D775CB" w:rsidRPr="00312C86">
        <w:t>item</w:t>
      </w:r>
      <w:r w:rsidR="003228CB" w:rsidRPr="00312C86">
        <w:t>.</w:t>
      </w:r>
    </w:p>
    <w:p w:rsidR="00002A54" w:rsidRPr="00312C86" w:rsidRDefault="00143F24" w:rsidP="00002A54">
      <w:pPr>
        <w:pStyle w:val="ItemHead"/>
      </w:pPr>
      <w:r w:rsidRPr="00312C86">
        <w:lastRenderedPageBreak/>
        <w:t>8</w:t>
      </w:r>
      <w:r w:rsidR="00002A54" w:rsidRPr="00312C86">
        <w:t xml:space="preserve">  Sub</w:t>
      </w:r>
      <w:r w:rsidR="00FC5181" w:rsidRPr="00312C86">
        <w:t>regulation</w:t>
      </w:r>
      <w:r w:rsidR="00312C86" w:rsidRPr="00312C86">
        <w:t> </w:t>
      </w:r>
      <w:r w:rsidR="00002A54" w:rsidRPr="00312C86">
        <w:t>3(3)</w:t>
      </w:r>
    </w:p>
    <w:p w:rsidR="00002A54" w:rsidRPr="00312C86" w:rsidRDefault="00002A54" w:rsidP="00002A54">
      <w:pPr>
        <w:pStyle w:val="Item"/>
      </w:pPr>
      <w:r w:rsidRPr="00312C86">
        <w:t xml:space="preserve">Omit </w:t>
      </w:r>
      <w:r w:rsidR="003502F3" w:rsidRPr="00312C86">
        <w:t>“</w:t>
      </w:r>
      <w:r w:rsidR="00A95509" w:rsidRPr="00312C86">
        <w:t>For paragraph</w:t>
      </w:r>
      <w:r w:rsidR="00312C86" w:rsidRPr="00312C86">
        <w:t> </w:t>
      </w:r>
      <w:r w:rsidR="00A95509" w:rsidRPr="00312C86">
        <w:t>6(1)(b) of the Act, in the financial year starting on 1</w:t>
      </w:r>
      <w:r w:rsidR="00312C86" w:rsidRPr="00312C86">
        <w:t> </w:t>
      </w:r>
      <w:r w:rsidR="00A95509" w:rsidRPr="00312C86">
        <w:t>July 2010, or a subsequent 1</w:t>
      </w:r>
      <w:r w:rsidR="00312C86" w:rsidRPr="00312C86">
        <w:t> </w:t>
      </w:r>
      <w:r w:rsidR="00A95509" w:rsidRPr="00312C86">
        <w:t>July</w:t>
      </w:r>
      <w:r w:rsidR="003502F3" w:rsidRPr="00312C86">
        <w:t>”</w:t>
      </w:r>
      <w:r w:rsidRPr="00312C86">
        <w:t xml:space="preserve">, substitute </w:t>
      </w:r>
      <w:r w:rsidR="003502F3" w:rsidRPr="00312C86">
        <w:t>“</w:t>
      </w:r>
      <w:r w:rsidR="00A95509" w:rsidRPr="00312C86">
        <w:t xml:space="preserve">In the financial year starting on or after </w:t>
      </w:r>
      <w:r w:rsidRPr="00312C86">
        <w:t>1</w:t>
      </w:r>
      <w:r w:rsidR="00312C86" w:rsidRPr="00312C86">
        <w:t> </w:t>
      </w:r>
      <w:r w:rsidRPr="00312C86">
        <w:t>July 2019</w:t>
      </w:r>
      <w:r w:rsidR="003502F3" w:rsidRPr="00312C86">
        <w:t>”</w:t>
      </w:r>
      <w:r w:rsidRPr="00312C86">
        <w:t>.</w:t>
      </w:r>
    </w:p>
    <w:p w:rsidR="002C36B8" w:rsidRPr="00312C86" w:rsidRDefault="00143F24" w:rsidP="002C36B8">
      <w:pPr>
        <w:pStyle w:val="ItemHead"/>
      </w:pPr>
      <w:r w:rsidRPr="00312C86">
        <w:t>9</w:t>
      </w:r>
      <w:r w:rsidR="002C36B8" w:rsidRPr="00312C86">
        <w:t xml:space="preserve">  Sub</w:t>
      </w:r>
      <w:r w:rsidR="00643F1C" w:rsidRPr="00312C86">
        <w:t>regulation</w:t>
      </w:r>
      <w:r w:rsidR="00312C86" w:rsidRPr="00312C86">
        <w:t> </w:t>
      </w:r>
      <w:r w:rsidR="002C36B8" w:rsidRPr="00312C86">
        <w:t>3(3)</w:t>
      </w:r>
    </w:p>
    <w:p w:rsidR="002C36B8" w:rsidRPr="00312C86" w:rsidRDefault="00230F7F" w:rsidP="002C36B8">
      <w:pPr>
        <w:pStyle w:val="Item"/>
      </w:pPr>
      <w:r w:rsidRPr="00312C86">
        <w:t>Omit</w:t>
      </w:r>
      <w:r w:rsidR="002C36B8" w:rsidRPr="00312C86">
        <w:t xml:space="preserve"> </w:t>
      </w:r>
      <w:r w:rsidR="003502F3" w:rsidRPr="00312C86">
        <w:t>“</w:t>
      </w:r>
      <w:r w:rsidRPr="00312C86">
        <w:t xml:space="preserve">a </w:t>
      </w:r>
      <w:r w:rsidR="002C36B8" w:rsidRPr="00312C86">
        <w:t>chargeable matter</w:t>
      </w:r>
      <w:r w:rsidR="003502F3" w:rsidRPr="00312C86">
        <w:t>”</w:t>
      </w:r>
      <w:r w:rsidR="002C36B8" w:rsidRPr="00312C86">
        <w:t xml:space="preserve">, </w:t>
      </w:r>
      <w:r w:rsidRPr="00312C86">
        <w:t>substitute</w:t>
      </w:r>
      <w:r w:rsidR="002C36B8" w:rsidRPr="00312C86">
        <w:t xml:space="preserve"> </w:t>
      </w:r>
      <w:r w:rsidR="003502F3" w:rsidRPr="00312C86">
        <w:t>“</w:t>
      </w:r>
      <w:r w:rsidR="002C36B8" w:rsidRPr="00312C86">
        <w:t>an indexable matter</w:t>
      </w:r>
      <w:r w:rsidR="003502F3" w:rsidRPr="00312C86">
        <w:t>”</w:t>
      </w:r>
      <w:r w:rsidR="002C36B8" w:rsidRPr="00312C86">
        <w:t>.</w:t>
      </w:r>
    </w:p>
    <w:p w:rsidR="00230F7F" w:rsidRPr="00312C86" w:rsidRDefault="00143F24" w:rsidP="00230F7F">
      <w:pPr>
        <w:pStyle w:val="ItemHead"/>
      </w:pPr>
      <w:r w:rsidRPr="00312C86">
        <w:t>10</w:t>
      </w:r>
      <w:r w:rsidR="00230F7F" w:rsidRPr="00312C86">
        <w:t xml:space="preserve">  Subregulation</w:t>
      </w:r>
      <w:r w:rsidR="00312C86" w:rsidRPr="00312C86">
        <w:t> </w:t>
      </w:r>
      <w:r w:rsidR="00230F7F" w:rsidRPr="00312C86">
        <w:t xml:space="preserve">3(3) (definition of </w:t>
      </w:r>
      <w:r w:rsidR="00230F7F" w:rsidRPr="00312C86">
        <w:rPr>
          <w:i/>
        </w:rPr>
        <w:t>previous indexable amount</w:t>
      </w:r>
      <w:r w:rsidR="00230F7F" w:rsidRPr="00312C86">
        <w:t>)</w:t>
      </w:r>
    </w:p>
    <w:p w:rsidR="00230F7F" w:rsidRPr="00312C86" w:rsidRDefault="00230F7F" w:rsidP="00230F7F">
      <w:pPr>
        <w:pStyle w:val="Item"/>
      </w:pPr>
      <w:r w:rsidRPr="00312C86">
        <w:t xml:space="preserve">Omit </w:t>
      </w:r>
      <w:r w:rsidR="003502F3" w:rsidRPr="00312C86">
        <w:t>“</w:t>
      </w:r>
      <w:r w:rsidRPr="00312C86">
        <w:t>chargeable matter</w:t>
      </w:r>
      <w:r w:rsidR="003502F3" w:rsidRPr="00312C86">
        <w:t>”</w:t>
      </w:r>
      <w:r w:rsidRPr="00312C86">
        <w:t xml:space="preserve">, substitute </w:t>
      </w:r>
      <w:r w:rsidR="003502F3" w:rsidRPr="00312C86">
        <w:t>“</w:t>
      </w:r>
      <w:r w:rsidRPr="00312C86">
        <w:t>indexable matter</w:t>
      </w:r>
      <w:r w:rsidR="003502F3" w:rsidRPr="00312C86">
        <w:t>”</w:t>
      </w:r>
      <w:r w:rsidRPr="00312C86">
        <w:t>.</w:t>
      </w:r>
    </w:p>
    <w:p w:rsidR="002C36B8" w:rsidRPr="00312C86" w:rsidRDefault="00143F24" w:rsidP="002C36B8">
      <w:pPr>
        <w:pStyle w:val="ItemHead"/>
      </w:pPr>
      <w:r w:rsidRPr="00312C86">
        <w:t>11</w:t>
      </w:r>
      <w:r w:rsidR="002C36B8" w:rsidRPr="00312C86">
        <w:t xml:space="preserve">  Subregulation</w:t>
      </w:r>
      <w:r w:rsidR="00312C86" w:rsidRPr="00312C86">
        <w:t> </w:t>
      </w:r>
      <w:r w:rsidR="002C36B8" w:rsidRPr="00312C86">
        <w:t>3(4)</w:t>
      </w:r>
    </w:p>
    <w:p w:rsidR="002C36B8" w:rsidRPr="00312C86" w:rsidRDefault="002C36B8" w:rsidP="002C36B8">
      <w:pPr>
        <w:pStyle w:val="Item"/>
      </w:pPr>
      <w:r w:rsidRPr="00312C86">
        <w:t xml:space="preserve">Omit </w:t>
      </w:r>
      <w:r w:rsidR="003502F3" w:rsidRPr="00312C86">
        <w:t>“</w:t>
      </w:r>
      <w:r w:rsidR="00A95509" w:rsidRPr="00312C86">
        <w:t>In the financial year starting on 1</w:t>
      </w:r>
      <w:r w:rsidR="00312C86" w:rsidRPr="00312C86">
        <w:t> </w:t>
      </w:r>
      <w:r w:rsidR="00A95509" w:rsidRPr="00312C86">
        <w:t>July 2010, or a subsequent 1</w:t>
      </w:r>
      <w:r w:rsidR="00312C86" w:rsidRPr="00312C86">
        <w:t> </w:t>
      </w:r>
      <w:r w:rsidR="00A95509" w:rsidRPr="00312C86">
        <w:t>July,</w:t>
      </w:r>
      <w:r w:rsidR="003502F3" w:rsidRPr="00312C86">
        <w:t>”</w:t>
      </w:r>
      <w:r w:rsidRPr="00312C86">
        <w:t xml:space="preserve">, substitute </w:t>
      </w:r>
      <w:r w:rsidR="003502F3" w:rsidRPr="00312C86">
        <w:t>“</w:t>
      </w:r>
      <w:r w:rsidR="00A95509" w:rsidRPr="00312C86">
        <w:t>In the financial year starting on or after 1</w:t>
      </w:r>
      <w:r w:rsidR="00312C86" w:rsidRPr="00312C86">
        <w:t> </w:t>
      </w:r>
      <w:r w:rsidR="00A95509" w:rsidRPr="00312C86">
        <w:t>July 2019</w:t>
      </w:r>
      <w:r w:rsidR="003502F3" w:rsidRPr="00312C86">
        <w:t>”</w:t>
      </w:r>
      <w:r w:rsidRPr="00312C86">
        <w:t>.</w:t>
      </w:r>
    </w:p>
    <w:p w:rsidR="002C36B8" w:rsidRPr="00312C86" w:rsidRDefault="00143F24" w:rsidP="002C36B8">
      <w:pPr>
        <w:pStyle w:val="ItemHead"/>
      </w:pPr>
      <w:r w:rsidRPr="00312C86">
        <w:t>12</w:t>
      </w:r>
      <w:r w:rsidR="002C36B8" w:rsidRPr="00312C86">
        <w:t xml:space="preserve">  Sub</w:t>
      </w:r>
      <w:r w:rsidR="00643F1C" w:rsidRPr="00312C86">
        <w:t>regulation</w:t>
      </w:r>
      <w:r w:rsidR="00312C86" w:rsidRPr="00312C86">
        <w:t> </w:t>
      </w:r>
      <w:r w:rsidR="002C36B8" w:rsidRPr="00312C86">
        <w:t>3(4)</w:t>
      </w:r>
    </w:p>
    <w:p w:rsidR="002C36B8" w:rsidRPr="00312C86" w:rsidRDefault="00230F7F" w:rsidP="002C36B8">
      <w:pPr>
        <w:pStyle w:val="Item"/>
      </w:pPr>
      <w:r w:rsidRPr="00312C86">
        <w:t>Omit</w:t>
      </w:r>
      <w:r w:rsidR="002C36B8" w:rsidRPr="00312C86">
        <w:t xml:space="preserve"> </w:t>
      </w:r>
      <w:r w:rsidR="003502F3" w:rsidRPr="00312C86">
        <w:t>“</w:t>
      </w:r>
      <w:r w:rsidRPr="00312C86">
        <w:t xml:space="preserve">a </w:t>
      </w:r>
      <w:r w:rsidR="002C36B8" w:rsidRPr="00312C86">
        <w:t>chargeable matter</w:t>
      </w:r>
      <w:r w:rsidR="003502F3" w:rsidRPr="00312C86">
        <w:t>”</w:t>
      </w:r>
      <w:r w:rsidR="002C36B8" w:rsidRPr="00312C86">
        <w:t xml:space="preserve">, </w:t>
      </w:r>
      <w:r w:rsidRPr="00312C86">
        <w:t>substitute</w:t>
      </w:r>
      <w:r w:rsidR="002C36B8" w:rsidRPr="00312C86">
        <w:t xml:space="preserve"> </w:t>
      </w:r>
      <w:r w:rsidR="003502F3" w:rsidRPr="00312C86">
        <w:t>“</w:t>
      </w:r>
      <w:r w:rsidR="002C36B8" w:rsidRPr="00312C86">
        <w:t>an indexable matter</w:t>
      </w:r>
      <w:r w:rsidR="003502F3" w:rsidRPr="00312C86">
        <w:t>”</w:t>
      </w:r>
      <w:r w:rsidR="002C36B8" w:rsidRPr="00312C86">
        <w:t>.</w:t>
      </w:r>
    </w:p>
    <w:p w:rsidR="00230F7F" w:rsidRPr="00312C86" w:rsidRDefault="00143F24" w:rsidP="00230F7F">
      <w:pPr>
        <w:pStyle w:val="ItemHead"/>
      </w:pPr>
      <w:r w:rsidRPr="00312C86">
        <w:t>13</w:t>
      </w:r>
      <w:r w:rsidR="00230F7F" w:rsidRPr="00312C86">
        <w:t xml:space="preserve">  Subregulation</w:t>
      </w:r>
      <w:r w:rsidR="00312C86" w:rsidRPr="00312C86">
        <w:t> </w:t>
      </w:r>
      <w:r w:rsidR="00230F7F" w:rsidRPr="00312C86">
        <w:t>3(4)</w:t>
      </w:r>
    </w:p>
    <w:p w:rsidR="00230F7F" w:rsidRPr="00312C86" w:rsidRDefault="00230F7F" w:rsidP="00230F7F">
      <w:pPr>
        <w:pStyle w:val="Item"/>
      </w:pPr>
      <w:r w:rsidRPr="00312C86">
        <w:t xml:space="preserve">Omit </w:t>
      </w:r>
      <w:r w:rsidR="003502F3" w:rsidRPr="00312C86">
        <w:t>“</w:t>
      </w:r>
      <w:r w:rsidRPr="00312C86">
        <w:t>the chargeable matter</w:t>
      </w:r>
      <w:r w:rsidR="003502F3" w:rsidRPr="00312C86">
        <w:t>”</w:t>
      </w:r>
      <w:r w:rsidRPr="00312C86">
        <w:t xml:space="preserve">, substitute </w:t>
      </w:r>
      <w:r w:rsidR="003502F3" w:rsidRPr="00312C86">
        <w:t>“</w:t>
      </w:r>
      <w:r w:rsidRPr="00312C86">
        <w:t>the indexable matter</w:t>
      </w:r>
      <w:r w:rsidR="003502F3" w:rsidRPr="00312C86">
        <w:t>”</w:t>
      </w:r>
      <w:r w:rsidRPr="00312C86">
        <w:t>.</w:t>
      </w:r>
    </w:p>
    <w:p w:rsidR="00643F1C" w:rsidRPr="00312C86" w:rsidRDefault="00143F24" w:rsidP="00643F1C">
      <w:pPr>
        <w:pStyle w:val="ItemHead"/>
      </w:pPr>
      <w:r w:rsidRPr="00312C86">
        <w:t>14</w:t>
      </w:r>
      <w:r w:rsidR="00643F1C" w:rsidRPr="00312C86">
        <w:t xml:space="preserve">  Subregulation</w:t>
      </w:r>
      <w:r w:rsidR="00312C86" w:rsidRPr="00312C86">
        <w:t> </w:t>
      </w:r>
      <w:r w:rsidR="00643F1C" w:rsidRPr="00312C86">
        <w:t>3(5)</w:t>
      </w:r>
    </w:p>
    <w:p w:rsidR="00643F1C" w:rsidRPr="00312C86" w:rsidRDefault="00643F1C" w:rsidP="00643F1C">
      <w:pPr>
        <w:pStyle w:val="Item"/>
      </w:pPr>
      <w:r w:rsidRPr="00312C86">
        <w:t>Repeal the sub</w:t>
      </w:r>
      <w:r w:rsidR="00D42EA2" w:rsidRPr="00312C86">
        <w:t>regulation</w:t>
      </w:r>
      <w:r w:rsidRPr="00312C86">
        <w:t>, substitute:</w:t>
      </w:r>
    </w:p>
    <w:p w:rsidR="00643F1C" w:rsidRPr="00312C86" w:rsidRDefault="00643F1C" w:rsidP="00643F1C">
      <w:pPr>
        <w:pStyle w:val="subsection"/>
      </w:pPr>
      <w:r w:rsidRPr="00312C86">
        <w:tab/>
        <w:t>(5)</w:t>
      </w:r>
      <w:r w:rsidRPr="00312C86">
        <w:tab/>
        <w:t>If the amount worked out under subregulation</w:t>
      </w:r>
      <w:r w:rsidR="00312C86" w:rsidRPr="00312C86">
        <w:t> </w:t>
      </w:r>
      <w:r w:rsidRPr="00312C86">
        <w:t>(3) is an amount of dollars and cents:</w:t>
      </w:r>
    </w:p>
    <w:p w:rsidR="00643F1C" w:rsidRPr="00312C86" w:rsidRDefault="00643F1C" w:rsidP="00643F1C">
      <w:pPr>
        <w:pStyle w:val="paragraph"/>
      </w:pPr>
      <w:r w:rsidRPr="00312C86">
        <w:tab/>
        <w:t>(a)</w:t>
      </w:r>
      <w:r w:rsidRPr="00312C86">
        <w:tab/>
        <w:t>if the amount of cents is at least 50 cents—the amount is to be rounded up to the nearest dollar; or</w:t>
      </w:r>
    </w:p>
    <w:p w:rsidR="00643F1C" w:rsidRPr="00312C86" w:rsidRDefault="00643F1C" w:rsidP="00643F1C">
      <w:pPr>
        <w:pStyle w:val="paragraph"/>
      </w:pPr>
      <w:r w:rsidRPr="00312C86">
        <w:tab/>
        <w:t>(b)</w:t>
      </w:r>
      <w:r w:rsidRPr="00312C86">
        <w:tab/>
        <w:t>otherwise—the amount is to be roun</w:t>
      </w:r>
      <w:r w:rsidR="00AB5DA3" w:rsidRPr="00312C86">
        <w:t>ded down to the nearest dollar.</w:t>
      </w:r>
    </w:p>
    <w:p w:rsidR="00967963" w:rsidRPr="00312C86" w:rsidRDefault="00143F24" w:rsidP="00967963">
      <w:pPr>
        <w:pStyle w:val="ItemHead"/>
      </w:pPr>
      <w:r w:rsidRPr="00312C86">
        <w:t>15</w:t>
      </w:r>
      <w:r w:rsidR="00967963" w:rsidRPr="00312C86">
        <w:t xml:space="preserve">  </w:t>
      </w:r>
      <w:r w:rsidR="00D42EA2" w:rsidRPr="00312C86">
        <w:t>Regulation</w:t>
      </w:r>
      <w:r w:rsidR="00312C86" w:rsidRPr="00312C86">
        <w:t> </w:t>
      </w:r>
      <w:r w:rsidR="00967963" w:rsidRPr="00312C86">
        <w:t>5 (heading)</w:t>
      </w:r>
    </w:p>
    <w:p w:rsidR="00967963" w:rsidRPr="00312C86" w:rsidRDefault="00967963" w:rsidP="00967963">
      <w:pPr>
        <w:pStyle w:val="Item"/>
      </w:pPr>
      <w:r w:rsidRPr="00312C86">
        <w:t>Repeal the heading, substitute:</w:t>
      </w:r>
    </w:p>
    <w:p w:rsidR="00967963" w:rsidRPr="00312C86" w:rsidRDefault="00967963" w:rsidP="00967963">
      <w:pPr>
        <w:pStyle w:val="ActHead5"/>
        <w:rPr>
          <w:b w:val="0"/>
        </w:rPr>
      </w:pPr>
      <w:bookmarkStart w:id="10" w:name="_Toc517938653"/>
      <w:r w:rsidRPr="00312C86">
        <w:rPr>
          <w:rStyle w:val="CharSectno"/>
        </w:rPr>
        <w:t>5</w:t>
      </w:r>
      <w:r w:rsidRPr="00312C86">
        <w:t xml:space="preserve">  Performance of ASIC functions</w:t>
      </w:r>
      <w:bookmarkEnd w:id="10"/>
    </w:p>
    <w:p w:rsidR="00CD2855" w:rsidRPr="00312C86" w:rsidRDefault="00143F24" w:rsidP="00CD2855">
      <w:pPr>
        <w:pStyle w:val="ItemHead"/>
      </w:pPr>
      <w:r w:rsidRPr="00312C86">
        <w:t>16</w:t>
      </w:r>
      <w:r w:rsidR="00CD2855" w:rsidRPr="00312C86">
        <w:t xml:space="preserve">  Before subregulation</w:t>
      </w:r>
      <w:r w:rsidR="00312C86" w:rsidRPr="00312C86">
        <w:t> </w:t>
      </w:r>
      <w:r w:rsidR="00CD2855" w:rsidRPr="00312C86">
        <w:t>5(1)</w:t>
      </w:r>
    </w:p>
    <w:p w:rsidR="00CD2855" w:rsidRPr="00312C86" w:rsidRDefault="00CD2855" w:rsidP="00CD2855">
      <w:pPr>
        <w:pStyle w:val="Item"/>
      </w:pPr>
      <w:r w:rsidRPr="00312C86">
        <w:t>Insert:</w:t>
      </w:r>
    </w:p>
    <w:p w:rsidR="00CD2855" w:rsidRPr="00312C86" w:rsidRDefault="00CD2855" w:rsidP="00CD2855">
      <w:pPr>
        <w:pStyle w:val="SubsectionHead"/>
      </w:pPr>
      <w:r w:rsidRPr="00312C86">
        <w:t>Matters with hourly fee rate</w:t>
      </w:r>
    </w:p>
    <w:p w:rsidR="00351FA8" w:rsidRPr="00312C86" w:rsidRDefault="00143F24" w:rsidP="00351FA8">
      <w:pPr>
        <w:pStyle w:val="ItemHead"/>
      </w:pPr>
      <w:r w:rsidRPr="00312C86">
        <w:t>17</w:t>
      </w:r>
      <w:r w:rsidR="00351FA8" w:rsidRPr="00312C86">
        <w:t xml:space="preserve">  Subregulation</w:t>
      </w:r>
      <w:r w:rsidR="00312C86" w:rsidRPr="00312C86">
        <w:t> </w:t>
      </w:r>
      <w:r w:rsidR="00351FA8" w:rsidRPr="00312C86">
        <w:t>5(3)</w:t>
      </w:r>
    </w:p>
    <w:p w:rsidR="00351FA8" w:rsidRPr="00312C86" w:rsidRDefault="00351FA8" w:rsidP="00351FA8">
      <w:pPr>
        <w:pStyle w:val="Item"/>
      </w:pPr>
      <w:r w:rsidRPr="00312C86">
        <w:t>Repeal the subregulation, substitute:</w:t>
      </w:r>
    </w:p>
    <w:p w:rsidR="00CD2855" w:rsidRPr="00312C86" w:rsidRDefault="00351FA8" w:rsidP="00CD2855">
      <w:pPr>
        <w:pStyle w:val="subsection"/>
      </w:pPr>
      <w:r w:rsidRPr="00312C86">
        <w:tab/>
      </w:r>
      <w:r w:rsidR="00CD2855" w:rsidRPr="00312C86">
        <w:t>(2A)</w:t>
      </w:r>
      <w:r w:rsidR="00CD2855" w:rsidRPr="00312C86">
        <w:tab/>
        <w:t>For the purposes of section</w:t>
      </w:r>
      <w:r w:rsidR="00312C86" w:rsidRPr="00312C86">
        <w:t> </w:t>
      </w:r>
      <w:r w:rsidR="00CD2855" w:rsidRPr="00312C86">
        <w:t>5 of the Act, the fee set out in subregulation</w:t>
      </w:r>
      <w:r w:rsidR="00312C86" w:rsidRPr="00312C86">
        <w:t> </w:t>
      </w:r>
      <w:r w:rsidR="00CD2855" w:rsidRPr="00312C86">
        <w:t>(3) is prescribed for the performance by ASIC of a function conferred on ASIC by the operating rules of a market as required by subsection</w:t>
      </w:r>
      <w:r w:rsidR="00312C86" w:rsidRPr="00312C86">
        <w:t> </w:t>
      </w:r>
      <w:r w:rsidR="00CD2855" w:rsidRPr="00312C86">
        <w:t>798DA(2) of the Corporations Act.</w:t>
      </w:r>
    </w:p>
    <w:p w:rsidR="00CD2855" w:rsidRPr="00312C86" w:rsidRDefault="00CD2855" w:rsidP="00CD2855">
      <w:pPr>
        <w:pStyle w:val="notetext"/>
      </w:pPr>
      <w:r w:rsidRPr="00312C86">
        <w:rPr>
          <w:iCs/>
        </w:rPr>
        <w:t>Note 1:</w:t>
      </w:r>
      <w:r w:rsidRPr="00312C86">
        <w:rPr>
          <w:iCs/>
        </w:rPr>
        <w:tab/>
      </w:r>
      <w:r w:rsidRPr="00312C86">
        <w:t xml:space="preserve">These functions are mentioned in </w:t>
      </w:r>
      <w:r w:rsidR="00312C86" w:rsidRPr="00312C86">
        <w:t>subparagraph (</w:t>
      </w:r>
      <w:r w:rsidRPr="00312C86">
        <w:t xml:space="preserve">k)(iii) of the definition of </w:t>
      </w:r>
      <w:r w:rsidRPr="00312C86">
        <w:rPr>
          <w:b/>
          <w:bCs/>
          <w:i/>
          <w:iCs/>
        </w:rPr>
        <w:t>chargeable matter</w:t>
      </w:r>
      <w:r w:rsidRPr="00312C86">
        <w:t xml:space="preserve"> in subsection</w:t>
      </w:r>
      <w:r w:rsidR="00312C86" w:rsidRPr="00312C86">
        <w:t> </w:t>
      </w:r>
      <w:r w:rsidRPr="00312C86">
        <w:t>4(1) of the Act.</w:t>
      </w:r>
      <w:r w:rsidRPr="00312C86">
        <w:rPr>
          <w:color w:val="000000"/>
        </w:rPr>
        <w:t xml:space="preserve"> Expressions that are defined in the </w:t>
      </w:r>
      <w:r w:rsidRPr="00312C86">
        <w:rPr>
          <w:iCs/>
          <w:color w:val="000000"/>
        </w:rPr>
        <w:t xml:space="preserve">Corporations Act </w:t>
      </w:r>
      <w:r w:rsidRPr="00312C86">
        <w:rPr>
          <w:color w:val="000000"/>
        </w:rPr>
        <w:t>have the same meanings in these Regulations: see subsection</w:t>
      </w:r>
      <w:r w:rsidR="00312C86" w:rsidRPr="00312C86">
        <w:rPr>
          <w:color w:val="000000"/>
        </w:rPr>
        <w:t> </w:t>
      </w:r>
      <w:r w:rsidRPr="00312C86">
        <w:rPr>
          <w:color w:val="000000"/>
        </w:rPr>
        <w:t>4(2) of the Act.</w:t>
      </w:r>
    </w:p>
    <w:p w:rsidR="00CD2855" w:rsidRPr="00312C86" w:rsidRDefault="00CD2855" w:rsidP="00CD2855">
      <w:pPr>
        <w:pStyle w:val="notetext"/>
      </w:pPr>
      <w:r w:rsidRPr="00312C86">
        <w:rPr>
          <w:iCs/>
        </w:rPr>
        <w:lastRenderedPageBreak/>
        <w:t>Note 2:</w:t>
      </w:r>
      <w:r w:rsidRPr="00312C86">
        <w:rPr>
          <w:iCs/>
        </w:rPr>
        <w:tab/>
      </w:r>
      <w:r w:rsidRPr="00312C86">
        <w:t>The fees in this subregulation</w:t>
      </w:r>
      <w:r w:rsidR="00312C86" w:rsidRPr="00312C86">
        <w:t> </w:t>
      </w:r>
      <w:r w:rsidRPr="00312C86">
        <w:t>are subject to limits imposed by section</w:t>
      </w:r>
      <w:r w:rsidR="00312C86" w:rsidRPr="00312C86">
        <w:t> </w:t>
      </w:r>
      <w:r w:rsidRPr="00312C86">
        <w:t>6 of the Act.</w:t>
      </w:r>
    </w:p>
    <w:p w:rsidR="00CD2855" w:rsidRPr="00312C86" w:rsidRDefault="00CD2855" w:rsidP="00CD2855">
      <w:pPr>
        <w:pStyle w:val="notetext"/>
      </w:pPr>
      <w:r w:rsidRPr="00312C86">
        <w:rPr>
          <w:iCs/>
        </w:rPr>
        <w:t>Note 3:</w:t>
      </w:r>
      <w:r w:rsidRPr="00312C86">
        <w:rPr>
          <w:iCs/>
        </w:rPr>
        <w:tab/>
      </w:r>
      <w:r w:rsidRPr="00312C86">
        <w:t>Paragraph 7(1)(k) of the Act identifies the person liable to pay the fee and the time at which the liability to pay the fee is incurred.</w:t>
      </w:r>
    </w:p>
    <w:p w:rsidR="00CD2855" w:rsidRPr="00312C86" w:rsidRDefault="00CD2855" w:rsidP="00CD2855">
      <w:pPr>
        <w:pStyle w:val="subsection"/>
      </w:pPr>
      <w:r w:rsidRPr="00312C86">
        <w:tab/>
        <w:t>(2B)</w:t>
      </w:r>
      <w:r w:rsidRPr="00312C86">
        <w:tab/>
        <w:t xml:space="preserve">For </w:t>
      </w:r>
      <w:r w:rsidR="002718AD" w:rsidRPr="00312C86">
        <w:t xml:space="preserve">the purposes of </w:t>
      </w:r>
      <w:r w:rsidRPr="00312C86">
        <w:t>section</w:t>
      </w:r>
      <w:r w:rsidR="00312C86" w:rsidRPr="00312C86">
        <w:t> </w:t>
      </w:r>
      <w:r w:rsidRPr="00312C86">
        <w:t>5 of the Act, the fee set out in subregulation</w:t>
      </w:r>
      <w:r w:rsidR="00312C86" w:rsidRPr="00312C86">
        <w:t> </w:t>
      </w:r>
      <w:r w:rsidRPr="00312C86">
        <w:t>(3) is prescribed for the performance by ASIC of a function required or permitted by regulations made for</w:t>
      </w:r>
      <w:r w:rsidR="002718AD" w:rsidRPr="00312C86">
        <w:t xml:space="preserve"> the purposes of</w:t>
      </w:r>
      <w:r w:rsidRPr="00312C86">
        <w:t xml:space="preserve"> subsection</w:t>
      </w:r>
      <w:r w:rsidR="00312C86" w:rsidRPr="00312C86">
        <w:t> </w:t>
      </w:r>
      <w:r w:rsidRPr="00312C86">
        <w:t>798E(1) of the Corporations Act.</w:t>
      </w:r>
    </w:p>
    <w:p w:rsidR="00CD2855" w:rsidRPr="00312C86" w:rsidRDefault="00CD2855" w:rsidP="00CD2855">
      <w:pPr>
        <w:pStyle w:val="notetext"/>
      </w:pPr>
      <w:r w:rsidRPr="00312C86">
        <w:t>Note 1:</w:t>
      </w:r>
      <w:r w:rsidRPr="00312C86">
        <w:tab/>
        <w:t xml:space="preserve">These functions are mentioned in </w:t>
      </w:r>
      <w:r w:rsidR="00312C86" w:rsidRPr="00312C86">
        <w:t>paragraph (</w:t>
      </w:r>
      <w:r w:rsidRPr="00312C86">
        <w:t xml:space="preserve">l) of the definition of </w:t>
      </w:r>
      <w:r w:rsidRPr="00312C86">
        <w:rPr>
          <w:b/>
          <w:i/>
        </w:rPr>
        <w:t>chargeable matter</w:t>
      </w:r>
      <w:r w:rsidRPr="00312C86">
        <w:t xml:space="preserve"> in subsection</w:t>
      </w:r>
      <w:r w:rsidR="00312C86" w:rsidRPr="00312C86">
        <w:t> </w:t>
      </w:r>
      <w:r w:rsidRPr="00312C86">
        <w:t>4(1) of the Act. Expressions that are defined in the Corporations Act have the same meanings in these Regulations: see subsection</w:t>
      </w:r>
      <w:r w:rsidR="00312C86" w:rsidRPr="00312C86">
        <w:t> </w:t>
      </w:r>
      <w:r w:rsidRPr="00312C86">
        <w:t>4(2) of the Act.</w:t>
      </w:r>
    </w:p>
    <w:p w:rsidR="00CD2855" w:rsidRPr="00312C86" w:rsidRDefault="00CD2855" w:rsidP="00CD2855">
      <w:pPr>
        <w:pStyle w:val="notetext"/>
      </w:pPr>
      <w:r w:rsidRPr="00312C86">
        <w:t>Note 2:</w:t>
      </w:r>
      <w:r w:rsidRPr="00312C86">
        <w:tab/>
        <w:t>Paragraph 7(1)(l) of the Act identifies the person liable to pay the fee and the time at which the liability to pay the fee is incurred.</w:t>
      </w:r>
    </w:p>
    <w:p w:rsidR="00351FA8" w:rsidRPr="00312C86" w:rsidRDefault="00CD2855" w:rsidP="00351FA8">
      <w:pPr>
        <w:pStyle w:val="subsection"/>
      </w:pPr>
      <w:r w:rsidRPr="00312C86">
        <w:tab/>
      </w:r>
      <w:r w:rsidR="00351FA8" w:rsidRPr="00312C86">
        <w:t>(3)</w:t>
      </w:r>
      <w:r w:rsidR="00351FA8" w:rsidRPr="00312C86">
        <w:tab/>
        <w:t>The fee is:</w:t>
      </w:r>
    </w:p>
    <w:p w:rsidR="00351FA8" w:rsidRPr="00312C86" w:rsidRDefault="007C5146" w:rsidP="00351FA8">
      <w:pPr>
        <w:pStyle w:val="subsection2"/>
      </w:pPr>
      <w:r w:rsidRPr="00312C86">
        <w:rPr>
          <w:position w:val="-32"/>
        </w:rPr>
        <w:object w:dxaOrig="49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3pt;height:36.7pt" o:ole="">
            <v:imagedata r:id="rId21" o:title=""/>
          </v:shape>
          <o:OLEObject Type="Embed" ProgID="Equation.DSMT4" ShapeID="_x0000_i1025" DrawAspect="Content" ObjectID="_1591698846" r:id="rId22"/>
        </w:object>
      </w:r>
    </w:p>
    <w:p w:rsidR="00351FA8" w:rsidRPr="00312C86" w:rsidRDefault="00D24CDB" w:rsidP="00351FA8">
      <w:pPr>
        <w:pStyle w:val="subsection"/>
      </w:pPr>
      <w:r w:rsidRPr="00312C86">
        <w:tab/>
      </w:r>
      <w:r w:rsidR="00351FA8" w:rsidRPr="00312C86">
        <w:t>(3A)</w:t>
      </w:r>
      <w:r w:rsidR="00351FA8" w:rsidRPr="00312C86">
        <w:tab/>
        <w:t>If the amount worked out under subregulation</w:t>
      </w:r>
      <w:r w:rsidR="00312C86" w:rsidRPr="00312C86">
        <w:t> </w:t>
      </w:r>
      <w:r w:rsidR="00351FA8" w:rsidRPr="00312C86">
        <w:t>(3) is an amount of dollars and cents:</w:t>
      </w:r>
    </w:p>
    <w:p w:rsidR="00351FA8" w:rsidRPr="00312C86" w:rsidRDefault="00351FA8" w:rsidP="00351FA8">
      <w:pPr>
        <w:pStyle w:val="paragraph"/>
      </w:pPr>
      <w:r w:rsidRPr="00312C86">
        <w:tab/>
        <w:t>(a)</w:t>
      </w:r>
      <w:r w:rsidRPr="00312C86">
        <w:tab/>
        <w:t>if the amount of cents is at least 50 cents—the amount is to be rounded up to the nearest dollar; or</w:t>
      </w:r>
    </w:p>
    <w:p w:rsidR="00F44B6F" w:rsidRPr="00312C86" w:rsidRDefault="00351FA8" w:rsidP="00E9720B">
      <w:pPr>
        <w:pStyle w:val="paragraph"/>
      </w:pPr>
      <w:r w:rsidRPr="00312C86">
        <w:tab/>
        <w:t>(b)</w:t>
      </w:r>
      <w:r w:rsidRPr="00312C86">
        <w:tab/>
        <w:t>otherwise—the amount is to be rounded down to the nearest dollar.</w:t>
      </w:r>
    </w:p>
    <w:p w:rsidR="00CD2855" w:rsidRPr="00312C86" w:rsidRDefault="00CD2855" w:rsidP="00CD2855">
      <w:pPr>
        <w:pStyle w:val="SubsectionHead"/>
      </w:pPr>
      <w:r w:rsidRPr="00312C86">
        <w:t>Other matters</w:t>
      </w:r>
    </w:p>
    <w:p w:rsidR="00CB65C8" w:rsidRPr="00312C86" w:rsidRDefault="00143F24" w:rsidP="00CB65C8">
      <w:pPr>
        <w:pStyle w:val="ItemHead"/>
      </w:pPr>
      <w:r w:rsidRPr="00312C86">
        <w:t>18</w:t>
      </w:r>
      <w:r w:rsidR="00CB65C8" w:rsidRPr="00312C86">
        <w:t xml:space="preserve">  Regulations</w:t>
      </w:r>
      <w:r w:rsidR="00312C86" w:rsidRPr="00312C86">
        <w:t> </w:t>
      </w:r>
      <w:r w:rsidR="00CB65C8" w:rsidRPr="00312C86">
        <w:t>6 and 7</w:t>
      </w:r>
    </w:p>
    <w:p w:rsidR="00CB65C8" w:rsidRPr="00312C86" w:rsidRDefault="00CB65C8" w:rsidP="00CB65C8">
      <w:pPr>
        <w:pStyle w:val="Item"/>
      </w:pPr>
      <w:r w:rsidRPr="00312C86">
        <w:t>Repeal the regulations.</w:t>
      </w:r>
    </w:p>
    <w:p w:rsidR="00322FB5" w:rsidRPr="00312C86" w:rsidRDefault="00143F24" w:rsidP="00322FB5">
      <w:pPr>
        <w:pStyle w:val="ItemHead"/>
      </w:pPr>
      <w:r w:rsidRPr="00312C86">
        <w:t>19</w:t>
      </w:r>
      <w:r w:rsidR="00322FB5" w:rsidRPr="00312C86">
        <w:t xml:space="preserve">  Subregulation</w:t>
      </w:r>
      <w:r w:rsidR="005C3A46" w:rsidRPr="00312C86">
        <w:t>s</w:t>
      </w:r>
      <w:r w:rsidR="00312C86" w:rsidRPr="00312C86">
        <w:t> </w:t>
      </w:r>
      <w:r w:rsidR="00322FB5" w:rsidRPr="00312C86">
        <w:t>9A(4)</w:t>
      </w:r>
      <w:r w:rsidR="005C3A46" w:rsidRPr="00312C86">
        <w:t xml:space="preserve"> and 9B(3)</w:t>
      </w:r>
    </w:p>
    <w:p w:rsidR="00322FB5" w:rsidRPr="00312C86" w:rsidRDefault="00322FB5" w:rsidP="00322FB5">
      <w:pPr>
        <w:pStyle w:val="Item"/>
      </w:pPr>
      <w:r w:rsidRPr="00312C86">
        <w:t xml:space="preserve">Omit </w:t>
      </w:r>
      <w:r w:rsidR="003502F3" w:rsidRPr="00312C86">
        <w:t>“</w:t>
      </w:r>
      <w:r w:rsidRPr="00312C86">
        <w:t>a chargeable matter</w:t>
      </w:r>
      <w:r w:rsidR="003502F3" w:rsidRPr="00312C86">
        <w:t>”</w:t>
      </w:r>
      <w:r w:rsidRPr="00312C86">
        <w:t xml:space="preserve">, substitute </w:t>
      </w:r>
      <w:r w:rsidR="003502F3" w:rsidRPr="00312C86">
        <w:t>“</w:t>
      </w:r>
      <w:r w:rsidRPr="00312C86">
        <w:t>an indexable matter</w:t>
      </w:r>
      <w:r w:rsidR="003502F3" w:rsidRPr="00312C86">
        <w:t>”</w:t>
      </w:r>
      <w:r w:rsidRPr="00312C86">
        <w:t>.</w:t>
      </w:r>
    </w:p>
    <w:p w:rsidR="00EE2AC2" w:rsidRPr="00312C86" w:rsidRDefault="00EE2AC2" w:rsidP="00EE2AC2">
      <w:pPr>
        <w:pStyle w:val="ItemHead"/>
      </w:pPr>
      <w:r w:rsidRPr="00312C86">
        <w:t>20  Subsection</w:t>
      </w:r>
      <w:r w:rsidR="00312C86" w:rsidRPr="00312C86">
        <w:t> </w:t>
      </w:r>
      <w:r w:rsidRPr="00312C86">
        <w:t>9B(4) (heading)</w:t>
      </w:r>
    </w:p>
    <w:p w:rsidR="00EE2AC2" w:rsidRPr="00312C86" w:rsidRDefault="00EE2AC2" w:rsidP="00EE2AC2">
      <w:pPr>
        <w:pStyle w:val="Item"/>
      </w:pPr>
      <w:r w:rsidRPr="00312C86">
        <w:t>Repeal the heading, substitute:</w:t>
      </w:r>
    </w:p>
    <w:p w:rsidR="00EE2AC2" w:rsidRPr="00312C86" w:rsidRDefault="00EE2AC2" w:rsidP="00EE2AC2">
      <w:pPr>
        <w:pStyle w:val="SubsectionHead"/>
      </w:pPr>
      <w:r w:rsidRPr="00312C86">
        <w:t>Relationship with item</w:t>
      </w:r>
      <w:r w:rsidR="00312C86" w:rsidRPr="00312C86">
        <w:t> </w:t>
      </w:r>
      <w:r w:rsidRPr="00312C86">
        <w:t>14 of Schedule</w:t>
      </w:r>
      <w:r w:rsidR="00312C86" w:rsidRPr="00312C86">
        <w:t> </w:t>
      </w:r>
      <w:r w:rsidRPr="00312C86">
        <w:t>2</w:t>
      </w:r>
    </w:p>
    <w:p w:rsidR="00DB2BAF" w:rsidRPr="00312C86" w:rsidRDefault="00EE2AC2" w:rsidP="00DB2BAF">
      <w:pPr>
        <w:pStyle w:val="ItemHead"/>
      </w:pPr>
      <w:r w:rsidRPr="00312C86">
        <w:t>21</w:t>
      </w:r>
      <w:r w:rsidR="00DB2BAF" w:rsidRPr="00312C86">
        <w:t xml:space="preserve">  Subsection</w:t>
      </w:r>
      <w:r w:rsidR="00312C86" w:rsidRPr="00312C86">
        <w:t> </w:t>
      </w:r>
      <w:r w:rsidR="00DB2BAF" w:rsidRPr="00312C86">
        <w:t>9B(4)</w:t>
      </w:r>
    </w:p>
    <w:p w:rsidR="00DB2BAF" w:rsidRPr="00312C86" w:rsidRDefault="00DB2BAF" w:rsidP="00DB2BAF">
      <w:pPr>
        <w:pStyle w:val="Item"/>
      </w:pPr>
      <w:r w:rsidRPr="00312C86">
        <w:t>Omit “Item</w:t>
      </w:r>
      <w:r w:rsidR="00312C86" w:rsidRPr="00312C86">
        <w:t> </w:t>
      </w:r>
      <w:r w:rsidRPr="00312C86">
        <w:t>28 of Schedule</w:t>
      </w:r>
      <w:r w:rsidR="00312C86" w:rsidRPr="00312C86">
        <w:t> </w:t>
      </w:r>
      <w:r w:rsidRPr="00312C86">
        <w:t>1”, substitute “Item</w:t>
      </w:r>
      <w:r w:rsidR="00312C86" w:rsidRPr="00312C86">
        <w:t> </w:t>
      </w:r>
      <w:r w:rsidRPr="00312C86">
        <w:t>14 of Schedule</w:t>
      </w:r>
      <w:r w:rsidR="00312C86" w:rsidRPr="00312C86">
        <w:t> </w:t>
      </w:r>
      <w:r w:rsidRPr="00312C86">
        <w:t>2”.</w:t>
      </w:r>
    </w:p>
    <w:p w:rsidR="00BB3022" w:rsidRPr="00312C86" w:rsidRDefault="00EE2AC2" w:rsidP="00AA1FEC">
      <w:pPr>
        <w:pStyle w:val="ItemHead"/>
      </w:pPr>
      <w:r w:rsidRPr="00312C86">
        <w:t>22</w:t>
      </w:r>
      <w:r w:rsidR="00BB3022" w:rsidRPr="00312C86">
        <w:t xml:space="preserve">  Schedule</w:t>
      </w:r>
      <w:r w:rsidR="00312C86" w:rsidRPr="00312C86">
        <w:t> </w:t>
      </w:r>
      <w:r w:rsidR="00BB3022" w:rsidRPr="00312C86">
        <w:t>1</w:t>
      </w:r>
    </w:p>
    <w:p w:rsidR="00BB3022" w:rsidRPr="00312C86" w:rsidRDefault="00BB3022" w:rsidP="00BB3022">
      <w:pPr>
        <w:pStyle w:val="Item"/>
      </w:pPr>
      <w:r w:rsidRPr="00312C86">
        <w:t>Repeal the Schedule, substitute:</w:t>
      </w:r>
    </w:p>
    <w:p w:rsidR="001D666A" w:rsidRPr="00312C86" w:rsidRDefault="001D666A" w:rsidP="001D666A">
      <w:pPr>
        <w:pStyle w:val="ActHead1"/>
      </w:pPr>
      <w:bookmarkStart w:id="11" w:name="_Toc517938654"/>
      <w:r w:rsidRPr="00312C86">
        <w:rPr>
          <w:rStyle w:val="CharChapNo"/>
        </w:rPr>
        <w:t>Schedule</w:t>
      </w:r>
      <w:r w:rsidR="00312C86" w:rsidRPr="00312C86">
        <w:rPr>
          <w:rStyle w:val="CharChapNo"/>
        </w:rPr>
        <w:t> </w:t>
      </w:r>
      <w:r w:rsidRPr="00312C86">
        <w:rPr>
          <w:rStyle w:val="CharChapNo"/>
        </w:rPr>
        <w:t>1</w:t>
      </w:r>
      <w:r w:rsidRPr="00312C86">
        <w:t>—</w:t>
      </w:r>
      <w:r w:rsidR="00130F7F" w:rsidRPr="00312C86">
        <w:rPr>
          <w:rStyle w:val="CharChapText"/>
        </w:rPr>
        <w:t>ASIC f</w:t>
      </w:r>
      <w:r w:rsidRPr="00312C86">
        <w:rPr>
          <w:rStyle w:val="CharChapText"/>
        </w:rPr>
        <w:t>ees</w:t>
      </w:r>
      <w:bookmarkEnd w:id="11"/>
    </w:p>
    <w:p w:rsidR="001D666A" w:rsidRPr="00312C86" w:rsidRDefault="001D666A" w:rsidP="001D666A">
      <w:pPr>
        <w:pStyle w:val="notemargin"/>
      </w:pPr>
      <w:r w:rsidRPr="00312C86">
        <w:t>Note:</w:t>
      </w:r>
      <w:r w:rsidRPr="00312C86">
        <w:tab/>
        <w:t>See regulation</w:t>
      </w:r>
      <w:r w:rsidR="00312C86" w:rsidRPr="00312C86">
        <w:t> </w:t>
      </w:r>
      <w:r w:rsidRPr="00312C86">
        <w:t>3.</w:t>
      </w:r>
    </w:p>
    <w:p w:rsidR="00CA5863" w:rsidRPr="00312C86" w:rsidRDefault="00CA5863" w:rsidP="00CA5863">
      <w:pPr>
        <w:pStyle w:val="Header"/>
      </w:pPr>
      <w:r w:rsidRPr="00312C86">
        <w:rPr>
          <w:rStyle w:val="CharPartNo"/>
        </w:rPr>
        <w:t xml:space="preserve"> </w:t>
      </w:r>
      <w:r w:rsidRPr="00312C86">
        <w:rPr>
          <w:rStyle w:val="CharPartText"/>
        </w:rPr>
        <w:t xml:space="preserve"> </w:t>
      </w:r>
    </w:p>
    <w:p w:rsidR="00CA5863" w:rsidRPr="00312C86" w:rsidRDefault="00CA5863" w:rsidP="00CA5863">
      <w:pPr>
        <w:pStyle w:val="Header"/>
      </w:pPr>
      <w:r w:rsidRPr="00312C86">
        <w:rPr>
          <w:rStyle w:val="CharDivNo"/>
        </w:rPr>
        <w:t xml:space="preserve"> </w:t>
      </w:r>
      <w:r w:rsidRPr="00312C86">
        <w:rPr>
          <w:rStyle w:val="CharDivText"/>
        </w:rPr>
        <w:t xml:space="preserve"> </w:t>
      </w:r>
    </w:p>
    <w:p w:rsidR="001D666A" w:rsidRPr="00312C86" w:rsidRDefault="00130F7F" w:rsidP="00F71A18">
      <w:pPr>
        <w:pStyle w:val="ActHead5"/>
      </w:pPr>
      <w:bookmarkStart w:id="12" w:name="_Toc517938655"/>
      <w:r w:rsidRPr="00312C86">
        <w:rPr>
          <w:rStyle w:val="CharSectno"/>
        </w:rPr>
        <w:t>1</w:t>
      </w:r>
      <w:r w:rsidRPr="00312C86">
        <w:t xml:space="preserve">  ASIC f</w:t>
      </w:r>
      <w:r w:rsidR="001D666A" w:rsidRPr="00312C86">
        <w:t>ees</w:t>
      </w:r>
      <w:bookmarkEnd w:id="12"/>
    </w:p>
    <w:p w:rsidR="001D666A" w:rsidRPr="00312C86" w:rsidRDefault="001D666A" w:rsidP="001D666A">
      <w:pPr>
        <w:pStyle w:val="subsection"/>
      </w:pPr>
      <w:r w:rsidRPr="00312C86">
        <w:tab/>
      </w:r>
      <w:r w:rsidRPr="00312C86">
        <w:tab/>
        <w:t>The following table prescribes fees</w:t>
      </w:r>
      <w:r w:rsidR="001E4E26" w:rsidRPr="00312C86">
        <w:t xml:space="preserve"> for chargeable matters</w:t>
      </w:r>
      <w:r w:rsidRPr="00312C86">
        <w:t xml:space="preserve"> for the purposes of </w:t>
      </w:r>
      <w:r w:rsidR="001E4E26" w:rsidRPr="00312C86">
        <w:t>sub</w:t>
      </w:r>
      <w:r w:rsidRPr="00312C86">
        <w:t>regulation</w:t>
      </w:r>
      <w:r w:rsidR="00312C86" w:rsidRPr="00312C86">
        <w:t> </w:t>
      </w:r>
      <w:r w:rsidRPr="00312C86">
        <w:t>3</w:t>
      </w:r>
      <w:r w:rsidR="001E4E26" w:rsidRPr="00312C86">
        <w:t>(1)</w:t>
      </w:r>
      <w:r w:rsidRPr="00312C86">
        <w:t>.</w:t>
      </w:r>
    </w:p>
    <w:p w:rsidR="001E4E26" w:rsidRPr="00312C86" w:rsidRDefault="001E4E26" w:rsidP="001E4E26">
      <w:pPr>
        <w:pStyle w:val="notetext"/>
      </w:pPr>
      <w:r w:rsidRPr="00312C86">
        <w:t>Note:</w:t>
      </w:r>
      <w:r w:rsidRPr="00312C86">
        <w:tab/>
        <w:t>See also regulation</w:t>
      </w:r>
      <w:r w:rsidR="00312C86" w:rsidRPr="00312C86">
        <w:t> </w:t>
      </w:r>
      <w:r w:rsidRPr="00312C86">
        <w:t>2 (interpretation).</w:t>
      </w:r>
    </w:p>
    <w:p w:rsidR="001D666A" w:rsidRPr="00312C86" w:rsidRDefault="001D666A" w:rsidP="001D666A">
      <w:pPr>
        <w:pStyle w:val="Tabletext"/>
      </w:pPr>
    </w:p>
    <w:tbl>
      <w:tblPr>
        <w:tblW w:w="4981" w:type="pct"/>
        <w:tblInd w:w="3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29"/>
        <w:gridCol w:w="6721"/>
        <w:gridCol w:w="1076"/>
      </w:tblGrid>
      <w:tr w:rsidR="001D666A" w:rsidRPr="00312C86" w:rsidTr="007076F2">
        <w:trPr>
          <w:trHeight w:val="57"/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D666A" w:rsidRPr="00312C86" w:rsidRDefault="00130F7F" w:rsidP="00727845">
            <w:pPr>
              <w:pStyle w:val="TableHeading"/>
            </w:pPr>
            <w:r w:rsidRPr="00312C86">
              <w:t>ASIC f</w:t>
            </w:r>
            <w:r w:rsidR="001D666A" w:rsidRPr="00312C86">
              <w:t>ees</w:t>
            </w:r>
          </w:p>
        </w:tc>
      </w:tr>
      <w:tr w:rsidR="001D666A" w:rsidRPr="00312C86" w:rsidTr="007076F2">
        <w:trPr>
          <w:trHeight w:val="57"/>
          <w:tblHeader/>
        </w:trPr>
        <w:tc>
          <w:tcPr>
            <w:tcW w:w="412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Heading"/>
            </w:pPr>
            <w:r w:rsidRPr="00312C86">
              <w:t>Item</w:t>
            </w:r>
          </w:p>
        </w:tc>
        <w:tc>
          <w:tcPr>
            <w:tcW w:w="39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D666A" w:rsidRPr="00312C86" w:rsidRDefault="001D666A" w:rsidP="001E4E26">
            <w:pPr>
              <w:pStyle w:val="TableHeading"/>
            </w:pPr>
            <w:r w:rsidRPr="00312C86">
              <w:t>Column 1</w:t>
            </w:r>
            <w:r w:rsidRPr="00312C86">
              <w:br/>
            </w:r>
            <w:r w:rsidR="001E4E26" w:rsidRPr="00312C86">
              <w:t>Chargeable m</w:t>
            </w:r>
            <w:r w:rsidRPr="00312C86">
              <w:t>atter</w:t>
            </w:r>
          </w:p>
        </w:tc>
        <w:tc>
          <w:tcPr>
            <w:tcW w:w="6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Heading"/>
            </w:pPr>
            <w:r w:rsidRPr="00312C86">
              <w:t>Column 2</w:t>
            </w:r>
            <w:r w:rsidRPr="00312C86">
              <w:br/>
              <w:t>Fee</w:t>
            </w:r>
          </w:p>
        </w:tc>
      </w:tr>
      <w:tr w:rsidR="001D666A" w:rsidRPr="00312C86" w:rsidTr="007076F2"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Heading"/>
            </w:pPr>
            <w:r w:rsidRPr="00312C86">
              <w:t>Occupational licensing</w:t>
            </w:r>
          </w:p>
        </w:tc>
      </w:tr>
      <w:tr w:rsidR="001D666A" w:rsidRPr="00312C86" w:rsidDel="00C17DE1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  <w:rPr>
                <w:rFonts w:eastAsia="Calibri"/>
              </w:rPr>
            </w:pPr>
            <w:r w:rsidRPr="00312C86">
              <w:rPr>
                <w:rFonts w:eastAsiaTheme="minorHAnsi"/>
              </w:rPr>
              <w:br w:type="page"/>
            </w:r>
            <w:r w:rsidRPr="00312C86">
              <w:rPr>
                <w:rFonts w:eastAsia="Calibri"/>
              </w:rPr>
              <w:t>1</w:t>
            </w: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D9125E">
            <w:pPr>
              <w:pStyle w:val="Tabletext"/>
            </w:pPr>
            <w:r w:rsidRPr="00312C86">
              <w:t>On lodging an application under section</w:t>
            </w:r>
            <w:r w:rsidR="00312C86" w:rsidRPr="00312C86">
              <w:t> </w:t>
            </w:r>
            <w:r w:rsidRPr="00312C86">
              <w:t>913A for an Australian financial services licence</w:t>
            </w:r>
            <w:r w:rsidR="00D9125E" w:rsidRPr="00312C86">
              <w:t xml:space="preserve">, if the application is lodged </w:t>
            </w:r>
            <w:r w:rsidRPr="00312C86">
              <w:t>using electronic means: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</w:tr>
      <w:tr w:rsidR="001D666A" w:rsidRPr="00312C86" w:rsidDel="00C17DE1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a"/>
              <w:rPr>
                <w:rFonts w:ascii="Courier New" w:eastAsia="Calibri" w:hAnsi="Courier New" w:cs="Courier New"/>
                <w:lang w:eastAsia="en-US"/>
              </w:rPr>
            </w:pPr>
            <w:r w:rsidRPr="00312C86">
              <w:t>(a) if the application is for a retail financial services licence and the applicant is an individual: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</w:tr>
      <w:tr w:rsidR="001D666A" w:rsidRPr="00312C86" w:rsidDel="00C17DE1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(i) low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$2,233</w:t>
            </w:r>
          </w:p>
        </w:tc>
      </w:tr>
      <w:tr w:rsidR="001D666A" w:rsidRPr="00312C86" w:rsidDel="00C17DE1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(ii) high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$5,025</w:t>
            </w: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(b) if the application is for a retail financial services licence and the applicant is not an individual: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</w:tr>
      <w:tr w:rsidR="001D666A" w:rsidRPr="00312C86" w:rsidDel="00C17DE1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(i) low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$3,721</w:t>
            </w:r>
          </w:p>
        </w:tc>
      </w:tr>
      <w:tr w:rsidR="001D666A" w:rsidRPr="00312C86" w:rsidDel="00C17DE1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(ii) high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$7,537</w:t>
            </w:r>
          </w:p>
        </w:tc>
      </w:tr>
      <w:tr w:rsidR="001D666A" w:rsidRPr="00312C86" w:rsidDel="00C17DE1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(c) if the application is for a wholesale financial services licence and the applicant is an individual: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</w:tr>
      <w:tr w:rsidR="001D666A" w:rsidRPr="00312C86" w:rsidDel="00C17DE1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(i) low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$1,488</w:t>
            </w:r>
          </w:p>
        </w:tc>
      </w:tr>
      <w:tr w:rsidR="001D666A" w:rsidRPr="00312C86" w:rsidDel="00C17DE1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(ii) high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$3,350</w:t>
            </w:r>
          </w:p>
        </w:tc>
      </w:tr>
      <w:tr w:rsidR="001D666A" w:rsidRPr="00312C86" w:rsidDel="00C17DE1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(d) if the application is for a wholesale financial services licence and the applicant is not an individual: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</w:tr>
      <w:tr w:rsidR="001D666A" w:rsidRPr="00312C86" w:rsidDel="00C17DE1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(i) low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$2,233</w:t>
            </w:r>
          </w:p>
        </w:tc>
      </w:tr>
      <w:tr w:rsidR="001D666A" w:rsidRPr="00312C86" w:rsidDel="00C17DE1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(ii) high complexity</w:t>
            </w:r>
          </w:p>
          <w:p w:rsidR="0030082B" w:rsidRPr="00312C86" w:rsidRDefault="0063226B" w:rsidP="00187019">
            <w:pPr>
              <w:pStyle w:val="notemargin"/>
            </w:pPr>
            <w:r w:rsidRPr="00312C86">
              <w:t>Note:</w:t>
            </w:r>
            <w:r w:rsidRPr="00312C86">
              <w:tab/>
            </w:r>
            <w:r w:rsidR="00F47408" w:rsidRPr="00312C86">
              <w:t>An application for an Australian financial services licence</w:t>
            </w:r>
            <w:r w:rsidR="00042F99" w:rsidRPr="00312C86">
              <w:t xml:space="preserve"> that covers the provision of </w:t>
            </w:r>
            <w:r w:rsidR="00F47408" w:rsidRPr="00312C86">
              <w:t>financial service</w:t>
            </w:r>
            <w:r w:rsidR="00042F99" w:rsidRPr="00312C86">
              <w:t>s</w:t>
            </w:r>
            <w:r w:rsidR="00F47408" w:rsidRPr="00312C86">
              <w:t xml:space="preserve"> to </w:t>
            </w:r>
            <w:r w:rsidR="00187019" w:rsidRPr="00312C86">
              <w:t>retail</w:t>
            </w:r>
            <w:r w:rsidR="00F47408" w:rsidRPr="00312C86">
              <w:t xml:space="preserve"> client</w:t>
            </w:r>
            <w:r w:rsidR="00042F99" w:rsidRPr="00312C86">
              <w:t>s and</w:t>
            </w:r>
            <w:r w:rsidR="00F47408" w:rsidRPr="00312C86">
              <w:t xml:space="preserve"> </w:t>
            </w:r>
            <w:r w:rsidR="00187019" w:rsidRPr="00312C86">
              <w:t xml:space="preserve">wholesale </w:t>
            </w:r>
            <w:r w:rsidR="00F47408" w:rsidRPr="00312C86">
              <w:t>client</w:t>
            </w:r>
            <w:r w:rsidR="00042F99" w:rsidRPr="00312C86">
              <w:t>s</w:t>
            </w:r>
            <w:r w:rsidR="00F47408" w:rsidRPr="00312C86">
              <w:t xml:space="preserve"> </w:t>
            </w:r>
            <w:r w:rsidR="008D3C81" w:rsidRPr="00312C86">
              <w:t xml:space="preserve">would be an application for a </w:t>
            </w:r>
            <w:r w:rsidR="00187019" w:rsidRPr="00312C86">
              <w:t>retail</w:t>
            </w:r>
            <w:r w:rsidR="008D3C81" w:rsidRPr="00312C86">
              <w:t xml:space="preserve"> financial services licence</w:t>
            </w:r>
            <w:r w:rsidR="00042F99" w:rsidRPr="00312C86">
              <w:t xml:space="preserve"> (as defined in regulation</w:t>
            </w:r>
            <w:r w:rsidR="00312C86" w:rsidRPr="00312C86">
              <w:t> </w:t>
            </w:r>
            <w:r w:rsidR="00042F99" w:rsidRPr="00312C86">
              <w:t>1B)</w:t>
            </w:r>
            <w:r w:rsidR="008D3C81" w:rsidRPr="00312C86">
              <w:t>.</w:t>
            </w:r>
          </w:p>
        </w:tc>
        <w:tc>
          <w:tcPr>
            <w:tcW w:w="6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$5,025</w:t>
            </w: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666A" w:rsidRPr="00312C86" w:rsidDel="00C17DE1" w:rsidRDefault="003B24A2" w:rsidP="00727845">
            <w:pPr>
              <w:pStyle w:val="Tabletext"/>
              <w:rPr>
                <w:rFonts w:ascii="Courier New" w:eastAsia="Calibri" w:hAnsi="Courier New" w:cs="Courier New"/>
                <w:lang w:eastAsia="en-US"/>
              </w:rPr>
            </w:pPr>
            <w:r w:rsidRPr="00312C86">
              <w:t>2</w:t>
            </w:r>
          </w:p>
        </w:tc>
        <w:tc>
          <w:tcPr>
            <w:tcW w:w="395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666A" w:rsidRPr="00312C86" w:rsidDel="00C17DE1" w:rsidRDefault="001D666A" w:rsidP="00D9125E">
            <w:pPr>
              <w:pStyle w:val="Tabletext"/>
            </w:pPr>
            <w:r w:rsidRPr="00312C86">
              <w:t>On lodging an application under section</w:t>
            </w:r>
            <w:r w:rsidR="00312C86" w:rsidRPr="00312C86">
              <w:t> </w:t>
            </w:r>
            <w:r w:rsidRPr="00312C86">
              <w:t>913A for an Australian financial services licence, if the application is lodged without using electronic means:</w:t>
            </w:r>
          </w:p>
        </w:tc>
        <w:tc>
          <w:tcPr>
            <w:tcW w:w="6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a"/>
              <w:rPr>
                <w:rFonts w:ascii="Courier New" w:eastAsia="Calibri" w:hAnsi="Courier New" w:cs="Courier New"/>
                <w:lang w:eastAsia="en-US"/>
              </w:rPr>
            </w:pPr>
            <w:r w:rsidRPr="00312C86">
              <w:t>(a) if the application is for a retail financial services licence and the applicant is an individual: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(i) low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$3,349</w:t>
            </w: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(ii) high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$7,537</w:t>
            </w: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(b) if the application is for a retail financial services licence and the applicant is not an individual: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(i) low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$5,582</w:t>
            </w: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(ii) high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$11,305</w:t>
            </w: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(c) if the application is for a wholesale financial services licence and the applicant is an individual: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(i) low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$2,233</w:t>
            </w: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CD718E" w:rsidRPr="00312C86" w:rsidRDefault="001D666A" w:rsidP="00D9125E">
            <w:pPr>
              <w:pStyle w:val="Tablei"/>
            </w:pPr>
            <w:r w:rsidRPr="00312C86">
              <w:t>(ii) high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D9125E" w:rsidP="00727845">
            <w:pPr>
              <w:pStyle w:val="Tabletext"/>
            </w:pPr>
            <w:r w:rsidRPr="00312C86">
              <w:t>$5,025</w:t>
            </w: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(d) if the application is for a wholesale financial services licence and the applicant is not an individual: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(i) low complexity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$3,349</w:t>
            </w: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666A" w:rsidRPr="00312C86" w:rsidDel="00C17DE1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i"/>
            </w:pPr>
            <w:r w:rsidRPr="00312C86">
              <w:t>(ii) high complexity</w:t>
            </w:r>
          </w:p>
          <w:p w:rsidR="001B3786" w:rsidRPr="00312C86" w:rsidRDefault="0063226B" w:rsidP="00187019">
            <w:pPr>
              <w:pStyle w:val="notemargin"/>
            </w:pPr>
            <w:r w:rsidRPr="00312C86">
              <w:t>Note:</w:t>
            </w:r>
            <w:r w:rsidRPr="00312C86">
              <w:tab/>
            </w:r>
            <w:r w:rsidR="00042F99" w:rsidRPr="00312C86">
              <w:t xml:space="preserve">An application for an Australian financial services licence that covers the provision of financial services to </w:t>
            </w:r>
            <w:r w:rsidR="00187019" w:rsidRPr="00312C86">
              <w:t>retail</w:t>
            </w:r>
            <w:r w:rsidR="00042F99" w:rsidRPr="00312C86">
              <w:t xml:space="preserve"> clients and </w:t>
            </w:r>
            <w:r w:rsidR="00187019" w:rsidRPr="00312C86">
              <w:t xml:space="preserve">wholesale </w:t>
            </w:r>
            <w:r w:rsidR="00042F99" w:rsidRPr="00312C86">
              <w:t xml:space="preserve">clients would be an application for a </w:t>
            </w:r>
            <w:r w:rsidR="00187019" w:rsidRPr="00312C86">
              <w:t>retail</w:t>
            </w:r>
            <w:r w:rsidR="00042F99" w:rsidRPr="00312C86">
              <w:t xml:space="preserve"> financial services licence (as defined in regulation</w:t>
            </w:r>
            <w:r w:rsidR="00312C86" w:rsidRPr="00312C86">
              <w:t> </w:t>
            </w:r>
            <w:r w:rsidR="00042F99" w:rsidRPr="00312C86">
              <w:t>1B).</w:t>
            </w:r>
          </w:p>
        </w:tc>
        <w:tc>
          <w:tcPr>
            <w:tcW w:w="6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$7,537</w:t>
            </w: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666A" w:rsidRPr="00312C86" w:rsidDel="00C17DE1" w:rsidRDefault="003B24A2" w:rsidP="00727845">
            <w:pPr>
              <w:pStyle w:val="Tabletext"/>
              <w:rPr>
                <w:rFonts w:ascii="Courier New" w:eastAsia="Calibri" w:hAnsi="Courier New" w:cs="Courier New"/>
                <w:lang w:eastAsia="en-US"/>
              </w:rPr>
            </w:pPr>
            <w:r w:rsidRPr="00312C86">
              <w:t>3</w:t>
            </w:r>
          </w:p>
        </w:tc>
        <w:tc>
          <w:tcPr>
            <w:tcW w:w="395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666A" w:rsidRPr="00312C86" w:rsidDel="00A7034E" w:rsidRDefault="001D666A" w:rsidP="005D2121">
            <w:pPr>
              <w:pStyle w:val="Tabletext"/>
              <w:rPr>
                <w:i/>
                <w:color w:val="000000"/>
              </w:rPr>
            </w:pPr>
            <w:r w:rsidRPr="00312C86">
              <w:t>On lodging an application under paragraph</w:t>
            </w:r>
            <w:r w:rsidR="00312C86" w:rsidRPr="00312C86">
              <w:t> </w:t>
            </w:r>
            <w:r w:rsidRPr="00312C86">
              <w:t xml:space="preserve">914A(2)(b) for imposition, variation </w:t>
            </w:r>
            <w:r w:rsidRPr="00312C86">
              <w:lastRenderedPageBreak/>
              <w:t xml:space="preserve">or revocation of conditions on an Australian financial services licence, if </w:t>
            </w:r>
            <w:r w:rsidR="005D2121" w:rsidRPr="00312C86">
              <w:t xml:space="preserve">the application is lodged </w:t>
            </w:r>
            <w:r w:rsidRPr="00312C86">
              <w:t>using electronic means:</w:t>
            </w:r>
          </w:p>
        </w:tc>
        <w:tc>
          <w:tcPr>
            <w:tcW w:w="6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1D666A" w:rsidP="00AE663A">
            <w:pPr>
              <w:pStyle w:val="Tablea"/>
              <w:rPr>
                <w:rFonts w:ascii="Courier New" w:eastAsia="Calibri" w:hAnsi="Courier New" w:cs="Courier New"/>
                <w:lang w:eastAsia="en-US"/>
              </w:rPr>
            </w:pPr>
            <w:r w:rsidRPr="00312C86">
              <w:t xml:space="preserve">(a) if </w:t>
            </w:r>
            <w:r w:rsidR="00AE663A" w:rsidRPr="00312C86">
              <w:t>the licensee is an individual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Del="00C17DE1" w:rsidRDefault="00AE663A" w:rsidP="00727845">
            <w:pPr>
              <w:pStyle w:val="Tabletext"/>
            </w:pPr>
            <w:r w:rsidRPr="00312C86">
              <w:t>$2,214</w:t>
            </w:r>
          </w:p>
        </w:tc>
      </w:tr>
      <w:tr w:rsidR="001D666A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AE663A">
            <w:pPr>
              <w:pStyle w:val="Tablea"/>
            </w:pPr>
            <w:r w:rsidRPr="00312C86">
              <w:t>(b) if th</w:t>
            </w:r>
            <w:r w:rsidR="00D775CB" w:rsidRPr="00312C86">
              <w:t>e licensee is not an individual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AE663A" w:rsidP="00727845">
            <w:pPr>
              <w:pStyle w:val="Tabletext"/>
            </w:pPr>
            <w:r w:rsidRPr="00312C86">
              <w:t>$2,470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4</w:t>
            </w:r>
          </w:p>
        </w:tc>
        <w:tc>
          <w:tcPr>
            <w:tcW w:w="395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Del="00A7034E" w:rsidRDefault="00E25633" w:rsidP="005D2121">
            <w:pPr>
              <w:pStyle w:val="Tabletext"/>
              <w:rPr>
                <w:i/>
                <w:color w:val="000000"/>
              </w:rPr>
            </w:pPr>
            <w:r w:rsidRPr="00312C86">
              <w:t>On lodging an application under paragraph</w:t>
            </w:r>
            <w:r w:rsidR="00312C86" w:rsidRPr="00312C86">
              <w:t> </w:t>
            </w:r>
            <w:r w:rsidRPr="00312C86">
              <w:t>914A(2)(b) for imposition, variation or revocation of conditions on an Australian financial services licence, if the application is lodged without using electronic means:</w:t>
            </w:r>
          </w:p>
        </w:tc>
        <w:tc>
          <w:tcPr>
            <w:tcW w:w="6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C17DE1" w:rsidRDefault="00E25633" w:rsidP="00AE663A">
            <w:pPr>
              <w:pStyle w:val="Tablea"/>
              <w:rPr>
                <w:rFonts w:ascii="Courier New" w:eastAsia="Calibri" w:hAnsi="Courier New" w:cs="Courier New"/>
                <w:lang w:eastAsia="en-US"/>
              </w:rPr>
            </w:pPr>
            <w:r w:rsidRPr="00312C86">
              <w:t>(a) if the licensee is an individual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C17DE1" w:rsidRDefault="00E25633" w:rsidP="00727845">
            <w:pPr>
              <w:pStyle w:val="Tabletext"/>
            </w:pPr>
            <w:r w:rsidRPr="00312C86">
              <w:t>$3,328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AE663A">
            <w:pPr>
              <w:pStyle w:val="Tablea"/>
            </w:pPr>
            <w:r w:rsidRPr="00312C86">
              <w:t>(b) if th</w:t>
            </w:r>
            <w:r w:rsidR="00D775CB" w:rsidRPr="00312C86">
              <w:t>e licensee is not an individual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$3,704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5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application to ASIC for approval of a deed of subordination or deed of mutual release as required by a condition imposed on a licence under section</w:t>
            </w:r>
            <w:r w:rsidR="00312C86" w:rsidRPr="00312C86">
              <w:t> </w:t>
            </w:r>
            <w:r w:rsidRPr="00312C86">
              <w:t>914A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  <w:rPr>
                <w:highlight w:val="yellow"/>
              </w:rPr>
            </w:pPr>
            <w:r w:rsidRPr="00312C86">
              <w:t>$1,798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6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lodging an application under subsection</w:t>
            </w:r>
            <w:r w:rsidR="00312C86" w:rsidRPr="00312C86">
              <w:t> </w:t>
            </w:r>
            <w:r w:rsidRPr="00312C86">
              <w:t>915A(1) for variation of an Australian financial services licence to take account of a change in the licensee’s name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42673D">
            <w:pPr>
              <w:pStyle w:val="Tabletext"/>
              <w:rPr>
                <w:rFonts w:eastAsia="Calibri"/>
              </w:rPr>
            </w:pPr>
            <w:r w:rsidRPr="00312C86">
              <w:t>no fee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7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application under paragraph</w:t>
            </w:r>
            <w:r w:rsidR="00312C86" w:rsidRPr="00312C86">
              <w:t> </w:t>
            </w:r>
            <w:r w:rsidRPr="00312C86">
              <w:t>915B(1)(e), (2)(d), (3)(d) or (4)(d) to suspend or cancel an Australian financial services licence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  <w:rPr>
                <w:rFonts w:ascii="Courier New" w:eastAsia="Calibri" w:hAnsi="Courier New" w:cs="Courier New"/>
                <w:lang w:eastAsia="en-US"/>
              </w:rPr>
            </w:pPr>
            <w:r w:rsidRPr="00312C86">
              <w:t>$899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8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application for ASIC to revoke a suspension of an Australian financial services licence mentioned in section</w:t>
            </w:r>
            <w:r w:rsidR="00312C86" w:rsidRPr="00312C86">
              <w:t> </w:t>
            </w:r>
            <w:r w:rsidRPr="00312C86">
              <w:t>915E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$899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9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application under Part</w:t>
            </w:r>
            <w:r w:rsidR="00312C86" w:rsidRPr="00312C86">
              <w:t> </w:t>
            </w:r>
            <w:r w:rsidRPr="00312C86">
              <w:t>9.2 for registration as an auditor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$338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10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lodging a statement under section</w:t>
            </w:r>
            <w:r w:rsidR="00312C86" w:rsidRPr="00312C86">
              <w:t> </w:t>
            </w:r>
            <w:r w:rsidRPr="00312C86">
              <w:t>1287A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no fee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11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application under paragraph</w:t>
            </w:r>
            <w:r w:rsidR="00312C86" w:rsidRPr="00312C86">
              <w:t> </w:t>
            </w:r>
            <w:r w:rsidRPr="00312C86">
              <w:t>1289A(3)(b) for imposition, variation or revocation of conditions on registration as an auditor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$1,028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12</w:t>
            </w:r>
          </w:p>
        </w:tc>
        <w:tc>
          <w:tcPr>
            <w:tcW w:w="39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lodging an application under section</w:t>
            </w:r>
            <w:r w:rsidR="00312C86" w:rsidRPr="00312C86">
              <w:t> </w:t>
            </w:r>
            <w:r w:rsidRPr="00312C86">
              <w:t>20</w:t>
            </w:r>
            <w:r w:rsidR="00312C86">
              <w:noBreakHyphen/>
            </w:r>
            <w:r w:rsidRPr="00312C86">
              <w:t>5 of Schedule</w:t>
            </w:r>
            <w:r w:rsidR="00312C86" w:rsidRPr="00312C86">
              <w:t> </w:t>
            </w:r>
            <w:r w:rsidRPr="00312C86">
              <w:t>2 to the Corporations Act for registration as a liquidator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$2,200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13</w:t>
            </w:r>
          </w:p>
        </w:tc>
        <w:tc>
          <w:tcPr>
            <w:tcW w:w="39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For the registration by ASIC of a person as a liquidator under section</w:t>
            </w:r>
            <w:r w:rsidR="00312C86" w:rsidRPr="00312C86">
              <w:t> </w:t>
            </w:r>
            <w:r w:rsidRPr="00312C86">
              <w:t>20</w:t>
            </w:r>
            <w:r w:rsidR="00312C86">
              <w:noBreakHyphen/>
            </w:r>
            <w:r w:rsidRPr="00312C86">
              <w:t>30 of Schedule</w:t>
            </w:r>
            <w:r w:rsidR="00312C86" w:rsidRPr="00312C86">
              <w:t> </w:t>
            </w:r>
            <w:r w:rsidRPr="00312C86">
              <w:t>2 to the Corporations Act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$1,300</w:t>
            </w:r>
          </w:p>
        </w:tc>
      </w:tr>
      <w:tr w:rsidR="00E25633" w:rsidRPr="00312C86" w:rsidTr="007076F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14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application under section</w:t>
            </w:r>
            <w:r w:rsidR="00312C86" w:rsidRPr="00312C86">
              <w:t> </w:t>
            </w:r>
            <w:r w:rsidRPr="00312C86">
              <w:t>20</w:t>
            </w:r>
            <w:r w:rsidR="00312C86">
              <w:noBreakHyphen/>
            </w:r>
            <w:r w:rsidRPr="00312C86">
              <w:t>40 of Schedule</w:t>
            </w:r>
            <w:r w:rsidR="00312C86" w:rsidRPr="00312C86">
              <w:t> </w:t>
            </w:r>
            <w:r w:rsidRPr="00312C86">
              <w:t>2 to the Corporations Act for a condition on registration as a liquidator to be varied or removed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$1,018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15</w:t>
            </w:r>
          </w:p>
        </w:tc>
        <w:tc>
          <w:tcPr>
            <w:tcW w:w="39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lodging an application under section</w:t>
            </w:r>
            <w:r w:rsidR="00312C86" w:rsidRPr="00312C86">
              <w:t> </w:t>
            </w:r>
            <w:r w:rsidRPr="00312C86">
              <w:t>20</w:t>
            </w:r>
            <w:r w:rsidR="00312C86">
              <w:noBreakHyphen/>
            </w:r>
            <w:r w:rsidRPr="00312C86">
              <w:t>70 of Schedule</w:t>
            </w:r>
            <w:r w:rsidR="00312C86" w:rsidRPr="00312C86">
              <w:t> </w:t>
            </w:r>
            <w:r w:rsidRPr="00312C86">
              <w:t>2 to the Corporations Act for the renewal of registration as a liquidator: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a"/>
            </w:pPr>
            <w:r w:rsidRPr="00312C86">
              <w:t>(a) if the application is lodged more than 1 month before the renewal date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E25633" w:rsidRPr="00312C86" w:rsidRDefault="00E25633" w:rsidP="00B641CD">
            <w:pPr>
              <w:pStyle w:val="Tabletext"/>
            </w:pPr>
            <w:r w:rsidRPr="00312C86">
              <w:t>$1,720</w:t>
            </w:r>
          </w:p>
        </w:tc>
      </w:tr>
      <w:tr w:rsidR="00E25633" w:rsidRPr="00312C86" w:rsidTr="007076F2">
        <w:trPr>
          <w:cantSplit/>
        </w:trPr>
        <w:tc>
          <w:tcPr>
            <w:tcW w:w="412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a"/>
            </w:pPr>
            <w:r w:rsidRPr="00312C86">
              <w:t>(b) if the application is lodged within 1 month before the renewal date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$1,920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16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application under paragraph</w:t>
            </w:r>
            <w:r w:rsidR="00312C86" w:rsidRPr="00312C86">
              <w:t> </w:t>
            </w:r>
            <w:r w:rsidRPr="00312C86">
              <w:t>40</w:t>
            </w:r>
            <w:r w:rsidR="00312C86">
              <w:noBreakHyphen/>
            </w:r>
            <w:r w:rsidRPr="00312C86">
              <w:t>25(1)(f) or 40</w:t>
            </w:r>
            <w:r w:rsidR="00312C86">
              <w:noBreakHyphen/>
            </w:r>
            <w:r w:rsidRPr="00312C86">
              <w:t>30(1)(f) of Schedule</w:t>
            </w:r>
            <w:r w:rsidR="00312C86" w:rsidRPr="00312C86">
              <w:t> </w:t>
            </w:r>
            <w:r w:rsidRPr="00312C86">
              <w:t>2 to the Corporations Act to suspend or cancel registration as a liquidator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  <w:rPr>
                <w:highlight w:val="yellow"/>
              </w:rPr>
            </w:pPr>
            <w:r w:rsidRPr="00312C86">
              <w:t>$234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17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5C0E66">
            <w:pPr>
              <w:pStyle w:val="Tabletext"/>
            </w:pPr>
            <w:r w:rsidRPr="00312C86">
              <w:t>On application under subsection</w:t>
            </w:r>
            <w:r w:rsidR="00312C86" w:rsidRPr="00312C86">
              <w:t> </w:t>
            </w:r>
            <w:r w:rsidRPr="00312C86">
              <w:t>40</w:t>
            </w:r>
            <w:r w:rsidR="00312C86">
              <w:noBreakHyphen/>
            </w:r>
            <w:r w:rsidRPr="00312C86">
              <w:t>70(2) of Schedule</w:t>
            </w:r>
            <w:r w:rsidR="00312C86" w:rsidRPr="00312C86">
              <w:t> </w:t>
            </w:r>
            <w:r w:rsidRPr="00312C86">
              <w:t>2 to the Corporations Act for a suspension to be lifted or for the period of a suspension to be shortened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$1,018</w:t>
            </w:r>
          </w:p>
        </w:tc>
      </w:tr>
      <w:tr w:rsidR="001D666A" w:rsidRPr="00312C86" w:rsidTr="007076F2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Heading"/>
            </w:pPr>
            <w:r w:rsidRPr="00312C86">
              <w:t>Incorporation and registration of companies and other bodies</w:t>
            </w:r>
          </w:p>
        </w:tc>
      </w:tr>
      <w:tr w:rsidR="001D666A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18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On application under section</w:t>
            </w:r>
            <w:r w:rsidR="00312C86" w:rsidRPr="00312C86">
              <w:t> </w:t>
            </w:r>
            <w:r w:rsidRPr="00312C86">
              <w:t>601EA for registration of a managed investment scheme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$3,029</w:t>
            </w:r>
          </w:p>
        </w:tc>
      </w:tr>
      <w:tr w:rsidR="001D666A" w:rsidRPr="00312C86" w:rsidTr="007076F2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66A" w:rsidRPr="00312C86" w:rsidDel="00C604D6" w:rsidRDefault="001D666A" w:rsidP="00727845">
            <w:pPr>
              <w:pStyle w:val="TableHeading"/>
            </w:pPr>
            <w:r w:rsidRPr="00312C86">
              <w:t>Annual returns and accounts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19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  <w:r w:rsidRPr="00312C86">
              <w:t>On lodging a report under section</w:t>
            </w:r>
            <w:r w:rsidR="00312C86" w:rsidRPr="00312C86">
              <w:t> </w:t>
            </w:r>
            <w:r w:rsidRPr="00312C86">
              <w:t>320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  <w:r w:rsidRPr="00312C86">
              <w:t>no fee</w:t>
            </w:r>
          </w:p>
        </w:tc>
      </w:tr>
      <w:tr w:rsidR="00E25633" w:rsidRPr="00312C86" w:rsidDel="00D11261" w:rsidTr="007076F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2" w:type="pct"/>
            <w:gridSpan w:val="2"/>
            <w:shd w:val="clear" w:color="auto" w:fill="auto"/>
          </w:tcPr>
          <w:p w:rsidR="00E25633" w:rsidRPr="00312C86" w:rsidDel="00D11261" w:rsidRDefault="003B24A2" w:rsidP="00DB2BAF">
            <w:pPr>
              <w:pStyle w:val="Tabletext"/>
            </w:pPr>
            <w:r w:rsidRPr="00312C86">
              <w:t>20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D11261" w:rsidRDefault="00E25633" w:rsidP="00727845">
            <w:pPr>
              <w:pStyle w:val="Tabletext"/>
            </w:pPr>
            <w:r w:rsidRPr="00312C86">
              <w:t>On lodging a profit and loss statement and balance sheet under subsection</w:t>
            </w:r>
            <w:r w:rsidR="00312C86" w:rsidRPr="00312C86">
              <w:t> </w:t>
            </w:r>
            <w:r w:rsidRPr="00312C86">
              <w:t>989B(2)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D11261" w:rsidRDefault="00E25633" w:rsidP="00727845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Tr="007076F2">
        <w:tc>
          <w:tcPr>
            <w:tcW w:w="5000" w:type="pct"/>
            <w:gridSpan w:val="4"/>
            <w:shd w:val="clear" w:color="auto" w:fill="auto"/>
          </w:tcPr>
          <w:p w:rsidR="001D666A" w:rsidRPr="00312C86" w:rsidDel="00A7034E" w:rsidRDefault="001D666A" w:rsidP="00727845">
            <w:pPr>
              <w:pStyle w:val="TableHeading"/>
            </w:pPr>
            <w:r w:rsidRPr="00312C86">
              <w:lastRenderedPageBreak/>
              <w:t>Fundraising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21</w:t>
            </w:r>
          </w:p>
        </w:tc>
        <w:tc>
          <w:tcPr>
            <w:tcW w:w="39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  <w:r w:rsidRPr="00312C86">
              <w:t>On lodging, under subsection</w:t>
            </w:r>
            <w:r w:rsidR="00312C86" w:rsidRPr="00312C86">
              <w:t> </w:t>
            </w:r>
            <w:r w:rsidRPr="00312C86">
              <w:t xml:space="preserve">712(4), </w:t>
            </w:r>
            <w:r w:rsidR="00D775CB" w:rsidRPr="00312C86">
              <w:t xml:space="preserve">a </w:t>
            </w:r>
            <w:r w:rsidRPr="00312C86">
              <w:t>document referred to in a short form prospectus</w:t>
            </w:r>
          </w:p>
        </w:tc>
        <w:tc>
          <w:tcPr>
            <w:tcW w:w="63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$321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bottom w:val="nil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22</w:t>
            </w:r>
          </w:p>
        </w:tc>
        <w:tc>
          <w:tcPr>
            <w:tcW w:w="3955" w:type="pct"/>
            <w:tcBorders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  <w:r w:rsidRPr="00312C86">
              <w:t>On lodging, under section</w:t>
            </w:r>
            <w:r w:rsidR="00312C86" w:rsidRPr="00312C86">
              <w:t> </w:t>
            </w:r>
            <w:r w:rsidRPr="00312C86">
              <w:t>718, a disclosure document that is:</w:t>
            </w:r>
          </w:p>
        </w:tc>
        <w:tc>
          <w:tcPr>
            <w:tcW w:w="633" w:type="pct"/>
            <w:tcBorders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a"/>
            </w:pPr>
            <w:r w:rsidRPr="00312C86">
              <w:t>(a) a prospectus (including a short form prospectus)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  <w:r w:rsidRPr="00312C86">
              <w:t>$3,206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a"/>
            </w:pPr>
            <w:r w:rsidRPr="00312C86">
              <w:t>(b) a profile statement</w:t>
            </w:r>
            <w:r w:rsidR="00D775CB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  <w:r w:rsidRPr="00312C86">
              <w:t>$1,924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a"/>
            </w:pPr>
            <w:r w:rsidRPr="00312C86">
              <w:t>(c) an offer information statement</w:t>
            </w:r>
          </w:p>
        </w:tc>
        <w:tc>
          <w:tcPr>
            <w:tcW w:w="633" w:type="pct"/>
            <w:tcBorders>
              <w:top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  <w:r w:rsidRPr="00312C86">
              <w:t>$1,924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23</w:t>
            </w: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  <w:r w:rsidRPr="00312C86">
              <w:t>On lodging, under section</w:t>
            </w:r>
            <w:r w:rsidR="00312C86" w:rsidRPr="00312C86">
              <w:t> </w:t>
            </w:r>
            <w:r w:rsidRPr="00312C86">
              <w:t>719, a supplementary or replacement document that is: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a"/>
            </w:pPr>
            <w:r w:rsidRPr="00312C86">
              <w:t>(a) a prospectus (including a short form prospectus)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$802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a"/>
            </w:pPr>
            <w:r w:rsidRPr="00312C86">
              <w:t>(b) a profile statement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F55268">
            <w:pPr>
              <w:pStyle w:val="Tabletext"/>
            </w:pPr>
            <w:r w:rsidRPr="00312C86">
              <w:t>$321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a"/>
            </w:pPr>
            <w:r w:rsidRPr="00312C86">
              <w:t>(c) an offer information statement</w:t>
            </w:r>
          </w:p>
        </w:tc>
        <w:tc>
          <w:tcPr>
            <w:tcW w:w="6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$321</w:t>
            </w:r>
          </w:p>
        </w:tc>
      </w:tr>
      <w:tr w:rsidR="001D666A" w:rsidRPr="00312C86" w:rsidTr="007076F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Heading"/>
            </w:pPr>
            <w:r w:rsidRPr="00312C86">
              <w:t>Takeovers</w:t>
            </w:r>
          </w:p>
        </w:tc>
      </w:tr>
      <w:tr w:rsidR="00BD132E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132E" w:rsidRPr="00312C86" w:rsidRDefault="00BD132E" w:rsidP="001323F1">
            <w:pPr>
              <w:pStyle w:val="Tabletext"/>
            </w:pPr>
            <w:r w:rsidRPr="00312C86">
              <w:t>24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132E" w:rsidRPr="00312C86" w:rsidRDefault="00BD132E" w:rsidP="001323F1">
            <w:pPr>
              <w:pStyle w:val="Tabletext"/>
            </w:pPr>
            <w:r w:rsidRPr="00312C86">
              <w:t>On lodging a notice with ASIC under paragraph</w:t>
            </w:r>
            <w:r w:rsidR="00312C86" w:rsidRPr="00312C86">
              <w:t> </w:t>
            </w:r>
            <w:r w:rsidRPr="00312C86">
              <w:t>630(5)(c), items</w:t>
            </w:r>
            <w:r w:rsidR="00312C86" w:rsidRPr="00312C86">
              <w:t> </w:t>
            </w:r>
            <w:r w:rsidRPr="00312C86">
              <w:t>4 and 9 of the table in subsection</w:t>
            </w:r>
            <w:r w:rsidR="00312C86" w:rsidRPr="00312C86">
              <w:t> </w:t>
            </w:r>
            <w:r w:rsidRPr="00312C86">
              <w:t>633(1) and paragraphs 633(4)(b) and 650F(3)(b)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132E" w:rsidRPr="00312C86" w:rsidRDefault="00BD132E" w:rsidP="001323F1">
            <w:pPr>
              <w:pStyle w:val="Tabletext"/>
            </w:pPr>
            <w:r w:rsidRPr="00312C86">
              <w:t>no fee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BD132E" w:rsidP="00DB2BAF">
            <w:pPr>
              <w:pStyle w:val="Tabletext"/>
            </w:pPr>
            <w:r w:rsidRPr="00312C86">
              <w:t>25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DF6D0C">
            <w:pPr>
              <w:pStyle w:val="Tabletext"/>
            </w:pPr>
            <w:r w:rsidRPr="00312C86">
              <w:t>On lodging, under subsection</w:t>
            </w:r>
            <w:r w:rsidR="00312C86" w:rsidRPr="00312C86">
              <w:t> </w:t>
            </w:r>
            <w:r w:rsidRPr="00312C86">
              <w:t>633(1), a copy of a bidder’s statement for an off</w:t>
            </w:r>
            <w:r w:rsidR="00312C86">
              <w:noBreakHyphen/>
            </w:r>
            <w:r w:rsidRPr="00312C86">
              <w:t>market bid for a class of securities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$5,264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BD132E" w:rsidP="00DB2BAF">
            <w:pPr>
              <w:pStyle w:val="Tabletext"/>
            </w:pPr>
            <w:r w:rsidRPr="00312C86">
              <w:t>26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1E4002">
            <w:pPr>
              <w:pStyle w:val="Tabletext"/>
            </w:pPr>
            <w:r w:rsidRPr="00312C86">
              <w:t>On lodging with ASIC a target’s statement (and any accompanying report) mentioned in item</w:t>
            </w:r>
            <w:r w:rsidR="00312C86" w:rsidRPr="00312C86">
              <w:t> </w:t>
            </w:r>
            <w:r w:rsidRPr="00312C86">
              <w:t>13 of the table in subsection</w:t>
            </w:r>
            <w:r w:rsidR="00312C86" w:rsidRPr="00312C86">
              <w:t> </w:t>
            </w:r>
            <w:r w:rsidRPr="00312C86">
              <w:t>633(1) in relation to an off</w:t>
            </w:r>
            <w:r w:rsidR="00312C86">
              <w:noBreakHyphen/>
            </w:r>
            <w:r w:rsidRPr="00312C86">
              <w:t>market bid for a class of securities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$2,565</w:t>
            </w:r>
          </w:p>
        </w:tc>
      </w:tr>
      <w:tr w:rsidR="00E25633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BD132E" w:rsidP="00DB2BAF">
            <w:pPr>
              <w:pStyle w:val="Tabletext"/>
            </w:pPr>
            <w:r w:rsidRPr="00312C86">
              <w:t>27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0F0BBB">
            <w:pPr>
              <w:pStyle w:val="Tabletext"/>
            </w:pPr>
            <w:r w:rsidRPr="00312C86">
              <w:t>On lodging with ASIC a target’s statement (and any other document that was sent with the target’s statement to the relevant market operator) mentioned in item</w:t>
            </w:r>
            <w:r w:rsidR="00312C86" w:rsidRPr="00312C86">
              <w:t> </w:t>
            </w:r>
            <w:r w:rsidRPr="00312C86">
              <w:t>12 of the table in subsection</w:t>
            </w:r>
            <w:r w:rsidR="00312C86" w:rsidRPr="00312C86">
              <w:t> </w:t>
            </w:r>
            <w:r w:rsidRPr="00312C86">
              <w:t>635(1) in relation to a market bid for a class of securities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$2,565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BD132E" w:rsidP="00DB2BAF">
            <w:pPr>
              <w:pStyle w:val="Tabletext"/>
            </w:pPr>
            <w:r w:rsidRPr="00312C86">
              <w:t>28</w:t>
            </w:r>
          </w:p>
        </w:tc>
        <w:tc>
          <w:tcPr>
            <w:tcW w:w="3955" w:type="pct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lodging, under subsection</w:t>
            </w:r>
            <w:r w:rsidR="00312C86" w:rsidRPr="00312C86">
              <w:t> </w:t>
            </w:r>
            <w:r w:rsidRPr="00312C86">
              <w:t>635(1), a copy of the bidder’s statement for a market bid for a class of securities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$5,130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BD132E" w:rsidP="00DB2BAF">
            <w:pPr>
              <w:pStyle w:val="Tabletext"/>
            </w:pPr>
            <w:r w:rsidRPr="00312C86">
              <w:t>29</w:t>
            </w:r>
          </w:p>
        </w:tc>
        <w:tc>
          <w:tcPr>
            <w:tcW w:w="3955" w:type="pct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lodging, under item</w:t>
            </w:r>
            <w:r w:rsidR="00312C86" w:rsidRPr="00312C86">
              <w:t> </w:t>
            </w:r>
            <w:r w:rsidRPr="00312C86">
              <w:t>7 of the table in subsection</w:t>
            </w:r>
            <w:r w:rsidR="00312C86" w:rsidRPr="00312C86">
              <w:t> </w:t>
            </w:r>
            <w:r w:rsidRPr="00312C86">
              <w:t>635(1), a copy of every other document sent to holders of bid class securities with the bidder’s statement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no fee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BD132E" w:rsidP="00DB2BAF">
            <w:pPr>
              <w:pStyle w:val="Tabletext"/>
            </w:pPr>
            <w:r w:rsidRPr="00312C86">
              <w:t>30</w:t>
            </w:r>
          </w:p>
        </w:tc>
        <w:tc>
          <w:tcPr>
            <w:tcW w:w="3955" w:type="pct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F55268">
            <w:pPr>
              <w:pStyle w:val="Tabletext"/>
            </w:pPr>
            <w:r w:rsidRPr="00312C86">
              <w:t>On lodging, under paragraph</w:t>
            </w:r>
            <w:r w:rsidR="00312C86" w:rsidRPr="00312C86">
              <w:t> </w:t>
            </w:r>
            <w:r w:rsidRPr="00312C86">
              <w:t>647(3)(a), a supplementary statement in relation to a takeover bid for a class of securities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$802</w:t>
            </w:r>
          </w:p>
        </w:tc>
      </w:tr>
      <w:tr w:rsidR="00BD132E" w:rsidRPr="00312C86" w:rsidTr="007076F2">
        <w:tc>
          <w:tcPr>
            <w:tcW w:w="4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132E" w:rsidRPr="00312C86" w:rsidRDefault="00BD132E" w:rsidP="001323F1">
            <w:pPr>
              <w:pStyle w:val="Tabletext"/>
            </w:pPr>
            <w:r w:rsidRPr="00312C86">
              <w:t>31</w:t>
            </w:r>
          </w:p>
        </w:tc>
        <w:tc>
          <w:tcPr>
            <w:tcW w:w="3955" w:type="pct"/>
            <w:tcBorders>
              <w:bottom w:val="single" w:sz="4" w:space="0" w:color="auto"/>
            </w:tcBorders>
            <w:shd w:val="clear" w:color="auto" w:fill="auto"/>
          </w:tcPr>
          <w:p w:rsidR="00BD132E" w:rsidRPr="00312C86" w:rsidRDefault="00BD132E" w:rsidP="001323F1">
            <w:pPr>
              <w:pStyle w:val="Tabletext"/>
            </w:pPr>
            <w:r w:rsidRPr="00312C86">
              <w:t>On lodging, under subsection</w:t>
            </w:r>
            <w:r w:rsidR="00312C86" w:rsidRPr="00312C86">
              <w:t> </w:t>
            </w:r>
            <w:r w:rsidRPr="00312C86">
              <w:t>648G(9), a copy of a Court order in relation to proportional takeover provisions in a constitution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BD132E" w:rsidRPr="00312C86" w:rsidRDefault="00BD132E" w:rsidP="001323F1">
            <w:pPr>
              <w:pStyle w:val="Tabletext"/>
            </w:pPr>
            <w:r w:rsidRPr="00312C86">
              <w:t>no fee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BD132E" w:rsidP="00DB2BAF">
            <w:pPr>
              <w:pStyle w:val="Tabletext"/>
            </w:pPr>
            <w:r w:rsidRPr="00312C86">
              <w:t>32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F55268">
            <w:pPr>
              <w:pStyle w:val="Tabletext"/>
            </w:pPr>
            <w:r w:rsidRPr="00312C86">
              <w:t>On lodging a notice with ASIC, as required by subsection</w:t>
            </w:r>
            <w:r w:rsidR="00312C86" w:rsidRPr="00312C86">
              <w:t> </w:t>
            </w:r>
            <w:r w:rsidRPr="00312C86">
              <w:t>649C(2) or paragraph</w:t>
            </w:r>
            <w:r w:rsidR="00312C86" w:rsidRPr="00312C86">
              <w:t> </w:t>
            </w:r>
            <w:r w:rsidRPr="00312C86">
              <w:t>650D(1)(b), to vary an offer under a market bid or off</w:t>
            </w:r>
            <w:r w:rsidR="00312C86">
              <w:noBreakHyphen/>
            </w:r>
            <w:r w:rsidRPr="00312C86">
              <w:t>market bid for a class of securities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$802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33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94008A">
            <w:pPr>
              <w:pStyle w:val="Tabletext"/>
            </w:pPr>
            <w:r w:rsidRPr="00312C86">
              <w:t>On lodging a notice with ASIC under paragraph</w:t>
            </w:r>
            <w:r w:rsidR="00312C86" w:rsidRPr="00312C86">
              <w:t> </w:t>
            </w:r>
            <w:r w:rsidRPr="00312C86">
              <w:t>654C(3)(b) in relation to a bidder’s voting power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Tr="007076F2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66A" w:rsidRPr="00312C86" w:rsidDel="00E748F3" w:rsidRDefault="001D666A" w:rsidP="00727845">
            <w:pPr>
              <w:pStyle w:val="TableHeading"/>
            </w:pPr>
            <w:r w:rsidRPr="00312C86">
              <w:t>Market licensees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34</w:t>
            </w:r>
          </w:p>
        </w:tc>
        <w:tc>
          <w:tcPr>
            <w:tcW w:w="3955" w:type="pct"/>
            <w:tcBorders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4473D9">
            <w:pPr>
              <w:pStyle w:val="Tabletext"/>
            </w:pPr>
            <w:r w:rsidRPr="00312C86">
              <w:t>On giving an exemption under subsection</w:t>
            </w:r>
            <w:r w:rsidR="00312C86" w:rsidRPr="00312C86">
              <w:t> </w:t>
            </w:r>
            <w:r w:rsidRPr="00312C86">
              <w:t>791C(1) in relation to a particular financial market or type of financial market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CE5FC7">
            <w:pPr>
              <w:pStyle w:val="Tabletext"/>
            </w:pPr>
            <w:r w:rsidRPr="00312C86">
              <w:t>$1,340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35</w:t>
            </w:r>
          </w:p>
        </w:tc>
        <w:tc>
          <w:tcPr>
            <w:tcW w:w="3955" w:type="pct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8482F">
            <w:pPr>
              <w:pStyle w:val="Tabletext"/>
            </w:pPr>
            <w:r w:rsidRPr="00312C86">
              <w:t>On application</w:t>
            </w:r>
            <w:r w:rsidR="00E631D2" w:rsidRPr="00312C86">
              <w:t xml:space="preserve"> </w:t>
            </w:r>
            <w:r w:rsidRPr="00312C86">
              <w:t>to the Minister to vary, under subsection</w:t>
            </w:r>
            <w:r w:rsidR="00312C86" w:rsidRPr="00312C86">
              <w:t> </w:t>
            </w:r>
            <w:r w:rsidRPr="00312C86">
              <w:t>791C(2), an exemption from all or specified provisions of Part</w:t>
            </w:r>
            <w:r w:rsidR="00312C86" w:rsidRPr="00312C86">
              <w:t> </w:t>
            </w:r>
            <w:r w:rsidRPr="00312C86">
              <w:t>7.2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$17,179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36</w:t>
            </w:r>
          </w:p>
        </w:tc>
        <w:tc>
          <w:tcPr>
            <w:tcW w:w="3955" w:type="pct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E631D2">
            <w:pPr>
              <w:pStyle w:val="Tabletext"/>
            </w:pPr>
            <w:r w:rsidRPr="00312C86">
              <w:t>On application to the Minister to revoke, under subsection</w:t>
            </w:r>
            <w:r w:rsidR="00312C86" w:rsidRPr="00312C86">
              <w:t> </w:t>
            </w:r>
            <w:r w:rsidRPr="00312C86">
              <w:t>791C(2), an exemption from all or specified provisions of Part</w:t>
            </w:r>
            <w:r w:rsidR="00312C86" w:rsidRPr="00312C86">
              <w:t> </w:t>
            </w:r>
            <w:r w:rsidRPr="00312C86">
              <w:t>7.2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no fee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37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On giving an annual report to ASIC under subsection</w:t>
            </w:r>
            <w:r w:rsidR="00312C86" w:rsidRPr="00312C86">
              <w:t> </w:t>
            </w:r>
            <w:r w:rsidRPr="00312C86">
              <w:t>792F(1)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no fee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lastRenderedPageBreak/>
              <w:t>38</w:t>
            </w:r>
          </w:p>
        </w:tc>
        <w:tc>
          <w:tcPr>
            <w:tcW w:w="395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  <w:r w:rsidRPr="00312C86">
              <w:t>On lodging written notice of changes to operating rules with ASIC under subsection</w:t>
            </w:r>
            <w:r w:rsidR="00312C86" w:rsidRPr="00312C86">
              <w:t> </w:t>
            </w:r>
            <w:r w:rsidRPr="00312C86">
              <w:t>793D(1):</w:t>
            </w:r>
          </w:p>
        </w:tc>
        <w:tc>
          <w:tcPr>
            <w:tcW w:w="6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A7034E" w:rsidRDefault="00E25633" w:rsidP="001365BC">
            <w:pPr>
              <w:pStyle w:val="Tablea"/>
            </w:pPr>
            <w:r w:rsidRPr="00312C86">
              <w:t>(a) low complexity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1365BC">
            <w:pPr>
              <w:pStyle w:val="Tabletext"/>
            </w:pPr>
            <w:r w:rsidRPr="00312C86">
              <w:t>$2,580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a"/>
            </w:pPr>
            <w:r w:rsidRPr="00312C86">
              <w:t>(b) medium complexity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$18,035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a"/>
            </w:pPr>
            <w:r w:rsidRPr="00312C86">
              <w:t>(c) high complexity</w:t>
            </w:r>
          </w:p>
        </w:tc>
        <w:tc>
          <w:tcPr>
            <w:tcW w:w="6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551A05">
            <w:pPr>
              <w:pStyle w:val="Tabletext"/>
            </w:pPr>
            <w:r w:rsidRPr="00312C86">
              <w:t>$44,660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39</w:t>
            </w:r>
          </w:p>
        </w:tc>
        <w:tc>
          <w:tcPr>
            <w:tcW w:w="395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  <w:r w:rsidRPr="00312C86">
              <w:t>On lodging written notice of changes to operating rules with ASIC under subsection</w:t>
            </w:r>
            <w:r w:rsidR="00312C86" w:rsidRPr="00312C86">
              <w:t> </w:t>
            </w:r>
            <w:r w:rsidRPr="00312C86">
              <w:t>793D(3)</w:t>
            </w:r>
          </w:p>
        </w:tc>
        <w:tc>
          <w:tcPr>
            <w:tcW w:w="6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$1,549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40</w:t>
            </w:r>
          </w:p>
        </w:tc>
        <w:tc>
          <w:tcPr>
            <w:tcW w:w="395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795A(1), for an Australian market licence:</w:t>
            </w:r>
          </w:p>
        </w:tc>
        <w:tc>
          <w:tcPr>
            <w:tcW w:w="6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a"/>
            </w:pPr>
            <w:r w:rsidRPr="00312C86">
              <w:t>(a) low complexity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$15,462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a"/>
            </w:pPr>
            <w:r w:rsidRPr="00312C86">
              <w:t>(b) medium complexity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$85,888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a"/>
            </w:pPr>
            <w:r w:rsidRPr="00312C86">
              <w:t>(c) high complexity</w:t>
            </w:r>
          </w:p>
        </w:tc>
        <w:tc>
          <w:tcPr>
            <w:tcW w:w="6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$154,596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41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796A(2), for:</w:t>
            </w:r>
          </w:p>
          <w:p w:rsidR="00E25633" w:rsidRPr="00312C86" w:rsidRDefault="00E25633" w:rsidP="00727845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(a) the imposition of conditions on an Australian market licence; or</w:t>
            </w:r>
          </w:p>
          <w:p w:rsidR="00E25633" w:rsidRPr="00312C86" w:rsidRDefault="00E25633" w:rsidP="00727845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(b) the imposition of additional conditions on an Australian market licence; or</w:t>
            </w:r>
          </w:p>
          <w:p w:rsidR="00E25633" w:rsidRPr="00312C86" w:rsidRDefault="00E25633" w:rsidP="00727845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(c) the variation of conditions imposed on an Australian market licence; or</w:t>
            </w:r>
          </w:p>
          <w:p w:rsidR="00E25633" w:rsidRPr="00312C86" w:rsidDel="00E748F3" w:rsidRDefault="00E25633" w:rsidP="00727845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(d) the revocation of conditions imposed on an Australian market licence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$38,651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42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797A(1), for the variation of an Australian market licence to take account of a change in the licensee’s name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$1,549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43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application, under paragraph</w:t>
            </w:r>
            <w:r w:rsidR="00312C86" w:rsidRPr="00312C86">
              <w:t> </w:t>
            </w:r>
            <w:r w:rsidRPr="00312C86">
              <w:t>797B(c), for the Minister to suspend or cancel an Australian market licence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no fee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44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application for an exemption or declaration under section</w:t>
            </w:r>
            <w:r w:rsidR="00312C86" w:rsidRPr="00312C86">
              <w:t> </w:t>
            </w:r>
            <w:r w:rsidRPr="00312C86">
              <w:t>798D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$17,180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45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E748F3" w:rsidRDefault="00E25633" w:rsidP="004473D9">
            <w:pPr>
              <w:pStyle w:val="Tabletext"/>
              <w:keepNext/>
            </w:pPr>
            <w:r w:rsidRPr="00312C86">
              <w:t>On giving an exemption under subsection</w:t>
            </w:r>
            <w:r w:rsidR="00312C86" w:rsidRPr="00312C86">
              <w:t> </w:t>
            </w:r>
            <w:r w:rsidRPr="00312C86">
              <w:t>820C(1) in relation to a particular clearing and settlement facility or type of clearing and settlement facility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E748F3" w:rsidRDefault="00E25633" w:rsidP="00CE5FC7">
            <w:pPr>
              <w:pStyle w:val="Tabletext"/>
              <w:keepNext/>
            </w:pPr>
            <w:r w:rsidRPr="00312C86">
              <w:t>$1,340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46</w:t>
            </w:r>
          </w:p>
        </w:tc>
        <w:tc>
          <w:tcPr>
            <w:tcW w:w="395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25633" w:rsidRPr="00312C86" w:rsidRDefault="00E25633" w:rsidP="00607DD8">
            <w:pPr>
              <w:pStyle w:val="Tabletext"/>
            </w:pPr>
            <w:r w:rsidRPr="00312C86">
              <w:t>On application to the Minister to vary, under subsection</w:t>
            </w:r>
            <w:r w:rsidR="00312C86" w:rsidRPr="00312C86">
              <w:t> </w:t>
            </w:r>
            <w:r w:rsidRPr="00312C86">
              <w:t>820C(2), an exemption from all or specified provisions of Part</w:t>
            </w:r>
            <w:r w:rsidR="00312C86" w:rsidRPr="00312C86">
              <w:t> </w:t>
            </w:r>
            <w:r w:rsidRPr="00312C86">
              <w:t>7.3</w:t>
            </w:r>
          </w:p>
        </w:tc>
        <w:tc>
          <w:tcPr>
            <w:tcW w:w="63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$17,179</w:t>
            </w:r>
          </w:p>
        </w:tc>
      </w:tr>
      <w:tr w:rsidR="00E25633" w:rsidRPr="00312C86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47</w:t>
            </w:r>
          </w:p>
        </w:tc>
        <w:tc>
          <w:tcPr>
            <w:tcW w:w="395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25633" w:rsidRPr="00312C86" w:rsidRDefault="00E25633" w:rsidP="00607DD8">
            <w:pPr>
              <w:pStyle w:val="Tabletext"/>
            </w:pPr>
            <w:r w:rsidRPr="00312C86">
              <w:t>On application to the Minister to revoke, under subsection</w:t>
            </w:r>
            <w:r w:rsidR="00312C86" w:rsidRPr="00312C86">
              <w:t> </w:t>
            </w:r>
            <w:r w:rsidRPr="00312C86">
              <w:t>820C(2), an exemption from all or specified provisions of Part</w:t>
            </w:r>
            <w:r w:rsidR="00312C86" w:rsidRPr="00312C86">
              <w:t> </w:t>
            </w:r>
            <w:r w:rsidRPr="00312C86">
              <w:t>7.3</w:t>
            </w:r>
          </w:p>
        </w:tc>
        <w:tc>
          <w:tcPr>
            <w:tcW w:w="63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no fee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48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giving an annual report to ASIC under subsection</w:t>
            </w:r>
            <w:r w:rsidR="00312C86" w:rsidRPr="00312C86">
              <w:t> </w:t>
            </w:r>
            <w:r w:rsidRPr="00312C86">
              <w:t>821E(1)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no fee</w:t>
            </w:r>
          </w:p>
        </w:tc>
      </w:tr>
      <w:tr w:rsidR="00E25633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49</w:t>
            </w: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On lodging written notice of changes to operating rules with ASIC under subsection</w:t>
            </w:r>
            <w:r w:rsidR="00312C86" w:rsidRPr="00312C86">
              <w:t> </w:t>
            </w:r>
            <w:r w:rsidRPr="00312C86">
              <w:t>822D(1):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</w:p>
        </w:tc>
      </w:tr>
      <w:tr w:rsidR="00E25633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A7034E" w:rsidRDefault="00E25633" w:rsidP="007076F2">
            <w:pPr>
              <w:pStyle w:val="Tablea"/>
            </w:pPr>
            <w:r w:rsidRPr="00312C86">
              <w:t>(a) low complexity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$2,580</w:t>
            </w:r>
          </w:p>
        </w:tc>
      </w:tr>
      <w:tr w:rsidR="00E25633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a"/>
            </w:pPr>
            <w:r w:rsidRPr="00312C86">
              <w:t>(b) medium complexity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$18,035</w:t>
            </w:r>
          </w:p>
        </w:tc>
      </w:tr>
      <w:tr w:rsidR="00E25633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DB2BAF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a"/>
            </w:pPr>
            <w:r w:rsidRPr="00312C86">
              <w:t>(c) high complexity</w:t>
            </w:r>
          </w:p>
        </w:tc>
        <w:tc>
          <w:tcPr>
            <w:tcW w:w="6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E25633" w:rsidP="00B16F4F">
            <w:pPr>
              <w:pStyle w:val="Tabletext"/>
            </w:pPr>
            <w:r w:rsidRPr="00312C86">
              <w:t>$44,660</w:t>
            </w:r>
          </w:p>
        </w:tc>
      </w:tr>
      <w:tr w:rsidR="00E25633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50</w:t>
            </w:r>
          </w:p>
        </w:tc>
        <w:tc>
          <w:tcPr>
            <w:tcW w:w="395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  <w:r w:rsidRPr="00312C86">
              <w:t>On lodging written notice of changes to operating rules with ASIC under subsection</w:t>
            </w:r>
            <w:r w:rsidR="00312C86" w:rsidRPr="00312C86">
              <w:t> </w:t>
            </w:r>
            <w:r w:rsidRPr="00312C86">
              <w:t>822D(3)</w:t>
            </w:r>
          </w:p>
        </w:tc>
        <w:tc>
          <w:tcPr>
            <w:tcW w:w="6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$1,549</w:t>
            </w:r>
          </w:p>
        </w:tc>
      </w:tr>
      <w:tr w:rsidR="00E25633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RDefault="003B24A2" w:rsidP="00DB2BAF">
            <w:pPr>
              <w:pStyle w:val="Tabletext"/>
            </w:pPr>
            <w:r w:rsidRPr="00312C86">
              <w:t>51</w:t>
            </w:r>
          </w:p>
        </w:tc>
        <w:tc>
          <w:tcPr>
            <w:tcW w:w="395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Del="00A7034E" w:rsidRDefault="00E25633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824A(1), for an Australian CS facility licence:</w:t>
            </w:r>
          </w:p>
        </w:tc>
        <w:tc>
          <w:tcPr>
            <w:tcW w:w="6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78482F" w:rsidRPr="00312C86" w:rsidDel="00A7034E" w:rsidRDefault="0078482F" w:rsidP="00727845">
            <w:pPr>
              <w:pStyle w:val="Tablea"/>
            </w:pPr>
            <w:r w:rsidRPr="00312C86">
              <w:t>(a) low complexity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$15,462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nil"/>
            </w:tcBorders>
            <w:shd w:val="clear" w:color="auto" w:fill="auto"/>
          </w:tcPr>
          <w:p w:rsidR="0078482F" w:rsidRPr="00312C86" w:rsidDel="00A7034E" w:rsidRDefault="0078482F" w:rsidP="00727845">
            <w:pPr>
              <w:pStyle w:val="Tablea"/>
            </w:pPr>
            <w:r w:rsidRPr="00312C86">
              <w:t>(b) medium complexity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$85,888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</w:p>
        </w:tc>
        <w:tc>
          <w:tcPr>
            <w:tcW w:w="395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482F" w:rsidRPr="00312C86" w:rsidDel="00A7034E" w:rsidRDefault="0078482F" w:rsidP="00727845">
            <w:pPr>
              <w:pStyle w:val="Tablea"/>
            </w:pPr>
            <w:r w:rsidRPr="00312C86">
              <w:t>(c) high complexity</w:t>
            </w:r>
          </w:p>
        </w:tc>
        <w:tc>
          <w:tcPr>
            <w:tcW w:w="6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$154,596</w:t>
            </w:r>
          </w:p>
        </w:tc>
      </w:tr>
      <w:tr w:rsidR="00E25633" w:rsidRPr="00312C86" w:rsidTr="007076F2">
        <w:tc>
          <w:tcPr>
            <w:tcW w:w="41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52</w:t>
            </w:r>
          </w:p>
        </w:tc>
        <w:tc>
          <w:tcPr>
            <w:tcW w:w="3955" w:type="pct"/>
            <w:tcBorders>
              <w:top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825A(2), for:</w:t>
            </w:r>
          </w:p>
          <w:p w:rsidR="00E25633" w:rsidRPr="00312C86" w:rsidRDefault="00E25633" w:rsidP="00727845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(a) the imposition of conditions on an Australian CS facility licence; or</w:t>
            </w:r>
          </w:p>
          <w:p w:rsidR="00E25633" w:rsidRPr="00312C86" w:rsidRDefault="00E25633" w:rsidP="00727845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 xml:space="preserve">(b) the imposition of additional conditions on an Australian CS facility licence; </w:t>
            </w:r>
            <w:r w:rsidRPr="00312C86">
              <w:lastRenderedPageBreak/>
              <w:t>or</w:t>
            </w:r>
          </w:p>
          <w:p w:rsidR="00E25633" w:rsidRPr="00312C86" w:rsidRDefault="00E25633" w:rsidP="00727845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(c) the variation of conditions imposed on an Australian CS facility licence; or</w:t>
            </w:r>
          </w:p>
          <w:p w:rsidR="00E25633" w:rsidRPr="00312C86" w:rsidDel="00E748F3" w:rsidRDefault="00E25633" w:rsidP="00727845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(d) the revocation of conditions imposed on an Australian CS facility licence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lastRenderedPageBreak/>
              <w:t>$38,651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lastRenderedPageBreak/>
              <w:t>53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826A(1), for the variation of an Australian CS facility licence to take account of a change in the licensee’s name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$1,549</w:t>
            </w:r>
          </w:p>
        </w:tc>
      </w:tr>
      <w:tr w:rsidR="00E25633" w:rsidRPr="00312C86" w:rsidDel="00E748F3" w:rsidTr="007076F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2" w:type="pct"/>
            <w:gridSpan w:val="2"/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54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application, under paragraph</w:t>
            </w:r>
            <w:r w:rsidR="00312C86" w:rsidRPr="00312C86">
              <w:t> </w:t>
            </w:r>
            <w:r w:rsidRPr="00312C86">
              <w:t>826B(c), to the Minister to suspend or cancel an Australian CS facility licence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no fee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55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  <w:keepNext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851A(1), for approval to have voting power of more than 15%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  <w:keepNext/>
            </w:pPr>
            <w:r w:rsidRPr="00312C86">
              <w:t>$158,350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56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851C(2), to extend the period of an approval to have voting power of more than 15%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$670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57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On lodging an application, under paragraph</w:t>
            </w:r>
            <w:r w:rsidR="00312C86" w:rsidRPr="00312C86">
              <w:t> </w:t>
            </w:r>
            <w:r w:rsidRPr="00312C86">
              <w:t>851D(3)(b), for the imposition, revocation or variation of conditions on an approval to have voting power of more than 15%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$670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58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851E(1), to vary a percentage specified in an approval to have voting power of more than 15%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$670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59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851F(3), for the revocation of an approval to have voting power of more than 15%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$670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60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 xml:space="preserve">On giving the Minister or ASIC information in accordance with regulations made for </w:t>
            </w:r>
            <w:r w:rsidR="00B77BCC" w:rsidRPr="00312C86">
              <w:t xml:space="preserve">the purposes of </w:t>
            </w:r>
            <w:r w:rsidRPr="00312C86">
              <w:t>paragraph</w:t>
            </w:r>
            <w:r w:rsidR="00312C86" w:rsidRPr="00312C86">
              <w:t> </w:t>
            </w:r>
            <w:r w:rsidRPr="00312C86">
              <w:t>854A(1)(c)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$230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61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882B(1), for compensation arrangements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$15,462</w:t>
            </w:r>
          </w:p>
        </w:tc>
      </w:tr>
      <w:tr w:rsidR="00CB0D5F" w:rsidRPr="00312C86" w:rsidTr="007076F2">
        <w:tc>
          <w:tcPr>
            <w:tcW w:w="412" w:type="pct"/>
            <w:gridSpan w:val="2"/>
            <w:shd w:val="clear" w:color="auto" w:fill="auto"/>
          </w:tcPr>
          <w:p w:rsidR="00CB0D5F" w:rsidRPr="00312C86" w:rsidDel="00E748F3" w:rsidRDefault="003B24A2" w:rsidP="00DB2BAF">
            <w:pPr>
              <w:pStyle w:val="Tabletext"/>
            </w:pPr>
            <w:r w:rsidRPr="00312C86">
              <w:t>62</w:t>
            </w:r>
          </w:p>
        </w:tc>
        <w:tc>
          <w:tcPr>
            <w:tcW w:w="3955" w:type="pct"/>
            <w:shd w:val="clear" w:color="auto" w:fill="auto"/>
          </w:tcPr>
          <w:p w:rsidR="00CB0D5F" w:rsidRPr="00312C86" w:rsidDel="00E748F3" w:rsidRDefault="00CB0D5F" w:rsidP="00DB2BAF">
            <w:pPr>
              <w:pStyle w:val="Tabletext"/>
            </w:pPr>
            <w:r w:rsidRPr="00312C86">
              <w:t>On lodging written notice, under subsection</w:t>
            </w:r>
            <w:r w:rsidR="00312C86" w:rsidRPr="00312C86">
              <w:t> </w:t>
            </w:r>
            <w:r w:rsidRPr="00312C86">
              <w:t>884B(2), of a change to a matter required to be dealt with by the compensation rules</w:t>
            </w:r>
          </w:p>
        </w:tc>
        <w:tc>
          <w:tcPr>
            <w:tcW w:w="633" w:type="pct"/>
            <w:shd w:val="clear" w:color="auto" w:fill="auto"/>
          </w:tcPr>
          <w:p w:rsidR="00CB0D5F" w:rsidRPr="00312C86" w:rsidDel="00E748F3" w:rsidRDefault="00CB0D5F" w:rsidP="00DB2BAF">
            <w:pPr>
              <w:pStyle w:val="Tabletext"/>
            </w:pPr>
            <w:r w:rsidRPr="00312C86">
              <w:t>$38,651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63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="00085B17" w:rsidRPr="00312C86">
              <w:t>884C(1</w:t>
            </w:r>
            <w:r w:rsidRPr="00312C86">
              <w:t>), for approval of a change to a matter that is not required to be dealt with by the compensation rules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$38,651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64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On lodging written notice, under subsection</w:t>
            </w:r>
            <w:r w:rsidR="00312C86" w:rsidRPr="00312C86">
              <w:t> </w:t>
            </w:r>
            <w:r w:rsidRPr="00312C86">
              <w:t>890G(1), of a change to the SEGC’s operating rules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$38,651</w:t>
            </w:r>
          </w:p>
        </w:tc>
      </w:tr>
      <w:tr w:rsidR="00E25633" w:rsidRPr="00312C86" w:rsidTr="007076F2">
        <w:tc>
          <w:tcPr>
            <w:tcW w:w="412" w:type="pct"/>
            <w:gridSpan w:val="2"/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65</w:t>
            </w:r>
          </w:p>
        </w:tc>
        <w:tc>
          <w:tcPr>
            <w:tcW w:w="3955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On lodging, under subsection</w:t>
            </w:r>
            <w:r w:rsidR="00312C86" w:rsidRPr="00312C86">
              <w:t> </w:t>
            </w:r>
            <w:r w:rsidRPr="00312C86">
              <w:t>892H(6), a copy of a report and financial statements</w:t>
            </w:r>
          </w:p>
        </w:tc>
        <w:tc>
          <w:tcPr>
            <w:tcW w:w="633" w:type="pct"/>
            <w:shd w:val="clear" w:color="auto" w:fill="auto"/>
          </w:tcPr>
          <w:p w:rsidR="00E25633" w:rsidRPr="00312C86" w:rsidDel="00E748F3" w:rsidRDefault="00E25633" w:rsidP="00727845">
            <w:pPr>
              <w:pStyle w:val="Tabletext"/>
            </w:pPr>
            <w:r w:rsidRPr="00312C86">
              <w:t>no fee</w:t>
            </w:r>
          </w:p>
        </w:tc>
      </w:tr>
      <w:tr w:rsidR="00E25633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Del="00E748F3" w:rsidRDefault="003B24A2" w:rsidP="00DB2BAF">
            <w:pPr>
              <w:pStyle w:val="Tabletext"/>
            </w:pPr>
            <w:r w:rsidRPr="00312C86">
              <w:t>66</w:t>
            </w:r>
          </w:p>
        </w:tc>
        <w:tc>
          <w:tcPr>
            <w:tcW w:w="395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On lodging an application, under section</w:t>
            </w:r>
            <w:r w:rsidR="00312C86" w:rsidRPr="00312C86">
              <w:t> </w:t>
            </w:r>
            <w:r w:rsidRPr="00312C86">
              <w:t>905B, for an Australian derivative trade repository licence</w:t>
            </w:r>
          </w:p>
        </w:tc>
        <w:tc>
          <w:tcPr>
            <w:tcW w:w="6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5633" w:rsidRPr="00312C86" w:rsidRDefault="00E25633" w:rsidP="00727845">
            <w:pPr>
              <w:pStyle w:val="Tabletext"/>
            </w:pPr>
            <w:r w:rsidRPr="00312C86">
              <w:t>$154,598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727845">
            <w:pPr>
              <w:pStyle w:val="Tabletext"/>
            </w:pPr>
            <w:r w:rsidRPr="00312C86">
              <w:t>67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application, under paragraph</w:t>
            </w:r>
            <w:r w:rsidR="00312C86" w:rsidRPr="00312C86">
              <w:t> </w:t>
            </w:r>
            <w:r w:rsidRPr="00312C86">
              <w:t>905F(2)(b), for imposition, variation or revocation of conditions on an Australian derivative trade repository licence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$38,651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727845">
            <w:pPr>
              <w:pStyle w:val="Tabletext"/>
            </w:pPr>
            <w:r w:rsidRPr="00312C86">
              <w:t>68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application, under section</w:t>
            </w:r>
            <w:r w:rsidR="00312C86" w:rsidRPr="00312C86">
              <w:t> </w:t>
            </w:r>
            <w:r w:rsidRPr="00312C86">
              <w:t>905G, for the variation of an Australian derivative trade repository licence to take account of a change in the licensee’s name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$1,549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8482F" w:rsidRPr="00312C86" w:rsidRDefault="003B24A2" w:rsidP="00727845">
            <w:pPr>
              <w:pStyle w:val="Tabletext"/>
            </w:pPr>
            <w:r w:rsidRPr="00312C86">
              <w:t>69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application, under paragraph</w:t>
            </w:r>
            <w:r w:rsidR="00312C86" w:rsidRPr="00312C86">
              <w:t> </w:t>
            </w:r>
            <w:r w:rsidRPr="00312C86">
              <w:t>905H(c), to suspend or cancel an Australian derivative trade repository licence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c>
          <w:tcPr>
            <w:tcW w:w="412" w:type="pct"/>
            <w:gridSpan w:val="2"/>
            <w:shd w:val="clear" w:color="auto" w:fill="auto"/>
          </w:tcPr>
          <w:p w:rsidR="0078482F" w:rsidRPr="00312C86" w:rsidDel="00E748F3" w:rsidRDefault="003B24A2" w:rsidP="00727845">
            <w:pPr>
              <w:pStyle w:val="Tabletext"/>
            </w:pPr>
            <w:r w:rsidRPr="00312C86">
              <w:t>70</w:t>
            </w:r>
          </w:p>
        </w:tc>
        <w:tc>
          <w:tcPr>
            <w:tcW w:w="3955" w:type="pct"/>
            <w:shd w:val="clear" w:color="auto" w:fill="auto"/>
          </w:tcPr>
          <w:p w:rsidR="0078482F" w:rsidRPr="00312C86" w:rsidDel="00E748F3" w:rsidRDefault="0078482F" w:rsidP="00727845">
            <w:pPr>
              <w:pStyle w:val="Tabletext"/>
            </w:pPr>
            <w:r w:rsidRPr="00312C86">
              <w:t>On lodging an application for a declaration by ASIC under subsection</w:t>
            </w:r>
            <w:r w:rsidR="00312C86" w:rsidRPr="00312C86">
              <w:t> </w:t>
            </w:r>
            <w:r w:rsidRPr="00312C86">
              <w:t>1073E(1)</w:t>
            </w:r>
          </w:p>
        </w:tc>
        <w:tc>
          <w:tcPr>
            <w:tcW w:w="633" w:type="pct"/>
            <w:shd w:val="clear" w:color="auto" w:fill="auto"/>
          </w:tcPr>
          <w:p w:rsidR="0078482F" w:rsidRPr="00312C86" w:rsidDel="00E748F3" w:rsidRDefault="0078482F" w:rsidP="00727845">
            <w:pPr>
              <w:pStyle w:val="Tabletext"/>
            </w:pPr>
            <w:r w:rsidRPr="00312C86">
              <w:t>$17,590</w:t>
            </w:r>
          </w:p>
        </w:tc>
      </w:tr>
      <w:tr w:rsidR="0078482F" w:rsidRPr="00312C86" w:rsidTr="007076F2">
        <w:tc>
          <w:tcPr>
            <w:tcW w:w="412" w:type="pct"/>
            <w:gridSpan w:val="2"/>
            <w:shd w:val="clear" w:color="auto" w:fill="auto"/>
          </w:tcPr>
          <w:p w:rsidR="0078482F" w:rsidRPr="00312C86" w:rsidDel="00E748F3" w:rsidRDefault="003B24A2" w:rsidP="00727845">
            <w:pPr>
              <w:pStyle w:val="Tabletext"/>
            </w:pPr>
            <w:r w:rsidRPr="00312C86">
              <w:t>71</w:t>
            </w:r>
          </w:p>
        </w:tc>
        <w:tc>
          <w:tcPr>
            <w:tcW w:w="3955" w:type="pct"/>
            <w:shd w:val="clear" w:color="auto" w:fill="auto"/>
          </w:tcPr>
          <w:p w:rsidR="0078482F" w:rsidRPr="00312C86" w:rsidDel="00E748F3" w:rsidRDefault="0078482F" w:rsidP="00727845">
            <w:pPr>
              <w:pStyle w:val="Tabletext"/>
            </w:pPr>
            <w:r w:rsidRPr="00312C86">
              <w:t>On lodging an application for an exemption or declaration by ASIC under subsection</w:t>
            </w:r>
            <w:r w:rsidR="00312C86" w:rsidRPr="00312C86">
              <w:t> </w:t>
            </w:r>
            <w:r w:rsidRPr="00312C86">
              <w:t>1075A(1)</w:t>
            </w:r>
          </w:p>
        </w:tc>
        <w:tc>
          <w:tcPr>
            <w:tcW w:w="633" w:type="pct"/>
            <w:shd w:val="clear" w:color="auto" w:fill="auto"/>
          </w:tcPr>
          <w:p w:rsidR="0078482F" w:rsidRPr="00312C86" w:rsidDel="00E748F3" w:rsidRDefault="0078482F" w:rsidP="00727845">
            <w:pPr>
              <w:pStyle w:val="Tabletext"/>
            </w:pPr>
            <w:r w:rsidRPr="00312C86">
              <w:t>$17,590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5000" w:type="pct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Heading"/>
            </w:pPr>
            <w:r w:rsidRPr="00312C86">
              <w:t>Financial benchmarks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727845">
            <w:pPr>
              <w:pStyle w:val="Tabletext"/>
            </w:pPr>
            <w:r w:rsidRPr="00312C86">
              <w:t>72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application for ASIC to vary or revoke a declaration made by ASIC under subsection</w:t>
            </w:r>
            <w:r w:rsidR="00312C86" w:rsidRPr="00312C86">
              <w:t> </w:t>
            </w:r>
            <w:r w:rsidRPr="00312C86">
              <w:t>908AC(2)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$38,651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727845">
            <w:pPr>
              <w:pStyle w:val="Tabletext"/>
            </w:pPr>
            <w:r w:rsidRPr="00312C86">
              <w:t>73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application, under section</w:t>
            </w:r>
            <w:r w:rsidR="00312C86" w:rsidRPr="00312C86">
              <w:t> </w:t>
            </w:r>
            <w:r w:rsidRPr="00312C86">
              <w:t xml:space="preserve">908BD, for a benchmark administrator </w:t>
            </w:r>
            <w:r w:rsidRPr="00312C86">
              <w:lastRenderedPageBreak/>
              <w:t>licence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1365BC">
            <w:pPr>
              <w:pStyle w:val="Tabletext"/>
            </w:pPr>
            <w:r w:rsidRPr="00312C86">
              <w:lastRenderedPageBreak/>
              <w:t>$85,888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727845">
            <w:pPr>
              <w:pStyle w:val="Tabletext"/>
            </w:pPr>
            <w:r w:rsidRPr="00312C86">
              <w:lastRenderedPageBreak/>
              <w:t>74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application, under paragraph</w:t>
            </w:r>
            <w:r w:rsidR="00312C86" w:rsidRPr="00312C86">
              <w:t> </w:t>
            </w:r>
            <w:r w:rsidRPr="00312C86">
              <w:t>908BG(2)(b), for imposition, variation or revocation of conditions on a benchmark administrator licence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$38,651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727845">
            <w:pPr>
              <w:pStyle w:val="Tabletext"/>
            </w:pPr>
            <w:r w:rsidRPr="00312C86">
              <w:t>75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application, under paragraph</w:t>
            </w:r>
            <w:r w:rsidR="00312C86" w:rsidRPr="00312C86">
              <w:t> </w:t>
            </w:r>
            <w:r w:rsidRPr="00312C86">
              <w:t>908BH(a), for the variation of a benchmark administrator licence to take account of a change in the licensee’s name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$1,549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727845">
            <w:pPr>
              <w:pStyle w:val="Tabletext"/>
            </w:pPr>
            <w:r w:rsidRPr="00312C86">
              <w:t>76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application, under paragraph</w:t>
            </w:r>
            <w:r w:rsidR="00312C86" w:rsidRPr="00312C86">
              <w:t> </w:t>
            </w:r>
            <w:r w:rsidRPr="00312C86">
              <w:t xml:space="preserve">908BH(b), for the variation of a benchmark administrator licence to take account of a change in the financial benchmark specified </w:t>
            </w:r>
            <w:r w:rsidR="001F74AD" w:rsidRPr="00312C86">
              <w:t>in the licence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$38,651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727845">
            <w:pPr>
              <w:pStyle w:val="Tabletext"/>
            </w:pPr>
            <w:r w:rsidRPr="00312C86">
              <w:t>77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application, under paragraph</w:t>
            </w:r>
            <w:r w:rsidR="00312C86" w:rsidRPr="00312C86">
              <w:t> </w:t>
            </w:r>
            <w:r w:rsidRPr="00312C86">
              <w:t>908BH(c), for the variation of a benchmark administrator licence to specify one or more further financial benchmarks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$38,651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727845">
            <w:pPr>
              <w:pStyle w:val="Tabletext"/>
            </w:pPr>
            <w:r w:rsidRPr="00312C86">
              <w:t>78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application, under paragraph</w:t>
            </w:r>
            <w:r w:rsidR="00312C86" w:rsidRPr="00312C86">
              <w:t> </w:t>
            </w:r>
            <w:r w:rsidRPr="00312C86">
              <w:t>908BI(1)(c), to suspend or cancel a benchmark administrator licence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$12,886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727845">
            <w:pPr>
              <w:pStyle w:val="Tabletext"/>
            </w:pPr>
            <w:r w:rsidRPr="00312C86">
              <w:t>79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 to ASIC to exempt under subsection</w:t>
            </w:r>
            <w:r w:rsidR="00312C86" w:rsidRPr="00312C86">
              <w:t> </w:t>
            </w:r>
            <w:r w:rsidRPr="00312C86">
              <w:t>908EB(2) a person or class of persons or exempt a financial benchmark or class of financial benchmarks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$38,651</w:t>
            </w:r>
          </w:p>
        </w:tc>
      </w:tr>
      <w:tr w:rsidR="0078482F" w:rsidRPr="00312C86" w:rsidTr="007076F2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Heading"/>
            </w:pPr>
            <w:r w:rsidRPr="00312C86">
              <w:t>Other applications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EE6BAE">
            <w:pPr>
              <w:pStyle w:val="Tabletext"/>
            </w:pPr>
            <w:r w:rsidRPr="00312C86">
              <w:t>80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078" w:rsidRPr="00312C86" w:rsidRDefault="0078482F" w:rsidP="00916982">
            <w:pPr>
              <w:pStyle w:val="Tabletext"/>
            </w:pPr>
            <w:r w:rsidRPr="00312C86">
              <w:t>On application</w:t>
            </w:r>
            <w:r w:rsidR="00916982" w:rsidRPr="00312C86">
              <w:t xml:space="preserve"> </w:t>
            </w:r>
            <w:r w:rsidR="00272078" w:rsidRPr="00312C86">
              <w:t xml:space="preserve">to </w:t>
            </w:r>
            <w:r w:rsidR="00951985" w:rsidRPr="00312C86">
              <w:t xml:space="preserve">the Minister or </w:t>
            </w:r>
            <w:r w:rsidR="00272078" w:rsidRPr="00312C86">
              <w:t xml:space="preserve">ASIC </w:t>
            </w:r>
            <w:r w:rsidR="00A34028" w:rsidRPr="00312C86">
              <w:t xml:space="preserve">for </w:t>
            </w:r>
            <w:r w:rsidR="00EE6BAE" w:rsidRPr="00312C86">
              <w:t xml:space="preserve">an approval, exemption, </w:t>
            </w:r>
            <w:r w:rsidRPr="00312C86">
              <w:t>declaration</w:t>
            </w:r>
            <w:r w:rsidR="00E631D2" w:rsidRPr="00312C86">
              <w:t xml:space="preserve">, consent, </w:t>
            </w:r>
            <w:r w:rsidR="00EE6BAE" w:rsidRPr="00312C86">
              <w:t xml:space="preserve">statement </w:t>
            </w:r>
            <w:r w:rsidR="00E631D2" w:rsidRPr="00312C86">
              <w:t>or no</w:t>
            </w:r>
            <w:r w:rsidR="00312C86">
              <w:noBreakHyphen/>
            </w:r>
            <w:r w:rsidR="00E631D2" w:rsidRPr="00312C86">
              <w:t xml:space="preserve">action letter arising </w:t>
            </w:r>
            <w:r w:rsidR="00EE6BAE" w:rsidRPr="00312C86">
              <w:t>under</w:t>
            </w:r>
            <w:r w:rsidR="00272078" w:rsidRPr="00312C86">
              <w:t>:</w:t>
            </w:r>
          </w:p>
          <w:p w:rsidR="00272078" w:rsidRPr="00312C86" w:rsidRDefault="00272078" w:rsidP="00272078">
            <w:pPr>
              <w:pStyle w:val="Tablea"/>
            </w:pPr>
            <w:r w:rsidRPr="00312C86">
              <w:t xml:space="preserve">(a) </w:t>
            </w:r>
            <w:r w:rsidR="00EE6BAE" w:rsidRPr="00312C86">
              <w:t>a provision in Chapter</w:t>
            </w:r>
            <w:r w:rsidR="00312C86" w:rsidRPr="00312C86">
              <w:t> </w:t>
            </w:r>
            <w:r w:rsidR="00EE6BAE" w:rsidRPr="00312C86">
              <w:t>1, 2</w:t>
            </w:r>
            <w:r w:rsidR="00EB7B27" w:rsidRPr="00312C86">
              <w:t>C, 2D, 2E,</w:t>
            </w:r>
            <w:r w:rsidR="00E1550B" w:rsidRPr="00312C86">
              <w:t xml:space="preserve"> 2G,</w:t>
            </w:r>
            <w:r w:rsidR="00EB7B27" w:rsidRPr="00312C86">
              <w:t xml:space="preserve"> 2H, 2J, 2L, 2M, 5, 5B</w:t>
            </w:r>
            <w:r w:rsidR="00EE6BAE" w:rsidRPr="00312C86">
              <w:t>, 5C</w:t>
            </w:r>
            <w:r w:rsidRPr="00312C86">
              <w:t>, 5D, 6, 6A, 6B, 6C, 6D, 7 or 8; or</w:t>
            </w:r>
          </w:p>
          <w:p w:rsidR="00272078" w:rsidRPr="00312C86" w:rsidRDefault="00272078" w:rsidP="00272078">
            <w:pPr>
              <w:pStyle w:val="Tablea"/>
            </w:pPr>
            <w:r w:rsidRPr="00312C86">
              <w:t>(b)</w:t>
            </w:r>
            <w:r w:rsidR="00EE6BAE" w:rsidRPr="00312C86">
              <w:t xml:space="preserve"> </w:t>
            </w:r>
            <w:r w:rsidR="001457B3" w:rsidRPr="00312C86">
              <w:t xml:space="preserve">a provision in </w:t>
            </w:r>
            <w:r w:rsidR="00213362" w:rsidRPr="00312C86">
              <w:t>Part</w:t>
            </w:r>
            <w:r w:rsidR="00312C86" w:rsidRPr="00312C86">
              <w:t> </w:t>
            </w:r>
            <w:r w:rsidR="00213362" w:rsidRPr="00312C86">
              <w:t>5.1</w:t>
            </w:r>
            <w:r w:rsidRPr="00312C86">
              <w:t xml:space="preserve"> or</w:t>
            </w:r>
            <w:r w:rsidRPr="00312C86">
              <w:rPr>
                <w:i/>
              </w:rPr>
              <w:t xml:space="preserve"> </w:t>
            </w:r>
            <w:r w:rsidR="00916982" w:rsidRPr="00312C86">
              <w:t>10.2</w:t>
            </w:r>
            <w:r w:rsidRPr="00312C86">
              <w:t>; or</w:t>
            </w:r>
          </w:p>
          <w:p w:rsidR="00272078" w:rsidRPr="00312C86" w:rsidRDefault="00272078" w:rsidP="00272078">
            <w:pPr>
              <w:pStyle w:val="Tablea"/>
            </w:pPr>
            <w:r w:rsidRPr="00312C86">
              <w:t>(c)</w:t>
            </w:r>
            <w:r w:rsidR="00916982" w:rsidRPr="00312C86">
              <w:t xml:space="preserve"> </w:t>
            </w:r>
            <w:r w:rsidR="001457B3" w:rsidRPr="00312C86">
              <w:t xml:space="preserve">a provision in </w:t>
            </w:r>
            <w:r w:rsidR="00916982" w:rsidRPr="00312C86">
              <w:t>Schedule</w:t>
            </w:r>
            <w:r w:rsidR="00312C86" w:rsidRPr="00312C86">
              <w:t> </w:t>
            </w:r>
            <w:r w:rsidR="00916982" w:rsidRPr="00312C86">
              <w:t>2</w:t>
            </w:r>
            <w:r w:rsidR="00EB7B27" w:rsidRPr="00312C86">
              <w:t xml:space="preserve"> to the Corporations Act</w:t>
            </w:r>
            <w:r w:rsidRPr="00312C86">
              <w:t xml:space="preserve">; </w:t>
            </w:r>
            <w:r w:rsidR="00916982" w:rsidRPr="00312C86">
              <w:t>or</w:t>
            </w:r>
          </w:p>
          <w:p w:rsidR="001457B3" w:rsidRPr="00312C86" w:rsidRDefault="00272078" w:rsidP="00272078">
            <w:pPr>
              <w:pStyle w:val="Tablea"/>
            </w:pPr>
            <w:r w:rsidRPr="00312C86">
              <w:t>(d)</w:t>
            </w:r>
            <w:r w:rsidR="00916982" w:rsidRPr="00312C86">
              <w:t xml:space="preserve"> subclause</w:t>
            </w:r>
            <w:r w:rsidR="00312C86" w:rsidRPr="00312C86">
              <w:t> </w:t>
            </w:r>
            <w:r w:rsidR="00916982" w:rsidRPr="00312C86">
              <w:t>30(1) or (2) of Schedule</w:t>
            </w:r>
            <w:r w:rsidR="00312C86" w:rsidRPr="00312C86">
              <w:t> </w:t>
            </w:r>
            <w:r w:rsidR="00916982" w:rsidRPr="00312C86">
              <w:t>4</w:t>
            </w:r>
            <w:r w:rsidR="00D32DAA" w:rsidRPr="00312C86">
              <w:t xml:space="preserve"> </w:t>
            </w:r>
            <w:r w:rsidR="00EB7B27" w:rsidRPr="00312C86">
              <w:t>to the Corporations Act</w:t>
            </w:r>
            <w:r w:rsidR="001457B3" w:rsidRPr="00312C86">
              <w:t>; or</w:t>
            </w:r>
          </w:p>
          <w:p w:rsidR="001457B3" w:rsidRPr="00312C86" w:rsidRDefault="001457B3" w:rsidP="00272078">
            <w:pPr>
              <w:pStyle w:val="Tablea"/>
            </w:pPr>
            <w:r w:rsidRPr="00312C86">
              <w:t>(e)</w:t>
            </w:r>
            <w:r w:rsidR="00EB7B27" w:rsidRPr="00312C86">
              <w:t xml:space="preserve"> </w:t>
            </w:r>
            <w:r w:rsidRPr="00312C86">
              <w:t>subregulation</w:t>
            </w:r>
            <w:r w:rsidR="00312C86" w:rsidRPr="00312C86">
              <w:t> </w:t>
            </w:r>
            <w:r w:rsidRPr="00312C86">
              <w:t>5.1.01(1) of the Corporations Regulations; or</w:t>
            </w:r>
          </w:p>
          <w:p w:rsidR="00E631D2" w:rsidRPr="00312C86" w:rsidRDefault="001457B3" w:rsidP="00272078">
            <w:pPr>
              <w:pStyle w:val="Tablea"/>
            </w:pPr>
            <w:r w:rsidRPr="00312C86">
              <w:t xml:space="preserve">(f) </w:t>
            </w:r>
            <w:r w:rsidR="00916982" w:rsidRPr="00312C86">
              <w:t>an instrument made under, for the purposes of, a provision</w:t>
            </w:r>
            <w:r w:rsidR="00BD132E" w:rsidRPr="00312C86">
              <w:t xml:space="preserve"> mentioned in </w:t>
            </w:r>
            <w:r w:rsidR="00312C86" w:rsidRPr="00312C86">
              <w:t>paragraph (</w:t>
            </w:r>
            <w:r w:rsidR="00BD132E" w:rsidRPr="00312C86">
              <w:t>a), (b), (c) or (d)</w:t>
            </w:r>
            <w:r w:rsidRPr="00312C86">
              <w:t>;</w:t>
            </w:r>
          </w:p>
          <w:p w:rsidR="00EE6BAE" w:rsidRPr="00312C86" w:rsidRDefault="00EB7B27" w:rsidP="00CA5863">
            <w:pPr>
              <w:pStyle w:val="Tabletext"/>
            </w:pPr>
            <w:r w:rsidRPr="00312C86">
              <w:t>unless</w:t>
            </w:r>
            <w:r w:rsidR="00EE6BAE" w:rsidRPr="00312C86">
              <w:t>:</w:t>
            </w:r>
          </w:p>
          <w:p w:rsidR="00EE6BAE" w:rsidRPr="00312C86" w:rsidRDefault="00E631D2" w:rsidP="001457B3">
            <w:pPr>
              <w:pStyle w:val="Tablea"/>
            </w:pPr>
            <w:r w:rsidRPr="00312C86">
              <w:t>(g</w:t>
            </w:r>
            <w:r w:rsidR="00EE6BAE" w:rsidRPr="00312C86">
              <w:t xml:space="preserve">) a fee is provided for the </w:t>
            </w:r>
            <w:r w:rsidR="00FA5767" w:rsidRPr="00312C86">
              <w:t>application</w:t>
            </w:r>
            <w:r w:rsidR="00EE6BAE" w:rsidRPr="00312C86">
              <w:t xml:space="preserve"> by any other item</w:t>
            </w:r>
            <w:r w:rsidR="002101A1" w:rsidRPr="00312C86">
              <w:t xml:space="preserve"> </w:t>
            </w:r>
            <w:r w:rsidR="00406B69" w:rsidRPr="00312C86">
              <w:t xml:space="preserve">in </w:t>
            </w:r>
            <w:r w:rsidR="00CA761E" w:rsidRPr="00312C86">
              <w:t>this Schedule</w:t>
            </w:r>
            <w:r w:rsidR="008B71D9" w:rsidRPr="00312C86">
              <w:rPr>
                <w:i/>
              </w:rPr>
              <w:t xml:space="preserve"> </w:t>
            </w:r>
            <w:r w:rsidR="008B71D9" w:rsidRPr="00312C86">
              <w:t>or Schedule</w:t>
            </w:r>
            <w:r w:rsidR="00312C86" w:rsidRPr="00312C86">
              <w:t> </w:t>
            </w:r>
            <w:r w:rsidR="008B71D9" w:rsidRPr="00312C86">
              <w:t>2</w:t>
            </w:r>
            <w:r w:rsidR="00EE6BAE" w:rsidRPr="00312C86">
              <w:t>; or</w:t>
            </w:r>
          </w:p>
          <w:p w:rsidR="0078482F" w:rsidRPr="00312C86" w:rsidRDefault="00E631D2" w:rsidP="001457B3">
            <w:pPr>
              <w:pStyle w:val="Tablea"/>
            </w:pPr>
            <w:r w:rsidRPr="00312C86">
              <w:t>(h</w:t>
            </w:r>
            <w:r w:rsidR="00EE6BAE" w:rsidRPr="00312C86">
              <w:t xml:space="preserve">) “no fee” appears in column 2 of an item </w:t>
            </w:r>
            <w:r w:rsidR="00E40A47" w:rsidRPr="00312C86">
              <w:t>in this Schedule</w:t>
            </w:r>
            <w:r w:rsidR="00E40A47" w:rsidRPr="00312C86">
              <w:rPr>
                <w:i/>
              </w:rPr>
              <w:t xml:space="preserve"> </w:t>
            </w:r>
            <w:r w:rsidR="00E40A47" w:rsidRPr="00312C86">
              <w:t>or Schedule</w:t>
            </w:r>
            <w:r w:rsidR="00312C86" w:rsidRPr="00312C86">
              <w:t> </w:t>
            </w:r>
            <w:r w:rsidR="00E40A47" w:rsidRPr="00312C86">
              <w:t xml:space="preserve">2 </w:t>
            </w:r>
            <w:r w:rsidR="00EE6BAE" w:rsidRPr="00312C86">
              <w:t>in relation to the</w:t>
            </w:r>
            <w:r w:rsidR="00FA5767" w:rsidRPr="00312C86">
              <w:t xml:space="preserve"> application</w:t>
            </w:r>
            <w:r w:rsidR="001457B3" w:rsidRPr="00312C86">
              <w:t>; or</w:t>
            </w:r>
          </w:p>
          <w:p w:rsidR="00B6713E" w:rsidRPr="00312C86" w:rsidRDefault="00E631D2" w:rsidP="0042673D">
            <w:pPr>
              <w:pStyle w:val="Tablea"/>
            </w:pPr>
            <w:r w:rsidRPr="00312C86">
              <w:t>(i</w:t>
            </w:r>
            <w:r w:rsidR="001457B3" w:rsidRPr="00312C86">
              <w:t>) the application</w:t>
            </w:r>
            <w:r w:rsidR="00696DCF" w:rsidRPr="00312C86">
              <w:t xml:space="preserve"> is </w:t>
            </w:r>
            <w:r w:rsidR="001457B3" w:rsidRPr="00312C86">
              <w:t xml:space="preserve">for an approval, </w:t>
            </w:r>
            <w:r w:rsidR="00E1550B" w:rsidRPr="00312C86">
              <w:t xml:space="preserve">exemption, declaration, consent, </w:t>
            </w:r>
            <w:r w:rsidR="001457B3" w:rsidRPr="00312C86">
              <w:t xml:space="preserve">statement </w:t>
            </w:r>
            <w:r w:rsidR="00E1550B" w:rsidRPr="00312C86">
              <w:t>or no</w:t>
            </w:r>
            <w:r w:rsidR="00312C86">
              <w:noBreakHyphen/>
            </w:r>
            <w:r w:rsidR="00E1550B" w:rsidRPr="00312C86">
              <w:t xml:space="preserve">action letter </w:t>
            </w:r>
            <w:r w:rsidR="00783B74" w:rsidRPr="00312C86">
              <w:t xml:space="preserve">to apply to </w:t>
            </w:r>
            <w:r w:rsidR="00951985" w:rsidRPr="00312C86">
              <w:t xml:space="preserve">all persons or </w:t>
            </w:r>
            <w:r w:rsidR="00783B74" w:rsidRPr="00312C86">
              <w:t xml:space="preserve">a class of persons and the persons in the class are not </w:t>
            </w:r>
            <w:r w:rsidR="0039584E" w:rsidRPr="00312C86">
              <w:t>relat</w:t>
            </w:r>
            <w:r w:rsidR="00152B75" w:rsidRPr="00312C86">
              <w:t xml:space="preserve">ives </w:t>
            </w:r>
            <w:r w:rsidR="0039584E" w:rsidRPr="00312C86">
              <w:t xml:space="preserve">or </w:t>
            </w:r>
            <w:r w:rsidR="00152B75" w:rsidRPr="00312C86">
              <w:t>associate</w:t>
            </w:r>
            <w:r w:rsidR="002467B7" w:rsidRPr="00312C86">
              <w:t>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$3,487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727845">
            <w:pPr>
              <w:pStyle w:val="Tabletext"/>
            </w:pPr>
            <w:r w:rsidRPr="00312C86">
              <w:t>81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 for ASIC to approve, under section</w:t>
            </w:r>
            <w:r w:rsidR="00312C86" w:rsidRPr="00312C86">
              <w:t> </w:t>
            </w:r>
            <w:r w:rsidRPr="00312C86">
              <w:t>283GB, a body corporate to be a trustee for the purposes of paragraph</w:t>
            </w:r>
            <w:r w:rsidR="00312C86" w:rsidRPr="00312C86">
              <w:t> </w:t>
            </w:r>
            <w:r w:rsidRPr="00312C86">
              <w:t>283AC(1)(f)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$16,030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EA3FFA">
            <w:pPr>
              <w:pStyle w:val="Tabletext"/>
            </w:pPr>
            <w:r w:rsidRPr="00312C86">
              <w:t>82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A92E88">
            <w:pPr>
              <w:pStyle w:val="Tabletext"/>
            </w:pPr>
            <w:r w:rsidRPr="00312C86">
              <w:t>On application for an approval under paragraph</w:t>
            </w:r>
            <w:r w:rsidR="00312C86" w:rsidRPr="00312C86">
              <w:t> </w:t>
            </w:r>
            <w:r w:rsidRPr="00312C86">
              <w:t>324BD(1)(c)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EA3FFA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3B24A2" w:rsidP="00727845">
            <w:pPr>
              <w:pStyle w:val="Tabletext"/>
            </w:pPr>
            <w:r w:rsidRPr="00312C86">
              <w:t>83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application, under paragraph</w:t>
            </w:r>
            <w:r w:rsidR="00312C86" w:rsidRPr="00312C86">
              <w:t> </w:t>
            </w:r>
            <w:r w:rsidRPr="00312C86">
              <w:t>331AAC(1)(b), for ASIC to appoint an auditor of a registered scheme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D13826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826" w:rsidRPr="00312C86" w:rsidRDefault="00D13826" w:rsidP="00727845">
            <w:pPr>
              <w:pStyle w:val="Tabletext"/>
            </w:pPr>
            <w:r w:rsidRPr="00312C86">
              <w:t>84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826" w:rsidRPr="00312C86" w:rsidRDefault="00D13826" w:rsidP="00D13826">
            <w:pPr>
              <w:pStyle w:val="Tabletext"/>
            </w:pPr>
            <w:r w:rsidRPr="00312C86">
              <w:t xml:space="preserve">On </w:t>
            </w:r>
            <w:r w:rsidR="00B544A3" w:rsidRPr="00312C86">
              <w:t>application, under subsection</w:t>
            </w:r>
            <w:r w:rsidR="00312C86" w:rsidRPr="00312C86">
              <w:t> </w:t>
            </w:r>
            <w:r w:rsidR="00B544A3" w:rsidRPr="00312C86">
              <w:t>33</w:t>
            </w:r>
            <w:r w:rsidRPr="00312C86">
              <w:t>1AC(1) or (2), for ASIC’s consent to the removal or resignation of an auditor of a scheme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826" w:rsidRPr="00312C86" w:rsidRDefault="00D13826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097F66" w:rsidP="00EA3FFA">
            <w:pPr>
              <w:pStyle w:val="Tabletext"/>
            </w:pPr>
            <w:r w:rsidRPr="00312C86">
              <w:t>85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A92E88">
            <w:pPr>
              <w:pStyle w:val="Tabletext"/>
            </w:pPr>
            <w:r w:rsidRPr="00312C86">
              <w:t>On application for ASIC to permit a lesser period of notice under paragraph</w:t>
            </w:r>
            <w:r w:rsidR="00312C86" w:rsidRPr="00312C86">
              <w:t> </w:t>
            </w:r>
            <w:r w:rsidRPr="00312C86">
              <w:t>411(2)(a)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EA3FFA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097F66" w:rsidP="00BB66B4">
            <w:pPr>
              <w:pStyle w:val="Tabletext"/>
            </w:pPr>
            <w:r w:rsidRPr="00312C86">
              <w:t>86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 for ASIC to give a direction under paragraph</w:t>
            </w:r>
            <w:r w:rsidR="00312C86" w:rsidRPr="00312C86">
              <w:t> </w:t>
            </w:r>
            <w:r w:rsidRPr="00312C86">
              <w:t>448C(3)(b)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$156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097F66" w:rsidP="00BB66B4">
            <w:pPr>
              <w:pStyle w:val="Tabletext"/>
            </w:pPr>
            <w:r w:rsidRPr="00312C86">
              <w:t>87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application, under paragraph</w:t>
            </w:r>
            <w:r w:rsidR="00312C86" w:rsidRPr="00312C86">
              <w:t> </w:t>
            </w:r>
            <w:r w:rsidRPr="00312C86">
              <w:t xml:space="preserve">494(3)(b), for an extension of time to lodge a </w:t>
            </w:r>
            <w:r w:rsidRPr="00312C86">
              <w:lastRenderedPageBreak/>
              <w:t>declaration of solvency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lastRenderedPageBreak/>
              <w:t>$156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097F66" w:rsidP="00BB66B4">
            <w:pPr>
              <w:pStyle w:val="Tabletext"/>
            </w:pPr>
            <w:r w:rsidRPr="00312C86">
              <w:lastRenderedPageBreak/>
              <w:t>88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application, under paragraph</w:t>
            </w:r>
            <w:r w:rsidR="00312C86" w:rsidRPr="00312C86">
              <w:t> </w:t>
            </w:r>
            <w:r w:rsidRPr="00312C86">
              <w:t>494(3)(c), for an extension of time to pass a resolution for a voluntary winding up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$156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097F66" w:rsidP="00BB66B4">
            <w:pPr>
              <w:pStyle w:val="Tabletext"/>
            </w:pPr>
            <w:r w:rsidRPr="00312C86">
              <w:t>89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application, under paragraph</w:t>
            </w:r>
            <w:r w:rsidR="00312C86" w:rsidRPr="00312C86">
              <w:t> </w:t>
            </w:r>
            <w:r w:rsidRPr="00312C86">
              <w:t>532(6)(b), for ASIC to direct that paragraph</w:t>
            </w:r>
            <w:r w:rsidR="00312C86" w:rsidRPr="00312C86">
              <w:t> </w:t>
            </w:r>
            <w:r w:rsidRPr="00312C86">
              <w:t>532(6)(b) does not apply to a person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$156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097F66" w:rsidP="00BB66B4">
            <w:pPr>
              <w:pStyle w:val="Tabletext"/>
            </w:pPr>
            <w:r w:rsidRPr="00312C86">
              <w:t>90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 for ASIC to make a direction under subsection</w:t>
            </w:r>
            <w:r w:rsidR="00312C86" w:rsidRPr="00312C86">
              <w:t> </w:t>
            </w:r>
            <w:r w:rsidRPr="00312C86">
              <w:t>545(2)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$156</w:t>
            </w:r>
          </w:p>
        </w:tc>
      </w:tr>
      <w:tr w:rsidR="001907E1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07E1" w:rsidRPr="00312C86" w:rsidRDefault="00097F66" w:rsidP="00BB66B4">
            <w:pPr>
              <w:pStyle w:val="Tabletext"/>
            </w:pPr>
            <w:r w:rsidRPr="00312C86">
              <w:t>91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07E1" w:rsidRPr="00312C86" w:rsidRDefault="001907E1" w:rsidP="00C67FD2">
            <w:pPr>
              <w:pStyle w:val="Tabletext"/>
            </w:pPr>
            <w:r w:rsidRPr="00312C86">
              <w:t xml:space="preserve">On application for ASIC to authorise a person as an eligible </w:t>
            </w:r>
            <w:r w:rsidR="00C67FD2" w:rsidRPr="00312C86">
              <w:t>applicant</w:t>
            </w:r>
            <w:r w:rsidRPr="00312C86">
              <w:t xml:space="preserve"> for the purposes of Division</w:t>
            </w:r>
            <w:r w:rsidR="00312C86" w:rsidRPr="00312C86">
              <w:t> </w:t>
            </w:r>
            <w:r w:rsidRPr="00312C86">
              <w:t>1 of Part</w:t>
            </w:r>
            <w:r w:rsidR="00312C86" w:rsidRPr="00312C86">
              <w:t> </w:t>
            </w:r>
            <w:r w:rsidRPr="00312C86">
              <w:t>5.9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07E1" w:rsidRPr="00312C86" w:rsidRDefault="001907E1" w:rsidP="00727845">
            <w:pPr>
              <w:pStyle w:val="Tabletext"/>
            </w:pPr>
            <w:r w:rsidRPr="00312C86">
              <w:t>$468</w:t>
            </w:r>
          </w:p>
        </w:tc>
      </w:tr>
      <w:tr w:rsidR="0078482F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097F66" w:rsidP="00727845">
            <w:pPr>
              <w:pStyle w:val="Tabletext"/>
            </w:pPr>
            <w:r w:rsidRPr="00312C86">
              <w:t>92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Del="00E748F3" w:rsidRDefault="0078482F" w:rsidP="001365BC">
            <w:pPr>
              <w:pStyle w:val="Tabletext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On lodging an application for ASIC to exercise a power under section</w:t>
            </w:r>
            <w:r w:rsidR="00312C86" w:rsidRPr="00312C86">
              <w:t> </w:t>
            </w:r>
            <w:r w:rsidRPr="00312C86">
              <w:t>601AE or 601AF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Del="00E748F3" w:rsidRDefault="0078482F" w:rsidP="002E7035">
            <w:pPr>
              <w:pStyle w:val="Tabletext"/>
            </w:pPr>
            <w:r w:rsidRPr="00312C86">
              <w:t>$934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097F66" w:rsidP="00BB66B4">
            <w:pPr>
              <w:pStyle w:val="Tabletext"/>
            </w:pPr>
            <w:r w:rsidRPr="00312C86">
              <w:t>93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550B" w:rsidRPr="00312C86" w:rsidRDefault="0078482F" w:rsidP="007C34EC">
            <w:pPr>
              <w:pStyle w:val="Tabletext"/>
            </w:pPr>
            <w:r w:rsidRPr="00312C86">
              <w:t xml:space="preserve">On application, under </w:t>
            </w:r>
            <w:r w:rsidR="00E1550B" w:rsidRPr="00312C86">
              <w:t>subsection</w:t>
            </w:r>
            <w:r w:rsidR="00312C86" w:rsidRPr="00312C86">
              <w:t> </w:t>
            </w:r>
            <w:r w:rsidR="00E1550B" w:rsidRPr="00312C86">
              <w:t>601HH(1)</w:t>
            </w:r>
            <w:r w:rsidRPr="00312C86">
              <w:t>, for ASIC’s consent to the removal of an auditor of a compliance plan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$791</w:t>
            </w:r>
          </w:p>
        </w:tc>
      </w:tr>
      <w:tr w:rsidR="007C34EC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4EC" w:rsidRPr="00312C86" w:rsidRDefault="007C34EC" w:rsidP="00BB66B4">
            <w:pPr>
              <w:pStyle w:val="Tabletext"/>
            </w:pPr>
            <w:r w:rsidRPr="00312C86">
              <w:t>94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4EC" w:rsidRPr="00312C86" w:rsidRDefault="007C34EC" w:rsidP="007C34EC">
            <w:pPr>
              <w:pStyle w:val="Tabletext"/>
            </w:pPr>
            <w:r w:rsidRPr="00312C86">
              <w:t>On application, under subsection</w:t>
            </w:r>
            <w:r w:rsidR="00312C86" w:rsidRPr="00312C86">
              <w:t> </w:t>
            </w:r>
            <w:r w:rsidRPr="00312C86">
              <w:t>601HH(2), for ASIC’s consent to the resignation of an auditor of a compliance plan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4EC" w:rsidRPr="00312C86" w:rsidRDefault="007C34EC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BB66B4">
            <w:pPr>
              <w:pStyle w:val="Tabletext"/>
            </w:pPr>
            <w:r w:rsidRPr="00312C86">
              <w:t>95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601VBA(1), for approval to have voting power of more than 15% in a particular licensed trustee company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$11,550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BB66B4">
            <w:pPr>
              <w:pStyle w:val="Tabletext"/>
            </w:pPr>
            <w:r w:rsidRPr="00312C86">
              <w:t>96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601VBC(2), to extend the period for an approval granted under section</w:t>
            </w:r>
            <w:r w:rsidR="00312C86" w:rsidRPr="00312C86">
              <w:t> </w:t>
            </w:r>
            <w:r w:rsidRPr="00312C86">
              <w:t>601VBB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$5,775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BB66B4">
            <w:pPr>
              <w:pStyle w:val="Tabletext"/>
            </w:pPr>
            <w:r w:rsidRPr="00312C86">
              <w:t>97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application, under subsection</w:t>
            </w:r>
            <w:r w:rsidR="00312C86" w:rsidRPr="00312C86">
              <w:t> </w:t>
            </w:r>
            <w:r w:rsidRPr="00312C86">
              <w:t>601VBE(1), to vary the percentage specified in an approval granted under section</w:t>
            </w:r>
            <w:r w:rsidR="00312C86" w:rsidRPr="00312C86">
              <w:t> </w:t>
            </w:r>
            <w:r w:rsidRPr="00312C86">
              <w:t>601VBB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$5,775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BB66B4">
            <w:pPr>
              <w:pStyle w:val="Tabletext"/>
            </w:pPr>
            <w:r w:rsidRPr="00312C86">
              <w:t>98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application, under paragraph</w:t>
            </w:r>
            <w:r w:rsidR="00312C86" w:rsidRPr="00312C86">
              <w:t> </w:t>
            </w:r>
            <w:r w:rsidRPr="00312C86">
              <w:t>601WBA(1)(b), for ASIC to make a voluntary transfer determination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$5,775</w:t>
            </w:r>
          </w:p>
        </w:tc>
      </w:tr>
      <w:tr w:rsidR="00BD132E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132E" w:rsidRPr="00312C86" w:rsidRDefault="007C34EC" w:rsidP="001323F1">
            <w:pPr>
              <w:pStyle w:val="Tabletext"/>
            </w:pPr>
            <w:r w:rsidRPr="00312C86">
              <w:t>99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132E" w:rsidRPr="00312C86" w:rsidRDefault="00BD132E" w:rsidP="001323F1">
            <w:pPr>
              <w:pStyle w:val="Tabletext"/>
            </w:pPr>
            <w:r w:rsidRPr="00312C86">
              <w:t>On application or request for ASIC to provide an approval or consent under, or for the purposes of, an instrument made under section</w:t>
            </w:r>
            <w:r w:rsidR="00312C86" w:rsidRPr="00312C86">
              <w:t> </w:t>
            </w:r>
            <w:r w:rsidRPr="00312C86">
              <w:t>655A, 669 or 673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132E" w:rsidRPr="00312C86" w:rsidRDefault="00BD132E" w:rsidP="001323F1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100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  <w:ind w:right="-51"/>
            </w:pPr>
            <w:r w:rsidRPr="00312C86">
              <w:t>On application under:</w:t>
            </w:r>
          </w:p>
          <w:p w:rsidR="0078482F" w:rsidRPr="00312C86" w:rsidRDefault="0078482F" w:rsidP="00727845">
            <w:pPr>
              <w:pStyle w:val="Tablea"/>
            </w:pPr>
            <w:r w:rsidRPr="00312C86">
              <w:t>(i) subparagraph</w:t>
            </w:r>
            <w:r w:rsidR="00312C86" w:rsidRPr="00312C86">
              <w:t> </w:t>
            </w:r>
            <w:r w:rsidRPr="00312C86">
              <w:t>911A(2)(h)(ii); or</w:t>
            </w:r>
          </w:p>
          <w:p w:rsidR="0078482F" w:rsidRPr="00312C86" w:rsidRDefault="0078482F" w:rsidP="00727845">
            <w:pPr>
              <w:pStyle w:val="Tablea"/>
            </w:pPr>
            <w:r w:rsidRPr="00312C86">
              <w:t>(ii) paragraph</w:t>
            </w:r>
            <w:r w:rsidR="00312C86" w:rsidRPr="00312C86">
              <w:t> </w:t>
            </w:r>
            <w:r w:rsidRPr="00312C86">
              <w:t>7.9.08(1)(a) of the Corporations Regulations;</w:t>
            </w:r>
          </w:p>
          <w:p w:rsidR="0078482F" w:rsidRPr="00312C86" w:rsidRDefault="0078482F" w:rsidP="00727845">
            <w:pPr>
              <w:pStyle w:val="Tabletext"/>
            </w:pPr>
            <w:r w:rsidRPr="00312C86">
              <w:t>for approval of an overseas or foreign regulatory body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BB66B4">
            <w:pPr>
              <w:pStyle w:val="Tabletext"/>
            </w:pPr>
            <w:r w:rsidRPr="00312C86">
              <w:t>101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application, under paragraph</w:t>
            </w:r>
            <w:r w:rsidR="00312C86" w:rsidRPr="00312C86">
              <w:t> </w:t>
            </w:r>
            <w:r w:rsidRPr="00312C86">
              <w:t>912B(2)(b), for ASIC to approve arrangements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$1,540</w:t>
            </w:r>
          </w:p>
        </w:tc>
      </w:tr>
      <w:tr w:rsidR="009F4748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748" w:rsidRPr="00312C86" w:rsidRDefault="007C34EC" w:rsidP="00BB66B4">
            <w:pPr>
              <w:pStyle w:val="Tabletext"/>
            </w:pPr>
            <w:r w:rsidRPr="00312C86">
              <w:t>102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748" w:rsidRPr="00312C86" w:rsidRDefault="009F4748" w:rsidP="00660F9F">
            <w:pPr>
              <w:pStyle w:val="Tabletext"/>
            </w:pPr>
            <w:r w:rsidRPr="00312C86">
              <w:t>On application, under subsection</w:t>
            </w:r>
            <w:r w:rsidR="00312C86" w:rsidRPr="00312C86">
              <w:t> </w:t>
            </w:r>
            <w:r w:rsidRPr="00312C86">
              <w:t>921K(1), for ASIC to approve a compliance scheme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748" w:rsidRPr="00312C86" w:rsidRDefault="00C466FA" w:rsidP="009F4748">
            <w:pPr>
              <w:pStyle w:val="Tabletext"/>
            </w:pPr>
            <w:r w:rsidRPr="00312C86">
              <w:t>$10,147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BB66B4">
            <w:pPr>
              <w:pStyle w:val="Tabletext"/>
            </w:pPr>
            <w:r w:rsidRPr="00312C86">
              <w:t>103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application, under subsection</w:t>
            </w:r>
            <w:r w:rsidR="00312C86" w:rsidRPr="00312C86">
              <w:t> </w:t>
            </w:r>
            <w:r w:rsidRPr="00312C86">
              <w:t>989D(3), for ASIC to approve an extension of the period for lodging a profit and loss statement and balance sheet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BD132E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132E" w:rsidRPr="00312C86" w:rsidRDefault="007C34EC" w:rsidP="001323F1">
            <w:pPr>
              <w:pStyle w:val="Tabletext"/>
            </w:pPr>
            <w:r w:rsidRPr="00312C86">
              <w:t>104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132E" w:rsidRPr="00312C86" w:rsidRDefault="00BD132E" w:rsidP="001323F1">
            <w:pPr>
              <w:pStyle w:val="Tabletext"/>
            </w:pPr>
            <w:r w:rsidRPr="00312C86">
              <w:t>On application by a financial services licensee to ASIC for ASIC’s consent to remove an auditor of the licensee from office under paragraph</w:t>
            </w:r>
            <w:r w:rsidR="00312C86" w:rsidRPr="00312C86">
              <w:t> </w:t>
            </w:r>
            <w:r w:rsidRPr="00312C86">
              <w:t>990F(b)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132E" w:rsidRPr="00312C86" w:rsidRDefault="00BD132E" w:rsidP="001323F1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105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 for a declaration under paragraph</w:t>
            </w:r>
            <w:r w:rsidR="00312C86" w:rsidRPr="00312C86">
              <w:t> </w:t>
            </w:r>
            <w:r w:rsidRPr="00312C86">
              <w:t>1071H(5)(d) that a company is not required to comply with section</w:t>
            </w:r>
            <w:r w:rsidR="00312C86" w:rsidRPr="00312C86">
              <w:t> </w:t>
            </w:r>
            <w:r w:rsidRPr="00312C86">
              <w:t>1071H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$323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BB66B4">
            <w:pPr>
              <w:pStyle w:val="Tabletext"/>
            </w:pPr>
            <w:r w:rsidRPr="00312C86">
              <w:t>106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application, under subsection</w:t>
            </w:r>
            <w:r w:rsidR="00312C86" w:rsidRPr="00312C86">
              <w:t> </w:t>
            </w:r>
            <w:r w:rsidRPr="00312C86">
              <w:t>30</w:t>
            </w:r>
            <w:r w:rsidR="00312C86">
              <w:noBreakHyphen/>
            </w:r>
            <w:r w:rsidRPr="00312C86">
              <w:t>1(4) of Schedule</w:t>
            </w:r>
            <w:r w:rsidR="00312C86" w:rsidRPr="00312C86">
              <w:t> </w:t>
            </w:r>
            <w:r w:rsidRPr="00312C86">
              <w:t>2</w:t>
            </w:r>
            <w:r w:rsidR="005C0E66" w:rsidRPr="00312C86">
              <w:t xml:space="preserve"> to the Corporations Act</w:t>
            </w:r>
            <w:r w:rsidRPr="00312C86">
              <w:t>, for ASIC to extend or further extend the period for a registered liquidator to lodge a return under subsection</w:t>
            </w:r>
            <w:r w:rsidR="00312C86" w:rsidRPr="00312C86">
              <w:t> </w:t>
            </w:r>
            <w:r w:rsidRPr="00312C86">
              <w:t>30</w:t>
            </w:r>
            <w:r w:rsidR="00312C86">
              <w:noBreakHyphen/>
            </w:r>
            <w:r w:rsidRPr="00312C86">
              <w:t>1(1) of that Schedule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$156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BB66B4">
            <w:pPr>
              <w:pStyle w:val="Tabletext"/>
            </w:pPr>
            <w:r w:rsidRPr="00312C86">
              <w:t>107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application, under subsection</w:t>
            </w:r>
            <w:r w:rsidR="00312C86" w:rsidRPr="00312C86">
              <w:t> </w:t>
            </w:r>
            <w:r w:rsidRPr="00312C86">
              <w:t>90</w:t>
            </w:r>
            <w:r w:rsidR="00312C86">
              <w:noBreakHyphen/>
            </w:r>
            <w:r w:rsidRPr="00312C86">
              <w:t>23(2) of Schedule</w:t>
            </w:r>
            <w:r w:rsidR="00312C86" w:rsidRPr="00312C86">
              <w:t> </w:t>
            </w:r>
            <w:r w:rsidRPr="00312C86">
              <w:t>2</w:t>
            </w:r>
            <w:r w:rsidR="005C0E66" w:rsidRPr="00312C86">
              <w:t xml:space="preserve"> to the Corporations Act</w:t>
            </w:r>
            <w:r w:rsidRPr="00312C86">
              <w:t>, for ASIC to appoint a registered liquidator to carry out a review into a matter that relates to the external administration of a company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$156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BB66B4">
            <w:pPr>
              <w:pStyle w:val="Tabletext"/>
            </w:pPr>
            <w:r w:rsidRPr="00312C86">
              <w:t>108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 for the registration by ASIC of a disclosure statement under clause</w:t>
            </w:r>
            <w:r w:rsidR="00312C86" w:rsidRPr="00312C86">
              <w:t> </w:t>
            </w:r>
            <w:r w:rsidRPr="00312C86">
              <w:t>32 of Schedule</w:t>
            </w:r>
            <w:r w:rsidR="00312C86" w:rsidRPr="00312C86">
              <w:t> </w:t>
            </w:r>
            <w:r w:rsidRPr="00312C86">
              <w:t>4</w:t>
            </w:r>
            <w:r w:rsidR="005C0E66" w:rsidRPr="00312C86">
              <w:t xml:space="preserve"> to the Corporations Act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$2,695</w:t>
            </w:r>
          </w:p>
        </w:tc>
      </w:tr>
      <w:tr w:rsidR="0078482F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lastRenderedPageBreak/>
              <w:t>109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making an application to the Panel under the Corporations Act (other than an application made by ASIC)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$2,400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BB66B4">
            <w:pPr>
              <w:pStyle w:val="Tabletext"/>
            </w:pPr>
            <w:r w:rsidRPr="00312C86">
              <w:t>110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  <w:rPr>
                <w:i/>
              </w:rPr>
            </w:pPr>
            <w:r w:rsidRPr="00312C86">
              <w:t>On application for ASIC to allow a further period for a liquidator to deal with proofs as mentioned in paragraph</w:t>
            </w:r>
            <w:r w:rsidR="00312C86" w:rsidRPr="00312C86">
              <w:t> </w:t>
            </w:r>
            <w:r w:rsidRPr="00312C86">
              <w:t>5.6.53(1)(b) of the Corporations Regulations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$156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BB66B4">
            <w:pPr>
              <w:pStyle w:val="Tabletext"/>
            </w:pPr>
            <w:r w:rsidRPr="00312C86">
              <w:t>111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 for ASIC to allow a further period for a liquidator to deal with a formal proof of debt or claim as mentioned in paragraph</w:t>
            </w:r>
            <w:r w:rsidR="00312C86" w:rsidRPr="00312C86">
              <w:t> </w:t>
            </w:r>
            <w:r w:rsidRPr="00312C86">
              <w:t>5.6.66(1)(b) of the Corporations Regulations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1365BC">
            <w:pPr>
              <w:pStyle w:val="Tabletext"/>
            </w:pPr>
            <w:r w:rsidRPr="00312C86">
              <w:t>$156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BB66B4">
            <w:pPr>
              <w:pStyle w:val="Tabletext"/>
            </w:pPr>
            <w:r w:rsidRPr="00312C86">
              <w:t>112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 for ASIC to approve a guarantee mentioned in sub</w:t>
            </w:r>
            <w:r w:rsidR="00312C86">
              <w:noBreakHyphen/>
            </w:r>
            <w:r w:rsidRPr="00312C86">
              <w:t>subparagraph</w:t>
            </w:r>
            <w:r w:rsidR="00312C86" w:rsidRPr="00312C86">
              <w:t> </w:t>
            </w:r>
            <w:r w:rsidRPr="00312C86">
              <w:t>7.6.02AAA(3)(b)(ii)(B) of the Corporations Regulations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$1,540</w:t>
            </w:r>
          </w:p>
        </w:tc>
      </w:tr>
      <w:tr w:rsidR="0078482F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113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124B2E">
            <w:pPr>
              <w:pStyle w:val="Tabletext"/>
            </w:pPr>
            <w:r w:rsidRPr="00312C86">
              <w:t>On application under subregulation</w:t>
            </w:r>
            <w:r w:rsidR="00312C86" w:rsidRPr="00312C86">
              <w:t> </w:t>
            </w:r>
            <w:r w:rsidRPr="00312C86">
              <w:t>7.8.02(6C) of the Corporations Regulations that the minimum balance of money held in an account to which section</w:t>
            </w:r>
            <w:r w:rsidR="00312C86" w:rsidRPr="00312C86">
              <w:t> </w:t>
            </w:r>
            <w:r w:rsidRPr="00312C86">
              <w:t>981B relates may be reduced below the amount required by subregulation</w:t>
            </w:r>
            <w:r w:rsidR="00312C86" w:rsidRPr="00312C86">
              <w:t> </w:t>
            </w:r>
            <w:r w:rsidRPr="00312C86">
              <w:t>7.8.02(6) of those Regulations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$270</w:t>
            </w:r>
          </w:p>
        </w:tc>
      </w:tr>
      <w:tr w:rsidR="0078482F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114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  <w:rPr>
                <w:b/>
              </w:rPr>
            </w:pPr>
            <w:r w:rsidRPr="00312C86">
              <w:t>On application under paragraph</w:t>
            </w:r>
            <w:r w:rsidR="00312C86" w:rsidRPr="00312C86">
              <w:t> </w:t>
            </w:r>
            <w:r w:rsidRPr="00312C86">
              <w:t>7.8.16(4)(b) of the Corporations Regulations that a person is not an officer of a body corporate for the purposes of subregulations 7.8.16(1) and (2) of those Regulations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  <w:rPr>
                <w:color w:val="000000"/>
              </w:rPr>
            </w:pPr>
            <w:r w:rsidRPr="00312C86">
              <w:t>$270</w:t>
            </w:r>
          </w:p>
        </w:tc>
      </w:tr>
      <w:tr w:rsidR="0078482F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115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 under subparagraph</w:t>
            </w:r>
            <w:r w:rsidR="00312C86" w:rsidRPr="00312C86">
              <w:t> </w:t>
            </w:r>
            <w:r w:rsidRPr="00312C86">
              <w:t>7.9.32(2)(a)(ii) of, or Part</w:t>
            </w:r>
            <w:r w:rsidR="00312C86" w:rsidRPr="00312C86">
              <w:t> </w:t>
            </w:r>
            <w:r w:rsidRPr="00312C86">
              <w:t>16 of Schedule</w:t>
            </w:r>
            <w:r w:rsidR="00312C86" w:rsidRPr="00312C86">
              <w:t> </w:t>
            </w:r>
            <w:r w:rsidRPr="00312C86">
              <w:t>10A to, the Corporations Regulations for an extension of fund reporting periods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  <w:rPr>
                <w:color w:val="000000"/>
              </w:rPr>
            </w:pPr>
            <w:r w:rsidRPr="00312C86">
              <w:t>$270</w:t>
            </w:r>
          </w:p>
        </w:tc>
      </w:tr>
      <w:tr w:rsidR="008A58D0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7C34EC" w:rsidP="00727845">
            <w:pPr>
              <w:pStyle w:val="Tabletext"/>
            </w:pPr>
            <w:r w:rsidRPr="00312C86">
              <w:t>116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8A58D0" w:rsidP="008A58D0">
            <w:pPr>
              <w:pStyle w:val="Tabletext"/>
            </w:pPr>
            <w:r w:rsidRPr="00312C86">
              <w:t>On application for ASIC to provi</w:t>
            </w:r>
            <w:r w:rsidR="00EA1F90" w:rsidRPr="00312C86">
              <w:t>de a waiver under rule</w:t>
            </w:r>
            <w:r w:rsidR="00312C86" w:rsidRPr="00312C86">
              <w:t> </w:t>
            </w:r>
            <w:r w:rsidR="00EA1F90" w:rsidRPr="00312C86">
              <w:t>1.2.1 of</w:t>
            </w:r>
            <w:r w:rsidRPr="00312C86">
              <w:t>:</w:t>
            </w:r>
          </w:p>
          <w:p w:rsidR="00BD132E" w:rsidRPr="00312C86" w:rsidRDefault="00BD132E" w:rsidP="00BD132E">
            <w:pPr>
              <w:pStyle w:val="Tablea"/>
            </w:pPr>
            <w:r w:rsidRPr="00312C86">
              <w:t xml:space="preserve">(a) the </w:t>
            </w:r>
            <w:r w:rsidRPr="00312C86">
              <w:rPr>
                <w:i/>
              </w:rPr>
              <w:t>ASIC Market Integrity Rules (Futures Markets) 2017</w:t>
            </w:r>
            <w:r w:rsidRPr="00312C86">
              <w:t>;</w:t>
            </w:r>
            <w:r w:rsidR="007373EA" w:rsidRPr="00312C86">
              <w:t xml:space="preserve"> or</w:t>
            </w:r>
          </w:p>
          <w:p w:rsidR="00BD132E" w:rsidRPr="00312C86" w:rsidRDefault="00BD132E" w:rsidP="00BD132E">
            <w:pPr>
              <w:pStyle w:val="Tablea"/>
            </w:pPr>
            <w:r w:rsidRPr="00312C86">
              <w:t xml:space="preserve">(b) the </w:t>
            </w:r>
            <w:r w:rsidRPr="00312C86">
              <w:rPr>
                <w:i/>
              </w:rPr>
              <w:t>ASIC Market Integrity Rules (Futures Markets – Capital) 2017</w:t>
            </w:r>
            <w:r w:rsidRPr="00312C86">
              <w:t>;</w:t>
            </w:r>
            <w:r w:rsidR="007373EA" w:rsidRPr="00312C86">
              <w:t xml:space="preserve"> or</w:t>
            </w:r>
          </w:p>
          <w:p w:rsidR="00BD132E" w:rsidRPr="00312C86" w:rsidRDefault="00BD132E" w:rsidP="00BD132E">
            <w:pPr>
              <w:pStyle w:val="Tablea"/>
            </w:pPr>
            <w:r w:rsidRPr="00312C86">
              <w:t xml:space="preserve">(c) the </w:t>
            </w:r>
            <w:r w:rsidRPr="00312C86">
              <w:rPr>
                <w:i/>
              </w:rPr>
              <w:t>ASIC Market Integrity Rules (IMB Market) 2010</w:t>
            </w:r>
            <w:r w:rsidRPr="00312C86">
              <w:t>;</w:t>
            </w:r>
            <w:r w:rsidR="007373EA" w:rsidRPr="00312C86">
              <w:t xml:space="preserve"> or</w:t>
            </w:r>
          </w:p>
          <w:p w:rsidR="008A58D0" w:rsidRPr="00312C86" w:rsidRDefault="00BD132E" w:rsidP="008A58D0">
            <w:pPr>
              <w:pStyle w:val="Tablea"/>
            </w:pPr>
            <w:r w:rsidRPr="00312C86">
              <w:t>(d</w:t>
            </w:r>
            <w:r w:rsidR="008A58D0" w:rsidRPr="00312C86">
              <w:t xml:space="preserve">) </w:t>
            </w:r>
            <w:r w:rsidR="00EA1F90" w:rsidRPr="00312C86">
              <w:t xml:space="preserve">the </w:t>
            </w:r>
            <w:r w:rsidR="008A58D0" w:rsidRPr="00312C86">
              <w:rPr>
                <w:i/>
              </w:rPr>
              <w:t>ASIC Market Integrity Rules (Securities Markets) 2017</w:t>
            </w:r>
            <w:r w:rsidR="008A58D0" w:rsidRPr="00312C86">
              <w:t>;</w:t>
            </w:r>
            <w:r w:rsidR="007373EA" w:rsidRPr="00312C86">
              <w:t xml:space="preserve"> or</w:t>
            </w:r>
          </w:p>
          <w:p w:rsidR="008B50E4" w:rsidRPr="00312C86" w:rsidRDefault="00BD132E" w:rsidP="00DB2BAF">
            <w:pPr>
              <w:pStyle w:val="Tablea"/>
            </w:pPr>
            <w:r w:rsidRPr="00312C86">
              <w:t>(e</w:t>
            </w:r>
            <w:r w:rsidR="008A58D0" w:rsidRPr="00312C86">
              <w:t xml:space="preserve">) </w:t>
            </w:r>
            <w:r w:rsidR="00EA1F90" w:rsidRPr="00312C86">
              <w:t xml:space="preserve">the </w:t>
            </w:r>
            <w:r w:rsidR="008A58D0" w:rsidRPr="00312C86">
              <w:rPr>
                <w:i/>
              </w:rPr>
              <w:t>ASIC Market Integrity Rules (Securities Markets – Capital) 2017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8B50E4" w:rsidP="00727845">
            <w:pPr>
              <w:pStyle w:val="Tabletext"/>
            </w:pPr>
            <w:r w:rsidRPr="00312C86">
              <w:t>$14,775</w:t>
            </w:r>
          </w:p>
        </w:tc>
      </w:tr>
      <w:tr w:rsidR="008A58D0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7C34EC" w:rsidP="00727845">
            <w:pPr>
              <w:pStyle w:val="Tabletext"/>
            </w:pPr>
            <w:r w:rsidRPr="00312C86">
              <w:t>117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2B6B" w:rsidRPr="00312C86" w:rsidRDefault="008B50E4" w:rsidP="00DB2BAF">
            <w:pPr>
              <w:pStyle w:val="Tabletext"/>
            </w:pPr>
            <w:r w:rsidRPr="00312C86">
              <w:t xml:space="preserve">On application </w:t>
            </w:r>
            <w:r w:rsidR="001F2B6B" w:rsidRPr="00312C86">
              <w:t>for ASIC to accept an identification statement as mentioned in subparagraph</w:t>
            </w:r>
            <w:r w:rsidR="00312C86" w:rsidRPr="00312C86">
              <w:t> </w:t>
            </w:r>
            <w:r w:rsidR="001F2B6B" w:rsidRPr="00312C86">
              <w:t xml:space="preserve">5(3)(a)(i) of the </w:t>
            </w:r>
            <w:r w:rsidR="001F2B6B" w:rsidRPr="00312C86">
              <w:rPr>
                <w:i/>
              </w:rPr>
              <w:t>ASIC Corporations (Charitable Investment Fundraising) Instrument 2016/813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1F2B6B" w:rsidP="00727845">
            <w:pPr>
              <w:pStyle w:val="Tabletext"/>
            </w:pPr>
            <w:r w:rsidRPr="00312C86">
              <w:t>$2,391</w:t>
            </w:r>
          </w:p>
        </w:tc>
      </w:tr>
      <w:tr w:rsidR="008A58D0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7C34EC" w:rsidP="008B50E4">
            <w:pPr>
              <w:pStyle w:val="Tabletext"/>
            </w:pPr>
            <w:r w:rsidRPr="00312C86">
              <w:t>118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E6B" w:rsidRPr="00312C86" w:rsidRDefault="008A58D0" w:rsidP="00DB2BAF">
            <w:pPr>
              <w:pStyle w:val="Tabletext"/>
            </w:pPr>
            <w:r w:rsidRPr="00312C86">
              <w:t>On application for ASIC to revoke an approval granted under section</w:t>
            </w:r>
            <w:r w:rsidR="00312C86" w:rsidRPr="00312C86">
              <w:t> </w:t>
            </w:r>
            <w:r w:rsidRPr="00312C86">
              <w:t xml:space="preserve">1067 of the old Law, to the extent that provision continues to have effect because of </w:t>
            </w:r>
            <w:r w:rsidR="005F464D" w:rsidRPr="00312C86">
              <w:t>section</w:t>
            </w:r>
            <w:r w:rsidR="00312C86" w:rsidRPr="00312C86">
              <w:t> </w:t>
            </w:r>
            <w:r w:rsidR="005F464D" w:rsidRPr="00312C86">
              <w:t xml:space="preserve">1454 of the old Corporations Law and </w:t>
            </w:r>
            <w:r w:rsidR="00DB2BAF" w:rsidRPr="00312C86">
              <w:t>section</w:t>
            </w:r>
            <w:r w:rsidR="00312C86" w:rsidRPr="00312C86">
              <w:t> </w:t>
            </w:r>
            <w:r w:rsidR="00DB2BAF" w:rsidRPr="00312C86">
              <w:t>1408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8A58D0" w:rsidP="008B50E4">
            <w:pPr>
              <w:pStyle w:val="Tabletext"/>
            </w:pPr>
            <w:r w:rsidRPr="00312C86">
              <w:t>$1,196</w:t>
            </w:r>
          </w:p>
        </w:tc>
      </w:tr>
      <w:tr w:rsidR="008A58D0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7C34EC" w:rsidP="008B50E4">
            <w:pPr>
              <w:pStyle w:val="Tabletext"/>
            </w:pPr>
            <w:r w:rsidRPr="00312C86">
              <w:t>119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E6B" w:rsidRPr="00312C86" w:rsidRDefault="008A58D0" w:rsidP="00B77BCC">
            <w:pPr>
              <w:pStyle w:val="Tabletext"/>
            </w:pPr>
            <w:r w:rsidRPr="00312C86">
              <w:t>On application for A</w:t>
            </w:r>
            <w:r w:rsidR="008A336C" w:rsidRPr="00312C86">
              <w:t xml:space="preserve">SIC to vary the conditions of an </w:t>
            </w:r>
            <w:r w:rsidRPr="00312C86">
              <w:t xml:space="preserve">approval </w:t>
            </w:r>
            <w:r w:rsidR="00CA71B4" w:rsidRPr="00312C86">
              <w:t>mentioned in section</w:t>
            </w:r>
            <w:r w:rsidR="00312C86" w:rsidRPr="00312C86">
              <w:t> </w:t>
            </w:r>
            <w:r w:rsidR="00CA71B4" w:rsidRPr="00312C86">
              <w:t>1067</w:t>
            </w:r>
            <w:r w:rsidRPr="00312C86">
              <w:t xml:space="preserve"> of the old Law, to the extent that provision continues to have effect because of </w:t>
            </w:r>
            <w:r w:rsidR="005F464D" w:rsidRPr="00312C86">
              <w:t>section</w:t>
            </w:r>
            <w:r w:rsidR="00312C86" w:rsidRPr="00312C86">
              <w:t> </w:t>
            </w:r>
            <w:r w:rsidR="005F464D" w:rsidRPr="00312C86">
              <w:t xml:space="preserve">1454 of the old Corporations Law and </w:t>
            </w:r>
            <w:r w:rsidR="00DB2BAF" w:rsidRPr="00312C86">
              <w:t>section</w:t>
            </w:r>
            <w:r w:rsidR="00312C86" w:rsidRPr="00312C86">
              <w:t> </w:t>
            </w:r>
            <w:r w:rsidR="00DB2BAF" w:rsidRPr="00312C86">
              <w:t>1408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8A58D0" w:rsidP="008B50E4">
            <w:pPr>
              <w:pStyle w:val="Tabletext"/>
            </w:pPr>
            <w:r w:rsidRPr="00312C86">
              <w:t>$1,196</w:t>
            </w:r>
          </w:p>
        </w:tc>
      </w:tr>
      <w:tr w:rsidR="008A58D0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7C34EC" w:rsidP="008B50E4">
            <w:pPr>
              <w:pStyle w:val="Tabletext"/>
            </w:pPr>
            <w:r w:rsidRPr="00312C86">
              <w:t>120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49A" w:rsidRPr="00312C86" w:rsidRDefault="008A58D0" w:rsidP="00DB2BAF">
            <w:pPr>
              <w:pStyle w:val="Tabletext"/>
            </w:pPr>
            <w:r w:rsidRPr="00312C86">
              <w:t>On application for ASIC to make a declaration mentioned in subsection</w:t>
            </w:r>
            <w:r w:rsidR="00312C86" w:rsidRPr="00312C86">
              <w:t> </w:t>
            </w:r>
            <w:r w:rsidRPr="00312C86">
              <w:t xml:space="preserve">1069(3) of the old </w:t>
            </w:r>
            <w:r w:rsidR="008A336C" w:rsidRPr="00312C86">
              <w:t>Law</w:t>
            </w:r>
            <w:r w:rsidRPr="00312C86">
              <w:t>, to the extent that provision continues to have effect because of</w:t>
            </w:r>
            <w:r w:rsidR="005F464D" w:rsidRPr="00312C86">
              <w:t xml:space="preserve"> section</w:t>
            </w:r>
            <w:r w:rsidR="00312C86" w:rsidRPr="00312C86">
              <w:t> </w:t>
            </w:r>
            <w:r w:rsidR="005F464D" w:rsidRPr="00312C86">
              <w:t>1454 of the old Corporations Law and</w:t>
            </w:r>
            <w:r w:rsidRPr="00312C86">
              <w:t xml:space="preserve"> section</w:t>
            </w:r>
            <w:r w:rsidR="00312C86" w:rsidRPr="00312C86">
              <w:t> </w:t>
            </w:r>
            <w:r w:rsidR="00DB2BAF" w:rsidRPr="00312C86">
              <w:t>1408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8A58D0" w:rsidP="008B50E4">
            <w:pPr>
              <w:pStyle w:val="Tabletext"/>
            </w:pPr>
            <w:r w:rsidRPr="00312C86">
              <w:t>$3,587</w:t>
            </w:r>
          </w:p>
        </w:tc>
      </w:tr>
      <w:tr w:rsidR="008A58D0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7C34EC" w:rsidP="008B50E4">
            <w:pPr>
              <w:pStyle w:val="Tabletext"/>
            </w:pPr>
            <w:r w:rsidRPr="00312C86">
              <w:t>121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49A" w:rsidRPr="00312C86" w:rsidRDefault="008A58D0" w:rsidP="00DB2BAF">
            <w:pPr>
              <w:pStyle w:val="Tabletext"/>
            </w:pPr>
            <w:r w:rsidRPr="00312C86">
              <w:t>On application for ASIC to make an exemption as mentioned in subsection</w:t>
            </w:r>
            <w:r w:rsidR="00312C86" w:rsidRPr="00312C86">
              <w:t> </w:t>
            </w:r>
            <w:r w:rsidRPr="00312C86">
              <w:t>1084(2) of the old Law from compliance with any or all of the provisions of Division</w:t>
            </w:r>
            <w:r w:rsidR="00312C86" w:rsidRPr="00312C86">
              <w:t> </w:t>
            </w:r>
            <w:r w:rsidRPr="00312C86">
              <w:t>5 of Part</w:t>
            </w:r>
            <w:r w:rsidR="00312C86" w:rsidRPr="00312C86">
              <w:t> </w:t>
            </w:r>
            <w:r w:rsidRPr="00312C86">
              <w:t xml:space="preserve">7.12 of </w:t>
            </w:r>
            <w:r w:rsidR="00AE0AC1" w:rsidRPr="00312C86">
              <w:t>Chapter</w:t>
            </w:r>
            <w:r w:rsidR="00312C86" w:rsidRPr="00312C86">
              <w:t> </w:t>
            </w:r>
            <w:r w:rsidR="00AE0AC1" w:rsidRPr="00312C86">
              <w:t xml:space="preserve">7 of </w:t>
            </w:r>
            <w:r w:rsidRPr="00312C86">
              <w:t xml:space="preserve">the old Law, to the extent that provision continues to have effect because of </w:t>
            </w:r>
            <w:r w:rsidR="005F464D" w:rsidRPr="00312C86">
              <w:t>section</w:t>
            </w:r>
            <w:r w:rsidR="00312C86" w:rsidRPr="00312C86">
              <w:t> </w:t>
            </w:r>
            <w:r w:rsidR="005F464D" w:rsidRPr="00312C86">
              <w:t xml:space="preserve">1454 of the old Corporations Law and </w:t>
            </w:r>
            <w:r w:rsidR="00DB2BAF" w:rsidRPr="00312C86">
              <w:t>section</w:t>
            </w:r>
            <w:r w:rsidR="00312C86" w:rsidRPr="00312C86">
              <w:t> </w:t>
            </w:r>
            <w:r w:rsidR="00DB2BAF" w:rsidRPr="00312C86">
              <w:t>1408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8A58D0" w:rsidP="008B50E4">
            <w:pPr>
              <w:pStyle w:val="Tabletext"/>
            </w:pPr>
            <w:r w:rsidRPr="00312C86">
              <w:t>$159</w:t>
            </w:r>
          </w:p>
        </w:tc>
      </w:tr>
      <w:tr w:rsidR="008A58D0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7C34EC" w:rsidP="008B50E4">
            <w:pPr>
              <w:pStyle w:val="Tabletext"/>
            </w:pPr>
            <w:r w:rsidRPr="00312C86">
              <w:t>122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49A" w:rsidRPr="00312C86" w:rsidRDefault="008A58D0" w:rsidP="00DB2BAF">
            <w:pPr>
              <w:pStyle w:val="Tabletext"/>
            </w:pPr>
            <w:r w:rsidRPr="00312C86">
              <w:t>On application for ASIC to make a declaration mentioned in subsection</w:t>
            </w:r>
            <w:r w:rsidR="00312C86" w:rsidRPr="00312C86">
              <w:t> </w:t>
            </w:r>
            <w:r w:rsidRPr="00312C86">
              <w:t>1084(6) of the old Law in relation to Division</w:t>
            </w:r>
            <w:r w:rsidR="00312C86" w:rsidRPr="00312C86">
              <w:t> </w:t>
            </w:r>
            <w:r w:rsidRPr="00312C86">
              <w:t xml:space="preserve">5 </w:t>
            </w:r>
            <w:r w:rsidRPr="00312C86">
              <w:rPr>
                <w:rFonts w:eastAsiaTheme="minorHAnsi" w:cstheme="minorBidi"/>
                <w:sz w:val="22"/>
                <w:lang w:eastAsia="en-US"/>
              </w:rPr>
              <w:t>of Part</w:t>
            </w:r>
            <w:r w:rsidR="00312C86" w:rsidRPr="00312C86">
              <w:rPr>
                <w:rFonts w:eastAsiaTheme="minorHAnsi" w:cstheme="minorBidi"/>
                <w:sz w:val="22"/>
                <w:lang w:eastAsia="en-US"/>
              </w:rPr>
              <w:t> </w:t>
            </w:r>
            <w:r w:rsidRPr="00312C86">
              <w:rPr>
                <w:rFonts w:eastAsiaTheme="minorHAnsi" w:cstheme="minorBidi"/>
                <w:sz w:val="22"/>
                <w:lang w:eastAsia="en-US"/>
              </w:rPr>
              <w:t>7.12</w:t>
            </w:r>
            <w:r w:rsidRPr="00312C86">
              <w:t xml:space="preserve"> of</w:t>
            </w:r>
            <w:r w:rsidR="00AE0AC1" w:rsidRPr="00312C86">
              <w:t xml:space="preserve"> Chapter</w:t>
            </w:r>
            <w:r w:rsidR="00312C86" w:rsidRPr="00312C86">
              <w:t> </w:t>
            </w:r>
            <w:r w:rsidR="00AE0AC1" w:rsidRPr="00312C86">
              <w:t>7 of</w:t>
            </w:r>
            <w:r w:rsidRPr="00312C86">
              <w:t xml:space="preserve"> old Law, to the extent that provision continues to have effect because of </w:t>
            </w:r>
            <w:r w:rsidR="005F464D" w:rsidRPr="00312C86">
              <w:t>section</w:t>
            </w:r>
            <w:r w:rsidR="00312C86" w:rsidRPr="00312C86">
              <w:t> </w:t>
            </w:r>
            <w:r w:rsidR="005F464D" w:rsidRPr="00312C86">
              <w:t xml:space="preserve">1454 of the old Corporations Law and </w:t>
            </w:r>
            <w:r w:rsidR="00DB2BAF" w:rsidRPr="00312C86">
              <w:t>section</w:t>
            </w:r>
            <w:r w:rsidR="00312C86" w:rsidRPr="00312C86">
              <w:t> </w:t>
            </w:r>
            <w:r w:rsidR="00DB2BAF" w:rsidRPr="00312C86">
              <w:t>1408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8A58D0" w:rsidP="008B50E4">
            <w:pPr>
              <w:pStyle w:val="Tabletext"/>
            </w:pPr>
            <w:r w:rsidRPr="00312C86">
              <w:t>$159</w:t>
            </w:r>
          </w:p>
        </w:tc>
      </w:tr>
      <w:tr w:rsidR="008A58D0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7C34EC" w:rsidP="008B50E4">
            <w:pPr>
              <w:pStyle w:val="Tabletext"/>
            </w:pPr>
            <w:r w:rsidRPr="00312C86">
              <w:t>123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49A" w:rsidRPr="00312C86" w:rsidRDefault="008A58D0" w:rsidP="00DB2BAF">
            <w:pPr>
              <w:pStyle w:val="Tabletext"/>
            </w:pPr>
            <w:r w:rsidRPr="00312C86">
              <w:t xml:space="preserve">On application for ASIC to discharge a security as mentioned in </w:t>
            </w:r>
            <w:r w:rsidRPr="00312C86">
              <w:lastRenderedPageBreak/>
              <w:t>regulation</w:t>
            </w:r>
            <w:r w:rsidR="00312C86" w:rsidRPr="00312C86">
              <w:t> </w:t>
            </w:r>
            <w:r w:rsidRPr="00312C86">
              <w:t>7.3.06 of the old Corporations Regulations, to the extent that provision continues to have</w:t>
            </w:r>
            <w:r w:rsidR="00DB2BAF" w:rsidRPr="00312C86">
              <w:t xml:space="preserve"> effect because of section</w:t>
            </w:r>
            <w:r w:rsidR="00312C86" w:rsidRPr="00312C86">
              <w:t> </w:t>
            </w:r>
            <w:r w:rsidR="00DB2BAF" w:rsidRPr="00312C86">
              <w:t>1380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8D0" w:rsidRPr="00312C86" w:rsidRDefault="008A58D0" w:rsidP="008B50E4">
            <w:pPr>
              <w:pStyle w:val="Tabletext"/>
            </w:pPr>
            <w:r w:rsidRPr="00312C86">
              <w:lastRenderedPageBreak/>
              <w:t>$1,284</w:t>
            </w:r>
          </w:p>
        </w:tc>
      </w:tr>
      <w:tr w:rsidR="0078482F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lastRenderedPageBreak/>
              <w:t>124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application to ASIC for an exemption or declaration, or a variation or revocation of an exemption or declaration, under Part</w:t>
            </w:r>
            <w:r w:rsidR="00312C86" w:rsidRPr="00312C86">
              <w:t> </w:t>
            </w:r>
            <w:r w:rsidRPr="00312C86">
              <w:t xml:space="preserve">29 of the </w:t>
            </w:r>
            <w:r w:rsidRPr="00312C86">
              <w:rPr>
                <w:i/>
              </w:rPr>
              <w:t>Superannuation Industry (Supervision) Act 1993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$3,478</w:t>
            </w:r>
          </w:p>
        </w:tc>
      </w:tr>
      <w:tr w:rsidR="0078482F" w:rsidRPr="00312C86" w:rsidTr="007076F2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Heading"/>
            </w:pPr>
            <w:r w:rsidRPr="00312C86">
              <w:t>Other matters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nil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125</w:t>
            </w:r>
          </w:p>
        </w:tc>
        <w:tc>
          <w:tcPr>
            <w:tcW w:w="3955" w:type="pct"/>
            <w:tcBorders>
              <w:top w:val="nil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proposed notice of meeting under subsection</w:t>
            </w:r>
            <w:r w:rsidR="00312C86" w:rsidRPr="00312C86">
              <w:t> </w:t>
            </w:r>
            <w:r w:rsidRPr="00312C86">
              <w:t>218(1)</w:t>
            </w:r>
          </w:p>
        </w:tc>
        <w:tc>
          <w:tcPr>
            <w:tcW w:w="633" w:type="pct"/>
            <w:tcBorders>
              <w:top w:val="nil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$802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126</w:t>
            </w:r>
          </w:p>
        </w:tc>
        <w:tc>
          <w:tcPr>
            <w:tcW w:w="3955" w:type="pct"/>
            <w:shd w:val="clear" w:color="auto" w:fill="auto"/>
          </w:tcPr>
          <w:p w:rsidR="007A2FF5" w:rsidRPr="00312C86" w:rsidRDefault="0078482F" w:rsidP="004473D9">
            <w:pPr>
              <w:pStyle w:val="Tabletext"/>
            </w:pPr>
            <w:r w:rsidRPr="00312C86">
              <w:t xml:space="preserve">On </w:t>
            </w:r>
            <w:r w:rsidR="00FA503C" w:rsidRPr="00312C86">
              <w:t>submission to ASIC</w:t>
            </w:r>
            <w:r w:rsidR="009B72D0" w:rsidRPr="00312C86">
              <w:t>,</w:t>
            </w:r>
            <w:r w:rsidR="00FA503C" w:rsidRPr="00312C86">
              <w:t xml:space="preserve"> for examination</w:t>
            </w:r>
            <w:r w:rsidR="009B72D0" w:rsidRPr="00312C86">
              <w:t>,</w:t>
            </w:r>
            <w:r w:rsidR="00FA503C" w:rsidRPr="00312C86">
              <w:t xml:space="preserve"> a draft explanatory statement for a proposed compromise or arrangement </w:t>
            </w:r>
            <w:r w:rsidR="00AA50F3" w:rsidRPr="00312C86">
              <w:t>between a P</w:t>
            </w:r>
            <w:r w:rsidR="00FA503C" w:rsidRPr="00312C86">
              <w:t>art</w:t>
            </w:r>
            <w:r w:rsidR="00312C86" w:rsidRPr="00312C86">
              <w:t> </w:t>
            </w:r>
            <w:r w:rsidR="00FA503C" w:rsidRPr="00312C86">
              <w:t>5.1 body and all, or a class, of its members or creditors as required by subsection</w:t>
            </w:r>
            <w:r w:rsidR="00312C86" w:rsidRPr="00312C86">
              <w:t> </w:t>
            </w:r>
            <w:r w:rsidR="00FA503C" w:rsidRPr="00312C86">
              <w:t>411(2)</w:t>
            </w:r>
          </w:p>
        </w:tc>
        <w:tc>
          <w:tcPr>
            <w:tcW w:w="633" w:type="pct"/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$5,290</w:t>
            </w:r>
          </w:p>
        </w:tc>
      </w:tr>
      <w:tr w:rsidR="0078482F" w:rsidRPr="00312C86" w:rsidTr="007076F2">
        <w:tc>
          <w:tcPr>
            <w:tcW w:w="4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127</w:t>
            </w:r>
          </w:p>
        </w:tc>
        <w:tc>
          <w:tcPr>
            <w:tcW w:w="3955" w:type="pct"/>
            <w:tcBorders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631A42">
            <w:pPr>
              <w:pStyle w:val="Tabletext"/>
            </w:pPr>
            <w:r w:rsidRPr="00312C86">
              <w:t>On submitting a notice of hearing under paragraph</w:t>
            </w:r>
            <w:r w:rsidR="00312C86" w:rsidRPr="00312C86">
              <w:t> </w:t>
            </w:r>
            <w:r w:rsidRPr="00312C86">
              <w:t>411(2)(a) to ASIC for examination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Del="00E748F3" w:rsidTr="007076F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128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9B72D0" w:rsidP="00727845">
            <w:pPr>
              <w:pStyle w:val="Tablea"/>
            </w:pPr>
            <w:r w:rsidRPr="00312C86">
              <w:t>(a) O</w:t>
            </w:r>
            <w:r w:rsidR="0078482F" w:rsidRPr="00312C86">
              <w:t>n lodging with ASIC for registration an explanatory statement under subsection</w:t>
            </w:r>
            <w:r w:rsidR="00312C86" w:rsidRPr="00312C86">
              <w:t> </w:t>
            </w:r>
            <w:r w:rsidR="0078482F" w:rsidRPr="00312C86">
              <w:t>412(6); or</w:t>
            </w:r>
          </w:p>
          <w:p w:rsidR="0078482F" w:rsidRPr="00312C86" w:rsidRDefault="0078482F" w:rsidP="00631A42">
            <w:pPr>
              <w:pStyle w:val="Tablea"/>
            </w:pPr>
            <w:r w:rsidRPr="00312C86">
              <w:t>(b) on submission to ASIC for examination of an explanatory statement for the purposes of subsection</w:t>
            </w:r>
            <w:r w:rsidR="00312C86" w:rsidRPr="00312C86">
              <w:t> </w:t>
            </w:r>
            <w:r w:rsidRPr="00312C86">
              <w:t>412(7)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$321</w:t>
            </w:r>
          </w:p>
        </w:tc>
      </w:tr>
      <w:tr w:rsidR="00FD351D" w:rsidRPr="00312C86" w:rsidDel="00E748F3" w:rsidTr="007076F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51D" w:rsidRPr="00312C86" w:rsidRDefault="007C34EC" w:rsidP="00727845">
            <w:pPr>
              <w:pStyle w:val="Tabletext"/>
            </w:pPr>
            <w:r w:rsidRPr="00312C86">
              <w:t>129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51D" w:rsidRPr="00312C86" w:rsidRDefault="00FD351D" w:rsidP="003C7635">
            <w:pPr>
              <w:pStyle w:val="Tabletext"/>
            </w:pPr>
            <w:r w:rsidRPr="00312C86">
              <w:t>On lodging with ASIC</w:t>
            </w:r>
            <w:r w:rsidR="003C7635" w:rsidRPr="00312C86">
              <w:t xml:space="preserve">, under </w:t>
            </w:r>
            <w:r w:rsidR="00AE4F37" w:rsidRPr="00312C86">
              <w:t>sub</w:t>
            </w:r>
            <w:r w:rsidR="003C7635" w:rsidRPr="00312C86">
              <w:t>regulation</w:t>
            </w:r>
            <w:r w:rsidR="00312C86" w:rsidRPr="00312C86">
              <w:t> </w:t>
            </w:r>
            <w:r w:rsidR="003C7635" w:rsidRPr="00312C86">
              <w:t>5.6.75</w:t>
            </w:r>
            <w:r w:rsidR="00AE4F37" w:rsidRPr="00312C86">
              <w:t>(3)</w:t>
            </w:r>
            <w:r w:rsidR="003C7635" w:rsidRPr="00312C86">
              <w:t xml:space="preserve"> of the Corporations Regulations,</w:t>
            </w:r>
            <w:r w:rsidRPr="00312C86">
              <w:t xml:space="preserve"> a notice mentioned in paragraph</w:t>
            </w:r>
            <w:r w:rsidR="00312C86" w:rsidRPr="00312C86">
              <w:t> </w:t>
            </w:r>
            <w:r w:rsidRPr="00312C86">
              <w:t>465A(1)(c) to be published in the prescribed manner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51D" w:rsidRPr="00312C86" w:rsidRDefault="00FD351D" w:rsidP="00727845">
            <w:pPr>
              <w:pStyle w:val="Tabletext"/>
            </w:pPr>
            <w:r w:rsidRPr="00312C86">
              <w:t>$145</w:t>
            </w:r>
          </w:p>
        </w:tc>
      </w:tr>
      <w:tr w:rsidR="00FD351D" w:rsidRPr="00312C86" w:rsidDel="00E748F3" w:rsidTr="007076F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51D" w:rsidRPr="00312C86" w:rsidRDefault="007C34EC" w:rsidP="00727845">
            <w:pPr>
              <w:pStyle w:val="Tabletext"/>
            </w:pPr>
            <w:r w:rsidRPr="00312C86">
              <w:t>130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51D" w:rsidRPr="00312C86" w:rsidRDefault="00FD351D" w:rsidP="003C7635">
            <w:pPr>
              <w:pStyle w:val="Tabletext"/>
            </w:pPr>
            <w:r w:rsidRPr="00312C86">
              <w:t>On lodging with ASIC</w:t>
            </w:r>
            <w:r w:rsidR="003C7635" w:rsidRPr="00312C86">
              <w:t xml:space="preserve">, under </w:t>
            </w:r>
            <w:r w:rsidR="00AE4F37" w:rsidRPr="00312C86">
              <w:t>sub</w:t>
            </w:r>
            <w:r w:rsidR="003C7635" w:rsidRPr="00312C86">
              <w:t>regulation</w:t>
            </w:r>
            <w:r w:rsidR="00312C86" w:rsidRPr="00312C86">
              <w:t> </w:t>
            </w:r>
            <w:r w:rsidR="003C7635" w:rsidRPr="00312C86">
              <w:t>5.6.75</w:t>
            </w:r>
            <w:r w:rsidR="00AE4F37" w:rsidRPr="00312C86">
              <w:t>(3)</w:t>
            </w:r>
            <w:r w:rsidR="003C7635" w:rsidRPr="00312C86">
              <w:t xml:space="preserve"> of the Corporations Regulations,</w:t>
            </w:r>
            <w:r w:rsidRPr="00312C86">
              <w:t xml:space="preserve"> a notice mentioned in subsection</w:t>
            </w:r>
            <w:r w:rsidR="00312C86" w:rsidRPr="00312C86">
              <w:t> </w:t>
            </w:r>
            <w:r w:rsidRPr="00312C86">
              <w:t>465A(2) to be pub</w:t>
            </w:r>
            <w:r w:rsidR="003C7635" w:rsidRPr="00312C86">
              <w:t>lished in the prescribed manner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51D" w:rsidRPr="00312C86" w:rsidRDefault="00BE7C0C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c>
          <w:tcPr>
            <w:tcW w:w="4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131</w:t>
            </w:r>
          </w:p>
        </w:tc>
        <w:tc>
          <w:tcPr>
            <w:tcW w:w="3955" w:type="pct"/>
            <w:tcBorders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electronically lodging a notice with ASIC for publication on ASIC</w:t>
            </w:r>
            <w:r w:rsidRPr="00312C86">
              <w:rPr>
                <w:rFonts w:hint="eastAsia"/>
              </w:rPr>
              <w:t>’</w:t>
            </w:r>
            <w:r w:rsidRPr="00312C86">
              <w:t>s publication website, as required by section</w:t>
            </w:r>
            <w:r w:rsidR="00312C86" w:rsidRPr="00312C86">
              <w:t> </w:t>
            </w:r>
            <w:r w:rsidRPr="00312C86">
              <w:t>491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$64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132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notice with ASIC under subsection</w:t>
            </w:r>
            <w:r w:rsidR="00312C86" w:rsidRPr="00312C86">
              <w:t> </w:t>
            </w:r>
            <w:r w:rsidRPr="00312C86">
              <w:t>601FL(2) or 601FM(2) relating to a change of responsible entity of a registered scheme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$1,187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133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notice under subsection</w:t>
            </w:r>
            <w:r w:rsidR="00312C86" w:rsidRPr="00312C86">
              <w:t> </w:t>
            </w:r>
            <w:r w:rsidRPr="00312C86">
              <w:t>601FP(3) informing ASIC of the appointment of a temporary responsible entity of a registered scheme by the Court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$1,187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134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DB2BAF">
            <w:pPr>
              <w:pStyle w:val="Tabletext"/>
            </w:pPr>
            <w:r w:rsidRPr="00312C86">
              <w:t>On lodging a notice under subsection</w:t>
            </w:r>
            <w:r w:rsidR="00312C86" w:rsidRPr="00312C86">
              <w:t> </w:t>
            </w:r>
            <w:r w:rsidRPr="00312C86">
              <w:t>601FQ(4) asking ASIC to alter the record of a scheme’s registration to name a new responsible entity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1365BC">
            <w:pPr>
              <w:pStyle w:val="Tabletext"/>
            </w:pPr>
            <w:r w:rsidRPr="00312C86">
              <w:t>$1,187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135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notice with ASIC under paragraph</w:t>
            </w:r>
            <w:r w:rsidR="00312C86" w:rsidRPr="00312C86">
              <w:t> </w:t>
            </w:r>
            <w:r w:rsidRPr="00312C86">
              <w:t>661B(1)(b) relating to a compulsory a</w:t>
            </w:r>
            <w:r w:rsidR="00023F58" w:rsidRPr="00312C86">
              <w:t>cquisition following a takeover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$802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136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456D2C" w:rsidP="004D060E">
            <w:pPr>
              <w:pStyle w:val="Tabletext"/>
              <w:rPr>
                <w:highlight w:val="yellow"/>
              </w:rPr>
            </w:pPr>
            <w:r w:rsidRPr="00312C86">
              <w:t>On lodging a notice with ASIC under paragraph</w:t>
            </w:r>
            <w:r w:rsidR="00312C86" w:rsidRPr="00312C86">
              <w:t> </w:t>
            </w:r>
            <w:r w:rsidRPr="00312C86">
              <w:t>662B(1)(b)</w:t>
            </w:r>
            <w:r w:rsidR="0078482F" w:rsidRPr="00312C86">
              <w:t xml:space="preserve"> relating to a right </w:t>
            </w:r>
            <w:r w:rsidR="004D060E" w:rsidRPr="00312C86">
              <w:t>to</w:t>
            </w:r>
            <w:r w:rsidR="0078482F" w:rsidRPr="00312C86">
              <w:t xml:space="preserve"> buy out holders of bid class securities following</w:t>
            </w:r>
            <w:r w:rsidR="00023F58" w:rsidRPr="00312C86">
              <w:t xml:space="preserve"> a takeover bid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$641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137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4D060E">
            <w:pPr>
              <w:pStyle w:val="Tabletext"/>
            </w:pPr>
            <w:r w:rsidRPr="00312C86">
              <w:t>On lodging a notice with ASIC under paragraph</w:t>
            </w:r>
            <w:r w:rsidR="00312C86" w:rsidRPr="00312C86">
              <w:t> </w:t>
            </w:r>
            <w:r w:rsidRPr="00312C86">
              <w:t xml:space="preserve">663B(1)(b) relating to a right </w:t>
            </w:r>
            <w:r w:rsidR="004D060E" w:rsidRPr="00312C86">
              <w:t>to</w:t>
            </w:r>
            <w:r w:rsidRPr="00312C86">
              <w:t xml:space="preserve"> buy out holders of convertible securities following a takeover bid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$160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138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notice with ASIC under paragraph</w:t>
            </w:r>
            <w:r w:rsidR="00312C86" w:rsidRPr="00312C86">
              <w:t> </w:t>
            </w:r>
            <w:r w:rsidRPr="00312C86">
              <w:t>664C(2)(a) relating to a compulsory acquisition of securities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$802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139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copy of an objection form with ASIC under subsection</w:t>
            </w:r>
            <w:r w:rsidR="00312C86" w:rsidRPr="00312C86">
              <w:t> </w:t>
            </w:r>
            <w:r w:rsidRPr="00312C86">
              <w:t>664E(2) relating to an objection to the compulsory acquisition of securities covered by a compulsory acquisition notice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$802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140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list with ASIC under subsection</w:t>
            </w:r>
            <w:r w:rsidR="00312C86" w:rsidRPr="00312C86">
              <w:t> </w:t>
            </w:r>
            <w:r w:rsidRPr="00312C86">
              <w:t>664E(3) relating to members objecting to a compulsory acquisition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$160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141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126A9F">
            <w:pPr>
              <w:pStyle w:val="Tabletext"/>
            </w:pPr>
            <w:r w:rsidRPr="00312C86">
              <w:t>On lodging a notice with ASIC under paragraph</w:t>
            </w:r>
            <w:r w:rsidR="00312C86" w:rsidRPr="00312C86">
              <w:t> </w:t>
            </w:r>
            <w:r w:rsidRPr="00312C86">
              <w:t xml:space="preserve">665B(1)(b) relating to a right </w:t>
            </w:r>
            <w:r w:rsidR="00126A9F" w:rsidRPr="00312C86">
              <w:t>to</w:t>
            </w:r>
            <w:r w:rsidRPr="00312C86">
              <w:t xml:space="preserve"> buy out holders of convertible securities by a 100% holder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$160</w:t>
            </w:r>
          </w:p>
        </w:tc>
      </w:tr>
      <w:tr w:rsidR="0078482F" w:rsidRPr="00312C86" w:rsidTr="007076F2"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142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</w:t>
            </w:r>
            <w:r w:rsidR="00124B2E" w:rsidRPr="00312C86">
              <w:t>ging, by a</w:t>
            </w:r>
            <w:r w:rsidRPr="00312C86">
              <w:t xml:space="preserve"> disclosing entity, a document referred to in </w:t>
            </w:r>
            <w:r w:rsidRPr="00312C86">
              <w:rPr>
                <w:color w:val="000000"/>
              </w:rPr>
              <w:t>subsection</w:t>
            </w:r>
            <w:r w:rsidR="00312C86" w:rsidRPr="00312C86">
              <w:rPr>
                <w:color w:val="000000"/>
              </w:rPr>
              <w:t> </w:t>
            </w:r>
            <w:r w:rsidRPr="00312C86">
              <w:rPr>
                <w:color w:val="000000"/>
              </w:rPr>
              <w:t>675(2)</w:t>
            </w:r>
            <w:r w:rsidRPr="00312C86">
              <w:t xml:space="preserve"> </w:t>
            </w:r>
            <w:r w:rsidRPr="00312C86">
              <w:lastRenderedPageBreak/>
              <w:t>relating to price sensitive information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lastRenderedPageBreak/>
              <w:t>no fee</w:t>
            </w:r>
          </w:p>
        </w:tc>
      </w:tr>
      <w:tr w:rsidR="0078482F" w:rsidRPr="00312C86" w:rsidTr="007076F2"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lastRenderedPageBreak/>
              <w:t>143</w:t>
            </w:r>
          </w:p>
        </w:tc>
        <w:tc>
          <w:tcPr>
            <w:tcW w:w="3955" w:type="pct"/>
            <w:tcBorders>
              <w:top w:val="single" w:sz="4" w:space="0" w:color="auto"/>
            </w:tcBorders>
            <w:shd w:val="clear" w:color="auto" w:fill="auto"/>
          </w:tcPr>
          <w:p w:rsidR="0078482F" w:rsidRPr="00312C86" w:rsidRDefault="0078482F" w:rsidP="00E42B2B">
            <w:pPr>
              <w:pStyle w:val="Tabletext"/>
            </w:pPr>
            <w:r w:rsidRPr="00312C86">
              <w:t>On lodging any document under subsection</w:t>
            </w:r>
            <w:r w:rsidR="00312C86" w:rsidRPr="00312C86">
              <w:t> </w:t>
            </w:r>
            <w:r w:rsidR="00CA5863" w:rsidRPr="00312C86">
              <w:t>912C(1), 912D(1) or (2)</w:t>
            </w:r>
            <w:r w:rsidR="00E42B2B" w:rsidRPr="00312C86">
              <w:t xml:space="preserve"> </w:t>
            </w:r>
            <w:r w:rsidR="0084786B" w:rsidRPr="00312C86">
              <w:t xml:space="preserve">or </w:t>
            </w:r>
            <w:r w:rsidR="00456D2C" w:rsidRPr="00312C86">
              <w:t xml:space="preserve">912E(2) </w:t>
            </w:r>
            <w:r w:rsidRPr="00312C86">
              <w:t>or paragraph</w:t>
            </w:r>
            <w:r w:rsidR="00312C86" w:rsidRPr="00312C86">
              <w:t> </w:t>
            </w:r>
            <w:r w:rsidR="008C571C" w:rsidRPr="00312C86">
              <w:t>913B(1)(ca)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rPr>
          <w:trHeight w:val="53"/>
        </w:trPr>
        <w:tc>
          <w:tcPr>
            <w:tcW w:w="412" w:type="pct"/>
            <w:gridSpan w:val="2"/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144</w:t>
            </w:r>
          </w:p>
        </w:tc>
        <w:tc>
          <w:tcPr>
            <w:tcW w:w="3955" w:type="pct"/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notice under subsection</w:t>
            </w:r>
            <w:r w:rsidR="00312C86" w:rsidRPr="00312C86">
              <w:t> </w:t>
            </w:r>
            <w:r w:rsidR="00213362" w:rsidRPr="00312C86">
              <w:t>922HA(3</w:t>
            </w:r>
            <w:r w:rsidRPr="00312C86">
              <w:t>)</w:t>
            </w:r>
          </w:p>
        </w:tc>
        <w:tc>
          <w:tcPr>
            <w:tcW w:w="633" w:type="pct"/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$250</w:t>
            </w:r>
          </w:p>
        </w:tc>
      </w:tr>
      <w:tr w:rsidR="0078482F" w:rsidRPr="00312C86" w:rsidTr="007076F2">
        <w:tc>
          <w:tcPr>
            <w:tcW w:w="412" w:type="pct"/>
            <w:gridSpan w:val="2"/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145</w:t>
            </w:r>
          </w:p>
        </w:tc>
        <w:tc>
          <w:tcPr>
            <w:tcW w:w="3955" w:type="pct"/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giving notice by an auditor of a financial services licensee to ASIC under paragraph</w:t>
            </w:r>
            <w:r w:rsidR="00312C86" w:rsidRPr="00312C86">
              <w:t> </w:t>
            </w:r>
            <w:r w:rsidRPr="00312C86">
              <w:t>990G(1)(a)</w:t>
            </w:r>
          </w:p>
        </w:tc>
        <w:tc>
          <w:tcPr>
            <w:tcW w:w="633" w:type="pct"/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c>
          <w:tcPr>
            <w:tcW w:w="412" w:type="pct"/>
            <w:gridSpan w:val="2"/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146</w:t>
            </w:r>
          </w:p>
        </w:tc>
        <w:tc>
          <w:tcPr>
            <w:tcW w:w="3955" w:type="pct"/>
            <w:shd w:val="clear" w:color="auto" w:fill="auto"/>
          </w:tcPr>
          <w:p w:rsidR="002F294C" w:rsidRPr="00312C86" w:rsidRDefault="0078482F" w:rsidP="009D405E">
            <w:pPr>
              <w:pStyle w:val="Tabletext"/>
            </w:pPr>
            <w:r w:rsidRPr="00312C86">
              <w:t>Lodgment with ASIC of</w:t>
            </w:r>
            <w:r w:rsidR="002F294C" w:rsidRPr="00312C86">
              <w:t>:</w:t>
            </w:r>
          </w:p>
          <w:p w:rsidR="0078482F" w:rsidRPr="00312C86" w:rsidRDefault="002F294C" w:rsidP="002F294C">
            <w:pPr>
              <w:pStyle w:val="Tablea"/>
            </w:pPr>
            <w:r w:rsidRPr="00312C86">
              <w:t>(a)</w:t>
            </w:r>
            <w:r w:rsidR="0078482F" w:rsidRPr="00312C86">
              <w:t xml:space="preserve"> a Product Disclosure Statement mentioned in section</w:t>
            </w:r>
            <w:r w:rsidR="00312C86" w:rsidRPr="00312C86">
              <w:t> </w:t>
            </w:r>
            <w:r w:rsidR="0078482F" w:rsidRPr="00312C86">
              <w:t>1015B</w:t>
            </w:r>
            <w:r w:rsidRPr="00312C86">
              <w:t>; or</w:t>
            </w:r>
          </w:p>
          <w:p w:rsidR="002F294C" w:rsidRPr="00312C86" w:rsidRDefault="002F294C" w:rsidP="002F294C">
            <w:pPr>
              <w:pStyle w:val="Tablea"/>
            </w:pPr>
            <w:r w:rsidRPr="00312C86">
              <w:t>(b) a Replacement Product Disclosure Statement under Subdivision</w:t>
            </w:r>
            <w:r w:rsidR="00346DA1" w:rsidRPr="00312C86">
              <w:t xml:space="preserve"> </w:t>
            </w:r>
            <w:r w:rsidRPr="00312C86">
              <w:t>E of Division</w:t>
            </w:r>
            <w:r w:rsidR="00312C86" w:rsidRPr="00312C86">
              <w:t> </w:t>
            </w:r>
            <w:r w:rsidRPr="00312C86">
              <w:t>2 of Part</w:t>
            </w:r>
            <w:r w:rsidR="00312C86" w:rsidRPr="00312C86">
              <w:t> </w:t>
            </w:r>
            <w:r w:rsidRPr="00312C86">
              <w:t>7.9; or</w:t>
            </w:r>
          </w:p>
          <w:p w:rsidR="002F294C" w:rsidRPr="00312C86" w:rsidRDefault="002F294C" w:rsidP="002F294C">
            <w:pPr>
              <w:pStyle w:val="Tablea"/>
            </w:pPr>
            <w:r w:rsidRPr="00312C86">
              <w:t xml:space="preserve">(c) </w:t>
            </w:r>
            <w:r w:rsidR="00E776EB" w:rsidRPr="00312C86">
              <w:t xml:space="preserve">a </w:t>
            </w:r>
            <w:r w:rsidRPr="00312C86">
              <w:t>Supplementary Product Disclosure Statement under Subdivision</w:t>
            </w:r>
            <w:r w:rsidR="00346DA1" w:rsidRPr="00312C86">
              <w:t xml:space="preserve"> </w:t>
            </w:r>
            <w:r w:rsidRPr="00312C86">
              <w:t>E of Division</w:t>
            </w:r>
            <w:r w:rsidR="00312C86" w:rsidRPr="00312C86">
              <w:t> </w:t>
            </w:r>
            <w:r w:rsidRPr="00312C86">
              <w:t>2 of Part</w:t>
            </w:r>
            <w:r w:rsidR="00312C86" w:rsidRPr="00312C86">
              <w:t> </w:t>
            </w:r>
            <w:r w:rsidRPr="00312C86">
              <w:t>7.9</w:t>
            </w:r>
          </w:p>
        </w:tc>
        <w:tc>
          <w:tcPr>
            <w:tcW w:w="633" w:type="pct"/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$1,993</w:t>
            </w:r>
          </w:p>
        </w:tc>
      </w:tr>
      <w:tr w:rsidR="0078482F" w:rsidRPr="00312C86" w:rsidTr="007076F2">
        <w:trPr>
          <w:cantSplit/>
        </w:trPr>
        <w:tc>
          <w:tcPr>
            <w:tcW w:w="4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147</w:t>
            </w:r>
          </w:p>
        </w:tc>
        <w:tc>
          <w:tcPr>
            <w:tcW w:w="3955" w:type="pct"/>
            <w:tcBorders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notice with ASIC about the occurrence of an event mentioned in paragraph</w:t>
            </w:r>
            <w:r w:rsidR="00312C86" w:rsidRPr="00312C86">
              <w:t> </w:t>
            </w:r>
            <w:r w:rsidRPr="00312C86">
              <w:t>1015D(2)</w:t>
            </w:r>
            <w:r w:rsidR="00DB2BAF" w:rsidRPr="00312C86">
              <w:t xml:space="preserve">(a), </w:t>
            </w:r>
            <w:r w:rsidRPr="00312C86">
              <w:t>(b) or (c)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148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with ASIC, under subsection</w:t>
            </w:r>
            <w:r w:rsidR="00312C86" w:rsidRPr="00312C86">
              <w:t> </w:t>
            </w:r>
            <w:r w:rsidRPr="00312C86">
              <w:t>1200C(5), a notice and documents and information required to be lodged under section</w:t>
            </w:r>
            <w:r w:rsidR="00312C86" w:rsidRPr="00312C86">
              <w:t> </w:t>
            </w:r>
            <w:r w:rsidRPr="00312C86">
              <w:t>1200D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$321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149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document, statement or notice with ASIC under subsection</w:t>
            </w:r>
            <w:r w:rsidR="00312C86" w:rsidRPr="00312C86">
              <w:t> </w:t>
            </w:r>
            <w:r w:rsidRPr="00312C86">
              <w:t>1200G(9)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$160</w:t>
            </w:r>
          </w:p>
        </w:tc>
      </w:tr>
      <w:tr w:rsidR="00335579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579" w:rsidRPr="00312C86" w:rsidRDefault="007C34EC" w:rsidP="00826AE8">
            <w:pPr>
              <w:pStyle w:val="Tabletext"/>
            </w:pPr>
            <w:r w:rsidRPr="00312C86">
              <w:t>150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56A" w:rsidRPr="00312C86" w:rsidRDefault="00D43C3C" w:rsidP="00DB2BAF">
            <w:pPr>
              <w:pStyle w:val="Tabletext"/>
            </w:pPr>
            <w:r w:rsidRPr="00312C86">
              <w:t xml:space="preserve">On lodging with ASIC </w:t>
            </w:r>
            <w:r w:rsidR="00335579" w:rsidRPr="00312C86">
              <w:t>a notice mentioned in subsection</w:t>
            </w:r>
            <w:r w:rsidR="00312C86" w:rsidRPr="00312C86">
              <w:t> </w:t>
            </w:r>
            <w:r w:rsidR="00335579" w:rsidRPr="00312C86">
              <w:t>1460(5) or paragraph</w:t>
            </w:r>
            <w:r w:rsidR="00312C86" w:rsidRPr="00312C86">
              <w:t> </w:t>
            </w:r>
            <w:r w:rsidR="00335579" w:rsidRPr="00312C86">
              <w:t xml:space="preserve">1460(6)(c) of the </w:t>
            </w:r>
            <w:r w:rsidRPr="00312C86">
              <w:t xml:space="preserve">old Corporations </w:t>
            </w:r>
            <w:r w:rsidR="00745759" w:rsidRPr="00312C86">
              <w:t>Law</w:t>
            </w:r>
            <w:r w:rsidRPr="00312C86">
              <w:t>, to the extent that those provisions continue to have effect because of section</w:t>
            </w:r>
            <w:r w:rsidR="00312C86" w:rsidRPr="00312C86">
              <w:t> </w:t>
            </w:r>
            <w:r w:rsidR="00DB2BAF" w:rsidRPr="00312C86">
              <w:t>1408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579" w:rsidRPr="00312C86" w:rsidRDefault="00335579" w:rsidP="00727845">
            <w:pPr>
              <w:pStyle w:val="Tabletext"/>
            </w:pPr>
            <w:r w:rsidRPr="00312C86">
              <w:t>$478</w:t>
            </w:r>
          </w:p>
        </w:tc>
      </w:tr>
      <w:tr w:rsidR="00D43C3C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C3C" w:rsidRPr="00312C86" w:rsidRDefault="007C34EC" w:rsidP="00826AE8">
            <w:pPr>
              <w:pStyle w:val="Tabletext"/>
            </w:pPr>
            <w:r w:rsidRPr="00312C86">
              <w:t>151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4FD4" w:rsidRPr="00312C86" w:rsidRDefault="004B6B71" w:rsidP="00DB2BAF">
            <w:pPr>
              <w:pStyle w:val="Tabletext"/>
            </w:pPr>
            <w:r w:rsidRPr="00312C86">
              <w:t>On lodging with ASIC a deed, or a copy of a deed, mentioned in paragraph</w:t>
            </w:r>
            <w:r w:rsidR="00312C86" w:rsidRPr="00312C86">
              <w:t> </w:t>
            </w:r>
            <w:r w:rsidRPr="00312C86">
              <w:t xml:space="preserve">1066(1)(c) of the old </w:t>
            </w:r>
            <w:r w:rsidR="00745759" w:rsidRPr="00312C86">
              <w:t>Law</w:t>
            </w:r>
            <w:r w:rsidRPr="00312C86">
              <w:t xml:space="preserve">, to the extent that provision continues to have effect because of </w:t>
            </w:r>
            <w:r w:rsidR="005F464D" w:rsidRPr="00312C86">
              <w:t>section</w:t>
            </w:r>
            <w:r w:rsidR="00312C86" w:rsidRPr="00312C86">
              <w:t> </w:t>
            </w:r>
            <w:r w:rsidR="005F464D" w:rsidRPr="00312C86">
              <w:t xml:space="preserve">1454 of the old Corporations Law and </w:t>
            </w:r>
            <w:r w:rsidR="00DB2BAF" w:rsidRPr="00312C86">
              <w:t>section</w:t>
            </w:r>
            <w:r w:rsidR="00312C86" w:rsidRPr="00312C86">
              <w:t> </w:t>
            </w:r>
            <w:r w:rsidR="00DB2BAF" w:rsidRPr="00312C86">
              <w:t>1408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C3C" w:rsidRPr="00312C86" w:rsidRDefault="004B6B71" w:rsidP="00727845">
            <w:pPr>
              <w:pStyle w:val="Tabletext"/>
            </w:pPr>
            <w:r w:rsidRPr="00312C86">
              <w:t>$478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152</w:t>
            </w:r>
          </w:p>
        </w:tc>
        <w:tc>
          <w:tcPr>
            <w:tcW w:w="3955" w:type="pct"/>
            <w:tcBorders>
              <w:top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copy of a scheme under paragraph</w:t>
            </w:r>
            <w:r w:rsidR="00312C86" w:rsidRPr="00312C86">
              <w:t> </w:t>
            </w:r>
            <w:r w:rsidRPr="00312C86">
              <w:t xml:space="preserve">195(c) of the </w:t>
            </w:r>
            <w:r w:rsidRPr="00312C86">
              <w:rPr>
                <w:i/>
              </w:rPr>
              <w:t>Life Insurance Act 1995</w:t>
            </w:r>
            <w:r w:rsidRPr="00312C86">
              <w:t xml:space="preserve"> when the scheme is confirmed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$2,695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153</w:t>
            </w:r>
          </w:p>
        </w:tc>
        <w:tc>
          <w:tcPr>
            <w:tcW w:w="3955" w:type="pct"/>
            <w:tcBorders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copy of a scheme under paragraph</w:t>
            </w:r>
            <w:r w:rsidR="00312C86" w:rsidRPr="00312C86">
              <w:t> </w:t>
            </w:r>
            <w:r w:rsidRPr="00312C86">
              <w:t xml:space="preserve">17G(c) of the </w:t>
            </w:r>
            <w:r w:rsidRPr="00312C86">
              <w:rPr>
                <w:i/>
              </w:rPr>
              <w:t>Insurance Act 1973</w:t>
            </w:r>
            <w:r w:rsidRPr="00312C86">
              <w:t xml:space="preserve"> when the scheme is confirmed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$2,695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Heading"/>
            </w:pPr>
            <w:r w:rsidRPr="00312C86">
              <w:t>Other matters with no fee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154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deed in relation to an application with ASIC for an exemption or modification under section</w:t>
            </w:r>
            <w:r w:rsidR="00312C86" w:rsidRPr="00312C86">
              <w:t> </w:t>
            </w:r>
            <w:r w:rsidRPr="00312C86">
              <w:t>340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155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0F7872">
            <w:pPr>
              <w:pStyle w:val="Tabletext"/>
            </w:pPr>
            <w:r w:rsidRPr="00312C86">
              <w:t xml:space="preserve">On lodging a notice under </w:t>
            </w:r>
            <w:r w:rsidR="000F7872" w:rsidRPr="00312C86">
              <w:t>paragraph</w:t>
            </w:r>
            <w:r w:rsidR="00312C86" w:rsidRPr="00312C86">
              <w:t> </w:t>
            </w:r>
            <w:r w:rsidRPr="00312C86">
              <w:t>465A(1)</w:t>
            </w:r>
            <w:r w:rsidR="000F7872" w:rsidRPr="00312C86">
              <w:t>(a)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156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auditor’s report with ASIC under subsection</w:t>
            </w:r>
            <w:r w:rsidR="00312C86" w:rsidRPr="00312C86">
              <w:t> </w:t>
            </w:r>
            <w:r w:rsidRPr="00312C86">
              <w:t>601HG(7)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157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with ASIC, under subsection</w:t>
            </w:r>
            <w:r w:rsidR="00312C86" w:rsidRPr="00312C86">
              <w:t> </w:t>
            </w:r>
            <w:r w:rsidRPr="00312C86">
              <w:t>601KB(5), a copy of a withdrawal offer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158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notice with ASIC mentioned in subsection</w:t>
            </w:r>
            <w:r w:rsidR="00312C86" w:rsidRPr="00312C86">
              <w:t> </w:t>
            </w:r>
            <w:r w:rsidRPr="00312C86">
              <w:t>990B(6) relating to the appointment of an auditor of an Australian financial services licensee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159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lodging, under subsection</w:t>
            </w:r>
            <w:r w:rsidR="00312C86" w:rsidRPr="00312C86">
              <w:t> </w:t>
            </w:r>
            <w:r w:rsidRPr="00312C86">
              <w:t>1287(1), particulars of an event mentioned in that subsection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Del="00E748F3" w:rsidTr="007076F2">
        <w:tblPrEx>
          <w:tblBorders>
            <w:insideH w:val="single" w:sz="2" w:space="0" w:color="auto"/>
          </w:tblBorders>
        </w:tblPrEx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160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notice under subsection</w:t>
            </w:r>
            <w:r w:rsidR="00312C86" w:rsidRPr="00312C86">
              <w:t> </w:t>
            </w:r>
            <w:r w:rsidRPr="00312C86">
              <w:t>1299F(3)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161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notice, under regulation</w:t>
            </w:r>
            <w:r w:rsidR="00312C86" w:rsidRPr="00312C86">
              <w:t> </w:t>
            </w:r>
            <w:r w:rsidRPr="00312C86">
              <w:t>5C.1.02 of the Corporations Regulations, to change the name of a registered scheme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162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 notice, under regulation</w:t>
            </w:r>
            <w:r w:rsidR="00312C86" w:rsidRPr="00312C86">
              <w:t> </w:t>
            </w:r>
            <w:r w:rsidRPr="00312C86">
              <w:t>5C.9.01 of the Corporations Regulations, telling ASIC that winding up of a scheme has commenced or been completed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blPrEx>
          <w:tblBorders>
            <w:insideH w:val="single" w:sz="2" w:space="0" w:color="auto"/>
          </w:tblBorders>
        </w:tblPrEx>
        <w:trPr>
          <w:trHeight w:val="53"/>
        </w:trPr>
        <w:tc>
          <w:tcPr>
            <w:tcW w:w="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826AE8">
            <w:pPr>
              <w:pStyle w:val="Tabletext"/>
            </w:pPr>
            <w:r w:rsidRPr="00312C86">
              <w:t>163</w:t>
            </w:r>
          </w:p>
        </w:tc>
        <w:tc>
          <w:tcPr>
            <w:tcW w:w="3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with ASIC, under subregulation</w:t>
            </w:r>
            <w:r w:rsidR="00312C86" w:rsidRPr="00312C86">
              <w:t> </w:t>
            </w:r>
            <w:r w:rsidRPr="00312C86">
              <w:t>7.5.90(4) of the Corporations Regulations</w:t>
            </w:r>
            <w:r w:rsidR="00126A9F" w:rsidRPr="00312C86">
              <w:t>,</w:t>
            </w:r>
            <w:r w:rsidRPr="00312C86">
              <w:t xml:space="preserve"> a completed Form 719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  <w:tr w:rsidR="0078482F" w:rsidRPr="00312C86" w:rsidTr="007076F2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Heading"/>
            </w:pPr>
            <w:r w:rsidRPr="00312C86">
              <w:lastRenderedPageBreak/>
              <w:t>Authorised audit companies</w:t>
            </w:r>
          </w:p>
        </w:tc>
      </w:tr>
      <w:tr w:rsidR="0078482F" w:rsidRPr="00312C86" w:rsidDel="00E748F3" w:rsidTr="00BD132E">
        <w:tblPrEx>
          <w:tblBorders>
            <w:insideH w:val="single" w:sz="2" w:space="0" w:color="auto"/>
          </w:tblBorders>
        </w:tblPrEx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164</w:t>
            </w:r>
          </w:p>
        </w:tc>
        <w:tc>
          <w:tcPr>
            <w:tcW w:w="39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  <w:rPr>
                <w:i/>
              </w:rPr>
            </w:pPr>
            <w:r w:rsidRPr="00312C86">
              <w:t>On lodging an application for registration as an authorised audit company under section</w:t>
            </w:r>
            <w:r w:rsidR="00312C86" w:rsidRPr="00312C86">
              <w:t> </w:t>
            </w:r>
            <w:r w:rsidRPr="00312C86">
              <w:t>1299A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$3,429</w:t>
            </w:r>
          </w:p>
        </w:tc>
      </w:tr>
      <w:tr w:rsidR="0078482F" w:rsidRPr="00312C86" w:rsidDel="00E748F3" w:rsidTr="00BD132E">
        <w:tblPrEx>
          <w:tblBorders>
            <w:insideH w:val="single" w:sz="2" w:space="0" w:color="auto"/>
          </w:tblBorders>
        </w:tblPrEx>
        <w:tc>
          <w:tcPr>
            <w:tcW w:w="39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8482F" w:rsidRPr="00312C86" w:rsidRDefault="007C34EC" w:rsidP="00727845">
            <w:pPr>
              <w:pStyle w:val="Tabletext"/>
            </w:pPr>
            <w:r w:rsidRPr="00312C86">
              <w:t>165</w:t>
            </w:r>
          </w:p>
        </w:tc>
        <w:tc>
          <w:tcPr>
            <w:tcW w:w="397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On lodging an annual statement under section</w:t>
            </w:r>
            <w:r w:rsidR="00312C86" w:rsidRPr="00312C86">
              <w:t> </w:t>
            </w:r>
            <w:r w:rsidRPr="00312C86">
              <w:t>1299G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8482F" w:rsidRPr="00312C86" w:rsidRDefault="0078482F" w:rsidP="00727845">
            <w:pPr>
              <w:pStyle w:val="Tabletext"/>
            </w:pPr>
            <w:r w:rsidRPr="00312C86">
              <w:t>no fee</w:t>
            </w:r>
          </w:p>
        </w:tc>
      </w:tr>
    </w:tbl>
    <w:p w:rsidR="00130F7F" w:rsidRPr="00312C86" w:rsidRDefault="00130F7F" w:rsidP="00130F7F">
      <w:pPr>
        <w:pStyle w:val="Tabletext"/>
      </w:pPr>
    </w:p>
    <w:p w:rsidR="00130F7F" w:rsidRPr="00312C86" w:rsidRDefault="00130F7F" w:rsidP="00130F7F">
      <w:pPr>
        <w:pStyle w:val="ActHead1"/>
      </w:pPr>
      <w:bookmarkStart w:id="13" w:name="_Toc517938656"/>
      <w:r w:rsidRPr="00312C86">
        <w:rPr>
          <w:rStyle w:val="CharChapNo"/>
        </w:rPr>
        <w:t>Schedule</w:t>
      </w:r>
      <w:r w:rsidR="00312C86" w:rsidRPr="00312C86">
        <w:rPr>
          <w:rStyle w:val="CharChapNo"/>
        </w:rPr>
        <w:t> </w:t>
      </w:r>
      <w:r w:rsidRPr="00312C86">
        <w:rPr>
          <w:rStyle w:val="CharChapNo"/>
        </w:rPr>
        <w:t>2</w:t>
      </w:r>
      <w:r w:rsidRPr="00312C86">
        <w:t>—</w:t>
      </w:r>
      <w:r w:rsidRPr="00312C86">
        <w:rPr>
          <w:rStyle w:val="CharChapText"/>
        </w:rPr>
        <w:t>Registry fees</w:t>
      </w:r>
      <w:bookmarkEnd w:id="13"/>
    </w:p>
    <w:p w:rsidR="00130F7F" w:rsidRPr="00312C86" w:rsidRDefault="00130F7F" w:rsidP="00130F7F">
      <w:pPr>
        <w:pStyle w:val="notemargin"/>
      </w:pPr>
      <w:r w:rsidRPr="00312C86">
        <w:t>Note:</w:t>
      </w:r>
      <w:r w:rsidRPr="00312C86">
        <w:tab/>
        <w:t>See regulation</w:t>
      </w:r>
      <w:r w:rsidR="00312C86" w:rsidRPr="00312C86">
        <w:t> </w:t>
      </w:r>
      <w:r w:rsidRPr="00312C86">
        <w:t>3.</w:t>
      </w:r>
    </w:p>
    <w:p w:rsidR="00CA5863" w:rsidRPr="00312C86" w:rsidRDefault="00CA5863" w:rsidP="00CA5863">
      <w:pPr>
        <w:pStyle w:val="Header"/>
      </w:pPr>
      <w:r w:rsidRPr="00312C86">
        <w:rPr>
          <w:rStyle w:val="CharPartNo"/>
        </w:rPr>
        <w:t xml:space="preserve"> </w:t>
      </w:r>
      <w:r w:rsidRPr="00312C86">
        <w:rPr>
          <w:rStyle w:val="CharPartText"/>
        </w:rPr>
        <w:t xml:space="preserve"> </w:t>
      </w:r>
    </w:p>
    <w:p w:rsidR="00CA5863" w:rsidRPr="00312C86" w:rsidRDefault="00CA5863" w:rsidP="00CA5863">
      <w:pPr>
        <w:pStyle w:val="Header"/>
      </w:pPr>
      <w:r w:rsidRPr="00312C86">
        <w:rPr>
          <w:rStyle w:val="CharDivNo"/>
        </w:rPr>
        <w:t xml:space="preserve"> </w:t>
      </w:r>
      <w:r w:rsidRPr="00312C86">
        <w:rPr>
          <w:rStyle w:val="CharDivText"/>
        </w:rPr>
        <w:t xml:space="preserve"> </w:t>
      </w:r>
    </w:p>
    <w:p w:rsidR="00130F7F" w:rsidRPr="00312C86" w:rsidRDefault="00130F7F" w:rsidP="00F71A18">
      <w:pPr>
        <w:pStyle w:val="ActHead5"/>
      </w:pPr>
      <w:bookmarkStart w:id="14" w:name="_Toc517938657"/>
      <w:r w:rsidRPr="00312C86">
        <w:rPr>
          <w:rStyle w:val="CharSectno"/>
        </w:rPr>
        <w:t>1</w:t>
      </w:r>
      <w:r w:rsidRPr="00312C86">
        <w:t xml:space="preserve">  Registry fees</w:t>
      </w:r>
      <w:bookmarkEnd w:id="14"/>
    </w:p>
    <w:p w:rsidR="00130F7F" w:rsidRPr="00312C86" w:rsidRDefault="00130F7F" w:rsidP="00130F7F">
      <w:pPr>
        <w:pStyle w:val="subsection"/>
      </w:pPr>
      <w:r w:rsidRPr="00312C86">
        <w:tab/>
      </w:r>
      <w:r w:rsidRPr="00312C86">
        <w:tab/>
        <w:t>The following table prescribes fees for chargeable matters for the purposes of subregulation</w:t>
      </w:r>
      <w:r w:rsidR="00312C86" w:rsidRPr="00312C86">
        <w:t> </w:t>
      </w:r>
      <w:r w:rsidRPr="00312C86">
        <w:t>3(1).</w:t>
      </w:r>
    </w:p>
    <w:p w:rsidR="00130F7F" w:rsidRPr="00312C86" w:rsidRDefault="00130F7F" w:rsidP="00130F7F">
      <w:pPr>
        <w:pStyle w:val="notetext"/>
      </w:pPr>
      <w:r w:rsidRPr="00312C86">
        <w:t>Note:</w:t>
      </w:r>
      <w:r w:rsidRPr="00312C86">
        <w:tab/>
        <w:t>See also regulation</w:t>
      </w:r>
      <w:r w:rsidR="00312C86" w:rsidRPr="00312C86">
        <w:t> </w:t>
      </w:r>
      <w:r w:rsidRPr="00312C86">
        <w:t>2 (interpretation).</w:t>
      </w:r>
    </w:p>
    <w:p w:rsidR="00130F7F" w:rsidRPr="00312C86" w:rsidRDefault="00130F7F" w:rsidP="00130F7F">
      <w:pPr>
        <w:pStyle w:val="Tabletext"/>
      </w:pPr>
    </w:p>
    <w:tbl>
      <w:tblPr>
        <w:tblW w:w="4981" w:type="pct"/>
        <w:tblInd w:w="3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704"/>
        <w:gridCol w:w="1093"/>
      </w:tblGrid>
      <w:tr w:rsidR="00130F7F" w:rsidRPr="00312C86" w:rsidTr="007076F2">
        <w:trPr>
          <w:trHeight w:val="57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30F7F" w:rsidRPr="00312C86" w:rsidRDefault="00130F7F" w:rsidP="00224C1B">
            <w:pPr>
              <w:pStyle w:val="TableHeading"/>
            </w:pPr>
            <w:r w:rsidRPr="00312C86">
              <w:t>Registry fees</w:t>
            </w:r>
          </w:p>
        </w:tc>
      </w:tr>
      <w:tr w:rsidR="00130F7F" w:rsidRPr="00312C86" w:rsidTr="007076F2">
        <w:trPr>
          <w:trHeight w:val="57"/>
          <w:tblHeader/>
        </w:trPr>
        <w:tc>
          <w:tcPr>
            <w:tcW w:w="4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30F7F" w:rsidRPr="00312C86" w:rsidRDefault="00130F7F" w:rsidP="00224C1B">
            <w:pPr>
              <w:pStyle w:val="TableHeading"/>
            </w:pPr>
            <w:r w:rsidRPr="00312C86">
              <w:t>Item</w:t>
            </w:r>
          </w:p>
        </w:tc>
        <w:tc>
          <w:tcPr>
            <w:tcW w:w="394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30F7F" w:rsidRPr="00312C86" w:rsidRDefault="00130F7F" w:rsidP="00224C1B">
            <w:pPr>
              <w:pStyle w:val="TableHeading"/>
            </w:pPr>
            <w:r w:rsidRPr="00312C86">
              <w:t>Column 1</w:t>
            </w:r>
            <w:r w:rsidRPr="00312C86">
              <w:br/>
              <w:t>Chargeable matter</w:t>
            </w:r>
          </w:p>
        </w:tc>
        <w:tc>
          <w:tcPr>
            <w:tcW w:w="64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30F7F" w:rsidRPr="00312C86" w:rsidRDefault="00130F7F" w:rsidP="00224C1B">
            <w:pPr>
              <w:pStyle w:val="TableHeading"/>
            </w:pPr>
            <w:r w:rsidRPr="00312C86">
              <w:t>Column 2</w:t>
            </w:r>
            <w:r w:rsidRPr="00312C86">
              <w:br/>
              <w:t>Fee</w:t>
            </w:r>
          </w:p>
        </w:tc>
      </w:tr>
      <w:tr w:rsidR="00224C1B" w:rsidRPr="00312C86" w:rsidTr="007076F2"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:rsidR="00224C1B" w:rsidRPr="00312C86" w:rsidRDefault="00224C1B" w:rsidP="00224C1B">
            <w:pPr>
              <w:pStyle w:val="TableHeading"/>
            </w:pPr>
            <w:r w:rsidRPr="00312C86">
              <w:t>Incorporation and registration of companies and other bodies</w:t>
            </w:r>
          </w:p>
        </w:tc>
      </w:tr>
      <w:tr w:rsidR="00224C1B" w:rsidRPr="00312C86" w:rsidTr="007076F2">
        <w:tc>
          <w:tcPr>
            <w:tcW w:w="412" w:type="pct"/>
            <w:tcBorders>
              <w:bottom w:val="nil"/>
            </w:tcBorders>
            <w:shd w:val="clear" w:color="auto" w:fill="auto"/>
          </w:tcPr>
          <w:p w:rsidR="00224C1B" w:rsidRPr="00312C86" w:rsidRDefault="003B24A2" w:rsidP="00224C1B">
            <w:pPr>
              <w:pStyle w:val="Tabletext"/>
            </w:pPr>
            <w:r w:rsidRPr="00312C86">
              <w:t>1</w:t>
            </w:r>
          </w:p>
        </w:tc>
        <w:tc>
          <w:tcPr>
            <w:tcW w:w="3945" w:type="pct"/>
            <w:tcBorders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  <w:r w:rsidRPr="00312C86">
              <w:t>On application for: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</w:tr>
      <w:tr w:rsidR="00224C1B" w:rsidRPr="00312C86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a"/>
            </w:pPr>
            <w:r w:rsidRPr="00312C86">
              <w:t>(a) registration of a company under section</w:t>
            </w:r>
            <w:r w:rsidR="00312C86" w:rsidRPr="00312C86">
              <w:t> </w:t>
            </w:r>
            <w:r w:rsidRPr="00312C86">
              <w:t>118: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</w:tr>
      <w:tr w:rsidR="00224C1B" w:rsidRPr="00312C86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i"/>
            </w:pPr>
            <w:r w:rsidRPr="00312C86">
              <w:t>(i) if the company has a share capital</w:t>
            </w:r>
            <w:r w:rsidR="00456D2C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A23944" w:rsidP="00224C1B">
            <w:pPr>
              <w:pStyle w:val="Tabletext"/>
            </w:pPr>
            <w:r w:rsidRPr="00312C86">
              <w:t>$488</w:t>
            </w:r>
          </w:p>
        </w:tc>
      </w:tr>
      <w:tr w:rsidR="00224C1B" w:rsidRPr="00312C86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i"/>
            </w:pPr>
            <w:r w:rsidRPr="00312C86">
              <w:t>(ii) if the company does not have a share capital</w:t>
            </w:r>
            <w:r w:rsidR="00456D2C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A23944" w:rsidP="00224C1B">
            <w:pPr>
              <w:pStyle w:val="Tabletext"/>
            </w:pPr>
            <w:r w:rsidRPr="00312C86">
              <w:t>$403</w:t>
            </w:r>
          </w:p>
        </w:tc>
      </w:tr>
      <w:tr w:rsidR="00456D2C" w:rsidRPr="00312C86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456D2C" w:rsidRPr="00312C86" w:rsidRDefault="00456D2C" w:rsidP="001323F1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456D2C" w:rsidRPr="00312C86" w:rsidRDefault="00456D2C" w:rsidP="001323F1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(b) transfer of the registration of a company under section</w:t>
            </w:r>
            <w:r w:rsidR="00312C86" w:rsidRPr="00312C86">
              <w:t> </w:t>
            </w:r>
            <w:r w:rsidRPr="00312C86">
              <w:t>119A;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456D2C" w:rsidRPr="00312C86" w:rsidRDefault="00456D2C" w:rsidP="001323F1">
            <w:pPr>
              <w:pStyle w:val="Tabletext"/>
            </w:pPr>
            <w:r w:rsidRPr="00312C86">
              <w:t>$488</w:t>
            </w:r>
          </w:p>
        </w:tc>
      </w:tr>
      <w:tr w:rsidR="00224C1B" w:rsidRPr="00312C86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456D2C" w:rsidP="00224C1B">
            <w:pPr>
              <w:pStyle w:val="Tablea"/>
              <w:keepNext/>
            </w:pPr>
            <w:r w:rsidRPr="00312C86">
              <w:t>(c</w:t>
            </w:r>
            <w:r w:rsidR="00224C1B" w:rsidRPr="00312C86">
              <w:t>) registration of a company under section</w:t>
            </w:r>
            <w:r w:rsidR="00312C86" w:rsidRPr="00312C86">
              <w:t> </w:t>
            </w:r>
            <w:r w:rsidR="00224C1B" w:rsidRPr="00312C86">
              <w:t>601BD: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</w:tr>
      <w:tr w:rsidR="00224C1B" w:rsidRPr="00312C86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(i) if, at the time of lodging the application, the body corporate was registered under Division</w:t>
            </w:r>
            <w:r w:rsidR="00312C86" w:rsidRPr="00312C86">
              <w:t> </w:t>
            </w:r>
            <w:r w:rsidRPr="00312C86">
              <w:t>2 of Part</w:t>
            </w:r>
            <w:r w:rsidR="00312C86" w:rsidRPr="00312C86">
              <w:t> </w:t>
            </w:r>
            <w:r w:rsidRPr="00312C86">
              <w:t>5B.2</w:t>
            </w:r>
            <w:r w:rsidR="00456D2C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A23944" w:rsidP="00224C1B">
            <w:pPr>
              <w:pStyle w:val="Tabletext"/>
            </w:pPr>
            <w:r w:rsidRPr="00312C86">
              <w:t>$403</w:t>
            </w:r>
          </w:p>
        </w:tc>
      </w:tr>
      <w:tr w:rsidR="00224C1B" w:rsidRPr="00312C86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(ii) in any other case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A23944" w:rsidP="00224C1B">
            <w:pPr>
              <w:pStyle w:val="Tabletext"/>
            </w:pPr>
            <w:r w:rsidRPr="00312C86">
              <w:t>$488</w:t>
            </w:r>
          </w:p>
        </w:tc>
      </w:tr>
      <w:tr w:rsidR="00224C1B" w:rsidRPr="00312C86" w:rsidDel="00C17DE1" w:rsidTr="007076F2">
        <w:tc>
          <w:tcPr>
            <w:tcW w:w="41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24C1B" w:rsidRPr="00312C86" w:rsidRDefault="003B24A2" w:rsidP="00224C1B">
            <w:pPr>
              <w:pStyle w:val="Tabletext"/>
            </w:pPr>
            <w:r w:rsidRPr="00312C86">
              <w:t>2</w:t>
            </w:r>
          </w:p>
        </w:tc>
        <w:tc>
          <w:tcPr>
            <w:tcW w:w="394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  <w:r w:rsidRPr="00312C86">
              <w:t>On lodging the documents under Part</w:t>
            </w:r>
            <w:r w:rsidR="00312C86" w:rsidRPr="00312C86">
              <w:t> </w:t>
            </w:r>
            <w:r w:rsidRPr="00312C86">
              <w:t>5B.2 for the registration of:</w:t>
            </w:r>
          </w:p>
        </w:tc>
        <w:tc>
          <w:tcPr>
            <w:tcW w:w="64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</w:tr>
      <w:tr w:rsidR="00224C1B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a"/>
            </w:pPr>
            <w:r w:rsidRPr="00312C86">
              <w:t>(a) a registrable Australian corporation: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</w:tr>
      <w:tr w:rsidR="00224C1B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(i) if, in its place of origin, it is incorporated or registered under a law dealing with the incorporation of associations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A23944" w:rsidP="00224C1B">
            <w:pPr>
              <w:pStyle w:val="Tabletext"/>
            </w:pPr>
            <w:r w:rsidRPr="00312C86">
              <w:t>$403</w:t>
            </w:r>
          </w:p>
        </w:tc>
      </w:tr>
      <w:tr w:rsidR="00224C1B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(ii) if, in its place of origin, it is incorporated or registered under a law except a law dealing with the incorporation of associations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A23944" w:rsidP="00224C1B">
            <w:pPr>
              <w:pStyle w:val="Tabletext"/>
            </w:pPr>
            <w:r w:rsidRPr="00312C86">
              <w:t>$488</w:t>
            </w:r>
          </w:p>
        </w:tc>
      </w:tr>
      <w:tr w:rsidR="00224C1B" w:rsidRPr="00312C86" w:rsidDel="00C17DE1" w:rsidTr="007076F2">
        <w:tc>
          <w:tcPr>
            <w:tcW w:w="41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224C1B" w:rsidRPr="00312C86" w:rsidRDefault="00224C1B" w:rsidP="00224C1B">
            <w:pPr>
              <w:pStyle w:val="Tablea"/>
            </w:pPr>
            <w:r w:rsidRPr="00312C86">
              <w:t>(b) a foreign company</w:t>
            </w:r>
          </w:p>
        </w:tc>
        <w:tc>
          <w:tcPr>
            <w:tcW w:w="643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224C1B" w:rsidRPr="00312C86" w:rsidRDefault="00A23944" w:rsidP="00224C1B">
            <w:pPr>
              <w:pStyle w:val="Tabletext"/>
            </w:pPr>
            <w:r w:rsidRPr="00312C86">
              <w:t>$488</w:t>
            </w:r>
          </w:p>
        </w:tc>
      </w:tr>
      <w:tr w:rsidR="00224C1B" w:rsidRPr="00312C86" w:rsidDel="00C17DE1" w:rsidTr="007076F2">
        <w:tc>
          <w:tcPr>
            <w:tcW w:w="5000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24C1B" w:rsidRPr="00312C86" w:rsidRDefault="00224C1B" w:rsidP="00224C1B">
            <w:pPr>
              <w:pStyle w:val="TableHeading"/>
            </w:pPr>
            <w:r w:rsidRPr="00312C86">
              <w:t>Choice of review date</w:t>
            </w:r>
          </w:p>
        </w:tc>
      </w:tr>
      <w:tr w:rsidR="00224C1B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24C1B" w:rsidRPr="00312C86" w:rsidRDefault="003B24A2" w:rsidP="00224C1B">
            <w:pPr>
              <w:pStyle w:val="Tabletext"/>
            </w:pPr>
            <w:r w:rsidRPr="00312C86">
              <w:t>3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24C1B" w:rsidRPr="00312C86" w:rsidDel="00C604D6" w:rsidRDefault="00224C1B" w:rsidP="006678C2">
            <w:pPr>
              <w:pStyle w:val="Tabletext"/>
            </w:pPr>
            <w:r w:rsidRPr="00312C86">
              <w:t>On application under subsection</w:t>
            </w:r>
            <w:r w:rsidR="00312C86" w:rsidRPr="00312C86">
              <w:t> </w:t>
            </w:r>
            <w:r w:rsidRPr="00312C86">
              <w:t>345B(1) or (2) for approval of a choice of a review date by a company or the responsible entity of a registered managed investment scheme to which item</w:t>
            </w:r>
            <w:r w:rsidR="00312C86" w:rsidRPr="00312C86">
              <w:t> </w:t>
            </w:r>
            <w:r w:rsidR="006678C2" w:rsidRPr="00312C86">
              <w:t>4</w:t>
            </w:r>
            <w:r w:rsidR="00A0133A" w:rsidRPr="00312C86">
              <w:t xml:space="preserve"> of </w:t>
            </w:r>
            <w:r w:rsidR="006940CD" w:rsidRPr="00312C86">
              <w:t>this Schedule</w:t>
            </w:r>
            <w:r w:rsidRPr="00312C86">
              <w:t xml:space="preserve"> does not apply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24C1B" w:rsidRPr="00312C86" w:rsidDel="00C604D6" w:rsidRDefault="00A23944" w:rsidP="00224C1B">
            <w:pPr>
              <w:pStyle w:val="Tabletext"/>
            </w:pPr>
            <w:r w:rsidRPr="00312C86">
              <w:t>$40</w:t>
            </w:r>
          </w:p>
        </w:tc>
      </w:tr>
      <w:tr w:rsidR="00224C1B" w:rsidRPr="00312C86" w:rsidDel="00C17DE1" w:rsidTr="007076F2">
        <w:tc>
          <w:tcPr>
            <w:tcW w:w="41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24C1B" w:rsidRPr="00312C86" w:rsidRDefault="003B24A2" w:rsidP="00224C1B">
            <w:pPr>
              <w:pStyle w:val="Tabletext"/>
            </w:pPr>
            <w:r w:rsidRPr="00312C86">
              <w:t>4</w:t>
            </w:r>
          </w:p>
        </w:tc>
        <w:tc>
          <w:tcPr>
            <w:tcW w:w="394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24C1B" w:rsidRPr="00312C86" w:rsidDel="00C604D6" w:rsidRDefault="00224C1B" w:rsidP="00224C1B">
            <w:pPr>
              <w:pStyle w:val="Tabletext"/>
            </w:pPr>
            <w:r w:rsidRPr="00312C86">
              <w:t>On application under subsection</w:t>
            </w:r>
            <w:r w:rsidR="00312C86" w:rsidRPr="00312C86">
              <w:t> </w:t>
            </w:r>
            <w:r w:rsidRPr="00312C86">
              <w:t>345B(1) or (2) for approval of</w:t>
            </w:r>
            <w:r w:rsidR="00570493" w:rsidRPr="00312C86">
              <w:t xml:space="preserve"> a choice of a review date, by one</w:t>
            </w:r>
            <w:r w:rsidRPr="00312C86">
              <w:t xml:space="preserve"> or more companies having the same ultimate holding company, director or company secretary</w:t>
            </w:r>
            <w:r w:rsidR="00570493" w:rsidRPr="00312C86">
              <w:t>, or the responsible entity of one</w:t>
            </w:r>
            <w:r w:rsidRPr="00312C86">
              <w:t xml:space="preserve"> or more registered managed investment schemes:</w:t>
            </w:r>
          </w:p>
        </w:tc>
        <w:tc>
          <w:tcPr>
            <w:tcW w:w="64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24C1B" w:rsidRPr="00312C86" w:rsidDel="00C604D6" w:rsidRDefault="00224C1B" w:rsidP="00224C1B">
            <w:pPr>
              <w:pStyle w:val="Tabletext"/>
            </w:pPr>
          </w:p>
        </w:tc>
      </w:tr>
      <w:tr w:rsidR="00224C1B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Del="00C604D6" w:rsidRDefault="00224C1B" w:rsidP="00224C1B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(a) for an application relating to fewer than 10 companies or registered managed investment schemes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224C1B" w:rsidRPr="00312C86" w:rsidDel="00C604D6" w:rsidRDefault="00A23944" w:rsidP="00224C1B">
            <w:pPr>
              <w:pStyle w:val="Tabletext"/>
            </w:pPr>
            <w:r w:rsidRPr="00312C86">
              <w:t>$40</w:t>
            </w:r>
            <w:r w:rsidR="00224C1B" w:rsidRPr="00312C86">
              <w:t xml:space="preserve"> for </w:t>
            </w:r>
            <w:r w:rsidR="00224C1B" w:rsidRPr="00312C86">
              <w:lastRenderedPageBreak/>
              <w:t>each company or scheme</w:t>
            </w:r>
          </w:p>
        </w:tc>
      </w:tr>
      <w:tr w:rsidR="00224C1B" w:rsidRPr="00312C86" w:rsidDel="00C17DE1" w:rsidTr="007076F2">
        <w:tc>
          <w:tcPr>
            <w:tcW w:w="41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224C1B" w:rsidRPr="00312C86" w:rsidRDefault="00224C1B" w:rsidP="00224C1B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224C1B" w:rsidRPr="00312C86" w:rsidDel="00C604D6" w:rsidRDefault="00224C1B" w:rsidP="00224C1B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(b) for an application relating to at least 10 companies or registered managed investment schemes</w:t>
            </w:r>
          </w:p>
        </w:tc>
        <w:tc>
          <w:tcPr>
            <w:tcW w:w="643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224C1B" w:rsidRPr="00312C86" w:rsidDel="00C604D6" w:rsidRDefault="00A23944" w:rsidP="00224C1B">
            <w:pPr>
              <w:pStyle w:val="Tabletext"/>
            </w:pPr>
            <w:r w:rsidRPr="00312C86">
              <w:t>$397</w:t>
            </w:r>
          </w:p>
        </w:tc>
      </w:tr>
      <w:tr w:rsidR="00224C1B" w:rsidRPr="00312C86" w:rsidDel="00C17DE1" w:rsidTr="007076F2">
        <w:tc>
          <w:tcPr>
            <w:tcW w:w="5000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24C1B" w:rsidRPr="00312C86" w:rsidRDefault="00224C1B" w:rsidP="00224C1B">
            <w:pPr>
              <w:pStyle w:val="TableHeading"/>
            </w:pPr>
            <w:r w:rsidRPr="00312C86">
              <w:t>Annual returns and accounts</w:t>
            </w:r>
          </w:p>
        </w:tc>
      </w:tr>
      <w:tr w:rsidR="003E34E0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B24A2" w:rsidP="00DC24DF">
            <w:pPr>
              <w:pStyle w:val="Tabletext"/>
            </w:pPr>
            <w:r w:rsidRPr="00312C86">
              <w:t>5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Del="00A7034E" w:rsidRDefault="003E34E0" w:rsidP="00DC24DF">
            <w:pPr>
              <w:pStyle w:val="Tabletext"/>
            </w:pPr>
            <w:r w:rsidRPr="00312C86">
              <w:t>On lodging a report under section</w:t>
            </w:r>
            <w:r w:rsidR="00312C86" w:rsidRPr="00312C86">
              <w:t> </w:t>
            </w:r>
            <w:r w:rsidRPr="00312C86">
              <w:t>319 by a disclosing entity, except a company or registered scheme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Del="00A7034E" w:rsidRDefault="003E34E0" w:rsidP="00A23944">
            <w:pPr>
              <w:pStyle w:val="Tabletext"/>
            </w:pPr>
            <w:r w:rsidRPr="00312C86">
              <w:t>$1,</w:t>
            </w:r>
            <w:r w:rsidR="00A23944" w:rsidRPr="00312C86">
              <w:t>217</w:t>
            </w:r>
          </w:p>
        </w:tc>
      </w:tr>
      <w:tr w:rsidR="003E34E0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B24A2" w:rsidP="00DC24DF">
            <w:pPr>
              <w:pStyle w:val="Tabletext"/>
            </w:pPr>
            <w:r w:rsidRPr="00312C86">
              <w:t>6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Del="00A7034E" w:rsidRDefault="003E34E0" w:rsidP="00DC24DF">
            <w:pPr>
              <w:pStyle w:val="Tabletext"/>
              <w:keepNext/>
            </w:pPr>
            <w:r w:rsidRPr="00312C86">
              <w:t>On lodging an annual return or balance sheet and profit and loss account of a registered foreign company under section</w:t>
            </w:r>
            <w:r w:rsidR="00312C86" w:rsidRPr="00312C86">
              <w:t> </w:t>
            </w:r>
            <w:r w:rsidRPr="00312C86">
              <w:t>601CK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Del="00A7034E" w:rsidRDefault="00A23944" w:rsidP="00DC24DF">
            <w:pPr>
              <w:pStyle w:val="Tabletext"/>
              <w:keepNext/>
            </w:pPr>
            <w:r w:rsidRPr="00312C86">
              <w:t>$1,217</w:t>
            </w:r>
          </w:p>
        </w:tc>
      </w:tr>
      <w:tr w:rsidR="003E34E0" w:rsidRPr="00312C86" w:rsidDel="00C17DE1" w:rsidTr="007076F2">
        <w:tc>
          <w:tcPr>
            <w:tcW w:w="5000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E34E0" w:rsidP="003E34E0">
            <w:pPr>
              <w:pStyle w:val="TableHeading"/>
            </w:pPr>
            <w:r w:rsidRPr="00312C86">
              <w:t>Other applications</w:t>
            </w:r>
          </w:p>
        </w:tc>
      </w:tr>
      <w:tr w:rsidR="003E34E0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B24A2" w:rsidP="00DC24DF">
            <w:pPr>
              <w:pStyle w:val="Tabletext"/>
            </w:pPr>
            <w:r w:rsidRPr="00312C86">
              <w:t>7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Del="00E748F3" w:rsidRDefault="003E34E0" w:rsidP="00DC24DF">
            <w:pPr>
              <w:pStyle w:val="Tabletext"/>
              <w:rPr>
                <w:rFonts w:ascii="Courier New" w:eastAsia="Calibri" w:hAnsi="Courier New" w:cs="Courier New"/>
                <w:lang w:eastAsia="en-US"/>
              </w:rPr>
            </w:pPr>
            <w:r w:rsidRPr="00312C86">
              <w:t>On lodging an application for the consent of the Minister under subsection</w:t>
            </w:r>
            <w:r w:rsidR="00312C86" w:rsidRPr="00312C86">
              <w:t> </w:t>
            </w:r>
            <w:r w:rsidRPr="00312C86">
              <w:t>147(2) or 601DC(2) to the use of a name by a corporation or proposed corporation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Del="00E748F3" w:rsidRDefault="003E34E0" w:rsidP="00DC24DF">
            <w:pPr>
              <w:pStyle w:val="Tabletext"/>
            </w:pPr>
            <w:r w:rsidRPr="00312C86">
              <w:t>$</w:t>
            </w:r>
            <w:r w:rsidR="00033FD8" w:rsidRPr="00312C86">
              <w:t>1,217</w:t>
            </w:r>
          </w:p>
        </w:tc>
      </w:tr>
      <w:tr w:rsidR="003E34E0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B24A2" w:rsidP="00DC24DF">
            <w:pPr>
              <w:pStyle w:val="Tabletext"/>
            </w:pPr>
            <w:r w:rsidRPr="00312C86">
              <w:t>8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Del="00E748F3" w:rsidRDefault="003E34E0" w:rsidP="00DC24DF">
            <w:pPr>
              <w:pStyle w:val="Tabletext"/>
              <w:rPr>
                <w:rFonts w:eastAsia="Calibri"/>
              </w:rPr>
            </w:pPr>
            <w:r w:rsidRPr="00312C86">
              <w:t>On lodging an application for the reservation of a name under subsection</w:t>
            </w:r>
            <w:r w:rsidR="00312C86" w:rsidRPr="00312C86">
              <w:t> </w:t>
            </w:r>
            <w:r w:rsidRPr="00312C86">
              <w:t>152(1) or for the extension of a reservation of a name under subsection</w:t>
            </w:r>
            <w:r w:rsidR="00312C86" w:rsidRPr="00312C86">
              <w:t> </w:t>
            </w:r>
            <w:r w:rsidRPr="00312C86">
              <w:t>152(2)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033FD8" w:rsidP="00DC24DF">
            <w:pPr>
              <w:pStyle w:val="Tabletext"/>
            </w:pPr>
            <w:r w:rsidRPr="00312C86">
              <w:t>$49</w:t>
            </w:r>
          </w:p>
        </w:tc>
      </w:tr>
      <w:tr w:rsidR="003E34E0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B24A2" w:rsidP="00DC24DF">
            <w:pPr>
              <w:pStyle w:val="Tabletext"/>
            </w:pPr>
            <w:r w:rsidRPr="00312C86">
              <w:t>9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E34E0" w:rsidP="00DC24DF">
            <w:pPr>
              <w:pStyle w:val="Tabletext"/>
            </w:pPr>
            <w:r w:rsidRPr="00312C86">
              <w:t>On application:</w:t>
            </w:r>
          </w:p>
          <w:p w:rsidR="003E34E0" w:rsidRPr="00312C86" w:rsidRDefault="003E34E0" w:rsidP="00126A9F">
            <w:pPr>
              <w:pStyle w:val="Tablea"/>
              <w:rPr>
                <w:rFonts w:eastAsia="Calibri"/>
              </w:rPr>
            </w:pPr>
            <w:r w:rsidRPr="00312C86">
              <w:t xml:space="preserve">(a) </w:t>
            </w:r>
            <w:r w:rsidR="0050275D" w:rsidRPr="00312C86">
              <w:t>for the exercise by ASIC of its power under subsection</w:t>
            </w:r>
            <w:r w:rsidR="00312C86" w:rsidRPr="00312C86">
              <w:t> </w:t>
            </w:r>
            <w:r w:rsidR="0050275D" w:rsidRPr="00312C86">
              <w:t xml:space="preserve">150(1); </w:t>
            </w:r>
            <w:r w:rsidRPr="00312C86">
              <w:t>or</w:t>
            </w:r>
          </w:p>
          <w:p w:rsidR="003E34E0" w:rsidRPr="00312C86" w:rsidDel="00E748F3" w:rsidRDefault="003E34E0" w:rsidP="00126A9F">
            <w:pPr>
              <w:pStyle w:val="Tablea"/>
              <w:rPr>
                <w:rFonts w:ascii="Courier New" w:eastAsia="Calibri" w:hAnsi="Courier New" w:cs="Courier New"/>
                <w:lang w:eastAsia="en-US"/>
              </w:rPr>
            </w:pPr>
            <w:r w:rsidRPr="00312C86">
              <w:t xml:space="preserve">(b) </w:t>
            </w:r>
            <w:r w:rsidR="0050275D" w:rsidRPr="00312C86">
              <w:t>under paragraph</w:t>
            </w:r>
            <w:r w:rsidR="00312C86" w:rsidRPr="00312C86">
              <w:t> </w:t>
            </w:r>
            <w:r w:rsidR="0050275D" w:rsidRPr="00312C86">
              <w:t>157(1)(b)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Del="00E748F3" w:rsidRDefault="003E34E0" w:rsidP="00DC24DF">
            <w:pPr>
              <w:pStyle w:val="Tabletext"/>
            </w:pPr>
            <w:r w:rsidRPr="00312C86">
              <w:t>$</w:t>
            </w:r>
            <w:r w:rsidR="00033FD8" w:rsidRPr="00312C86">
              <w:t>403</w:t>
            </w:r>
          </w:p>
        </w:tc>
      </w:tr>
      <w:tr w:rsidR="003E34E0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B24A2" w:rsidP="00DC24DF">
            <w:pPr>
              <w:pStyle w:val="Tabletext"/>
            </w:pPr>
            <w:r w:rsidRPr="00312C86">
              <w:t>10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Del="00E748F3" w:rsidRDefault="003E34E0" w:rsidP="00DC24DF">
            <w:pPr>
              <w:pStyle w:val="Tabletext"/>
            </w:pPr>
            <w:r w:rsidRPr="00312C86">
              <w:t>On application under subsection</w:t>
            </w:r>
            <w:r w:rsidR="00312C86" w:rsidRPr="00312C86">
              <w:t> </w:t>
            </w:r>
            <w:r w:rsidRPr="00312C86">
              <w:t>163(1)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Del="00E748F3" w:rsidRDefault="00033FD8" w:rsidP="00DC24DF">
            <w:pPr>
              <w:pStyle w:val="Tabletext"/>
            </w:pPr>
            <w:r w:rsidRPr="00312C86">
              <w:t>$79</w:t>
            </w:r>
          </w:p>
        </w:tc>
      </w:tr>
      <w:tr w:rsidR="003E34E0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B24A2" w:rsidP="00DC24DF">
            <w:pPr>
              <w:pStyle w:val="Tabletext"/>
            </w:pPr>
            <w:r w:rsidRPr="00312C86">
              <w:t>11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E34E0" w:rsidP="00DC24DF">
            <w:pPr>
              <w:pStyle w:val="Tabletext"/>
            </w:pPr>
            <w:r w:rsidRPr="00312C86">
              <w:t>On application, under subsection</w:t>
            </w:r>
            <w:r w:rsidR="00312C86" w:rsidRPr="00312C86">
              <w:t> </w:t>
            </w:r>
            <w:r w:rsidRPr="00312C86">
              <w:t>601AA(1), to deregister a company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033FD8" w:rsidP="00DC24DF">
            <w:pPr>
              <w:pStyle w:val="Tabletext"/>
            </w:pPr>
            <w:r w:rsidRPr="00312C86">
              <w:t>$40</w:t>
            </w:r>
          </w:p>
        </w:tc>
      </w:tr>
      <w:tr w:rsidR="003E34E0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B24A2" w:rsidP="00DC24DF">
            <w:pPr>
              <w:pStyle w:val="Tabletext"/>
            </w:pPr>
            <w:r w:rsidRPr="00312C86">
              <w:t>12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E34E0" w:rsidP="00DC24DF">
            <w:pPr>
              <w:pStyle w:val="Tabletext"/>
            </w:pPr>
            <w:r w:rsidRPr="00312C86">
              <w:t>On application, under subsection</w:t>
            </w:r>
            <w:r w:rsidR="00312C86" w:rsidRPr="00312C86">
              <w:t> </w:t>
            </w:r>
            <w:r w:rsidRPr="00312C86">
              <w:t>601PA(1), to deregister a registered scheme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E34E0" w:rsidP="00DC24DF">
            <w:pPr>
              <w:pStyle w:val="Tabletext"/>
            </w:pPr>
            <w:r w:rsidRPr="00312C86">
              <w:t>no fee</w:t>
            </w:r>
          </w:p>
        </w:tc>
      </w:tr>
      <w:tr w:rsidR="00745400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45400" w:rsidRPr="00312C86" w:rsidRDefault="003B24A2" w:rsidP="00A23944">
            <w:pPr>
              <w:pStyle w:val="Tabletext"/>
            </w:pPr>
            <w:r w:rsidRPr="00312C86">
              <w:t>13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45400" w:rsidRPr="00312C86" w:rsidDel="00E748F3" w:rsidRDefault="00745400" w:rsidP="00731D6E">
            <w:pPr>
              <w:pStyle w:val="Tabletext"/>
            </w:pPr>
            <w:r w:rsidRPr="00312C86">
              <w:t>On lodging an application for which a fee is not provided by any other item in this Schedule</w:t>
            </w:r>
            <w:r w:rsidR="008C0C45" w:rsidRPr="00312C86">
              <w:t xml:space="preserve"> or Schedule</w:t>
            </w:r>
            <w:r w:rsidR="00312C86" w:rsidRPr="00312C86">
              <w:t> </w:t>
            </w:r>
            <w:r w:rsidR="008C0C45" w:rsidRPr="00312C86">
              <w:t>1</w:t>
            </w:r>
            <w:r w:rsidRPr="00312C86">
              <w:rPr>
                <w:i/>
              </w:rPr>
              <w:t xml:space="preserve">, </w:t>
            </w:r>
            <w:r w:rsidRPr="00312C86">
              <w:t>unless “no fee” appears in column 2 of an item in this Schedule</w:t>
            </w:r>
            <w:r w:rsidRPr="00312C86">
              <w:rPr>
                <w:i/>
              </w:rPr>
              <w:t xml:space="preserve"> </w:t>
            </w:r>
            <w:r w:rsidR="008C0C45" w:rsidRPr="00312C86">
              <w:t>or Schedule</w:t>
            </w:r>
            <w:r w:rsidR="00312C86" w:rsidRPr="00312C86">
              <w:t> </w:t>
            </w:r>
            <w:r w:rsidR="008C0C45" w:rsidRPr="00312C86">
              <w:t>1</w:t>
            </w:r>
            <w:r w:rsidR="008C0C45" w:rsidRPr="00312C86">
              <w:rPr>
                <w:i/>
              </w:rPr>
              <w:t xml:space="preserve"> </w:t>
            </w:r>
            <w:r w:rsidR="00731D6E" w:rsidRPr="00312C86">
              <w:t>in relation to the application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45400" w:rsidRPr="00312C86" w:rsidRDefault="00033FD8" w:rsidP="00A23944">
            <w:pPr>
              <w:pStyle w:val="Tabletext"/>
            </w:pPr>
            <w:r w:rsidRPr="00312C86">
              <w:t>$40</w:t>
            </w:r>
          </w:p>
        </w:tc>
      </w:tr>
      <w:tr w:rsidR="003E34E0" w:rsidRPr="00312C86" w:rsidDel="00C17DE1" w:rsidTr="007076F2">
        <w:tc>
          <w:tcPr>
            <w:tcW w:w="5000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34E0" w:rsidRPr="00312C86" w:rsidRDefault="003E34E0" w:rsidP="003E34E0">
            <w:pPr>
              <w:pStyle w:val="TableHeading"/>
            </w:pPr>
            <w:r w:rsidRPr="00312C86">
              <w:t>Late lodgement</w:t>
            </w:r>
          </w:p>
        </w:tc>
      </w:tr>
      <w:tr w:rsidR="003E34E0" w:rsidRPr="00312C86" w:rsidDel="00C17DE1" w:rsidTr="007076F2">
        <w:tc>
          <w:tcPr>
            <w:tcW w:w="41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E34E0" w:rsidRPr="00312C86" w:rsidRDefault="003B24A2" w:rsidP="00DC24DF">
            <w:pPr>
              <w:pStyle w:val="Tabletext"/>
            </w:pPr>
            <w:r w:rsidRPr="00312C86">
              <w:t>14</w:t>
            </w:r>
          </w:p>
        </w:tc>
        <w:tc>
          <w:tcPr>
            <w:tcW w:w="394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E34E0" w:rsidRPr="00312C86" w:rsidRDefault="003E34E0" w:rsidP="0008387A">
            <w:pPr>
              <w:pStyle w:val="Tabletext"/>
            </w:pPr>
            <w:r w:rsidRPr="00312C86">
              <w:t>On the late lodgement of a document (in addition to any fee provided by any other item</w:t>
            </w:r>
            <w:r w:rsidR="00BF2473" w:rsidRPr="00312C86">
              <w:t xml:space="preserve"> </w:t>
            </w:r>
            <w:r w:rsidR="00542D1C" w:rsidRPr="00312C86">
              <w:t xml:space="preserve">in </w:t>
            </w:r>
            <w:r w:rsidR="008C571C" w:rsidRPr="00312C86">
              <w:t>this Schedule</w:t>
            </w:r>
            <w:r w:rsidRPr="00312C86">
              <w:t xml:space="preserve"> </w:t>
            </w:r>
            <w:r w:rsidR="0008387A" w:rsidRPr="00312C86">
              <w:t>or Schedule</w:t>
            </w:r>
            <w:r w:rsidR="00312C86" w:rsidRPr="00312C86">
              <w:t> </w:t>
            </w:r>
            <w:r w:rsidR="0008387A" w:rsidRPr="00312C86">
              <w:t xml:space="preserve">1 </w:t>
            </w:r>
            <w:r w:rsidRPr="00312C86">
              <w:t>for the lodgement of that document):</w:t>
            </w:r>
          </w:p>
        </w:tc>
        <w:tc>
          <w:tcPr>
            <w:tcW w:w="64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E34E0" w:rsidRPr="00312C86" w:rsidRDefault="003E34E0" w:rsidP="00DC24DF">
            <w:pPr>
              <w:pStyle w:val="Tabletext"/>
            </w:pPr>
          </w:p>
        </w:tc>
      </w:tr>
      <w:tr w:rsidR="003E34E0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3E34E0" w:rsidRPr="00312C86" w:rsidRDefault="003E34E0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3E34E0" w:rsidRPr="00312C86" w:rsidRDefault="003E34E0" w:rsidP="00DC24DF">
            <w:pPr>
              <w:pStyle w:val="Tablea"/>
            </w:pPr>
            <w:r w:rsidRPr="00312C86">
              <w:t>(a) if lodged within one month after the prescribed time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3E34E0" w:rsidRPr="00312C86" w:rsidRDefault="00CD07CE" w:rsidP="00DC24DF">
            <w:pPr>
              <w:pStyle w:val="Tabletext"/>
            </w:pPr>
            <w:r w:rsidRPr="00312C86">
              <w:t>$79</w:t>
            </w:r>
          </w:p>
        </w:tc>
      </w:tr>
      <w:tr w:rsidR="003E34E0" w:rsidRPr="00312C86" w:rsidDel="00C17DE1" w:rsidTr="007076F2">
        <w:tc>
          <w:tcPr>
            <w:tcW w:w="41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3E34E0" w:rsidRPr="00312C86" w:rsidRDefault="003E34E0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E60CBF" w:rsidRPr="00312C86" w:rsidRDefault="003E34E0" w:rsidP="0008387A">
            <w:pPr>
              <w:pStyle w:val="Tablea"/>
            </w:pPr>
            <w:r w:rsidRPr="00312C86">
              <w:t xml:space="preserve">(b) if lodged more than one </w:t>
            </w:r>
            <w:r w:rsidR="00BF2473" w:rsidRPr="00312C86">
              <w:t>month after the prescribed time</w:t>
            </w:r>
          </w:p>
        </w:tc>
        <w:tc>
          <w:tcPr>
            <w:tcW w:w="643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3E34E0" w:rsidRPr="00312C86" w:rsidRDefault="00CD07CE" w:rsidP="00DC24DF">
            <w:pPr>
              <w:pStyle w:val="Tabletext"/>
            </w:pPr>
            <w:r w:rsidRPr="00312C86">
              <w:t>$329</w:t>
            </w:r>
          </w:p>
        </w:tc>
      </w:tr>
      <w:tr w:rsidR="00542D1C" w:rsidRPr="00312C86" w:rsidDel="00C17DE1" w:rsidTr="007076F2">
        <w:tc>
          <w:tcPr>
            <w:tcW w:w="5000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542D1C">
            <w:pPr>
              <w:pStyle w:val="TableHeading"/>
            </w:pPr>
            <w:r w:rsidRPr="00312C86">
              <w:t>Supply of information and documents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3B24A2" w:rsidP="00DC24DF">
            <w:pPr>
              <w:pStyle w:val="Tabletext"/>
            </w:pPr>
            <w:r w:rsidRPr="00312C86">
              <w:t>15</w:t>
            </w:r>
          </w:p>
        </w:tc>
        <w:tc>
          <w:tcPr>
            <w:tcW w:w="394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For a document issued or displayed by ASIC containing information relating to a single corporation or registered scheme, if the information is retrieved using a computer system:</w:t>
            </w:r>
          </w:p>
        </w:tc>
        <w:tc>
          <w:tcPr>
            <w:tcW w:w="64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a"/>
            </w:pPr>
            <w:r w:rsidRPr="00312C86">
              <w:t>(a) if requested by or on behalf of the Australian Broadcasting Corporation, the Special Broadcasting Service, the Australian Bureau of Statistics, the holder of a licence for a commercial broadcasting or television station</w:t>
            </w:r>
            <w:r w:rsidR="00100330" w:rsidRPr="00312C86">
              <w:t>,</w:t>
            </w:r>
            <w:r w:rsidRPr="00312C86">
              <w:t xml:space="preserve"> or the proprietor or publisher of a newspaper generally available to the public otherwise than by subscription: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(i) if the document contains only current information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no fee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(ii) if the document contains both current and non</w:t>
            </w:r>
            <w:r w:rsidR="00312C86">
              <w:noBreakHyphen/>
            </w:r>
            <w:r w:rsidRPr="00312C86">
              <w:t>current information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$17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a"/>
            </w:pPr>
            <w:r w:rsidRPr="00312C86">
              <w:t>(b) in any other case: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(i) if the document contains only current information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$9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(ii) if the document contains both current and non</w:t>
            </w:r>
            <w:r w:rsidR="00312C86">
              <w:noBreakHyphen/>
            </w:r>
            <w:r w:rsidRPr="00312C86">
              <w:t>current information</w:t>
            </w:r>
          </w:p>
        </w:tc>
        <w:tc>
          <w:tcPr>
            <w:tcW w:w="643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$17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3B24A2" w:rsidP="00DC24DF">
            <w:pPr>
              <w:pStyle w:val="Tabletext"/>
            </w:pPr>
            <w:r w:rsidRPr="00312C86">
              <w:t>16</w:t>
            </w:r>
          </w:p>
        </w:tc>
        <w:tc>
          <w:tcPr>
            <w:tcW w:w="394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100330" w:rsidP="00DC24DF">
            <w:pPr>
              <w:pStyle w:val="Tabletext"/>
            </w:pPr>
            <w:r w:rsidRPr="00312C86">
              <w:t>For inspecting, or an i</w:t>
            </w:r>
            <w:r w:rsidR="00542D1C" w:rsidRPr="00312C86">
              <w:t>nquiry involving the inspection of, documents that are lodged by or in relation to a particular corporation or registered scheme:</w:t>
            </w:r>
          </w:p>
        </w:tc>
        <w:tc>
          <w:tcPr>
            <w:tcW w:w="64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(a) if the documents are reproduced using a computer system: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(i) for less than 10 pages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$17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i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(ii) for 10 pages or more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35E28" w:rsidP="00DC24DF">
            <w:pPr>
              <w:pStyle w:val="Tabletext"/>
            </w:pPr>
            <w:r w:rsidRPr="00312C86">
              <w:t>$40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a"/>
            </w:pPr>
            <w:r w:rsidRPr="00312C86">
              <w:t>(b) in any other case</w:t>
            </w:r>
          </w:p>
        </w:tc>
        <w:tc>
          <w:tcPr>
            <w:tcW w:w="643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$17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3B24A2" w:rsidP="00DC24DF">
            <w:pPr>
              <w:pStyle w:val="Tabletext"/>
            </w:pPr>
            <w:r w:rsidRPr="00312C86">
              <w:t>17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100330" w:rsidP="00DC24DF">
            <w:pPr>
              <w:pStyle w:val="Tabletext"/>
            </w:pPr>
            <w:r w:rsidRPr="00312C86">
              <w:t>For inspecting, or an i</w:t>
            </w:r>
            <w:r w:rsidR="00542D1C" w:rsidRPr="00312C86">
              <w:t>nquiry involving the inspection of, a quarterly report lodged with ASIC under section</w:t>
            </w:r>
            <w:r w:rsidR="00312C86" w:rsidRPr="00312C86">
              <w:t> </w:t>
            </w:r>
            <w:r w:rsidR="00542D1C" w:rsidRPr="00312C86">
              <w:t>283BF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no fee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3B24A2" w:rsidP="00DC24DF">
            <w:pPr>
              <w:pStyle w:val="Tabletext"/>
            </w:pPr>
            <w:r w:rsidRPr="00312C86">
              <w:t>18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018D8" w:rsidRPr="00312C86" w:rsidRDefault="00542D1C" w:rsidP="006678C2">
            <w:pPr>
              <w:pStyle w:val="Tabletext"/>
            </w:pPr>
            <w:r w:rsidRPr="00312C86">
              <w:t>For an electronic transmission notifying a change in the information relating to an entity, in addition to any fee payable under item</w:t>
            </w:r>
            <w:r w:rsidR="00312C86" w:rsidRPr="00312C86">
              <w:t> </w:t>
            </w:r>
            <w:r w:rsidR="006678C2" w:rsidRPr="00312C86">
              <w:t>15</w:t>
            </w:r>
            <w:r w:rsidR="00A0133A" w:rsidRPr="00312C86">
              <w:t xml:space="preserve"> </w:t>
            </w:r>
            <w:r w:rsidRPr="00312C86">
              <w:t xml:space="preserve">or </w:t>
            </w:r>
            <w:r w:rsidR="00312C86" w:rsidRPr="00312C86">
              <w:t>paragraph (</w:t>
            </w:r>
            <w:r w:rsidR="00F23757" w:rsidRPr="00312C86">
              <w:t>a) of item</w:t>
            </w:r>
            <w:r w:rsidR="00312C86" w:rsidRPr="00312C86">
              <w:t> </w:t>
            </w:r>
            <w:r w:rsidR="006678C2" w:rsidRPr="00312C86">
              <w:t>16</w:t>
            </w:r>
            <w:r w:rsidR="00F23757" w:rsidRPr="00312C86">
              <w:t xml:space="preserve"> </w:t>
            </w:r>
            <w:r w:rsidR="002018D8" w:rsidRPr="00312C86">
              <w:t>of this Schedule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$9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3B24A2" w:rsidP="00DC24DF">
            <w:pPr>
              <w:pStyle w:val="Tabletext"/>
            </w:pPr>
            <w:r w:rsidRPr="00312C86">
              <w:t>19</w:t>
            </w:r>
          </w:p>
        </w:tc>
        <w:tc>
          <w:tcPr>
            <w:tcW w:w="394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100330" w:rsidP="00DC24DF">
            <w:pPr>
              <w:pStyle w:val="Tabletext"/>
            </w:pPr>
            <w:r w:rsidRPr="00312C86">
              <w:t>For inspecting, or an i</w:t>
            </w:r>
            <w:r w:rsidR="00542D1C" w:rsidRPr="00312C86">
              <w:t>nquiry involving an inspection of, the Register of Licence Holders, the Register of Futures Licensees</w:t>
            </w:r>
            <w:r w:rsidR="00E42B2B" w:rsidRPr="00312C86">
              <w:t>, the Register of Auditors or</w:t>
            </w:r>
            <w:r w:rsidR="00542D1C" w:rsidRPr="00312C86">
              <w:t xml:space="preserve"> the Register of Liquidators:</w:t>
            </w:r>
          </w:p>
        </w:tc>
        <w:tc>
          <w:tcPr>
            <w:tcW w:w="64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(a) if requested by or on behalf of the Australian Broadcasting Corporation, the Special Broadcasting Service, the Australian Bureau of Statistics, the holder of a licence for a commercial broadcasting or television station</w:t>
            </w:r>
            <w:r w:rsidR="007373EA" w:rsidRPr="00312C86">
              <w:t>,</w:t>
            </w:r>
            <w:r w:rsidRPr="00312C86">
              <w:t xml:space="preserve"> or the proprietor or publisher of a newspaper generally available to the public otherwise than by subscription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no fee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a"/>
            </w:pPr>
            <w:r w:rsidRPr="00312C86">
              <w:t>(b) in any other case</w:t>
            </w:r>
          </w:p>
        </w:tc>
        <w:tc>
          <w:tcPr>
            <w:tcW w:w="643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$9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Del="00E748F3" w:rsidRDefault="003B24A2" w:rsidP="00DC24DF">
            <w:pPr>
              <w:pStyle w:val="Tabletext"/>
            </w:pPr>
            <w:r w:rsidRPr="00312C86">
              <w:t>20</w:t>
            </w:r>
          </w:p>
        </w:tc>
        <w:tc>
          <w:tcPr>
            <w:tcW w:w="394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For inspecting, or an inquiry involving an inspection or search (other than a search of information prescribed, on a register prescribed, for the purposes of subsections</w:t>
            </w:r>
            <w:r w:rsidR="00312C86" w:rsidRPr="00312C86">
              <w:t> </w:t>
            </w:r>
            <w:r w:rsidR="00100330" w:rsidRPr="00312C86">
              <w:t>1274A(2), (3) and (4)</w:t>
            </w:r>
            <w:r w:rsidRPr="00312C86">
              <w:t>) of:</w:t>
            </w:r>
          </w:p>
          <w:p w:rsidR="00542D1C" w:rsidRPr="00312C86" w:rsidRDefault="00542D1C" w:rsidP="00DC24DF">
            <w:pPr>
              <w:pStyle w:val="Tablea"/>
            </w:pPr>
            <w:r w:rsidRPr="00312C86">
              <w:t>(a) the register in respect of financial services licensees mentioned in subsection</w:t>
            </w:r>
            <w:r w:rsidR="00312C86" w:rsidRPr="00312C86">
              <w:t> </w:t>
            </w:r>
            <w:r w:rsidR="00100330" w:rsidRPr="00312C86">
              <w:t>922A(2)</w:t>
            </w:r>
            <w:r w:rsidRPr="00312C86">
              <w:t>; or</w:t>
            </w:r>
          </w:p>
          <w:p w:rsidR="00542D1C" w:rsidRPr="00312C86" w:rsidRDefault="00542D1C" w:rsidP="00DC24DF">
            <w:pPr>
              <w:pStyle w:val="Tablea"/>
            </w:pPr>
            <w:r w:rsidRPr="00312C86">
              <w:t>(b) the register in respect of authorised representatives of financial services licensees</w:t>
            </w:r>
            <w:r w:rsidR="00100330" w:rsidRPr="00312C86">
              <w:t>,</w:t>
            </w:r>
            <w:r w:rsidRPr="00312C86">
              <w:t xml:space="preserve"> mentioned in subsection</w:t>
            </w:r>
            <w:r w:rsidR="00312C86" w:rsidRPr="00312C86">
              <w:t> </w:t>
            </w:r>
            <w:r w:rsidRPr="00312C86">
              <w:t>922A(2); or</w:t>
            </w:r>
          </w:p>
          <w:p w:rsidR="00542D1C" w:rsidRPr="00312C86" w:rsidRDefault="00542D1C" w:rsidP="00DC24DF">
            <w:pPr>
              <w:pStyle w:val="Tablea"/>
            </w:pPr>
            <w:r w:rsidRPr="00312C86">
              <w:t>(c) the register in respect of persons against whom a banning order or disqualification order is made</w:t>
            </w:r>
            <w:r w:rsidR="00100330" w:rsidRPr="00312C86">
              <w:t>,</w:t>
            </w:r>
            <w:r w:rsidRPr="00312C86">
              <w:t xml:space="preserve"> mentioned in subsection</w:t>
            </w:r>
            <w:r w:rsidR="00312C86" w:rsidRPr="00312C86">
              <w:t> </w:t>
            </w:r>
            <w:r w:rsidRPr="00312C86">
              <w:t>922A(2); or</w:t>
            </w:r>
          </w:p>
          <w:p w:rsidR="00542D1C" w:rsidRPr="00312C86" w:rsidRDefault="00542D1C" w:rsidP="00DC24DF">
            <w:pPr>
              <w:pStyle w:val="Tablea"/>
            </w:pPr>
            <w:r w:rsidRPr="00312C86">
              <w:t>(d) the Register of Relevant providers maintained under section</w:t>
            </w:r>
            <w:r w:rsidR="00312C86" w:rsidRPr="00312C86">
              <w:t> </w:t>
            </w:r>
            <w:r w:rsidRPr="00312C86">
              <w:t>922Q;</w:t>
            </w:r>
          </w:p>
          <w:p w:rsidR="00542D1C" w:rsidRPr="00312C86" w:rsidDel="00E748F3" w:rsidRDefault="00542D1C" w:rsidP="00DC24DF">
            <w:pPr>
              <w:pStyle w:val="Tabletext"/>
            </w:pPr>
            <w:r w:rsidRPr="00312C86">
              <w:t>by or on behalf of:</w:t>
            </w:r>
          </w:p>
        </w:tc>
        <w:tc>
          <w:tcPr>
            <w:tcW w:w="64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a"/>
            </w:pPr>
            <w:r w:rsidRPr="00312C86">
              <w:t>(e) the Australian Broadcasting Corporation, the Special Broadcasting Service, the Australian Bureau of Statistics, the holder of a licence for a commercial broadcasting or television station</w:t>
            </w:r>
            <w:r w:rsidR="00100330" w:rsidRPr="00312C86">
              <w:t>,</w:t>
            </w:r>
            <w:r w:rsidRPr="00312C86">
              <w:t xml:space="preserve"> or the proprietor or publisher of a newspaper generally available to the public otherwise than by subscription;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no fee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Del="00E748F3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Del="00E748F3" w:rsidRDefault="00542D1C" w:rsidP="00DC24DF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(f) any other person</w:t>
            </w:r>
          </w:p>
        </w:tc>
        <w:tc>
          <w:tcPr>
            <w:tcW w:w="643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$12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3B24A2" w:rsidP="00DC24DF">
            <w:pPr>
              <w:pStyle w:val="Tabletext"/>
            </w:pPr>
            <w:r w:rsidRPr="00312C86">
              <w:t>21</w:t>
            </w:r>
          </w:p>
        </w:tc>
        <w:tc>
          <w:tcPr>
            <w:tcW w:w="394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100330" w:rsidP="00DC24DF">
            <w:pPr>
              <w:pStyle w:val="Tabletext"/>
            </w:pPr>
            <w:r w:rsidRPr="00312C86">
              <w:t>For inspecting, or an i</w:t>
            </w:r>
            <w:r w:rsidR="00542D1C" w:rsidRPr="00312C86">
              <w:t>nquiry involving the inspection of, the Australian Register of Company Charges and documents lodged by a particular corporation and used by ASIC to compile or maintain that Register, if documents are reproduced using a computer system:</w:t>
            </w:r>
          </w:p>
        </w:tc>
        <w:tc>
          <w:tcPr>
            <w:tcW w:w="64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a"/>
            </w:pPr>
            <w:r w:rsidRPr="00312C86">
              <w:t>(a) for less than 10 pages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$17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a"/>
            </w:pPr>
            <w:r w:rsidRPr="00312C86">
              <w:t>(b) for 10 pages or more</w:t>
            </w:r>
          </w:p>
        </w:tc>
        <w:tc>
          <w:tcPr>
            <w:tcW w:w="643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4E669A" w:rsidP="00DC24DF">
            <w:pPr>
              <w:pStyle w:val="Tabletext"/>
            </w:pPr>
            <w:r w:rsidRPr="00312C86">
              <w:t>$40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3B24A2" w:rsidP="00DC24DF">
            <w:pPr>
              <w:pStyle w:val="Tabletext"/>
            </w:pPr>
            <w:r w:rsidRPr="00312C86">
              <w:t>22</w:t>
            </w:r>
          </w:p>
        </w:tc>
        <w:tc>
          <w:tcPr>
            <w:tcW w:w="394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For the issue of a document relating to recorded entries about a corporation or a registered scheme, or a director or secretary of a company, on all registers maintained using a computer system:</w:t>
            </w:r>
          </w:p>
        </w:tc>
        <w:tc>
          <w:tcPr>
            <w:tcW w:w="64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312C86">
              <w:t>(a) if requested by or on behalf of the Australian Broadcasting Corporation, the Special Broadcasting Service, the Australian Bureau of Statistics, the holder of a licence for a commercial broadcasting or television station</w:t>
            </w:r>
            <w:r w:rsidR="007373EA" w:rsidRPr="00312C86">
              <w:t>,</w:t>
            </w:r>
            <w:r w:rsidRPr="00312C86">
              <w:t xml:space="preserve"> or the proprietor or publisher of a newspaper generally available to the public </w:t>
            </w:r>
            <w:r w:rsidRPr="00312C86">
              <w:lastRenderedPageBreak/>
              <w:t>otherwise than by subscription</w:t>
            </w:r>
            <w:r w:rsidR="00477CDE" w:rsidRPr="00312C86">
              <w:t>;</w:t>
            </w:r>
            <w:r w:rsidR="007373EA" w:rsidRPr="00312C86">
              <w:t xml:space="preserve"> or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lastRenderedPageBreak/>
              <w:t>no fee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</w:p>
        </w:tc>
        <w:tc>
          <w:tcPr>
            <w:tcW w:w="394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a"/>
            </w:pPr>
            <w:r w:rsidRPr="00312C86">
              <w:t>(b) in any other case</w:t>
            </w:r>
          </w:p>
        </w:tc>
        <w:tc>
          <w:tcPr>
            <w:tcW w:w="643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42D1C" w:rsidRPr="00312C86" w:rsidRDefault="004E669A" w:rsidP="00DC24DF">
            <w:pPr>
              <w:pStyle w:val="Tabletext"/>
            </w:pPr>
            <w:r w:rsidRPr="00312C86">
              <w:t>$40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3B24A2" w:rsidP="00DC24DF">
            <w:pPr>
              <w:pStyle w:val="Tabletext"/>
            </w:pPr>
            <w:r w:rsidRPr="00312C86">
              <w:t>23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For a certificate issued by ASIC, except a certificate issued under:</w:t>
            </w:r>
          </w:p>
          <w:p w:rsidR="00542D1C" w:rsidRPr="00312C86" w:rsidRDefault="00542D1C" w:rsidP="00DC24DF">
            <w:pPr>
              <w:pStyle w:val="Tablea"/>
            </w:pPr>
            <w:r w:rsidRPr="00312C86">
              <w:t>(a) paragraph</w:t>
            </w:r>
            <w:r w:rsidR="00312C86" w:rsidRPr="00312C86">
              <w:t> </w:t>
            </w:r>
            <w:r w:rsidRPr="00312C86">
              <w:t>118(1)(c), section</w:t>
            </w:r>
            <w:r w:rsidR="00312C86" w:rsidRPr="00312C86">
              <w:t> </w:t>
            </w:r>
            <w:r w:rsidRPr="00312C86">
              <w:t>160, subsection</w:t>
            </w:r>
            <w:r w:rsidR="00312C86" w:rsidRPr="00312C86">
              <w:t> </w:t>
            </w:r>
            <w:r w:rsidR="007373EA" w:rsidRPr="00312C86">
              <w:t xml:space="preserve">164(6) or </w:t>
            </w:r>
            <w:r w:rsidRPr="00312C86">
              <w:t>165(5), paragraph</w:t>
            </w:r>
            <w:r w:rsidR="00312C86" w:rsidRPr="00312C86">
              <w:t> </w:t>
            </w:r>
            <w:r w:rsidRPr="00312C86">
              <w:t>601BD(1)(c)</w:t>
            </w:r>
            <w:r w:rsidR="007373EA" w:rsidRPr="00312C86">
              <w:t>,</w:t>
            </w:r>
            <w:r w:rsidRPr="00312C86">
              <w:t xml:space="preserve"> subsection</w:t>
            </w:r>
            <w:r w:rsidR="00312C86" w:rsidRPr="00312C86">
              <w:t> </w:t>
            </w:r>
            <w:r w:rsidRPr="00312C86">
              <w:t>601CU(1) or 1280(5), or subsection</w:t>
            </w:r>
            <w:r w:rsidR="00312C86" w:rsidRPr="00312C86">
              <w:t> </w:t>
            </w:r>
            <w:r w:rsidRPr="00312C86">
              <w:t>20</w:t>
            </w:r>
            <w:r w:rsidR="00312C86">
              <w:noBreakHyphen/>
            </w:r>
            <w:r w:rsidRPr="00312C86">
              <w:t>30(4) or 20</w:t>
            </w:r>
            <w:r w:rsidR="00312C86">
              <w:noBreakHyphen/>
            </w:r>
            <w:r w:rsidRPr="00312C86">
              <w:t>75(4) of Schedule</w:t>
            </w:r>
            <w:r w:rsidR="00312C86" w:rsidRPr="00312C86">
              <w:t> </w:t>
            </w:r>
            <w:r w:rsidRPr="00312C86">
              <w:t>2</w:t>
            </w:r>
            <w:r w:rsidR="00100330" w:rsidRPr="00312C86">
              <w:t xml:space="preserve"> to the Corporations Act</w:t>
            </w:r>
            <w:r w:rsidRPr="00312C86">
              <w:t>; or</w:t>
            </w:r>
          </w:p>
          <w:p w:rsidR="00542D1C" w:rsidRPr="00312C86" w:rsidDel="00E748F3" w:rsidRDefault="00542D1C" w:rsidP="00DC24DF">
            <w:pPr>
              <w:pStyle w:val="Tablea"/>
            </w:pPr>
            <w:r w:rsidRPr="00312C86">
              <w:t>(b) regulation</w:t>
            </w:r>
            <w:r w:rsidR="00312C86" w:rsidRPr="00312C86">
              <w:t> </w:t>
            </w:r>
            <w:r w:rsidRPr="00312C86">
              <w:t>2A.2.04 of the Corporations Regulations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Del="00E748F3" w:rsidRDefault="00542D1C" w:rsidP="00DC24DF">
            <w:pPr>
              <w:pStyle w:val="Tabletext"/>
            </w:pPr>
            <w:r w:rsidRPr="00312C86">
              <w:t>$19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3B24A2" w:rsidP="00DC24DF">
            <w:pPr>
              <w:pStyle w:val="Tabletext"/>
            </w:pPr>
            <w:r w:rsidRPr="00312C86">
              <w:t>24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6678C2">
            <w:pPr>
              <w:pStyle w:val="Tabletext"/>
            </w:pPr>
            <w:r w:rsidRPr="00312C86">
              <w:t>For supplying a certified copy of, or a certified copy of an extract from, a document filed or lodged with ASIC, in addition to the fee payable under item</w:t>
            </w:r>
            <w:r w:rsidR="00312C86" w:rsidRPr="00312C86">
              <w:t> </w:t>
            </w:r>
            <w:r w:rsidR="006678C2" w:rsidRPr="00312C86">
              <w:t>16, 19</w:t>
            </w:r>
            <w:r w:rsidRPr="00312C86">
              <w:t xml:space="preserve"> or </w:t>
            </w:r>
            <w:r w:rsidR="006678C2" w:rsidRPr="00312C86">
              <w:t>21</w:t>
            </w:r>
            <w:r w:rsidR="00100330" w:rsidRPr="00312C86">
              <w:t xml:space="preserve"> </w:t>
            </w:r>
            <w:r w:rsidR="00A0133A" w:rsidRPr="00312C86">
              <w:t xml:space="preserve">of </w:t>
            </w:r>
            <w:r w:rsidR="006940CD" w:rsidRPr="00312C86">
              <w:t>this Schedule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$19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3B24A2" w:rsidP="00DC24DF">
            <w:pPr>
              <w:pStyle w:val="Tabletext"/>
            </w:pPr>
            <w:r w:rsidRPr="00312C86">
              <w:t>25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For the production by ASIC, pursuant to a subpoena, of a document in its custody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2D1C" w:rsidRPr="00312C86" w:rsidRDefault="004E669A" w:rsidP="00DC24DF">
            <w:pPr>
              <w:pStyle w:val="Tabletext"/>
            </w:pPr>
            <w:r w:rsidRPr="00312C86">
              <w:t>$40</w:t>
            </w:r>
          </w:p>
        </w:tc>
      </w:tr>
      <w:tr w:rsidR="00542D1C" w:rsidRPr="00312C86" w:rsidDel="00C17DE1" w:rsidTr="007076F2">
        <w:tc>
          <w:tcPr>
            <w:tcW w:w="4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2D1C" w:rsidRPr="00312C86" w:rsidRDefault="003B24A2" w:rsidP="00DC24DF">
            <w:pPr>
              <w:pStyle w:val="Tabletext"/>
            </w:pPr>
            <w:r w:rsidRPr="00312C86">
              <w:t>26</w:t>
            </w:r>
          </w:p>
        </w:tc>
        <w:tc>
          <w:tcPr>
            <w:tcW w:w="394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2D1C" w:rsidRPr="00312C86" w:rsidRDefault="00542D1C" w:rsidP="006678C2">
            <w:pPr>
              <w:pStyle w:val="Tabletext"/>
            </w:pPr>
            <w:r w:rsidRPr="00312C86">
              <w:t>If the inspection of a register or the issue or display of a document occurs at a Business</w:t>
            </w:r>
            <w:r w:rsidR="001323F1" w:rsidRPr="00312C86">
              <w:t xml:space="preserve"> Centre of ASIC (</w:t>
            </w:r>
            <w:r w:rsidRPr="00312C86">
              <w:t>in addition to the fee payable under item</w:t>
            </w:r>
            <w:r w:rsidR="00312C86" w:rsidRPr="00312C86">
              <w:t> </w:t>
            </w:r>
            <w:r w:rsidR="006678C2" w:rsidRPr="00312C86">
              <w:t>15</w:t>
            </w:r>
            <w:r w:rsidRPr="00312C86">
              <w:t xml:space="preserve">, </w:t>
            </w:r>
            <w:r w:rsidR="006678C2" w:rsidRPr="00312C86">
              <w:t>16</w:t>
            </w:r>
            <w:r w:rsidRPr="00312C86">
              <w:t xml:space="preserve">, </w:t>
            </w:r>
            <w:r w:rsidR="006678C2" w:rsidRPr="00312C86">
              <w:t>19</w:t>
            </w:r>
            <w:r w:rsidRPr="00312C86">
              <w:t xml:space="preserve">, </w:t>
            </w:r>
            <w:r w:rsidR="006678C2" w:rsidRPr="00312C86">
              <w:t>21</w:t>
            </w:r>
            <w:r w:rsidR="00570493" w:rsidRPr="00312C86">
              <w:t xml:space="preserve"> </w:t>
            </w:r>
            <w:r w:rsidRPr="00312C86">
              <w:t xml:space="preserve">or </w:t>
            </w:r>
            <w:r w:rsidR="006678C2" w:rsidRPr="00312C86">
              <w:t xml:space="preserve">22 </w:t>
            </w:r>
            <w:r w:rsidR="00A0133A" w:rsidRPr="00312C86">
              <w:t xml:space="preserve">of </w:t>
            </w:r>
            <w:r w:rsidR="006940CD" w:rsidRPr="00312C86">
              <w:t>this Schedule</w:t>
            </w:r>
            <w:r w:rsidR="001323F1" w:rsidRPr="00312C86">
              <w:t>)</w:t>
            </w:r>
          </w:p>
        </w:tc>
        <w:tc>
          <w:tcPr>
            <w:tcW w:w="64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2D1C" w:rsidRPr="00312C86" w:rsidRDefault="00542D1C" w:rsidP="00DC24DF">
            <w:pPr>
              <w:pStyle w:val="Tabletext"/>
            </w:pPr>
            <w:r w:rsidRPr="00312C86">
              <w:t>$3</w:t>
            </w:r>
          </w:p>
        </w:tc>
      </w:tr>
    </w:tbl>
    <w:p w:rsidR="00312ADF" w:rsidRPr="00312C86" w:rsidRDefault="005D7D39" w:rsidP="00856234">
      <w:pPr>
        <w:pStyle w:val="ActHead9"/>
      </w:pPr>
      <w:bookmarkStart w:id="15" w:name="_Toc517938658"/>
      <w:r w:rsidRPr="00312C86">
        <w:t>National Consumer Credit Protection (Fees) Regulations</w:t>
      </w:r>
      <w:r w:rsidR="00312C86" w:rsidRPr="00312C86">
        <w:t> </w:t>
      </w:r>
      <w:r w:rsidRPr="00312C86">
        <w:t>2010</w:t>
      </w:r>
      <w:bookmarkEnd w:id="15"/>
    </w:p>
    <w:p w:rsidR="00626E5A" w:rsidRPr="00312C86" w:rsidRDefault="00946DDA" w:rsidP="00626E5A">
      <w:pPr>
        <w:pStyle w:val="ItemHead"/>
      </w:pPr>
      <w:r w:rsidRPr="00312C86">
        <w:t>23</w:t>
      </w:r>
      <w:r w:rsidR="00626E5A" w:rsidRPr="00312C86">
        <w:t xml:space="preserve">  Regulation</w:t>
      </w:r>
      <w:r w:rsidR="00312C86" w:rsidRPr="00312C86">
        <w:t> </w:t>
      </w:r>
      <w:r w:rsidR="00626E5A" w:rsidRPr="00312C86">
        <w:t>3</w:t>
      </w:r>
    </w:p>
    <w:p w:rsidR="00626E5A" w:rsidRPr="00312C86" w:rsidRDefault="00626E5A" w:rsidP="00626E5A">
      <w:pPr>
        <w:pStyle w:val="Item"/>
      </w:pPr>
      <w:r w:rsidRPr="00312C86">
        <w:t>Insert:</w:t>
      </w:r>
    </w:p>
    <w:p w:rsidR="007F0F42" w:rsidRPr="00312C86" w:rsidRDefault="007F0F42" w:rsidP="00626E5A">
      <w:pPr>
        <w:pStyle w:val="Definition"/>
      </w:pPr>
      <w:r w:rsidRPr="00312C86">
        <w:rPr>
          <w:b/>
          <w:i/>
        </w:rPr>
        <w:t>Australian credit licence</w:t>
      </w:r>
      <w:r w:rsidRPr="00312C86">
        <w:t xml:space="preserve"> has the same meaning as in the National Credit Act.</w:t>
      </w:r>
    </w:p>
    <w:p w:rsidR="00125EBA" w:rsidRPr="00312C86" w:rsidRDefault="009E0D36" w:rsidP="00626E5A">
      <w:pPr>
        <w:pStyle w:val="Definition"/>
      </w:pPr>
      <w:r w:rsidRPr="00312C86">
        <w:rPr>
          <w:b/>
          <w:i/>
        </w:rPr>
        <w:t>credit provider licence</w:t>
      </w:r>
      <w:r w:rsidRPr="00312C86">
        <w:t xml:space="preserve"> means an Australian credit li</w:t>
      </w:r>
      <w:r w:rsidR="005A2C46" w:rsidRPr="00312C86">
        <w:t xml:space="preserve">cence that authorises the licensee </w:t>
      </w:r>
      <w:r w:rsidRPr="00312C86">
        <w:t xml:space="preserve">to engage in </w:t>
      </w:r>
      <w:r w:rsidR="00125EBA" w:rsidRPr="00312C86">
        <w:t>a</w:t>
      </w:r>
      <w:r w:rsidRPr="00312C86">
        <w:t xml:space="preserve"> credit activity</w:t>
      </w:r>
      <w:r w:rsidR="00125EBA" w:rsidRPr="00312C86">
        <w:t xml:space="preserve"> mentioned in item</w:t>
      </w:r>
      <w:r w:rsidR="00312C86" w:rsidRPr="00312C86">
        <w:t> </w:t>
      </w:r>
      <w:r w:rsidR="00125EBA" w:rsidRPr="00312C86">
        <w:t>1 of the table in subsection</w:t>
      </w:r>
      <w:r w:rsidR="00312C86" w:rsidRPr="00312C86">
        <w:t> </w:t>
      </w:r>
      <w:r w:rsidR="00125EBA" w:rsidRPr="00312C86">
        <w:t>6(1) of the National Credit Act.</w:t>
      </w:r>
    </w:p>
    <w:p w:rsidR="00736DAB" w:rsidRPr="00312C86" w:rsidRDefault="00736DAB" w:rsidP="00736DAB">
      <w:pPr>
        <w:pStyle w:val="Definition"/>
      </w:pPr>
      <w:r w:rsidRPr="00312C86">
        <w:rPr>
          <w:b/>
          <w:i/>
        </w:rPr>
        <w:t>indexable matter</w:t>
      </w:r>
      <w:r w:rsidRPr="00312C86">
        <w:t>: see subregulation</w:t>
      </w:r>
      <w:r w:rsidR="008E4D04" w:rsidRPr="00312C86">
        <w:t>s</w:t>
      </w:r>
      <w:r w:rsidR="00346DA1" w:rsidRPr="00312C86">
        <w:t xml:space="preserve"> </w:t>
      </w:r>
      <w:r w:rsidRPr="00312C86">
        <w:t>4(4)</w:t>
      </w:r>
      <w:r w:rsidR="008E4D04" w:rsidRPr="00312C86">
        <w:t xml:space="preserve"> </w:t>
      </w:r>
      <w:r w:rsidR="004D060E" w:rsidRPr="00312C86">
        <w:t>and 5(3</w:t>
      </w:r>
      <w:r w:rsidR="008E4D04" w:rsidRPr="00312C86">
        <w:t>)</w:t>
      </w:r>
      <w:r w:rsidRPr="00312C86">
        <w:t>.</w:t>
      </w:r>
    </w:p>
    <w:p w:rsidR="00125EBA" w:rsidRPr="00312C86" w:rsidRDefault="009E0D36" w:rsidP="00626E5A">
      <w:pPr>
        <w:pStyle w:val="Definition"/>
      </w:pPr>
      <w:r w:rsidRPr="00312C86">
        <w:rPr>
          <w:b/>
          <w:i/>
        </w:rPr>
        <w:t>lessor licence</w:t>
      </w:r>
      <w:r w:rsidR="00125EBA" w:rsidRPr="00312C86">
        <w:t xml:space="preserve"> means an Australian credit licence that authorises </w:t>
      </w:r>
      <w:r w:rsidR="005A2C46" w:rsidRPr="00312C86">
        <w:t>the licensee</w:t>
      </w:r>
      <w:r w:rsidR="00125EBA" w:rsidRPr="00312C86">
        <w:t xml:space="preserve"> to engage in a credit activity mentioned in item</w:t>
      </w:r>
      <w:r w:rsidR="00312C86" w:rsidRPr="00312C86">
        <w:t> </w:t>
      </w:r>
      <w:r w:rsidR="00125EBA" w:rsidRPr="00312C86">
        <w:t>3 of the table in subsection</w:t>
      </w:r>
      <w:r w:rsidR="00312C86" w:rsidRPr="00312C86">
        <w:t> </w:t>
      </w:r>
      <w:r w:rsidR="00125EBA" w:rsidRPr="00312C86">
        <w:t>6(1) of the National Credit Act.</w:t>
      </w:r>
    </w:p>
    <w:p w:rsidR="001350C2" w:rsidRPr="00312C86" w:rsidRDefault="00946DDA" w:rsidP="001350C2">
      <w:pPr>
        <w:pStyle w:val="ItemHead"/>
      </w:pPr>
      <w:r w:rsidRPr="00312C86">
        <w:t>24</w:t>
      </w:r>
      <w:r w:rsidR="001350C2" w:rsidRPr="00312C86">
        <w:t xml:space="preserve">  Regulation</w:t>
      </w:r>
      <w:r w:rsidR="00312C86" w:rsidRPr="00312C86">
        <w:t> </w:t>
      </w:r>
      <w:r w:rsidR="001350C2" w:rsidRPr="00312C86">
        <w:t xml:space="preserve">3 (definition of </w:t>
      </w:r>
      <w:r w:rsidR="001350C2" w:rsidRPr="00312C86">
        <w:rPr>
          <w:i/>
        </w:rPr>
        <w:t>sole trader</w:t>
      </w:r>
      <w:r w:rsidR="001350C2" w:rsidRPr="00312C86">
        <w:t>)</w:t>
      </w:r>
    </w:p>
    <w:p w:rsidR="001350C2" w:rsidRPr="00312C86" w:rsidRDefault="001350C2" w:rsidP="001350C2">
      <w:pPr>
        <w:pStyle w:val="Item"/>
      </w:pPr>
      <w:r w:rsidRPr="00312C86">
        <w:t>Repeal the definition.</w:t>
      </w:r>
    </w:p>
    <w:p w:rsidR="00727845" w:rsidRPr="00312C86" w:rsidRDefault="00946DDA" w:rsidP="00090D06">
      <w:pPr>
        <w:pStyle w:val="ItemHead"/>
      </w:pPr>
      <w:r w:rsidRPr="00312C86">
        <w:t>25</w:t>
      </w:r>
      <w:r w:rsidR="00727845" w:rsidRPr="00312C86">
        <w:t xml:space="preserve">  Regulation</w:t>
      </w:r>
      <w:r w:rsidR="00312C86" w:rsidRPr="00312C86">
        <w:t> </w:t>
      </w:r>
      <w:r w:rsidR="00727845" w:rsidRPr="00312C86">
        <w:t>4</w:t>
      </w:r>
    </w:p>
    <w:p w:rsidR="00727845" w:rsidRPr="00312C86" w:rsidRDefault="00727845" w:rsidP="00727845">
      <w:pPr>
        <w:pStyle w:val="Item"/>
      </w:pPr>
      <w:r w:rsidRPr="00312C86">
        <w:t>Repeal the regulation, substitute:</w:t>
      </w:r>
    </w:p>
    <w:p w:rsidR="00727845" w:rsidRPr="00312C86" w:rsidRDefault="00727845" w:rsidP="00727845">
      <w:pPr>
        <w:pStyle w:val="ActHead5"/>
      </w:pPr>
      <w:bookmarkStart w:id="16" w:name="_Toc517938659"/>
      <w:r w:rsidRPr="00312C86">
        <w:rPr>
          <w:rStyle w:val="CharSectno"/>
        </w:rPr>
        <w:t>4</w:t>
      </w:r>
      <w:r w:rsidRPr="00312C86">
        <w:t xml:space="preserve">  Prescribed fees—chargeable matters in Schedule</w:t>
      </w:r>
      <w:r w:rsidR="00312C86" w:rsidRPr="00312C86">
        <w:t> </w:t>
      </w:r>
      <w:r w:rsidRPr="00312C86">
        <w:t>1</w:t>
      </w:r>
      <w:bookmarkEnd w:id="16"/>
    </w:p>
    <w:p w:rsidR="00626E5A" w:rsidRPr="00312C86" w:rsidRDefault="00626E5A" w:rsidP="00626E5A">
      <w:pPr>
        <w:pStyle w:val="SubsectionHead"/>
      </w:pPr>
      <w:r w:rsidRPr="00312C86">
        <w:t>Fees</w:t>
      </w:r>
    </w:p>
    <w:p w:rsidR="00194543" w:rsidRPr="00312C86" w:rsidRDefault="00194543" w:rsidP="00626E5A">
      <w:pPr>
        <w:pStyle w:val="subsection"/>
      </w:pPr>
      <w:r w:rsidRPr="00312C86">
        <w:tab/>
        <w:t>(1</w:t>
      </w:r>
      <w:r w:rsidR="00344526" w:rsidRPr="00312C86">
        <w:t>)</w:t>
      </w:r>
      <w:r w:rsidR="00344526" w:rsidRPr="00312C86">
        <w:tab/>
        <w:t xml:space="preserve">For </w:t>
      </w:r>
      <w:r w:rsidR="002162B7" w:rsidRPr="00312C86">
        <w:t xml:space="preserve">the purposes of </w:t>
      </w:r>
      <w:r w:rsidR="00344526" w:rsidRPr="00312C86">
        <w:t>sections</w:t>
      </w:r>
      <w:r w:rsidR="00312C86" w:rsidRPr="00312C86">
        <w:t> </w:t>
      </w:r>
      <w:r w:rsidR="00344526" w:rsidRPr="00312C86">
        <w:t xml:space="preserve">5 and 6 of the Act, </w:t>
      </w:r>
      <w:r w:rsidRPr="00312C86">
        <w:t xml:space="preserve">a fee is prescribed for a chargeable matter mentioned in an item </w:t>
      </w:r>
      <w:r w:rsidR="00E7069D" w:rsidRPr="00312C86">
        <w:t xml:space="preserve">in a table </w:t>
      </w:r>
      <w:r w:rsidRPr="00312C86">
        <w:t xml:space="preserve">in </w:t>
      </w:r>
      <w:r w:rsidR="00727845" w:rsidRPr="00312C86">
        <w:t>clause</w:t>
      </w:r>
      <w:r w:rsidR="00312C86" w:rsidRPr="00312C86">
        <w:t> </w:t>
      </w:r>
      <w:r w:rsidR="00727845" w:rsidRPr="00312C86">
        <w:t xml:space="preserve">1 </w:t>
      </w:r>
      <w:r w:rsidR="0094270D" w:rsidRPr="00312C86">
        <w:t xml:space="preserve">or </w:t>
      </w:r>
      <w:r w:rsidR="006B3A7A" w:rsidRPr="00312C86">
        <w:t xml:space="preserve">2 </w:t>
      </w:r>
      <w:r w:rsidRPr="00312C86">
        <w:t>of Schedule</w:t>
      </w:r>
      <w:r w:rsidR="00312C86" w:rsidRPr="00312C86">
        <w:t> </w:t>
      </w:r>
      <w:r w:rsidRPr="00312C86">
        <w:t>1.</w:t>
      </w:r>
    </w:p>
    <w:p w:rsidR="00626E5A" w:rsidRPr="00312C86" w:rsidRDefault="00194543" w:rsidP="00194543">
      <w:pPr>
        <w:pStyle w:val="subsection"/>
      </w:pPr>
      <w:r w:rsidRPr="00312C86">
        <w:tab/>
        <w:t>(2)</w:t>
      </w:r>
      <w:r w:rsidRPr="00312C86">
        <w:tab/>
      </w:r>
      <w:r w:rsidR="00626E5A" w:rsidRPr="00312C86">
        <w:t xml:space="preserve">The amount of the fee </w:t>
      </w:r>
      <w:r w:rsidR="00744AA0" w:rsidRPr="00312C86">
        <w:t xml:space="preserve">on or after </w:t>
      </w:r>
      <w:r w:rsidR="00E20FFD" w:rsidRPr="00312C86">
        <w:t>4</w:t>
      </w:r>
      <w:r w:rsidR="00312C86" w:rsidRPr="00312C86">
        <w:t> </w:t>
      </w:r>
      <w:r w:rsidR="00E20FFD" w:rsidRPr="00312C86">
        <w:t>July 2018</w:t>
      </w:r>
      <w:r w:rsidRPr="00312C86">
        <w:t xml:space="preserve"> is, subject to subregulation</w:t>
      </w:r>
      <w:r w:rsidR="007C5146" w:rsidRPr="00312C86">
        <w:t>s</w:t>
      </w:r>
      <w:r w:rsidR="00346DA1" w:rsidRPr="00312C86">
        <w:t xml:space="preserve"> </w:t>
      </w:r>
      <w:r w:rsidRPr="00312C86">
        <w:t>(3</w:t>
      </w:r>
      <w:r w:rsidR="00626E5A" w:rsidRPr="00312C86">
        <w:t xml:space="preserve">) </w:t>
      </w:r>
      <w:r w:rsidR="00623D85" w:rsidRPr="00312C86">
        <w:t>to (5)</w:t>
      </w:r>
      <w:r w:rsidR="00626E5A" w:rsidRPr="00312C86">
        <w:t>, the amount mentioned in the item.</w:t>
      </w:r>
    </w:p>
    <w:p w:rsidR="00727845" w:rsidRPr="00312C86" w:rsidRDefault="00727845" w:rsidP="00727845">
      <w:pPr>
        <w:pStyle w:val="SubsectionHead"/>
      </w:pPr>
      <w:r w:rsidRPr="00312C86">
        <w:lastRenderedPageBreak/>
        <w:t>Alteration of fees</w:t>
      </w:r>
    </w:p>
    <w:p w:rsidR="00727845" w:rsidRPr="00312C86" w:rsidRDefault="00727845" w:rsidP="00727845">
      <w:pPr>
        <w:pStyle w:val="subsection"/>
      </w:pPr>
      <w:r w:rsidRPr="00312C86">
        <w:tab/>
        <w:t>(3)</w:t>
      </w:r>
      <w:r w:rsidRPr="00312C86">
        <w:tab/>
        <w:t xml:space="preserve">In a circumstance mentioned in </w:t>
      </w:r>
      <w:r w:rsidR="006B3A7A" w:rsidRPr="00312C86">
        <w:t>an item in the table in clause</w:t>
      </w:r>
      <w:r w:rsidR="00312C86" w:rsidRPr="00312C86">
        <w:t> </w:t>
      </w:r>
      <w:r w:rsidR="006B3A7A" w:rsidRPr="00312C86">
        <w:t>3</w:t>
      </w:r>
      <w:r w:rsidRPr="00312C86">
        <w:t xml:space="preserve"> of Schedule</w:t>
      </w:r>
      <w:r w:rsidR="00312C86" w:rsidRPr="00312C86">
        <w:t> </w:t>
      </w:r>
      <w:r w:rsidRPr="00312C86">
        <w:t xml:space="preserve">1, the fee specified in </w:t>
      </w:r>
      <w:r w:rsidR="00E7069D" w:rsidRPr="00312C86">
        <w:t xml:space="preserve">an item in a table in </w:t>
      </w:r>
      <w:r w:rsidRPr="00312C86">
        <w:t>clause</w:t>
      </w:r>
      <w:r w:rsidR="00312C86" w:rsidRPr="00312C86">
        <w:t> </w:t>
      </w:r>
      <w:r w:rsidRPr="00312C86">
        <w:t>1</w:t>
      </w:r>
      <w:r w:rsidR="006B3A7A" w:rsidRPr="00312C86">
        <w:t xml:space="preserve"> or 2</w:t>
      </w:r>
      <w:r w:rsidRPr="00312C86">
        <w:t xml:space="preserve"> of that Schedule for a chargeable matter is altered as required by the item.</w:t>
      </w:r>
    </w:p>
    <w:p w:rsidR="00623D85" w:rsidRPr="00312C86" w:rsidRDefault="00623D85" w:rsidP="00623D85">
      <w:pPr>
        <w:pStyle w:val="SubsectionHead"/>
      </w:pPr>
      <w:r w:rsidRPr="00312C86">
        <w:t>Indexable matters</w:t>
      </w:r>
    </w:p>
    <w:p w:rsidR="00623D85" w:rsidRPr="00312C86" w:rsidRDefault="00623D85" w:rsidP="00623D85">
      <w:pPr>
        <w:pStyle w:val="subsection"/>
      </w:pPr>
      <w:r w:rsidRPr="00312C86">
        <w:tab/>
        <w:t>(4)</w:t>
      </w:r>
      <w:r w:rsidRPr="00312C86">
        <w:tab/>
        <w:t xml:space="preserve">A chargeable matter is an </w:t>
      </w:r>
      <w:r w:rsidRPr="00312C86">
        <w:rPr>
          <w:b/>
          <w:i/>
        </w:rPr>
        <w:t>indexable matter</w:t>
      </w:r>
      <w:r w:rsidRPr="00312C86">
        <w:t xml:space="preserve"> if it is a matter mentioned</w:t>
      </w:r>
      <w:r w:rsidR="006B3A7A" w:rsidRPr="00312C86">
        <w:t xml:space="preserve"> </w:t>
      </w:r>
      <w:r w:rsidRPr="00312C86">
        <w:t xml:space="preserve">in </w:t>
      </w:r>
      <w:r w:rsidR="005E1C1D" w:rsidRPr="00312C86">
        <w:t xml:space="preserve">an item in </w:t>
      </w:r>
      <w:r w:rsidR="006B3A7A" w:rsidRPr="00312C86">
        <w:t>the table in clause</w:t>
      </w:r>
      <w:r w:rsidR="00312C86" w:rsidRPr="00312C86">
        <w:t> </w:t>
      </w:r>
      <w:r w:rsidR="006B3A7A" w:rsidRPr="00312C86">
        <w:t>2</w:t>
      </w:r>
      <w:r w:rsidR="00F06C85" w:rsidRPr="00312C86">
        <w:t xml:space="preserve"> </w:t>
      </w:r>
      <w:r w:rsidRPr="00312C86">
        <w:t>of Schedule</w:t>
      </w:r>
      <w:r w:rsidR="00312C86" w:rsidRPr="00312C86">
        <w:t> </w:t>
      </w:r>
      <w:r w:rsidRPr="00312C86">
        <w:t>1</w:t>
      </w:r>
      <w:r w:rsidR="006B3A7A" w:rsidRPr="00312C86">
        <w:t xml:space="preserve">, </w:t>
      </w:r>
      <w:r w:rsidR="0094270D" w:rsidRPr="00312C86">
        <w:t>unless</w:t>
      </w:r>
      <w:r w:rsidR="006B3A7A" w:rsidRPr="00312C86">
        <w:t xml:space="preserve"> “no fee” appears in column 2 of the </w:t>
      </w:r>
      <w:r w:rsidR="005E1C1D" w:rsidRPr="00312C86">
        <w:t>item</w:t>
      </w:r>
      <w:r w:rsidR="006B3A7A" w:rsidRPr="00312C86">
        <w:t>.</w:t>
      </w:r>
    </w:p>
    <w:p w:rsidR="00623D85" w:rsidRPr="00312C86" w:rsidRDefault="00623D85" w:rsidP="00623D85">
      <w:pPr>
        <w:pStyle w:val="subsection"/>
      </w:pPr>
      <w:r w:rsidRPr="00312C86">
        <w:tab/>
        <w:t>(5)</w:t>
      </w:r>
      <w:r w:rsidRPr="00312C86">
        <w:tab/>
        <w:t>In the financial year starting on 1</w:t>
      </w:r>
      <w:r w:rsidR="00312C86" w:rsidRPr="00312C86">
        <w:t> </w:t>
      </w:r>
      <w:r w:rsidRPr="00312C86">
        <w:t>July 2019, or a subsequent 1</w:t>
      </w:r>
      <w:r w:rsidR="00312C86" w:rsidRPr="00312C86">
        <w:t> </w:t>
      </w:r>
      <w:r w:rsidRPr="00312C86">
        <w:t>July, the fee for an indexable matter is to be indexed in accordance with regulation</w:t>
      </w:r>
      <w:r w:rsidR="00312C86" w:rsidRPr="00312C86">
        <w:t> </w:t>
      </w:r>
      <w:r w:rsidRPr="00312C86">
        <w:t>6 and rounded (if necessary) in accordance with regulation</w:t>
      </w:r>
      <w:r w:rsidR="00312C86" w:rsidRPr="00312C86">
        <w:t> </w:t>
      </w:r>
      <w:r w:rsidRPr="00312C86">
        <w:t>7.</w:t>
      </w:r>
    </w:p>
    <w:p w:rsidR="00E87D5E" w:rsidRPr="00312C86" w:rsidRDefault="00946DDA" w:rsidP="00E87D5E">
      <w:pPr>
        <w:pStyle w:val="ItemHead"/>
      </w:pPr>
      <w:r w:rsidRPr="00312C86">
        <w:t>26</w:t>
      </w:r>
      <w:r w:rsidR="00E87D5E" w:rsidRPr="00312C86">
        <w:t xml:space="preserve">  Subregulation</w:t>
      </w:r>
      <w:r w:rsidR="00194543" w:rsidRPr="00312C86">
        <w:t>s</w:t>
      </w:r>
      <w:r w:rsidR="00312C86" w:rsidRPr="00312C86">
        <w:t> </w:t>
      </w:r>
      <w:r w:rsidR="00E87D5E" w:rsidRPr="00312C86">
        <w:t>5(1A)</w:t>
      </w:r>
      <w:r w:rsidR="00194543" w:rsidRPr="00312C86">
        <w:t xml:space="preserve"> and (1)</w:t>
      </w:r>
    </w:p>
    <w:p w:rsidR="00E63A71" w:rsidRPr="00312C86" w:rsidRDefault="00E87D5E" w:rsidP="00E63A71">
      <w:pPr>
        <w:pStyle w:val="Item"/>
      </w:pPr>
      <w:r w:rsidRPr="00312C86">
        <w:t>Repeal the subregulation</w:t>
      </w:r>
      <w:r w:rsidR="00194543" w:rsidRPr="00312C86">
        <w:t xml:space="preserve">s, </w:t>
      </w:r>
      <w:r w:rsidR="00E63A71" w:rsidRPr="00312C86">
        <w:t>substitute:</w:t>
      </w:r>
    </w:p>
    <w:p w:rsidR="00531B14" w:rsidRPr="00312C86" w:rsidRDefault="00531B14" w:rsidP="00531B14">
      <w:pPr>
        <w:pStyle w:val="SubsectionHead"/>
      </w:pPr>
      <w:r w:rsidRPr="00312C86">
        <w:t>Fees</w:t>
      </w:r>
    </w:p>
    <w:p w:rsidR="00E63A71" w:rsidRPr="00312C86" w:rsidRDefault="00E63A71" w:rsidP="00E63A71">
      <w:pPr>
        <w:pStyle w:val="subsection"/>
      </w:pPr>
      <w:r w:rsidRPr="00312C86">
        <w:tab/>
        <w:t>(1)</w:t>
      </w:r>
      <w:r w:rsidRPr="00312C86">
        <w:tab/>
        <w:t xml:space="preserve">For </w:t>
      </w:r>
      <w:r w:rsidR="002162B7" w:rsidRPr="00312C86">
        <w:t xml:space="preserve">the purposes of </w:t>
      </w:r>
      <w:r w:rsidRPr="00312C86">
        <w:t>sections</w:t>
      </w:r>
      <w:r w:rsidR="00312C86" w:rsidRPr="00312C86">
        <w:t> </w:t>
      </w:r>
      <w:r w:rsidRPr="00312C86">
        <w:t>5 and 6 of the Act, and subject to subregulation</w:t>
      </w:r>
      <w:r w:rsidR="00312C86" w:rsidRPr="00312C86">
        <w:t> </w:t>
      </w:r>
      <w:r w:rsidRPr="00312C86">
        <w:t>(2),</w:t>
      </w:r>
      <w:r w:rsidR="00194543" w:rsidRPr="00312C86">
        <w:t xml:space="preserve"> a fee is prescribed for a chargeable matter </w:t>
      </w:r>
      <w:r w:rsidRPr="00312C86">
        <w:t xml:space="preserve">mentioned in an item </w:t>
      </w:r>
      <w:r w:rsidR="00EF3AB5" w:rsidRPr="00312C86">
        <w:t xml:space="preserve">in </w:t>
      </w:r>
      <w:r w:rsidR="00E7069D" w:rsidRPr="00312C86">
        <w:t xml:space="preserve">the table in </w:t>
      </w:r>
      <w:r w:rsidR="00146F8C" w:rsidRPr="00312C86">
        <w:t>clause</w:t>
      </w:r>
      <w:r w:rsidR="00312C86" w:rsidRPr="00312C86">
        <w:t> </w:t>
      </w:r>
      <w:r w:rsidR="00146F8C" w:rsidRPr="00312C86">
        <w:t xml:space="preserve">1 of </w:t>
      </w:r>
      <w:r w:rsidRPr="00312C86">
        <w:t>Schedule</w:t>
      </w:r>
      <w:r w:rsidR="00312C86" w:rsidRPr="00312C86">
        <w:t> </w:t>
      </w:r>
      <w:r w:rsidRPr="00312C86">
        <w:t>2.</w:t>
      </w:r>
    </w:p>
    <w:p w:rsidR="00510CC5" w:rsidRPr="00312C86" w:rsidRDefault="00510CC5" w:rsidP="00510CC5">
      <w:pPr>
        <w:pStyle w:val="subsection"/>
      </w:pPr>
      <w:r w:rsidRPr="00312C86">
        <w:tab/>
        <w:t>(1A)</w:t>
      </w:r>
      <w:r w:rsidRPr="00312C86">
        <w:tab/>
        <w:t xml:space="preserve">The amount of the fee </w:t>
      </w:r>
      <w:r w:rsidR="0069249E" w:rsidRPr="00312C86">
        <w:t xml:space="preserve">on or after </w:t>
      </w:r>
      <w:r w:rsidR="00E20FFD" w:rsidRPr="00312C86">
        <w:t>4</w:t>
      </w:r>
      <w:r w:rsidR="00312C86" w:rsidRPr="00312C86">
        <w:t> </w:t>
      </w:r>
      <w:r w:rsidR="00E20FFD" w:rsidRPr="00312C86">
        <w:t>July 2018</w:t>
      </w:r>
      <w:r w:rsidRPr="00312C86">
        <w:t xml:space="preserve"> is</w:t>
      </w:r>
      <w:r w:rsidR="008E4D04" w:rsidRPr="00312C86">
        <w:t>, subject to subregulations (3) and (4),</w:t>
      </w:r>
      <w:r w:rsidRPr="00312C86">
        <w:t xml:space="preserve"> the amount mentioned in the item.</w:t>
      </w:r>
    </w:p>
    <w:p w:rsidR="00F27679" w:rsidRPr="00312C86" w:rsidRDefault="00946DDA" w:rsidP="00F27679">
      <w:pPr>
        <w:pStyle w:val="ItemHead"/>
      </w:pPr>
      <w:r w:rsidRPr="00312C86">
        <w:t>27</w:t>
      </w:r>
      <w:r w:rsidR="00F27679" w:rsidRPr="00312C86">
        <w:t xml:space="preserve">  Paragraphs 5(2)(a) to (c)</w:t>
      </w:r>
    </w:p>
    <w:p w:rsidR="00F27679" w:rsidRPr="00312C86" w:rsidRDefault="00F27679" w:rsidP="00F27679">
      <w:pPr>
        <w:pStyle w:val="Item"/>
      </w:pPr>
      <w:r w:rsidRPr="00312C86">
        <w:t>Repeal the paragraphs, substitute:</w:t>
      </w:r>
    </w:p>
    <w:p w:rsidR="00F27679" w:rsidRPr="00312C86" w:rsidRDefault="00F27679" w:rsidP="00F27679">
      <w:pPr>
        <w:pStyle w:val="paragraph"/>
      </w:pPr>
      <w:r w:rsidRPr="00312C86">
        <w:tab/>
        <w:t>(a)</w:t>
      </w:r>
      <w:r w:rsidRPr="00312C86">
        <w:tab/>
        <w:t>the inspection or inquir</w:t>
      </w:r>
      <w:r w:rsidR="0094270D" w:rsidRPr="00312C86">
        <w:t>y is made by or on behalf of a C</w:t>
      </w:r>
      <w:r w:rsidRPr="00312C86">
        <w:t>ommonwealth entity (</w:t>
      </w:r>
      <w:r w:rsidR="0094270D" w:rsidRPr="00312C86">
        <w:t>within the meaning of</w:t>
      </w:r>
      <w:r w:rsidR="00211C3E" w:rsidRPr="00312C86">
        <w:t xml:space="preserve"> section</w:t>
      </w:r>
      <w:r w:rsidR="00312C86" w:rsidRPr="00312C86">
        <w:t> </w:t>
      </w:r>
      <w:r w:rsidR="00211C3E" w:rsidRPr="00312C86">
        <w:t xml:space="preserve">10 </w:t>
      </w:r>
      <w:r w:rsidRPr="00312C86">
        <w:t xml:space="preserve">of the </w:t>
      </w:r>
      <w:r w:rsidRPr="00312C86">
        <w:rPr>
          <w:i/>
        </w:rPr>
        <w:t>Public Governance, Performance and Accountability Act 2013</w:t>
      </w:r>
      <w:r w:rsidR="000F7B14" w:rsidRPr="00312C86">
        <w:t>)</w:t>
      </w:r>
      <w:r w:rsidRPr="00312C86">
        <w:t>; or</w:t>
      </w:r>
    </w:p>
    <w:p w:rsidR="00F27679" w:rsidRPr="00312C86" w:rsidRDefault="001E2897" w:rsidP="00F27679">
      <w:pPr>
        <w:pStyle w:val="paragraph"/>
      </w:pPr>
      <w:r w:rsidRPr="00312C86">
        <w:tab/>
        <w:t>(b</w:t>
      </w:r>
      <w:r w:rsidR="00F27679" w:rsidRPr="00312C86">
        <w:t>)</w:t>
      </w:r>
      <w:r w:rsidR="00F27679" w:rsidRPr="00312C86">
        <w:tab/>
        <w:t>the inspection or inquiry is made by or on behalf of a Commonwealth company (</w:t>
      </w:r>
      <w:r w:rsidR="0094270D" w:rsidRPr="00312C86">
        <w:t>within the meaning of</w:t>
      </w:r>
      <w:r w:rsidR="00211C3E" w:rsidRPr="00312C86">
        <w:t xml:space="preserve"> section</w:t>
      </w:r>
      <w:r w:rsidR="00312C86" w:rsidRPr="00312C86">
        <w:t> </w:t>
      </w:r>
      <w:r w:rsidR="00211C3E" w:rsidRPr="00312C86">
        <w:t>89</w:t>
      </w:r>
      <w:r w:rsidR="00F27679" w:rsidRPr="00312C86">
        <w:t xml:space="preserve"> of the </w:t>
      </w:r>
      <w:r w:rsidR="00F27679" w:rsidRPr="00312C86">
        <w:rPr>
          <w:i/>
        </w:rPr>
        <w:t>Public Governance, Performance and Accountability Act 2013</w:t>
      </w:r>
      <w:r w:rsidR="00F27679" w:rsidRPr="00312C86">
        <w:t>); or</w:t>
      </w:r>
    </w:p>
    <w:p w:rsidR="00D7109F" w:rsidRPr="00312C86" w:rsidRDefault="00946DDA" w:rsidP="00D7109F">
      <w:pPr>
        <w:pStyle w:val="ItemHead"/>
      </w:pPr>
      <w:r w:rsidRPr="00312C86">
        <w:t>28</w:t>
      </w:r>
      <w:r w:rsidR="00D7109F" w:rsidRPr="00312C86">
        <w:t xml:space="preserve">  Subregulation</w:t>
      </w:r>
      <w:r w:rsidR="00312C86" w:rsidRPr="00312C86">
        <w:t> </w:t>
      </w:r>
      <w:r w:rsidR="00D7109F" w:rsidRPr="00312C86">
        <w:t>5(3)</w:t>
      </w:r>
    </w:p>
    <w:p w:rsidR="00D7109F" w:rsidRPr="00312C86" w:rsidRDefault="008E4D04" w:rsidP="00D7109F">
      <w:pPr>
        <w:pStyle w:val="Item"/>
      </w:pPr>
      <w:r w:rsidRPr="00312C86">
        <w:t>Repeal the subregulation, substitute:</w:t>
      </w:r>
    </w:p>
    <w:p w:rsidR="008E4D04" w:rsidRPr="00312C86" w:rsidRDefault="008E4D04" w:rsidP="008E4D04">
      <w:pPr>
        <w:pStyle w:val="SubsectionHead"/>
      </w:pPr>
      <w:r w:rsidRPr="00312C86">
        <w:t>Indexable matters</w:t>
      </w:r>
    </w:p>
    <w:p w:rsidR="008E4D04" w:rsidRPr="00312C86" w:rsidRDefault="008E4D04" w:rsidP="008E4D04">
      <w:pPr>
        <w:pStyle w:val="subsection"/>
      </w:pPr>
      <w:r w:rsidRPr="00312C86">
        <w:tab/>
      </w:r>
      <w:r w:rsidR="004D060E" w:rsidRPr="00312C86">
        <w:t>(3</w:t>
      </w:r>
      <w:r w:rsidRPr="00312C86">
        <w:t>)</w:t>
      </w:r>
      <w:r w:rsidRPr="00312C86">
        <w:tab/>
        <w:t xml:space="preserve">A chargeable matter is an </w:t>
      </w:r>
      <w:r w:rsidRPr="00312C86">
        <w:rPr>
          <w:b/>
          <w:i/>
        </w:rPr>
        <w:t>indexable matter</w:t>
      </w:r>
      <w:r w:rsidRPr="00312C86">
        <w:t xml:space="preserve"> if it is a matter mentioned in </w:t>
      </w:r>
      <w:r w:rsidR="005E1C1D" w:rsidRPr="00312C86">
        <w:t xml:space="preserve">an item in </w:t>
      </w:r>
      <w:r w:rsidRPr="00312C86">
        <w:t>the table in clause</w:t>
      </w:r>
      <w:r w:rsidR="00312C86" w:rsidRPr="00312C86">
        <w:t> </w:t>
      </w:r>
      <w:r w:rsidRPr="00312C86">
        <w:t>1 of Schedule</w:t>
      </w:r>
      <w:r w:rsidR="00312C86" w:rsidRPr="00312C86">
        <w:t> </w:t>
      </w:r>
      <w:r w:rsidRPr="00312C86">
        <w:t xml:space="preserve">2, unless “no fee” appears in column 2 of the </w:t>
      </w:r>
      <w:r w:rsidR="005E1C1D" w:rsidRPr="00312C86">
        <w:t>item</w:t>
      </w:r>
      <w:r w:rsidRPr="00312C86">
        <w:t>.</w:t>
      </w:r>
    </w:p>
    <w:p w:rsidR="008E4D04" w:rsidRPr="00312C86" w:rsidRDefault="004D060E" w:rsidP="008E4D04">
      <w:pPr>
        <w:pStyle w:val="subsection"/>
      </w:pPr>
      <w:r w:rsidRPr="00312C86">
        <w:tab/>
        <w:t>(4</w:t>
      </w:r>
      <w:r w:rsidR="008E4D04" w:rsidRPr="00312C86">
        <w:t>)</w:t>
      </w:r>
      <w:r w:rsidR="008E4D04" w:rsidRPr="00312C86">
        <w:tab/>
        <w:t>In the financial year starting on 1</w:t>
      </w:r>
      <w:r w:rsidR="00312C86" w:rsidRPr="00312C86">
        <w:t> </w:t>
      </w:r>
      <w:r w:rsidR="008E4D04" w:rsidRPr="00312C86">
        <w:t>July 2019, or a subsequent 1</w:t>
      </w:r>
      <w:r w:rsidR="00312C86" w:rsidRPr="00312C86">
        <w:t> </w:t>
      </w:r>
      <w:r w:rsidR="008E4D04" w:rsidRPr="00312C86">
        <w:t>July, the fee for an indexable matter is to be indexed in accordance with regulation</w:t>
      </w:r>
      <w:r w:rsidR="00312C86" w:rsidRPr="00312C86">
        <w:t> </w:t>
      </w:r>
      <w:r w:rsidR="008E4D04" w:rsidRPr="00312C86">
        <w:t>6 and rounded (if necessary) in accordance with regulation</w:t>
      </w:r>
      <w:r w:rsidR="00312C86" w:rsidRPr="00312C86">
        <w:t> </w:t>
      </w:r>
      <w:r w:rsidR="008E4D04" w:rsidRPr="00312C86">
        <w:t>7.</w:t>
      </w:r>
    </w:p>
    <w:p w:rsidR="001104D3" w:rsidRPr="00312C86" w:rsidRDefault="00946DDA" w:rsidP="001104D3">
      <w:pPr>
        <w:pStyle w:val="ItemHead"/>
      </w:pPr>
      <w:r w:rsidRPr="00312C86">
        <w:t>29</w:t>
      </w:r>
      <w:r w:rsidR="001104D3" w:rsidRPr="00312C86">
        <w:t xml:space="preserve">  Subregulation</w:t>
      </w:r>
      <w:r w:rsidR="00312C86" w:rsidRPr="00312C86">
        <w:t> </w:t>
      </w:r>
      <w:r w:rsidR="001104D3" w:rsidRPr="00312C86">
        <w:t>6(1)</w:t>
      </w:r>
    </w:p>
    <w:p w:rsidR="001104D3" w:rsidRPr="00312C86" w:rsidRDefault="001104D3" w:rsidP="001104D3">
      <w:pPr>
        <w:pStyle w:val="Item"/>
      </w:pPr>
      <w:r w:rsidRPr="00312C86">
        <w:t xml:space="preserve">Omit </w:t>
      </w:r>
      <w:r w:rsidR="003502F3" w:rsidRPr="00312C86">
        <w:t>“</w:t>
      </w:r>
      <w:r w:rsidRPr="00312C86">
        <w:t>1</w:t>
      </w:r>
      <w:r w:rsidR="00312C86" w:rsidRPr="00312C86">
        <w:t> </w:t>
      </w:r>
      <w:r w:rsidRPr="00312C86">
        <w:t>July 2011</w:t>
      </w:r>
      <w:r w:rsidR="003502F3" w:rsidRPr="00312C86">
        <w:t>”</w:t>
      </w:r>
      <w:r w:rsidRPr="00312C86">
        <w:t xml:space="preserve">, substitute </w:t>
      </w:r>
      <w:r w:rsidR="003502F3" w:rsidRPr="00312C86">
        <w:t>“</w:t>
      </w:r>
      <w:r w:rsidRPr="00312C86">
        <w:t>1</w:t>
      </w:r>
      <w:r w:rsidR="00312C86" w:rsidRPr="00312C86">
        <w:t> </w:t>
      </w:r>
      <w:r w:rsidRPr="00312C86">
        <w:t>July 2019</w:t>
      </w:r>
      <w:r w:rsidR="003502F3" w:rsidRPr="00312C86">
        <w:t>”</w:t>
      </w:r>
      <w:r w:rsidRPr="00312C86">
        <w:t>.</w:t>
      </w:r>
    </w:p>
    <w:p w:rsidR="001104D3" w:rsidRPr="00312C86" w:rsidRDefault="00946DDA" w:rsidP="001104D3">
      <w:pPr>
        <w:pStyle w:val="ItemHead"/>
      </w:pPr>
      <w:r w:rsidRPr="00312C86">
        <w:lastRenderedPageBreak/>
        <w:t>30</w:t>
      </w:r>
      <w:r w:rsidR="001104D3" w:rsidRPr="00312C86">
        <w:t xml:space="preserve">  Subregulation</w:t>
      </w:r>
      <w:r w:rsidR="00312C86" w:rsidRPr="00312C86">
        <w:t> </w:t>
      </w:r>
      <w:r w:rsidR="001104D3" w:rsidRPr="00312C86">
        <w:t>6(1)</w:t>
      </w:r>
    </w:p>
    <w:p w:rsidR="001104D3" w:rsidRPr="00312C86" w:rsidRDefault="001104D3" w:rsidP="001104D3">
      <w:pPr>
        <w:pStyle w:val="Item"/>
      </w:pPr>
      <w:r w:rsidRPr="00312C86">
        <w:t xml:space="preserve">Omit </w:t>
      </w:r>
      <w:r w:rsidR="003502F3" w:rsidRPr="00312C86">
        <w:t>“</w:t>
      </w:r>
      <w:r w:rsidR="00C167E8" w:rsidRPr="00312C86">
        <w:t xml:space="preserve">a chargeable matter </w:t>
      </w:r>
      <w:r w:rsidRPr="00312C86">
        <w:t>mentioned in an item in Schedule</w:t>
      </w:r>
      <w:r w:rsidR="00312C86" w:rsidRPr="00312C86">
        <w:t> </w:t>
      </w:r>
      <w:r w:rsidRPr="00312C86">
        <w:t>1 or 2</w:t>
      </w:r>
      <w:r w:rsidR="003502F3" w:rsidRPr="00312C86">
        <w:t>”</w:t>
      </w:r>
      <w:r w:rsidRPr="00312C86">
        <w:t xml:space="preserve">, substitute </w:t>
      </w:r>
      <w:r w:rsidR="003502F3" w:rsidRPr="00312C86">
        <w:t>“</w:t>
      </w:r>
      <w:r w:rsidRPr="00312C86">
        <w:t>an indexable matter</w:t>
      </w:r>
      <w:r w:rsidR="003502F3" w:rsidRPr="00312C86">
        <w:t>”</w:t>
      </w:r>
      <w:r w:rsidRPr="00312C86">
        <w:t>.</w:t>
      </w:r>
    </w:p>
    <w:p w:rsidR="001104D3" w:rsidRPr="00312C86" w:rsidRDefault="00946DDA" w:rsidP="001104D3">
      <w:pPr>
        <w:pStyle w:val="ItemHead"/>
      </w:pPr>
      <w:r w:rsidRPr="00312C86">
        <w:t>31</w:t>
      </w:r>
      <w:r w:rsidR="001104D3" w:rsidRPr="00312C86">
        <w:t xml:space="preserve">  Subregulation</w:t>
      </w:r>
      <w:r w:rsidR="00312C86" w:rsidRPr="00312C86">
        <w:t> </w:t>
      </w:r>
      <w:r w:rsidR="001104D3" w:rsidRPr="00312C86">
        <w:t>6(2)</w:t>
      </w:r>
    </w:p>
    <w:p w:rsidR="001104D3" w:rsidRPr="00312C86" w:rsidRDefault="001104D3" w:rsidP="001104D3">
      <w:pPr>
        <w:pStyle w:val="Item"/>
      </w:pPr>
      <w:r w:rsidRPr="00312C86">
        <w:t xml:space="preserve">Omit </w:t>
      </w:r>
      <w:r w:rsidR="003502F3" w:rsidRPr="00312C86">
        <w:t>“</w:t>
      </w:r>
      <w:r w:rsidRPr="00312C86">
        <w:t>1</w:t>
      </w:r>
      <w:r w:rsidR="00312C86" w:rsidRPr="00312C86">
        <w:t> </w:t>
      </w:r>
      <w:r w:rsidRPr="00312C86">
        <w:t>July 2011</w:t>
      </w:r>
      <w:r w:rsidR="003502F3" w:rsidRPr="00312C86">
        <w:t>”</w:t>
      </w:r>
      <w:r w:rsidRPr="00312C86">
        <w:t xml:space="preserve">, substitute </w:t>
      </w:r>
      <w:r w:rsidR="003502F3" w:rsidRPr="00312C86">
        <w:t>“</w:t>
      </w:r>
      <w:r w:rsidRPr="00312C86">
        <w:t>1</w:t>
      </w:r>
      <w:r w:rsidR="00312C86" w:rsidRPr="00312C86">
        <w:t> </w:t>
      </w:r>
      <w:r w:rsidRPr="00312C86">
        <w:t>July 2019</w:t>
      </w:r>
      <w:r w:rsidR="003502F3" w:rsidRPr="00312C86">
        <w:t>”</w:t>
      </w:r>
      <w:r w:rsidRPr="00312C86">
        <w:t>.</w:t>
      </w:r>
    </w:p>
    <w:p w:rsidR="003D366E" w:rsidRPr="00312C86" w:rsidRDefault="00946DDA" w:rsidP="003D366E">
      <w:pPr>
        <w:pStyle w:val="ItemHead"/>
      </w:pPr>
      <w:r w:rsidRPr="00312C86">
        <w:t>32</w:t>
      </w:r>
      <w:r w:rsidR="003D366E" w:rsidRPr="00312C86">
        <w:t xml:space="preserve">  Subregulation</w:t>
      </w:r>
      <w:r w:rsidR="00312C86" w:rsidRPr="00312C86">
        <w:t> </w:t>
      </w:r>
      <w:r w:rsidR="003D366E" w:rsidRPr="00312C86">
        <w:t>6(</w:t>
      </w:r>
      <w:r w:rsidR="00333920" w:rsidRPr="00312C86">
        <w:t>2</w:t>
      </w:r>
      <w:r w:rsidR="003D366E" w:rsidRPr="00312C86">
        <w:t>)</w:t>
      </w:r>
    </w:p>
    <w:p w:rsidR="003D366E" w:rsidRPr="00312C86" w:rsidRDefault="003D366E" w:rsidP="003D366E">
      <w:pPr>
        <w:pStyle w:val="Item"/>
      </w:pPr>
      <w:r w:rsidRPr="00312C86">
        <w:t xml:space="preserve">Omit </w:t>
      </w:r>
      <w:r w:rsidR="003502F3" w:rsidRPr="00312C86">
        <w:t>“</w:t>
      </w:r>
      <w:r w:rsidR="008744D6" w:rsidRPr="00312C86">
        <w:t xml:space="preserve">a chargeable matter </w:t>
      </w:r>
      <w:r w:rsidR="001104D3" w:rsidRPr="00312C86">
        <w:t>mentioned in an item in Schedule</w:t>
      </w:r>
      <w:r w:rsidR="00312C86" w:rsidRPr="00312C86">
        <w:t> </w:t>
      </w:r>
      <w:r w:rsidR="001104D3" w:rsidRPr="00312C86">
        <w:t>1 or 2</w:t>
      </w:r>
      <w:r w:rsidR="003502F3" w:rsidRPr="00312C86">
        <w:t>”</w:t>
      </w:r>
      <w:r w:rsidRPr="00312C86">
        <w:t xml:space="preserve">, substitute </w:t>
      </w:r>
      <w:r w:rsidR="003502F3" w:rsidRPr="00312C86">
        <w:t>“</w:t>
      </w:r>
      <w:r w:rsidR="001104D3" w:rsidRPr="00312C86">
        <w:t>an indexable matter</w:t>
      </w:r>
      <w:r w:rsidR="003502F3" w:rsidRPr="00312C86">
        <w:t>”</w:t>
      </w:r>
      <w:r w:rsidRPr="00312C86">
        <w:t>.</w:t>
      </w:r>
    </w:p>
    <w:p w:rsidR="008744D6" w:rsidRPr="00312C86" w:rsidRDefault="00946DDA" w:rsidP="008744D6">
      <w:pPr>
        <w:pStyle w:val="ItemHead"/>
      </w:pPr>
      <w:r w:rsidRPr="00312C86">
        <w:t>33</w:t>
      </w:r>
      <w:r w:rsidR="008744D6" w:rsidRPr="00312C86">
        <w:t xml:space="preserve">  Subregulation</w:t>
      </w:r>
      <w:r w:rsidR="00312C86" w:rsidRPr="00312C86">
        <w:t> </w:t>
      </w:r>
      <w:r w:rsidR="008744D6" w:rsidRPr="00312C86">
        <w:t>6(2)</w:t>
      </w:r>
    </w:p>
    <w:p w:rsidR="008744D6" w:rsidRPr="00312C86" w:rsidRDefault="008744D6" w:rsidP="008744D6">
      <w:pPr>
        <w:pStyle w:val="Item"/>
      </w:pPr>
      <w:r w:rsidRPr="00312C86">
        <w:t xml:space="preserve">Omit </w:t>
      </w:r>
      <w:r w:rsidR="003502F3" w:rsidRPr="00312C86">
        <w:t>“</w:t>
      </w:r>
      <w:r w:rsidRPr="00312C86">
        <w:t>the chargeable matter</w:t>
      </w:r>
      <w:r w:rsidR="003502F3" w:rsidRPr="00312C86">
        <w:t>”</w:t>
      </w:r>
      <w:r w:rsidRPr="00312C86">
        <w:t xml:space="preserve">, substitute </w:t>
      </w:r>
      <w:r w:rsidR="003502F3" w:rsidRPr="00312C86">
        <w:t>“</w:t>
      </w:r>
      <w:r w:rsidRPr="00312C86">
        <w:t>the indexable matter</w:t>
      </w:r>
      <w:r w:rsidR="003502F3" w:rsidRPr="00312C86">
        <w:t>”</w:t>
      </w:r>
      <w:r w:rsidRPr="00312C86">
        <w:t>.</w:t>
      </w:r>
    </w:p>
    <w:p w:rsidR="00FD3CAC" w:rsidRPr="00312C86" w:rsidRDefault="00946DDA" w:rsidP="00FD3CAC">
      <w:pPr>
        <w:pStyle w:val="ItemHead"/>
      </w:pPr>
      <w:r w:rsidRPr="00312C86">
        <w:t>34</w:t>
      </w:r>
      <w:r w:rsidR="00FD3CAC" w:rsidRPr="00312C86">
        <w:t xml:space="preserve">  </w:t>
      </w:r>
      <w:r w:rsidR="003C7EB3" w:rsidRPr="00312C86">
        <w:t>Subr</w:t>
      </w:r>
      <w:r w:rsidR="00FD3CAC" w:rsidRPr="00312C86">
        <w:t>egulation</w:t>
      </w:r>
      <w:r w:rsidR="00312C86" w:rsidRPr="00312C86">
        <w:t> </w:t>
      </w:r>
      <w:r w:rsidR="00FD3CAC" w:rsidRPr="00312C86">
        <w:t>6</w:t>
      </w:r>
      <w:r w:rsidR="003C7EB3" w:rsidRPr="00312C86">
        <w:t>(4)</w:t>
      </w:r>
      <w:r w:rsidR="00FD3CAC" w:rsidRPr="00312C86">
        <w:t xml:space="preserve"> (</w:t>
      </w:r>
      <w:r w:rsidR="00B07D43" w:rsidRPr="00312C86">
        <w:t xml:space="preserve">definition of </w:t>
      </w:r>
      <w:r w:rsidR="00B07D43" w:rsidRPr="00312C86">
        <w:rPr>
          <w:i/>
        </w:rPr>
        <w:t>previous indexable amount</w:t>
      </w:r>
      <w:r w:rsidR="00FD3CAC" w:rsidRPr="00312C86">
        <w:t>)</w:t>
      </w:r>
    </w:p>
    <w:p w:rsidR="003C7EB3" w:rsidRPr="00312C86" w:rsidRDefault="000805DF" w:rsidP="003C7EB3">
      <w:pPr>
        <w:pStyle w:val="Item"/>
      </w:pPr>
      <w:r w:rsidRPr="00312C86">
        <w:t>Repeal the definition, substitute:</w:t>
      </w:r>
    </w:p>
    <w:p w:rsidR="004656FD" w:rsidRPr="00312C86" w:rsidRDefault="004656FD" w:rsidP="004656FD">
      <w:pPr>
        <w:pStyle w:val="Definition"/>
      </w:pPr>
      <w:r w:rsidRPr="00312C86">
        <w:rPr>
          <w:b/>
          <w:i/>
        </w:rPr>
        <w:t xml:space="preserve">previous indexable amount </w:t>
      </w:r>
      <w:r w:rsidRPr="00312C86">
        <w:t xml:space="preserve">is the amount of the fee for </w:t>
      </w:r>
      <w:r w:rsidR="00DB261D" w:rsidRPr="00312C86">
        <w:t xml:space="preserve">an indexable matter </w:t>
      </w:r>
      <w:r w:rsidRPr="00312C86">
        <w:t xml:space="preserve">(including any alteration in accordance with </w:t>
      </w:r>
      <w:r w:rsidR="003A209C" w:rsidRPr="00312C86">
        <w:t xml:space="preserve">this regulation </w:t>
      </w:r>
      <w:r w:rsidR="003A556D" w:rsidRPr="00312C86">
        <w:t>or</w:t>
      </w:r>
      <w:r w:rsidR="003A209C" w:rsidRPr="00312C86">
        <w:t xml:space="preserve"> </w:t>
      </w:r>
      <w:r w:rsidRPr="00312C86">
        <w:t>regulation</w:t>
      </w:r>
      <w:r w:rsidR="00312C86" w:rsidRPr="00312C86">
        <w:t> </w:t>
      </w:r>
      <w:r w:rsidR="008744D6" w:rsidRPr="00312C86">
        <w:t>7</w:t>
      </w:r>
      <w:r w:rsidRPr="00312C86">
        <w:t>) that was applicable immediately before the relevant 1</w:t>
      </w:r>
      <w:r w:rsidR="00312C86" w:rsidRPr="00312C86">
        <w:t> </w:t>
      </w:r>
      <w:r w:rsidRPr="00312C86">
        <w:t>July.</w:t>
      </w:r>
    </w:p>
    <w:p w:rsidR="00727845" w:rsidRPr="00312C86" w:rsidRDefault="00946DDA" w:rsidP="006C1755">
      <w:pPr>
        <w:pStyle w:val="ItemHead"/>
      </w:pPr>
      <w:r w:rsidRPr="00312C86">
        <w:t>35</w:t>
      </w:r>
      <w:r w:rsidR="00727845" w:rsidRPr="00312C86">
        <w:t xml:space="preserve">  Regulation</w:t>
      </w:r>
      <w:r w:rsidR="00312C86" w:rsidRPr="00312C86">
        <w:t> </w:t>
      </w:r>
      <w:r w:rsidR="00727845" w:rsidRPr="00312C86">
        <w:t>7</w:t>
      </w:r>
    </w:p>
    <w:p w:rsidR="00727845" w:rsidRPr="00312C86" w:rsidRDefault="00727845" w:rsidP="00727845">
      <w:pPr>
        <w:pStyle w:val="Item"/>
      </w:pPr>
      <w:r w:rsidRPr="00312C86">
        <w:t>Repeal the regulation, substitute:</w:t>
      </w:r>
    </w:p>
    <w:p w:rsidR="00727845" w:rsidRPr="00312C86" w:rsidRDefault="00727845" w:rsidP="00727845">
      <w:pPr>
        <w:pStyle w:val="ActHead5"/>
      </w:pPr>
      <w:bookmarkStart w:id="17" w:name="_Toc517938660"/>
      <w:r w:rsidRPr="00312C86">
        <w:rPr>
          <w:rStyle w:val="CharSectno"/>
        </w:rPr>
        <w:t>7</w:t>
      </w:r>
      <w:r w:rsidRPr="00312C86">
        <w:t xml:space="preserve">  Rounding of fees</w:t>
      </w:r>
      <w:bookmarkEnd w:id="17"/>
    </w:p>
    <w:p w:rsidR="00727845" w:rsidRPr="00312C86" w:rsidRDefault="00727845" w:rsidP="00DC058C">
      <w:pPr>
        <w:pStyle w:val="subsection"/>
      </w:pPr>
      <w:r w:rsidRPr="00312C86">
        <w:tab/>
      </w:r>
      <w:r w:rsidRPr="00312C86">
        <w:tab/>
        <w:t>If an amount</w:t>
      </w:r>
      <w:r w:rsidR="00DC058C" w:rsidRPr="00312C86">
        <w:t xml:space="preserve"> </w:t>
      </w:r>
      <w:r w:rsidRPr="00312C86">
        <w:t>worked out using Part</w:t>
      </w:r>
      <w:r w:rsidR="00312C86" w:rsidRPr="00312C86">
        <w:t> </w:t>
      </w:r>
      <w:r w:rsidRPr="00312C86">
        <w:t xml:space="preserve">1 </w:t>
      </w:r>
      <w:r w:rsidR="007B3783" w:rsidRPr="00312C86">
        <w:t xml:space="preserve">or 2 </w:t>
      </w:r>
      <w:r w:rsidRPr="00312C86">
        <w:t>of Schedule</w:t>
      </w:r>
      <w:r w:rsidR="00312C86" w:rsidRPr="00312C86">
        <w:t> </w:t>
      </w:r>
      <w:r w:rsidRPr="00312C86">
        <w:t xml:space="preserve">1 </w:t>
      </w:r>
      <w:r w:rsidR="002E7297" w:rsidRPr="00312C86">
        <w:t>or Schedule</w:t>
      </w:r>
      <w:r w:rsidR="00312C86" w:rsidRPr="00312C86">
        <w:t> </w:t>
      </w:r>
      <w:r w:rsidR="002E7297" w:rsidRPr="00312C86">
        <w:t xml:space="preserve">2 </w:t>
      </w:r>
      <w:r w:rsidRPr="00312C86">
        <w:t>(including any alte</w:t>
      </w:r>
      <w:r w:rsidR="007B3783" w:rsidRPr="00312C86">
        <w:t>ration in accordance with Part</w:t>
      </w:r>
      <w:r w:rsidR="00312C86" w:rsidRPr="00312C86">
        <w:t> </w:t>
      </w:r>
      <w:r w:rsidR="007B3783" w:rsidRPr="00312C86">
        <w:t>3</w:t>
      </w:r>
      <w:r w:rsidRPr="00312C86">
        <w:t xml:space="preserve"> of Schedule</w:t>
      </w:r>
      <w:r w:rsidR="00312C86" w:rsidRPr="00312C86">
        <w:t> </w:t>
      </w:r>
      <w:r w:rsidR="00BC1EA4" w:rsidRPr="00312C86">
        <w:t xml:space="preserve">1 </w:t>
      </w:r>
      <w:r w:rsidRPr="00312C86">
        <w:t>or regulation</w:t>
      </w:r>
      <w:r w:rsidR="00312C86" w:rsidRPr="00312C86">
        <w:t> </w:t>
      </w:r>
      <w:r w:rsidRPr="00312C86">
        <w:t>6)</w:t>
      </w:r>
      <w:r w:rsidR="00DC058C" w:rsidRPr="00312C86">
        <w:t xml:space="preserve"> is an amount of dollars and cents:</w:t>
      </w:r>
    </w:p>
    <w:p w:rsidR="00DC058C" w:rsidRPr="00312C86" w:rsidRDefault="00727845" w:rsidP="00DC058C">
      <w:pPr>
        <w:pStyle w:val="paragraph"/>
      </w:pPr>
      <w:r w:rsidRPr="00312C86">
        <w:tab/>
      </w:r>
      <w:r w:rsidR="00DC058C" w:rsidRPr="00312C86">
        <w:t>(a)</w:t>
      </w:r>
      <w:r w:rsidR="00DC058C" w:rsidRPr="00312C86">
        <w:tab/>
        <w:t>if the amount of cents is at least 50 cents—the amount is to be rounded up to the nearest dollar; or</w:t>
      </w:r>
    </w:p>
    <w:p w:rsidR="00DC058C" w:rsidRPr="00312C86" w:rsidRDefault="00DC058C" w:rsidP="00DC058C">
      <w:pPr>
        <w:pStyle w:val="paragraph"/>
      </w:pPr>
      <w:r w:rsidRPr="00312C86">
        <w:tab/>
        <w:t>(b)</w:t>
      </w:r>
      <w:r w:rsidRPr="00312C86">
        <w:tab/>
        <w:t>otherwise—the amount is to be rounded down to the nearest dollar.</w:t>
      </w:r>
    </w:p>
    <w:p w:rsidR="00BB3022" w:rsidRPr="00312C86" w:rsidRDefault="00946DDA" w:rsidP="00BB3022">
      <w:pPr>
        <w:pStyle w:val="ItemHead"/>
      </w:pPr>
      <w:r w:rsidRPr="00312C86">
        <w:t>36</w:t>
      </w:r>
      <w:r w:rsidR="00BB3022" w:rsidRPr="00312C86">
        <w:t xml:space="preserve">  Schedule</w:t>
      </w:r>
      <w:r w:rsidR="00312C86" w:rsidRPr="00312C86">
        <w:t> </w:t>
      </w:r>
      <w:r w:rsidR="00BB3022" w:rsidRPr="00312C86">
        <w:t>1</w:t>
      </w:r>
    </w:p>
    <w:p w:rsidR="00BB3022" w:rsidRPr="00312C86" w:rsidRDefault="00BB3022" w:rsidP="00BB3022">
      <w:pPr>
        <w:pStyle w:val="Item"/>
      </w:pPr>
      <w:r w:rsidRPr="00312C86">
        <w:t>Repeal the Schedule, substitute:</w:t>
      </w:r>
    </w:p>
    <w:p w:rsidR="001D666A" w:rsidRPr="00312C86" w:rsidRDefault="00037683" w:rsidP="001D666A">
      <w:pPr>
        <w:pStyle w:val="ActHead1"/>
      </w:pPr>
      <w:bookmarkStart w:id="18" w:name="_Toc517938661"/>
      <w:r w:rsidRPr="00312C86">
        <w:rPr>
          <w:rStyle w:val="CharChapNo"/>
        </w:rPr>
        <w:t>Schedule</w:t>
      </w:r>
      <w:r w:rsidR="00312C86" w:rsidRPr="00312C86">
        <w:rPr>
          <w:rStyle w:val="CharChapNo"/>
        </w:rPr>
        <w:t> </w:t>
      </w:r>
      <w:r w:rsidRPr="00312C86">
        <w:rPr>
          <w:rStyle w:val="CharChapNo"/>
        </w:rPr>
        <w:t>1</w:t>
      </w:r>
      <w:r w:rsidRPr="00312C86">
        <w:t>—</w:t>
      </w:r>
      <w:r w:rsidR="001D666A" w:rsidRPr="00312C86">
        <w:rPr>
          <w:rStyle w:val="CharChapText"/>
        </w:rPr>
        <w:t>Fees for chargeable matters</w:t>
      </w:r>
      <w:bookmarkEnd w:id="18"/>
    </w:p>
    <w:p w:rsidR="001D666A" w:rsidRPr="00312C86" w:rsidRDefault="001D666A" w:rsidP="001D666A">
      <w:pPr>
        <w:pStyle w:val="notemargin"/>
      </w:pPr>
      <w:r w:rsidRPr="00312C86">
        <w:t>Note:</w:t>
      </w:r>
      <w:r w:rsidRPr="00312C86">
        <w:tab/>
        <w:t>See regulation</w:t>
      </w:r>
      <w:r w:rsidR="00312C86" w:rsidRPr="00312C86">
        <w:t> </w:t>
      </w:r>
      <w:r w:rsidRPr="00312C86">
        <w:t>4.</w:t>
      </w:r>
    </w:p>
    <w:p w:rsidR="001D666A" w:rsidRPr="00312C86" w:rsidRDefault="001D666A" w:rsidP="001D666A">
      <w:pPr>
        <w:pStyle w:val="ActHead2"/>
      </w:pPr>
      <w:bookmarkStart w:id="19" w:name="_Toc517938662"/>
      <w:r w:rsidRPr="00312C86">
        <w:rPr>
          <w:rStyle w:val="CharPartNo"/>
        </w:rPr>
        <w:t>Part</w:t>
      </w:r>
      <w:r w:rsidR="00312C86" w:rsidRPr="00312C86">
        <w:rPr>
          <w:rStyle w:val="CharPartNo"/>
        </w:rPr>
        <w:t> </w:t>
      </w:r>
      <w:r w:rsidR="00727845" w:rsidRPr="00312C86">
        <w:rPr>
          <w:rStyle w:val="CharPartNo"/>
        </w:rPr>
        <w:t>1</w:t>
      </w:r>
      <w:r w:rsidR="00037683" w:rsidRPr="00312C86">
        <w:t>—</w:t>
      </w:r>
      <w:r w:rsidRPr="00312C86">
        <w:rPr>
          <w:rStyle w:val="CharPartText"/>
        </w:rPr>
        <w:t>Specified fees</w:t>
      </w:r>
      <w:bookmarkEnd w:id="19"/>
    </w:p>
    <w:p w:rsidR="001D666A" w:rsidRPr="00312C86" w:rsidRDefault="001D666A" w:rsidP="001D666A">
      <w:pPr>
        <w:pStyle w:val="Header"/>
      </w:pPr>
      <w:r w:rsidRPr="00312C86">
        <w:rPr>
          <w:rStyle w:val="CharDivNo"/>
        </w:rPr>
        <w:t xml:space="preserve"> </w:t>
      </w:r>
      <w:r w:rsidRPr="00312C86">
        <w:rPr>
          <w:rStyle w:val="CharDivText"/>
        </w:rPr>
        <w:t xml:space="preserve"> </w:t>
      </w:r>
    </w:p>
    <w:p w:rsidR="001D666A" w:rsidRPr="00312C86" w:rsidRDefault="001D666A" w:rsidP="001D666A">
      <w:pPr>
        <w:pStyle w:val="ActHead5"/>
      </w:pPr>
      <w:bookmarkStart w:id="20" w:name="_Toc517938663"/>
      <w:r w:rsidRPr="00312C86">
        <w:rPr>
          <w:rStyle w:val="CharSectno"/>
        </w:rPr>
        <w:t>1</w:t>
      </w:r>
      <w:r w:rsidRPr="00312C86">
        <w:t xml:space="preserve">  Specified fees</w:t>
      </w:r>
      <w:bookmarkEnd w:id="20"/>
    </w:p>
    <w:p w:rsidR="001D666A" w:rsidRPr="00312C86" w:rsidRDefault="001D666A" w:rsidP="001D666A">
      <w:pPr>
        <w:pStyle w:val="subsection"/>
      </w:pPr>
      <w:r w:rsidRPr="00312C86">
        <w:tab/>
      </w:r>
      <w:r w:rsidRPr="00312C86">
        <w:tab/>
        <w:t xml:space="preserve">For the purposes of </w:t>
      </w:r>
      <w:r w:rsidR="00727845" w:rsidRPr="00312C86">
        <w:t>sub</w:t>
      </w:r>
      <w:r w:rsidRPr="00312C86">
        <w:t>regulation</w:t>
      </w:r>
      <w:r w:rsidR="00727845" w:rsidRPr="00312C86">
        <w:t>s</w:t>
      </w:r>
      <w:r w:rsidRPr="00312C86">
        <w:t xml:space="preserve"> 4</w:t>
      </w:r>
      <w:r w:rsidR="00727845" w:rsidRPr="00312C86">
        <w:t>(1) and (2)</w:t>
      </w:r>
      <w:r w:rsidRPr="00312C86">
        <w:t>, the following table prescribes fees for chargeable matters.</w:t>
      </w:r>
    </w:p>
    <w:p w:rsidR="00727845" w:rsidRPr="00312C86" w:rsidRDefault="00641AC0" w:rsidP="00727845">
      <w:pPr>
        <w:pStyle w:val="notetext"/>
      </w:pPr>
      <w:r w:rsidRPr="00312C86">
        <w:t>Note:</w:t>
      </w:r>
      <w:r w:rsidRPr="00312C86">
        <w:tab/>
        <w:t>See also regulation</w:t>
      </w:r>
      <w:r w:rsidR="00312C86" w:rsidRPr="00312C86">
        <w:t> </w:t>
      </w:r>
      <w:r w:rsidRPr="00312C86">
        <w:t>3</w:t>
      </w:r>
      <w:r w:rsidR="00727845" w:rsidRPr="00312C86">
        <w:t xml:space="preserve"> (</w:t>
      </w:r>
      <w:r w:rsidRPr="00312C86">
        <w:t>definitions</w:t>
      </w:r>
      <w:r w:rsidR="00727845" w:rsidRPr="00312C86">
        <w:t>).</w:t>
      </w:r>
    </w:p>
    <w:p w:rsidR="001D666A" w:rsidRPr="00312C86" w:rsidRDefault="001D666A" w:rsidP="001D666A">
      <w:pPr>
        <w:pStyle w:val="Tabletext"/>
      </w:pPr>
    </w:p>
    <w:tbl>
      <w:tblPr>
        <w:tblW w:w="4989" w:type="pct"/>
        <w:tblInd w:w="-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6675"/>
        <w:gridCol w:w="1120"/>
      </w:tblGrid>
      <w:tr w:rsidR="002714E1" w:rsidRPr="00312C86" w:rsidTr="007076F2">
        <w:trPr>
          <w:trHeight w:val="57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714E1" w:rsidRPr="00312C86" w:rsidRDefault="002714E1" w:rsidP="00727845">
            <w:pPr>
              <w:pStyle w:val="TableHeading"/>
            </w:pPr>
            <w:r w:rsidRPr="00312C86">
              <w:lastRenderedPageBreak/>
              <w:t>Specified fees</w:t>
            </w:r>
          </w:p>
        </w:tc>
      </w:tr>
      <w:tr w:rsidR="002714E1" w:rsidRPr="00312C86" w:rsidTr="00C14674">
        <w:trPr>
          <w:trHeight w:val="57"/>
          <w:tblHeader/>
        </w:trPr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Heading"/>
            </w:pPr>
            <w:r w:rsidRPr="00312C86">
              <w:t>Item</w:t>
            </w:r>
          </w:p>
        </w:tc>
        <w:tc>
          <w:tcPr>
            <w:tcW w:w="392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Heading"/>
            </w:pPr>
            <w:r w:rsidRPr="00312C86">
              <w:t>Column 1</w:t>
            </w:r>
            <w:r w:rsidRPr="00312C86">
              <w:br/>
              <w:t>Chargeable matter</w:t>
            </w:r>
          </w:p>
        </w:tc>
        <w:tc>
          <w:tcPr>
            <w:tcW w:w="65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Heading"/>
            </w:pPr>
            <w:r w:rsidRPr="00312C86">
              <w:t>Column 2</w:t>
            </w:r>
            <w:r w:rsidRPr="00312C86">
              <w:br/>
              <w:t>Fee</w:t>
            </w:r>
          </w:p>
        </w:tc>
      </w:tr>
      <w:tr w:rsidR="002714E1" w:rsidRPr="00312C86" w:rsidTr="007076F2">
        <w:trPr>
          <w:trHeight w:val="57"/>
          <w:tblHeader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714E1" w:rsidRPr="00312C86" w:rsidRDefault="002714E1" w:rsidP="00727845">
            <w:pPr>
              <w:pStyle w:val="TableHeading"/>
            </w:pPr>
            <w:r w:rsidRPr="00312C86">
              <w:t>Chargeable matters under the National Credit Act</w:t>
            </w:r>
          </w:p>
        </w:tc>
      </w:tr>
      <w:tr w:rsidR="002714E1" w:rsidRPr="00312C86" w:rsidTr="00C14674">
        <w:tc>
          <w:tcPr>
            <w:tcW w:w="420" w:type="pct"/>
            <w:tcBorders>
              <w:bottom w:val="nil"/>
            </w:tcBorders>
            <w:shd w:val="clear" w:color="auto" w:fill="auto"/>
          </w:tcPr>
          <w:p w:rsidR="002714E1" w:rsidRPr="00312C86" w:rsidRDefault="002714E1" w:rsidP="00DB2BAF">
            <w:pPr>
              <w:pStyle w:val="Tabletext"/>
            </w:pPr>
            <w:r w:rsidRPr="00312C86">
              <w:t>1</w:t>
            </w:r>
          </w:p>
        </w:tc>
        <w:tc>
          <w:tcPr>
            <w:tcW w:w="3922" w:type="pct"/>
            <w:tcBorders>
              <w:bottom w:val="nil"/>
            </w:tcBorders>
            <w:shd w:val="clear" w:color="auto" w:fill="auto"/>
          </w:tcPr>
          <w:p w:rsidR="002714E1" w:rsidRPr="00312C86" w:rsidRDefault="002714E1" w:rsidP="00DB2BAF">
            <w:pPr>
              <w:pStyle w:val="Tabletext"/>
            </w:pPr>
            <w:r w:rsidRPr="00312C86">
              <w:t>Lodgment of an application to be licensed under subsection</w:t>
            </w:r>
            <w:r w:rsidR="00312C86" w:rsidRPr="00312C86">
              <w:t> </w:t>
            </w:r>
            <w:r w:rsidRPr="00312C86">
              <w:t>36(1) of the National Credit Act:</w:t>
            </w:r>
          </w:p>
        </w:tc>
        <w:tc>
          <w:tcPr>
            <w:tcW w:w="658" w:type="pct"/>
            <w:tcBorders>
              <w:bottom w:val="nil"/>
            </w:tcBorders>
            <w:shd w:val="clear" w:color="auto" w:fill="auto"/>
          </w:tcPr>
          <w:p w:rsidR="002714E1" w:rsidRPr="00312C86" w:rsidRDefault="002714E1" w:rsidP="00DB2BAF">
            <w:pPr>
              <w:pStyle w:val="Tabletext"/>
            </w:pPr>
          </w:p>
        </w:tc>
      </w:tr>
      <w:tr w:rsidR="001D666A" w:rsidRPr="00312C86" w:rsidTr="00C14674">
        <w:tc>
          <w:tcPr>
            <w:tcW w:w="420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22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(a) if the applicant is an individual and the licence is not a credit provider licence or lessor licence</w:t>
            </w:r>
            <w:r w:rsidR="00477CDE" w:rsidRPr="00312C86">
              <w:t>;</w:t>
            </w:r>
            <w:r w:rsidR="001323F1" w:rsidRPr="00312C86">
              <w:t xml:space="preserve"> or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$1,798</w:t>
            </w:r>
          </w:p>
        </w:tc>
      </w:tr>
      <w:tr w:rsidR="001D666A" w:rsidRPr="00312C86" w:rsidTr="00C14674">
        <w:tc>
          <w:tcPr>
            <w:tcW w:w="420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22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(b) if the applicant is an individual and the licence is a credit provider licence or lessor licence</w:t>
            </w:r>
            <w:r w:rsidR="00477CDE" w:rsidRPr="00312C86">
              <w:t>;</w:t>
            </w:r>
            <w:r w:rsidR="001323F1" w:rsidRPr="00312C86">
              <w:t xml:space="preserve"> or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$3,468</w:t>
            </w:r>
          </w:p>
        </w:tc>
      </w:tr>
      <w:tr w:rsidR="001D666A" w:rsidRPr="00312C86" w:rsidTr="00C14674">
        <w:tc>
          <w:tcPr>
            <w:tcW w:w="420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22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(c) if the applicant is not an individual and the licence is not a credit provider licence or lessor licence</w:t>
            </w:r>
            <w:r w:rsidR="00477CDE" w:rsidRPr="00312C86">
              <w:t>;</w:t>
            </w:r>
            <w:r w:rsidR="001323F1" w:rsidRPr="00312C86">
              <w:t xml:space="preserve"> or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$2,055</w:t>
            </w:r>
          </w:p>
        </w:tc>
      </w:tr>
      <w:tr w:rsidR="001D666A" w:rsidRPr="00312C86" w:rsidTr="00C14674">
        <w:tc>
          <w:tcPr>
            <w:tcW w:w="420" w:type="pct"/>
            <w:tcBorders>
              <w:top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22" w:type="pct"/>
            <w:tcBorders>
              <w:top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(d) if the applicant is not an individual and the licence is a credit provider licence or lessor licence</w:t>
            </w:r>
          </w:p>
        </w:tc>
        <w:tc>
          <w:tcPr>
            <w:tcW w:w="658" w:type="pct"/>
            <w:tcBorders>
              <w:top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$4,624</w:t>
            </w:r>
          </w:p>
        </w:tc>
      </w:tr>
      <w:tr w:rsidR="005C0F08" w:rsidRPr="00312C86" w:rsidTr="00C14674">
        <w:tc>
          <w:tcPr>
            <w:tcW w:w="420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2</w:t>
            </w:r>
          </w:p>
        </w:tc>
        <w:tc>
          <w:tcPr>
            <w:tcW w:w="3922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Lodgment of information or an audit report under subsection</w:t>
            </w:r>
            <w:r w:rsidR="00312C86" w:rsidRPr="00312C86">
              <w:t> </w:t>
            </w:r>
            <w:r w:rsidRPr="00312C86">
              <w:t>37(4) of the National Credit Act</w:t>
            </w:r>
          </w:p>
        </w:tc>
        <w:tc>
          <w:tcPr>
            <w:tcW w:w="658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no fee</w:t>
            </w:r>
          </w:p>
        </w:tc>
      </w:tr>
      <w:tr w:rsidR="005C0F08" w:rsidRPr="00312C86" w:rsidTr="00C14674">
        <w:tc>
          <w:tcPr>
            <w:tcW w:w="420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3</w:t>
            </w:r>
          </w:p>
        </w:tc>
        <w:tc>
          <w:tcPr>
            <w:tcW w:w="3922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Lodgement of an application for an extension of time under subsection</w:t>
            </w:r>
            <w:r w:rsidR="00312C86" w:rsidRPr="00312C86">
              <w:t> </w:t>
            </w:r>
            <w:r w:rsidRPr="00312C86">
              <w:t>37(5), 49(5), 220(2) or 265(5) of the National Credit Act</w:t>
            </w:r>
          </w:p>
        </w:tc>
        <w:tc>
          <w:tcPr>
            <w:tcW w:w="658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Tr="00C14674">
        <w:tc>
          <w:tcPr>
            <w:tcW w:w="420" w:type="pct"/>
            <w:tcBorders>
              <w:bottom w:val="nil"/>
            </w:tcBorders>
            <w:shd w:val="clear" w:color="auto" w:fill="auto"/>
          </w:tcPr>
          <w:p w:rsidR="001D666A" w:rsidRPr="00312C86" w:rsidRDefault="005C0F08" w:rsidP="00727845">
            <w:pPr>
              <w:pStyle w:val="Tabletext"/>
            </w:pPr>
            <w:r w:rsidRPr="00312C86">
              <w:t>4</w:t>
            </w:r>
          </w:p>
        </w:tc>
        <w:tc>
          <w:tcPr>
            <w:tcW w:w="3922" w:type="pct"/>
            <w:tcBorders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an application to have conditions imposed, varied or revoked under paragraph</w:t>
            </w:r>
            <w:r w:rsidR="00312C86" w:rsidRPr="00312C86">
              <w:t> </w:t>
            </w:r>
            <w:r w:rsidRPr="00312C86">
              <w:t>45(2)(b) of the National Credit Act:</w:t>
            </w:r>
          </w:p>
        </w:tc>
        <w:tc>
          <w:tcPr>
            <w:tcW w:w="658" w:type="pct"/>
            <w:tcBorders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</w:tr>
      <w:tr w:rsidR="001D666A" w:rsidRPr="00312C86" w:rsidTr="00C14674">
        <w:tc>
          <w:tcPr>
            <w:tcW w:w="420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22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(a) if the licensee is an individual and the licence is not a credit provider licence or lessor licence</w:t>
            </w:r>
            <w:r w:rsidR="00477CDE" w:rsidRPr="00312C86">
              <w:t>;</w:t>
            </w:r>
            <w:r w:rsidR="001323F1" w:rsidRPr="00312C86">
              <w:t xml:space="preserve"> or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31D6E">
            <w:pPr>
              <w:pStyle w:val="Tabletext"/>
            </w:pPr>
            <w:r w:rsidRPr="00312C86">
              <w:t>$</w:t>
            </w:r>
            <w:r w:rsidR="00731D6E" w:rsidRPr="00312C86">
              <w:t>2,183</w:t>
            </w:r>
          </w:p>
        </w:tc>
      </w:tr>
      <w:tr w:rsidR="001D666A" w:rsidRPr="00312C86" w:rsidTr="00C14674">
        <w:tc>
          <w:tcPr>
            <w:tcW w:w="420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22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(b) if the licensee is an individual and the licence is a credit provider licence or lessor licence</w:t>
            </w:r>
            <w:r w:rsidR="00477CDE" w:rsidRPr="00312C86">
              <w:t>;</w:t>
            </w:r>
            <w:r w:rsidR="001323F1" w:rsidRPr="00312C86">
              <w:t xml:space="preserve"> or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731D6E" w:rsidP="00727845">
            <w:pPr>
              <w:pStyle w:val="Tabletext"/>
            </w:pPr>
            <w:r w:rsidRPr="00312C86">
              <w:t>$1,156</w:t>
            </w:r>
          </w:p>
        </w:tc>
      </w:tr>
      <w:tr w:rsidR="001D666A" w:rsidRPr="00312C86" w:rsidTr="00C14674">
        <w:tc>
          <w:tcPr>
            <w:tcW w:w="420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22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(c) if the licensee is not an individual and the licence is not a credit provider licence or lessor licence</w:t>
            </w:r>
            <w:r w:rsidR="00477CDE" w:rsidRPr="00312C86">
              <w:t>;</w:t>
            </w:r>
            <w:r w:rsidR="001323F1" w:rsidRPr="00312C86">
              <w:t xml:space="preserve"> or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</w:tcPr>
          <w:p w:rsidR="001D666A" w:rsidRPr="00312C86" w:rsidRDefault="001D666A" w:rsidP="00731D6E">
            <w:pPr>
              <w:pStyle w:val="Tabletext"/>
            </w:pPr>
            <w:r w:rsidRPr="00312C86">
              <w:t>$</w:t>
            </w:r>
            <w:r w:rsidR="00731D6E" w:rsidRPr="00312C86">
              <w:t>2,826</w:t>
            </w:r>
          </w:p>
        </w:tc>
      </w:tr>
      <w:tr w:rsidR="001D666A" w:rsidRPr="00312C86" w:rsidTr="00C14674">
        <w:tc>
          <w:tcPr>
            <w:tcW w:w="420" w:type="pct"/>
            <w:tcBorders>
              <w:top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  <w:tc>
          <w:tcPr>
            <w:tcW w:w="3922" w:type="pct"/>
            <w:tcBorders>
              <w:top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a"/>
            </w:pPr>
            <w:r w:rsidRPr="00312C86">
              <w:t>(d) if the licensee is not an individual and the licence is a credit provider licence or lessor licence</w:t>
            </w:r>
          </w:p>
        </w:tc>
        <w:tc>
          <w:tcPr>
            <w:tcW w:w="658" w:type="pct"/>
            <w:tcBorders>
              <w:top w:val="nil"/>
            </w:tcBorders>
            <w:shd w:val="clear" w:color="auto" w:fill="auto"/>
          </w:tcPr>
          <w:p w:rsidR="001D666A" w:rsidRPr="00312C86" w:rsidRDefault="001D666A" w:rsidP="00731D6E">
            <w:pPr>
              <w:pStyle w:val="Tabletext"/>
            </w:pPr>
            <w:r w:rsidRPr="00312C86">
              <w:t>$</w:t>
            </w:r>
            <w:r w:rsidR="00731D6E" w:rsidRPr="00312C86">
              <w:t>1,284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5C0F08" w:rsidP="00727845">
            <w:pPr>
              <w:pStyle w:val="Tabletext"/>
            </w:pPr>
            <w:r w:rsidRPr="00312C86">
              <w:t>5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an application for ASIC to approve arrangements under paragraph</w:t>
            </w:r>
            <w:r w:rsidR="00312C86" w:rsidRPr="00312C86">
              <w:t> </w:t>
            </w:r>
            <w:r w:rsidRPr="00312C86">
              <w:t>48(2)(b) of the National Credit Act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$1,540</w:t>
            </w:r>
          </w:p>
        </w:tc>
      </w:tr>
      <w:tr w:rsidR="005C0F08" w:rsidRPr="00312C86" w:rsidTr="00C14674">
        <w:tc>
          <w:tcPr>
            <w:tcW w:w="420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6</w:t>
            </w:r>
          </w:p>
        </w:tc>
        <w:tc>
          <w:tcPr>
            <w:tcW w:w="3922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Lodgment of a statement under subsection</w:t>
            </w:r>
            <w:r w:rsidR="00312C86" w:rsidRPr="00312C86">
              <w:t> </w:t>
            </w:r>
            <w:r w:rsidRPr="00312C86">
              <w:t>49(1) of the National Credit Act</w:t>
            </w:r>
          </w:p>
        </w:tc>
        <w:tc>
          <w:tcPr>
            <w:tcW w:w="658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no fee</w:t>
            </w:r>
          </w:p>
        </w:tc>
      </w:tr>
      <w:tr w:rsidR="005C0F08" w:rsidRPr="00312C86" w:rsidTr="00C14674">
        <w:tc>
          <w:tcPr>
            <w:tcW w:w="420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7</w:t>
            </w:r>
          </w:p>
        </w:tc>
        <w:tc>
          <w:tcPr>
            <w:tcW w:w="3922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Lodgement of an application for an extension of time under subsection</w:t>
            </w:r>
            <w:r w:rsidR="00312C86" w:rsidRPr="00312C86">
              <w:t> </w:t>
            </w:r>
            <w:r w:rsidRPr="00312C86">
              <w:t>53(1) or 101(3) of the National Credit Act</w:t>
            </w:r>
          </w:p>
        </w:tc>
        <w:tc>
          <w:tcPr>
            <w:tcW w:w="658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$1,155</w:t>
            </w:r>
          </w:p>
        </w:tc>
      </w:tr>
      <w:tr w:rsidR="005C0F08" w:rsidRPr="00312C86" w:rsidTr="00C14674">
        <w:tc>
          <w:tcPr>
            <w:tcW w:w="420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8</w:t>
            </w:r>
          </w:p>
        </w:tc>
        <w:tc>
          <w:tcPr>
            <w:tcW w:w="3922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Lodgment of an annual compliance certificate under subsection</w:t>
            </w:r>
            <w:r w:rsidR="00312C86" w:rsidRPr="00312C86">
              <w:t> </w:t>
            </w:r>
            <w:r w:rsidRPr="00312C86">
              <w:t>53(1) of the National Credit Act</w:t>
            </w:r>
          </w:p>
        </w:tc>
        <w:tc>
          <w:tcPr>
            <w:tcW w:w="658" w:type="pct"/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5C0F08" w:rsidP="00727845">
            <w:pPr>
              <w:pStyle w:val="Tabletext"/>
            </w:pPr>
            <w:r w:rsidRPr="00312C86">
              <w:t>9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under paragraph</w:t>
            </w:r>
            <w:r w:rsidR="00312C86" w:rsidRPr="00312C86">
              <w:t> </w:t>
            </w:r>
            <w:r w:rsidRPr="00312C86">
              <w:t>54(1)(a) of the National Credit Act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5C0F08" w:rsidP="00727845">
            <w:pPr>
              <w:pStyle w:val="Tabletext"/>
            </w:pPr>
            <w:r w:rsidRPr="00312C86">
              <w:t>10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an application for the variation or cancellation of a banning order under paragraph</w:t>
            </w:r>
            <w:r w:rsidR="00312C86" w:rsidRPr="00312C86">
              <w:t> </w:t>
            </w:r>
            <w:r w:rsidRPr="00312C86">
              <w:t>83(2)(b) of the National Credit Act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$115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5C0F08" w:rsidP="00727845">
            <w:pPr>
              <w:pStyle w:val="Tabletext"/>
            </w:pPr>
            <w:r w:rsidRPr="00312C86">
              <w:t>11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a trust account statement and trust account audit report under subsections</w:t>
            </w:r>
            <w:r w:rsidR="00312C86" w:rsidRPr="00312C86">
              <w:t> </w:t>
            </w:r>
            <w:r w:rsidRPr="00312C86">
              <w:t>100(1) and (2) of the National Credit Act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5C0F08" w:rsidP="00727845">
            <w:pPr>
              <w:pStyle w:val="Tabletext"/>
            </w:pPr>
            <w:r w:rsidRPr="00312C86">
              <w:t>12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a report under section</w:t>
            </w:r>
            <w:r w:rsidR="00312C86" w:rsidRPr="00312C86">
              <w:t> </w:t>
            </w:r>
            <w:r w:rsidRPr="00312C86">
              <w:t>104 of the National Credit Act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5C0F08" w:rsidP="00727845">
            <w:pPr>
              <w:pStyle w:val="Tabletext"/>
            </w:pPr>
            <w:r w:rsidRPr="00312C86">
              <w:t>13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an application for relief under section</w:t>
            </w:r>
            <w:r w:rsidR="00312C86" w:rsidRPr="00312C86">
              <w:t> </w:t>
            </w:r>
            <w:r w:rsidRPr="00312C86">
              <w:t>109 of the National Credit Act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$3,487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5C0F08" w:rsidP="00727845">
            <w:pPr>
              <w:pStyle w:val="Tabletext"/>
            </w:pPr>
            <w:r w:rsidRPr="00312C86">
              <w:t>14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an application for relief under section</w:t>
            </w:r>
            <w:r w:rsidR="00312C86" w:rsidRPr="00312C86">
              <w:t> </w:t>
            </w:r>
            <w:r w:rsidRPr="00312C86">
              <w:t>163 of the National Credit Act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$3,487</w:t>
            </w:r>
          </w:p>
        </w:tc>
      </w:tr>
      <w:tr w:rsidR="002714E1" w:rsidRPr="00312C86" w:rsidTr="007076F2">
        <w:tc>
          <w:tcPr>
            <w:tcW w:w="5000" w:type="pct"/>
            <w:gridSpan w:val="3"/>
            <w:shd w:val="clear" w:color="auto" w:fill="auto"/>
          </w:tcPr>
          <w:p w:rsidR="002714E1" w:rsidRPr="00312C86" w:rsidRDefault="002714E1" w:rsidP="002714E1">
            <w:pPr>
              <w:pStyle w:val="TableHeading"/>
            </w:pPr>
            <w:r w:rsidRPr="00312C86">
              <w:t xml:space="preserve">Chargeable matters under </w:t>
            </w:r>
            <w:r w:rsidR="00DE3A53" w:rsidRPr="00312C86">
              <w:t>Schedule</w:t>
            </w:r>
            <w:r w:rsidR="00312C86" w:rsidRPr="00312C86">
              <w:t> </w:t>
            </w:r>
            <w:r w:rsidR="00DE3A53" w:rsidRPr="00312C86">
              <w:t xml:space="preserve">1 to </w:t>
            </w:r>
            <w:r w:rsidRPr="00312C86">
              <w:t>the National Credit Act (the National Credit Code)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15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B77BCC">
            <w:pPr>
              <w:pStyle w:val="Tabletext"/>
            </w:pPr>
            <w:r w:rsidRPr="00312C86">
              <w:t>Lodgment of an application for relief under subsection</w:t>
            </w:r>
            <w:r w:rsidR="00312C86" w:rsidRPr="00312C86">
              <w:t> </w:t>
            </w:r>
            <w:r w:rsidRPr="00312C86">
              <w:t xml:space="preserve">6(14) of the National Credit </w:t>
            </w:r>
            <w:r w:rsidR="00B77BCC" w:rsidRPr="00312C86">
              <w:t>Code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$3,487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16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B77BCC">
            <w:pPr>
              <w:pStyle w:val="Tabletext"/>
            </w:pPr>
            <w:r w:rsidRPr="00312C86">
              <w:t>Lodgment of an application for relief under subsection</w:t>
            </w:r>
            <w:r w:rsidR="00312C86" w:rsidRPr="00312C86">
              <w:t> </w:t>
            </w:r>
            <w:r w:rsidRPr="00312C86">
              <w:t xml:space="preserve">6(17) of </w:t>
            </w:r>
            <w:r w:rsidR="00B77BCC" w:rsidRPr="00312C86">
              <w:t xml:space="preserve">the National </w:t>
            </w:r>
            <w:r w:rsidR="00B77BCC" w:rsidRPr="00312C86">
              <w:lastRenderedPageBreak/>
              <w:t>Credit Code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lastRenderedPageBreak/>
              <w:t>$3,487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lastRenderedPageBreak/>
              <w:t>17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B77BCC">
            <w:pPr>
              <w:pStyle w:val="Tabletext"/>
            </w:pPr>
            <w:r w:rsidRPr="00312C86">
              <w:t>Lodgment of an application for relief under subsection</w:t>
            </w:r>
            <w:r w:rsidR="00312C86" w:rsidRPr="00312C86">
              <w:t> </w:t>
            </w:r>
            <w:r w:rsidRPr="00312C86">
              <w:t xml:space="preserve">171(4) of </w:t>
            </w:r>
            <w:r w:rsidR="00B77BCC" w:rsidRPr="00312C86">
              <w:t>the National Credit Code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$3,487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18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B77BCC">
            <w:pPr>
              <w:pStyle w:val="Tabletext"/>
            </w:pPr>
            <w:r w:rsidRPr="00312C86">
              <w:t>Lodgment of an application for relief under subsection</w:t>
            </w:r>
            <w:r w:rsidR="00312C86" w:rsidRPr="00312C86">
              <w:t> </w:t>
            </w:r>
            <w:r w:rsidRPr="00312C86">
              <w:t>171(6) of the National Credit Code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$3,487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19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B77BCC">
            <w:pPr>
              <w:pStyle w:val="Tabletext"/>
            </w:pPr>
            <w:r w:rsidRPr="00312C86">
              <w:t>Lodgment of an application for relief under subsection</w:t>
            </w:r>
            <w:r w:rsidR="00312C86" w:rsidRPr="00312C86">
              <w:t> </w:t>
            </w:r>
            <w:r w:rsidRPr="00312C86">
              <w:t xml:space="preserve">203A(1) of </w:t>
            </w:r>
            <w:r w:rsidR="00B77BCC" w:rsidRPr="00312C86">
              <w:t>the National Credit Code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$3,487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20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B77BCC">
            <w:pPr>
              <w:pStyle w:val="Tabletext"/>
            </w:pPr>
            <w:r w:rsidRPr="00312C86">
              <w:t>Lodgment of an application for relief under subsection</w:t>
            </w:r>
            <w:r w:rsidR="00312C86" w:rsidRPr="00312C86">
              <w:t> </w:t>
            </w:r>
            <w:r w:rsidRPr="00312C86">
              <w:t xml:space="preserve">203A(3) of </w:t>
            </w:r>
            <w:r w:rsidR="00B77BCC" w:rsidRPr="00312C86">
              <w:t>the National Credit Code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$3,487</w:t>
            </w:r>
          </w:p>
        </w:tc>
      </w:tr>
      <w:tr w:rsidR="002714E1" w:rsidRPr="00312C86" w:rsidTr="007076F2">
        <w:tc>
          <w:tcPr>
            <w:tcW w:w="5000" w:type="pct"/>
            <w:gridSpan w:val="3"/>
            <w:shd w:val="clear" w:color="auto" w:fill="auto"/>
          </w:tcPr>
          <w:p w:rsidR="002714E1" w:rsidRPr="00312C86" w:rsidRDefault="002714E1" w:rsidP="002714E1">
            <w:pPr>
              <w:pStyle w:val="TableHeading"/>
            </w:pPr>
            <w:r w:rsidRPr="00312C86">
              <w:t>Chargeable matters under the National Consumer Credit Protection (Transitional and Consequential Provisions) Act 2009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21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an application to be registered under subitem</w:t>
            </w:r>
            <w:r w:rsidR="00312C86" w:rsidRPr="00312C86">
              <w:t> </w:t>
            </w:r>
            <w:r w:rsidRPr="00312C86">
              <w:t>11(1) of Schedule</w:t>
            </w:r>
            <w:r w:rsidR="00312C86" w:rsidRPr="00312C86">
              <w:t> </w:t>
            </w:r>
            <w:r w:rsidRPr="00312C86">
              <w:t>2 to the Transitional Act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22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an application to have conditions imposed, varied or revoked under paragraph</w:t>
            </w:r>
            <w:r w:rsidR="00312C86" w:rsidRPr="00312C86">
              <w:t> </w:t>
            </w:r>
            <w:r w:rsidRPr="00312C86">
              <w:t>14(2)(b) of Schedule</w:t>
            </w:r>
            <w:r w:rsidR="00312C86" w:rsidRPr="00312C86">
              <w:t> </w:t>
            </w:r>
            <w:r w:rsidRPr="00312C86">
              <w:t>2 to the Tra</w:t>
            </w:r>
            <w:r w:rsidR="002028D3" w:rsidRPr="00312C86">
              <w:t>nsitional Act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$115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23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a statement under subitem</w:t>
            </w:r>
            <w:r w:rsidR="00312C86" w:rsidRPr="00312C86">
              <w:t> </w:t>
            </w:r>
            <w:r w:rsidRPr="00312C86">
              <w:t>17(1) of Schedule</w:t>
            </w:r>
            <w:r w:rsidR="00312C86" w:rsidRPr="00312C86">
              <w:t> </w:t>
            </w:r>
            <w:r w:rsidRPr="00312C86">
              <w:t>2 to the Transitional Act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24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information under subitem</w:t>
            </w:r>
            <w:r w:rsidR="00312C86" w:rsidRPr="00312C86">
              <w:t> </w:t>
            </w:r>
            <w:r w:rsidRPr="00312C86">
              <w:t>18(1) of Schedule</w:t>
            </w:r>
            <w:r w:rsidR="00312C86" w:rsidRPr="00312C86">
              <w:t> </w:t>
            </w:r>
            <w:r w:rsidRPr="00312C86">
              <w:t>2 to the Transitional Act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25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an application to suspend or cancel registration under paragraph</w:t>
            </w:r>
            <w:r w:rsidR="00312C86" w:rsidRPr="00312C86">
              <w:t> </w:t>
            </w:r>
            <w:r w:rsidRPr="00312C86">
              <w:t>23(1)(a) of Schedule</w:t>
            </w:r>
            <w:r w:rsidR="00312C86" w:rsidRPr="00312C86">
              <w:t> </w:t>
            </w:r>
            <w:r w:rsidRPr="00312C86">
              <w:t>2 to the Transitional Act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26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an application for relief under item</w:t>
            </w:r>
            <w:r w:rsidR="00312C86" w:rsidRPr="00312C86">
              <w:t> </w:t>
            </w:r>
            <w:r w:rsidRPr="00312C86">
              <w:t>41 of Schedule</w:t>
            </w:r>
            <w:r w:rsidR="00312C86" w:rsidRPr="00312C86">
              <w:t> </w:t>
            </w:r>
            <w:r w:rsidRPr="00312C86">
              <w:t>2 to the Transitional Act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$3,487</w:t>
            </w:r>
          </w:p>
        </w:tc>
      </w:tr>
      <w:tr w:rsidR="000F6B62" w:rsidRPr="00312C86" w:rsidTr="007076F2">
        <w:tc>
          <w:tcPr>
            <w:tcW w:w="5000" w:type="pct"/>
            <w:gridSpan w:val="3"/>
            <w:shd w:val="clear" w:color="auto" w:fill="auto"/>
          </w:tcPr>
          <w:p w:rsidR="000F6B62" w:rsidRPr="00312C86" w:rsidRDefault="000F6B62" w:rsidP="000F6B62">
            <w:pPr>
              <w:pStyle w:val="TableHeading"/>
            </w:pPr>
            <w:r w:rsidRPr="00312C86">
              <w:t>Chargeable matters under the National Consumer Credit Protection Regulations</w:t>
            </w:r>
            <w:r w:rsidR="00312C86" w:rsidRPr="00312C86">
              <w:t> </w:t>
            </w:r>
            <w:r w:rsidRPr="00312C86">
              <w:t>2010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27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particulars of a change under subregulation</w:t>
            </w:r>
            <w:r w:rsidR="00312C86" w:rsidRPr="00312C86">
              <w:t> </w:t>
            </w:r>
            <w:r w:rsidRPr="00312C86">
              <w:t>9(2) of the National Credit Regulations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28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particulars of a change under subregulation</w:t>
            </w:r>
            <w:r w:rsidR="00312C86" w:rsidRPr="00312C86">
              <w:t> </w:t>
            </w:r>
            <w:r w:rsidRPr="00312C86">
              <w:t>9(3) of the National Credit Regulations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Tr="00C14674">
        <w:tc>
          <w:tcPr>
            <w:tcW w:w="420" w:type="pct"/>
            <w:shd w:val="clear" w:color="auto" w:fill="auto"/>
          </w:tcPr>
          <w:p w:rsidR="001D666A" w:rsidRPr="00312C86" w:rsidRDefault="003B24A2" w:rsidP="003B24A2">
            <w:pPr>
              <w:pStyle w:val="Tabletext"/>
            </w:pPr>
            <w:r w:rsidRPr="00312C86">
              <w:t>29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particulars of a change in control of a licensee under subregulation</w:t>
            </w:r>
            <w:r w:rsidR="00312C86" w:rsidRPr="00312C86">
              <w:t> </w:t>
            </w:r>
            <w:r w:rsidRPr="00312C86">
              <w:t>9(10) of the National Credit Regulations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Del="0068326D" w:rsidTr="00C14674">
        <w:tc>
          <w:tcPr>
            <w:tcW w:w="420" w:type="pct"/>
            <w:shd w:val="clear" w:color="auto" w:fill="auto"/>
          </w:tcPr>
          <w:p w:rsidR="001D666A" w:rsidRPr="00312C86" w:rsidDel="0068326D" w:rsidRDefault="005C0F08" w:rsidP="00727845">
            <w:pPr>
              <w:pStyle w:val="Tabletext"/>
            </w:pPr>
            <w:r w:rsidRPr="00312C86">
              <w:t>30</w:t>
            </w:r>
          </w:p>
        </w:tc>
        <w:tc>
          <w:tcPr>
            <w:tcW w:w="3922" w:type="pct"/>
            <w:shd w:val="clear" w:color="auto" w:fill="auto"/>
          </w:tcPr>
          <w:p w:rsidR="001D666A" w:rsidRPr="00312C86" w:rsidDel="0068326D" w:rsidRDefault="001D666A" w:rsidP="00727845">
            <w:pPr>
              <w:pStyle w:val="Tabletext"/>
            </w:pPr>
            <w:r w:rsidRPr="00312C86">
              <w:t>Lodgment of notification of appointment under subregulation</w:t>
            </w:r>
            <w:r w:rsidR="00312C86" w:rsidRPr="00312C86">
              <w:t> </w:t>
            </w:r>
            <w:r w:rsidRPr="00312C86">
              <w:t>19(3) of the National Credit Regulations</w:t>
            </w:r>
          </w:p>
        </w:tc>
        <w:tc>
          <w:tcPr>
            <w:tcW w:w="658" w:type="pct"/>
            <w:shd w:val="clear" w:color="auto" w:fill="auto"/>
          </w:tcPr>
          <w:p w:rsidR="001D666A" w:rsidRPr="00312C86" w:rsidDel="0068326D" w:rsidRDefault="001D666A" w:rsidP="00727845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Del="0068326D" w:rsidTr="00C14674">
        <w:tc>
          <w:tcPr>
            <w:tcW w:w="420" w:type="pct"/>
            <w:tcBorders>
              <w:bottom w:val="single" w:sz="2" w:space="0" w:color="auto"/>
            </w:tcBorders>
            <w:shd w:val="clear" w:color="auto" w:fill="auto"/>
          </w:tcPr>
          <w:p w:rsidR="001D666A" w:rsidRPr="00312C86" w:rsidDel="0068326D" w:rsidRDefault="005C0F08" w:rsidP="003B24A2">
            <w:pPr>
              <w:pStyle w:val="Tabletext"/>
            </w:pPr>
            <w:r w:rsidRPr="00312C86">
              <w:t>31</w:t>
            </w:r>
          </w:p>
        </w:tc>
        <w:tc>
          <w:tcPr>
            <w:tcW w:w="3922" w:type="pct"/>
            <w:tcBorders>
              <w:bottom w:val="single" w:sz="2" w:space="0" w:color="auto"/>
            </w:tcBorders>
            <w:shd w:val="clear" w:color="auto" w:fill="auto"/>
          </w:tcPr>
          <w:p w:rsidR="001D666A" w:rsidRPr="00312C86" w:rsidDel="0068326D" w:rsidRDefault="001D666A" w:rsidP="00727845">
            <w:pPr>
              <w:pStyle w:val="Tabletext"/>
            </w:pPr>
            <w:r w:rsidRPr="00312C86">
              <w:t>Lodgment of notification of appointment under subregulation</w:t>
            </w:r>
            <w:r w:rsidR="00312C86" w:rsidRPr="00312C86">
              <w:t> </w:t>
            </w:r>
            <w:r w:rsidRPr="00312C86">
              <w:t>19(5) of the National Credit Regulations</w:t>
            </w:r>
          </w:p>
        </w:tc>
        <w:tc>
          <w:tcPr>
            <w:tcW w:w="658" w:type="pct"/>
            <w:tcBorders>
              <w:bottom w:val="single" w:sz="2" w:space="0" w:color="auto"/>
            </w:tcBorders>
            <w:shd w:val="clear" w:color="auto" w:fill="auto"/>
          </w:tcPr>
          <w:p w:rsidR="001D666A" w:rsidRPr="00312C86" w:rsidDel="0068326D" w:rsidRDefault="001D666A" w:rsidP="00727845">
            <w:pPr>
              <w:pStyle w:val="Tabletext"/>
            </w:pPr>
            <w:r w:rsidRPr="00312C86">
              <w:t>no fee</w:t>
            </w:r>
          </w:p>
        </w:tc>
      </w:tr>
      <w:tr w:rsidR="005C0F08" w:rsidRPr="00312C86" w:rsidDel="0068326D" w:rsidTr="00C14674">
        <w:tc>
          <w:tcPr>
            <w:tcW w:w="420" w:type="pct"/>
            <w:tcBorders>
              <w:bottom w:val="single" w:sz="2" w:space="0" w:color="auto"/>
            </w:tcBorders>
            <w:shd w:val="clear" w:color="auto" w:fill="auto"/>
          </w:tcPr>
          <w:p w:rsidR="005C0F08" w:rsidRPr="00312C86" w:rsidDel="0068326D" w:rsidRDefault="005C0F08" w:rsidP="001323F1">
            <w:pPr>
              <w:pStyle w:val="Tabletext"/>
            </w:pPr>
            <w:r w:rsidRPr="00312C86">
              <w:t>32</w:t>
            </w:r>
          </w:p>
        </w:tc>
        <w:tc>
          <w:tcPr>
            <w:tcW w:w="3922" w:type="pct"/>
            <w:tcBorders>
              <w:bottom w:val="single" w:sz="2" w:space="0" w:color="auto"/>
            </w:tcBorders>
            <w:shd w:val="clear" w:color="auto" w:fill="auto"/>
          </w:tcPr>
          <w:p w:rsidR="005C0F08" w:rsidRPr="00312C86" w:rsidRDefault="005C0F08" w:rsidP="001323F1">
            <w:pPr>
              <w:pStyle w:val="Tabletext"/>
            </w:pPr>
            <w:r w:rsidRPr="00312C86">
              <w:t>Lodgment of information under a provision of:</w:t>
            </w:r>
          </w:p>
          <w:p w:rsidR="005C0F08" w:rsidRPr="00312C86" w:rsidRDefault="005C0F08" w:rsidP="001323F1">
            <w:pPr>
              <w:pStyle w:val="Tablea"/>
            </w:pPr>
            <w:r w:rsidRPr="00312C86">
              <w:t>(a) the National Credit Regulations; or</w:t>
            </w:r>
          </w:p>
          <w:p w:rsidR="005C0F08" w:rsidRPr="00312C86" w:rsidRDefault="005C0F08" w:rsidP="001323F1">
            <w:pPr>
              <w:pStyle w:val="Tablea"/>
            </w:pPr>
            <w:r w:rsidRPr="00312C86">
              <w:t>(b) the National Credit Act as modified by a provision of the National Credit Regulations;</w:t>
            </w:r>
          </w:p>
          <w:p w:rsidR="005C0F08" w:rsidRPr="00312C86" w:rsidDel="0068326D" w:rsidRDefault="005C0F08" w:rsidP="001323F1">
            <w:pPr>
              <w:pStyle w:val="Tabletext"/>
            </w:pPr>
            <w:r w:rsidRPr="00312C86">
              <w:t>that relates to an unlicensed carried over lender</w:t>
            </w:r>
          </w:p>
        </w:tc>
        <w:tc>
          <w:tcPr>
            <w:tcW w:w="658" w:type="pct"/>
            <w:tcBorders>
              <w:bottom w:val="single" w:sz="2" w:space="0" w:color="auto"/>
            </w:tcBorders>
            <w:shd w:val="clear" w:color="auto" w:fill="auto"/>
          </w:tcPr>
          <w:p w:rsidR="005C0F08" w:rsidRPr="00312C86" w:rsidDel="0068326D" w:rsidRDefault="005C0F08" w:rsidP="001323F1">
            <w:pPr>
              <w:pStyle w:val="Tabletext"/>
            </w:pPr>
            <w:r w:rsidRPr="00312C86">
              <w:t>no fee</w:t>
            </w:r>
          </w:p>
        </w:tc>
      </w:tr>
      <w:tr w:rsidR="001D666A" w:rsidRPr="00312C86" w:rsidDel="0068326D" w:rsidTr="00C14674">
        <w:tc>
          <w:tcPr>
            <w:tcW w:w="42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D666A" w:rsidRPr="00312C86" w:rsidDel="0068326D" w:rsidRDefault="003B24A2" w:rsidP="00727845">
            <w:pPr>
              <w:pStyle w:val="Tabletext"/>
            </w:pPr>
            <w:r w:rsidRPr="00312C86">
              <w:t>33</w:t>
            </w:r>
          </w:p>
        </w:tc>
        <w:tc>
          <w:tcPr>
            <w:tcW w:w="392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Lodgment of information under a provision of:</w:t>
            </w:r>
          </w:p>
          <w:p w:rsidR="001D666A" w:rsidRPr="00312C86" w:rsidRDefault="001D666A" w:rsidP="00727845">
            <w:pPr>
              <w:pStyle w:val="Tablea"/>
            </w:pPr>
            <w:r w:rsidRPr="00312C86">
              <w:t>(a) the National Credit Regulations; or</w:t>
            </w:r>
          </w:p>
          <w:p w:rsidR="001D666A" w:rsidRPr="00312C86" w:rsidRDefault="001D666A" w:rsidP="00727845">
            <w:pPr>
              <w:pStyle w:val="Tablea"/>
            </w:pPr>
            <w:r w:rsidRPr="00312C86">
              <w:t>(b) the National Credit Act as modified by a provision of the National Credit Regulations;</w:t>
            </w:r>
          </w:p>
          <w:p w:rsidR="001D666A" w:rsidRPr="00312C86" w:rsidDel="0068326D" w:rsidRDefault="001D666A" w:rsidP="00727845">
            <w:pPr>
              <w:pStyle w:val="Tabletext"/>
            </w:pPr>
            <w:r w:rsidRPr="00312C86">
              <w:t>that relates to a special purpose funding entity</w:t>
            </w:r>
          </w:p>
        </w:tc>
        <w:tc>
          <w:tcPr>
            <w:tcW w:w="65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D666A" w:rsidRPr="00312C86" w:rsidDel="0068326D" w:rsidRDefault="001D666A" w:rsidP="00727845">
            <w:pPr>
              <w:pStyle w:val="Tabletext"/>
            </w:pPr>
            <w:r w:rsidRPr="00312C86">
              <w:t>no fee</w:t>
            </w:r>
          </w:p>
        </w:tc>
      </w:tr>
    </w:tbl>
    <w:p w:rsidR="00641AC0" w:rsidRPr="00312C86" w:rsidRDefault="00641AC0" w:rsidP="00641AC0">
      <w:pPr>
        <w:pStyle w:val="ActHead2"/>
      </w:pPr>
      <w:bookmarkStart w:id="21" w:name="_Toc517938664"/>
      <w:r w:rsidRPr="00312C86">
        <w:rPr>
          <w:rStyle w:val="CharPartNo"/>
        </w:rPr>
        <w:lastRenderedPageBreak/>
        <w:t>Part</w:t>
      </w:r>
      <w:r w:rsidR="00312C86" w:rsidRPr="00312C86">
        <w:rPr>
          <w:rStyle w:val="CharPartNo"/>
        </w:rPr>
        <w:t> </w:t>
      </w:r>
      <w:r w:rsidRPr="00312C86">
        <w:rPr>
          <w:rStyle w:val="CharPartNo"/>
        </w:rPr>
        <w:t>2</w:t>
      </w:r>
      <w:r w:rsidR="00037683" w:rsidRPr="00312C86">
        <w:t>—</w:t>
      </w:r>
      <w:r w:rsidRPr="00312C86">
        <w:rPr>
          <w:rStyle w:val="CharPartText"/>
        </w:rPr>
        <w:t>Registry fees</w:t>
      </w:r>
      <w:bookmarkEnd w:id="21"/>
    </w:p>
    <w:p w:rsidR="00641AC0" w:rsidRPr="00312C86" w:rsidRDefault="00641AC0" w:rsidP="00641AC0">
      <w:pPr>
        <w:pStyle w:val="Header"/>
      </w:pPr>
      <w:r w:rsidRPr="00312C86">
        <w:rPr>
          <w:rStyle w:val="CharDivNo"/>
        </w:rPr>
        <w:t xml:space="preserve"> </w:t>
      </w:r>
      <w:r w:rsidRPr="00312C86">
        <w:rPr>
          <w:rStyle w:val="CharDivText"/>
        </w:rPr>
        <w:t xml:space="preserve"> </w:t>
      </w:r>
    </w:p>
    <w:p w:rsidR="00641AC0" w:rsidRPr="00312C86" w:rsidRDefault="00641AC0" w:rsidP="00641AC0">
      <w:pPr>
        <w:pStyle w:val="ActHead5"/>
      </w:pPr>
      <w:bookmarkStart w:id="22" w:name="_Toc517938665"/>
      <w:r w:rsidRPr="00312C86">
        <w:rPr>
          <w:rStyle w:val="CharSectno"/>
        </w:rPr>
        <w:t>2</w:t>
      </w:r>
      <w:r w:rsidRPr="00312C86">
        <w:t xml:space="preserve">  </w:t>
      </w:r>
      <w:r w:rsidR="00CD78FA" w:rsidRPr="00312C86">
        <w:t>Registry</w:t>
      </w:r>
      <w:r w:rsidRPr="00312C86">
        <w:t xml:space="preserve"> fees</w:t>
      </w:r>
      <w:bookmarkEnd w:id="22"/>
    </w:p>
    <w:p w:rsidR="00641AC0" w:rsidRPr="00312C86" w:rsidRDefault="00641AC0" w:rsidP="00641AC0">
      <w:pPr>
        <w:pStyle w:val="subsection"/>
      </w:pPr>
      <w:r w:rsidRPr="00312C86">
        <w:tab/>
      </w:r>
      <w:r w:rsidRPr="00312C86">
        <w:tab/>
        <w:t>For the purposes of subregulations 4(1) and (2), the following table prescribes fees for chargeable matters.</w:t>
      </w:r>
    </w:p>
    <w:p w:rsidR="00641AC0" w:rsidRPr="00312C86" w:rsidRDefault="00641AC0" w:rsidP="00641AC0">
      <w:pPr>
        <w:pStyle w:val="notetext"/>
      </w:pPr>
      <w:r w:rsidRPr="00312C86">
        <w:t>Note:</w:t>
      </w:r>
      <w:r w:rsidRPr="00312C86">
        <w:tab/>
        <w:t>See also regulation</w:t>
      </w:r>
      <w:r w:rsidR="00312C86" w:rsidRPr="00312C86">
        <w:t> </w:t>
      </w:r>
      <w:r w:rsidRPr="00312C86">
        <w:t>3 (definitions).</w:t>
      </w:r>
    </w:p>
    <w:p w:rsidR="00641AC0" w:rsidRPr="00312C86" w:rsidRDefault="00641AC0" w:rsidP="00641AC0">
      <w:pPr>
        <w:pStyle w:val="Tabletext"/>
      </w:pPr>
    </w:p>
    <w:tbl>
      <w:tblPr>
        <w:tblW w:w="5000" w:type="pct"/>
        <w:tblInd w:w="-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677"/>
        <w:gridCol w:w="1138"/>
      </w:tblGrid>
      <w:tr w:rsidR="00641AC0" w:rsidRPr="00312C86" w:rsidTr="007076F2">
        <w:trPr>
          <w:trHeight w:val="57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41AC0" w:rsidRPr="00312C86" w:rsidRDefault="00CD78FA" w:rsidP="00DC24DF">
            <w:pPr>
              <w:pStyle w:val="TableHeading"/>
            </w:pPr>
            <w:r w:rsidRPr="00312C86">
              <w:t>Registry</w:t>
            </w:r>
            <w:r w:rsidR="00641AC0" w:rsidRPr="00312C86">
              <w:t xml:space="preserve"> fees</w:t>
            </w:r>
          </w:p>
        </w:tc>
      </w:tr>
      <w:tr w:rsidR="00641AC0" w:rsidRPr="00312C86" w:rsidTr="00C14674">
        <w:trPr>
          <w:trHeight w:val="57"/>
          <w:tblHeader/>
        </w:trPr>
        <w:tc>
          <w:tcPr>
            <w:tcW w:w="41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41AC0" w:rsidRPr="00312C86" w:rsidRDefault="00641AC0" w:rsidP="00DC24DF">
            <w:pPr>
              <w:pStyle w:val="TableHeading"/>
            </w:pPr>
            <w:r w:rsidRPr="00312C86">
              <w:t>Item</w:t>
            </w:r>
          </w:p>
        </w:tc>
        <w:tc>
          <w:tcPr>
            <w:tcW w:w="391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41AC0" w:rsidRPr="00312C86" w:rsidRDefault="00641AC0" w:rsidP="00DC24DF">
            <w:pPr>
              <w:pStyle w:val="TableHeading"/>
            </w:pPr>
            <w:r w:rsidRPr="00312C86">
              <w:t>Column 1</w:t>
            </w:r>
            <w:r w:rsidRPr="00312C86">
              <w:br/>
              <w:t>Chargeable matter</w:t>
            </w:r>
          </w:p>
        </w:tc>
        <w:tc>
          <w:tcPr>
            <w:tcW w:w="66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41AC0" w:rsidRPr="00312C86" w:rsidRDefault="00641AC0" w:rsidP="00DC24DF">
            <w:pPr>
              <w:pStyle w:val="TableHeading"/>
            </w:pPr>
            <w:r w:rsidRPr="00312C86">
              <w:t>Column 2</w:t>
            </w:r>
            <w:r w:rsidRPr="00312C86">
              <w:br/>
              <w:t>Fee</w:t>
            </w:r>
          </w:p>
        </w:tc>
      </w:tr>
      <w:tr w:rsidR="00641AC0" w:rsidRPr="00312C86" w:rsidTr="007076F2"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:rsidR="00641AC0" w:rsidRPr="00312C86" w:rsidRDefault="00641AC0" w:rsidP="00D06B00">
            <w:pPr>
              <w:pStyle w:val="TableHeading"/>
            </w:pPr>
            <w:r w:rsidRPr="00312C86">
              <w:t>Chargeable matters under</w:t>
            </w:r>
            <w:r w:rsidR="00D06B00" w:rsidRPr="00312C86">
              <w:t xml:space="preserve"> the National Credit Act</w:t>
            </w:r>
          </w:p>
        </w:tc>
      </w:tr>
      <w:tr w:rsidR="00CD78FA" w:rsidRPr="00312C86" w:rsidTr="00C14674">
        <w:tc>
          <w:tcPr>
            <w:tcW w:w="419" w:type="pct"/>
            <w:shd w:val="clear" w:color="auto" w:fill="auto"/>
          </w:tcPr>
          <w:p w:rsidR="00CD78FA" w:rsidRPr="00312C86" w:rsidRDefault="003B24A2" w:rsidP="00DC24DF">
            <w:pPr>
              <w:pStyle w:val="Tabletext"/>
            </w:pPr>
            <w:r w:rsidRPr="00312C86">
              <w:t>1</w:t>
            </w:r>
          </w:p>
        </w:tc>
        <w:tc>
          <w:tcPr>
            <w:tcW w:w="3914" w:type="pct"/>
            <w:shd w:val="clear" w:color="auto" w:fill="auto"/>
          </w:tcPr>
          <w:p w:rsidR="00CD78FA" w:rsidRPr="00312C86" w:rsidRDefault="00CD78FA" w:rsidP="00DC24DF">
            <w:pPr>
              <w:pStyle w:val="Tabletext"/>
            </w:pPr>
            <w:r w:rsidRPr="00312C86">
              <w:t>Lodgment of a notice of an authorisation, or a notice of a change to, or revocation of, an authorisation, under section</w:t>
            </w:r>
            <w:r w:rsidR="00312C86" w:rsidRPr="00312C86">
              <w:t> </w:t>
            </w:r>
            <w:r w:rsidRPr="00312C86">
              <w:t>71 of the National Credit Act</w:t>
            </w:r>
          </w:p>
        </w:tc>
        <w:tc>
          <w:tcPr>
            <w:tcW w:w="667" w:type="pct"/>
            <w:shd w:val="clear" w:color="auto" w:fill="auto"/>
          </w:tcPr>
          <w:p w:rsidR="00CD78FA" w:rsidRPr="00312C86" w:rsidRDefault="00CD78FA" w:rsidP="00DC24DF">
            <w:pPr>
              <w:pStyle w:val="Tabletext"/>
            </w:pPr>
            <w:r w:rsidRPr="00312C86">
              <w:t>no fee</w:t>
            </w:r>
          </w:p>
        </w:tc>
      </w:tr>
      <w:tr w:rsidR="00CD78FA" w:rsidRPr="00312C86" w:rsidTr="007076F2">
        <w:tc>
          <w:tcPr>
            <w:tcW w:w="5000" w:type="pct"/>
            <w:gridSpan w:val="3"/>
            <w:shd w:val="clear" w:color="auto" w:fill="auto"/>
          </w:tcPr>
          <w:p w:rsidR="00CD78FA" w:rsidRPr="00312C86" w:rsidRDefault="00CD78FA" w:rsidP="00CD78FA">
            <w:pPr>
              <w:pStyle w:val="TableHeading"/>
            </w:pPr>
            <w:r w:rsidRPr="00312C86">
              <w:t>Chargeable matters under the National Consumer Credit Protection Regulations</w:t>
            </w:r>
            <w:r w:rsidR="00312C86" w:rsidRPr="00312C86">
              <w:t> </w:t>
            </w:r>
            <w:r w:rsidRPr="00312C86">
              <w:t>2010</w:t>
            </w:r>
          </w:p>
        </w:tc>
      </w:tr>
      <w:tr w:rsidR="00CD78FA" w:rsidRPr="00312C86" w:rsidTr="00C14674">
        <w:tc>
          <w:tcPr>
            <w:tcW w:w="419" w:type="pct"/>
            <w:shd w:val="clear" w:color="auto" w:fill="auto"/>
          </w:tcPr>
          <w:p w:rsidR="00CD78FA" w:rsidRPr="00312C86" w:rsidRDefault="003B24A2" w:rsidP="00DC24DF">
            <w:pPr>
              <w:pStyle w:val="Tabletext"/>
            </w:pPr>
            <w:r w:rsidRPr="00312C86">
              <w:t>2</w:t>
            </w:r>
          </w:p>
        </w:tc>
        <w:tc>
          <w:tcPr>
            <w:tcW w:w="3914" w:type="pct"/>
            <w:shd w:val="clear" w:color="auto" w:fill="auto"/>
          </w:tcPr>
          <w:p w:rsidR="00CD78FA" w:rsidRPr="00312C86" w:rsidRDefault="00CD78FA" w:rsidP="00DC24DF">
            <w:pPr>
              <w:pStyle w:val="Tabletext"/>
            </w:pPr>
            <w:r w:rsidRPr="00312C86">
              <w:t>Notification of an address under paragraph</w:t>
            </w:r>
            <w:r w:rsidR="00312C86" w:rsidRPr="00312C86">
              <w:t> </w:t>
            </w:r>
            <w:r w:rsidRPr="00312C86">
              <w:t>29(6)(a) of the National Credit Regulations</w:t>
            </w:r>
          </w:p>
        </w:tc>
        <w:tc>
          <w:tcPr>
            <w:tcW w:w="667" w:type="pct"/>
            <w:shd w:val="clear" w:color="auto" w:fill="auto"/>
          </w:tcPr>
          <w:p w:rsidR="00CD78FA" w:rsidRPr="00312C86" w:rsidRDefault="00CD78FA" w:rsidP="00DC24DF">
            <w:pPr>
              <w:pStyle w:val="Tabletext"/>
            </w:pPr>
            <w:r w:rsidRPr="00312C86">
              <w:t>no fee</w:t>
            </w:r>
          </w:p>
        </w:tc>
      </w:tr>
      <w:tr w:rsidR="00CD78FA" w:rsidRPr="00312C86" w:rsidTr="00C14674">
        <w:tc>
          <w:tcPr>
            <w:tcW w:w="419" w:type="pct"/>
            <w:shd w:val="clear" w:color="auto" w:fill="auto"/>
          </w:tcPr>
          <w:p w:rsidR="00CD78FA" w:rsidRPr="00312C86" w:rsidRDefault="003B24A2" w:rsidP="00DC24DF">
            <w:pPr>
              <w:pStyle w:val="Tabletext"/>
            </w:pPr>
            <w:r w:rsidRPr="00312C86">
              <w:t>3</w:t>
            </w:r>
          </w:p>
        </w:tc>
        <w:tc>
          <w:tcPr>
            <w:tcW w:w="3914" w:type="pct"/>
            <w:shd w:val="clear" w:color="auto" w:fill="auto"/>
          </w:tcPr>
          <w:p w:rsidR="00CD78FA" w:rsidRPr="00312C86" w:rsidRDefault="00CD78FA" w:rsidP="00DC24DF">
            <w:pPr>
              <w:pStyle w:val="Tabletext"/>
            </w:pPr>
            <w:r w:rsidRPr="00312C86">
              <w:t>Notification of a change of address under paragraph</w:t>
            </w:r>
            <w:r w:rsidR="00312C86" w:rsidRPr="00312C86">
              <w:t> </w:t>
            </w:r>
            <w:r w:rsidRPr="00312C86">
              <w:t>29(6)(b) of the National Credit Regulations</w:t>
            </w:r>
          </w:p>
        </w:tc>
        <w:tc>
          <w:tcPr>
            <w:tcW w:w="667" w:type="pct"/>
            <w:shd w:val="clear" w:color="auto" w:fill="auto"/>
          </w:tcPr>
          <w:p w:rsidR="00CD78FA" w:rsidRPr="00312C86" w:rsidRDefault="00CD78FA" w:rsidP="00DC24DF">
            <w:pPr>
              <w:pStyle w:val="Tabletext"/>
            </w:pPr>
            <w:r w:rsidRPr="00312C86">
              <w:t>no fee</w:t>
            </w:r>
          </w:p>
        </w:tc>
      </w:tr>
      <w:tr w:rsidR="00CD78FA" w:rsidRPr="00312C86" w:rsidTr="00C14674">
        <w:tc>
          <w:tcPr>
            <w:tcW w:w="419" w:type="pct"/>
            <w:tcBorders>
              <w:bottom w:val="single" w:sz="2" w:space="0" w:color="auto"/>
            </w:tcBorders>
            <w:shd w:val="clear" w:color="auto" w:fill="auto"/>
          </w:tcPr>
          <w:p w:rsidR="00CD78FA" w:rsidRPr="00312C86" w:rsidRDefault="003B24A2" w:rsidP="00DC24DF">
            <w:pPr>
              <w:pStyle w:val="Tabletext"/>
            </w:pPr>
            <w:r w:rsidRPr="00312C86">
              <w:t>4</w:t>
            </w:r>
          </w:p>
        </w:tc>
        <w:tc>
          <w:tcPr>
            <w:tcW w:w="3914" w:type="pct"/>
            <w:tcBorders>
              <w:bottom w:val="single" w:sz="2" w:space="0" w:color="auto"/>
            </w:tcBorders>
            <w:shd w:val="clear" w:color="auto" w:fill="auto"/>
          </w:tcPr>
          <w:p w:rsidR="00CD78FA" w:rsidRPr="00312C86" w:rsidRDefault="00CD78FA" w:rsidP="00DC24DF">
            <w:pPr>
              <w:pStyle w:val="Tabletext"/>
            </w:pPr>
            <w:r w:rsidRPr="00312C86">
              <w:t>Notification of an address under paragraph</w:t>
            </w:r>
            <w:r w:rsidR="00312C86" w:rsidRPr="00312C86">
              <w:t> </w:t>
            </w:r>
            <w:r w:rsidRPr="00312C86">
              <w:t>30A(3)(a) of the National Credit Regulations</w:t>
            </w:r>
          </w:p>
        </w:tc>
        <w:tc>
          <w:tcPr>
            <w:tcW w:w="667" w:type="pct"/>
            <w:tcBorders>
              <w:bottom w:val="single" w:sz="2" w:space="0" w:color="auto"/>
            </w:tcBorders>
            <w:shd w:val="clear" w:color="auto" w:fill="auto"/>
          </w:tcPr>
          <w:p w:rsidR="00CD78FA" w:rsidRPr="00312C86" w:rsidRDefault="00CD78FA" w:rsidP="00DC24DF">
            <w:pPr>
              <w:pStyle w:val="Tabletext"/>
            </w:pPr>
            <w:r w:rsidRPr="00312C86">
              <w:t>no fee</w:t>
            </w:r>
          </w:p>
        </w:tc>
      </w:tr>
      <w:tr w:rsidR="00CD78FA" w:rsidRPr="00312C86" w:rsidTr="00C14674"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D78FA" w:rsidRPr="00312C86" w:rsidRDefault="003B24A2" w:rsidP="00DC24DF">
            <w:pPr>
              <w:pStyle w:val="Tabletext"/>
            </w:pPr>
            <w:r w:rsidRPr="00312C86">
              <w:t>5</w:t>
            </w:r>
          </w:p>
        </w:tc>
        <w:tc>
          <w:tcPr>
            <w:tcW w:w="39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D78FA" w:rsidRPr="00312C86" w:rsidRDefault="00CD78FA" w:rsidP="00DC24DF">
            <w:pPr>
              <w:pStyle w:val="Tabletext"/>
            </w:pPr>
            <w:r w:rsidRPr="00312C86">
              <w:t>Notification of a change of address under paragraph</w:t>
            </w:r>
            <w:r w:rsidR="00312C86" w:rsidRPr="00312C86">
              <w:t> </w:t>
            </w:r>
            <w:r w:rsidRPr="00312C86">
              <w:t>30A(3)(b) of the National Credit Regulations</w:t>
            </w:r>
          </w:p>
        </w:tc>
        <w:tc>
          <w:tcPr>
            <w:tcW w:w="66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D78FA" w:rsidRPr="00312C86" w:rsidRDefault="00CD78FA" w:rsidP="00DC24DF">
            <w:pPr>
              <w:pStyle w:val="Tabletext"/>
            </w:pPr>
            <w:r w:rsidRPr="00312C86">
              <w:t>no fee</w:t>
            </w:r>
          </w:p>
        </w:tc>
      </w:tr>
      <w:tr w:rsidR="004E669A" w:rsidRPr="00312C86" w:rsidTr="007076F2">
        <w:tc>
          <w:tcPr>
            <w:tcW w:w="5000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E669A" w:rsidRPr="00312C86" w:rsidRDefault="004E669A" w:rsidP="004E669A">
            <w:pPr>
              <w:pStyle w:val="TableHeading"/>
            </w:pPr>
            <w:r w:rsidRPr="00312C86">
              <w:t>Other chargeable matters</w:t>
            </w:r>
          </w:p>
        </w:tc>
      </w:tr>
      <w:tr w:rsidR="004E669A" w:rsidRPr="00312C86" w:rsidTr="00C14674"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E669A" w:rsidRPr="00312C86" w:rsidRDefault="003B24A2" w:rsidP="00372782">
            <w:pPr>
              <w:pStyle w:val="Tabletext"/>
              <w:rPr>
                <w:rStyle w:val="CharSchPTNo"/>
              </w:rPr>
            </w:pPr>
            <w:r w:rsidRPr="00312C86">
              <w:t>6</w:t>
            </w:r>
          </w:p>
        </w:tc>
        <w:tc>
          <w:tcPr>
            <w:tcW w:w="391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E669A" w:rsidRPr="00312C86" w:rsidRDefault="004E669A" w:rsidP="00372782">
            <w:pPr>
              <w:pStyle w:val="Tabletext"/>
            </w:pPr>
            <w:r w:rsidRPr="00312C86">
              <w:t>Production by ASIC, under a subpoena, of:</w:t>
            </w:r>
          </w:p>
          <w:p w:rsidR="004E669A" w:rsidRPr="00312C86" w:rsidRDefault="004E669A" w:rsidP="00372782">
            <w:pPr>
              <w:pStyle w:val="Tablea"/>
            </w:pPr>
            <w:r w:rsidRPr="00312C86">
              <w:t xml:space="preserve">(a) a register mentioned in the definition of </w:t>
            </w:r>
            <w:r w:rsidRPr="00312C86">
              <w:rPr>
                <w:b/>
                <w:i/>
              </w:rPr>
              <w:t>chargeable matter</w:t>
            </w:r>
            <w:r w:rsidRPr="00312C86">
              <w:t xml:space="preserve"> in subsection</w:t>
            </w:r>
            <w:r w:rsidR="00312C86" w:rsidRPr="00312C86">
              <w:t> </w:t>
            </w:r>
            <w:r w:rsidRPr="00312C86">
              <w:t>4(1) of the Act; or</w:t>
            </w:r>
          </w:p>
          <w:p w:rsidR="004E669A" w:rsidRPr="00312C86" w:rsidRDefault="004E669A" w:rsidP="004E669A">
            <w:pPr>
              <w:pStyle w:val="Tablea"/>
            </w:pPr>
            <w:r w:rsidRPr="00312C86">
              <w:t>(b) a document mentioned in that definition</w:t>
            </w:r>
          </w:p>
        </w:tc>
        <w:tc>
          <w:tcPr>
            <w:tcW w:w="66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E669A" w:rsidRPr="00312C86" w:rsidRDefault="00182408" w:rsidP="00372782">
            <w:pPr>
              <w:pStyle w:val="Tabletext"/>
            </w:pPr>
            <w:r w:rsidRPr="00312C86">
              <w:t>$117</w:t>
            </w:r>
          </w:p>
        </w:tc>
      </w:tr>
      <w:tr w:rsidR="004E669A" w:rsidRPr="00312C86" w:rsidTr="00C14674">
        <w:tc>
          <w:tcPr>
            <w:tcW w:w="41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E669A" w:rsidRPr="00312C86" w:rsidRDefault="003B24A2" w:rsidP="00372782">
            <w:pPr>
              <w:pStyle w:val="Tabletext"/>
              <w:rPr>
                <w:rStyle w:val="CharSchPTNo"/>
              </w:rPr>
            </w:pPr>
            <w:r w:rsidRPr="00312C86">
              <w:t>7</w:t>
            </w:r>
          </w:p>
        </w:tc>
        <w:tc>
          <w:tcPr>
            <w:tcW w:w="391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E669A" w:rsidRPr="00312C86" w:rsidRDefault="004E669A" w:rsidP="00731D6E">
            <w:pPr>
              <w:pStyle w:val="Tabletext"/>
            </w:pPr>
            <w:r w:rsidRPr="00312C86">
              <w:t>Lodgment of a document, notice or application under the National Credit Act or Transitional Act that is not mentioned in the oth</w:t>
            </w:r>
            <w:r w:rsidR="00731D6E" w:rsidRPr="00312C86">
              <w:t>er items in this Part</w:t>
            </w:r>
            <w:r w:rsidRPr="00312C86">
              <w:t xml:space="preserve">, </w:t>
            </w:r>
            <w:r w:rsidR="00717959" w:rsidRPr="00312C86">
              <w:t xml:space="preserve">in </w:t>
            </w:r>
            <w:r w:rsidRPr="00312C86">
              <w:t>Part</w:t>
            </w:r>
            <w:r w:rsidR="00312C86" w:rsidRPr="00312C86">
              <w:t> </w:t>
            </w:r>
            <w:r w:rsidRPr="00312C86">
              <w:t xml:space="preserve">1 of </w:t>
            </w:r>
            <w:r w:rsidR="001D5A14" w:rsidRPr="00312C86">
              <w:t xml:space="preserve">this </w:t>
            </w:r>
            <w:r w:rsidRPr="00312C86">
              <w:t>Schedule</w:t>
            </w:r>
            <w:r w:rsidR="001D5A14" w:rsidRPr="00312C86">
              <w:t xml:space="preserve"> </w:t>
            </w:r>
            <w:r w:rsidRPr="00312C86">
              <w:t>or in Schedule</w:t>
            </w:r>
            <w:r w:rsidR="00312C86" w:rsidRPr="00312C86">
              <w:t> </w:t>
            </w:r>
            <w:r w:rsidRPr="00312C86">
              <w:t>2</w:t>
            </w:r>
          </w:p>
        </w:tc>
        <w:tc>
          <w:tcPr>
            <w:tcW w:w="66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E669A" w:rsidRPr="00312C86" w:rsidRDefault="00182408" w:rsidP="00372782">
            <w:pPr>
              <w:pStyle w:val="Tabletext"/>
            </w:pPr>
            <w:r w:rsidRPr="00312C86">
              <w:t>$117</w:t>
            </w:r>
          </w:p>
        </w:tc>
      </w:tr>
    </w:tbl>
    <w:p w:rsidR="001D666A" w:rsidRPr="00312C86" w:rsidRDefault="00641AC0" w:rsidP="001D666A">
      <w:pPr>
        <w:pStyle w:val="ActHead2"/>
      </w:pPr>
      <w:bookmarkStart w:id="23" w:name="_Toc517938666"/>
      <w:r w:rsidRPr="00312C86">
        <w:rPr>
          <w:rStyle w:val="CharPartNo"/>
        </w:rPr>
        <w:t>Part</w:t>
      </w:r>
      <w:r w:rsidR="00312C86" w:rsidRPr="00312C86">
        <w:rPr>
          <w:rStyle w:val="CharPartNo"/>
        </w:rPr>
        <w:t> </w:t>
      </w:r>
      <w:r w:rsidRPr="00312C86">
        <w:rPr>
          <w:rStyle w:val="CharPartNo"/>
        </w:rPr>
        <w:t>3</w:t>
      </w:r>
      <w:r w:rsidR="001D666A" w:rsidRPr="00312C86">
        <w:t>—</w:t>
      </w:r>
      <w:r w:rsidR="001D666A" w:rsidRPr="00312C86">
        <w:rPr>
          <w:rStyle w:val="CharPartText"/>
        </w:rPr>
        <w:t>Alteration of fees in Part</w:t>
      </w:r>
      <w:r w:rsidR="00312C86" w:rsidRPr="00312C86">
        <w:rPr>
          <w:rStyle w:val="CharPartText"/>
        </w:rPr>
        <w:t> </w:t>
      </w:r>
      <w:r w:rsidR="000136EF" w:rsidRPr="00312C86">
        <w:rPr>
          <w:rStyle w:val="CharPartText"/>
        </w:rPr>
        <w:t>1</w:t>
      </w:r>
      <w:r w:rsidRPr="00312C86">
        <w:rPr>
          <w:rStyle w:val="CharPartText"/>
        </w:rPr>
        <w:t xml:space="preserve"> </w:t>
      </w:r>
      <w:r w:rsidR="00742712" w:rsidRPr="00312C86">
        <w:rPr>
          <w:rStyle w:val="CharPartText"/>
        </w:rPr>
        <w:t>or</w:t>
      </w:r>
      <w:r w:rsidRPr="00312C86">
        <w:rPr>
          <w:rStyle w:val="CharPartText"/>
        </w:rPr>
        <w:t xml:space="preserve"> 2</w:t>
      </w:r>
      <w:bookmarkEnd w:id="23"/>
    </w:p>
    <w:p w:rsidR="001D666A" w:rsidRPr="00312C86" w:rsidRDefault="001D666A" w:rsidP="001D666A">
      <w:pPr>
        <w:pStyle w:val="Header"/>
      </w:pPr>
      <w:r w:rsidRPr="00312C86">
        <w:rPr>
          <w:rStyle w:val="CharDivNo"/>
        </w:rPr>
        <w:t xml:space="preserve"> </w:t>
      </w:r>
      <w:r w:rsidRPr="00312C86">
        <w:rPr>
          <w:rStyle w:val="CharDivText"/>
        </w:rPr>
        <w:t xml:space="preserve"> </w:t>
      </w:r>
    </w:p>
    <w:p w:rsidR="001D666A" w:rsidRPr="00312C86" w:rsidRDefault="00641AC0" w:rsidP="001D666A">
      <w:pPr>
        <w:pStyle w:val="ActHead5"/>
      </w:pPr>
      <w:bookmarkStart w:id="24" w:name="_Toc517938667"/>
      <w:r w:rsidRPr="00312C86">
        <w:rPr>
          <w:rStyle w:val="CharSectno"/>
        </w:rPr>
        <w:t>3</w:t>
      </w:r>
      <w:r w:rsidR="000136EF" w:rsidRPr="00312C86">
        <w:t xml:space="preserve">  Alteration of fees in Part</w:t>
      </w:r>
      <w:r w:rsidR="00312C86" w:rsidRPr="00312C86">
        <w:t> </w:t>
      </w:r>
      <w:r w:rsidR="000136EF" w:rsidRPr="00312C86">
        <w:t>1</w:t>
      </w:r>
      <w:r w:rsidR="00D93A62" w:rsidRPr="00312C86">
        <w:t xml:space="preserve"> </w:t>
      </w:r>
      <w:r w:rsidR="00742712" w:rsidRPr="00312C86">
        <w:t>or</w:t>
      </w:r>
      <w:r w:rsidR="00D93A62" w:rsidRPr="00312C86">
        <w:t xml:space="preserve"> 2</w:t>
      </w:r>
      <w:bookmarkEnd w:id="24"/>
    </w:p>
    <w:p w:rsidR="001D666A" w:rsidRPr="00312C86" w:rsidRDefault="001D666A" w:rsidP="001D666A">
      <w:pPr>
        <w:pStyle w:val="subsection"/>
      </w:pPr>
      <w:r w:rsidRPr="00312C86">
        <w:tab/>
      </w:r>
      <w:r w:rsidRPr="00312C86">
        <w:tab/>
        <w:t xml:space="preserve">For the purposes of </w:t>
      </w:r>
      <w:r w:rsidR="000136EF" w:rsidRPr="00312C86">
        <w:t>sub</w:t>
      </w:r>
      <w:r w:rsidRPr="00312C86">
        <w:t>regulation</w:t>
      </w:r>
      <w:r w:rsidR="00312C86" w:rsidRPr="00312C86">
        <w:t> </w:t>
      </w:r>
      <w:r w:rsidRPr="00312C86">
        <w:t>4</w:t>
      </w:r>
      <w:r w:rsidR="000136EF" w:rsidRPr="00312C86">
        <w:t>(3)</w:t>
      </w:r>
      <w:r w:rsidRPr="00312C86">
        <w:t xml:space="preserve">, </w:t>
      </w:r>
      <w:r w:rsidR="000136EF" w:rsidRPr="00312C86">
        <w:t xml:space="preserve">column 2 </w:t>
      </w:r>
      <w:r w:rsidR="00CC25EC" w:rsidRPr="00312C86">
        <w:t xml:space="preserve">of an item </w:t>
      </w:r>
      <w:r w:rsidR="000136EF" w:rsidRPr="00312C86">
        <w:t>of the following table specifies alterations, of the fees prescribed by Part</w:t>
      </w:r>
      <w:r w:rsidR="00641AC0" w:rsidRPr="00312C86">
        <w:t>s</w:t>
      </w:r>
      <w:r w:rsidR="00312C86" w:rsidRPr="00312C86">
        <w:t> </w:t>
      </w:r>
      <w:r w:rsidR="000136EF" w:rsidRPr="00312C86">
        <w:t>1</w:t>
      </w:r>
      <w:r w:rsidRPr="00312C86">
        <w:t xml:space="preserve"> </w:t>
      </w:r>
      <w:r w:rsidR="00641AC0" w:rsidRPr="00312C86">
        <w:t xml:space="preserve">and 2 </w:t>
      </w:r>
      <w:r w:rsidRPr="00312C86">
        <w:t>of this Schedule</w:t>
      </w:r>
      <w:r w:rsidR="000136EF" w:rsidRPr="00312C86">
        <w:t>, that apply in the circumstances specified by column 1</w:t>
      </w:r>
      <w:r w:rsidR="00CC25EC" w:rsidRPr="00312C86">
        <w:t xml:space="preserve"> of the item</w:t>
      </w:r>
      <w:r w:rsidR="000136EF" w:rsidRPr="00312C86">
        <w:t>.</w:t>
      </w:r>
    </w:p>
    <w:p w:rsidR="001D666A" w:rsidRPr="00312C86" w:rsidRDefault="001D666A" w:rsidP="001D666A">
      <w:pPr>
        <w:pStyle w:val="Tabletext"/>
      </w:pPr>
    </w:p>
    <w:tbl>
      <w:tblPr>
        <w:tblW w:w="5000" w:type="pct"/>
        <w:tblInd w:w="-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4983"/>
        <w:gridCol w:w="2832"/>
      </w:tblGrid>
      <w:tr w:rsidR="001D666A" w:rsidRPr="00312C86" w:rsidTr="00C14674">
        <w:trPr>
          <w:trHeight w:val="57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1D666A" w:rsidRPr="00312C86" w:rsidRDefault="001D666A" w:rsidP="00727845">
            <w:pPr>
              <w:pStyle w:val="TableHeading"/>
              <w:rPr>
                <w:lang w:eastAsia="en-US"/>
              </w:rPr>
            </w:pPr>
            <w:r w:rsidRPr="00312C86">
              <w:rPr>
                <w:lang w:eastAsia="en-US"/>
              </w:rPr>
              <w:t>Alteration of fees</w:t>
            </w:r>
          </w:p>
        </w:tc>
      </w:tr>
      <w:tr w:rsidR="001D666A" w:rsidRPr="00312C86" w:rsidTr="00C14674">
        <w:trPr>
          <w:trHeight w:val="57"/>
          <w:tblHeader/>
        </w:trPr>
        <w:tc>
          <w:tcPr>
            <w:tcW w:w="41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D666A" w:rsidRPr="00312C86" w:rsidRDefault="001D666A" w:rsidP="00727845">
            <w:pPr>
              <w:pStyle w:val="TableHeading"/>
              <w:rPr>
                <w:lang w:eastAsia="en-US"/>
              </w:rPr>
            </w:pPr>
            <w:r w:rsidRPr="00312C86">
              <w:rPr>
                <w:lang w:eastAsia="en-US"/>
              </w:rPr>
              <w:t>Item</w:t>
            </w:r>
          </w:p>
        </w:tc>
        <w:tc>
          <w:tcPr>
            <w:tcW w:w="292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D666A" w:rsidRPr="00312C86" w:rsidRDefault="001D666A" w:rsidP="00727845">
            <w:pPr>
              <w:pStyle w:val="TableHeading"/>
              <w:rPr>
                <w:lang w:eastAsia="en-US"/>
              </w:rPr>
            </w:pPr>
            <w:r w:rsidRPr="00312C86">
              <w:rPr>
                <w:lang w:eastAsia="en-US"/>
              </w:rPr>
              <w:t>Column 1</w:t>
            </w:r>
            <w:r w:rsidRPr="00312C86">
              <w:rPr>
                <w:lang w:eastAsia="en-US"/>
              </w:rPr>
              <w:br/>
              <w:t>Circumstances</w:t>
            </w:r>
          </w:p>
        </w:tc>
        <w:tc>
          <w:tcPr>
            <w:tcW w:w="166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1D666A" w:rsidRPr="00312C86" w:rsidRDefault="001D666A" w:rsidP="00727845">
            <w:pPr>
              <w:pStyle w:val="TableHeading"/>
              <w:rPr>
                <w:lang w:eastAsia="en-US"/>
              </w:rPr>
            </w:pPr>
            <w:r w:rsidRPr="00312C86">
              <w:rPr>
                <w:lang w:eastAsia="en-US"/>
              </w:rPr>
              <w:t>Column 2</w:t>
            </w:r>
            <w:r w:rsidRPr="00312C86">
              <w:rPr>
                <w:lang w:eastAsia="en-US"/>
              </w:rPr>
              <w:br/>
              <w:t>Altered fee</w:t>
            </w:r>
          </w:p>
        </w:tc>
      </w:tr>
      <w:tr w:rsidR="001D666A" w:rsidRPr="00312C86" w:rsidTr="00C14674">
        <w:tc>
          <w:tcPr>
            <w:tcW w:w="419" w:type="pct"/>
            <w:tcBorders>
              <w:top w:val="single" w:sz="12" w:space="0" w:color="auto"/>
            </w:tcBorders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1</w:t>
            </w:r>
          </w:p>
        </w:tc>
        <w:tc>
          <w:tcPr>
            <w:tcW w:w="2921" w:type="pct"/>
            <w:tcBorders>
              <w:top w:val="single" w:sz="12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The chargeable matter is the lodgment of a document otherwise than electronically</w:t>
            </w:r>
          </w:p>
        </w:tc>
        <w:tc>
          <w:tcPr>
            <w:tcW w:w="1660" w:type="pct"/>
            <w:tcBorders>
              <w:top w:val="single" w:sz="12" w:space="0" w:color="auto"/>
            </w:tcBorders>
            <w:shd w:val="clear" w:color="auto" w:fill="auto"/>
          </w:tcPr>
          <w:p w:rsidR="001D666A" w:rsidRPr="00312C86" w:rsidRDefault="000136EF" w:rsidP="00727845">
            <w:pPr>
              <w:pStyle w:val="Tabletext"/>
            </w:pPr>
            <w:r w:rsidRPr="00312C86">
              <w:t>The fee specified in Part</w:t>
            </w:r>
            <w:r w:rsidR="00312C86" w:rsidRPr="00312C86">
              <w:t> </w:t>
            </w:r>
            <w:r w:rsidRPr="00312C86">
              <w:t>1</w:t>
            </w:r>
            <w:r w:rsidR="00D93A62" w:rsidRPr="00312C86">
              <w:t xml:space="preserve"> or 2</w:t>
            </w:r>
            <w:r w:rsidR="001D666A" w:rsidRPr="00312C86">
              <w:t xml:space="preserve"> and altered under this Part (if necessary) is increased by $25</w:t>
            </w:r>
          </w:p>
        </w:tc>
      </w:tr>
      <w:tr w:rsidR="001D666A" w:rsidRPr="00312C86" w:rsidTr="00C14674">
        <w:tc>
          <w:tcPr>
            <w:tcW w:w="419" w:type="pct"/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2</w:t>
            </w:r>
          </w:p>
        </w:tc>
        <w:tc>
          <w:tcPr>
            <w:tcW w:w="2921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The chargeable matter is the lodgment of a document, and:</w:t>
            </w:r>
          </w:p>
          <w:p w:rsidR="001D666A" w:rsidRPr="00312C86" w:rsidRDefault="001D666A" w:rsidP="00727845">
            <w:pPr>
              <w:pStyle w:val="Tablea"/>
            </w:pPr>
            <w:r w:rsidRPr="00312C86">
              <w:lastRenderedPageBreak/>
              <w:t>(a) the document must be lodged within a particular period; and</w:t>
            </w:r>
          </w:p>
          <w:p w:rsidR="001D666A" w:rsidRPr="00312C86" w:rsidRDefault="001D666A" w:rsidP="00727845">
            <w:pPr>
              <w:pStyle w:val="Tablea"/>
            </w:pPr>
            <w:r w:rsidRPr="00312C86">
              <w:t>(b) the document is not lodged within the period; and</w:t>
            </w:r>
          </w:p>
          <w:p w:rsidR="001D666A" w:rsidRPr="00312C86" w:rsidRDefault="001D666A" w:rsidP="00727845">
            <w:pPr>
              <w:pStyle w:val="Tablea"/>
            </w:pPr>
            <w:r w:rsidRPr="00312C86">
              <w:t>(c) the document is lodged within 1</w:t>
            </w:r>
            <w:r w:rsidR="00346DA1" w:rsidRPr="00312C86">
              <w:t xml:space="preserve"> </w:t>
            </w:r>
            <w:r w:rsidRPr="00312C86">
              <w:t>calendar month after the specified period</w:t>
            </w:r>
          </w:p>
        </w:tc>
        <w:tc>
          <w:tcPr>
            <w:tcW w:w="1660" w:type="pct"/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lastRenderedPageBreak/>
              <w:t xml:space="preserve">The fee </w:t>
            </w:r>
            <w:r w:rsidR="000136EF" w:rsidRPr="00312C86">
              <w:t>specified in Part</w:t>
            </w:r>
            <w:r w:rsidR="00312C86" w:rsidRPr="00312C86">
              <w:t> </w:t>
            </w:r>
            <w:r w:rsidR="000136EF" w:rsidRPr="00312C86">
              <w:t xml:space="preserve">1 </w:t>
            </w:r>
            <w:r w:rsidR="00D93A62" w:rsidRPr="00312C86">
              <w:t xml:space="preserve">or 2 </w:t>
            </w:r>
            <w:r w:rsidRPr="00312C86">
              <w:lastRenderedPageBreak/>
              <w:t>and altered under this Part (if necessary) is increased by $67</w:t>
            </w:r>
          </w:p>
        </w:tc>
      </w:tr>
      <w:tr w:rsidR="001D666A" w:rsidRPr="00312C86" w:rsidTr="00C14674">
        <w:tc>
          <w:tcPr>
            <w:tcW w:w="419" w:type="pct"/>
            <w:tcBorders>
              <w:bottom w:val="single" w:sz="2" w:space="0" w:color="auto"/>
            </w:tcBorders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lastRenderedPageBreak/>
              <w:t>3</w:t>
            </w:r>
          </w:p>
        </w:tc>
        <w:tc>
          <w:tcPr>
            <w:tcW w:w="2921" w:type="pct"/>
            <w:tcBorders>
              <w:bottom w:val="single" w:sz="2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The chargeable matter is the lodgment of a document, and:</w:t>
            </w:r>
          </w:p>
          <w:p w:rsidR="001D666A" w:rsidRPr="00312C86" w:rsidRDefault="001D666A" w:rsidP="00727845">
            <w:pPr>
              <w:pStyle w:val="Tablea"/>
            </w:pPr>
            <w:r w:rsidRPr="00312C86">
              <w:t>(a) the document must be lodged within a particular period; and</w:t>
            </w:r>
          </w:p>
          <w:p w:rsidR="001D666A" w:rsidRPr="00312C86" w:rsidRDefault="001D666A" w:rsidP="00727845">
            <w:pPr>
              <w:pStyle w:val="Tablea"/>
            </w:pPr>
            <w:r w:rsidRPr="00312C86">
              <w:t>(b) the document is not lodged within the period; and</w:t>
            </w:r>
          </w:p>
          <w:p w:rsidR="001D666A" w:rsidRPr="00312C86" w:rsidRDefault="001D666A" w:rsidP="00727845">
            <w:pPr>
              <w:pStyle w:val="Tablea"/>
            </w:pPr>
            <w:r w:rsidRPr="00312C86">
              <w:t>(c) the document is lodged 1 calendar month or more after the specified period</w:t>
            </w:r>
          </w:p>
        </w:tc>
        <w:tc>
          <w:tcPr>
            <w:tcW w:w="1660" w:type="pct"/>
            <w:tcBorders>
              <w:bottom w:val="single" w:sz="2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 xml:space="preserve">The fee </w:t>
            </w:r>
            <w:r w:rsidR="000136EF" w:rsidRPr="00312C86">
              <w:t>specified in Part</w:t>
            </w:r>
            <w:r w:rsidR="00312C86" w:rsidRPr="00312C86">
              <w:t> </w:t>
            </w:r>
            <w:r w:rsidR="000136EF" w:rsidRPr="00312C86">
              <w:t>1</w:t>
            </w:r>
            <w:r w:rsidRPr="00312C86">
              <w:t xml:space="preserve"> </w:t>
            </w:r>
            <w:r w:rsidR="00D93A62" w:rsidRPr="00312C86">
              <w:t xml:space="preserve">or 2 </w:t>
            </w:r>
            <w:r w:rsidRPr="00312C86">
              <w:t>and altered under this Part (if necessary) is increased by $278</w:t>
            </w:r>
          </w:p>
        </w:tc>
      </w:tr>
      <w:tr w:rsidR="001D666A" w:rsidRPr="00312C86" w:rsidTr="00C14674">
        <w:tc>
          <w:tcPr>
            <w:tcW w:w="41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D666A" w:rsidRPr="00312C86" w:rsidRDefault="003B24A2" w:rsidP="00727845">
            <w:pPr>
              <w:pStyle w:val="Tabletext"/>
            </w:pPr>
            <w:r w:rsidRPr="00312C86">
              <w:t>4</w:t>
            </w:r>
          </w:p>
        </w:tc>
        <w:tc>
          <w:tcPr>
            <w:tcW w:w="292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D666A" w:rsidRPr="00312C86" w:rsidRDefault="00037683" w:rsidP="00615068">
            <w:pPr>
              <w:pStyle w:val="Tabletext"/>
            </w:pPr>
            <w:r w:rsidRPr="00312C86">
              <w:t>If more than one</w:t>
            </w:r>
            <w:r w:rsidR="001D666A" w:rsidRPr="00312C86">
              <w:t xml:space="preserve"> item in this </w:t>
            </w:r>
            <w:r w:rsidR="000136EF" w:rsidRPr="00312C86">
              <w:t xml:space="preserve">table </w:t>
            </w:r>
            <w:r w:rsidR="001D666A" w:rsidRPr="00312C86">
              <w:t>applies to the person, the items are to be applied in the order of item</w:t>
            </w:r>
            <w:r w:rsidR="00126A9F" w:rsidRPr="00312C86">
              <w:t>s</w:t>
            </w:r>
            <w:r w:rsidR="00312C86" w:rsidRPr="00312C86">
              <w:t> </w:t>
            </w:r>
            <w:r w:rsidR="00615068" w:rsidRPr="00312C86">
              <w:t>1</w:t>
            </w:r>
            <w:r w:rsidR="001D666A" w:rsidRPr="00312C86">
              <w:t xml:space="preserve">, </w:t>
            </w:r>
            <w:r w:rsidR="00615068" w:rsidRPr="00312C86">
              <w:t>2</w:t>
            </w:r>
            <w:r w:rsidR="001D666A" w:rsidRPr="00312C86">
              <w:t xml:space="preserve"> and </w:t>
            </w:r>
            <w:r w:rsidR="00615068" w:rsidRPr="00312C86">
              <w:t>3</w:t>
            </w:r>
          </w:p>
        </w:tc>
        <w:tc>
          <w:tcPr>
            <w:tcW w:w="166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</w:p>
        </w:tc>
      </w:tr>
    </w:tbl>
    <w:p w:rsidR="008E4D04" w:rsidRPr="00312C86" w:rsidRDefault="008E4D04" w:rsidP="008E4D04">
      <w:pPr>
        <w:pStyle w:val="ItemHead"/>
      </w:pPr>
      <w:r w:rsidRPr="00312C86">
        <w:t>37  Schedule</w:t>
      </w:r>
      <w:r w:rsidR="00312C86" w:rsidRPr="00312C86">
        <w:t> </w:t>
      </w:r>
      <w:r w:rsidRPr="00312C86">
        <w:t>2</w:t>
      </w:r>
    </w:p>
    <w:p w:rsidR="008E4D04" w:rsidRPr="00312C86" w:rsidRDefault="008E4D04" w:rsidP="008E4D04">
      <w:pPr>
        <w:pStyle w:val="Item"/>
      </w:pPr>
      <w:r w:rsidRPr="00312C86">
        <w:t>Repeal the Schedule, substitute:</w:t>
      </w:r>
    </w:p>
    <w:p w:rsidR="008E4D04" w:rsidRPr="00312C86" w:rsidRDefault="008E4D04" w:rsidP="00065216">
      <w:pPr>
        <w:pStyle w:val="ActHead1"/>
      </w:pPr>
      <w:bookmarkStart w:id="25" w:name="_Toc517938668"/>
      <w:r w:rsidRPr="00312C86">
        <w:rPr>
          <w:rStyle w:val="CharChapNo"/>
        </w:rPr>
        <w:t>Schedule</w:t>
      </w:r>
      <w:r w:rsidR="00312C86" w:rsidRPr="00312C86">
        <w:rPr>
          <w:rStyle w:val="CharChapNo"/>
        </w:rPr>
        <w:t> </w:t>
      </w:r>
      <w:r w:rsidRPr="00312C86">
        <w:rPr>
          <w:rStyle w:val="CharChapNo"/>
        </w:rPr>
        <w:t>2</w:t>
      </w:r>
      <w:r w:rsidRPr="00312C86">
        <w:t>—</w:t>
      </w:r>
      <w:r w:rsidRPr="00312C86">
        <w:rPr>
          <w:rStyle w:val="CharChapText"/>
        </w:rPr>
        <w:t>Fees for other chargeable matters</w:t>
      </w:r>
      <w:bookmarkEnd w:id="25"/>
    </w:p>
    <w:p w:rsidR="008E4D04" w:rsidRPr="00312C86" w:rsidRDefault="00B8034C" w:rsidP="008E4D04">
      <w:pPr>
        <w:pStyle w:val="notemargin"/>
      </w:pPr>
      <w:r w:rsidRPr="00312C86">
        <w:t>Note:</w:t>
      </w:r>
      <w:r w:rsidRPr="00312C86">
        <w:tab/>
        <w:t>See regulation</w:t>
      </w:r>
      <w:r w:rsidR="00312C86" w:rsidRPr="00312C86">
        <w:t> </w:t>
      </w:r>
      <w:r w:rsidRPr="00312C86">
        <w:t>5</w:t>
      </w:r>
      <w:r w:rsidR="008E4D04" w:rsidRPr="00312C86">
        <w:t>.</w:t>
      </w:r>
    </w:p>
    <w:p w:rsidR="008E4D04" w:rsidRPr="00312C86" w:rsidRDefault="008E4D04" w:rsidP="00697BD8">
      <w:pPr>
        <w:pStyle w:val="Header"/>
      </w:pPr>
      <w:bookmarkStart w:id="26" w:name="f_Check_Lines_below"/>
      <w:bookmarkEnd w:id="26"/>
      <w:r w:rsidRPr="00312C86">
        <w:rPr>
          <w:rStyle w:val="CharPartNo"/>
        </w:rPr>
        <w:t xml:space="preserve"> </w:t>
      </w:r>
      <w:r w:rsidRPr="00312C86">
        <w:rPr>
          <w:rStyle w:val="CharPartText"/>
        </w:rPr>
        <w:t xml:space="preserve"> </w:t>
      </w:r>
    </w:p>
    <w:p w:rsidR="00697BD8" w:rsidRPr="00312C86" w:rsidRDefault="00697BD8" w:rsidP="00697BD8">
      <w:pPr>
        <w:pStyle w:val="Header"/>
      </w:pPr>
      <w:r w:rsidRPr="00312C86">
        <w:rPr>
          <w:rStyle w:val="CharDivNo"/>
        </w:rPr>
        <w:t xml:space="preserve"> </w:t>
      </w:r>
      <w:r w:rsidRPr="00312C86">
        <w:rPr>
          <w:rStyle w:val="CharDivText"/>
        </w:rPr>
        <w:t xml:space="preserve"> </w:t>
      </w:r>
    </w:p>
    <w:p w:rsidR="008E4D04" w:rsidRPr="00312C86" w:rsidRDefault="008E4D04" w:rsidP="008E4D04">
      <w:pPr>
        <w:pStyle w:val="ActHead5"/>
      </w:pPr>
      <w:bookmarkStart w:id="27" w:name="_Toc517938669"/>
      <w:r w:rsidRPr="00312C86">
        <w:rPr>
          <w:rStyle w:val="CharSectno"/>
        </w:rPr>
        <w:t>1</w:t>
      </w:r>
      <w:r w:rsidRPr="00312C86">
        <w:t xml:space="preserve">  Registry fees</w:t>
      </w:r>
      <w:bookmarkEnd w:id="27"/>
    </w:p>
    <w:p w:rsidR="008E4D04" w:rsidRPr="00312C86" w:rsidRDefault="008E4D04" w:rsidP="008E4D04">
      <w:pPr>
        <w:pStyle w:val="subsection"/>
      </w:pPr>
      <w:r w:rsidRPr="00312C86">
        <w:tab/>
      </w:r>
      <w:r w:rsidRPr="00312C86">
        <w:tab/>
        <w:t>For the purposes of sub</w:t>
      </w:r>
      <w:r w:rsidR="00146F8C" w:rsidRPr="00312C86">
        <w:t>regulations 5(1) and (1A</w:t>
      </w:r>
      <w:r w:rsidRPr="00312C86">
        <w:t>), the following table prescribes fees for chargeable matters.</w:t>
      </w:r>
    </w:p>
    <w:p w:rsidR="00AB40F2" w:rsidRPr="00312C86" w:rsidRDefault="00AB40F2" w:rsidP="00AB40F2">
      <w:pPr>
        <w:pStyle w:val="notetext"/>
      </w:pPr>
      <w:r w:rsidRPr="00312C86">
        <w:t>Note:</w:t>
      </w:r>
      <w:r w:rsidRPr="00312C86">
        <w:tab/>
        <w:t>See also regulation</w:t>
      </w:r>
      <w:r w:rsidR="00312C86" w:rsidRPr="00312C86">
        <w:t> </w:t>
      </w:r>
      <w:r w:rsidRPr="00312C86">
        <w:t>3 (definitions).</w:t>
      </w:r>
    </w:p>
    <w:p w:rsidR="00B75DA6" w:rsidRPr="00312C86" w:rsidRDefault="00B75DA6" w:rsidP="00B75DA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511"/>
        <w:gridCol w:w="1087"/>
      </w:tblGrid>
      <w:tr w:rsidR="00B75DA6" w:rsidRPr="00312C86" w:rsidTr="00B75DA6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75DA6" w:rsidRPr="00312C86" w:rsidRDefault="00B75DA6" w:rsidP="00B75DA6">
            <w:pPr>
              <w:pStyle w:val="TableHeading"/>
            </w:pPr>
            <w:r w:rsidRPr="00312C86">
              <w:t>Registry fees</w:t>
            </w:r>
          </w:p>
        </w:tc>
      </w:tr>
      <w:tr w:rsidR="00B75DA6" w:rsidRPr="00312C86" w:rsidTr="00B75DA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75DA6" w:rsidRPr="00312C86" w:rsidRDefault="00B75DA6" w:rsidP="00B75DA6">
            <w:pPr>
              <w:pStyle w:val="TableHeading"/>
            </w:pPr>
            <w:r w:rsidRPr="00312C86">
              <w:t>Item</w:t>
            </w:r>
          </w:p>
        </w:tc>
        <w:tc>
          <w:tcPr>
            <w:tcW w:w="651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75DA6" w:rsidRPr="00312C86" w:rsidRDefault="00B75DA6" w:rsidP="00B75DA6">
            <w:pPr>
              <w:pStyle w:val="TableHeading"/>
            </w:pPr>
            <w:r w:rsidRPr="00312C86">
              <w:rPr>
                <w:lang w:eastAsia="en-US"/>
              </w:rPr>
              <w:t>Column 1</w:t>
            </w:r>
            <w:r w:rsidRPr="00312C86">
              <w:rPr>
                <w:lang w:eastAsia="en-US"/>
              </w:rPr>
              <w:br/>
            </w:r>
            <w:r w:rsidR="00E7069D" w:rsidRPr="00312C86">
              <w:t>Chargeable m</w:t>
            </w:r>
            <w:r w:rsidRPr="00312C86">
              <w:t>atter</w:t>
            </w:r>
          </w:p>
        </w:tc>
        <w:tc>
          <w:tcPr>
            <w:tcW w:w="10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75DA6" w:rsidRPr="00312C86" w:rsidRDefault="00B75DA6" w:rsidP="00B75DA6">
            <w:pPr>
              <w:pStyle w:val="TableHeading"/>
            </w:pPr>
            <w:r w:rsidRPr="00312C86">
              <w:t>Column 2</w:t>
            </w:r>
            <w:r w:rsidRPr="00312C86">
              <w:rPr>
                <w:lang w:eastAsia="en-US"/>
              </w:rPr>
              <w:br/>
            </w:r>
            <w:r w:rsidRPr="00312C86">
              <w:t>Fee</w:t>
            </w:r>
          </w:p>
        </w:tc>
      </w:tr>
      <w:tr w:rsidR="00B75DA6" w:rsidRPr="00312C86" w:rsidTr="00B75DA6">
        <w:tc>
          <w:tcPr>
            <w:tcW w:w="714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B75DA6" w:rsidRPr="00312C86" w:rsidRDefault="00B75DA6" w:rsidP="00B75DA6">
            <w:pPr>
              <w:pStyle w:val="Tabletext"/>
            </w:pPr>
            <w:r w:rsidRPr="00312C86">
              <w:t>1</w:t>
            </w:r>
          </w:p>
        </w:tc>
        <w:tc>
          <w:tcPr>
            <w:tcW w:w="6511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B75DA6" w:rsidRPr="00312C86" w:rsidRDefault="00B75DA6" w:rsidP="00D775CB">
            <w:pPr>
              <w:pStyle w:val="Tabletext"/>
            </w:pPr>
            <w:r w:rsidRPr="00312C86">
              <w:t>The making available by ASIC, under subsection</w:t>
            </w:r>
            <w:r w:rsidR="00312C86" w:rsidRPr="00312C86">
              <w:t> </w:t>
            </w:r>
            <w:r w:rsidR="00E2569B" w:rsidRPr="00312C86">
              <w:t>214</w:t>
            </w:r>
            <w:r w:rsidRPr="00312C86">
              <w:t>(1) of the National Credit Act, of an extract of particulars in relation to:</w:t>
            </w:r>
          </w:p>
          <w:p w:rsidR="00B75DA6" w:rsidRPr="00312C86" w:rsidRDefault="00B75DA6" w:rsidP="00D775CB">
            <w:pPr>
              <w:pStyle w:val="Tablea"/>
            </w:pPr>
            <w:r w:rsidRPr="00312C86">
              <w:t>(a) a licensee; or</w:t>
            </w:r>
          </w:p>
          <w:p w:rsidR="00B75DA6" w:rsidRPr="00312C86" w:rsidRDefault="00B75DA6" w:rsidP="00D775CB">
            <w:pPr>
              <w:pStyle w:val="Tablea"/>
            </w:pPr>
            <w:r w:rsidRPr="00312C86">
              <w:t>(b) a credit representative; or</w:t>
            </w:r>
          </w:p>
          <w:p w:rsidR="00B75DA6" w:rsidRPr="00312C86" w:rsidRDefault="00B75DA6" w:rsidP="00D775CB">
            <w:pPr>
              <w:pStyle w:val="Tablea"/>
            </w:pPr>
            <w:r w:rsidRPr="00312C86">
              <w:t>(c) a registered person; or</w:t>
            </w:r>
          </w:p>
          <w:p w:rsidR="00B75DA6" w:rsidRPr="00312C86" w:rsidRDefault="00B75DA6" w:rsidP="00D775CB">
            <w:pPr>
              <w:pStyle w:val="Tablea"/>
            </w:pPr>
            <w:r w:rsidRPr="00312C86">
              <w:t>(d) a person or entity whose details are included in any other register that ASIC is required to keep under the National Credit Act or the Transitional Act</w:t>
            </w:r>
            <w:r w:rsidR="001323F1" w:rsidRPr="00312C86">
              <w:t>.</w:t>
            </w: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B75DA6" w:rsidRPr="00312C86" w:rsidRDefault="00B75DA6" w:rsidP="00D775CB">
            <w:pPr>
              <w:pStyle w:val="Tabletext"/>
            </w:pPr>
            <w:r w:rsidRPr="00312C86">
              <w:t>$10</w:t>
            </w:r>
          </w:p>
        </w:tc>
      </w:tr>
      <w:tr w:rsidR="00B75DA6" w:rsidRPr="00312C86" w:rsidTr="00B75DA6"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5DA6" w:rsidRPr="00312C86" w:rsidRDefault="00B75DA6" w:rsidP="00B75DA6">
            <w:pPr>
              <w:pStyle w:val="Tabletext"/>
            </w:pPr>
          </w:p>
        </w:tc>
        <w:tc>
          <w:tcPr>
            <w:tcW w:w="65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5DA6" w:rsidRPr="00312C86" w:rsidRDefault="00B75DA6" w:rsidP="00D775CB">
            <w:pPr>
              <w:pStyle w:val="Tabletext"/>
            </w:pPr>
            <w:r w:rsidRPr="00312C86">
              <w:t>If the extract includes particulars in</w:t>
            </w:r>
            <w:r w:rsidR="004D060E" w:rsidRPr="00312C86">
              <w:t xml:space="preserve"> relation to more than one</w:t>
            </w:r>
            <w:r w:rsidRPr="00312C86">
              <w:t xml:space="preserve"> person or entity, a separate fee is applicable for each person or entity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5DA6" w:rsidRPr="00312C86" w:rsidRDefault="00B75DA6" w:rsidP="00E2569B">
            <w:pPr>
              <w:pStyle w:val="Tabletext"/>
            </w:pPr>
          </w:p>
        </w:tc>
      </w:tr>
      <w:tr w:rsidR="00B75DA6" w:rsidRPr="00312C86" w:rsidTr="00B75DA6">
        <w:tc>
          <w:tcPr>
            <w:tcW w:w="7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75DA6" w:rsidRPr="00312C86" w:rsidRDefault="00B75DA6" w:rsidP="00B75DA6">
            <w:pPr>
              <w:pStyle w:val="Tabletext"/>
            </w:pPr>
            <w:r w:rsidRPr="00312C86">
              <w:t>2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75DA6" w:rsidRPr="00312C86" w:rsidRDefault="00B75DA6" w:rsidP="00D775CB">
            <w:pPr>
              <w:pStyle w:val="Tabletext"/>
            </w:pPr>
            <w:r w:rsidRPr="00312C86">
              <w:t>Inspection of a document register, or a document, under section</w:t>
            </w:r>
            <w:r w:rsidR="00312C86" w:rsidRPr="00312C86">
              <w:t> </w:t>
            </w:r>
            <w:r w:rsidRPr="00312C86">
              <w:t>219 of the National Credit Act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75DA6" w:rsidRPr="00312C86" w:rsidRDefault="00B75DA6" w:rsidP="00D775CB">
            <w:pPr>
              <w:pStyle w:val="Tabletext"/>
            </w:pPr>
            <w:r w:rsidRPr="00312C86">
              <w:t>$30</w:t>
            </w:r>
          </w:p>
        </w:tc>
      </w:tr>
      <w:tr w:rsidR="00B75DA6" w:rsidRPr="00312C86" w:rsidTr="00B75DA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75DA6" w:rsidRPr="00312C86" w:rsidRDefault="00B75DA6" w:rsidP="00B75DA6">
            <w:pPr>
              <w:pStyle w:val="Tabletext"/>
            </w:pPr>
            <w:r w:rsidRPr="00312C86">
              <w:t>3</w:t>
            </w:r>
          </w:p>
        </w:tc>
        <w:tc>
          <w:tcPr>
            <w:tcW w:w="651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75DA6" w:rsidRPr="00312C86" w:rsidRDefault="00B75DA6" w:rsidP="00D775CB">
            <w:pPr>
              <w:pStyle w:val="Tabletext"/>
            </w:pPr>
            <w:r w:rsidRPr="00312C86">
              <w:t>Inspection of a document:</w:t>
            </w:r>
          </w:p>
          <w:p w:rsidR="00B75DA6" w:rsidRPr="00312C86" w:rsidRDefault="00B75DA6" w:rsidP="00D775CB">
            <w:pPr>
              <w:pStyle w:val="Tablea"/>
            </w:pPr>
            <w:r w:rsidRPr="00312C86">
              <w:t>(a) which has been lodged with ASIC; and</w:t>
            </w:r>
          </w:p>
          <w:p w:rsidR="00B75DA6" w:rsidRPr="00312C86" w:rsidRDefault="00B75DA6" w:rsidP="00D775CB">
            <w:pPr>
              <w:pStyle w:val="Tablea"/>
            </w:pPr>
            <w:r w:rsidRPr="00312C86">
              <w:t>(b) which will be included in a document register under section</w:t>
            </w:r>
            <w:r w:rsidR="00312C86" w:rsidRPr="00312C86">
              <w:t> </w:t>
            </w:r>
            <w:r w:rsidRPr="00312C86">
              <w:t>219 of the National Credit Act; and</w:t>
            </w:r>
          </w:p>
          <w:p w:rsidR="00B75DA6" w:rsidRPr="00312C86" w:rsidRDefault="00B75DA6" w:rsidP="00D775CB">
            <w:pPr>
              <w:pStyle w:val="Tablea"/>
            </w:pPr>
            <w:r w:rsidRPr="00312C86">
              <w:lastRenderedPageBreak/>
              <w:t>(c) in relation to which ASIC has permitted the document register to be inspected</w:t>
            </w:r>
          </w:p>
        </w:tc>
        <w:tc>
          <w:tcPr>
            <w:tcW w:w="1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75DA6" w:rsidRPr="00312C86" w:rsidRDefault="00B75DA6" w:rsidP="00D775CB">
            <w:pPr>
              <w:pStyle w:val="Tabletext"/>
            </w:pPr>
            <w:r w:rsidRPr="00312C86">
              <w:lastRenderedPageBreak/>
              <w:t>$30</w:t>
            </w:r>
          </w:p>
        </w:tc>
      </w:tr>
    </w:tbl>
    <w:p w:rsidR="008E4D04" w:rsidRPr="00312C86" w:rsidRDefault="008E4D04" w:rsidP="00B47C16">
      <w:pPr>
        <w:pStyle w:val="notemargin"/>
      </w:pPr>
      <w:r w:rsidRPr="00312C86">
        <w:lastRenderedPageBreak/>
        <w:t>Note:</w:t>
      </w:r>
      <w:r w:rsidRPr="00312C86">
        <w:tab/>
        <w:t>Under subsection</w:t>
      </w:r>
      <w:r w:rsidR="00312C86" w:rsidRPr="00312C86">
        <w:t> </w:t>
      </w:r>
      <w:r w:rsidR="00E2569B" w:rsidRPr="00312C86">
        <w:t>219</w:t>
      </w:r>
      <w:r w:rsidRPr="00312C86">
        <w:t>(4) of the National Credit Act, ASIC is not required to permit a person to inspect a document register, or to make any part of a document register available to the public.</w:t>
      </w:r>
    </w:p>
    <w:p w:rsidR="003924C6" w:rsidRPr="00312C86" w:rsidRDefault="00084D01" w:rsidP="00084D01">
      <w:pPr>
        <w:pStyle w:val="ActHead9"/>
      </w:pPr>
      <w:bookmarkStart w:id="28" w:name="_Toc517938670"/>
      <w:r w:rsidRPr="00312C86">
        <w:t>Superannuation Auditor Registration Imposition Regulation</w:t>
      </w:r>
      <w:r w:rsidR="00312C86" w:rsidRPr="00312C86">
        <w:t> </w:t>
      </w:r>
      <w:r w:rsidRPr="00312C86">
        <w:t>2012</w:t>
      </w:r>
      <w:bookmarkEnd w:id="28"/>
    </w:p>
    <w:p w:rsidR="006540A9" w:rsidRPr="00312C86" w:rsidRDefault="00B54999" w:rsidP="006540A9">
      <w:pPr>
        <w:pStyle w:val="ItemHead"/>
      </w:pPr>
      <w:r w:rsidRPr="00312C86">
        <w:t>38</w:t>
      </w:r>
      <w:r w:rsidR="006540A9" w:rsidRPr="00312C86">
        <w:t xml:space="preserve">  Section</w:t>
      </w:r>
      <w:r w:rsidR="00312C86" w:rsidRPr="00312C86">
        <w:t> </w:t>
      </w:r>
      <w:r w:rsidR="006540A9" w:rsidRPr="00312C86">
        <w:t>3</w:t>
      </w:r>
    </w:p>
    <w:p w:rsidR="006540A9" w:rsidRPr="00312C86" w:rsidRDefault="006540A9" w:rsidP="006540A9">
      <w:pPr>
        <w:pStyle w:val="Item"/>
      </w:pPr>
      <w:r w:rsidRPr="00312C86">
        <w:t>Insert:</w:t>
      </w:r>
    </w:p>
    <w:p w:rsidR="006540A9" w:rsidRPr="00312C86" w:rsidRDefault="006540A9" w:rsidP="006540A9">
      <w:pPr>
        <w:pStyle w:val="Definition"/>
      </w:pPr>
      <w:r w:rsidRPr="00312C86">
        <w:rPr>
          <w:b/>
          <w:i/>
        </w:rPr>
        <w:t>indexable matter</w:t>
      </w:r>
      <w:r w:rsidRPr="00312C86">
        <w:t>: see subsection</w:t>
      </w:r>
      <w:r w:rsidR="00312C86" w:rsidRPr="00312C86">
        <w:t> </w:t>
      </w:r>
      <w:r w:rsidRPr="00312C86">
        <w:t>5(2).</w:t>
      </w:r>
    </w:p>
    <w:p w:rsidR="00BB3022" w:rsidRPr="00312C86" w:rsidRDefault="00B54999" w:rsidP="006A7502">
      <w:pPr>
        <w:pStyle w:val="ItemHead"/>
      </w:pPr>
      <w:r w:rsidRPr="00312C86">
        <w:t>39</w:t>
      </w:r>
      <w:r w:rsidR="00BB3022" w:rsidRPr="00312C86">
        <w:t xml:space="preserve">  Section</w:t>
      </w:r>
      <w:r w:rsidR="00312C86" w:rsidRPr="00312C86">
        <w:t> </w:t>
      </w:r>
      <w:r w:rsidR="00BB3022" w:rsidRPr="00312C86">
        <w:t>4</w:t>
      </w:r>
    </w:p>
    <w:p w:rsidR="00BB3022" w:rsidRPr="00312C86" w:rsidRDefault="00BB3022" w:rsidP="00BB3022">
      <w:pPr>
        <w:pStyle w:val="Item"/>
      </w:pPr>
      <w:r w:rsidRPr="00312C86">
        <w:t>Repeal the section, substitute:</w:t>
      </w:r>
    </w:p>
    <w:p w:rsidR="001D666A" w:rsidRPr="00312C86" w:rsidRDefault="0066435D" w:rsidP="001D666A">
      <w:pPr>
        <w:pStyle w:val="ActHead5"/>
      </w:pPr>
      <w:bookmarkStart w:id="29" w:name="_Toc517938671"/>
      <w:r w:rsidRPr="00312C86">
        <w:rPr>
          <w:rStyle w:val="CharSectno"/>
        </w:rPr>
        <w:t>4</w:t>
      </w:r>
      <w:r w:rsidRPr="00312C86">
        <w:t xml:space="preserve">  ASIC f</w:t>
      </w:r>
      <w:r w:rsidR="001D666A" w:rsidRPr="00312C86">
        <w:t>ees</w:t>
      </w:r>
      <w:bookmarkEnd w:id="29"/>
    </w:p>
    <w:p w:rsidR="001D666A" w:rsidRPr="00312C86" w:rsidRDefault="001D666A" w:rsidP="001D666A">
      <w:pPr>
        <w:pStyle w:val="subsection"/>
      </w:pPr>
      <w:r w:rsidRPr="00312C86">
        <w:tab/>
      </w:r>
      <w:r w:rsidRPr="00312C86">
        <w:tab/>
        <w:t>For the purposes of section</w:t>
      </w:r>
      <w:r w:rsidR="00312C86" w:rsidRPr="00312C86">
        <w:t> </w:t>
      </w:r>
      <w:r w:rsidRPr="00312C86">
        <w:t xml:space="preserve">4 of the Act, the </w:t>
      </w:r>
      <w:r w:rsidR="000136EF" w:rsidRPr="00312C86">
        <w:t>fee mentioned in column 2 of an item of the following table is prescribed for the matter mentioned in column 1 of the item</w:t>
      </w:r>
      <w:r w:rsidRPr="00312C86">
        <w:t>.</w:t>
      </w:r>
    </w:p>
    <w:p w:rsidR="001D666A" w:rsidRPr="00312C86" w:rsidRDefault="001D666A" w:rsidP="001D666A">
      <w:pPr>
        <w:pStyle w:val="Tabletext"/>
      </w:pP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622"/>
        <w:gridCol w:w="1138"/>
      </w:tblGrid>
      <w:tr w:rsidR="001D666A" w:rsidRPr="00312C86" w:rsidTr="00C14674">
        <w:trPr>
          <w:trHeight w:val="57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1D666A" w:rsidRPr="00312C86" w:rsidRDefault="0066435D" w:rsidP="00727845">
            <w:pPr>
              <w:pStyle w:val="TableHeading"/>
              <w:rPr>
                <w:lang w:eastAsia="en-US"/>
              </w:rPr>
            </w:pPr>
            <w:r w:rsidRPr="00312C86">
              <w:rPr>
                <w:lang w:eastAsia="en-US"/>
              </w:rPr>
              <w:t>ASIC f</w:t>
            </w:r>
            <w:r w:rsidR="001D666A" w:rsidRPr="00312C86">
              <w:rPr>
                <w:lang w:eastAsia="en-US"/>
              </w:rPr>
              <w:t>ees</w:t>
            </w:r>
          </w:p>
        </w:tc>
      </w:tr>
      <w:tr w:rsidR="001D666A" w:rsidRPr="00312C86" w:rsidTr="00C14674">
        <w:trPr>
          <w:trHeight w:val="57"/>
          <w:tblHeader/>
        </w:trPr>
        <w:tc>
          <w:tcPr>
            <w:tcW w:w="451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D666A" w:rsidRPr="00312C86" w:rsidRDefault="001D666A" w:rsidP="00727845">
            <w:pPr>
              <w:pStyle w:val="TableHeading"/>
              <w:rPr>
                <w:lang w:eastAsia="en-US"/>
              </w:rPr>
            </w:pPr>
            <w:r w:rsidRPr="00312C86">
              <w:rPr>
                <w:lang w:eastAsia="en-US"/>
              </w:rPr>
              <w:t>Item</w:t>
            </w:r>
          </w:p>
        </w:tc>
        <w:tc>
          <w:tcPr>
            <w:tcW w:w="388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D666A" w:rsidRPr="00312C86" w:rsidRDefault="001D666A" w:rsidP="00727845">
            <w:pPr>
              <w:pStyle w:val="TableHeading"/>
              <w:rPr>
                <w:lang w:eastAsia="en-US"/>
              </w:rPr>
            </w:pPr>
            <w:r w:rsidRPr="00312C86">
              <w:rPr>
                <w:lang w:eastAsia="en-US"/>
              </w:rPr>
              <w:t>Column 1</w:t>
            </w:r>
            <w:r w:rsidRPr="00312C86">
              <w:rPr>
                <w:lang w:eastAsia="en-US"/>
              </w:rPr>
              <w:br/>
              <w:t>Fee payable for ...</w:t>
            </w:r>
          </w:p>
        </w:tc>
        <w:tc>
          <w:tcPr>
            <w:tcW w:w="667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D666A" w:rsidRPr="00312C86" w:rsidRDefault="001D666A" w:rsidP="00727845">
            <w:pPr>
              <w:pStyle w:val="TableHeading"/>
              <w:rPr>
                <w:lang w:eastAsia="en-US"/>
              </w:rPr>
            </w:pPr>
            <w:r w:rsidRPr="00312C86">
              <w:rPr>
                <w:lang w:eastAsia="en-US"/>
              </w:rPr>
              <w:t>Column 2</w:t>
            </w:r>
            <w:r w:rsidRPr="00312C86">
              <w:rPr>
                <w:lang w:eastAsia="en-US"/>
              </w:rPr>
              <w:br/>
              <w:t>Fee</w:t>
            </w:r>
          </w:p>
        </w:tc>
      </w:tr>
      <w:tr w:rsidR="001D666A" w:rsidRPr="00312C86" w:rsidTr="00C14674">
        <w:tc>
          <w:tcPr>
            <w:tcW w:w="45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1</w:t>
            </w:r>
          </w:p>
        </w:tc>
        <w:tc>
          <w:tcPr>
            <w:tcW w:w="38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66A" w:rsidRPr="00312C86" w:rsidRDefault="008606A5" w:rsidP="00727845">
            <w:pPr>
              <w:pStyle w:val="Tabletext"/>
            </w:pPr>
            <w:r w:rsidRPr="00312C86">
              <w:t>a</w:t>
            </w:r>
            <w:r w:rsidR="001D666A" w:rsidRPr="00312C86">
              <w:t>pplying for registration as an approved SMSF auditor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$1,927</w:t>
            </w:r>
          </w:p>
        </w:tc>
      </w:tr>
      <w:tr w:rsidR="001D666A" w:rsidRPr="00312C86" w:rsidTr="00C14674">
        <w:tc>
          <w:tcPr>
            <w:tcW w:w="451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1A</w:t>
            </w:r>
          </w:p>
        </w:tc>
        <w:tc>
          <w:tcPr>
            <w:tcW w:w="3882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8606A5" w:rsidP="00727845">
            <w:pPr>
              <w:pStyle w:val="Tabletext"/>
            </w:pPr>
            <w:r w:rsidRPr="00312C86">
              <w:t>a</w:t>
            </w:r>
            <w:r w:rsidR="001D666A" w:rsidRPr="00312C86">
              <w:t>pplying for conditions imposed on registration as an approved SMSF auditor to be varied or revoked under section</w:t>
            </w:r>
            <w:r w:rsidR="00312C86" w:rsidRPr="00312C86">
              <w:t> </w:t>
            </w:r>
            <w:r w:rsidR="001D666A" w:rsidRPr="00312C86">
              <w:t>128D of the SIS Act</w:t>
            </w:r>
          </w:p>
        </w:tc>
        <w:tc>
          <w:tcPr>
            <w:tcW w:w="667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$1,028</w:t>
            </w:r>
          </w:p>
        </w:tc>
      </w:tr>
      <w:tr w:rsidR="001D666A" w:rsidRPr="00312C86" w:rsidTr="00C14674">
        <w:tc>
          <w:tcPr>
            <w:tcW w:w="4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1B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8606A5" w:rsidP="00727845">
            <w:pPr>
              <w:pStyle w:val="Tabletext"/>
            </w:pPr>
            <w:r w:rsidRPr="00312C86">
              <w:t>a</w:t>
            </w:r>
            <w:r w:rsidR="001D666A" w:rsidRPr="00312C86">
              <w:t>pplying for registration as an approved SMSF auditor to be cancelled under section</w:t>
            </w:r>
            <w:r w:rsidR="00312C86" w:rsidRPr="00312C86">
              <w:t> </w:t>
            </w:r>
            <w:r w:rsidR="001D666A" w:rsidRPr="00312C86">
              <w:t>128E of the SIS Act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$899</w:t>
            </w:r>
          </w:p>
        </w:tc>
      </w:tr>
      <w:tr w:rsidR="001D666A" w:rsidRPr="00312C86" w:rsidTr="00C14674">
        <w:tc>
          <w:tcPr>
            <w:tcW w:w="4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2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8606A5" w:rsidP="00727845">
            <w:pPr>
              <w:pStyle w:val="Tabletext"/>
            </w:pPr>
            <w:r w:rsidRPr="00312C86">
              <w:t>u</w:t>
            </w:r>
            <w:r w:rsidR="001D666A" w:rsidRPr="00312C86">
              <w:t>ndertaking a competency examination in accordance with section</w:t>
            </w:r>
            <w:r w:rsidR="00312C86" w:rsidRPr="00312C86">
              <w:t> </w:t>
            </w:r>
            <w:r w:rsidR="001D666A" w:rsidRPr="00312C86">
              <w:t>128C of the SIS Act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$107</w:t>
            </w:r>
          </w:p>
        </w:tc>
      </w:tr>
      <w:tr w:rsidR="001D666A" w:rsidRPr="00312C86" w:rsidTr="00C14674">
        <w:tc>
          <w:tcPr>
            <w:tcW w:w="4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3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8606A5" w:rsidP="00727845">
            <w:pPr>
              <w:pStyle w:val="Tabletext"/>
            </w:pPr>
            <w:r w:rsidRPr="00312C86">
              <w:t>g</w:t>
            </w:r>
            <w:r w:rsidR="001D666A" w:rsidRPr="00312C86">
              <w:t>iving the Regulator a statement under section</w:t>
            </w:r>
            <w:r w:rsidR="00312C86" w:rsidRPr="00312C86">
              <w:t> </w:t>
            </w:r>
            <w:r w:rsidR="001D666A" w:rsidRPr="00312C86">
              <w:t>128G of the SIS Act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E7069D" w:rsidP="00727845">
            <w:pPr>
              <w:pStyle w:val="Tabletext"/>
            </w:pPr>
            <w:r w:rsidRPr="00312C86">
              <w:t>n</w:t>
            </w:r>
            <w:r w:rsidR="008678A7" w:rsidRPr="00312C86">
              <w:t>il</w:t>
            </w:r>
          </w:p>
        </w:tc>
      </w:tr>
      <w:tr w:rsidR="001D666A" w:rsidRPr="00312C86" w:rsidTr="00C14674">
        <w:tc>
          <w:tcPr>
            <w:tcW w:w="4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4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8606A5" w:rsidP="00727845">
            <w:pPr>
              <w:pStyle w:val="Tabletext"/>
            </w:pPr>
            <w:r w:rsidRPr="00312C86">
              <w:t>g</w:t>
            </w:r>
            <w:r w:rsidR="001D666A" w:rsidRPr="00312C86">
              <w:t>iving to the Regulator a statement under section</w:t>
            </w:r>
            <w:r w:rsidR="00312C86" w:rsidRPr="00312C86">
              <w:t> </w:t>
            </w:r>
            <w:r w:rsidR="001D666A" w:rsidRPr="00312C86">
              <w:t>128G of the SIS Act within 1 month after it fell due (in addition to the fee payable because of item</w:t>
            </w:r>
            <w:r w:rsidR="00312C86" w:rsidRPr="00312C86">
              <w:t> </w:t>
            </w:r>
            <w:r w:rsidR="001D666A" w:rsidRPr="00312C86">
              <w:t>3)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E7069D" w:rsidP="00727845">
            <w:pPr>
              <w:pStyle w:val="Tabletext"/>
            </w:pPr>
            <w:r w:rsidRPr="00312C86">
              <w:t>n</w:t>
            </w:r>
            <w:r w:rsidR="001D666A" w:rsidRPr="00312C86">
              <w:t>il</w:t>
            </w:r>
          </w:p>
        </w:tc>
      </w:tr>
      <w:tr w:rsidR="001D666A" w:rsidRPr="00312C86" w:rsidTr="00C14674">
        <w:tc>
          <w:tcPr>
            <w:tcW w:w="4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5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8606A5" w:rsidP="00727845">
            <w:pPr>
              <w:pStyle w:val="Tabletext"/>
            </w:pPr>
            <w:r w:rsidRPr="00312C86">
              <w:t>g</w:t>
            </w:r>
            <w:r w:rsidR="001D666A" w:rsidRPr="00312C86">
              <w:t>iving to the Regulator a statement under section</w:t>
            </w:r>
            <w:r w:rsidR="00312C86" w:rsidRPr="00312C86">
              <w:t> </w:t>
            </w:r>
            <w:r w:rsidR="001D666A" w:rsidRPr="00312C86">
              <w:t>128G of the SIS Act more than 1 month after it fell due (in addition to the fee payable because of item</w:t>
            </w:r>
            <w:r w:rsidR="00312C86" w:rsidRPr="00312C86">
              <w:t> </w:t>
            </w:r>
            <w:r w:rsidR="001D666A" w:rsidRPr="00312C86">
              <w:t>3)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E7069D" w:rsidP="00727845">
            <w:pPr>
              <w:pStyle w:val="Tabletext"/>
            </w:pPr>
            <w:r w:rsidRPr="00312C86">
              <w:t>n</w:t>
            </w:r>
            <w:r w:rsidR="001D666A" w:rsidRPr="00312C86">
              <w:t>il</w:t>
            </w:r>
          </w:p>
        </w:tc>
      </w:tr>
      <w:tr w:rsidR="001D666A" w:rsidRPr="00312C86" w:rsidTr="00C14674">
        <w:tc>
          <w:tcPr>
            <w:tcW w:w="4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6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8606A5" w:rsidP="00727845">
            <w:pPr>
              <w:pStyle w:val="Tabletext"/>
            </w:pPr>
            <w:r w:rsidRPr="00312C86">
              <w:t>g</w:t>
            </w:r>
            <w:r w:rsidR="001D666A" w:rsidRPr="00312C86">
              <w:t>iving to the Regulator particulars under section</w:t>
            </w:r>
            <w:r w:rsidR="00312C86" w:rsidRPr="00312C86">
              <w:t> </w:t>
            </w:r>
            <w:r w:rsidR="001D666A" w:rsidRPr="00312C86">
              <w:t>128H of the SIS Act within 1 month after they fell due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D666A" w:rsidRPr="00312C86" w:rsidRDefault="00E7069D" w:rsidP="00727845">
            <w:pPr>
              <w:pStyle w:val="Tabletext"/>
            </w:pPr>
            <w:r w:rsidRPr="00312C86">
              <w:t>n</w:t>
            </w:r>
            <w:r w:rsidR="001D666A" w:rsidRPr="00312C86">
              <w:t>il</w:t>
            </w:r>
          </w:p>
        </w:tc>
      </w:tr>
      <w:tr w:rsidR="001D666A" w:rsidRPr="00312C86" w:rsidTr="00C14674">
        <w:tc>
          <w:tcPr>
            <w:tcW w:w="45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D666A" w:rsidRPr="00312C86" w:rsidRDefault="001D666A" w:rsidP="00727845">
            <w:pPr>
              <w:pStyle w:val="Tabletext"/>
            </w:pPr>
            <w:r w:rsidRPr="00312C86">
              <w:t>7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D666A" w:rsidRPr="00312C86" w:rsidRDefault="008606A5" w:rsidP="00727845">
            <w:pPr>
              <w:pStyle w:val="Tabletext"/>
            </w:pPr>
            <w:r w:rsidRPr="00312C86">
              <w:t>g</w:t>
            </w:r>
            <w:r w:rsidR="001D666A" w:rsidRPr="00312C86">
              <w:t>iving to the Regulator particulars under section</w:t>
            </w:r>
            <w:r w:rsidR="00312C86" w:rsidRPr="00312C86">
              <w:t> </w:t>
            </w:r>
            <w:r w:rsidR="001D666A" w:rsidRPr="00312C86">
              <w:t>128H of the SIS Act more than 1 month after they fell due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D666A" w:rsidRPr="00312C86" w:rsidRDefault="00E7069D" w:rsidP="00727845">
            <w:pPr>
              <w:pStyle w:val="Tabletext"/>
            </w:pPr>
            <w:r w:rsidRPr="00312C86">
              <w:t>n</w:t>
            </w:r>
            <w:r w:rsidR="001D666A" w:rsidRPr="00312C86">
              <w:t>il</w:t>
            </w:r>
          </w:p>
        </w:tc>
      </w:tr>
    </w:tbl>
    <w:p w:rsidR="0066435D" w:rsidRPr="00312C86" w:rsidRDefault="0066435D" w:rsidP="0066435D">
      <w:pPr>
        <w:pStyle w:val="ActHead5"/>
      </w:pPr>
      <w:bookmarkStart w:id="30" w:name="_Toc517938672"/>
      <w:r w:rsidRPr="00312C86">
        <w:rPr>
          <w:rStyle w:val="CharSectno"/>
        </w:rPr>
        <w:t>4A</w:t>
      </w:r>
      <w:r w:rsidRPr="00312C86">
        <w:t xml:space="preserve">  Registry fees</w:t>
      </w:r>
      <w:bookmarkEnd w:id="30"/>
    </w:p>
    <w:p w:rsidR="0066435D" w:rsidRPr="00312C86" w:rsidRDefault="0066435D" w:rsidP="0066435D">
      <w:pPr>
        <w:pStyle w:val="subsection"/>
      </w:pPr>
      <w:r w:rsidRPr="00312C86">
        <w:tab/>
      </w:r>
      <w:r w:rsidRPr="00312C86">
        <w:tab/>
        <w:t>For the purposes of section</w:t>
      </w:r>
      <w:r w:rsidR="00312C86" w:rsidRPr="00312C86">
        <w:t> </w:t>
      </w:r>
      <w:r w:rsidRPr="00312C86">
        <w:t>4 of the Act, the fee mentioned in column 2 of an item of the following table is prescribed for the matter mentioned in column 1 of the item.</w:t>
      </w:r>
    </w:p>
    <w:p w:rsidR="0066435D" w:rsidRPr="00312C86" w:rsidRDefault="0066435D" w:rsidP="0066435D">
      <w:pPr>
        <w:pStyle w:val="Tabletext"/>
      </w:pP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622"/>
        <w:gridCol w:w="1138"/>
      </w:tblGrid>
      <w:tr w:rsidR="0066435D" w:rsidRPr="00312C86" w:rsidTr="00C14674">
        <w:trPr>
          <w:trHeight w:val="57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35D" w:rsidRPr="00312C86" w:rsidRDefault="0066435D" w:rsidP="00DC24DF">
            <w:pPr>
              <w:pStyle w:val="TableHeading"/>
              <w:rPr>
                <w:lang w:eastAsia="en-US"/>
              </w:rPr>
            </w:pPr>
            <w:r w:rsidRPr="00312C86">
              <w:rPr>
                <w:lang w:eastAsia="en-US"/>
              </w:rPr>
              <w:lastRenderedPageBreak/>
              <w:t>Registry fees</w:t>
            </w:r>
          </w:p>
        </w:tc>
      </w:tr>
      <w:tr w:rsidR="0066435D" w:rsidRPr="00312C86" w:rsidTr="00C14674">
        <w:trPr>
          <w:trHeight w:val="57"/>
          <w:tblHeader/>
        </w:trPr>
        <w:tc>
          <w:tcPr>
            <w:tcW w:w="451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66435D" w:rsidRPr="00312C86" w:rsidRDefault="0066435D" w:rsidP="00DC24DF">
            <w:pPr>
              <w:pStyle w:val="TableHeading"/>
              <w:rPr>
                <w:lang w:eastAsia="en-US"/>
              </w:rPr>
            </w:pPr>
            <w:r w:rsidRPr="00312C86">
              <w:rPr>
                <w:lang w:eastAsia="en-US"/>
              </w:rPr>
              <w:t>Item</w:t>
            </w:r>
          </w:p>
        </w:tc>
        <w:tc>
          <w:tcPr>
            <w:tcW w:w="388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66435D" w:rsidRPr="00312C86" w:rsidRDefault="0066435D" w:rsidP="00DC24DF">
            <w:pPr>
              <w:pStyle w:val="TableHeading"/>
              <w:rPr>
                <w:lang w:eastAsia="en-US"/>
              </w:rPr>
            </w:pPr>
            <w:r w:rsidRPr="00312C86">
              <w:rPr>
                <w:lang w:eastAsia="en-US"/>
              </w:rPr>
              <w:t>Column 1</w:t>
            </w:r>
            <w:r w:rsidRPr="00312C86">
              <w:rPr>
                <w:lang w:eastAsia="en-US"/>
              </w:rPr>
              <w:br/>
              <w:t>Fee payable for ...</w:t>
            </w:r>
          </w:p>
        </w:tc>
        <w:tc>
          <w:tcPr>
            <w:tcW w:w="667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66435D" w:rsidRPr="00312C86" w:rsidRDefault="0066435D" w:rsidP="00DC24DF">
            <w:pPr>
              <w:pStyle w:val="TableHeading"/>
              <w:rPr>
                <w:lang w:eastAsia="en-US"/>
              </w:rPr>
            </w:pPr>
            <w:r w:rsidRPr="00312C86">
              <w:rPr>
                <w:lang w:eastAsia="en-US"/>
              </w:rPr>
              <w:t>Column 2</w:t>
            </w:r>
            <w:r w:rsidRPr="00312C86">
              <w:rPr>
                <w:lang w:eastAsia="en-US"/>
              </w:rPr>
              <w:br/>
              <w:t>Fee</w:t>
            </w:r>
          </w:p>
        </w:tc>
      </w:tr>
      <w:tr w:rsidR="0066435D" w:rsidRPr="00312C86" w:rsidTr="00C14674">
        <w:tc>
          <w:tcPr>
            <w:tcW w:w="45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435D" w:rsidRPr="00312C86" w:rsidRDefault="003B24A2" w:rsidP="00DC24DF">
            <w:pPr>
              <w:pStyle w:val="Tabletext"/>
            </w:pPr>
            <w:r w:rsidRPr="00312C86">
              <w:t>1</w:t>
            </w:r>
          </w:p>
        </w:tc>
        <w:tc>
          <w:tcPr>
            <w:tcW w:w="38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435D" w:rsidRPr="00312C86" w:rsidRDefault="008606A5" w:rsidP="00DC24DF">
            <w:pPr>
              <w:pStyle w:val="Tabletext"/>
            </w:pPr>
            <w:r w:rsidRPr="00312C86">
              <w:t>i</w:t>
            </w:r>
            <w:r w:rsidR="0066435D" w:rsidRPr="00312C86">
              <w:t>nspecting or searching a register that the Regulator keeps under Division</w:t>
            </w:r>
            <w:r w:rsidR="00312C86" w:rsidRPr="00312C86">
              <w:t> </w:t>
            </w:r>
            <w:r w:rsidR="0066435D" w:rsidRPr="00312C86">
              <w:t>1A of Part</w:t>
            </w:r>
            <w:r w:rsidR="00312C86" w:rsidRPr="00312C86">
              <w:t> </w:t>
            </w:r>
            <w:r w:rsidR="0066435D" w:rsidRPr="00312C86">
              <w:t>16 of the SIS Act for a current extract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435D" w:rsidRPr="00312C86" w:rsidRDefault="00E7069D" w:rsidP="00DC24DF">
            <w:pPr>
              <w:pStyle w:val="Tabletext"/>
            </w:pPr>
            <w:r w:rsidRPr="00312C86">
              <w:t>n</w:t>
            </w:r>
            <w:r w:rsidR="0066435D" w:rsidRPr="00312C86">
              <w:t>il</w:t>
            </w:r>
          </w:p>
        </w:tc>
      </w:tr>
      <w:tr w:rsidR="0066435D" w:rsidRPr="00312C86" w:rsidTr="00C14674">
        <w:tc>
          <w:tcPr>
            <w:tcW w:w="451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6435D" w:rsidRPr="00312C86" w:rsidRDefault="003B24A2" w:rsidP="00DC24DF">
            <w:pPr>
              <w:pStyle w:val="Tabletext"/>
            </w:pPr>
            <w:r w:rsidRPr="00312C86">
              <w:t>2</w:t>
            </w:r>
          </w:p>
        </w:tc>
        <w:tc>
          <w:tcPr>
            <w:tcW w:w="3882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6435D" w:rsidRPr="00312C86" w:rsidRDefault="008606A5" w:rsidP="00DC24DF">
            <w:pPr>
              <w:pStyle w:val="Tabletext"/>
            </w:pPr>
            <w:r w:rsidRPr="00312C86">
              <w:t>i</w:t>
            </w:r>
            <w:r w:rsidR="0066435D" w:rsidRPr="00312C86">
              <w:t>nspecting or searching a register that the Regulator keeps under Division</w:t>
            </w:r>
            <w:r w:rsidR="00312C86" w:rsidRPr="00312C86">
              <w:t> </w:t>
            </w:r>
            <w:r w:rsidR="0066435D" w:rsidRPr="00312C86">
              <w:t>1A of Part</w:t>
            </w:r>
            <w:r w:rsidR="00312C86" w:rsidRPr="00312C86">
              <w:t> </w:t>
            </w:r>
            <w:r w:rsidR="0066435D" w:rsidRPr="00312C86">
              <w:t>16 of the SIS Act for a historical extract</w:t>
            </w:r>
          </w:p>
        </w:tc>
        <w:tc>
          <w:tcPr>
            <w:tcW w:w="667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6435D" w:rsidRPr="00312C86" w:rsidRDefault="0066435D" w:rsidP="00DC24DF">
            <w:pPr>
              <w:pStyle w:val="Tabletext"/>
            </w:pPr>
            <w:r w:rsidRPr="00312C86">
              <w:t>$19</w:t>
            </w:r>
          </w:p>
        </w:tc>
      </w:tr>
      <w:tr w:rsidR="0066435D" w:rsidRPr="00312C86" w:rsidTr="00C14674">
        <w:tc>
          <w:tcPr>
            <w:tcW w:w="4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6435D" w:rsidRPr="00312C86" w:rsidRDefault="003B24A2" w:rsidP="00DC24DF">
            <w:pPr>
              <w:pStyle w:val="Tabletext"/>
            </w:pPr>
            <w:r w:rsidRPr="00312C86">
              <w:t>3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6435D" w:rsidRPr="00312C86" w:rsidRDefault="008606A5" w:rsidP="00DC24DF">
            <w:pPr>
              <w:pStyle w:val="Tabletext"/>
            </w:pPr>
            <w:r w:rsidRPr="00312C86">
              <w:t>i</w:t>
            </w:r>
            <w:r w:rsidR="0066435D" w:rsidRPr="00312C86">
              <w:t>nspecting or searching an extract of 10 pages or less given to or issued by the Regulator under Division</w:t>
            </w:r>
            <w:r w:rsidR="00312C86" w:rsidRPr="00312C86">
              <w:t> </w:t>
            </w:r>
            <w:r w:rsidR="0066435D" w:rsidRPr="00312C86">
              <w:t>1A of Part</w:t>
            </w:r>
            <w:r w:rsidR="00312C86" w:rsidRPr="00312C86">
              <w:t> </w:t>
            </w:r>
            <w:r w:rsidR="0066435D" w:rsidRPr="00312C86">
              <w:t>16 of the SIS Act (other than an order made under subsection</w:t>
            </w:r>
            <w:r w:rsidR="00312C86" w:rsidRPr="00312C86">
              <w:t> </w:t>
            </w:r>
            <w:r w:rsidR="0066435D" w:rsidRPr="00312C86">
              <w:t>130F(2) of the SIS Act)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6435D" w:rsidRPr="00312C86" w:rsidRDefault="0066435D" w:rsidP="00DC24DF">
            <w:pPr>
              <w:pStyle w:val="Tabletext"/>
            </w:pPr>
            <w:r w:rsidRPr="00312C86">
              <w:t>$19</w:t>
            </w:r>
          </w:p>
        </w:tc>
      </w:tr>
      <w:tr w:rsidR="0066435D" w:rsidRPr="00312C86" w:rsidTr="00C14674">
        <w:tc>
          <w:tcPr>
            <w:tcW w:w="45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6435D" w:rsidRPr="00312C86" w:rsidRDefault="003B24A2" w:rsidP="00DC24DF">
            <w:pPr>
              <w:pStyle w:val="Tabletext"/>
            </w:pPr>
            <w:r w:rsidRPr="00312C86">
              <w:t>4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6435D" w:rsidRPr="00312C86" w:rsidRDefault="008606A5" w:rsidP="00DC24DF">
            <w:pPr>
              <w:pStyle w:val="Tabletext"/>
            </w:pPr>
            <w:r w:rsidRPr="00312C86">
              <w:t>i</w:t>
            </w:r>
            <w:r w:rsidR="0066435D" w:rsidRPr="00312C86">
              <w:t>nspecting or searching an extract of more than 10</w:t>
            </w:r>
            <w:r w:rsidR="00346DA1" w:rsidRPr="00312C86">
              <w:t xml:space="preserve"> </w:t>
            </w:r>
            <w:r w:rsidR="0066435D" w:rsidRPr="00312C86">
              <w:t>pages given to or issued by the Regulator under Division</w:t>
            </w:r>
            <w:r w:rsidR="00312C86" w:rsidRPr="00312C86">
              <w:t> </w:t>
            </w:r>
            <w:r w:rsidR="0066435D" w:rsidRPr="00312C86">
              <w:t>1A of Part</w:t>
            </w:r>
            <w:r w:rsidR="00312C86" w:rsidRPr="00312C86">
              <w:t> </w:t>
            </w:r>
            <w:r w:rsidR="0066435D" w:rsidRPr="00312C86">
              <w:t>16 of the SIS Act (other than an order made under subsection</w:t>
            </w:r>
            <w:r w:rsidR="00312C86" w:rsidRPr="00312C86">
              <w:t> </w:t>
            </w:r>
            <w:r w:rsidR="0066435D" w:rsidRPr="00312C86">
              <w:t>130F(2) of the SIS Act)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6435D" w:rsidRPr="00312C86" w:rsidRDefault="00F051DC" w:rsidP="00DC24DF">
            <w:pPr>
              <w:pStyle w:val="Tabletext"/>
            </w:pPr>
            <w:r w:rsidRPr="00312C86">
              <w:t>$40</w:t>
            </w:r>
          </w:p>
        </w:tc>
      </w:tr>
    </w:tbl>
    <w:p w:rsidR="00285754" w:rsidRPr="00312C86" w:rsidRDefault="00B54999" w:rsidP="001B3166">
      <w:pPr>
        <w:pStyle w:val="ItemHead"/>
      </w:pPr>
      <w:r w:rsidRPr="00312C86">
        <w:t>40</w:t>
      </w:r>
      <w:r w:rsidR="00285754" w:rsidRPr="00312C86">
        <w:t xml:space="preserve">  </w:t>
      </w:r>
      <w:r w:rsidR="001B3166" w:rsidRPr="00312C86">
        <w:t>Subsection</w:t>
      </w:r>
      <w:r w:rsidR="003B1490" w:rsidRPr="00312C86">
        <w:t>s</w:t>
      </w:r>
      <w:r w:rsidR="00312C86" w:rsidRPr="00312C86">
        <w:t> </w:t>
      </w:r>
      <w:r w:rsidR="001B3166" w:rsidRPr="00312C86">
        <w:t>5(1)</w:t>
      </w:r>
      <w:r w:rsidR="003B1490" w:rsidRPr="00312C86">
        <w:t xml:space="preserve"> and (2)</w:t>
      </w:r>
    </w:p>
    <w:p w:rsidR="001B3166" w:rsidRPr="00312C86" w:rsidRDefault="001B3166" w:rsidP="001B3166">
      <w:pPr>
        <w:pStyle w:val="Item"/>
      </w:pPr>
      <w:r w:rsidRPr="00312C86">
        <w:t>Repeal the subsection</w:t>
      </w:r>
      <w:r w:rsidR="003B1490" w:rsidRPr="00312C86">
        <w:t>s</w:t>
      </w:r>
      <w:r w:rsidRPr="00312C86">
        <w:t>, substitute:</w:t>
      </w:r>
    </w:p>
    <w:p w:rsidR="006A6E28" w:rsidRPr="00312C86" w:rsidRDefault="001B3166" w:rsidP="006A6E28">
      <w:pPr>
        <w:pStyle w:val="subsection"/>
      </w:pPr>
      <w:r w:rsidRPr="00312C86">
        <w:tab/>
        <w:t>(1)</w:t>
      </w:r>
      <w:r w:rsidRPr="00312C86">
        <w:tab/>
      </w:r>
      <w:r w:rsidR="003B1490" w:rsidRPr="00312C86">
        <w:t xml:space="preserve">For </w:t>
      </w:r>
      <w:r w:rsidR="002162B7" w:rsidRPr="00312C86">
        <w:t xml:space="preserve">the purposes of </w:t>
      </w:r>
      <w:r w:rsidR="003B1490" w:rsidRPr="00312C86">
        <w:t>paragraph</w:t>
      </w:r>
      <w:r w:rsidR="00312C86" w:rsidRPr="00312C86">
        <w:t> </w:t>
      </w:r>
      <w:r w:rsidR="003B1490" w:rsidRPr="00312C86">
        <w:t xml:space="preserve">4(2)(b) of the Act, </w:t>
      </w:r>
      <w:r w:rsidR="00B075C5" w:rsidRPr="00312C86">
        <w:t xml:space="preserve">the amount of </w:t>
      </w:r>
      <w:r w:rsidR="006A6E28" w:rsidRPr="00312C86">
        <w:t xml:space="preserve">a </w:t>
      </w:r>
      <w:r w:rsidR="00B075C5" w:rsidRPr="00312C86">
        <w:t>fee</w:t>
      </w:r>
      <w:r w:rsidR="0069249E" w:rsidRPr="00312C86">
        <w:t xml:space="preserve"> on or after </w:t>
      </w:r>
      <w:r w:rsidR="00E20FFD" w:rsidRPr="00312C86">
        <w:t>4</w:t>
      </w:r>
      <w:r w:rsidR="00312C86" w:rsidRPr="00312C86">
        <w:t> </w:t>
      </w:r>
      <w:r w:rsidR="00E20FFD" w:rsidRPr="00312C86">
        <w:t>July 2018</w:t>
      </w:r>
      <w:r w:rsidR="00B075C5" w:rsidRPr="00312C86">
        <w:t xml:space="preserve"> is, subject to </w:t>
      </w:r>
      <w:r w:rsidR="00312C86" w:rsidRPr="00312C86">
        <w:t>subsections (</w:t>
      </w:r>
      <w:r w:rsidR="006540A9" w:rsidRPr="00312C86">
        <w:t>2A</w:t>
      </w:r>
      <w:r w:rsidR="00B075C5" w:rsidRPr="00312C86">
        <w:t xml:space="preserve">) </w:t>
      </w:r>
      <w:r w:rsidR="006540A9" w:rsidRPr="00312C86">
        <w:t>to (4</w:t>
      </w:r>
      <w:r w:rsidR="00B075C5" w:rsidRPr="00312C86">
        <w:t xml:space="preserve">), the amount mentioned in column 2 </w:t>
      </w:r>
      <w:r w:rsidR="006540A9" w:rsidRPr="00312C86">
        <w:t>of</w:t>
      </w:r>
      <w:r w:rsidR="00B075C5" w:rsidRPr="00312C86">
        <w:t xml:space="preserve"> </w:t>
      </w:r>
      <w:r w:rsidR="008606A5" w:rsidRPr="00312C86">
        <w:t xml:space="preserve">an item </w:t>
      </w:r>
      <w:r w:rsidR="00370ACE" w:rsidRPr="00312C86">
        <w:t xml:space="preserve">in </w:t>
      </w:r>
      <w:r w:rsidR="00B075C5" w:rsidRPr="00312C86">
        <w:t xml:space="preserve">the </w:t>
      </w:r>
      <w:r w:rsidR="003B1490" w:rsidRPr="00312C86">
        <w:t>table in section</w:t>
      </w:r>
      <w:r w:rsidR="00312C86" w:rsidRPr="00312C86">
        <w:t> </w:t>
      </w:r>
      <w:r w:rsidR="003B1490" w:rsidRPr="00312C86">
        <w:t>4</w:t>
      </w:r>
      <w:r w:rsidR="00F8535F" w:rsidRPr="00312C86">
        <w:t xml:space="preserve"> </w:t>
      </w:r>
      <w:r w:rsidR="00F535EA" w:rsidRPr="00312C86">
        <w:t>or</w:t>
      </w:r>
      <w:r w:rsidR="00F8535F" w:rsidRPr="00312C86">
        <w:t xml:space="preserve"> 4A</w:t>
      </w:r>
      <w:r w:rsidR="006A6E28" w:rsidRPr="00312C86">
        <w:t>.</w:t>
      </w:r>
    </w:p>
    <w:p w:rsidR="002D5655" w:rsidRPr="00312C86" w:rsidRDefault="002D5655" w:rsidP="006A6E28">
      <w:pPr>
        <w:pStyle w:val="SubsectionHead"/>
      </w:pPr>
      <w:r w:rsidRPr="00312C86">
        <w:t>Indexable matters</w:t>
      </w:r>
    </w:p>
    <w:p w:rsidR="002D5655" w:rsidRPr="00312C86" w:rsidRDefault="003B1490" w:rsidP="001B3166">
      <w:pPr>
        <w:pStyle w:val="subsection"/>
      </w:pPr>
      <w:r w:rsidRPr="00312C86">
        <w:tab/>
        <w:t>(2)</w:t>
      </w:r>
      <w:r w:rsidRPr="00312C86">
        <w:tab/>
      </w:r>
      <w:r w:rsidR="002D5655" w:rsidRPr="00312C86">
        <w:t xml:space="preserve">A matter is an </w:t>
      </w:r>
      <w:r w:rsidR="002D5655" w:rsidRPr="00312C86">
        <w:rPr>
          <w:b/>
          <w:i/>
        </w:rPr>
        <w:t>indexable matter</w:t>
      </w:r>
      <w:r w:rsidR="006A6E28" w:rsidRPr="00312C86">
        <w:t xml:space="preserve"> if it is</w:t>
      </w:r>
      <w:r w:rsidR="004D4D29" w:rsidRPr="00312C86">
        <w:t xml:space="preserve"> mentioned in</w:t>
      </w:r>
      <w:r w:rsidR="002D5655" w:rsidRPr="00312C86">
        <w:t xml:space="preserve"> </w:t>
      </w:r>
      <w:r w:rsidR="008606A5" w:rsidRPr="00312C86">
        <w:t xml:space="preserve">an item in </w:t>
      </w:r>
      <w:r w:rsidR="002D5655" w:rsidRPr="00312C86">
        <w:t>the table in section</w:t>
      </w:r>
      <w:r w:rsidR="00312C86" w:rsidRPr="00312C86">
        <w:t> </w:t>
      </w:r>
      <w:r w:rsidR="002D5655" w:rsidRPr="00312C86">
        <w:t>4</w:t>
      </w:r>
      <w:r w:rsidR="004D4D29" w:rsidRPr="00312C86">
        <w:t>A</w:t>
      </w:r>
      <w:r w:rsidR="00F8535F" w:rsidRPr="00312C86">
        <w:t>, and the fee is not nil</w:t>
      </w:r>
      <w:r w:rsidR="002D5655" w:rsidRPr="00312C86">
        <w:t>.</w:t>
      </w:r>
    </w:p>
    <w:p w:rsidR="001B3166" w:rsidRPr="00312C86" w:rsidRDefault="002D5655" w:rsidP="001B3166">
      <w:pPr>
        <w:pStyle w:val="subsection"/>
      </w:pPr>
      <w:r w:rsidRPr="00312C86">
        <w:tab/>
        <w:t>(2A)</w:t>
      </w:r>
      <w:r w:rsidRPr="00312C86">
        <w:tab/>
      </w:r>
      <w:r w:rsidR="001B3166" w:rsidRPr="00312C86">
        <w:t xml:space="preserve">For </w:t>
      </w:r>
      <w:r w:rsidR="002162B7" w:rsidRPr="00312C86">
        <w:t xml:space="preserve">the purposes of </w:t>
      </w:r>
      <w:r w:rsidR="001B3166" w:rsidRPr="00312C86">
        <w:t>paragraph</w:t>
      </w:r>
      <w:r w:rsidR="00312C86" w:rsidRPr="00312C86">
        <w:t> </w:t>
      </w:r>
      <w:r w:rsidR="001B3166" w:rsidRPr="00312C86">
        <w:t>4(2)(b) of the Act, in the financial year starting on 1</w:t>
      </w:r>
      <w:r w:rsidR="00312C86" w:rsidRPr="00312C86">
        <w:t> </w:t>
      </w:r>
      <w:r w:rsidR="001B3166" w:rsidRPr="00312C86">
        <w:t>July 2019, or a subsequent 1</w:t>
      </w:r>
      <w:r w:rsidR="00312C86" w:rsidRPr="00312C86">
        <w:t> </w:t>
      </w:r>
      <w:r w:rsidR="001B3166" w:rsidRPr="00312C86">
        <w:t xml:space="preserve">July, if the latest CPI number is greater than the earlier CPI number, the fee for </w:t>
      </w:r>
      <w:r w:rsidRPr="00312C86">
        <w:t xml:space="preserve">an indexable matter </w:t>
      </w:r>
      <w:r w:rsidR="001B3166" w:rsidRPr="00312C86">
        <w:t>is the amount worked out using the formula:</w:t>
      </w:r>
    </w:p>
    <w:p w:rsidR="003B1490" w:rsidRPr="00312C86" w:rsidRDefault="007C5146" w:rsidP="003B1490">
      <w:pPr>
        <w:pStyle w:val="subsection2"/>
      </w:pPr>
      <w:r w:rsidRPr="00312C86">
        <w:rPr>
          <w:position w:val="-32"/>
        </w:rPr>
        <w:object w:dxaOrig="4080" w:dyaOrig="760">
          <v:shape id="_x0000_i1026" type="#_x0000_t75" style="width:203.75pt;height:36.7pt" o:ole="">
            <v:imagedata r:id="rId23" o:title=""/>
          </v:shape>
          <o:OLEObject Type="Embed" ProgID="Equation.DSMT4" ShapeID="_x0000_i1026" DrawAspect="Content" ObjectID="_1591698847" r:id="rId24"/>
        </w:object>
      </w:r>
    </w:p>
    <w:p w:rsidR="001B3166" w:rsidRPr="00312C86" w:rsidRDefault="001B3166" w:rsidP="001B3166">
      <w:pPr>
        <w:pStyle w:val="subsection2"/>
      </w:pPr>
      <w:r w:rsidRPr="00312C86">
        <w:t>where:</w:t>
      </w:r>
    </w:p>
    <w:p w:rsidR="001B3166" w:rsidRPr="00312C86" w:rsidRDefault="001B3166" w:rsidP="001B3166">
      <w:pPr>
        <w:pStyle w:val="Definition"/>
      </w:pPr>
      <w:r w:rsidRPr="00312C86">
        <w:rPr>
          <w:b/>
          <w:i/>
        </w:rPr>
        <w:t xml:space="preserve">previous indexable amount </w:t>
      </w:r>
      <w:r w:rsidRPr="00312C86">
        <w:t xml:space="preserve">is the amount of the fee for </w:t>
      </w:r>
      <w:r w:rsidR="006A6E28" w:rsidRPr="00312C86">
        <w:t xml:space="preserve">the </w:t>
      </w:r>
      <w:r w:rsidR="002D5655" w:rsidRPr="00312C86">
        <w:t xml:space="preserve">indexable matter </w:t>
      </w:r>
      <w:r w:rsidRPr="00312C86">
        <w:t>that was applicable immediately before that 1</w:t>
      </w:r>
      <w:r w:rsidR="00312C86" w:rsidRPr="00312C86">
        <w:t> </w:t>
      </w:r>
      <w:r w:rsidRPr="00312C86">
        <w:t>July.</w:t>
      </w:r>
    </w:p>
    <w:p w:rsidR="00285754" w:rsidRPr="00312C86" w:rsidRDefault="00B54999" w:rsidP="00285754">
      <w:pPr>
        <w:pStyle w:val="ItemHead"/>
      </w:pPr>
      <w:r w:rsidRPr="00312C86">
        <w:t>41</w:t>
      </w:r>
      <w:r w:rsidR="00285754" w:rsidRPr="00312C86">
        <w:t xml:space="preserve">  Subsection</w:t>
      </w:r>
      <w:r w:rsidR="00312C86" w:rsidRPr="00312C86">
        <w:t> </w:t>
      </w:r>
      <w:r w:rsidR="00285754" w:rsidRPr="00312C86">
        <w:t>5(3)</w:t>
      </w:r>
    </w:p>
    <w:p w:rsidR="00285754" w:rsidRPr="00312C86" w:rsidRDefault="00285754" w:rsidP="00285754">
      <w:pPr>
        <w:pStyle w:val="Item"/>
      </w:pPr>
      <w:r w:rsidRPr="00312C86">
        <w:t xml:space="preserve">Omit </w:t>
      </w:r>
      <w:r w:rsidR="003502F3" w:rsidRPr="00312C86">
        <w:t>“</w:t>
      </w:r>
      <w:r w:rsidR="00280803" w:rsidRPr="00312C86">
        <w:t>the matter mentioned in an item in section</w:t>
      </w:r>
      <w:r w:rsidR="00312C86" w:rsidRPr="00312C86">
        <w:t> </w:t>
      </w:r>
      <w:r w:rsidR="00280803" w:rsidRPr="00312C86">
        <w:t>4</w:t>
      </w:r>
      <w:r w:rsidR="003502F3" w:rsidRPr="00312C86">
        <w:t>”</w:t>
      </w:r>
      <w:r w:rsidRPr="00312C86">
        <w:t xml:space="preserve">, substitute </w:t>
      </w:r>
      <w:r w:rsidR="003502F3" w:rsidRPr="00312C86">
        <w:t>“</w:t>
      </w:r>
      <w:r w:rsidR="00280803" w:rsidRPr="00312C86">
        <w:t>the matter that is an indexable matter</w:t>
      </w:r>
      <w:r w:rsidR="003502F3" w:rsidRPr="00312C86">
        <w:t>”</w:t>
      </w:r>
      <w:r w:rsidRPr="00312C86">
        <w:t>.</w:t>
      </w:r>
    </w:p>
    <w:p w:rsidR="00285754" w:rsidRPr="00312C86" w:rsidRDefault="00B54999" w:rsidP="00285754">
      <w:pPr>
        <w:pStyle w:val="ItemHead"/>
      </w:pPr>
      <w:r w:rsidRPr="00312C86">
        <w:t>42</w:t>
      </w:r>
      <w:r w:rsidR="00285754" w:rsidRPr="00312C86">
        <w:t xml:space="preserve">  Subsection</w:t>
      </w:r>
      <w:r w:rsidR="00312C86" w:rsidRPr="00312C86">
        <w:t> </w:t>
      </w:r>
      <w:r w:rsidR="00285754" w:rsidRPr="00312C86">
        <w:t>5(4)</w:t>
      </w:r>
    </w:p>
    <w:p w:rsidR="00285754" w:rsidRPr="00312C86" w:rsidRDefault="00285754" w:rsidP="00285754">
      <w:pPr>
        <w:pStyle w:val="Item"/>
      </w:pPr>
      <w:r w:rsidRPr="00312C86">
        <w:t xml:space="preserve">Omit </w:t>
      </w:r>
      <w:r w:rsidR="003502F3" w:rsidRPr="00312C86">
        <w:t>“</w:t>
      </w:r>
      <w:r w:rsidR="00312C86" w:rsidRPr="00312C86">
        <w:t>subsection (</w:t>
      </w:r>
      <w:r w:rsidR="00183EAD" w:rsidRPr="00312C86">
        <w:t>1) or (2)</w:t>
      </w:r>
      <w:r w:rsidR="003502F3" w:rsidRPr="00312C86">
        <w:t>”</w:t>
      </w:r>
      <w:r w:rsidR="00183EAD" w:rsidRPr="00312C86">
        <w:t xml:space="preserve">, substitute </w:t>
      </w:r>
      <w:r w:rsidR="003502F3" w:rsidRPr="00312C86">
        <w:t>“</w:t>
      </w:r>
      <w:r w:rsidR="00312C86" w:rsidRPr="00312C86">
        <w:t>subsection (</w:t>
      </w:r>
      <w:r w:rsidR="00183EAD" w:rsidRPr="00312C86">
        <w:t>2</w:t>
      </w:r>
      <w:r w:rsidR="003C6B59" w:rsidRPr="00312C86">
        <w:t>A</w:t>
      </w:r>
      <w:r w:rsidR="00183EAD" w:rsidRPr="00312C86">
        <w:t>)</w:t>
      </w:r>
      <w:r w:rsidR="003502F3" w:rsidRPr="00312C86">
        <w:t>”</w:t>
      </w:r>
      <w:r w:rsidRPr="00312C86">
        <w:t>.</w:t>
      </w:r>
    </w:p>
    <w:p w:rsidR="002E56A6" w:rsidRPr="00312C86" w:rsidRDefault="002E56A6" w:rsidP="002E56A6">
      <w:pPr>
        <w:pStyle w:val="ActHead9"/>
      </w:pPr>
      <w:bookmarkStart w:id="31" w:name="_Toc517938673"/>
      <w:r w:rsidRPr="00312C86">
        <w:t>Superannuation Industry (Supervision) Regulations</w:t>
      </w:r>
      <w:r w:rsidR="00312C86" w:rsidRPr="00312C86">
        <w:t> </w:t>
      </w:r>
      <w:r w:rsidRPr="00312C86">
        <w:t>1994</w:t>
      </w:r>
      <w:bookmarkEnd w:id="31"/>
    </w:p>
    <w:p w:rsidR="002E56A6" w:rsidRPr="00312C86" w:rsidRDefault="00B54999" w:rsidP="002E56A6">
      <w:pPr>
        <w:pStyle w:val="ItemHead"/>
      </w:pPr>
      <w:r w:rsidRPr="00312C86">
        <w:t>43</w:t>
      </w:r>
      <w:r w:rsidR="002E56A6" w:rsidRPr="00312C86">
        <w:t xml:space="preserve">  Regulation</w:t>
      </w:r>
      <w:r w:rsidR="00312C86" w:rsidRPr="00312C86">
        <w:t> </w:t>
      </w:r>
      <w:r w:rsidR="002E56A6" w:rsidRPr="00312C86">
        <w:t>9A.07 (after table item</w:t>
      </w:r>
      <w:r w:rsidR="00312C86" w:rsidRPr="00312C86">
        <w:t> </w:t>
      </w:r>
      <w:r w:rsidR="002E56A6" w:rsidRPr="00312C86">
        <w:t>1)</w:t>
      </w:r>
    </w:p>
    <w:p w:rsidR="002E56A6" w:rsidRPr="00312C86" w:rsidRDefault="002E56A6" w:rsidP="002E56A6">
      <w:pPr>
        <w:pStyle w:val="Item"/>
      </w:pPr>
      <w:r w:rsidRPr="00312C86">
        <w:t>Insert:</w:t>
      </w:r>
    </w:p>
    <w:p w:rsidR="002E56A6" w:rsidRPr="00312C86" w:rsidRDefault="002E56A6" w:rsidP="002E56A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26"/>
        <w:gridCol w:w="5382"/>
        <w:gridCol w:w="2421"/>
      </w:tblGrid>
      <w:tr w:rsidR="002E56A6" w:rsidRPr="00312C86" w:rsidTr="00C14007">
        <w:tc>
          <w:tcPr>
            <w:tcW w:w="426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2E56A6" w:rsidRPr="00312C86" w:rsidRDefault="002E56A6" w:rsidP="00EA3FFA">
            <w:pPr>
              <w:pStyle w:val="Tabletext"/>
            </w:pPr>
            <w:r w:rsidRPr="00312C86">
              <w:t>1A</w:t>
            </w:r>
          </w:p>
        </w:tc>
        <w:tc>
          <w:tcPr>
            <w:tcW w:w="315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2E56A6" w:rsidRPr="00312C86" w:rsidRDefault="002E56A6" w:rsidP="002E56A6">
            <w:pPr>
              <w:pStyle w:val="Tabletext"/>
            </w:pPr>
            <w:r w:rsidRPr="00312C86">
              <w:t xml:space="preserve">applying for conditions imposed on registration as an approved </w:t>
            </w:r>
            <w:r w:rsidRPr="00312C86">
              <w:lastRenderedPageBreak/>
              <w:t>SMSF auditor to be varied or revoked under section</w:t>
            </w:r>
            <w:r w:rsidR="00312C86" w:rsidRPr="00312C86">
              <w:t> </w:t>
            </w:r>
            <w:r w:rsidRPr="00312C86">
              <w:t>128D of the Act</w:t>
            </w:r>
          </w:p>
        </w:tc>
        <w:tc>
          <w:tcPr>
            <w:tcW w:w="1419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2E56A6" w:rsidRPr="00312C86" w:rsidRDefault="002E56A6" w:rsidP="00EA3FFA">
            <w:pPr>
              <w:pStyle w:val="Tabletext"/>
            </w:pPr>
            <w:r w:rsidRPr="00312C86">
              <w:lastRenderedPageBreak/>
              <w:t xml:space="preserve">when the application is </w:t>
            </w:r>
            <w:r w:rsidRPr="00312C86">
              <w:lastRenderedPageBreak/>
              <w:t>submitted</w:t>
            </w:r>
          </w:p>
        </w:tc>
      </w:tr>
      <w:tr w:rsidR="002E56A6" w:rsidRPr="00312C86" w:rsidTr="00C14007">
        <w:tc>
          <w:tcPr>
            <w:tcW w:w="426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E56A6" w:rsidRPr="00312C86" w:rsidRDefault="002E56A6" w:rsidP="00EA3FFA">
            <w:pPr>
              <w:pStyle w:val="Tabletext"/>
            </w:pPr>
            <w:r w:rsidRPr="00312C86">
              <w:lastRenderedPageBreak/>
              <w:t>1B</w:t>
            </w:r>
          </w:p>
        </w:tc>
        <w:tc>
          <w:tcPr>
            <w:tcW w:w="315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E56A6" w:rsidRPr="00312C86" w:rsidRDefault="002E56A6" w:rsidP="002E56A6">
            <w:pPr>
              <w:pStyle w:val="Tabletext"/>
            </w:pPr>
            <w:r w:rsidRPr="00312C86">
              <w:t>applying for registration as an approved SMSF auditor to be cancelled under section</w:t>
            </w:r>
            <w:r w:rsidR="00312C86" w:rsidRPr="00312C86">
              <w:t> </w:t>
            </w:r>
            <w:r w:rsidRPr="00312C86">
              <w:t>128E</w:t>
            </w:r>
            <w:r w:rsidR="004D060E" w:rsidRPr="00312C86">
              <w:t xml:space="preserve"> </w:t>
            </w:r>
            <w:r w:rsidRPr="00312C86">
              <w:t>of the Act</w:t>
            </w:r>
          </w:p>
        </w:tc>
        <w:tc>
          <w:tcPr>
            <w:tcW w:w="1419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2E56A6" w:rsidRPr="00312C86" w:rsidRDefault="002E56A6" w:rsidP="00EA3FFA">
            <w:pPr>
              <w:pStyle w:val="Tabletext"/>
            </w:pPr>
            <w:r w:rsidRPr="00312C86">
              <w:t>when the application is submitted</w:t>
            </w:r>
          </w:p>
        </w:tc>
      </w:tr>
    </w:tbl>
    <w:p w:rsidR="002E56A6" w:rsidRPr="00312C86" w:rsidRDefault="00DF697A" w:rsidP="00DF697A">
      <w:pPr>
        <w:pStyle w:val="ActHead6"/>
        <w:pageBreakBefore/>
      </w:pPr>
      <w:bookmarkStart w:id="32" w:name="_Toc517938674"/>
      <w:bookmarkStart w:id="33" w:name="opcCurrentFind"/>
      <w:r w:rsidRPr="00312C86">
        <w:rPr>
          <w:rStyle w:val="CharAmSchNo"/>
        </w:rPr>
        <w:lastRenderedPageBreak/>
        <w:t>Schedule</w:t>
      </w:r>
      <w:r w:rsidR="00312C86" w:rsidRPr="00312C86">
        <w:rPr>
          <w:rStyle w:val="CharAmSchNo"/>
        </w:rPr>
        <w:t> </w:t>
      </w:r>
      <w:r w:rsidRPr="00312C86">
        <w:rPr>
          <w:rStyle w:val="CharAmSchNo"/>
        </w:rPr>
        <w:t>2</w:t>
      </w:r>
      <w:r w:rsidRPr="00312C86">
        <w:t>—</w:t>
      </w:r>
      <w:r w:rsidR="0099327B" w:rsidRPr="00312C86">
        <w:rPr>
          <w:rStyle w:val="CharAmSchText"/>
        </w:rPr>
        <w:t>A</w:t>
      </w:r>
      <w:r w:rsidRPr="00312C86">
        <w:rPr>
          <w:rStyle w:val="CharAmSchText"/>
        </w:rPr>
        <w:t>mendments</w:t>
      </w:r>
      <w:r w:rsidR="0099327B" w:rsidRPr="00312C86">
        <w:rPr>
          <w:rStyle w:val="CharAmSchText"/>
        </w:rPr>
        <w:t xml:space="preserve"> commencing 1</w:t>
      </w:r>
      <w:r w:rsidR="00312C86" w:rsidRPr="00312C86">
        <w:rPr>
          <w:rStyle w:val="CharAmSchText"/>
        </w:rPr>
        <w:t> </w:t>
      </w:r>
      <w:r w:rsidR="0099327B" w:rsidRPr="00312C86">
        <w:rPr>
          <w:rStyle w:val="CharAmSchText"/>
        </w:rPr>
        <w:t>July 2019</w:t>
      </w:r>
      <w:bookmarkEnd w:id="32"/>
    </w:p>
    <w:bookmarkEnd w:id="33"/>
    <w:p w:rsidR="00DF697A" w:rsidRPr="00312C86" w:rsidRDefault="00DF697A" w:rsidP="00DF697A">
      <w:pPr>
        <w:pStyle w:val="Header"/>
      </w:pPr>
      <w:r w:rsidRPr="00312C86">
        <w:rPr>
          <w:rStyle w:val="CharAmPartNo"/>
        </w:rPr>
        <w:t xml:space="preserve"> </w:t>
      </w:r>
      <w:r w:rsidRPr="00312C86">
        <w:rPr>
          <w:rStyle w:val="CharAmPartText"/>
        </w:rPr>
        <w:t xml:space="preserve"> </w:t>
      </w:r>
    </w:p>
    <w:p w:rsidR="00DF697A" w:rsidRPr="00312C86" w:rsidRDefault="00DF697A" w:rsidP="00DF697A">
      <w:pPr>
        <w:pStyle w:val="ActHead9"/>
      </w:pPr>
      <w:bookmarkStart w:id="34" w:name="_Toc517938675"/>
      <w:r w:rsidRPr="00312C86">
        <w:t>Corporations (Fees) Regulations</w:t>
      </w:r>
      <w:r w:rsidR="00312C86" w:rsidRPr="00312C86">
        <w:t> </w:t>
      </w:r>
      <w:r w:rsidRPr="00312C86">
        <w:t>2001</w:t>
      </w:r>
      <w:bookmarkEnd w:id="34"/>
    </w:p>
    <w:p w:rsidR="001418AF" w:rsidRPr="00312C86" w:rsidRDefault="00143F24" w:rsidP="001418AF">
      <w:pPr>
        <w:pStyle w:val="ItemHead"/>
      </w:pPr>
      <w:r w:rsidRPr="00312C86">
        <w:t>1</w:t>
      </w:r>
      <w:r w:rsidR="001418AF" w:rsidRPr="00312C86">
        <w:t xml:space="preserve">  Schedule</w:t>
      </w:r>
      <w:r w:rsidR="00312C86" w:rsidRPr="00312C86">
        <w:t> </w:t>
      </w:r>
      <w:r w:rsidR="001418AF" w:rsidRPr="00312C86">
        <w:t>1 (table item</w:t>
      </w:r>
      <w:r w:rsidR="00312C86" w:rsidRPr="00312C86">
        <w:t> </w:t>
      </w:r>
      <w:r w:rsidR="000D1388" w:rsidRPr="00312C86">
        <w:t>34</w:t>
      </w:r>
      <w:r w:rsidR="001418AF" w:rsidRPr="00312C86">
        <w:t>)</w:t>
      </w:r>
    </w:p>
    <w:p w:rsidR="001418AF" w:rsidRPr="00312C86" w:rsidRDefault="001418AF" w:rsidP="001418AF">
      <w:pPr>
        <w:pStyle w:val="Item"/>
      </w:pPr>
      <w:r w:rsidRPr="00312C86">
        <w:t>Repeal the item, substitute:</w:t>
      </w:r>
    </w:p>
    <w:tbl>
      <w:tblPr>
        <w:tblW w:w="487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853"/>
        <w:gridCol w:w="6377"/>
        <w:gridCol w:w="1086"/>
      </w:tblGrid>
      <w:tr w:rsidR="001418AF" w:rsidRPr="00312C86" w:rsidDel="00E748F3" w:rsidTr="001418AF">
        <w:tc>
          <w:tcPr>
            <w:tcW w:w="513" w:type="pct"/>
            <w:shd w:val="clear" w:color="auto" w:fill="auto"/>
          </w:tcPr>
          <w:p w:rsidR="001418AF" w:rsidRPr="00312C86" w:rsidDel="00E748F3" w:rsidRDefault="000D1388" w:rsidP="00AA50F3">
            <w:pPr>
              <w:pStyle w:val="Tabletext"/>
            </w:pPr>
            <w:r w:rsidRPr="00312C86">
              <w:t>34</w:t>
            </w:r>
          </w:p>
        </w:tc>
        <w:tc>
          <w:tcPr>
            <w:tcW w:w="3834" w:type="pct"/>
            <w:shd w:val="clear" w:color="auto" w:fill="auto"/>
          </w:tcPr>
          <w:p w:rsidR="001418AF" w:rsidRPr="00312C86" w:rsidDel="00E748F3" w:rsidRDefault="001418AF" w:rsidP="00AA50F3">
            <w:pPr>
              <w:pStyle w:val="Tabletext"/>
            </w:pPr>
            <w:r w:rsidRPr="00312C86">
              <w:t>On giving an exemption under subsection</w:t>
            </w:r>
            <w:r w:rsidR="00312C86" w:rsidRPr="00312C86">
              <w:t> </w:t>
            </w:r>
            <w:r w:rsidRPr="00312C86">
              <w:t>791C(1) in relation to a particular financial market or type of financial market</w:t>
            </w:r>
          </w:p>
        </w:tc>
        <w:tc>
          <w:tcPr>
            <w:tcW w:w="653" w:type="pct"/>
            <w:shd w:val="clear" w:color="auto" w:fill="auto"/>
          </w:tcPr>
          <w:p w:rsidR="001418AF" w:rsidRPr="00312C86" w:rsidDel="00E748F3" w:rsidRDefault="001418AF" w:rsidP="00AA50F3">
            <w:pPr>
              <w:pStyle w:val="Tabletext"/>
            </w:pPr>
            <w:r w:rsidRPr="00312C86">
              <w:t>$38,651</w:t>
            </w:r>
          </w:p>
        </w:tc>
      </w:tr>
    </w:tbl>
    <w:p w:rsidR="001418AF" w:rsidRPr="00312C86" w:rsidRDefault="00143F24" w:rsidP="001418AF">
      <w:pPr>
        <w:pStyle w:val="ItemHead"/>
      </w:pPr>
      <w:r w:rsidRPr="00312C86">
        <w:t>2</w:t>
      </w:r>
      <w:r w:rsidR="001418AF" w:rsidRPr="00312C86">
        <w:t xml:space="preserve">  Schedule</w:t>
      </w:r>
      <w:r w:rsidR="00312C86" w:rsidRPr="00312C86">
        <w:t> </w:t>
      </w:r>
      <w:r w:rsidR="001418AF" w:rsidRPr="00312C86">
        <w:t>1 (table item</w:t>
      </w:r>
      <w:r w:rsidR="00312C86" w:rsidRPr="00312C86">
        <w:t> </w:t>
      </w:r>
      <w:r w:rsidR="000D1388" w:rsidRPr="00312C86">
        <w:t>45</w:t>
      </w:r>
      <w:r w:rsidR="001418AF" w:rsidRPr="00312C86">
        <w:t>)</w:t>
      </w:r>
    </w:p>
    <w:p w:rsidR="001418AF" w:rsidRPr="00312C86" w:rsidRDefault="001418AF" w:rsidP="001418AF">
      <w:pPr>
        <w:pStyle w:val="Item"/>
      </w:pPr>
      <w:r w:rsidRPr="00312C86">
        <w:t>Repeal the item, substitute:</w:t>
      </w:r>
    </w:p>
    <w:tbl>
      <w:tblPr>
        <w:tblW w:w="487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853"/>
        <w:gridCol w:w="6377"/>
        <w:gridCol w:w="1086"/>
      </w:tblGrid>
      <w:tr w:rsidR="001418AF" w:rsidRPr="00312C86" w:rsidDel="00E748F3" w:rsidTr="001418AF">
        <w:tc>
          <w:tcPr>
            <w:tcW w:w="513" w:type="pct"/>
            <w:shd w:val="clear" w:color="auto" w:fill="auto"/>
          </w:tcPr>
          <w:p w:rsidR="001418AF" w:rsidRPr="00312C86" w:rsidDel="00E748F3" w:rsidRDefault="000D1388" w:rsidP="00AA50F3">
            <w:pPr>
              <w:pStyle w:val="Tabletext"/>
            </w:pPr>
            <w:r w:rsidRPr="00312C86">
              <w:t>45</w:t>
            </w:r>
          </w:p>
        </w:tc>
        <w:tc>
          <w:tcPr>
            <w:tcW w:w="3834" w:type="pct"/>
            <w:shd w:val="clear" w:color="auto" w:fill="auto"/>
          </w:tcPr>
          <w:p w:rsidR="001418AF" w:rsidRPr="00312C86" w:rsidDel="00E748F3" w:rsidRDefault="001418AF" w:rsidP="00AA50F3">
            <w:pPr>
              <w:pStyle w:val="Tabletext"/>
              <w:keepNext/>
            </w:pPr>
            <w:r w:rsidRPr="00312C86">
              <w:t>On giving an exemption under subsection</w:t>
            </w:r>
            <w:r w:rsidR="00312C86" w:rsidRPr="00312C86">
              <w:t> </w:t>
            </w:r>
            <w:r w:rsidRPr="00312C86">
              <w:t>820C(1) in relation to a particular clearing and settlement facility or type of clearing and settlement facility</w:t>
            </w:r>
          </w:p>
        </w:tc>
        <w:tc>
          <w:tcPr>
            <w:tcW w:w="653" w:type="pct"/>
            <w:shd w:val="clear" w:color="auto" w:fill="auto"/>
          </w:tcPr>
          <w:p w:rsidR="001418AF" w:rsidRPr="00312C86" w:rsidDel="00E748F3" w:rsidRDefault="001418AF" w:rsidP="00AA50F3">
            <w:pPr>
              <w:pStyle w:val="Tabletext"/>
              <w:keepNext/>
            </w:pPr>
            <w:r w:rsidRPr="00312C86">
              <w:t>$38,651</w:t>
            </w:r>
          </w:p>
        </w:tc>
      </w:tr>
    </w:tbl>
    <w:p w:rsidR="001418AF" w:rsidRPr="00312C86" w:rsidRDefault="001418AF" w:rsidP="001418AF"/>
    <w:sectPr w:rsidR="001418AF" w:rsidRPr="00312C86" w:rsidSect="0096182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A0" w:rsidRDefault="00744AA0" w:rsidP="0048364F">
      <w:pPr>
        <w:spacing w:line="240" w:lineRule="auto"/>
      </w:pPr>
      <w:r>
        <w:separator/>
      </w:r>
    </w:p>
  </w:endnote>
  <w:endnote w:type="continuationSeparator" w:id="0">
    <w:p w:rsidR="00744AA0" w:rsidRDefault="00744AA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961820" w:rsidRDefault="00961820" w:rsidP="0096182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61820">
      <w:rPr>
        <w:i/>
        <w:sz w:val="18"/>
      </w:rPr>
      <w:t>OPC63242 -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Default="00744AA0" w:rsidP="00E97334"/>
  <w:p w:rsidR="00744AA0" w:rsidRPr="00961820" w:rsidRDefault="00961820" w:rsidP="00961820">
    <w:pPr>
      <w:rPr>
        <w:rFonts w:cs="Times New Roman"/>
        <w:i/>
        <w:sz w:val="18"/>
      </w:rPr>
    </w:pPr>
    <w:r w:rsidRPr="00961820">
      <w:rPr>
        <w:rFonts w:cs="Times New Roman"/>
        <w:i/>
        <w:sz w:val="18"/>
      </w:rPr>
      <w:t>OPC63242 -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961820" w:rsidRDefault="00961820" w:rsidP="0096182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61820">
      <w:rPr>
        <w:i/>
        <w:sz w:val="18"/>
      </w:rPr>
      <w:t>OPC63242 -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E33C1C" w:rsidRDefault="00744AA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44AA0" w:rsidTr="00D6312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4AA0" w:rsidRDefault="00CE1C99" w:rsidP="00CE1C99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="00744AA0" w:rsidRPr="00ED79B6">
            <w:rPr>
              <w:i/>
              <w:sz w:val="18"/>
            </w:rPr>
            <w:fldChar w:fldCharType="begin"/>
          </w:r>
          <w:r w:rsidR="00744AA0" w:rsidRPr="00ED79B6">
            <w:rPr>
              <w:i/>
              <w:sz w:val="18"/>
            </w:rPr>
            <w:instrText xml:space="preserve"> PAGE </w:instrText>
          </w:r>
          <w:r w:rsidR="00744AA0" w:rsidRPr="00ED79B6">
            <w:rPr>
              <w:i/>
              <w:sz w:val="18"/>
            </w:rPr>
            <w:fldChar w:fldCharType="separate"/>
          </w:r>
          <w:r w:rsidR="00976617">
            <w:rPr>
              <w:i/>
              <w:noProof/>
              <w:sz w:val="18"/>
            </w:rPr>
            <w:t>xxviii</w:t>
          </w:r>
          <w:r w:rsidR="00744AA0"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4AA0" w:rsidRDefault="00744AA0" w:rsidP="00DE2C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4FB9">
            <w:rPr>
              <w:i/>
              <w:sz w:val="18"/>
            </w:rPr>
            <w:t>Treasury Laws Amendment (ASIC 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4AA0" w:rsidRDefault="00744AA0" w:rsidP="00DE2CDD">
          <w:pPr>
            <w:spacing w:line="0" w:lineRule="atLeast"/>
            <w:jc w:val="right"/>
            <w:rPr>
              <w:sz w:val="18"/>
            </w:rPr>
          </w:pPr>
        </w:p>
      </w:tc>
    </w:tr>
  </w:tbl>
  <w:p w:rsidR="00744AA0" w:rsidRPr="00961820" w:rsidRDefault="00961820" w:rsidP="00961820">
    <w:pPr>
      <w:rPr>
        <w:rFonts w:cs="Times New Roman"/>
        <w:i/>
        <w:sz w:val="18"/>
      </w:rPr>
    </w:pPr>
    <w:r w:rsidRPr="00961820">
      <w:rPr>
        <w:rFonts w:cs="Times New Roman"/>
        <w:i/>
        <w:sz w:val="18"/>
      </w:rPr>
      <w:t>OPC63242 -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E33C1C" w:rsidRDefault="00744AA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44AA0" w:rsidTr="00D6312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44AA0" w:rsidRDefault="00CE1C99" w:rsidP="00CE1C99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4AA0" w:rsidRDefault="00744AA0" w:rsidP="00DE2C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4FB9">
            <w:rPr>
              <w:i/>
              <w:sz w:val="18"/>
            </w:rPr>
            <w:t>Treasury Laws Amendment (ASIC 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744AA0" w:rsidRDefault="00744AA0" w:rsidP="00DE2C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550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4AA0" w:rsidRPr="00961820" w:rsidRDefault="00961820" w:rsidP="00961820">
    <w:pPr>
      <w:rPr>
        <w:rFonts w:cs="Times New Roman"/>
        <w:i/>
        <w:sz w:val="18"/>
      </w:rPr>
    </w:pPr>
    <w:r w:rsidRPr="00961820">
      <w:rPr>
        <w:rFonts w:cs="Times New Roman"/>
        <w:i/>
        <w:sz w:val="18"/>
      </w:rPr>
      <w:t>OPC63242 -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E33C1C" w:rsidRDefault="00744AA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44AA0" w:rsidTr="00D6312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4AA0" w:rsidRDefault="00CE1C99" w:rsidP="00CE1C99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="00744AA0" w:rsidRPr="00ED79B6">
            <w:rPr>
              <w:i/>
              <w:sz w:val="18"/>
            </w:rPr>
            <w:fldChar w:fldCharType="begin"/>
          </w:r>
          <w:r w:rsidR="00744AA0" w:rsidRPr="00ED79B6">
            <w:rPr>
              <w:i/>
              <w:sz w:val="18"/>
            </w:rPr>
            <w:instrText xml:space="preserve"> PAGE </w:instrText>
          </w:r>
          <w:r w:rsidR="00744AA0" w:rsidRPr="00ED79B6">
            <w:rPr>
              <w:i/>
              <w:sz w:val="18"/>
            </w:rPr>
            <w:fldChar w:fldCharType="separate"/>
          </w:r>
          <w:r w:rsidR="006E550F">
            <w:rPr>
              <w:i/>
              <w:noProof/>
              <w:sz w:val="18"/>
            </w:rPr>
            <w:t>28</w:t>
          </w:r>
          <w:r w:rsidR="00744AA0"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4AA0" w:rsidRDefault="00744AA0" w:rsidP="00DE2C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4FB9">
            <w:rPr>
              <w:i/>
              <w:sz w:val="18"/>
            </w:rPr>
            <w:t>Treasury Laws Amendment (ASIC 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4AA0" w:rsidRDefault="00744AA0" w:rsidP="00DE2CDD">
          <w:pPr>
            <w:spacing w:line="0" w:lineRule="atLeast"/>
            <w:jc w:val="right"/>
            <w:rPr>
              <w:sz w:val="18"/>
            </w:rPr>
          </w:pPr>
        </w:p>
      </w:tc>
    </w:tr>
  </w:tbl>
  <w:p w:rsidR="00744AA0" w:rsidRPr="00961820" w:rsidRDefault="00961820" w:rsidP="00961820">
    <w:pPr>
      <w:rPr>
        <w:rFonts w:cs="Times New Roman"/>
        <w:i/>
        <w:sz w:val="18"/>
      </w:rPr>
    </w:pPr>
    <w:r w:rsidRPr="00961820">
      <w:rPr>
        <w:rFonts w:cs="Times New Roman"/>
        <w:i/>
        <w:sz w:val="18"/>
      </w:rPr>
      <w:t>OPC63242 -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E33C1C" w:rsidRDefault="00744AA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44AA0" w:rsidTr="00DE2CD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4AA0" w:rsidRDefault="00CE1C99" w:rsidP="00CE1C99">
          <w:pPr>
            <w:spacing w:line="0" w:lineRule="atLeast"/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4AA0" w:rsidRDefault="00744AA0" w:rsidP="00DE2C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4FB9">
            <w:rPr>
              <w:i/>
              <w:sz w:val="18"/>
            </w:rPr>
            <w:t>Treasury Laws Amendment (ASIC 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4AA0" w:rsidRDefault="00744AA0" w:rsidP="00DE2C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550F">
            <w:rPr>
              <w:i/>
              <w:noProof/>
              <w:sz w:val="18"/>
            </w:rPr>
            <w:t>27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4AA0" w:rsidRPr="00961820" w:rsidRDefault="00961820" w:rsidP="00961820">
    <w:pPr>
      <w:rPr>
        <w:rFonts w:cs="Times New Roman"/>
        <w:i/>
        <w:sz w:val="18"/>
      </w:rPr>
    </w:pPr>
    <w:r w:rsidRPr="00961820">
      <w:rPr>
        <w:rFonts w:cs="Times New Roman"/>
        <w:i/>
        <w:sz w:val="18"/>
      </w:rPr>
      <w:t>OPC63242 -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E33C1C" w:rsidRDefault="00744AA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44AA0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4AA0" w:rsidRDefault="00CE1C99" w:rsidP="00CE1C99">
          <w:pPr>
            <w:spacing w:line="0" w:lineRule="atLeast"/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4AA0" w:rsidRDefault="00744AA0" w:rsidP="00DE2C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4FB9">
            <w:rPr>
              <w:i/>
              <w:sz w:val="18"/>
            </w:rPr>
            <w:t>Treasury Laws Amendment (ASIC 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4AA0" w:rsidRDefault="00744AA0" w:rsidP="00DE2C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6617">
            <w:rPr>
              <w:i/>
              <w:noProof/>
              <w:sz w:val="18"/>
            </w:rPr>
            <w:t>28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4AA0" w:rsidRPr="00961820" w:rsidRDefault="00961820" w:rsidP="00961820">
    <w:pPr>
      <w:rPr>
        <w:rFonts w:cs="Times New Roman"/>
        <w:i/>
        <w:sz w:val="18"/>
      </w:rPr>
    </w:pPr>
    <w:r w:rsidRPr="00961820">
      <w:rPr>
        <w:rFonts w:cs="Times New Roman"/>
        <w:i/>
        <w:sz w:val="18"/>
      </w:rPr>
      <w:t>OPC63242 -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A0" w:rsidRDefault="00744AA0" w:rsidP="0048364F">
      <w:pPr>
        <w:spacing w:line="240" w:lineRule="auto"/>
      </w:pPr>
      <w:r>
        <w:separator/>
      </w:r>
    </w:p>
  </w:footnote>
  <w:footnote w:type="continuationSeparator" w:id="0">
    <w:p w:rsidR="00744AA0" w:rsidRDefault="00744AA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5F1388" w:rsidRDefault="00744AA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5F1388" w:rsidRDefault="00744AA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5F1388" w:rsidRDefault="00744AA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ED79B6" w:rsidRDefault="00744AA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ED79B6" w:rsidRDefault="00744AA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ED79B6" w:rsidRDefault="00744AA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A961C4" w:rsidRDefault="00744AA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E550F">
      <w:rPr>
        <w:b/>
        <w:sz w:val="20"/>
      </w:rPr>
      <w:fldChar w:fldCharType="separate"/>
    </w:r>
    <w:r w:rsidR="006E550F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E550F">
      <w:rPr>
        <w:sz w:val="20"/>
      </w:rPr>
      <w:fldChar w:fldCharType="separate"/>
    </w:r>
    <w:r w:rsidR="006E550F">
      <w:rPr>
        <w:noProof/>
        <w:sz w:val="20"/>
      </w:rPr>
      <w:t>Amendments commencing 1 July 2019</w:t>
    </w:r>
    <w:r>
      <w:rPr>
        <w:sz w:val="20"/>
      </w:rPr>
      <w:fldChar w:fldCharType="end"/>
    </w:r>
  </w:p>
  <w:p w:rsidR="00744AA0" w:rsidRPr="00A961C4" w:rsidRDefault="00744AA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44AA0" w:rsidRPr="00A961C4" w:rsidRDefault="00744AA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A961C4" w:rsidRDefault="00744AA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E550F">
      <w:rPr>
        <w:sz w:val="20"/>
      </w:rPr>
      <w:fldChar w:fldCharType="separate"/>
    </w:r>
    <w:r w:rsidR="006E550F">
      <w:rPr>
        <w:noProof/>
        <w:sz w:val="20"/>
      </w:rPr>
      <w:t>Main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E550F">
      <w:rPr>
        <w:b/>
        <w:sz w:val="20"/>
      </w:rPr>
      <w:fldChar w:fldCharType="separate"/>
    </w:r>
    <w:r w:rsidR="006E550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44AA0" w:rsidRPr="00A961C4" w:rsidRDefault="00744AA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44AA0" w:rsidRPr="00A961C4" w:rsidRDefault="00744AA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A0" w:rsidRPr="00A961C4" w:rsidRDefault="00744AA0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58185139"/>
    <w:multiLevelType w:val="hybridMultilevel"/>
    <w:tmpl w:val="E6864360"/>
    <w:lvl w:ilvl="0" w:tplc="4894A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0"/>
  </w:num>
  <w:num w:numId="14">
    <w:abstractNumId w:val="14"/>
  </w:num>
  <w:num w:numId="15">
    <w:abstractNumId w:val="16"/>
  </w:num>
  <w:num w:numId="16">
    <w:abstractNumId w:val="18"/>
  </w:num>
  <w:num w:numId="17">
    <w:abstractNumId w:val="12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ED"/>
    <w:rsid w:val="00000263"/>
    <w:rsid w:val="00000995"/>
    <w:rsid w:val="00002A54"/>
    <w:rsid w:val="00002FBB"/>
    <w:rsid w:val="000051A5"/>
    <w:rsid w:val="0000622F"/>
    <w:rsid w:val="00006945"/>
    <w:rsid w:val="000106EB"/>
    <w:rsid w:val="00010C19"/>
    <w:rsid w:val="000113BC"/>
    <w:rsid w:val="00012C14"/>
    <w:rsid w:val="000135DF"/>
    <w:rsid w:val="000136AF"/>
    <w:rsid w:val="000136C4"/>
    <w:rsid w:val="000136EF"/>
    <w:rsid w:val="00013E31"/>
    <w:rsid w:val="00014423"/>
    <w:rsid w:val="00016D0F"/>
    <w:rsid w:val="00020399"/>
    <w:rsid w:val="00021FB3"/>
    <w:rsid w:val="00023F58"/>
    <w:rsid w:val="00025CE2"/>
    <w:rsid w:val="0002625A"/>
    <w:rsid w:val="00026BA2"/>
    <w:rsid w:val="000273C4"/>
    <w:rsid w:val="00030A87"/>
    <w:rsid w:val="0003375F"/>
    <w:rsid w:val="00033FD8"/>
    <w:rsid w:val="00035C47"/>
    <w:rsid w:val="00037683"/>
    <w:rsid w:val="0004044E"/>
    <w:rsid w:val="0004229B"/>
    <w:rsid w:val="000423C5"/>
    <w:rsid w:val="00042F99"/>
    <w:rsid w:val="000434C5"/>
    <w:rsid w:val="000470A4"/>
    <w:rsid w:val="00047453"/>
    <w:rsid w:val="000477B5"/>
    <w:rsid w:val="0005101A"/>
    <w:rsid w:val="0005120E"/>
    <w:rsid w:val="00052882"/>
    <w:rsid w:val="00053A4C"/>
    <w:rsid w:val="0005428B"/>
    <w:rsid w:val="00054577"/>
    <w:rsid w:val="000614BF"/>
    <w:rsid w:val="00065216"/>
    <w:rsid w:val="00070D07"/>
    <w:rsid w:val="00071161"/>
    <w:rsid w:val="0007169C"/>
    <w:rsid w:val="00074616"/>
    <w:rsid w:val="00075E4E"/>
    <w:rsid w:val="00077593"/>
    <w:rsid w:val="000805DF"/>
    <w:rsid w:val="00080F63"/>
    <w:rsid w:val="00082E22"/>
    <w:rsid w:val="0008387A"/>
    <w:rsid w:val="00083F48"/>
    <w:rsid w:val="0008497A"/>
    <w:rsid w:val="00084D01"/>
    <w:rsid w:val="00084F5C"/>
    <w:rsid w:val="00085B17"/>
    <w:rsid w:val="000868C3"/>
    <w:rsid w:val="00090D06"/>
    <w:rsid w:val="00091ACD"/>
    <w:rsid w:val="00092ACE"/>
    <w:rsid w:val="00097F66"/>
    <w:rsid w:val="000A28F2"/>
    <w:rsid w:val="000A4FDC"/>
    <w:rsid w:val="000A7DF9"/>
    <w:rsid w:val="000B163C"/>
    <w:rsid w:val="000B28BD"/>
    <w:rsid w:val="000B4516"/>
    <w:rsid w:val="000B4D12"/>
    <w:rsid w:val="000B5CB2"/>
    <w:rsid w:val="000C04CD"/>
    <w:rsid w:val="000C0E56"/>
    <w:rsid w:val="000C14E6"/>
    <w:rsid w:val="000C1AEE"/>
    <w:rsid w:val="000C458E"/>
    <w:rsid w:val="000C5DCE"/>
    <w:rsid w:val="000C6D1C"/>
    <w:rsid w:val="000C7CE2"/>
    <w:rsid w:val="000D05EF"/>
    <w:rsid w:val="000D1388"/>
    <w:rsid w:val="000D469D"/>
    <w:rsid w:val="000D5485"/>
    <w:rsid w:val="000E0D9A"/>
    <w:rsid w:val="000E2F9B"/>
    <w:rsid w:val="000E315A"/>
    <w:rsid w:val="000E4360"/>
    <w:rsid w:val="000E5CF6"/>
    <w:rsid w:val="000E702C"/>
    <w:rsid w:val="000E7F72"/>
    <w:rsid w:val="000F0BBB"/>
    <w:rsid w:val="000F1030"/>
    <w:rsid w:val="000F19C3"/>
    <w:rsid w:val="000F21C1"/>
    <w:rsid w:val="000F36E2"/>
    <w:rsid w:val="000F6B62"/>
    <w:rsid w:val="000F73A2"/>
    <w:rsid w:val="000F767C"/>
    <w:rsid w:val="000F7872"/>
    <w:rsid w:val="000F7B14"/>
    <w:rsid w:val="00100330"/>
    <w:rsid w:val="00101262"/>
    <w:rsid w:val="00105D72"/>
    <w:rsid w:val="00106183"/>
    <w:rsid w:val="0010745C"/>
    <w:rsid w:val="001104D3"/>
    <w:rsid w:val="00110BC1"/>
    <w:rsid w:val="00111789"/>
    <w:rsid w:val="00117277"/>
    <w:rsid w:val="001213B5"/>
    <w:rsid w:val="001239D7"/>
    <w:rsid w:val="00124B2E"/>
    <w:rsid w:val="00124EB2"/>
    <w:rsid w:val="00125EBA"/>
    <w:rsid w:val="00126A9F"/>
    <w:rsid w:val="00130F0E"/>
    <w:rsid w:val="00130F7F"/>
    <w:rsid w:val="001323F1"/>
    <w:rsid w:val="001350C2"/>
    <w:rsid w:val="00135335"/>
    <w:rsid w:val="0013555C"/>
    <w:rsid w:val="001365BC"/>
    <w:rsid w:val="0013730E"/>
    <w:rsid w:val="001418AF"/>
    <w:rsid w:val="00143F24"/>
    <w:rsid w:val="001457B3"/>
    <w:rsid w:val="00146657"/>
    <w:rsid w:val="0014698E"/>
    <w:rsid w:val="00146F8C"/>
    <w:rsid w:val="00152A7E"/>
    <w:rsid w:val="00152B75"/>
    <w:rsid w:val="001538A1"/>
    <w:rsid w:val="00160BD7"/>
    <w:rsid w:val="00163041"/>
    <w:rsid w:val="001643C9"/>
    <w:rsid w:val="001649B2"/>
    <w:rsid w:val="00165568"/>
    <w:rsid w:val="00166082"/>
    <w:rsid w:val="00166C2F"/>
    <w:rsid w:val="001677A2"/>
    <w:rsid w:val="001716C9"/>
    <w:rsid w:val="001742CD"/>
    <w:rsid w:val="00174DD7"/>
    <w:rsid w:val="00176001"/>
    <w:rsid w:val="001800E6"/>
    <w:rsid w:val="00182408"/>
    <w:rsid w:val="0018357D"/>
    <w:rsid w:val="00183EAD"/>
    <w:rsid w:val="00184261"/>
    <w:rsid w:val="00187019"/>
    <w:rsid w:val="001907E1"/>
    <w:rsid w:val="00193461"/>
    <w:rsid w:val="001939E1"/>
    <w:rsid w:val="00194543"/>
    <w:rsid w:val="00194790"/>
    <w:rsid w:val="00195382"/>
    <w:rsid w:val="001A0779"/>
    <w:rsid w:val="001A2287"/>
    <w:rsid w:val="001A2C67"/>
    <w:rsid w:val="001A3B9F"/>
    <w:rsid w:val="001A5857"/>
    <w:rsid w:val="001A65C0"/>
    <w:rsid w:val="001B0876"/>
    <w:rsid w:val="001B24C3"/>
    <w:rsid w:val="001B3166"/>
    <w:rsid w:val="001B3786"/>
    <w:rsid w:val="001B6456"/>
    <w:rsid w:val="001B7A5D"/>
    <w:rsid w:val="001C49BC"/>
    <w:rsid w:val="001C69C4"/>
    <w:rsid w:val="001D0450"/>
    <w:rsid w:val="001D25B8"/>
    <w:rsid w:val="001D44F7"/>
    <w:rsid w:val="001D5A14"/>
    <w:rsid w:val="001D666A"/>
    <w:rsid w:val="001E0A8D"/>
    <w:rsid w:val="001E2897"/>
    <w:rsid w:val="001E34F3"/>
    <w:rsid w:val="001E3590"/>
    <w:rsid w:val="001E4002"/>
    <w:rsid w:val="001E4E26"/>
    <w:rsid w:val="001E537C"/>
    <w:rsid w:val="001E5981"/>
    <w:rsid w:val="001E7407"/>
    <w:rsid w:val="001F1DCA"/>
    <w:rsid w:val="001F24C0"/>
    <w:rsid w:val="001F2B6B"/>
    <w:rsid w:val="001F410A"/>
    <w:rsid w:val="001F74AD"/>
    <w:rsid w:val="001F78CD"/>
    <w:rsid w:val="002018D8"/>
    <w:rsid w:val="00201D27"/>
    <w:rsid w:val="002028D3"/>
    <w:rsid w:val="0020300C"/>
    <w:rsid w:val="00204E8D"/>
    <w:rsid w:val="002064E0"/>
    <w:rsid w:val="00207BF0"/>
    <w:rsid w:val="00207E76"/>
    <w:rsid w:val="002101A1"/>
    <w:rsid w:val="002108B7"/>
    <w:rsid w:val="0021101C"/>
    <w:rsid w:val="00211C3E"/>
    <w:rsid w:val="00213362"/>
    <w:rsid w:val="00214BCE"/>
    <w:rsid w:val="002162B7"/>
    <w:rsid w:val="0022034C"/>
    <w:rsid w:val="00220A0C"/>
    <w:rsid w:val="0022118C"/>
    <w:rsid w:val="00223E04"/>
    <w:rsid w:val="00223E4A"/>
    <w:rsid w:val="00224C1B"/>
    <w:rsid w:val="002302EA"/>
    <w:rsid w:val="00230A0E"/>
    <w:rsid w:val="00230F7F"/>
    <w:rsid w:val="002336FE"/>
    <w:rsid w:val="002347E4"/>
    <w:rsid w:val="00234EFE"/>
    <w:rsid w:val="00240749"/>
    <w:rsid w:val="00240DFA"/>
    <w:rsid w:val="00243772"/>
    <w:rsid w:val="00244FD2"/>
    <w:rsid w:val="002467B7"/>
    <w:rsid w:val="002468D7"/>
    <w:rsid w:val="002506F6"/>
    <w:rsid w:val="00254FB9"/>
    <w:rsid w:val="0025583E"/>
    <w:rsid w:val="002644BB"/>
    <w:rsid w:val="00264624"/>
    <w:rsid w:val="0026512C"/>
    <w:rsid w:val="00270149"/>
    <w:rsid w:val="002714E1"/>
    <w:rsid w:val="002714E8"/>
    <w:rsid w:val="002718AD"/>
    <w:rsid w:val="00272078"/>
    <w:rsid w:val="00274934"/>
    <w:rsid w:val="0027578D"/>
    <w:rsid w:val="00276FEA"/>
    <w:rsid w:val="00280803"/>
    <w:rsid w:val="00280DC2"/>
    <w:rsid w:val="00280EF0"/>
    <w:rsid w:val="00281E82"/>
    <w:rsid w:val="00285754"/>
    <w:rsid w:val="00285A8E"/>
    <w:rsid w:val="00285CDD"/>
    <w:rsid w:val="00291167"/>
    <w:rsid w:val="00294B55"/>
    <w:rsid w:val="00294FE9"/>
    <w:rsid w:val="00295D95"/>
    <w:rsid w:val="00297ECB"/>
    <w:rsid w:val="002A336E"/>
    <w:rsid w:val="002A3B2D"/>
    <w:rsid w:val="002A3C3C"/>
    <w:rsid w:val="002A5961"/>
    <w:rsid w:val="002A6C4E"/>
    <w:rsid w:val="002B0370"/>
    <w:rsid w:val="002B1866"/>
    <w:rsid w:val="002B1D8D"/>
    <w:rsid w:val="002B2845"/>
    <w:rsid w:val="002B3833"/>
    <w:rsid w:val="002B4040"/>
    <w:rsid w:val="002B581D"/>
    <w:rsid w:val="002B656A"/>
    <w:rsid w:val="002B7256"/>
    <w:rsid w:val="002C08F1"/>
    <w:rsid w:val="002C0DE7"/>
    <w:rsid w:val="002C152A"/>
    <w:rsid w:val="002C36B8"/>
    <w:rsid w:val="002C4DEC"/>
    <w:rsid w:val="002C59A8"/>
    <w:rsid w:val="002C6328"/>
    <w:rsid w:val="002C6353"/>
    <w:rsid w:val="002D043A"/>
    <w:rsid w:val="002D4227"/>
    <w:rsid w:val="002D5655"/>
    <w:rsid w:val="002D59D0"/>
    <w:rsid w:val="002E0E4F"/>
    <w:rsid w:val="002E1E4C"/>
    <w:rsid w:val="002E35F4"/>
    <w:rsid w:val="002E3E9F"/>
    <w:rsid w:val="002E4192"/>
    <w:rsid w:val="002E56A6"/>
    <w:rsid w:val="002E6861"/>
    <w:rsid w:val="002E7035"/>
    <w:rsid w:val="002E7297"/>
    <w:rsid w:val="002E7931"/>
    <w:rsid w:val="002F228A"/>
    <w:rsid w:val="002F294C"/>
    <w:rsid w:val="002F36C6"/>
    <w:rsid w:val="002F7F05"/>
    <w:rsid w:val="0030082B"/>
    <w:rsid w:val="00302410"/>
    <w:rsid w:val="00305C5F"/>
    <w:rsid w:val="00305C9C"/>
    <w:rsid w:val="00305D8B"/>
    <w:rsid w:val="00305EBA"/>
    <w:rsid w:val="00311717"/>
    <w:rsid w:val="003119F8"/>
    <w:rsid w:val="00312ADF"/>
    <w:rsid w:val="00312AFA"/>
    <w:rsid w:val="00312C86"/>
    <w:rsid w:val="00315D5F"/>
    <w:rsid w:val="00316F97"/>
    <w:rsid w:val="0031713F"/>
    <w:rsid w:val="0032091F"/>
    <w:rsid w:val="00321913"/>
    <w:rsid w:val="003228CB"/>
    <w:rsid w:val="00322FB5"/>
    <w:rsid w:val="00324CD8"/>
    <w:rsid w:val="00324EE6"/>
    <w:rsid w:val="0033087E"/>
    <w:rsid w:val="003316DC"/>
    <w:rsid w:val="00331C58"/>
    <w:rsid w:val="00332E0D"/>
    <w:rsid w:val="00333920"/>
    <w:rsid w:val="00334390"/>
    <w:rsid w:val="00335579"/>
    <w:rsid w:val="00335EDB"/>
    <w:rsid w:val="00340783"/>
    <w:rsid w:val="003415D3"/>
    <w:rsid w:val="003416CC"/>
    <w:rsid w:val="00342C51"/>
    <w:rsid w:val="00343F22"/>
    <w:rsid w:val="00344526"/>
    <w:rsid w:val="00346335"/>
    <w:rsid w:val="00346DA1"/>
    <w:rsid w:val="00347CE1"/>
    <w:rsid w:val="003502F3"/>
    <w:rsid w:val="00351FA8"/>
    <w:rsid w:val="00352B0F"/>
    <w:rsid w:val="00353003"/>
    <w:rsid w:val="003561B0"/>
    <w:rsid w:val="00356D60"/>
    <w:rsid w:val="00357004"/>
    <w:rsid w:val="00362406"/>
    <w:rsid w:val="003647ED"/>
    <w:rsid w:val="00365810"/>
    <w:rsid w:val="00366AAF"/>
    <w:rsid w:val="00367960"/>
    <w:rsid w:val="00367BE2"/>
    <w:rsid w:val="0037002B"/>
    <w:rsid w:val="003706E6"/>
    <w:rsid w:val="00370ACE"/>
    <w:rsid w:val="00371CA8"/>
    <w:rsid w:val="00372782"/>
    <w:rsid w:val="00372CC5"/>
    <w:rsid w:val="003743D3"/>
    <w:rsid w:val="003777A7"/>
    <w:rsid w:val="00380313"/>
    <w:rsid w:val="0038153D"/>
    <w:rsid w:val="00382258"/>
    <w:rsid w:val="00382B7C"/>
    <w:rsid w:val="00382E10"/>
    <w:rsid w:val="0038706F"/>
    <w:rsid w:val="00391C14"/>
    <w:rsid w:val="003924C6"/>
    <w:rsid w:val="0039280E"/>
    <w:rsid w:val="0039584E"/>
    <w:rsid w:val="00395AC5"/>
    <w:rsid w:val="00396F19"/>
    <w:rsid w:val="00396F47"/>
    <w:rsid w:val="003A15AC"/>
    <w:rsid w:val="003A209C"/>
    <w:rsid w:val="003A556D"/>
    <w:rsid w:val="003A56EB"/>
    <w:rsid w:val="003A6D32"/>
    <w:rsid w:val="003A73FA"/>
    <w:rsid w:val="003B0627"/>
    <w:rsid w:val="003B1490"/>
    <w:rsid w:val="003B20F2"/>
    <w:rsid w:val="003B24A2"/>
    <w:rsid w:val="003B45C1"/>
    <w:rsid w:val="003C1718"/>
    <w:rsid w:val="003C2CD1"/>
    <w:rsid w:val="003C444E"/>
    <w:rsid w:val="003C4CF6"/>
    <w:rsid w:val="003C5F2B"/>
    <w:rsid w:val="003C6B59"/>
    <w:rsid w:val="003C71DA"/>
    <w:rsid w:val="003C7635"/>
    <w:rsid w:val="003C7B55"/>
    <w:rsid w:val="003C7EB3"/>
    <w:rsid w:val="003D0BFE"/>
    <w:rsid w:val="003D0D48"/>
    <w:rsid w:val="003D1AE0"/>
    <w:rsid w:val="003D2FBC"/>
    <w:rsid w:val="003D366E"/>
    <w:rsid w:val="003D5700"/>
    <w:rsid w:val="003D5F60"/>
    <w:rsid w:val="003E34E0"/>
    <w:rsid w:val="003E7205"/>
    <w:rsid w:val="003E7B78"/>
    <w:rsid w:val="003F0F5A"/>
    <w:rsid w:val="003F21F0"/>
    <w:rsid w:val="003F2556"/>
    <w:rsid w:val="003F4435"/>
    <w:rsid w:val="003F7FF7"/>
    <w:rsid w:val="00400A30"/>
    <w:rsid w:val="0040172A"/>
    <w:rsid w:val="00401AEF"/>
    <w:rsid w:val="004022CA"/>
    <w:rsid w:val="00406428"/>
    <w:rsid w:val="00406B69"/>
    <w:rsid w:val="004116CD"/>
    <w:rsid w:val="0041280B"/>
    <w:rsid w:val="00412A05"/>
    <w:rsid w:val="00413BD1"/>
    <w:rsid w:val="00413C9B"/>
    <w:rsid w:val="0041499D"/>
    <w:rsid w:val="00414ADE"/>
    <w:rsid w:val="00414B07"/>
    <w:rsid w:val="00416A88"/>
    <w:rsid w:val="00423C57"/>
    <w:rsid w:val="0042462F"/>
    <w:rsid w:val="00424CA9"/>
    <w:rsid w:val="004257BB"/>
    <w:rsid w:val="00426050"/>
    <w:rsid w:val="004261D9"/>
    <w:rsid w:val="0042673D"/>
    <w:rsid w:val="00426F84"/>
    <w:rsid w:val="004318FA"/>
    <w:rsid w:val="0043650E"/>
    <w:rsid w:val="00441569"/>
    <w:rsid w:val="00442712"/>
    <w:rsid w:val="0044291A"/>
    <w:rsid w:val="004430BB"/>
    <w:rsid w:val="00446607"/>
    <w:rsid w:val="00446DCE"/>
    <w:rsid w:val="004473D9"/>
    <w:rsid w:val="00450080"/>
    <w:rsid w:val="004545B4"/>
    <w:rsid w:val="0045523E"/>
    <w:rsid w:val="00456D2C"/>
    <w:rsid w:val="00460499"/>
    <w:rsid w:val="00461B4F"/>
    <w:rsid w:val="00463971"/>
    <w:rsid w:val="004656FD"/>
    <w:rsid w:val="00466F67"/>
    <w:rsid w:val="00470069"/>
    <w:rsid w:val="00470356"/>
    <w:rsid w:val="00472E25"/>
    <w:rsid w:val="00474835"/>
    <w:rsid w:val="00477CDE"/>
    <w:rsid w:val="0048181A"/>
    <w:rsid w:val="004819C7"/>
    <w:rsid w:val="0048364F"/>
    <w:rsid w:val="00484638"/>
    <w:rsid w:val="0048608A"/>
    <w:rsid w:val="00486C09"/>
    <w:rsid w:val="004872DB"/>
    <w:rsid w:val="00490F2E"/>
    <w:rsid w:val="00491C45"/>
    <w:rsid w:val="00492D1C"/>
    <w:rsid w:val="004957B8"/>
    <w:rsid w:val="00496DB3"/>
    <w:rsid w:val="00496F97"/>
    <w:rsid w:val="004A1EC9"/>
    <w:rsid w:val="004A213A"/>
    <w:rsid w:val="004A2776"/>
    <w:rsid w:val="004A3DEC"/>
    <w:rsid w:val="004A53EA"/>
    <w:rsid w:val="004B3EED"/>
    <w:rsid w:val="004B4B12"/>
    <w:rsid w:val="004B5E11"/>
    <w:rsid w:val="004B6B71"/>
    <w:rsid w:val="004B765F"/>
    <w:rsid w:val="004B7E65"/>
    <w:rsid w:val="004C026D"/>
    <w:rsid w:val="004C09B3"/>
    <w:rsid w:val="004C221B"/>
    <w:rsid w:val="004C2AB0"/>
    <w:rsid w:val="004D060E"/>
    <w:rsid w:val="004D4D29"/>
    <w:rsid w:val="004E1A7E"/>
    <w:rsid w:val="004E3C2E"/>
    <w:rsid w:val="004E5C08"/>
    <w:rsid w:val="004E5C36"/>
    <w:rsid w:val="004E669A"/>
    <w:rsid w:val="004E7363"/>
    <w:rsid w:val="004F0139"/>
    <w:rsid w:val="004F11E3"/>
    <w:rsid w:val="004F1858"/>
    <w:rsid w:val="004F1EDE"/>
    <w:rsid w:val="004F1FAC"/>
    <w:rsid w:val="004F676E"/>
    <w:rsid w:val="0050262B"/>
    <w:rsid w:val="0050275D"/>
    <w:rsid w:val="00510CC5"/>
    <w:rsid w:val="00511C8B"/>
    <w:rsid w:val="00516B8D"/>
    <w:rsid w:val="00517633"/>
    <w:rsid w:val="00517F03"/>
    <w:rsid w:val="00521B5F"/>
    <w:rsid w:val="00522DF4"/>
    <w:rsid w:val="005236C4"/>
    <w:rsid w:val="00524420"/>
    <w:rsid w:val="0052686F"/>
    <w:rsid w:val="0052756C"/>
    <w:rsid w:val="00530230"/>
    <w:rsid w:val="00530CC9"/>
    <w:rsid w:val="00531B14"/>
    <w:rsid w:val="00531DF9"/>
    <w:rsid w:val="005337F9"/>
    <w:rsid w:val="00535E28"/>
    <w:rsid w:val="00537FBC"/>
    <w:rsid w:val="00541D73"/>
    <w:rsid w:val="00542D1C"/>
    <w:rsid w:val="00543469"/>
    <w:rsid w:val="00544C84"/>
    <w:rsid w:val="005452CC"/>
    <w:rsid w:val="005464DB"/>
    <w:rsid w:val="00546FA3"/>
    <w:rsid w:val="00546FA7"/>
    <w:rsid w:val="0054724F"/>
    <w:rsid w:val="00550113"/>
    <w:rsid w:val="00551272"/>
    <w:rsid w:val="00551A05"/>
    <w:rsid w:val="005533AD"/>
    <w:rsid w:val="00554243"/>
    <w:rsid w:val="00556475"/>
    <w:rsid w:val="00556D7D"/>
    <w:rsid w:val="00557C7A"/>
    <w:rsid w:val="00562A58"/>
    <w:rsid w:val="00563E7B"/>
    <w:rsid w:val="00570493"/>
    <w:rsid w:val="00576A0A"/>
    <w:rsid w:val="005771AB"/>
    <w:rsid w:val="00577F21"/>
    <w:rsid w:val="005810C7"/>
    <w:rsid w:val="00581211"/>
    <w:rsid w:val="00582838"/>
    <w:rsid w:val="00584811"/>
    <w:rsid w:val="005856F1"/>
    <w:rsid w:val="005872F7"/>
    <w:rsid w:val="00590283"/>
    <w:rsid w:val="00593262"/>
    <w:rsid w:val="00593AA6"/>
    <w:rsid w:val="00594161"/>
    <w:rsid w:val="00594749"/>
    <w:rsid w:val="00594EBC"/>
    <w:rsid w:val="00595BA4"/>
    <w:rsid w:val="005A2C46"/>
    <w:rsid w:val="005A4329"/>
    <w:rsid w:val="005A43E7"/>
    <w:rsid w:val="005A482B"/>
    <w:rsid w:val="005A5653"/>
    <w:rsid w:val="005A7BC3"/>
    <w:rsid w:val="005B23F6"/>
    <w:rsid w:val="005B4067"/>
    <w:rsid w:val="005B45C1"/>
    <w:rsid w:val="005B4A98"/>
    <w:rsid w:val="005B6B42"/>
    <w:rsid w:val="005C0BED"/>
    <w:rsid w:val="005C0E66"/>
    <w:rsid w:val="005C0F08"/>
    <w:rsid w:val="005C103A"/>
    <w:rsid w:val="005C36E0"/>
    <w:rsid w:val="005C3A46"/>
    <w:rsid w:val="005C3F41"/>
    <w:rsid w:val="005C42FC"/>
    <w:rsid w:val="005C526E"/>
    <w:rsid w:val="005C5470"/>
    <w:rsid w:val="005C6A16"/>
    <w:rsid w:val="005C7421"/>
    <w:rsid w:val="005D168D"/>
    <w:rsid w:val="005D2121"/>
    <w:rsid w:val="005D403F"/>
    <w:rsid w:val="005D46CC"/>
    <w:rsid w:val="005D5AC5"/>
    <w:rsid w:val="005D5EA1"/>
    <w:rsid w:val="005D6DAE"/>
    <w:rsid w:val="005D744D"/>
    <w:rsid w:val="005D7D39"/>
    <w:rsid w:val="005E0EAD"/>
    <w:rsid w:val="005E13E2"/>
    <w:rsid w:val="005E1C1D"/>
    <w:rsid w:val="005E4761"/>
    <w:rsid w:val="005E61D3"/>
    <w:rsid w:val="005E61F4"/>
    <w:rsid w:val="005E68D5"/>
    <w:rsid w:val="005E7B2E"/>
    <w:rsid w:val="005F0F4E"/>
    <w:rsid w:val="005F464D"/>
    <w:rsid w:val="005F7738"/>
    <w:rsid w:val="00600219"/>
    <w:rsid w:val="0060051F"/>
    <w:rsid w:val="00600D2D"/>
    <w:rsid w:val="00602B6A"/>
    <w:rsid w:val="00602C4A"/>
    <w:rsid w:val="00604830"/>
    <w:rsid w:val="006056C7"/>
    <w:rsid w:val="006068C3"/>
    <w:rsid w:val="00607D94"/>
    <w:rsid w:val="00607DD8"/>
    <w:rsid w:val="00613EAD"/>
    <w:rsid w:val="00615068"/>
    <w:rsid w:val="0061516A"/>
    <w:rsid w:val="006158AC"/>
    <w:rsid w:val="00615D97"/>
    <w:rsid w:val="00623D85"/>
    <w:rsid w:val="006243A7"/>
    <w:rsid w:val="00624B01"/>
    <w:rsid w:val="00624BD2"/>
    <w:rsid w:val="006250FB"/>
    <w:rsid w:val="00625144"/>
    <w:rsid w:val="00626E5A"/>
    <w:rsid w:val="00631A42"/>
    <w:rsid w:val="0063226B"/>
    <w:rsid w:val="00640402"/>
    <w:rsid w:val="00640DBF"/>
    <w:rsid w:val="00640F78"/>
    <w:rsid w:val="00641AC0"/>
    <w:rsid w:val="0064218B"/>
    <w:rsid w:val="00642BD1"/>
    <w:rsid w:val="00643076"/>
    <w:rsid w:val="00643F1C"/>
    <w:rsid w:val="00646E7B"/>
    <w:rsid w:val="00652AB9"/>
    <w:rsid w:val="006537B1"/>
    <w:rsid w:val="00653A1E"/>
    <w:rsid w:val="006540A9"/>
    <w:rsid w:val="0065526E"/>
    <w:rsid w:val="00655D6A"/>
    <w:rsid w:val="00656898"/>
    <w:rsid w:val="00656DE9"/>
    <w:rsid w:val="00660F9F"/>
    <w:rsid w:val="00661326"/>
    <w:rsid w:val="0066435D"/>
    <w:rsid w:val="006661CF"/>
    <w:rsid w:val="006678C2"/>
    <w:rsid w:val="00675BEC"/>
    <w:rsid w:val="00677CC2"/>
    <w:rsid w:val="006827EA"/>
    <w:rsid w:val="00683AB7"/>
    <w:rsid w:val="00685F42"/>
    <w:rsid w:val="006866A1"/>
    <w:rsid w:val="00687EE6"/>
    <w:rsid w:val="006904FD"/>
    <w:rsid w:val="0069207B"/>
    <w:rsid w:val="0069249E"/>
    <w:rsid w:val="006940CD"/>
    <w:rsid w:val="00696DCF"/>
    <w:rsid w:val="00697BD8"/>
    <w:rsid w:val="006A0738"/>
    <w:rsid w:val="006A1C6D"/>
    <w:rsid w:val="006A2257"/>
    <w:rsid w:val="006A4309"/>
    <w:rsid w:val="006A4496"/>
    <w:rsid w:val="006A6E28"/>
    <w:rsid w:val="006A7502"/>
    <w:rsid w:val="006A7B72"/>
    <w:rsid w:val="006A7E6B"/>
    <w:rsid w:val="006B0E55"/>
    <w:rsid w:val="006B184C"/>
    <w:rsid w:val="006B3A7A"/>
    <w:rsid w:val="006B7006"/>
    <w:rsid w:val="006B729D"/>
    <w:rsid w:val="006C1309"/>
    <w:rsid w:val="006C131F"/>
    <w:rsid w:val="006C1755"/>
    <w:rsid w:val="006C2465"/>
    <w:rsid w:val="006C5CC7"/>
    <w:rsid w:val="006C5CE6"/>
    <w:rsid w:val="006C70C3"/>
    <w:rsid w:val="006C7F8C"/>
    <w:rsid w:val="006D0531"/>
    <w:rsid w:val="006D3138"/>
    <w:rsid w:val="006D6C20"/>
    <w:rsid w:val="006D7AB9"/>
    <w:rsid w:val="006E3D50"/>
    <w:rsid w:val="006E550F"/>
    <w:rsid w:val="006E74B3"/>
    <w:rsid w:val="006F05CB"/>
    <w:rsid w:val="006F666C"/>
    <w:rsid w:val="006F6E06"/>
    <w:rsid w:val="00700B2C"/>
    <w:rsid w:val="00704C61"/>
    <w:rsid w:val="0070728C"/>
    <w:rsid w:val="007076F2"/>
    <w:rsid w:val="007119FF"/>
    <w:rsid w:val="00712DCF"/>
    <w:rsid w:val="00713084"/>
    <w:rsid w:val="00713297"/>
    <w:rsid w:val="00713BBA"/>
    <w:rsid w:val="007147A4"/>
    <w:rsid w:val="00714C85"/>
    <w:rsid w:val="00716CA5"/>
    <w:rsid w:val="007170DF"/>
    <w:rsid w:val="00717959"/>
    <w:rsid w:val="00720FC2"/>
    <w:rsid w:val="00725583"/>
    <w:rsid w:val="00727845"/>
    <w:rsid w:val="00731D6E"/>
    <w:rsid w:val="00731E00"/>
    <w:rsid w:val="00732E9D"/>
    <w:rsid w:val="0073491A"/>
    <w:rsid w:val="007351B3"/>
    <w:rsid w:val="00736DAB"/>
    <w:rsid w:val="007373EA"/>
    <w:rsid w:val="00742712"/>
    <w:rsid w:val="007437DD"/>
    <w:rsid w:val="007440B7"/>
    <w:rsid w:val="0074467B"/>
    <w:rsid w:val="00744AA0"/>
    <w:rsid w:val="00745400"/>
    <w:rsid w:val="00745759"/>
    <w:rsid w:val="007475AE"/>
    <w:rsid w:val="00747993"/>
    <w:rsid w:val="00750C10"/>
    <w:rsid w:val="00750CE6"/>
    <w:rsid w:val="00754D48"/>
    <w:rsid w:val="007559F9"/>
    <w:rsid w:val="00761464"/>
    <w:rsid w:val="00762D8F"/>
    <w:rsid w:val="007634AD"/>
    <w:rsid w:val="00765A78"/>
    <w:rsid w:val="00767ED6"/>
    <w:rsid w:val="007715C9"/>
    <w:rsid w:val="00771F88"/>
    <w:rsid w:val="00774EDD"/>
    <w:rsid w:val="007757EC"/>
    <w:rsid w:val="007758FA"/>
    <w:rsid w:val="00776601"/>
    <w:rsid w:val="007810F3"/>
    <w:rsid w:val="00783B74"/>
    <w:rsid w:val="0078482F"/>
    <w:rsid w:val="00787184"/>
    <w:rsid w:val="007949EB"/>
    <w:rsid w:val="007967AE"/>
    <w:rsid w:val="00796971"/>
    <w:rsid w:val="007A0965"/>
    <w:rsid w:val="007A09F0"/>
    <w:rsid w:val="007A115D"/>
    <w:rsid w:val="007A2FF5"/>
    <w:rsid w:val="007A35E6"/>
    <w:rsid w:val="007A3A3E"/>
    <w:rsid w:val="007A4526"/>
    <w:rsid w:val="007A464F"/>
    <w:rsid w:val="007A6863"/>
    <w:rsid w:val="007A6EA6"/>
    <w:rsid w:val="007B017A"/>
    <w:rsid w:val="007B2D73"/>
    <w:rsid w:val="007B2F4F"/>
    <w:rsid w:val="007B3783"/>
    <w:rsid w:val="007C1DB5"/>
    <w:rsid w:val="007C29EE"/>
    <w:rsid w:val="007C34EC"/>
    <w:rsid w:val="007C35D1"/>
    <w:rsid w:val="007C5146"/>
    <w:rsid w:val="007C5175"/>
    <w:rsid w:val="007D28A5"/>
    <w:rsid w:val="007D3DDB"/>
    <w:rsid w:val="007D45C1"/>
    <w:rsid w:val="007E5BC3"/>
    <w:rsid w:val="007E5EA3"/>
    <w:rsid w:val="007E7D4A"/>
    <w:rsid w:val="007F05E0"/>
    <w:rsid w:val="007F0F42"/>
    <w:rsid w:val="007F48ED"/>
    <w:rsid w:val="007F5A6A"/>
    <w:rsid w:val="007F7947"/>
    <w:rsid w:val="00801406"/>
    <w:rsid w:val="0080385B"/>
    <w:rsid w:val="00803D2A"/>
    <w:rsid w:val="0080449A"/>
    <w:rsid w:val="00804CDD"/>
    <w:rsid w:val="00805614"/>
    <w:rsid w:val="00806229"/>
    <w:rsid w:val="008079EC"/>
    <w:rsid w:val="00810CC7"/>
    <w:rsid w:val="00812F45"/>
    <w:rsid w:val="00814D0D"/>
    <w:rsid w:val="008205B6"/>
    <w:rsid w:val="00820EAC"/>
    <w:rsid w:val="00823571"/>
    <w:rsid w:val="00826AE8"/>
    <w:rsid w:val="00834685"/>
    <w:rsid w:val="00834C4B"/>
    <w:rsid w:val="00835562"/>
    <w:rsid w:val="0083771D"/>
    <w:rsid w:val="0084172C"/>
    <w:rsid w:val="00843151"/>
    <w:rsid w:val="008461BF"/>
    <w:rsid w:val="0084786B"/>
    <w:rsid w:val="008537FE"/>
    <w:rsid w:val="00856234"/>
    <w:rsid w:val="00856A31"/>
    <w:rsid w:val="008600C3"/>
    <w:rsid w:val="008606A5"/>
    <w:rsid w:val="00861737"/>
    <w:rsid w:val="0086252C"/>
    <w:rsid w:val="00864FEB"/>
    <w:rsid w:val="008678A7"/>
    <w:rsid w:val="00872DB6"/>
    <w:rsid w:val="00873837"/>
    <w:rsid w:val="008744D6"/>
    <w:rsid w:val="008754D0"/>
    <w:rsid w:val="00875774"/>
    <w:rsid w:val="008758F0"/>
    <w:rsid w:val="00877D48"/>
    <w:rsid w:val="00881003"/>
    <w:rsid w:val="00881BDF"/>
    <w:rsid w:val="0088345B"/>
    <w:rsid w:val="0088512F"/>
    <w:rsid w:val="00885F6B"/>
    <w:rsid w:val="00886ECA"/>
    <w:rsid w:val="008901C6"/>
    <w:rsid w:val="00893B76"/>
    <w:rsid w:val="00895F8E"/>
    <w:rsid w:val="008A076B"/>
    <w:rsid w:val="008A16A5"/>
    <w:rsid w:val="008A2090"/>
    <w:rsid w:val="008A336C"/>
    <w:rsid w:val="008A4FD4"/>
    <w:rsid w:val="008A58D0"/>
    <w:rsid w:val="008B1D6D"/>
    <w:rsid w:val="008B214A"/>
    <w:rsid w:val="008B3BDF"/>
    <w:rsid w:val="008B4661"/>
    <w:rsid w:val="008B50E4"/>
    <w:rsid w:val="008B71D9"/>
    <w:rsid w:val="008C05D9"/>
    <w:rsid w:val="008C0C45"/>
    <w:rsid w:val="008C2B5D"/>
    <w:rsid w:val="008C2C1B"/>
    <w:rsid w:val="008C52FA"/>
    <w:rsid w:val="008C571C"/>
    <w:rsid w:val="008D0EE0"/>
    <w:rsid w:val="008D1C31"/>
    <w:rsid w:val="008D3BD2"/>
    <w:rsid w:val="008D3C81"/>
    <w:rsid w:val="008D5B99"/>
    <w:rsid w:val="008D5BF5"/>
    <w:rsid w:val="008D649C"/>
    <w:rsid w:val="008D7A27"/>
    <w:rsid w:val="008D7E8B"/>
    <w:rsid w:val="008E1CE0"/>
    <w:rsid w:val="008E312E"/>
    <w:rsid w:val="008E39CB"/>
    <w:rsid w:val="008E4177"/>
    <w:rsid w:val="008E4702"/>
    <w:rsid w:val="008E4BA3"/>
    <w:rsid w:val="008E4D04"/>
    <w:rsid w:val="008E69AA"/>
    <w:rsid w:val="008E76BA"/>
    <w:rsid w:val="008F085E"/>
    <w:rsid w:val="008F4F1C"/>
    <w:rsid w:val="008F551E"/>
    <w:rsid w:val="008F6B69"/>
    <w:rsid w:val="008F7756"/>
    <w:rsid w:val="009016CF"/>
    <w:rsid w:val="00903387"/>
    <w:rsid w:val="00905D3F"/>
    <w:rsid w:val="009067E2"/>
    <w:rsid w:val="009076CC"/>
    <w:rsid w:val="009115C0"/>
    <w:rsid w:val="0091418A"/>
    <w:rsid w:val="00916982"/>
    <w:rsid w:val="00922764"/>
    <w:rsid w:val="00932377"/>
    <w:rsid w:val="00932576"/>
    <w:rsid w:val="00933202"/>
    <w:rsid w:val="00935579"/>
    <w:rsid w:val="00936094"/>
    <w:rsid w:val="0094008A"/>
    <w:rsid w:val="00940F71"/>
    <w:rsid w:val="009422BE"/>
    <w:rsid w:val="0094270D"/>
    <w:rsid w:val="00943102"/>
    <w:rsid w:val="0094523D"/>
    <w:rsid w:val="00946DDA"/>
    <w:rsid w:val="00951985"/>
    <w:rsid w:val="00951D62"/>
    <w:rsid w:val="00952F36"/>
    <w:rsid w:val="00953D0A"/>
    <w:rsid w:val="009559E6"/>
    <w:rsid w:val="0095665B"/>
    <w:rsid w:val="00957474"/>
    <w:rsid w:val="009607CC"/>
    <w:rsid w:val="00961820"/>
    <w:rsid w:val="009618D3"/>
    <w:rsid w:val="00965372"/>
    <w:rsid w:val="00967963"/>
    <w:rsid w:val="009711DC"/>
    <w:rsid w:val="00972988"/>
    <w:rsid w:val="0097341C"/>
    <w:rsid w:val="00974114"/>
    <w:rsid w:val="009759FB"/>
    <w:rsid w:val="00976617"/>
    <w:rsid w:val="00976A63"/>
    <w:rsid w:val="00980301"/>
    <w:rsid w:val="00983419"/>
    <w:rsid w:val="009841A6"/>
    <w:rsid w:val="0099260D"/>
    <w:rsid w:val="0099327B"/>
    <w:rsid w:val="00993612"/>
    <w:rsid w:val="00993D46"/>
    <w:rsid w:val="0099470F"/>
    <w:rsid w:val="00994BC9"/>
    <w:rsid w:val="009956FA"/>
    <w:rsid w:val="0099585D"/>
    <w:rsid w:val="00996254"/>
    <w:rsid w:val="009977FA"/>
    <w:rsid w:val="009A124C"/>
    <w:rsid w:val="009A2C73"/>
    <w:rsid w:val="009A3E4E"/>
    <w:rsid w:val="009A76A9"/>
    <w:rsid w:val="009B3961"/>
    <w:rsid w:val="009B4F80"/>
    <w:rsid w:val="009B503B"/>
    <w:rsid w:val="009B542A"/>
    <w:rsid w:val="009B5EF8"/>
    <w:rsid w:val="009B72D0"/>
    <w:rsid w:val="009C3431"/>
    <w:rsid w:val="009C5989"/>
    <w:rsid w:val="009D08DA"/>
    <w:rsid w:val="009D0ABA"/>
    <w:rsid w:val="009D0F0B"/>
    <w:rsid w:val="009D405E"/>
    <w:rsid w:val="009E0D36"/>
    <w:rsid w:val="009E3061"/>
    <w:rsid w:val="009F4748"/>
    <w:rsid w:val="009F4F21"/>
    <w:rsid w:val="009F7722"/>
    <w:rsid w:val="00A0133A"/>
    <w:rsid w:val="00A033D5"/>
    <w:rsid w:val="00A06860"/>
    <w:rsid w:val="00A0708C"/>
    <w:rsid w:val="00A104E6"/>
    <w:rsid w:val="00A112D8"/>
    <w:rsid w:val="00A120E4"/>
    <w:rsid w:val="00A12A15"/>
    <w:rsid w:val="00A136F5"/>
    <w:rsid w:val="00A14543"/>
    <w:rsid w:val="00A213C6"/>
    <w:rsid w:val="00A21A23"/>
    <w:rsid w:val="00A231E2"/>
    <w:rsid w:val="00A23944"/>
    <w:rsid w:val="00A2398F"/>
    <w:rsid w:val="00A24958"/>
    <w:rsid w:val="00A2550D"/>
    <w:rsid w:val="00A27728"/>
    <w:rsid w:val="00A30047"/>
    <w:rsid w:val="00A30E2F"/>
    <w:rsid w:val="00A32EB7"/>
    <w:rsid w:val="00A34028"/>
    <w:rsid w:val="00A34AE7"/>
    <w:rsid w:val="00A358C9"/>
    <w:rsid w:val="00A366FF"/>
    <w:rsid w:val="00A4169B"/>
    <w:rsid w:val="00A445F2"/>
    <w:rsid w:val="00A4586E"/>
    <w:rsid w:val="00A50D55"/>
    <w:rsid w:val="00A5165B"/>
    <w:rsid w:val="00A521AE"/>
    <w:rsid w:val="00A52FDA"/>
    <w:rsid w:val="00A53C65"/>
    <w:rsid w:val="00A5698B"/>
    <w:rsid w:val="00A571EF"/>
    <w:rsid w:val="00A605D9"/>
    <w:rsid w:val="00A636D1"/>
    <w:rsid w:val="00A63AC6"/>
    <w:rsid w:val="00A64912"/>
    <w:rsid w:val="00A673AA"/>
    <w:rsid w:val="00A70A74"/>
    <w:rsid w:val="00A747F9"/>
    <w:rsid w:val="00A775C0"/>
    <w:rsid w:val="00A813C4"/>
    <w:rsid w:val="00A90323"/>
    <w:rsid w:val="00A90DF3"/>
    <w:rsid w:val="00A92E88"/>
    <w:rsid w:val="00A95509"/>
    <w:rsid w:val="00AA0343"/>
    <w:rsid w:val="00AA1260"/>
    <w:rsid w:val="00AA1FEC"/>
    <w:rsid w:val="00AA2A5C"/>
    <w:rsid w:val="00AA3E7D"/>
    <w:rsid w:val="00AA50F3"/>
    <w:rsid w:val="00AA5124"/>
    <w:rsid w:val="00AB40F2"/>
    <w:rsid w:val="00AB4F3B"/>
    <w:rsid w:val="00AB5680"/>
    <w:rsid w:val="00AB5DA3"/>
    <w:rsid w:val="00AB66C0"/>
    <w:rsid w:val="00AB78E9"/>
    <w:rsid w:val="00AC4496"/>
    <w:rsid w:val="00AC69B6"/>
    <w:rsid w:val="00AC7335"/>
    <w:rsid w:val="00AD0DFD"/>
    <w:rsid w:val="00AD3317"/>
    <w:rsid w:val="00AD3467"/>
    <w:rsid w:val="00AD4B6F"/>
    <w:rsid w:val="00AD5354"/>
    <w:rsid w:val="00AD5641"/>
    <w:rsid w:val="00AE0AC1"/>
    <w:rsid w:val="00AE0F9B"/>
    <w:rsid w:val="00AE11CC"/>
    <w:rsid w:val="00AE4F37"/>
    <w:rsid w:val="00AE5CD8"/>
    <w:rsid w:val="00AE6285"/>
    <w:rsid w:val="00AE663A"/>
    <w:rsid w:val="00AF1CE4"/>
    <w:rsid w:val="00AF522F"/>
    <w:rsid w:val="00AF55FF"/>
    <w:rsid w:val="00AF7DCA"/>
    <w:rsid w:val="00B02F93"/>
    <w:rsid w:val="00B032D8"/>
    <w:rsid w:val="00B06617"/>
    <w:rsid w:val="00B075C5"/>
    <w:rsid w:val="00B07AB9"/>
    <w:rsid w:val="00B07D43"/>
    <w:rsid w:val="00B10FBF"/>
    <w:rsid w:val="00B14C78"/>
    <w:rsid w:val="00B15A24"/>
    <w:rsid w:val="00B16F4F"/>
    <w:rsid w:val="00B21545"/>
    <w:rsid w:val="00B224D5"/>
    <w:rsid w:val="00B22561"/>
    <w:rsid w:val="00B231B7"/>
    <w:rsid w:val="00B2458E"/>
    <w:rsid w:val="00B26D96"/>
    <w:rsid w:val="00B27C1A"/>
    <w:rsid w:val="00B33B3C"/>
    <w:rsid w:val="00B34FE1"/>
    <w:rsid w:val="00B40D74"/>
    <w:rsid w:val="00B41B24"/>
    <w:rsid w:val="00B42F24"/>
    <w:rsid w:val="00B46868"/>
    <w:rsid w:val="00B47C16"/>
    <w:rsid w:val="00B50E81"/>
    <w:rsid w:val="00B52663"/>
    <w:rsid w:val="00B544A3"/>
    <w:rsid w:val="00B54999"/>
    <w:rsid w:val="00B56DCB"/>
    <w:rsid w:val="00B60686"/>
    <w:rsid w:val="00B61085"/>
    <w:rsid w:val="00B613DC"/>
    <w:rsid w:val="00B639A6"/>
    <w:rsid w:val="00B63CE6"/>
    <w:rsid w:val="00B641CD"/>
    <w:rsid w:val="00B66630"/>
    <w:rsid w:val="00B669F1"/>
    <w:rsid w:val="00B6713E"/>
    <w:rsid w:val="00B74383"/>
    <w:rsid w:val="00B75DA6"/>
    <w:rsid w:val="00B770D2"/>
    <w:rsid w:val="00B77BCC"/>
    <w:rsid w:val="00B8034C"/>
    <w:rsid w:val="00B86563"/>
    <w:rsid w:val="00B86E8A"/>
    <w:rsid w:val="00B90A5C"/>
    <w:rsid w:val="00B912A3"/>
    <w:rsid w:val="00B930C6"/>
    <w:rsid w:val="00B95065"/>
    <w:rsid w:val="00B97DE4"/>
    <w:rsid w:val="00BA06BD"/>
    <w:rsid w:val="00BA1F50"/>
    <w:rsid w:val="00BA47A3"/>
    <w:rsid w:val="00BA4E1D"/>
    <w:rsid w:val="00BA5026"/>
    <w:rsid w:val="00BA6943"/>
    <w:rsid w:val="00BA7A44"/>
    <w:rsid w:val="00BB00DA"/>
    <w:rsid w:val="00BB0BF8"/>
    <w:rsid w:val="00BB23A4"/>
    <w:rsid w:val="00BB3022"/>
    <w:rsid w:val="00BB405C"/>
    <w:rsid w:val="00BB4630"/>
    <w:rsid w:val="00BB5247"/>
    <w:rsid w:val="00BB56B2"/>
    <w:rsid w:val="00BB66B4"/>
    <w:rsid w:val="00BB6E79"/>
    <w:rsid w:val="00BC1EA4"/>
    <w:rsid w:val="00BC23D2"/>
    <w:rsid w:val="00BC3674"/>
    <w:rsid w:val="00BC3987"/>
    <w:rsid w:val="00BC60E6"/>
    <w:rsid w:val="00BC749A"/>
    <w:rsid w:val="00BD132E"/>
    <w:rsid w:val="00BD2525"/>
    <w:rsid w:val="00BE28F6"/>
    <w:rsid w:val="00BE2B9E"/>
    <w:rsid w:val="00BE3B31"/>
    <w:rsid w:val="00BE57BB"/>
    <w:rsid w:val="00BE719A"/>
    <w:rsid w:val="00BE720A"/>
    <w:rsid w:val="00BE73AB"/>
    <w:rsid w:val="00BE7423"/>
    <w:rsid w:val="00BE76AE"/>
    <w:rsid w:val="00BE7C0C"/>
    <w:rsid w:val="00BF19FE"/>
    <w:rsid w:val="00BF1A15"/>
    <w:rsid w:val="00BF2473"/>
    <w:rsid w:val="00BF2F64"/>
    <w:rsid w:val="00BF6650"/>
    <w:rsid w:val="00C01EBE"/>
    <w:rsid w:val="00C0241E"/>
    <w:rsid w:val="00C02B45"/>
    <w:rsid w:val="00C04785"/>
    <w:rsid w:val="00C0637D"/>
    <w:rsid w:val="00C067E5"/>
    <w:rsid w:val="00C107BB"/>
    <w:rsid w:val="00C11423"/>
    <w:rsid w:val="00C14007"/>
    <w:rsid w:val="00C14674"/>
    <w:rsid w:val="00C1643A"/>
    <w:rsid w:val="00C164CA"/>
    <w:rsid w:val="00C167E8"/>
    <w:rsid w:val="00C17FDF"/>
    <w:rsid w:val="00C20594"/>
    <w:rsid w:val="00C21BB9"/>
    <w:rsid w:val="00C2201A"/>
    <w:rsid w:val="00C22FFC"/>
    <w:rsid w:val="00C26A04"/>
    <w:rsid w:val="00C42BF8"/>
    <w:rsid w:val="00C460AE"/>
    <w:rsid w:val="00C4629A"/>
    <w:rsid w:val="00C466FA"/>
    <w:rsid w:val="00C46754"/>
    <w:rsid w:val="00C46DE3"/>
    <w:rsid w:val="00C47078"/>
    <w:rsid w:val="00C50043"/>
    <w:rsid w:val="00C50A0F"/>
    <w:rsid w:val="00C5322A"/>
    <w:rsid w:val="00C55A37"/>
    <w:rsid w:val="00C56FA9"/>
    <w:rsid w:val="00C57EE6"/>
    <w:rsid w:val="00C62088"/>
    <w:rsid w:val="00C67E52"/>
    <w:rsid w:val="00C67FD2"/>
    <w:rsid w:val="00C73958"/>
    <w:rsid w:val="00C74A2A"/>
    <w:rsid w:val="00C7573B"/>
    <w:rsid w:val="00C76CF3"/>
    <w:rsid w:val="00C77F4A"/>
    <w:rsid w:val="00C8249F"/>
    <w:rsid w:val="00C902A8"/>
    <w:rsid w:val="00C90F09"/>
    <w:rsid w:val="00C94D96"/>
    <w:rsid w:val="00C95E3B"/>
    <w:rsid w:val="00CA061B"/>
    <w:rsid w:val="00CA1AA9"/>
    <w:rsid w:val="00CA5863"/>
    <w:rsid w:val="00CA71B4"/>
    <w:rsid w:val="00CA761E"/>
    <w:rsid w:val="00CA7844"/>
    <w:rsid w:val="00CB0D5F"/>
    <w:rsid w:val="00CB154B"/>
    <w:rsid w:val="00CB1C08"/>
    <w:rsid w:val="00CB5138"/>
    <w:rsid w:val="00CB58EF"/>
    <w:rsid w:val="00CB65C8"/>
    <w:rsid w:val="00CC0D84"/>
    <w:rsid w:val="00CC15AF"/>
    <w:rsid w:val="00CC25EC"/>
    <w:rsid w:val="00CD07CE"/>
    <w:rsid w:val="00CD2855"/>
    <w:rsid w:val="00CD28B9"/>
    <w:rsid w:val="00CD4A4C"/>
    <w:rsid w:val="00CD4C7E"/>
    <w:rsid w:val="00CD5407"/>
    <w:rsid w:val="00CD6977"/>
    <w:rsid w:val="00CD718E"/>
    <w:rsid w:val="00CD78FA"/>
    <w:rsid w:val="00CE0CB8"/>
    <w:rsid w:val="00CE1C99"/>
    <w:rsid w:val="00CE28D1"/>
    <w:rsid w:val="00CE2CF3"/>
    <w:rsid w:val="00CE5C58"/>
    <w:rsid w:val="00CE5FC7"/>
    <w:rsid w:val="00CE68D9"/>
    <w:rsid w:val="00CE7D64"/>
    <w:rsid w:val="00CF0BB2"/>
    <w:rsid w:val="00CF5651"/>
    <w:rsid w:val="00CF60F6"/>
    <w:rsid w:val="00CF67E1"/>
    <w:rsid w:val="00D00B44"/>
    <w:rsid w:val="00D02D09"/>
    <w:rsid w:val="00D06B00"/>
    <w:rsid w:val="00D13441"/>
    <w:rsid w:val="00D13826"/>
    <w:rsid w:val="00D13BB2"/>
    <w:rsid w:val="00D15044"/>
    <w:rsid w:val="00D17AFF"/>
    <w:rsid w:val="00D243A3"/>
    <w:rsid w:val="00D24CDB"/>
    <w:rsid w:val="00D3200B"/>
    <w:rsid w:val="00D3250F"/>
    <w:rsid w:val="00D32636"/>
    <w:rsid w:val="00D32DAA"/>
    <w:rsid w:val="00D33440"/>
    <w:rsid w:val="00D34335"/>
    <w:rsid w:val="00D34A98"/>
    <w:rsid w:val="00D37BC8"/>
    <w:rsid w:val="00D40928"/>
    <w:rsid w:val="00D4123A"/>
    <w:rsid w:val="00D42EA2"/>
    <w:rsid w:val="00D43C3C"/>
    <w:rsid w:val="00D44723"/>
    <w:rsid w:val="00D45F35"/>
    <w:rsid w:val="00D501B9"/>
    <w:rsid w:val="00D52EFE"/>
    <w:rsid w:val="00D56A0D"/>
    <w:rsid w:val="00D5717E"/>
    <w:rsid w:val="00D60C95"/>
    <w:rsid w:val="00D61F0B"/>
    <w:rsid w:val="00D63126"/>
    <w:rsid w:val="00D63EF6"/>
    <w:rsid w:val="00D66518"/>
    <w:rsid w:val="00D709C1"/>
    <w:rsid w:val="00D70DFB"/>
    <w:rsid w:val="00D7109F"/>
    <w:rsid w:val="00D71EEA"/>
    <w:rsid w:val="00D72CA2"/>
    <w:rsid w:val="00D735CD"/>
    <w:rsid w:val="00D73E9D"/>
    <w:rsid w:val="00D763B8"/>
    <w:rsid w:val="00D766DF"/>
    <w:rsid w:val="00D76B38"/>
    <w:rsid w:val="00D775CB"/>
    <w:rsid w:val="00D77C30"/>
    <w:rsid w:val="00D801C3"/>
    <w:rsid w:val="00D8039D"/>
    <w:rsid w:val="00D80679"/>
    <w:rsid w:val="00D81665"/>
    <w:rsid w:val="00D81FA3"/>
    <w:rsid w:val="00D82698"/>
    <w:rsid w:val="00D838C4"/>
    <w:rsid w:val="00D84C8B"/>
    <w:rsid w:val="00D86F6A"/>
    <w:rsid w:val="00D9125E"/>
    <w:rsid w:val="00D9136B"/>
    <w:rsid w:val="00D93A62"/>
    <w:rsid w:val="00D95891"/>
    <w:rsid w:val="00D96A5B"/>
    <w:rsid w:val="00DA07C2"/>
    <w:rsid w:val="00DA0A67"/>
    <w:rsid w:val="00DA10E6"/>
    <w:rsid w:val="00DA15EF"/>
    <w:rsid w:val="00DA3229"/>
    <w:rsid w:val="00DB261D"/>
    <w:rsid w:val="00DB2BAF"/>
    <w:rsid w:val="00DB2C04"/>
    <w:rsid w:val="00DB3075"/>
    <w:rsid w:val="00DB33CD"/>
    <w:rsid w:val="00DB5CB4"/>
    <w:rsid w:val="00DC058C"/>
    <w:rsid w:val="00DC0825"/>
    <w:rsid w:val="00DC24DF"/>
    <w:rsid w:val="00DC32D1"/>
    <w:rsid w:val="00DC3745"/>
    <w:rsid w:val="00DC6265"/>
    <w:rsid w:val="00DD34B1"/>
    <w:rsid w:val="00DE149E"/>
    <w:rsid w:val="00DE150E"/>
    <w:rsid w:val="00DE2CDD"/>
    <w:rsid w:val="00DE3A53"/>
    <w:rsid w:val="00DE3CAB"/>
    <w:rsid w:val="00DF697A"/>
    <w:rsid w:val="00DF6C37"/>
    <w:rsid w:val="00DF6D0C"/>
    <w:rsid w:val="00E0025B"/>
    <w:rsid w:val="00E05704"/>
    <w:rsid w:val="00E1097C"/>
    <w:rsid w:val="00E12F1A"/>
    <w:rsid w:val="00E1550B"/>
    <w:rsid w:val="00E1643B"/>
    <w:rsid w:val="00E20FFD"/>
    <w:rsid w:val="00E21CFB"/>
    <w:rsid w:val="00E22935"/>
    <w:rsid w:val="00E23A54"/>
    <w:rsid w:val="00E23DE1"/>
    <w:rsid w:val="00E25148"/>
    <w:rsid w:val="00E25633"/>
    <w:rsid w:val="00E2569B"/>
    <w:rsid w:val="00E27AC2"/>
    <w:rsid w:val="00E35024"/>
    <w:rsid w:val="00E40A47"/>
    <w:rsid w:val="00E42A50"/>
    <w:rsid w:val="00E42B2B"/>
    <w:rsid w:val="00E43D73"/>
    <w:rsid w:val="00E45C31"/>
    <w:rsid w:val="00E464D1"/>
    <w:rsid w:val="00E46B42"/>
    <w:rsid w:val="00E47513"/>
    <w:rsid w:val="00E50BDE"/>
    <w:rsid w:val="00E52178"/>
    <w:rsid w:val="00E5237D"/>
    <w:rsid w:val="00E54292"/>
    <w:rsid w:val="00E5564C"/>
    <w:rsid w:val="00E5593E"/>
    <w:rsid w:val="00E56FFB"/>
    <w:rsid w:val="00E60191"/>
    <w:rsid w:val="00E60BCD"/>
    <w:rsid w:val="00E60CBF"/>
    <w:rsid w:val="00E60F62"/>
    <w:rsid w:val="00E620FA"/>
    <w:rsid w:val="00E631BE"/>
    <w:rsid w:val="00E631D2"/>
    <w:rsid w:val="00E63A71"/>
    <w:rsid w:val="00E63D23"/>
    <w:rsid w:val="00E65A92"/>
    <w:rsid w:val="00E65AEA"/>
    <w:rsid w:val="00E66A65"/>
    <w:rsid w:val="00E70517"/>
    <w:rsid w:val="00E7069D"/>
    <w:rsid w:val="00E71CB4"/>
    <w:rsid w:val="00E72372"/>
    <w:rsid w:val="00E74DC7"/>
    <w:rsid w:val="00E76131"/>
    <w:rsid w:val="00E7613D"/>
    <w:rsid w:val="00E776EB"/>
    <w:rsid w:val="00E82F3D"/>
    <w:rsid w:val="00E84AB9"/>
    <w:rsid w:val="00E86C23"/>
    <w:rsid w:val="00E87699"/>
    <w:rsid w:val="00E87D5E"/>
    <w:rsid w:val="00E92E27"/>
    <w:rsid w:val="00E9586B"/>
    <w:rsid w:val="00E9720B"/>
    <w:rsid w:val="00E97334"/>
    <w:rsid w:val="00EA0D36"/>
    <w:rsid w:val="00EA115C"/>
    <w:rsid w:val="00EA1800"/>
    <w:rsid w:val="00EA1F05"/>
    <w:rsid w:val="00EA1F90"/>
    <w:rsid w:val="00EA3FFA"/>
    <w:rsid w:val="00EA549D"/>
    <w:rsid w:val="00EB0D02"/>
    <w:rsid w:val="00EB32CD"/>
    <w:rsid w:val="00EB5396"/>
    <w:rsid w:val="00EB74B3"/>
    <w:rsid w:val="00EB7B13"/>
    <w:rsid w:val="00EB7B27"/>
    <w:rsid w:val="00EC2412"/>
    <w:rsid w:val="00EC4EE7"/>
    <w:rsid w:val="00EC5B4D"/>
    <w:rsid w:val="00EC67CA"/>
    <w:rsid w:val="00ED003C"/>
    <w:rsid w:val="00ED31BA"/>
    <w:rsid w:val="00ED4928"/>
    <w:rsid w:val="00ED4A3B"/>
    <w:rsid w:val="00ED515F"/>
    <w:rsid w:val="00ED61A9"/>
    <w:rsid w:val="00ED64F8"/>
    <w:rsid w:val="00ED6F99"/>
    <w:rsid w:val="00EE0CE8"/>
    <w:rsid w:val="00EE1E59"/>
    <w:rsid w:val="00EE2AC2"/>
    <w:rsid w:val="00EE6190"/>
    <w:rsid w:val="00EE6BAE"/>
    <w:rsid w:val="00EE7520"/>
    <w:rsid w:val="00EF1C00"/>
    <w:rsid w:val="00EF2E3A"/>
    <w:rsid w:val="00EF3AB5"/>
    <w:rsid w:val="00EF6402"/>
    <w:rsid w:val="00F00382"/>
    <w:rsid w:val="00F025DF"/>
    <w:rsid w:val="00F03F69"/>
    <w:rsid w:val="00F047E2"/>
    <w:rsid w:val="00F04D57"/>
    <w:rsid w:val="00F051DC"/>
    <w:rsid w:val="00F067A5"/>
    <w:rsid w:val="00F06C85"/>
    <w:rsid w:val="00F078DC"/>
    <w:rsid w:val="00F13E86"/>
    <w:rsid w:val="00F1431D"/>
    <w:rsid w:val="00F1588C"/>
    <w:rsid w:val="00F22153"/>
    <w:rsid w:val="00F22290"/>
    <w:rsid w:val="00F22B35"/>
    <w:rsid w:val="00F23757"/>
    <w:rsid w:val="00F244E3"/>
    <w:rsid w:val="00F25026"/>
    <w:rsid w:val="00F253C1"/>
    <w:rsid w:val="00F2626B"/>
    <w:rsid w:val="00F26AE0"/>
    <w:rsid w:val="00F27679"/>
    <w:rsid w:val="00F31A79"/>
    <w:rsid w:val="00F31CFF"/>
    <w:rsid w:val="00F32FCB"/>
    <w:rsid w:val="00F36991"/>
    <w:rsid w:val="00F3730C"/>
    <w:rsid w:val="00F43802"/>
    <w:rsid w:val="00F44B6F"/>
    <w:rsid w:val="00F460AB"/>
    <w:rsid w:val="00F47408"/>
    <w:rsid w:val="00F52D44"/>
    <w:rsid w:val="00F535EA"/>
    <w:rsid w:val="00F54CA0"/>
    <w:rsid w:val="00F55268"/>
    <w:rsid w:val="00F57E6E"/>
    <w:rsid w:val="00F607E4"/>
    <w:rsid w:val="00F6709F"/>
    <w:rsid w:val="00F677A9"/>
    <w:rsid w:val="00F71A18"/>
    <w:rsid w:val="00F732EA"/>
    <w:rsid w:val="00F8000B"/>
    <w:rsid w:val="00F8136D"/>
    <w:rsid w:val="00F817CE"/>
    <w:rsid w:val="00F84CF5"/>
    <w:rsid w:val="00F852B8"/>
    <w:rsid w:val="00F8535F"/>
    <w:rsid w:val="00F8559C"/>
    <w:rsid w:val="00F8612E"/>
    <w:rsid w:val="00F865EB"/>
    <w:rsid w:val="00F910A9"/>
    <w:rsid w:val="00F912DC"/>
    <w:rsid w:val="00F94F71"/>
    <w:rsid w:val="00F950D3"/>
    <w:rsid w:val="00F957EF"/>
    <w:rsid w:val="00F962AD"/>
    <w:rsid w:val="00F964CA"/>
    <w:rsid w:val="00F974D5"/>
    <w:rsid w:val="00F97AC8"/>
    <w:rsid w:val="00FA0721"/>
    <w:rsid w:val="00FA420B"/>
    <w:rsid w:val="00FA503C"/>
    <w:rsid w:val="00FA5767"/>
    <w:rsid w:val="00FB2432"/>
    <w:rsid w:val="00FB3897"/>
    <w:rsid w:val="00FB53B8"/>
    <w:rsid w:val="00FB54C9"/>
    <w:rsid w:val="00FB7206"/>
    <w:rsid w:val="00FB7B5E"/>
    <w:rsid w:val="00FC1B9E"/>
    <w:rsid w:val="00FC3D16"/>
    <w:rsid w:val="00FC4197"/>
    <w:rsid w:val="00FC5181"/>
    <w:rsid w:val="00FC5EDB"/>
    <w:rsid w:val="00FC698F"/>
    <w:rsid w:val="00FD21B5"/>
    <w:rsid w:val="00FD2D72"/>
    <w:rsid w:val="00FD34C7"/>
    <w:rsid w:val="00FD351D"/>
    <w:rsid w:val="00FD3CAC"/>
    <w:rsid w:val="00FE0781"/>
    <w:rsid w:val="00FE3DB0"/>
    <w:rsid w:val="00FE50A5"/>
    <w:rsid w:val="00FE5A7F"/>
    <w:rsid w:val="00FF39DE"/>
    <w:rsid w:val="00FF4305"/>
    <w:rsid w:val="00FF459E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2C8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C86"/>
    <w:pPr>
      <w:keepNext/>
      <w:keepLines/>
      <w:numPr>
        <w:numId w:val="1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C86"/>
    <w:pPr>
      <w:keepNext/>
      <w:keepLines/>
      <w:numPr>
        <w:ilvl w:val="1"/>
        <w:numId w:val="1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C86"/>
    <w:pPr>
      <w:keepNext/>
      <w:keepLines/>
      <w:numPr>
        <w:ilvl w:val="2"/>
        <w:numId w:val="1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2C86"/>
    <w:pPr>
      <w:keepNext/>
      <w:keepLines/>
      <w:numPr>
        <w:ilvl w:val="3"/>
        <w:numId w:val="1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2C86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12C86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12C86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12C86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12C86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12C86"/>
  </w:style>
  <w:style w:type="paragraph" w:customStyle="1" w:styleId="OPCParaBase">
    <w:name w:val="OPCParaBase"/>
    <w:qFormat/>
    <w:rsid w:val="00312C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12C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12C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12C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12C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2C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12C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2C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2C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2C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2C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2C86"/>
  </w:style>
  <w:style w:type="paragraph" w:customStyle="1" w:styleId="Blocks">
    <w:name w:val="Blocks"/>
    <w:aliases w:val="bb"/>
    <w:basedOn w:val="OPCParaBase"/>
    <w:qFormat/>
    <w:rsid w:val="00312C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2C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2C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2C86"/>
    <w:rPr>
      <w:i/>
    </w:rPr>
  </w:style>
  <w:style w:type="paragraph" w:customStyle="1" w:styleId="BoxList">
    <w:name w:val="BoxList"/>
    <w:aliases w:val="bl"/>
    <w:basedOn w:val="BoxText"/>
    <w:qFormat/>
    <w:rsid w:val="00312C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2C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2C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2C86"/>
    <w:pPr>
      <w:ind w:left="1985" w:hanging="851"/>
    </w:pPr>
  </w:style>
  <w:style w:type="character" w:customStyle="1" w:styleId="CharAmPartNo">
    <w:name w:val="CharAmPartNo"/>
    <w:basedOn w:val="OPCCharBase"/>
    <w:qFormat/>
    <w:rsid w:val="00312C86"/>
  </w:style>
  <w:style w:type="character" w:customStyle="1" w:styleId="CharAmPartText">
    <w:name w:val="CharAmPartText"/>
    <w:basedOn w:val="OPCCharBase"/>
    <w:qFormat/>
    <w:rsid w:val="00312C86"/>
  </w:style>
  <w:style w:type="character" w:customStyle="1" w:styleId="CharAmSchNo">
    <w:name w:val="CharAmSchNo"/>
    <w:basedOn w:val="OPCCharBase"/>
    <w:qFormat/>
    <w:rsid w:val="00312C86"/>
  </w:style>
  <w:style w:type="character" w:customStyle="1" w:styleId="CharAmSchText">
    <w:name w:val="CharAmSchText"/>
    <w:basedOn w:val="OPCCharBase"/>
    <w:qFormat/>
    <w:rsid w:val="00312C86"/>
  </w:style>
  <w:style w:type="character" w:customStyle="1" w:styleId="CharBoldItalic">
    <w:name w:val="CharBoldItalic"/>
    <w:basedOn w:val="OPCCharBase"/>
    <w:uiPriority w:val="1"/>
    <w:qFormat/>
    <w:rsid w:val="00312C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312C86"/>
  </w:style>
  <w:style w:type="character" w:customStyle="1" w:styleId="CharChapText">
    <w:name w:val="CharChapText"/>
    <w:basedOn w:val="OPCCharBase"/>
    <w:uiPriority w:val="1"/>
    <w:qFormat/>
    <w:rsid w:val="00312C86"/>
  </w:style>
  <w:style w:type="character" w:customStyle="1" w:styleId="CharDivNo">
    <w:name w:val="CharDivNo"/>
    <w:basedOn w:val="OPCCharBase"/>
    <w:uiPriority w:val="1"/>
    <w:qFormat/>
    <w:rsid w:val="00312C86"/>
  </w:style>
  <w:style w:type="character" w:customStyle="1" w:styleId="CharDivText">
    <w:name w:val="CharDivText"/>
    <w:basedOn w:val="OPCCharBase"/>
    <w:uiPriority w:val="1"/>
    <w:qFormat/>
    <w:rsid w:val="00312C86"/>
  </w:style>
  <w:style w:type="character" w:customStyle="1" w:styleId="CharItalic">
    <w:name w:val="CharItalic"/>
    <w:basedOn w:val="OPCCharBase"/>
    <w:uiPriority w:val="1"/>
    <w:qFormat/>
    <w:rsid w:val="00312C86"/>
    <w:rPr>
      <w:i/>
    </w:rPr>
  </w:style>
  <w:style w:type="character" w:customStyle="1" w:styleId="CharPartNo">
    <w:name w:val="CharPartNo"/>
    <w:basedOn w:val="OPCCharBase"/>
    <w:uiPriority w:val="1"/>
    <w:qFormat/>
    <w:rsid w:val="00312C86"/>
  </w:style>
  <w:style w:type="character" w:customStyle="1" w:styleId="CharPartText">
    <w:name w:val="CharPartText"/>
    <w:basedOn w:val="OPCCharBase"/>
    <w:uiPriority w:val="1"/>
    <w:qFormat/>
    <w:rsid w:val="00312C86"/>
  </w:style>
  <w:style w:type="character" w:customStyle="1" w:styleId="CharSectno">
    <w:name w:val="CharSectno"/>
    <w:basedOn w:val="OPCCharBase"/>
    <w:qFormat/>
    <w:rsid w:val="00312C86"/>
  </w:style>
  <w:style w:type="character" w:customStyle="1" w:styleId="CharSubdNo">
    <w:name w:val="CharSubdNo"/>
    <w:basedOn w:val="OPCCharBase"/>
    <w:uiPriority w:val="1"/>
    <w:qFormat/>
    <w:rsid w:val="00312C86"/>
  </w:style>
  <w:style w:type="character" w:customStyle="1" w:styleId="CharSubdText">
    <w:name w:val="CharSubdText"/>
    <w:basedOn w:val="OPCCharBase"/>
    <w:uiPriority w:val="1"/>
    <w:qFormat/>
    <w:rsid w:val="00312C86"/>
  </w:style>
  <w:style w:type="paragraph" w:customStyle="1" w:styleId="CTA--">
    <w:name w:val="CTA --"/>
    <w:basedOn w:val="OPCParaBase"/>
    <w:next w:val="Normal"/>
    <w:rsid w:val="00312C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2C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2C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2C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2C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2C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2C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2C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2C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2C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2C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2C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2C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2C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12C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2C8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2C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2C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2C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2C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12C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12C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12C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12C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2C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2C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2C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2C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2C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12C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2C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12C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12C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12C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2C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12C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2C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12C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12C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2C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2C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2C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2C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2C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2C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2C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2C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2C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2C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2C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2C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2C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2C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2C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2C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12C8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12C8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12C8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12C8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12C8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12C8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12C8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12C8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12C8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12C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2C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2C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2C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2C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12C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12C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12C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12C86"/>
    <w:rPr>
      <w:sz w:val="16"/>
    </w:rPr>
  </w:style>
  <w:style w:type="table" w:customStyle="1" w:styleId="CFlag">
    <w:name w:val="CFlag"/>
    <w:basedOn w:val="TableNormal"/>
    <w:uiPriority w:val="99"/>
    <w:rsid w:val="00312C8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12C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12C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2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12C8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12C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2C8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12C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2C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2C8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12C86"/>
    <w:pPr>
      <w:spacing w:before="120"/>
    </w:pPr>
  </w:style>
  <w:style w:type="paragraph" w:customStyle="1" w:styleId="CompiledActNo">
    <w:name w:val="CompiledActNo"/>
    <w:basedOn w:val="OPCParaBase"/>
    <w:next w:val="Normal"/>
    <w:rsid w:val="00312C8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2C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2C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12C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12C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12C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12C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12C8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12C8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12C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12C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12C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12C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12C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12C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12C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12C8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12C86"/>
  </w:style>
  <w:style w:type="character" w:customStyle="1" w:styleId="CharSubPartNoCASA">
    <w:name w:val="CharSubPartNo(CASA)"/>
    <w:basedOn w:val="OPCCharBase"/>
    <w:uiPriority w:val="1"/>
    <w:rsid w:val="00312C86"/>
  </w:style>
  <w:style w:type="paragraph" w:customStyle="1" w:styleId="ENoteTTIndentHeadingSub">
    <w:name w:val="ENoteTTIndentHeadingSub"/>
    <w:aliases w:val="enTTHis"/>
    <w:basedOn w:val="OPCParaBase"/>
    <w:rsid w:val="00312C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12C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12C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12C8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12C8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12C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12C86"/>
    <w:rPr>
      <w:sz w:val="22"/>
    </w:rPr>
  </w:style>
  <w:style w:type="paragraph" w:customStyle="1" w:styleId="SOTextNote">
    <w:name w:val="SO TextNote"/>
    <w:aliases w:val="sont"/>
    <w:basedOn w:val="SOText"/>
    <w:qFormat/>
    <w:rsid w:val="00312C8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12C8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12C86"/>
    <w:rPr>
      <w:sz w:val="22"/>
    </w:rPr>
  </w:style>
  <w:style w:type="paragraph" w:customStyle="1" w:styleId="FileName">
    <w:name w:val="FileName"/>
    <w:basedOn w:val="Normal"/>
    <w:rsid w:val="00312C86"/>
  </w:style>
  <w:style w:type="paragraph" w:customStyle="1" w:styleId="TableHeading">
    <w:name w:val="TableHeading"/>
    <w:aliases w:val="th"/>
    <w:basedOn w:val="OPCParaBase"/>
    <w:next w:val="Tabletext"/>
    <w:rsid w:val="00312C8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12C8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12C8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2C8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2C8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12C8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12C8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12C8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12C8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12C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12C8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12C8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12C8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12C8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12C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2C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2C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12C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12C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12C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12C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12C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12C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Colorful3">
    <w:name w:val="Table Colorful 3"/>
    <w:basedOn w:val="TableNormal"/>
    <w:rsid w:val="00312C8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111111">
    <w:name w:val="Outline List 2"/>
    <w:basedOn w:val="NoList"/>
    <w:rsid w:val="00312C86"/>
    <w:pPr>
      <w:numPr>
        <w:numId w:val="18"/>
      </w:numPr>
    </w:pPr>
  </w:style>
  <w:style w:type="numbering" w:styleId="1ai">
    <w:name w:val="Outline List 1"/>
    <w:basedOn w:val="NoList"/>
    <w:rsid w:val="00312C86"/>
    <w:pPr>
      <w:numPr>
        <w:numId w:val="14"/>
      </w:numPr>
    </w:pPr>
  </w:style>
  <w:style w:type="numbering" w:styleId="ArticleSection">
    <w:name w:val="Outline List 3"/>
    <w:basedOn w:val="NoList"/>
    <w:rsid w:val="00312C86"/>
    <w:pPr>
      <w:numPr>
        <w:numId w:val="19"/>
      </w:numPr>
    </w:pPr>
  </w:style>
  <w:style w:type="paragraph" w:styleId="BlockText">
    <w:name w:val="Block Text"/>
    <w:basedOn w:val="Normal"/>
    <w:rsid w:val="00312C8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12C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2C86"/>
    <w:rPr>
      <w:sz w:val="22"/>
    </w:rPr>
  </w:style>
  <w:style w:type="paragraph" w:styleId="BodyText2">
    <w:name w:val="Body Text 2"/>
    <w:basedOn w:val="Normal"/>
    <w:link w:val="BodyText2Char"/>
    <w:rsid w:val="00312C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12C86"/>
    <w:rPr>
      <w:sz w:val="22"/>
    </w:rPr>
  </w:style>
  <w:style w:type="paragraph" w:styleId="BodyText3">
    <w:name w:val="Body Text 3"/>
    <w:basedOn w:val="Normal"/>
    <w:link w:val="BodyText3Char"/>
    <w:rsid w:val="00312C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12C8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12C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12C86"/>
    <w:rPr>
      <w:sz w:val="22"/>
    </w:rPr>
  </w:style>
  <w:style w:type="paragraph" w:styleId="BodyTextIndent">
    <w:name w:val="Body Text Indent"/>
    <w:basedOn w:val="Normal"/>
    <w:link w:val="BodyTextIndentChar"/>
    <w:rsid w:val="00312C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2C8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12C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12C86"/>
    <w:rPr>
      <w:sz w:val="22"/>
    </w:rPr>
  </w:style>
  <w:style w:type="paragraph" w:styleId="BodyTextIndent2">
    <w:name w:val="Body Text Indent 2"/>
    <w:basedOn w:val="Normal"/>
    <w:link w:val="BodyTextIndent2Char"/>
    <w:rsid w:val="00312C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12C86"/>
    <w:rPr>
      <w:sz w:val="22"/>
    </w:rPr>
  </w:style>
  <w:style w:type="paragraph" w:styleId="BodyTextIndent3">
    <w:name w:val="Body Text Indent 3"/>
    <w:basedOn w:val="Normal"/>
    <w:link w:val="BodyTextIndent3Char"/>
    <w:rsid w:val="00312C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12C86"/>
    <w:rPr>
      <w:sz w:val="16"/>
      <w:szCs w:val="16"/>
    </w:rPr>
  </w:style>
  <w:style w:type="paragraph" w:styleId="Closing">
    <w:name w:val="Closing"/>
    <w:basedOn w:val="Normal"/>
    <w:link w:val="ClosingChar"/>
    <w:rsid w:val="00312C86"/>
    <w:pPr>
      <w:ind w:left="4252"/>
    </w:pPr>
  </w:style>
  <w:style w:type="character" w:customStyle="1" w:styleId="ClosingChar">
    <w:name w:val="Closing Char"/>
    <w:basedOn w:val="DefaultParagraphFont"/>
    <w:link w:val="Closing"/>
    <w:rsid w:val="00312C86"/>
    <w:rPr>
      <w:sz w:val="22"/>
    </w:rPr>
  </w:style>
  <w:style w:type="paragraph" w:styleId="Date">
    <w:name w:val="Date"/>
    <w:basedOn w:val="Normal"/>
    <w:next w:val="Normal"/>
    <w:link w:val="DateChar"/>
    <w:rsid w:val="00312C86"/>
  </w:style>
  <w:style w:type="character" w:customStyle="1" w:styleId="DateChar">
    <w:name w:val="Date Char"/>
    <w:basedOn w:val="DefaultParagraphFont"/>
    <w:link w:val="Date"/>
    <w:rsid w:val="00312C86"/>
    <w:rPr>
      <w:sz w:val="22"/>
    </w:rPr>
  </w:style>
  <w:style w:type="paragraph" w:styleId="E-mailSignature">
    <w:name w:val="E-mail Signature"/>
    <w:basedOn w:val="Normal"/>
    <w:link w:val="E-mailSignatureChar"/>
    <w:rsid w:val="00312C86"/>
  </w:style>
  <w:style w:type="character" w:customStyle="1" w:styleId="E-mailSignatureChar">
    <w:name w:val="E-mail Signature Char"/>
    <w:basedOn w:val="DefaultParagraphFont"/>
    <w:link w:val="E-mailSignature"/>
    <w:rsid w:val="00312C86"/>
    <w:rPr>
      <w:sz w:val="22"/>
    </w:rPr>
  </w:style>
  <w:style w:type="character" w:styleId="Emphasis">
    <w:name w:val="Emphasis"/>
    <w:basedOn w:val="DefaultParagraphFont"/>
    <w:qFormat/>
    <w:rsid w:val="00312C86"/>
    <w:rPr>
      <w:i/>
      <w:iCs/>
    </w:rPr>
  </w:style>
  <w:style w:type="paragraph" w:styleId="EnvelopeAddress">
    <w:name w:val="envelope address"/>
    <w:basedOn w:val="Normal"/>
    <w:rsid w:val="00312C8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12C86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312C86"/>
    <w:rPr>
      <w:color w:val="800080"/>
      <w:u w:val="single"/>
    </w:rPr>
  </w:style>
  <w:style w:type="character" w:styleId="HTMLAcronym">
    <w:name w:val="HTML Acronym"/>
    <w:basedOn w:val="DefaultParagraphFont"/>
    <w:rsid w:val="00312C86"/>
  </w:style>
  <w:style w:type="paragraph" w:styleId="HTMLAddress">
    <w:name w:val="HTML Address"/>
    <w:basedOn w:val="Normal"/>
    <w:link w:val="HTMLAddressChar"/>
    <w:rsid w:val="00312C8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12C86"/>
    <w:rPr>
      <w:i/>
      <w:iCs/>
      <w:sz w:val="22"/>
    </w:rPr>
  </w:style>
  <w:style w:type="character" w:styleId="HTMLCite">
    <w:name w:val="HTML Cite"/>
    <w:basedOn w:val="DefaultParagraphFont"/>
    <w:rsid w:val="00312C86"/>
    <w:rPr>
      <w:i/>
      <w:iCs/>
    </w:rPr>
  </w:style>
  <w:style w:type="character" w:styleId="HTMLCode">
    <w:name w:val="HTML Code"/>
    <w:basedOn w:val="DefaultParagraphFont"/>
    <w:rsid w:val="00312C8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12C86"/>
    <w:rPr>
      <w:i/>
      <w:iCs/>
    </w:rPr>
  </w:style>
  <w:style w:type="character" w:styleId="HTMLKeyboard">
    <w:name w:val="HTML Keyboard"/>
    <w:basedOn w:val="DefaultParagraphFont"/>
    <w:rsid w:val="00312C8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12C8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12C86"/>
    <w:rPr>
      <w:rFonts w:ascii="Courier New" w:hAnsi="Courier New" w:cs="Courier New"/>
    </w:rPr>
  </w:style>
  <w:style w:type="character" w:styleId="HTMLSample">
    <w:name w:val="HTML Sample"/>
    <w:basedOn w:val="DefaultParagraphFont"/>
    <w:rsid w:val="00312C8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12C8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12C86"/>
    <w:rPr>
      <w:i/>
      <w:iCs/>
    </w:rPr>
  </w:style>
  <w:style w:type="character" w:styleId="Hyperlink">
    <w:name w:val="Hyperlink"/>
    <w:basedOn w:val="DefaultParagraphFont"/>
    <w:rsid w:val="00312C86"/>
    <w:rPr>
      <w:color w:val="0000FF"/>
      <w:u w:val="single"/>
    </w:rPr>
  </w:style>
  <w:style w:type="paragraph" w:styleId="List">
    <w:name w:val="List"/>
    <w:basedOn w:val="Normal"/>
    <w:rsid w:val="00312C86"/>
    <w:pPr>
      <w:ind w:left="283" w:hanging="283"/>
    </w:pPr>
  </w:style>
  <w:style w:type="paragraph" w:styleId="List2">
    <w:name w:val="List 2"/>
    <w:basedOn w:val="Normal"/>
    <w:rsid w:val="00312C86"/>
    <w:pPr>
      <w:ind w:left="566" w:hanging="283"/>
    </w:pPr>
  </w:style>
  <w:style w:type="paragraph" w:styleId="List3">
    <w:name w:val="List 3"/>
    <w:basedOn w:val="Normal"/>
    <w:rsid w:val="00312C86"/>
    <w:pPr>
      <w:ind w:left="849" w:hanging="283"/>
    </w:pPr>
  </w:style>
  <w:style w:type="paragraph" w:styleId="List4">
    <w:name w:val="List 4"/>
    <w:basedOn w:val="Normal"/>
    <w:rsid w:val="00312C86"/>
    <w:pPr>
      <w:ind w:left="1132" w:hanging="283"/>
    </w:pPr>
  </w:style>
  <w:style w:type="paragraph" w:styleId="List5">
    <w:name w:val="List 5"/>
    <w:basedOn w:val="Normal"/>
    <w:rsid w:val="00312C86"/>
    <w:pPr>
      <w:ind w:left="1415" w:hanging="283"/>
    </w:pPr>
  </w:style>
  <w:style w:type="paragraph" w:styleId="ListBullet">
    <w:name w:val="List Bullet"/>
    <w:basedOn w:val="Normal"/>
    <w:autoRedefine/>
    <w:rsid w:val="00312C86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312C8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12C8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12C8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12C86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312C86"/>
    <w:pPr>
      <w:spacing w:after="120"/>
      <w:ind w:left="283"/>
    </w:pPr>
  </w:style>
  <w:style w:type="paragraph" w:styleId="ListContinue2">
    <w:name w:val="List Continue 2"/>
    <w:basedOn w:val="Normal"/>
    <w:rsid w:val="00312C86"/>
    <w:pPr>
      <w:spacing w:after="120"/>
      <w:ind w:left="566"/>
    </w:pPr>
  </w:style>
  <w:style w:type="paragraph" w:styleId="ListContinue3">
    <w:name w:val="List Continue 3"/>
    <w:basedOn w:val="Normal"/>
    <w:rsid w:val="00312C86"/>
    <w:pPr>
      <w:spacing w:after="120"/>
      <w:ind w:left="849"/>
    </w:pPr>
  </w:style>
  <w:style w:type="paragraph" w:styleId="ListContinue4">
    <w:name w:val="List Continue 4"/>
    <w:basedOn w:val="Normal"/>
    <w:rsid w:val="00312C86"/>
    <w:pPr>
      <w:spacing w:after="120"/>
      <w:ind w:left="1132"/>
    </w:pPr>
  </w:style>
  <w:style w:type="paragraph" w:styleId="ListContinue5">
    <w:name w:val="List Continue 5"/>
    <w:basedOn w:val="Normal"/>
    <w:rsid w:val="00312C86"/>
    <w:pPr>
      <w:spacing w:after="120"/>
      <w:ind w:left="1415"/>
    </w:pPr>
  </w:style>
  <w:style w:type="paragraph" w:styleId="ListNumber">
    <w:name w:val="List Number"/>
    <w:basedOn w:val="Normal"/>
    <w:rsid w:val="00312C86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312C8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12C8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12C8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12C86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rsid w:val="00312C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12C86"/>
    <w:rPr>
      <w:rFonts w:ascii="Arial" w:hAnsi="Arial" w:cs="Arial"/>
      <w:sz w:val="22"/>
      <w:shd w:val="pct20" w:color="auto" w:fill="auto"/>
    </w:rPr>
  </w:style>
  <w:style w:type="paragraph" w:styleId="NormalWeb">
    <w:name w:val="Normal (Web)"/>
    <w:basedOn w:val="Normal"/>
    <w:rsid w:val="00312C86"/>
  </w:style>
  <w:style w:type="paragraph" w:styleId="NormalIndent">
    <w:name w:val="Normal Indent"/>
    <w:basedOn w:val="Normal"/>
    <w:rsid w:val="00312C86"/>
    <w:pPr>
      <w:ind w:left="720"/>
    </w:pPr>
  </w:style>
  <w:style w:type="character" w:styleId="PageNumber">
    <w:name w:val="page number"/>
    <w:basedOn w:val="DefaultParagraphFont"/>
    <w:rsid w:val="00312C86"/>
  </w:style>
  <w:style w:type="paragraph" w:styleId="PlainText">
    <w:name w:val="Plain Text"/>
    <w:basedOn w:val="Normal"/>
    <w:link w:val="PlainTextChar"/>
    <w:rsid w:val="00312C8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12C86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312C86"/>
  </w:style>
  <w:style w:type="character" w:customStyle="1" w:styleId="SalutationChar">
    <w:name w:val="Salutation Char"/>
    <w:basedOn w:val="DefaultParagraphFont"/>
    <w:link w:val="Salutation"/>
    <w:rsid w:val="00312C86"/>
    <w:rPr>
      <w:sz w:val="22"/>
    </w:rPr>
  </w:style>
  <w:style w:type="paragraph" w:styleId="Signature">
    <w:name w:val="Signature"/>
    <w:basedOn w:val="Normal"/>
    <w:link w:val="SignatureChar"/>
    <w:rsid w:val="00312C8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12C86"/>
    <w:rPr>
      <w:sz w:val="22"/>
    </w:rPr>
  </w:style>
  <w:style w:type="character" w:styleId="Strong">
    <w:name w:val="Strong"/>
    <w:basedOn w:val="DefaultParagraphFont"/>
    <w:qFormat/>
    <w:rsid w:val="00312C86"/>
    <w:rPr>
      <w:b/>
      <w:bCs/>
    </w:rPr>
  </w:style>
  <w:style w:type="paragraph" w:styleId="Subtitle">
    <w:name w:val="Subtitle"/>
    <w:basedOn w:val="Normal"/>
    <w:link w:val="SubtitleChar"/>
    <w:qFormat/>
    <w:rsid w:val="00312C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12C86"/>
    <w:rPr>
      <w:rFonts w:ascii="Arial" w:hAnsi="Arial" w:cs="Arial"/>
      <w:sz w:val="22"/>
    </w:rPr>
  </w:style>
  <w:style w:type="table" w:styleId="Table3Deffects1">
    <w:name w:val="Table 3D effects 1"/>
    <w:basedOn w:val="TableNormal"/>
    <w:rsid w:val="00312C8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12C8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12C8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12C8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12C8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12C8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312C8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12C8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12C8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12C8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12C8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12C8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12C8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312C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12C8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12C8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12C8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12C8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12C8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12C8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12C8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12C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12C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12C8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12C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312C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12C8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12C8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12C8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12C8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312C8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12C8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12C8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312C8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12C86"/>
    <w:rPr>
      <w:rFonts w:ascii="Arial" w:hAnsi="Arial" w:cs="Arial"/>
      <w:b/>
      <w:bCs/>
      <w:sz w:val="40"/>
      <w:szCs w:val="40"/>
    </w:rPr>
  </w:style>
  <w:style w:type="character" w:styleId="EndnoteReference">
    <w:name w:val="endnote reference"/>
    <w:basedOn w:val="DefaultParagraphFont"/>
    <w:rsid w:val="00312C86"/>
    <w:rPr>
      <w:vertAlign w:val="superscript"/>
    </w:rPr>
  </w:style>
  <w:style w:type="paragraph" w:styleId="EndnoteText">
    <w:name w:val="endnote text"/>
    <w:basedOn w:val="Normal"/>
    <w:link w:val="EndnoteTextChar"/>
    <w:rsid w:val="00312C8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12C86"/>
  </w:style>
  <w:style w:type="character" w:styleId="FootnoteReference">
    <w:name w:val="footnote reference"/>
    <w:basedOn w:val="DefaultParagraphFont"/>
    <w:rsid w:val="00312C86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rsid w:val="00312C8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12C86"/>
  </w:style>
  <w:style w:type="paragraph" w:styleId="Caption">
    <w:name w:val="caption"/>
    <w:basedOn w:val="Normal"/>
    <w:next w:val="Normal"/>
    <w:qFormat/>
    <w:rsid w:val="00312C86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312C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2C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2C86"/>
  </w:style>
  <w:style w:type="paragraph" w:styleId="CommentSubject">
    <w:name w:val="annotation subject"/>
    <w:basedOn w:val="CommentText"/>
    <w:next w:val="CommentText"/>
    <w:link w:val="CommentSubjectChar"/>
    <w:rsid w:val="00312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2C86"/>
    <w:rPr>
      <w:b/>
      <w:bCs/>
    </w:rPr>
  </w:style>
  <w:style w:type="paragraph" w:styleId="DocumentMap">
    <w:name w:val="Document Map"/>
    <w:basedOn w:val="Normal"/>
    <w:link w:val="DocumentMapChar"/>
    <w:rsid w:val="00312C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12C86"/>
    <w:rPr>
      <w:rFonts w:ascii="Tahoma" w:hAnsi="Tahoma" w:cs="Tahoma"/>
      <w:sz w:val="22"/>
      <w:shd w:val="clear" w:color="auto" w:fill="000080"/>
    </w:rPr>
  </w:style>
  <w:style w:type="paragraph" w:styleId="Index1">
    <w:name w:val="index 1"/>
    <w:basedOn w:val="Normal"/>
    <w:next w:val="Normal"/>
    <w:autoRedefine/>
    <w:rsid w:val="00312C86"/>
    <w:pPr>
      <w:ind w:left="240" w:hanging="240"/>
    </w:pPr>
  </w:style>
  <w:style w:type="paragraph" w:styleId="Index2">
    <w:name w:val="index 2"/>
    <w:basedOn w:val="Normal"/>
    <w:next w:val="Normal"/>
    <w:autoRedefine/>
    <w:rsid w:val="00312C86"/>
    <w:pPr>
      <w:ind w:left="480" w:hanging="240"/>
    </w:pPr>
  </w:style>
  <w:style w:type="paragraph" w:styleId="Index3">
    <w:name w:val="index 3"/>
    <w:basedOn w:val="Normal"/>
    <w:next w:val="Normal"/>
    <w:autoRedefine/>
    <w:rsid w:val="00312C86"/>
    <w:pPr>
      <w:ind w:left="720" w:hanging="240"/>
    </w:pPr>
  </w:style>
  <w:style w:type="paragraph" w:styleId="Index4">
    <w:name w:val="index 4"/>
    <w:basedOn w:val="Normal"/>
    <w:next w:val="Normal"/>
    <w:autoRedefine/>
    <w:rsid w:val="00312C86"/>
    <w:pPr>
      <w:ind w:left="960" w:hanging="240"/>
    </w:pPr>
  </w:style>
  <w:style w:type="paragraph" w:styleId="Index5">
    <w:name w:val="index 5"/>
    <w:basedOn w:val="Normal"/>
    <w:next w:val="Normal"/>
    <w:autoRedefine/>
    <w:rsid w:val="00312C86"/>
    <w:pPr>
      <w:ind w:left="1200" w:hanging="240"/>
    </w:pPr>
  </w:style>
  <w:style w:type="paragraph" w:styleId="Index6">
    <w:name w:val="index 6"/>
    <w:basedOn w:val="Normal"/>
    <w:next w:val="Normal"/>
    <w:autoRedefine/>
    <w:rsid w:val="00312C86"/>
    <w:pPr>
      <w:ind w:left="1440" w:hanging="240"/>
    </w:pPr>
  </w:style>
  <w:style w:type="paragraph" w:styleId="Index7">
    <w:name w:val="index 7"/>
    <w:basedOn w:val="Normal"/>
    <w:next w:val="Normal"/>
    <w:autoRedefine/>
    <w:rsid w:val="00312C86"/>
    <w:pPr>
      <w:ind w:left="1680" w:hanging="240"/>
    </w:pPr>
  </w:style>
  <w:style w:type="paragraph" w:styleId="Index8">
    <w:name w:val="index 8"/>
    <w:basedOn w:val="Normal"/>
    <w:next w:val="Normal"/>
    <w:autoRedefine/>
    <w:rsid w:val="00312C86"/>
    <w:pPr>
      <w:ind w:left="1920" w:hanging="240"/>
    </w:pPr>
  </w:style>
  <w:style w:type="paragraph" w:styleId="Index9">
    <w:name w:val="index 9"/>
    <w:basedOn w:val="Normal"/>
    <w:next w:val="Normal"/>
    <w:autoRedefine/>
    <w:rsid w:val="00312C86"/>
    <w:pPr>
      <w:ind w:left="2160" w:hanging="240"/>
    </w:pPr>
  </w:style>
  <w:style w:type="paragraph" w:styleId="IndexHeading">
    <w:name w:val="index heading"/>
    <w:basedOn w:val="Normal"/>
    <w:next w:val="Index1"/>
    <w:rsid w:val="00312C86"/>
    <w:rPr>
      <w:rFonts w:ascii="Arial" w:hAnsi="Arial" w:cs="Arial"/>
      <w:b/>
      <w:bCs/>
    </w:rPr>
  </w:style>
  <w:style w:type="paragraph" w:styleId="MacroText">
    <w:name w:val="macro"/>
    <w:link w:val="MacroTextChar"/>
    <w:rsid w:val="00312C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12C86"/>
    <w:rPr>
      <w:rFonts w:ascii="Courier New" w:eastAsia="Times New Roman" w:hAnsi="Courier New" w:cs="Courier New"/>
      <w:lang w:eastAsia="en-AU"/>
    </w:rPr>
  </w:style>
  <w:style w:type="paragraph" w:styleId="TableofAuthorities">
    <w:name w:val="table of authorities"/>
    <w:basedOn w:val="Normal"/>
    <w:next w:val="Normal"/>
    <w:rsid w:val="00312C86"/>
    <w:pPr>
      <w:ind w:left="240" w:hanging="240"/>
    </w:pPr>
  </w:style>
  <w:style w:type="paragraph" w:styleId="TableofFigures">
    <w:name w:val="table of figures"/>
    <w:basedOn w:val="Normal"/>
    <w:next w:val="Normal"/>
    <w:rsid w:val="00312C86"/>
    <w:pPr>
      <w:ind w:left="480" w:hanging="480"/>
    </w:pPr>
  </w:style>
  <w:style w:type="paragraph" w:styleId="TOAHeading">
    <w:name w:val="toa heading"/>
    <w:basedOn w:val="Normal"/>
    <w:next w:val="Normal"/>
    <w:rsid w:val="00312C86"/>
    <w:pPr>
      <w:spacing w:before="120"/>
    </w:pPr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BB302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B302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B3022"/>
    <w:rPr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BB3022"/>
    <w:rPr>
      <w:rFonts w:eastAsia="Times New Roman" w:cs="Times New Roman"/>
      <w:sz w:val="22"/>
      <w:lang w:eastAsia="en-AU"/>
    </w:rPr>
  </w:style>
  <w:style w:type="character" w:customStyle="1" w:styleId="CharSchPTNo">
    <w:name w:val="CharSchPTNo"/>
    <w:basedOn w:val="DefaultParagraphFont"/>
    <w:rsid w:val="00BB3022"/>
  </w:style>
  <w:style w:type="character" w:customStyle="1" w:styleId="CharSchPTText">
    <w:name w:val="CharSchPTText"/>
    <w:basedOn w:val="DefaultParagraphFont"/>
    <w:rsid w:val="00BB3022"/>
  </w:style>
  <w:style w:type="paragraph" w:customStyle="1" w:styleId="Transitional">
    <w:name w:val="Transitional"/>
    <w:aliases w:val="tr"/>
    <w:basedOn w:val="ItemHead"/>
    <w:next w:val="Item"/>
    <w:rsid w:val="00312C86"/>
  </w:style>
  <w:style w:type="character" w:customStyle="1" w:styleId="charlegsubtitle1">
    <w:name w:val="charlegsubtitle1"/>
    <w:basedOn w:val="DefaultParagraphFont"/>
    <w:rsid w:val="00312C86"/>
    <w:rPr>
      <w:rFonts w:ascii="Arial" w:hAnsi="Arial" w:cs="Arial" w:hint="default"/>
      <w:b/>
      <w:bCs/>
      <w:sz w:val="28"/>
      <w:szCs w:val="28"/>
    </w:rPr>
  </w:style>
  <w:style w:type="character" w:customStyle="1" w:styleId="ActHead5Char">
    <w:name w:val="ActHead 5 Char"/>
    <w:aliases w:val="s Char"/>
    <w:link w:val="ActHead5"/>
    <w:rsid w:val="00312C86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2C8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C86"/>
    <w:pPr>
      <w:keepNext/>
      <w:keepLines/>
      <w:numPr>
        <w:numId w:val="1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C86"/>
    <w:pPr>
      <w:keepNext/>
      <w:keepLines/>
      <w:numPr>
        <w:ilvl w:val="1"/>
        <w:numId w:val="1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C86"/>
    <w:pPr>
      <w:keepNext/>
      <w:keepLines/>
      <w:numPr>
        <w:ilvl w:val="2"/>
        <w:numId w:val="1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2C86"/>
    <w:pPr>
      <w:keepNext/>
      <w:keepLines/>
      <w:numPr>
        <w:ilvl w:val="3"/>
        <w:numId w:val="1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2C86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12C86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12C86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12C86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12C86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12C86"/>
  </w:style>
  <w:style w:type="paragraph" w:customStyle="1" w:styleId="OPCParaBase">
    <w:name w:val="OPCParaBase"/>
    <w:qFormat/>
    <w:rsid w:val="00312C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12C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12C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12C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12C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2C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12C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2C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2C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2C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2C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2C86"/>
  </w:style>
  <w:style w:type="paragraph" w:customStyle="1" w:styleId="Blocks">
    <w:name w:val="Blocks"/>
    <w:aliases w:val="bb"/>
    <w:basedOn w:val="OPCParaBase"/>
    <w:qFormat/>
    <w:rsid w:val="00312C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2C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2C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2C86"/>
    <w:rPr>
      <w:i/>
    </w:rPr>
  </w:style>
  <w:style w:type="paragraph" w:customStyle="1" w:styleId="BoxList">
    <w:name w:val="BoxList"/>
    <w:aliases w:val="bl"/>
    <w:basedOn w:val="BoxText"/>
    <w:qFormat/>
    <w:rsid w:val="00312C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2C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2C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2C86"/>
    <w:pPr>
      <w:ind w:left="1985" w:hanging="851"/>
    </w:pPr>
  </w:style>
  <w:style w:type="character" w:customStyle="1" w:styleId="CharAmPartNo">
    <w:name w:val="CharAmPartNo"/>
    <w:basedOn w:val="OPCCharBase"/>
    <w:qFormat/>
    <w:rsid w:val="00312C86"/>
  </w:style>
  <w:style w:type="character" w:customStyle="1" w:styleId="CharAmPartText">
    <w:name w:val="CharAmPartText"/>
    <w:basedOn w:val="OPCCharBase"/>
    <w:qFormat/>
    <w:rsid w:val="00312C86"/>
  </w:style>
  <w:style w:type="character" w:customStyle="1" w:styleId="CharAmSchNo">
    <w:name w:val="CharAmSchNo"/>
    <w:basedOn w:val="OPCCharBase"/>
    <w:qFormat/>
    <w:rsid w:val="00312C86"/>
  </w:style>
  <w:style w:type="character" w:customStyle="1" w:styleId="CharAmSchText">
    <w:name w:val="CharAmSchText"/>
    <w:basedOn w:val="OPCCharBase"/>
    <w:qFormat/>
    <w:rsid w:val="00312C86"/>
  </w:style>
  <w:style w:type="character" w:customStyle="1" w:styleId="CharBoldItalic">
    <w:name w:val="CharBoldItalic"/>
    <w:basedOn w:val="OPCCharBase"/>
    <w:uiPriority w:val="1"/>
    <w:qFormat/>
    <w:rsid w:val="00312C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312C86"/>
  </w:style>
  <w:style w:type="character" w:customStyle="1" w:styleId="CharChapText">
    <w:name w:val="CharChapText"/>
    <w:basedOn w:val="OPCCharBase"/>
    <w:uiPriority w:val="1"/>
    <w:qFormat/>
    <w:rsid w:val="00312C86"/>
  </w:style>
  <w:style w:type="character" w:customStyle="1" w:styleId="CharDivNo">
    <w:name w:val="CharDivNo"/>
    <w:basedOn w:val="OPCCharBase"/>
    <w:uiPriority w:val="1"/>
    <w:qFormat/>
    <w:rsid w:val="00312C86"/>
  </w:style>
  <w:style w:type="character" w:customStyle="1" w:styleId="CharDivText">
    <w:name w:val="CharDivText"/>
    <w:basedOn w:val="OPCCharBase"/>
    <w:uiPriority w:val="1"/>
    <w:qFormat/>
    <w:rsid w:val="00312C86"/>
  </w:style>
  <w:style w:type="character" w:customStyle="1" w:styleId="CharItalic">
    <w:name w:val="CharItalic"/>
    <w:basedOn w:val="OPCCharBase"/>
    <w:uiPriority w:val="1"/>
    <w:qFormat/>
    <w:rsid w:val="00312C86"/>
    <w:rPr>
      <w:i/>
    </w:rPr>
  </w:style>
  <w:style w:type="character" w:customStyle="1" w:styleId="CharPartNo">
    <w:name w:val="CharPartNo"/>
    <w:basedOn w:val="OPCCharBase"/>
    <w:uiPriority w:val="1"/>
    <w:qFormat/>
    <w:rsid w:val="00312C86"/>
  </w:style>
  <w:style w:type="character" w:customStyle="1" w:styleId="CharPartText">
    <w:name w:val="CharPartText"/>
    <w:basedOn w:val="OPCCharBase"/>
    <w:uiPriority w:val="1"/>
    <w:qFormat/>
    <w:rsid w:val="00312C86"/>
  </w:style>
  <w:style w:type="character" w:customStyle="1" w:styleId="CharSectno">
    <w:name w:val="CharSectno"/>
    <w:basedOn w:val="OPCCharBase"/>
    <w:qFormat/>
    <w:rsid w:val="00312C86"/>
  </w:style>
  <w:style w:type="character" w:customStyle="1" w:styleId="CharSubdNo">
    <w:name w:val="CharSubdNo"/>
    <w:basedOn w:val="OPCCharBase"/>
    <w:uiPriority w:val="1"/>
    <w:qFormat/>
    <w:rsid w:val="00312C86"/>
  </w:style>
  <w:style w:type="character" w:customStyle="1" w:styleId="CharSubdText">
    <w:name w:val="CharSubdText"/>
    <w:basedOn w:val="OPCCharBase"/>
    <w:uiPriority w:val="1"/>
    <w:qFormat/>
    <w:rsid w:val="00312C86"/>
  </w:style>
  <w:style w:type="paragraph" w:customStyle="1" w:styleId="CTA--">
    <w:name w:val="CTA --"/>
    <w:basedOn w:val="OPCParaBase"/>
    <w:next w:val="Normal"/>
    <w:rsid w:val="00312C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2C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2C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2C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2C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2C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2C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2C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2C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2C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2C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2C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2C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2C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12C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2C8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2C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2C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2C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2C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12C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12C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12C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12C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2C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2C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2C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2C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2C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12C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2C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12C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12C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12C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2C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12C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2C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12C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12C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2C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2C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2C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2C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2C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2C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2C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2C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2C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2C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2C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2C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2C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2C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2C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2C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12C8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12C8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12C8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12C8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12C8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12C8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12C8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12C8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12C8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12C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2C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2C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2C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2C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12C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12C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12C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12C86"/>
    <w:rPr>
      <w:sz w:val="16"/>
    </w:rPr>
  </w:style>
  <w:style w:type="table" w:customStyle="1" w:styleId="CFlag">
    <w:name w:val="CFlag"/>
    <w:basedOn w:val="TableNormal"/>
    <w:uiPriority w:val="99"/>
    <w:rsid w:val="00312C8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12C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12C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2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12C8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12C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2C8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12C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2C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2C8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12C86"/>
    <w:pPr>
      <w:spacing w:before="120"/>
    </w:pPr>
  </w:style>
  <w:style w:type="paragraph" w:customStyle="1" w:styleId="CompiledActNo">
    <w:name w:val="CompiledActNo"/>
    <w:basedOn w:val="OPCParaBase"/>
    <w:next w:val="Normal"/>
    <w:rsid w:val="00312C8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2C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2C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12C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12C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12C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12C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12C8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12C8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12C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12C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12C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12C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12C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12C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12C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12C8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12C86"/>
  </w:style>
  <w:style w:type="character" w:customStyle="1" w:styleId="CharSubPartNoCASA">
    <w:name w:val="CharSubPartNo(CASA)"/>
    <w:basedOn w:val="OPCCharBase"/>
    <w:uiPriority w:val="1"/>
    <w:rsid w:val="00312C86"/>
  </w:style>
  <w:style w:type="paragraph" w:customStyle="1" w:styleId="ENoteTTIndentHeadingSub">
    <w:name w:val="ENoteTTIndentHeadingSub"/>
    <w:aliases w:val="enTTHis"/>
    <w:basedOn w:val="OPCParaBase"/>
    <w:rsid w:val="00312C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12C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12C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12C8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12C8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12C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12C86"/>
    <w:rPr>
      <w:sz w:val="22"/>
    </w:rPr>
  </w:style>
  <w:style w:type="paragraph" w:customStyle="1" w:styleId="SOTextNote">
    <w:name w:val="SO TextNote"/>
    <w:aliases w:val="sont"/>
    <w:basedOn w:val="SOText"/>
    <w:qFormat/>
    <w:rsid w:val="00312C8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12C8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12C86"/>
    <w:rPr>
      <w:sz w:val="22"/>
    </w:rPr>
  </w:style>
  <w:style w:type="paragraph" w:customStyle="1" w:styleId="FileName">
    <w:name w:val="FileName"/>
    <w:basedOn w:val="Normal"/>
    <w:rsid w:val="00312C86"/>
  </w:style>
  <w:style w:type="paragraph" w:customStyle="1" w:styleId="TableHeading">
    <w:name w:val="TableHeading"/>
    <w:aliases w:val="th"/>
    <w:basedOn w:val="OPCParaBase"/>
    <w:next w:val="Tabletext"/>
    <w:rsid w:val="00312C8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12C8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12C8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2C8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2C8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12C8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12C8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12C8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12C8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12C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12C8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12C8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12C8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12C8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12C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2C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2C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12C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12C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12C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12C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12C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12C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Colorful3">
    <w:name w:val="Table Colorful 3"/>
    <w:basedOn w:val="TableNormal"/>
    <w:rsid w:val="00312C8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111111">
    <w:name w:val="Outline List 2"/>
    <w:basedOn w:val="NoList"/>
    <w:rsid w:val="00312C86"/>
    <w:pPr>
      <w:numPr>
        <w:numId w:val="18"/>
      </w:numPr>
    </w:pPr>
  </w:style>
  <w:style w:type="numbering" w:styleId="1ai">
    <w:name w:val="Outline List 1"/>
    <w:basedOn w:val="NoList"/>
    <w:rsid w:val="00312C86"/>
    <w:pPr>
      <w:numPr>
        <w:numId w:val="14"/>
      </w:numPr>
    </w:pPr>
  </w:style>
  <w:style w:type="numbering" w:styleId="ArticleSection">
    <w:name w:val="Outline List 3"/>
    <w:basedOn w:val="NoList"/>
    <w:rsid w:val="00312C86"/>
    <w:pPr>
      <w:numPr>
        <w:numId w:val="19"/>
      </w:numPr>
    </w:pPr>
  </w:style>
  <w:style w:type="paragraph" w:styleId="BlockText">
    <w:name w:val="Block Text"/>
    <w:basedOn w:val="Normal"/>
    <w:rsid w:val="00312C8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12C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2C86"/>
    <w:rPr>
      <w:sz w:val="22"/>
    </w:rPr>
  </w:style>
  <w:style w:type="paragraph" w:styleId="BodyText2">
    <w:name w:val="Body Text 2"/>
    <w:basedOn w:val="Normal"/>
    <w:link w:val="BodyText2Char"/>
    <w:rsid w:val="00312C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12C86"/>
    <w:rPr>
      <w:sz w:val="22"/>
    </w:rPr>
  </w:style>
  <w:style w:type="paragraph" w:styleId="BodyText3">
    <w:name w:val="Body Text 3"/>
    <w:basedOn w:val="Normal"/>
    <w:link w:val="BodyText3Char"/>
    <w:rsid w:val="00312C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12C8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12C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12C86"/>
    <w:rPr>
      <w:sz w:val="22"/>
    </w:rPr>
  </w:style>
  <w:style w:type="paragraph" w:styleId="BodyTextIndent">
    <w:name w:val="Body Text Indent"/>
    <w:basedOn w:val="Normal"/>
    <w:link w:val="BodyTextIndentChar"/>
    <w:rsid w:val="00312C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2C8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12C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12C86"/>
    <w:rPr>
      <w:sz w:val="22"/>
    </w:rPr>
  </w:style>
  <w:style w:type="paragraph" w:styleId="BodyTextIndent2">
    <w:name w:val="Body Text Indent 2"/>
    <w:basedOn w:val="Normal"/>
    <w:link w:val="BodyTextIndent2Char"/>
    <w:rsid w:val="00312C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12C86"/>
    <w:rPr>
      <w:sz w:val="22"/>
    </w:rPr>
  </w:style>
  <w:style w:type="paragraph" w:styleId="BodyTextIndent3">
    <w:name w:val="Body Text Indent 3"/>
    <w:basedOn w:val="Normal"/>
    <w:link w:val="BodyTextIndent3Char"/>
    <w:rsid w:val="00312C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12C86"/>
    <w:rPr>
      <w:sz w:val="16"/>
      <w:szCs w:val="16"/>
    </w:rPr>
  </w:style>
  <w:style w:type="paragraph" w:styleId="Closing">
    <w:name w:val="Closing"/>
    <w:basedOn w:val="Normal"/>
    <w:link w:val="ClosingChar"/>
    <w:rsid w:val="00312C86"/>
    <w:pPr>
      <w:ind w:left="4252"/>
    </w:pPr>
  </w:style>
  <w:style w:type="character" w:customStyle="1" w:styleId="ClosingChar">
    <w:name w:val="Closing Char"/>
    <w:basedOn w:val="DefaultParagraphFont"/>
    <w:link w:val="Closing"/>
    <w:rsid w:val="00312C86"/>
    <w:rPr>
      <w:sz w:val="22"/>
    </w:rPr>
  </w:style>
  <w:style w:type="paragraph" w:styleId="Date">
    <w:name w:val="Date"/>
    <w:basedOn w:val="Normal"/>
    <w:next w:val="Normal"/>
    <w:link w:val="DateChar"/>
    <w:rsid w:val="00312C86"/>
  </w:style>
  <w:style w:type="character" w:customStyle="1" w:styleId="DateChar">
    <w:name w:val="Date Char"/>
    <w:basedOn w:val="DefaultParagraphFont"/>
    <w:link w:val="Date"/>
    <w:rsid w:val="00312C86"/>
    <w:rPr>
      <w:sz w:val="22"/>
    </w:rPr>
  </w:style>
  <w:style w:type="paragraph" w:styleId="E-mailSignature">
    <w:name w:val="E-mail Signature"/>
    <w:basedOn w:val="Normal"/>
    <w:link w:val="E-mailSignatureChar"/>
    <w:rsid w:val="00312C86"/>
  </w:style>
  <w:style w:type="character" w:customStyle="1" w:styleId="E-mailSignatureChar">
    <w:name w:val="E-mail Signature Char"/>
    <w:basedOn w:val="DefaultParagraphFont"/>
    <w:link w:val="E-mailSignature"/>
    <w:rsid w:val="00312C86"/>
    <w:rPr>
      <w:sz w:val="22"/>
    </w:rPr>
  </w:style>
  <w:style w:type="character" w:styleId="Emphasis">
    <w:name w:val="Emphasis"/>
    <w:basedOn w:val="DefaultParagraphFont"/>
    <w:qFormat/>
    <w:rsid w:val="00312C86"/>
    <w:rPr>
      <w:i/>
      <w:iCs/>
    </w:rPr>
  </w:style>
  <w:style w:type="paragraph" w:styleId="EnvelopeAddress">
    <w:name w:val="envelope address"/>
    <w:basedOn w:val="Normal"/>
    <w:rsid w:val="00312C8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12C86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312C86"/>
    <w:rPr>
      <w:color w:val="800080"/>
      <w:u w:val="single"/>
    </w:rPr>
  </w:style>
  <w:style w:type="character" w:styleId="HTMLAcronym">
    <w:name w:val="HTML Acronym"/>
    <w:basedOn w:val="DefaultParagraphFont"/>
    <w:rsid w:val="00312C86"/>
  </w:style>
  <w:style w:type="paragraph" w:styleId="HTMLAddress">
    <w:name w:val="HTML Address"/>
    <w:basedOn w:val="Normal"/>
    <w:link w:val="HTMLAddressChar"/>
    <w:rsid w:val="00312C8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12C86"/>
    <w:rPr>
      <w:i/>
      <w:iCs/>
      <w:sz w:val="22"/>
    </w:rPr>
  </w:style>
  <w:style w:type="character" w:styleId="HTMLCite">
    <w:name w:val="HTML Cite"/>
    <w:basedOn w:val="DefaultParagraphFont"/>
    <w:rsid w:val="00312C86"/>
    <w:rPr>
      <w:i/>
      <w:iCs/>
    </w:rPr>
  </w:style>
  <w:style w:type="character" w:styleId="HTMLCode">
    <w:name w:val="HTML Code"/>
    <w:basedOn w:val="DefaultParagraphFont"/>
    <w:rsid w:val="00312C8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12C86"/>
    <w:rPr>
      <w:i/>
      <w:iCs/>
    </w:rPr>
  </w:style>
  <w:style w:type="character" w:styleId="HTMLKeyboard">
    <w:name w:val="HTML Keyboard"/>
    <w:basedOn w:val="DefaultParagraphFont"/>
    <w:rsid w:val="00312C8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12C8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12C86"/>
    <w:rPr>
      <w:rFonts w:ascii="Courier New" w:hAnsi="Courier New" w:cs="Courier New"/>
    </w:rPr>
  </w:style>
  <w:style w:type="character" w:styleId="HTMLSample">
    <w:name w:val="HTML Sample"/>
    <w:basedOn w:val="DefaultParagraphFont"/>
    <w:rsid w:val="00312C8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12C8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12C86"/>
    <w:rPr>
      <w:i/>
      <w:iCs/>
    </w:rPr>
  </w:style>
  <w:style w:type="character" w:styleId="Hyperlink">
    <w:name w:val="Hyperlink"/>
    <w:basedOn w:val="DefaultParagraphFont"/>
    <w:rsid w:val="00312C86"/>
    <w:rPr>
      <w:color w:val="0000FF"/>
      <w:u w:val="single"/>
    </w:rPr>
  </w:style>
  <w:style w:type="paragraph" w:styleId="List">
    <w:name w:val="List"/>
    <w:basedOn w:val="Normal"/>
    <w:rsid w:val="00312C86"/>
    <w:pPr>
      <w:ind w:left="283" w:hanging="283"/>
    </w:pPr>
  </w:style>
  <w:style w:type="paragraph" w:styleId="List2">
    <w:name w:val="List 2"/>
    <w:basedOn w:val="Normal"/>
    <w:rsid w:val="00312C86"/>
    <w:pPr>
      <w:ind w:left="566" w:hanging="283"/>
    </w:pPr>
  </w:style>
  <w:style w:type="paragraph" w:styleId="List3">
    <w:name w:val="List 3"/>
    <w:basedOn w:val="Normal"/>
    <w:rsid w:val="00312C86"/>
    <w:pPr>
      <w:ind w:left="849" w:hanging="283"/>
    </w:pPr>
  </w:style>
  <w:style w:type="paragraph" w:styleId="List4">
    <w:name w:val="List 4"/>
    <w:basedOn w:val="Normal"/>
    <w:rsid w:val="00312C86"/>
    <w:pPr>
      <w:ind w:left="1132" w:hanging="283"/>
    </w:pPr>
  </w:style>
  <w:style w:type="paragraph" w:styleId="List5">
    <w:name w:val="List 5"/>
    <w:basedOn w:val="Normal"/>
    <w:rsid w:val="00312C86"/>
    <w:pPr>
      <w:ind w:left="1415" w:hanging="283"/>
    </w:pPr>
  </w:style>
  <w:style w:type="paragraph" w:styleId="ListBullet">
    <w:name w:val="List Bullet"/>
    <w:basedOn w:val="Normal"/>
    <w:autoRedefine/>
    <w:rsid w:val="00312C86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312C8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12C8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12C8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12C86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312C86"/>
    <w:pPr>
      <w:spacing w:after="120"/>
      <w:ind w:left="283"/>
    </w:pPr>
  </w:style>
  <w:style w:type="paragraph" w:styleId="ListContinue2">
    <w:name w:val="List Continue 2"/>
    <w:basedOn w:val="Normal"/>
    <w:rsid w:val="00312C86"/>
    <w:pPr>
      <w:spacing w:after="120"/>
      <w:ind w:left="566"/>
    </w:pPr>
  </w:style>
  <w:style w:type="paragraph" w:styleId="ListContinue3">
    <w:name w:val="List Continue 3"/>
    <w:basedOn w:val="Normal"/>
    <w:rsid w:val="00312C86"/>
    <w:pPr>
      <w:spacing w:after="120"/>
      <w:ind w:left="849"/>
    </w:pPr>
  </w:style>
  <w:style w:type="paragraph" w:styleId="ListContinue4">
    <w:name w:val="List Continue 4"/>
    <w:basedOn w:val="Normal"/>
    <w:rsid w:val="00312C86"/>
    <w:pPr>
      <w:spacing w:after="120"/>
      <w:ind w:left="1132"/>
    </w:pPr>
  </w:style>
  <w:style w:type="paragraph" w:styleId="ListContinue5">
    <w:name w:val="List Continue 5"/>
    <w:basedOn w:val="Normal"/>
    <w:rsid w:val="00312C86"/>
    <w:pPr>
      <w:spacing w:after="120"/>
      <w:ind w:left="1415"/>
    </w:pPr>
  </w:style>
  <w:style w:type="paragraph" w:styleId="ListNumber">
    <w:name w:val="List Number"/>
    <w:basedOn w:val="Normal"/>
    <w:rsid w:val="00312C86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312C8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12C8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12C8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12C86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rsid w:val="00312C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12C86"/>
    <w:rPr>
      <w:rFonts w:ascii="Arial" w:hAnsi="Arial" w:cs="Arial"/>
      <w:sz w:val="22"/>
      <w:shd w:val="pct20" w:color="auto" w:fill="auto"/>
    </w:rPr>
  </w:style>
  <w:style w:type="paragraph" w:styleId="NormalWeb">
    <w:name w:val="Normal (Web)"/>
    <w:basedOn w:val="Normal"/>
    <w:rsid w:val="00312C86"/>
  </w:style>
  <w:style w:type="paragraph" w:styleId="NormalIndent">
    <w:name w:val="Normal Indent"/>
    <w:basedOn w:val="Normal"/>
    <w:rsid w:val="00312C86"/>
    <w:pPr>
      <w:ind w:left="720"/>
    </w:pPr>
  </w:style>
  <w:style w:type="character" w:styleId="PageNumber">
    <w:name w:val="page number"/>
    <w:basedOn w:val="DefaultParagraphFont"/>
    <w:rsid w:val="00312C86"/>
  </w:style>
  <w:style w:type="paragraph" w:styleId="PlainText">
    <w:name w:val="Plain Text"/>
    <w:basedOn w:val="Normal"/>
    <w:link w:val="PlainTextChar"/>
    <w:rsid w:val="00312C8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12C86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312C86"/>
  </w:style>
  <w:style w:type="character" w:customStyle="1" w:styleId="SalutationChar">
    <w:name w:val="Salutation Char"/>
    <w:basedOn w:val="DefaultParagraphFont"/>
    <w:link w:val="Salutation"/>
    <w:rsid w:val="00312C86"/>
    <w:rPr>
      <w:sz w:val="22"/>
    </w:rPr>
  </w:style>
  <w:style w:type="paragraph" w:styleId="Signature">
    <w:name w:val="Signature"/>
    <w:basedOn w:val="Normal"/>
    <w:link w:val="SignatureChar"/>
    <w:rsid w:val="00312C8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12C86"/>
    <w:rPr>
      <w:sz w:val="22"/>
    </w:rPr>
  </w:style>
  <w:style w:type="character" w:styleId="Strong">
    <w:name w:val="Strong"/>
    <w:basedOn w:val="DefaultParagraphFont"/>
    <w:qFormat/>
    <w:rsid w:val="00312C86"/>
    <w:rPr>
      <w:b/>
      <w:bCs/>
    </w:rPr>
  </w:style>
  <w:style w:type="paragraph" w:styleId="Subtitle">
    <w:name w:val="Subtitle"/>
    <w:basedOn w:val="Normal"/>
    <w:link w:val="SubtitleChar"/>
    <w:qFormat/>
    <w:rsid w:val="00312C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12C86"/>
    <w:rPr>
      <w:rFonts w:ascii="Arial" w:hAnsi="Arial" w:cs="Arial"/>
      <w:sz w:val="22"/>
    </w:rPr>
  </w:style>
  <w:style w:type="table" w:styleId="Table3Deffects1">
    <w:name w:val="Table 3D effects 1"/>
    <w:basedOn w:val="TableNormal"/>
    <w:rsid w:val="00312C8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12C8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12C8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12C8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12C8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12C8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312C8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12C8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12C8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12C8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12C8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12C8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12C8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312C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12C8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12C8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12C8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12C8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12C8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12C8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12C8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12C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12C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12C8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12C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312C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12C8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12C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12C8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12C8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12C8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312C8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12C8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12C8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312C8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12C86"/>
    <w:rPr>
      <w:rFonts w:ascii="Arial" w:hAnsi="Arial" w:cs="Arial"/>
      <w:b/>
      <w:bCs/>
      <w:sz w:val="40"/>
      <w:szCs w:val="40"/>
    </w:rPr>
  </w:style>
  <w:style w:type="character" w:styleId="EndnoteReference">
    <w:name w:val="endnote reference"/>
    <w:basedOn w:val="DefaultParagraphFont"/>
    <w:rsid w:val="00312C86"/>
    <w:rPr>
      <w:vertAlign w:val="superscript"/>
    </w:rPr>
  </w:style>
  <w:style w:type="paragraph" w:styleId="EndnoteText">
    <w:name w:val="endnote text"/>
    <w:basedOn w:val="Normal"/>
    <w:link w:val="EndnoteTextChar"/>
    <w:rsid w:val="00312C8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12C86"/>
  </w:style>
  <w:style w:type="character" w:styleId="FootnoteReference">
    <w:name w:val="footnote reference"/>
    <w:basedOn w:val="DefaultParagraphFont"/>
    <w:rsid w:val="00312C86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rsid w:val="00312C8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12C86"/>
  </w:style>
  <w:style w:type="paragraph" w:styleId="Caption">
    <w:name w:val="caption"/>
    <w:basedOn w:val="Normal"/>
    <w:next w:val="Normal"/>
    <w:qFormat/>
    <w:rsid w:val="00312C86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312C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2C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2C86"/>
  </w:style>
  <w:style w:type="paragraph" w:styleId="CommentSubject">
    <w:name w:val="annotation subject"/>
    <w:basedOn w:val="CommentText"/>
    <w:next w:val="CommentText"/>
    <w:link w:val="CommentSubjectChar"/>
    <w:rsid w:val="00312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2C86"/>
    <w:rPr>
      <w:b/>
      <w:bCs/>
    </w:rPr>
  </w:style>
  <w:style w:type="paragraph" w:styleId="DocumentMap">
    <w:name w:val="Document Map"/>
    <w:basedOn w:val="Normal"/>
    <w:link w:val="DocumentMapChar"/>
    <w:rsid w:val="00312C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12C86"/>
    <w:rPr>
      <w:rFonts w:ascii="Tahoma" w:hAnsi="Tahoma" w:cs="Tahoma"/>
      <w:sz w:val="22"/>
      <w:shd w:val="clear" w:color="auto" w:fill="000080"/>
    </w:rPr>
  </w:style>
  <w:style w:type="paragraph" w:styleId="Index1">
    <w:name w:val="index 1"/>
    <w:basedOn w:val="Normal"/>
    <w:next w:val="Normal"/>
    <w:autoRedefine/>
    <w:rsid w:val="00312C86"/>
    <w:pPr>
      <w:ind w:left="240" w:hanging="240"/>
    </w:pPr>
  </w:style>
  <w:style w:type="paragraph" w:styleId="Index2">
    <w:name w:val="index 2"/>
    <w:basedOn w:val="Normal"/>
    <w:next w:val="Normal"/>
    <w:autoRedefine/>
    <w:rsid w:val="00312C86"/>
    <w:pPr>
      <w:ind w:left="480" w:hanging="240"/>
    </w:pPr>
  </w:style>
  <w:style w:type="paragraph" w:styleId="Index3">
    <w:name w:val="index 3"/>
    <w:basedOn w:val="Normal"/>
    <w:next w:val="Normal"/>
    <w:autoRedefine/>
    <w:rsid w:val="00312C86"/>
    <w:pPr>
      <w:ind w:left="720" w:hanging="240"/>
    </w:pPr>
  </w:style>
  <w:style w:type="paragraph" w:styleId="Index4">
    <w:name w:val="index 4"/>
    <w:basedOn w:val="Normal"/>
    <w:next w:val="Normal"/>
    <w:autoRedefine/>
    <w:rsid w:val="00312C86"/>
    <w:pPr>
      <w:ind w:left="960" w:hanging="240"/>
    </w:pPr>
  </w:style>
  <w:style w:type="paragraph" w:styleId="Index5">
    <w:name w:val="index 5"/>
    <w:basedOn w:val="Normal"/>
    <w:next w:val="Normal"/>
    <w:autoRedefine/>
    <w:rsid w:val="00312C86"/>
    <w:pPr>
      <w:ind w:left="1200" w:hanging="240"/>
    </w:pPr>
  </w:style>
  <w:style w:type="paragraph" w:styleId="Index6">
    <w:name w:val="index 6"/>
    <w:basedOn w:val="Normal"/>
    <w:next w:val="Normal"/>
    <w:autoRedefine/>
    <w:rsid w:val="00312C86"/>
    <w:pPr>
      <w:ind w:left="1440" w:hanging="240"/>
    </w:pPr>
  </w:style>
  <w:style w:type="paragraph" w:styleId="Index7">
    <w:name w:val="index 7"/>
    <w:basedOn w:val="Normal"/>
    <w:next w:val="Normal"/>
    <w:autoRedefine/>
    <w:rsid w:val="00312C86"/>
    <w:pPr>
      <w:ind w:left="1680" w:hanging="240"/>
    </w:pPr>
  </w:style>
  <w:style w:type="paragraph" w:styleId="Index8">
    <w:name w:val="index 8"/>
    <w:basedOn w:val="Normal"/>
    <w:next w:val="Normal"/>
    <w:autoRedefine/>
    <w:rsid w:val="00312C86"/>
    <w:pPr>
      <w:ind w:left="1920" w:hanging="240"/>
    </w:pPr>
  </w:style>
  <w:style w:type="paragraph" w:styleId="Index9">
    <w:name w:val="index 9"/>
    <w:basedOn w:val="Normal"/>
    <w:next w:val="Normal"/>
    <w:autoRedefine/>
    <w:rsid w:val="00312C86"/>
    <w:pPr>
      <w:ind w:left="2160" w:hanging="240"/>
    </w:pPr>
  </w:style>
  <w:style w:type="paragraph" w:styleId="IndexHeading">
    <w:name w:val="index heading"/>
    <w:basedOn w:val="Normal"/>
    <w:next w:val="Index1"/>
    <w:rsid w:val="00312C86"/>
    <w:rPr>
      <w:rFonts w:ascii="Arial" w:hAnsi="Arial" w:cs="Arial"/>
      <w:b/>
      <w:bCs/>
    </w:rPr>
  </w:style>
  <w:style w:type="paragraph" w:styleId="MacroText">
    <w:name w:val="macro"/>
    <w:link w:val="MacroTextChar"/>
    <w:rsid w:val="00312C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12C86"/>
    <w:rPr>
      <w:rFonts w:ascii="Courier New" w:eastAsia="Times New Roman" w:hAnsi="Courier New" w:cs="Courier New"/>
      <w:lang w:eastAsia="en-AU"/>
    </w:rPr>
  </w:style>
  <w:style w:type="paragraph" w:styleId="TableofAuthorities">
    <w:name w:val="table of authorities"/>
    <w:basedOn w:val="Normal"/>
    <w:next w:val="Normal"/>
    <w:rsid w:val="00312C86"/>
    <w:pPr>
      <w:ind w:left="240" w:hanging="240"/>
    </w:pPr>
  </w:style>
  <w:style w:type="paragraph" w:styleId="TableofFigures">
    <w:name w:val="table of figures"/>
    <w:basedOn w:val="Normal"/>
    <w:next w:val="Normal"/>
    <w:rsid w:val="00312C86"/>
    <w:pPr>
      <w:ind w:left="480" w:hanging="480"/>
    </w:pPr>
  </w:style>
  <w:style w:type="paragraph" w:styleId="TOAHeading">
    <w:name w:val="toa heading"/>
    <w:basedOn w:val="Normal"/>
    <w:next w:val="Normal"/>
    <w:rsid w:val="00312C86"/>
    <w:pPr>
      <w:spacing w:before="120"/>
    </w:pPr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BB302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B302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B3022"/>
    <w:rPr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BB3022"/>
    <w:rPr>
      <w:rFonts w:eastAsia="Times New Roman" w:cs="Times New Roman"/>
      <w:sz w:val="22"/>
      <w:lang w:eastAsia="en-AU"/>
    </w:rPr>
  </w:style>
  <w:style w:type="character" w:customStyle="1" w:styleId="CharSchPTNo">
    <w:name w:val="CharSchPTNo"/>
    <w:basedOn w:val="DefaultParagraphFont"/>
    <w:rsid w:val="00BB3022"/>
  </w:style>
  <w:style w:type="character" w:customStyle="1" w:styleId="CharSchPTText">
    <w:name w:val="CharSchPTText"/>
    <w:basedOn w:val="DefaultParagraphFont"/>
    <w:rsid w:val="00BB3022"/>
  </w:style>
  <w:style w:type="paragraph" w:customStyle="1" w:styleId="Transitional">
    <w:name w:val="Transitional"/>
    <w:aliases w:val="tr"/>
    <w:basedOn w:val="ItemHead"/>
    <w:next w:val="Item"/>
    <w:rsid w:val="00312C86"/>
  </w:style>
  <w:style w:type="character" w:customStyle="1" w:styleId="charlegsubtitle1">
    <w:name w:val="charlegsubtitle1"/>
    <w:basedOn w:val="DefaultParagraphFont"/>
    <w:rsid w:val="00312C86"/>
    <w:rPr>
      <w:rFonts w:ascii="Arial" w:hAnsi="Arial" w:cs="Arial" w:hint="default"/>
      <w:b/>
      <w:bCs/>
      <w:sz w:val="28"/>
      <w:szCs w:val="28"/>
    </w:rPr>
  </w:style>
  <w:style w:type="character" w:customStyle="1" w:styleId="ActHead5Char">
    <w:name w:val="ActHead 5 Char"/>
    <w:aliases w:val="s Char"/>
    <w:link w:val="ActHead5"/>
    <w:rsid w:val="00312C8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oleObject" Target="embeddings/oleObject2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3.wmf"/><Relationship Id="rId28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CCE2D-88E7-47CC-B90A-116E2575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32</Pages>
  <Words>10234</Words>
  <Characters>51088</Characters>
  <Application>Microsoft Office Word</Application>
  <DocSecurity>0</DocSecurity>
  <PresentationFormat/>
  <Lines>1886</Lines>
  <Paragraphs>1264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(ASIC Fees) Regulations 2018</vt:lpstr>
    </vt:vector>
  </TitlesOfParts>
  <Manager/>
  <Company/>
  <LinksUpToDate>false</LinksUpToDate>
  <CharactersWithSpaces>60188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2018-05-24T02:55:00Z</cp:lastPrinted>
  <dcterms:created xsi:type="dcterms:W3CDTF">2018-06-28T03:47:00Z</dcterms:created>
  <dcterms:modified xsi:type="dcterms:W3CDTF">2018-06-28T03:47:00Z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Treasury Laws Amendment (ASIC Fees)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29 June 2018</vt:lpwstr>
  </property>
  <property fmtid="{D5CDD505-2E9C-101B-9397-08002B2CF9AE}" pid="10" name="ID">
    <vt:lpwstr>OPC63242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29 June 2018</vt:lpwstr>
  </property>
</Properties>
</file>