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25D6B8" w14:textId="77777777" w:rsidR="00F97CA7" w:rsidRDefault="00F97CA7" w:rsidP="00D778C0">
      <w:pPr>
        <w:spacing w:before="0"/>
        <w:jc w:val="center"/>
        <w:rPr>
          <w:rFonts w:ascii="Times New Roman" w:eastAsiaTheme="minorEastAsia" w:hAnsi="Times New Roman"/>
          <w:b/>
          <w:caps/>
          <w:sz w:val="24"/>
          <w:szCs w:val="24"/>
          <w:u w:val="single"/>
        </w:rPr>
      </w:pPr>
      <w:bookmarkStart w:id="0" w:name="_GoBack"/>
      <w:bookmarkEnd w:id="0"/>
    </w:p>
    <w:p w14:paraId="47AB3566" w14:textId="77777777" w:rsidR="00F97CA7" w:rsidRDefault="00F97CA7" w:rsidP="00D778C0">
      <w:pPr>
        <w:spacing w:before="0"/>
        <w:jc w:val="center"/>
        <w:rPr>
          <w:rFonts w:ascii="Times New Roman" w:eastAsiaTheme="minorEastAsia" w:hAnsi="Times New Roman"/>
          <w:b/>
          <w:caps/>
          <w:sz w:val="24"/>
          <w:szCs w:val="24"/>
          <w:u w:val="single"/>
        </w:rPr>
      </w:pPr>
    </w:p>
    <w:p w14:paraId="0E2C5AE8" w14:textId="77777777" w:rsidR="00905F94" w:rsidRDefault="00995669" w:rsidP="00D778C0">
      <w:pPr>
        <w:spacing w:before="0"/>
        <w:jc w:val="center"/>
        <w:rPr>
          <w:rFonts w:ascii="Times New Roman" w:eastAsiaTheme="minorEastAsia" w:hAnsi="Times New Roman"/>
          <w:b/>
          <w:caps/>
          <w:sz w:val="24"/>
          <w:szCs w:val="24"/>
          <w:u w:val="single"/>
        </w:rPr>
      </w:pPr>
      <w:r w:rsidRPr="00D778C0">
        <w:rPr>
          <w:rFonts w:ascii="Times New Roman" w:eastAsiaTheme="minorEastAsia" w:hAnsi="Times New Roman"/>
          <w:b/>
          <w:caps/>
          <w:sz w:val="24"/>
          <w:szCs w:val="24"/>
          <w:u w:val="single"/>
        </w:rPr>
        <w:t>Explanatory Statement</w:t>
      </w:r>
    </w:p>
    <w:p w14:paraId="56A82962" w14:textId="77777777" w:rsidR="000D475E" w:rsidRPr="005F4AF7" w:rsidRDefault="000D475E" w:rsidP="00D778C0">
      <w:pPr>
        <w:spacing w:before="0"/>
        <w:jc w:val="center"/>
        <w:rPr>
          <w:rFonts w:ascii="Times New Roman" w:eastAsiaTheme="minorEastAsia" w:hAnsi="Times New Roman"/>
          <w:b/>
          <w:caps/>
          <w:sz w:val="4"/>
          <w:szCs w:val="24"/>
          <w:u w:val="single"/>
        </w:rPr>
      </w:pPr>
    </w:p>
    <w:p w14:paraId="0C4869CC" w14:textId="77777777" w:rsidR="005821A7" w:rsidRPr="00D778C0" w:rsidRDefault="005821A7" w:rsidP="000D475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45139">
        <w:rPr>
          <w:rFonts w:ascii="Times New Roman" w:hAnsi="Times New Roman"/>
          <w:sz w:val="24"/>
          <w:szCs w:val="24"/>
          <w:u w:val="single"/>
        </w:rPr>
        <w:t>Issued by Authority of the Minister for Agriculture and Water Resources</w:t>
      </w:r>
    </w:p>
    <w:p w14:paraId="510F7EBD" w14:textId="77777777" w:rsidR="005821A7" w:rsidRPr="005F4AF7" w:rsidRDefault="005821A7" w:rsidP="00D778C0">
      <w:pPr>
        <w:spacing w:before="0"/>
        <w:jc w:val="center"/>
        <w:rPr>
          <w:rFonts w:ascii="Times New Roman" w:eastAsiaTheme="minorEastAsia" w:hAnsi="Times New Roman"/>
          <w:i/>
          <w:snapToGrid w:val="0"/>
          <w:sz w:val="20"/>
          <w:szCs w:val="24"/>
        </w:rPr>
      </w:pPr>
    </w:p>
    <w:p w14:paraId="5A7E0B60" w14:textId="77777777" w:rsidR="005821A7" w:rsidRPr="00D778C0" w:rsidRDefault="005821A7" w:rsidP="00D778C0">
      <w:pPr>
        <w:spacing w:before="0"/>
        <w:jc w:val="center"/>
        <w:rPr>
          <w:rFonts w:ascii="Times New Roman" w:eastAsiaTheme="minorEastAsia" w:hAnsi="Times New Roman"/>
          <w:i/>
          <w:snapToGrid w:val="0"/>
          <w:sz w:val="24"/>
          <w:szCs w:val="24"/>
        </w:rPr>
      </w:pPr>
      <w:r w:rsidRPr="00D778C0">
        <w:rPr>
          <w:rFonts w:ascii="Times New Roman" w:eastAsiaTheme="minorEastAsia" w:hAnsi="Times New Roman"/>
          <w:i/>
          <w:snapToGrid w:val="0"/>
          <w:sz w:val="24"/>
          <w:szCs w:val="24"/>
        </w:rPr>
        <w:t xml:space="preserve">Water Act 2007 </w:t>
      </w:r>
    </w:p>
    <w:p w14:paraId="30873F3D" w14:textId="77777777" w:rsidR="005821A7" w:rsidRPr="005F4AF7" w:rsidRDefault="005821A7" w:rsidP="00D778C0">
      <w:pPr>
        <w:spacing w:before="0"/>
        <w:jc w:val="center"/>
        <w:rPr>
          <w:rFonts w:ascii="Times New Roman" w:eastAsiaTheme="minorEastAsia" w:hAnsi="Times New Roman"/>
          <w:i/>
          <w:snapToGrid w:val="0"/>
          <w:szCs w:val="24"/>
        </w:rPr>
      </w:pPr>
    </w:p>
    <w:p w14:paraId="4F91C713" w14:textId="45B068AD" w:rsidR="00995669" w:rsidRPr="00D778C0" w:rsidRDefault="00995669" w:rsidP="00D778C0">
      <w:pPr>
        <w:spacing w:before="0"/>
        <w:jc w:val="center"/>
        <w:rPr>
          <w:rFonts w:ascii="Times New Roman" w:eastAsiaTheme="minorEastAsia" w:hAnsi="Times New Roman"/>
          <w:i/>
          <w:snapToGrid w:val="0"/>
          <w:sz w:val="24"/>
          <w:szCs w:val="24"/>
        </w:rPr>
      </w:pPr>
      <w:r w:rsidRPr="00D778C0">
        <w:rPr>
          <w:rFonts w:ascii="Times New Roman" w:eastAsiaTheme="minorEastAsia" w:hAnsi="Times New Roman"/>
          <w:i/>
          <w:snapToGrid w:val="0"/>
          <w:sz w:val="24"/>
          <w:szCs w:val="24"/>
        </w:rPr>
        <w:t>Water (Indigenous Values and Use</w:t>
      </w:r>
      <w:r w:rsidR="007F3CDD">
        <w:rPr>
          <w:rFonts w:ascii="Times New Roman" w:eastAsiaTheme="minorEastAsia" w:hAnsi="Times New Roman"/>
          <w:i/>
          <w:snapToGrid w:val="0"/>
          <w:sz w:val="24"/>
          <w:szCs w:val="24"/>
        </w:rPr>
        <w:t>s</w:t>
      </w:r>
      <w:r w:rsidRPr="00D778C0">
        <w:rPr>
          <w:rFonts w:ascii="Times New Roman" w:eastAsiaTheme="minorEastAsia" w:hAnsi="Times New Roman"/>
          <w:i/>
          <w:snapToGrid w:val="0"/>
          <w:sz w:val="24"/>
          <w:szCs w:val="24"/>
        </w:rPr>
        <w:t>) Direction</w:t>
      </w:r>
      <w:r w:rsidR="00FC0B82">
        <w:rPr>
          <w:rFonts w:ascii="Times New Roman" w:eastAsiaTheme="minorEastAsia" w:hAnsi="Times New Roman"/>
          <w:i/>
          <w:snapToGrid w:val="0"/>
          <w:sz w:val="24"/>
          <w:szCs w:val="24"/>
        </w:rPr>
        <w:t xml:space="preserve"> </w:t>
      </w:r>
      <w:r w:rsidRPr="00D778C0">
        <w:rPr>
          <w:rFonts w:ascii="Times New Roman" w:eastAsiaTheme="minorEastAsia" w:hAnsi="Times New Roman"/>
          <w:i/>
          <w:snapToGrid w:val="0"/>
          <w:sz w:val="24"/>
          <w:szCs w:val="24"/>
        </w:rPr>
        <w:t>2018</w:t>
      </w:r>
    </w:p>
    <w:p w14:paraId="268EFB6C" w14:textId="77777777" w:rsidR="00CD393F" w:rsidRDefault="00CD393F" w:rsidP="00347FBD">
      <w:pPr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The </w:t>
      </w:r>
      <w:r w:rsidRPr="000278D6">
        <w:rPr>
          <w:rFonts w:ascii="New times roman" w:hAnsi="New times roman"/>
          <w:i/>
          <w:lang w:eastAsia="ja-JP"/>
        </w:rPr>
        <w:t>Water Act 2007</w:t>
      </w:r>
      <w:r>
        <w:rPr>
          <w:rFonts w:ascii="New times roman" w:hAnsi="New times roman"/>
          <w:lang w:eastAsia="ja-JP"/>
        </w:rPr>
        <w:t xml:space="preserve"> (the Act) makes provision for the management of the water resources of the Murray-Darling Basin, and makes provision for other matters of national interest in relation to water and water information, and for related purposes. </w:t>
      </w:r>
    </w:p>
    <w:p w14:paraId="565017B4" w14:textId="451EB0CB" w:rsidR="00347FBD" w:rsidRDefault="00CD393F" w:rsidP="00347FBD">
      <w:pPr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The </w:t>
      </w:r>
      <w:r w:rsidR="00347FBD" w:rsidRPr="00CF69B7">
        <w:rPr>
          <w:rFonts w:ascii="New times roman" w:hAnsi="New times roman"/>
          <w:i/>
          <w:lang w:eastAsia="ja-JP"/>
        </w:rPr>
        <w:t>Water (Indigenous Values and Use</w:t>
      </w:r>
      <w:r w:rsidR="007F3CDD">
        <w:rPr>
          <w:rFonts w:ascii="New times roman" w:hAnsi="New times roman"/>
          <w:i/>
          <w:lang w:eastAsia="ja-JP"/>
        </w:rPr>
        <w:t>s</w:t>
      </w:r>
      <w:r w:rsidR="00347FBD" w:rsidRPr="00CF69B7">
        <w:rPr>
          <w:rFonts w:ascii="New times roman" w:hAnsi="New times roman"/>
          <w:i/>
          <w:lang w:eastAsia="ja-JP"/>
        </w:rPr>
        <w:t xml:space="preserve">) Direction 2018 </w:t>
      </w:r>
      <w:r w:rsidR="00347FBD" w:rsidRPr="00CF69B7">
        <w:rPr>
          <w:rFonts w:ascii="New times roman" w:hAnsi="New times roman"/>
          <w:lang w:eastAsia="ja-JP"/>
        </w:rPr>
        <w:t>(Direction) is made under section 175 of the Act.</w:t>
      </w:r>
    </w:p>
    <w:p w14:paraId="59AA3A71" w14:textId="77777777" w:rsidR="00223CE7" w:rsidRDefault="00651F4E" w:rsidP="00BC7DFC">
      <w:pPr>
        <w:rPr>
          <w:rFonts w:ascii="New times roman" w:hAnsi="New times roman"/>
          <w:lang w:eastAsia="ja-JP"/>
        </w:rPr>
      </w:pPr>
      <w:r w:rsidRPr="00CF69B7">
        <w:rPr>
          <w:rFonts w:ascii="New times roman" w:hAnsi="New times roman"/>
          <w:lang w:eastAsia="ja-JP"/>
        </w:rPr>
        <w:t>Under s</w:t>
      </w:r>
      <w:r w:rsidR="00CD393F">
        <w:rPr>
          <w:rFonts w:ascii="New times roman" w:hAnsi="New times roman"/>
          <w:lang w:eastAsia="ja-JP"/>
        </w:rPr>
        <w:t>ubs</w:t>
      </w:r>
      <w:r w:rsidRPr="00CF69B7">
        <w:rPr>
          <w:rFonts w:ascii="New times roman" w:hAnsi="New times roman"/>
          <w:lang w:eastAsia="ja-JP"/>
        </w:rPr>
        <w:t>ection 175</w:t>
      </w:r>
      <w:r w:rsidR="00C31D3D">
        <w:rPr>
          <w:rFonts w:ascii="New times roman" w:hAnsi="New times roman"/>
          <w:lang w:eastAsia="ja-JP"/>
        </w:rPr>
        <w:t>(1)</w:t>
      </w:r>
      <w:r w:rsidRPr="00CF69B7">
        <w:rPr>
          <w:rFonts w:ascii="New times roman" w:hAnsi="New times roman"/>
          <w:lang w:eastAsia="ja-JP"/>
        </w:rPr>
        <w:t xml:space="preserve"> of the Act, the Minister</w:t>
      </w:r>
      <w:r w:rsidR="00791A6C">
        <w:rPr>
          <w:rFonts w:ascii="New times roman" w:hAnsi="New times roman"/>
          <w:lang w:eastAsia="ja-JP"/>
        </w:rPr>
        <w:t xml:space="preserve"> </w:t>
      </w:r>
      <w:r w:rsidRPr="00CF69B7">
        <w:rPr>
          <w:rFonts w:ascii="New times roman" w:hAnsi="New times roman"/>
          <w:lang w:eastAsia="ja-JP"/>
        </w:rPr>
        <w:t xml:space="preserve">may give directions, which must be consistent with the </w:t>
      </w:r>
      <w:r w:rsidR="00CD393F">
        <w:rPr>
          <w:rFonts w:ascii="New times roman" w:hAnsi="New times roman"/>
          <w:lang w:eastAsia="ja-JP"/>
        </w:rPr>
        <w:t xml:space="preserve">objects </w:t>
      </w:r>
      <w:r w:rsidRPr="00CF69B7">
        <w:rPr>
          <w:rFonts w:ascii="New times roman" w:hAnsi="New times roman"/>
          <w:lang w:eastAsia="ja-JP"/>
        </w:rPr>
        <w:t>of the Act</w:t>
      </w:r>
      <w:r w:rsidR="002C1BEC">
        <w:rPr>
          <w:rFonts w:ascii="New times roman" w:hAnsi="New times roman"/>
          <w:lang w:eastAsia="ja-JP"/>
        </w:rPr>
        <w:t xml:space="preserve"> (which are set out in section 3 of the Act)</w:t>
      </w:r>
      <w:r w:rsidR="007F3CDD">
        <w:rPr>
          <w:rFonts w:ascii="New times roman" w:hAnsi="New times roman"/>
          <w:lang w:eastAsia="ja-JP"/>
        </w:rPr>
        <w:t>,</w:t>
      </w:r>
      <w:r w:rsidRPr="00CF69B7">
        <w:rPr>
          <w:rFonts w:ascii="New times roman" w:hAnsi="New times roman"/>
          <w:lang w:eastAsia="ja-JP"/>
        </w:rPr>
        <w:t xml:space="preserve"> to the </w:t>
      </w:r>
      <w:r w:rsidR="00925C07">
        <w:rPr>
          <w:rFonts w:ascii="New times roman" w:hAnsi="New times roman"/>
          <w:lang w:eastAsia="ja-JP"/>
        </w:rPr>
        <w:t xml:space="preserve">Murray-Darling Basin </w:t>
      </w:r>
      <w:r w:rsidRPr="00CF69B7">
        <w:rPr>
          <w:rFonts w:ascii="New times roman" w:hAnsi="New times roman"/>
          <w:lang w:eastAsia="ja-JP"/>
        </w:rPr>
        <w:t xml:space="preserve">Authority </w:t>
      </w:r>
      <w:r w:rsidR="00925C07">
        <w:rPr>
          <w:rFonts w:ascii="New times roman" w:hAnsi="New times roman"/>
          <w:lang w:eastAsia="ja-JP"/>
        </w:rPr>
        <w:t xml:space="preserve">(the Authority) </w:t>
      </w:r>
      <w:r w:rsidRPr="00CF69B7">
        <w:rPr>
          <w:rFonts w:ascii="New times roman" w:hAnsi="New times roman"/>
          <w:lang w:eastAsia="ja-JP"/>
        </w:rPr>
        <w:t>about the performance of the Authority’s functions.</w:t>
      </w:r>
      <w:r w:rsidR="00925C07">
        <w:rPr>
          <w:rFonts w:ascii="New times roman" w:hAnsi="New times roman"/>
          <w:lang w:eastAsia="ja-JP"/>
        </w:rPr>
        <w:t xml:space="preserve"> </w:t>
      </w:r>
    </w:p>
    <w:p w14:paraId="7290EA06" w14:textId="7D01E12F" w:rsidR="009C7E4C" w:rsidRDefault="00223CE7" w:rsidP="00BC7DFC">
      <w:pPr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>The Direction direct</w:t>
      </w:r>
      <w:r w:rsidR="00744658">
        <w:rPr>
          <w:rFonts w:ascii="New times roman" w:hAnsi="New times roman"/>
          <w:lang w:eastAsia="ja-JP"/>
        </w:rPr>
        <w:t>s</w:t>
      </w:r>
      <w:r>
        <w:rPr>
          <w:rFonts w:ascii="New times roman" w:hAnsi="New times roman"/>
          <w:lang w:eastAsia="ja-JP"/>
        </w:rPr>
        <w:t xml:space="preserve"> the Authority to report public</w:t>
      </w:r>
      <w:r w:rsidR="005D5EE0">
        <w:rPr>
          <w:rFonts w:ascii="New times roman" w:hAnsi="New times roman"/>
          <w:lang w:eastAsia="ja-JP"/>
        </w:rPr>
        <w:t>ly</w:t>
      </w:r>
      <w:r>
        <w:rPr>
          <w:rFonts w:ascii="New times roman" w:hAnsi="New times roman"/>
          <w:lang w:eastAsia="ja-JP"/>
        </w:rPr>
        <w:t xml:space="preserve"> each year on how, when planning for environmental watering, the holders of held environmental water have considered I</w:t>
      </w:r>
      <w:r w:rsidRPr="00CF69B7">
        <w:rPr>
          <w:rFonts w:ascii="New times roman" w:hAnsi="New times roman"/>
          <w:lang w:eastAsia="ja-JP"/>
        </w:rPr>
        <w:t>ndigenous values and Indigenous uses</w:t>
      </w:r>
      <w:r>
        <w:rPr>
          <w:rFonts w:ascii="New times roman" w:hAnsi="New times roman"/>
          <w:lang w:eastAsia="ja-JP"/>
        </w:rPr>
        <w:t xml:space="preserve"> and involved Indigenous people. This is consistent</w:t>
      </w:r>
      <w:r w:rsidR="00995DF5">
        <w:rPr>
          <w:rFonts w:ascii="New times roman" w:hAnsi="New times roman"/>
          <w:lang w:eastAsia="ja-JP"/>
        </w:rPr>
        <w:t xml:space="preserve"> with the </w:t>
      </w:r>
      <w:r w:rsidR="00CE1328">
        <w:rPr>
          <w:rFonts w:ascii="New times roman" w:hAnsi="New times roman"/>
          <w:lang w:eastAsia="ja-JP"/>
        </w:rPr>
        <w:t>objec</w:t>
      </w:r>
      <w:r w:rsidR="00DC1A1D">
        <w:rPr>
          <w:rFonts w:ascii="New times roman" w:hAnsi="New times roman"/>
          <w:lang w:eastAsia="ja-JP"/>
        </w:rPr>
        <w:t>ts of the Act</w:t>
      </w:r>
      <w:r>
        <w:rPr>
          <w:rFonts w:ascii="New times roman" w:hAnsi="New times roman"/>
          <w:lang w:eastAsia="ja-JP"/>
        </w:rPr>
        <w:t>,</w:t>
      </w:r>
      <w:r w:rsidR="00DC1A1D">
        <w:rPr>
          <w:rFonts w:ascii="New times roman" w:hAnsi="New times roman"/>
          <w:lang w:eastAsia="ja-JP"/>
        </w:rPr>
        <w:t xml:space="preserve"> </w:t>
      </w:r>
      <w:r w:rsidR="00C4204A">
        <w:rPr>
          <w:rFonts w:ascii="New times roman" w:hAnsi="New times roman"/>
          <w:lang w:eastAsia="ja-JP"/>
        </w:rPr>
        <w:t>including</w:t>
      </w:r>
      <w:r>
        <w:rPr>
          <w:rFonts w:ascii="New times roman" w:hAnsi="New times roman"/>
          <w:lang w:eastAsia="ja-JP"/>
        </w:rPr>
        <w:t xml:space="preserve"> to</w:t>
      </w:r>
      <w:r w:rsidR="00C4204A">
        <w:rPr>
          <w:rFonts w:ascii="New times roman" w:hAnsi="New times roman"/>
          <w:lang w:eastAsia="ja-JP"/>
        </w:rPr>
        <w:t xml:space="preserve"> </w:t>
      </w:r>
      <w:r>
        <w:rPr>
          <w:rFonts w:ascii="New times roman" w:hAnsi="New times roman"/>
          <w:lang w:eastAsia="ja-JP"/>
        </w:rPr>
        <w:t>provide</w:t>
      </w:r>
      <w:r w:rsidR="00C4204A">
        <w:rPr>
          <w:rFonts w:ascii="New times roman" w:hAnsi="New times roman"/>
          <w:lang w:eastAsia="ja-JP"/>
        </w:rPr>
        <w:t xml:space="preserve"> </w:t>
      </w:r>
      <w:r w:rsidR="00BC7DFC" w:rsidRPr="00B02AE6">
        <w:rPr>
          <w:rFonts w:ascii="New times roman" w:hAnsi="New times roman"/>
          <w:lang w:eastAsia="ja-JP"/>
        </w:rPr>
        <w:t>for the collection, collation, analysis and diss</w:t>
      </w:r>
      <w:r w:rsidR="00BC7DFC">
        <w:rPr>
          <w:rFonts w:ascii="New times roman" w:hAnsi="New times roman"/>
          <w:lang w:eastAsia="ja-JP"/>
        </w:rPr>
        <w:t xml:space="preserve">emination of information </w:t>
      </w:r>
      <w:r w:rsidR="00DC1A1D">
        <w:rPr>
          <w:rFonts w:ascii="New times roman" w:hAnsi="New times roman"/>
          <w:lang w:eastAsia="ja-JP"/>
        </w:rPr>
        <w:t xml:space="preserve">about Australia’s water resources and the use and management </w:t>
      </w:r>
      <w:r w:rsidR="00995DF5">
        <w:rPr>
          <w:rFonts w:ascii="New times roman" w:hAnsi="New times roman"/>
          <w:lang w:eastAsia="ja-JP"/>
        </w:rPr>
        <w:t>of water in Australia (</w:t>
      </w:r>
      <w:r w:rsidR="00744658">
        <w:rPr>
          <w:rFonts w:ascii="New times roman" w:hAnsi="New times roman"/>
          <w:lang w:eastAsia="ja-JP"/>
        </w:rPr>
        <w:t xml:space="preserve">paragraph </w:t>
      </w:r>
      <w:r w:rsidR="00995DF5">
        <w:rPr>
          <w:rFonts w:ascii="New times roman" w:hAnsi="New times roman"/>
          <w:lang w:eastAsia="ja-JP"/>
        </w:rPr>
        <w:t>3</w:t>
      </w:r>
      <w:r w:rsidR="00C4204A">
        <w:rPr>
          <w:rFonts w:ascii="New times roman" w:hAnsi="New times roman"/>
          <w:lang w:eastAsia="ja-JP"/>
        </w:rPr>
        <w:t>(h) of the Act)</w:t>
      </w:r>
      <w:r w:rsidR="009C7E4C">
        <w:rPr>
          <w:rFonts w:ascii="New times roman" w:hAnsi="New times roman"/>
          <w:lang w:eastAsia="ja-JP"/>
        </w:rPr>
        <w:t xml:space="preserve">. </w:t>
      </w:r>
    </w:p>
    <w:p w14:paraId="3C6ED460" w14:textId="77777777" w:rsidR="00651F4E" w:rsidRDefault="00CD393F" w:rsidP="00651F4E">
      <w:pPr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>Subsection 175(4) provides that a</w:t>
      </w:r>
      <w:r w:rsidR="00925C07">
        <w:rPr>
          <w:rFonts w:ascii="New times roman" w:hAnsi="New times roman"/>
          <w:lang w:eastAsia="ja-JP"/>
        </w:rPr>
        <w:t xml:space="preserve"> direction made under s</w:t>
      </w:r>
      <w:r w:rsidR="00C31D3D">
        <w:rPr>
          <w:rFonts w:ascii="New times roman" w:hAnsi="New times roman"/>
          <w:lang w:eastAsia="ja-JP"/>
        </w:rPr>
        <w:t>ubs</w:t>
      </w:r>
      <w:r w:rsidR="00590FEE">
        <w:rPr>
          <w:rFonts w:ascii="New times roman" w:hAnsi="New times roman"/>
          <w:lang w:eastAsia="ja-JP"/>
        </w:rPr>
        <w:t>ection</w:t>
      </w:r>
      <w:r w:rsidR="00925C07">
        <w:rPr>
          <w:rFonts w:ascii="New times roman" w:hAnsi="New times roman"/>
          <w:lang w:eastAsia="ja-JP"/>
        </w:rPr>
        <w:t xml:space="preserve"> 175</w:t>
      </w:r>
      <w:r w:rsidR="00C31D3D">
        <w:rPr>
          <w:rFonts w:ascii="New times roman" w:hAnsi="New times roman"/>
          <w:lang w:eastAsia="ja-JP"/>
        </w:rPr>
        <w:t>(1)</w:t>
      </w:r>
      <w:r w:rsidR="00925C07">
        <w:rPr>
          <w:rFonts w:ascii="New times roman" w:hAnsi="New times roman"/>
          <w:lang w:eastAsia="ja-JP"/>
        </w:rPr>
        <w:t xml:space="preserve"> is a legislative instrument, but neither </w:t>
      </w:r>
      <w:r w:rsidR="00C31D3D">
        <w:rPr>
          <w:rFonts w:ascii="New times roman" w:hAnsi="New times roman"/>
          <w:lang w:eastAsia="ja-JP"/>
        </w:rPr>
        <w:t>section 42 (</w:t>
      </w:r>
      <w:r w:rsidR="00925C07">
        <w:rPr>
          <w:rFonts w:ascii="New times roman" w:hAnsi="New times roman"/>
          <w:lang w:eastAsia="ja-JP"/>
        </w:rPr>
        <w:t>disallowance</w:t>
      </w:r>
      <w:r w:rsidR="00C31D3D">
        <w:rPr>
          <w:rFonts w:ascii="New times roman" w:hAnsi="New times roman"/>
          <w:lang w:eastAsia="ja-JP"/>
        </w:rPr>
        <w:t>)</w:t>
      </w:r>
      <w:r w:rsidR="00925C07">
        <w:rPr>
          <w:rFonts w:ascii="New times roman" w:hAnsi="New times roman"/>
          <w:lang w:eastAsia="ja-JP"/>
        </w:rPr>
        <w:t xml:space="preserve"> </w:t>
      </w:r>
      <w:r w:rsidR="00590FEE">
        <w:rPr>
          <w:rFonts w:ascii="New times roman" w:hAnsi="New times roman"/>
          <w:lang w:eastAsia="ja-JP"/>
        </w:rPr>
        <w:t>n</w:t>
      </w:r>
      <w:r w:rsidR="00C27150">
        <w:rPr>
          <w:rFonts w:ascii="New times roman" w:hAnsi="New times roman"/>
          <w:lang w:eastAsia="ja-JP"/>
        </w:rPr>
        <w:t xml:space="preserve">or </w:t>
      </w:r>
      <w:r w:rsidR="00C31D3D">
        <w:rPr>
          <w:rFonts w:ascii="New times roman" w:hAnsi="New times roman"/>
          <w:lang w:eastAsia="ja-JP"/>
        </w:rPr>
        <w:t>Part 4 of Chapter 3 (</w:t>
      </w:r>
      <w:r w:rsidR="00C27150">
        <w:rPr>
          <w:rFonts w:ascii="New times roman" w:hAnsi="New times roman"/>
          <w:lang w:eastAsia="ja-JP"/>
        </w:rPr>
        <w:t>sun</w:t>
      </w:r>
      <w:r w:rsidR="00925C07">
        <w:rPr>
          <w:rFonts w:ascii="New times roman" w:hAnsi="New times roman"/>
          <w:lang w:eastAsia="ja-JP"/>
        </w:rPr>
        <w:t>setting</w:t>
      </w:r>
      <w:r w:rsidR="00C31D3D">
        <w:rPr>
          <w:rFonts w:ascii="New times roman" w:hAnsi="New times roman"/>
          <w:lang w:eastAsia="ja-JP"/>
        </w:rPr>
        <w:t xml:space="preserve">) of the </w:t>
      </w:r>
      <w:r w:rsidR="00C31D3D" w:rsidRPr="009C7E4C">
        <w:rPr>
          <w:rFonts w:ascii="New times roman" w:hAnsi="New times roman"/>
          <w:i/>
          <w:lang w:eastAsia="ja-JP"/>
        </w:rPr>
        <w:t>Legislation Act 2003</w:t>
      </w:r>
      <w:r w:rsidR="00925C07">
        <w:rPr>
          <w:rFonts w:ascii="New times roman" w:hAnsi="New times roman"/>
          <w:lang w:eastAsia="ja-JP"/>
        </w:rPr>
        <w:t xml:space="preserve"> applies to the direction.</w:t>
      </w:r>
    </w:p>
    <w:p w14:paraId="02D64BCF" w14:textId="77777777" w:rsidR="0033369B" w:rsidRPr="00CF69B7" w:rsidRDefault="0033369B" w:rsidP="0033369B">
      <w:pPr>
        <w:rPr>
          <w:rFonts w:ascii="New times roman" w:hAnsi="New times roman"/>
          <w:b/>
          <w:lang w:eastAsia="ja-JP"/>
        </w:rPr>
      </w:pPr>
      <w:r>
        <w:rPr>
          <w:rFonts w:ascii="New times roman" w:hAnsi="New times roman"/>
          <w:b/>
          <w:lang w:eastAsia="ja-JP"/>
        </w:rPr>
        <w:t>Overview</w:t>
      </w:r>
    </w:p>
    <w:p w14:paraId="7226EB02" w14:textId="4C28BF96" w:rsidR="00A41CE9" w:rsidRDefault="00A41CE9" w:rsidP="00A41CE9">
      <w:pPr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In </w:t>
      </w:r>
      <w:r w:rsidR="007F3CDD">
        <w:rPr>
          <w:rFonts w:ascii="New times roman" w:hAnsi="New times roman"/>
          <w:lang w:eastAsia="ja-JP"/>
        </w:rPr>
        <w:t>the</w:t>
      </w:r>
      <w:r>
        <w:rPr>
          <w:rFonts w:ascii="New times roman" w:hAnsi="New times roman"/>
          <w:lang w:eastAsia="ja-JP"/>
        </w:rPr>
        <w:t xml:space="preserve"> Direction</w:t>
      </w:r>
      <w:r w:rsidR="007F3CDD">
        <w:rPr>
          <w:rFonts w:ascii="New times roman" w:hAnsi="New times roman"/>
          <w:lang w:eastAsia="ja-JP"/>
        </w:rPr>
        <w:t>,</w:t>
      </w:r>
      <w:r>
        <w:rPr>
          <w:rFonts w:ascii="New times roman" w:hAnsi="New times roman"/>
          <w:lang w:eastAsia="ja-JP"/>
        </w:rPr>
        <w:t xml:space="preserve"> the Minister is d</w:t>
      </w:r>
      <w:r w:rsidRPr="00CF69B7">
        <w:rPr>
          <w:rFonts w:ascii="New times roman" w:hAnsi="New times roman"/>
          <w:lang w:eastAsia="ja-JP"/>
        </w:rPr>
        <w:t>irect</w:t>
      </w:r>
      <w:r>
        <w:rPr>
          <w:rFonts w:ascii="New times roman" w:hAnsi="New times roman"/>
          <w:lang w:eastAsia="ja-JP"/>
        </w:rPr>
        <w:t>ing</w:t>
      </w:r>
      <w:r w:rsidRPr="00CF69B7">
        <w:rPr>
          <w:rFonts w:ascii="New times roman" w:hAnsi="New times roman"/>
          <w:lang w:eastAsia="ja-JP"/>
        </w:rPr>
        <w:t xml:space="preserve"> the Authority to report </w:t>
      </w:r>
      <w:r w:rsidR="000D475E">
        <w:rPr>
          <w:rFonts w:ascii="New times roman" w:hAnsi="New times roman"/>
          <w:lang w:eastAsia="ja-JP"/>
        </w:rPr>
        <w:t>publicly each year</w:t>
      </w:r>
      <w:r w:rsidR="000B68BB">
        <w:rPr>
          <w:rFonts w:ascii="New times roman" w:hAnsi="New times roman"/>
          <w:lang w:eastAsia="ja-JP"/>
        </w:rPr>
        <w:t xml:space="preserve"> </w:t>
      </w:r>
      <w:r w:rsidRPr="00CF69B7">
        <w:rPr>
          <w:rFonts w:ascii="New times roman" w:hAnsi="New times roman"/>
          <w:lang w:eastAsia="ja-JP"/>
        </w:rPr>
        <w:t>on how</w:t>
      </w:r>
      <w:r w:rsidR="00925C07">
        <w:rPr>
          <w:rFonts w:ascii="New times roman" w:hAnsi="New times roman"/>
          <w:lang w:eastAsia="ja-JP"/>
        </w:rPr>
        <w:t>, when planning for environmental watering,</w:t>
      </w:r>
      <w:r>
        <w:rPr>
          <w:rFonts w:ascii="New times roman" w:hAnsi="New times roman"/>
          <w:lang w:eastAsia="ja-JP"/>
        </w:rPr>
        <w:t xml:space="preserve"> the holder</w:t>
      </w:r>
      <w:r w:rsidR="00925C07">
        <w:rPr>
          <w:rFonts w:ascii="New times roman" w:hAnsi="New times roman"/>
          <w:lang w:eastAsia="ja-JP"/>
        </w:rPr>
        <w:t>s</w:t>
      </w:r>
      <w:r>
        <w:rPr>
          <w:rFonts w:ascii="New times roman" w:hAnsi="New times roman"/>
          <w:lang w:eastAsia="ja-JP"/>
        </w:rPr>
        <w:t xml:space="preserve"> of </w:t>
      </w:r>
      <w:r w:rsidR="00925C07">
        <w:rPr>
          <w:rFonts w:ascii="New times roman" w:hAnsi="New times roman"/>
          <w:lang w:eastAsia="ja-JP"/>
        </w:rPr>
        <w:t xml:space="preserve">held </w:t>
      </w:r>
      <w:r>
        <w:rPr>
          <w:rFonts w:ascii="New times roman" w:hAnsi="New times roman"/>
          <w:lang w:eastAsia="ja-JP"/>
        </w:rPr>
        <w:t xml:space="preserve">environmental water have considered </w:t>
      </w:r>
      <w:r w:rsidR="00EF26B4">
        <w:rPr>
          <w:rFonts w:ascii="New times roman" w:hAnsi="New times roman"/>
          <w:lang w:eastAsia="ja-JP"/>
        </w:rPr>
        <w:t>I</w:t>
      </w:r>
      <w:r w:rsidRPr="00CF69B7">
        <w:rPr>
          <w:rFonts w:ascii="New times roman" w:hAnsi="New times roman"/>
          <w:lang w:eastAsia="ja-JP"/>
        </w:rPr>
        <w:t>ndigenous values and Indigenous uses</w:t>
      </w:r>
      <w:r>
        <w:rPr>
          <w:rFonts w:ascii="New times roman" w:hAnsi="New times roman"/>
          <w:lang w:eastAsia="ja-JP"/>
        </w:rPr>
        <w:t xml:space="preserve"> and </w:t>
      </w:r>
      <w:r w:rsidR="00925C07">
        <w:rPr>
          <w:rFonts w:ascii="New times roman" w:hAnsi="New times roman"/>
          <w:lang w:eastAsia="ja-JP"/>
        </w:rPr>
        <w:t xml:space="preserve">involved </w:t>
      </w:r>
      <w:r w:rsidR="00EF26B4">
        <w:rPr>
          <w:rFonts w:ascii="New times roman" w:hAnsi="New times roman"/>
          <w:lang w:eastAsia="ja-JP"/>
        </w:rPr>
        <w:t>I</w:t>
      </w:r>
      <w:r>
        <w:rPr>
          <w:rFonts w:ascii="New times roman" w:hAnsi="New times roman"/>
          <w:lang w:eastAsia="ja-JP"/>
        </w:rPr>
        <w:t xml:space="preserve">ndigenous people. The Direction also requires that the Authority publish the report </w:t>
      </w:r>
      <w:r w:rsidR="00744658">
        <w:rPr>
          <w:rFonts w:ascii="New times roman" w:hAnsi="New times roman"/>
          <w:lang w:eastAsia="ja-JP"/>
        </w:rPr>
        <w:t xml:space="preserve">on its website </w:t>
      </w:r>
      <w:r>
        <w:rPr>
          <w:rFonts w:ascii="New times roman" w:hAnsi="New times roman"/>
          <w:lang w:eastAsia="ja-JP"/>
        </w:rPr>
        <w:t xml:space="preserve">within six months </w:t>
      </w:r>
      <w:r w:rsidRPr="00CF69B7">
        <w:rPr>
          <w:rFonts w:ascii="New times roman" w:hAnsi="New times roman"/>
          <w:lang w:eastAsia="ja-JP"/>
        </w:rPr>
        <w:t>after the end of the water accounting period.</w:t>
      </w:r>
      <w:r w:rsidR="00925C07">
        <w:rPr>
          <w:rFonts w:ascii="New times roman" w:hAnsi="New times roman"/>
          <w:lang w:eastAsia="ja-JP"/>
        </w:rPr>
        <w:t xml:space="preserve"> The </w:t>
      </w:r>
      <w:r w:rsidR="00507DDA">
        <w:rPr>
          <w:rFonts w:ascii="New times roman" w:hAnsi="New times roman"/>
          <w:lang w:eastAsia="ja-JP"/>
        </w:rPr>
        <w:t xml:space="preserve">Authority will be required to provide the </w:t>
      </w:r>
      <w:r w:rsidR="00925C07">
        <w:rPr>
          <w:rFonts w:ascii="New times roman" w:hAnsi="New times roman"/>
          <w:lang w:eastAsia="ja-JP"/>
        </w:rPr>
        <w:t>first report</w:t>
      </w:r>
      <w:r w:rsidR="00507DDA">
        <w:rPr>
          <w:rFonts w:ascii="New times roman" w:hAnsi="New times roman"/>
          <w:lang w:eastAsia="ja-JP"/>
        </w:rPr>
        <w:t xml:space="preserve"> by 31 December 2019</w:t>
      </w:r>
      <w:r w:rsidR="00925C07">
        <w:rPr>
          <w:rFonts w:ascii="New times roman" w:hAnsi="New times roman"/>
          <w:lang w:eastAsia="ja-JP"/>
        </w:rPr>
        <w:t xml:space="preserve"> </w:t>
      </w:r>
      <w:r w:rsidR="00507DDA">
        <w:rPr>
          <w:rFonts w:ascii="New times roman" w:hAnsi="New times roman"/>
          <w:lang w:eastAsia="ja-JP"/>
        </w:rPr>
        <w:t xml:space="preserve">which will be for the </w:t>
      </w:r>
      <w:r w:rsidR="00925C07">
        <w:rPr>
          <w:rFonts w:ascii="New times roman" w:hAnsi="New times roman"/>
          <w:lang w:eastAsia="ja-JP"/>
        </w:rPr>
        <w:t>water accounting perio</w:t>
      </w:r>
      <w:r w:rsidR="00590FEE">
        <w:rPr>
          <w:rFonts w:ascii="New times roman" w:hAnsi="New times roman"/>
          <w:lang w:eastAsia="ja-JP"/>
        </w:rPr>
        <w:t>d commencing after 30 June 2018</w:t>
      </w:r>
      <w:r w:rsidR="00507DDA">
        <w:rPr>
          <w:rFonts w:ascii="New times roman" w:hAnsi="New times roman"/>
          <w:lang w:eastAsia="ja-JP"/>
        </w:rPr>
        <w:t>.</w:t>
      </w:r>
      <w:r w:rsidR="00590FEE">
        <w:rPr>
          <w:rFonts w:ascii="New times roman" w:hAnsi="New times roman"/>
          <w:lang w:eastAsia="ja-JP"/>
        </w:rPr>
        <w:t xml:space="preserve"> </w:t>
      </w:r>
    </w:p>
    <w:p w14:paraId="5A12AF60" w14:textId="77777777" w:rsidR="005821A7" w:rsidRDefault="005821A7" w:rsidP="00D778C0">
      <w:pPr>
        <w:rPr>
          <w:rFonts w:ascii="New times roman" w:hAnsi="New times roman"/>
          <w:b/>
          <w:lang w:eastAsia="ja-JP"/>
        </w:rPr>
      </w:pPr>
      <w:r w:rsidRPr="00D778C0">
        <w:rPr>
          <w:rFonts w:ascii="New times roman" w:hAnsi="New times roman"/>
          <w:b/>
          <w:lang w:eastAsia="ja-JP"/>
        </w:rPr>
        <w:t>Purpose</w:t>
      </w:r>
    </w:p>
    <w:p w14:paraId="19DEEC30" w14:textId="05A7AF5C" w:rsidR="005821A7" w:rsidRPr="00D778C0" w:rsidRDefault="00791A6C" w:rsidP="00347FBD">
      <w:pPr>
        <w:rPr>
          <w:rFonts w:ascii="New times roman" w:hAnsi="New times roman"/>
          <w:lang w:eastAsia="ja-JP"/>
        </w:rPr>
      </w:pPr>
      <w:r w:rsidRPr="00D778C0">
        <w:rPr>
          <w:rFonts w:ascii="New times roman" w:hAnsi="New times roman"/>
          <w:lang w:eastAsia="ja-JP"/>
        </w:rPr>
        <w:t xml:space="preserve">The purpose of the </w:t>
      </w:r>
      <w:r>
        <w:rPr>
          <w:rFonts w:ascii="New times roman" w:hAnsi="New times roman"/>
          <w:lang w:eastAsia="ja-JP"/>
        </w:rPr>
        <w:t>Direction</w:t>
      </w:r>
      <w:r w:rsidRPr="00D778C0">
        <w:rPr>
          <w:rFonts w:ascii="New times roman" w:hAnsi="New times roman"/>
          <w:lang w:eastAsia="ja-JP"/>
        </w:rPr>
        <w:t xml:space="preserve"> is to </w:t>
      </w:r>
      <w:r>
        <w:rPr>
          <w:rFonts w:ascii="New times roman" w:hAnsi="New times roman"/>
          <w:lang w:eastAsia="ja-JP"/>
        </w:rPr>
        <w:t xml:space="preserve">allow the Minister to direct </w:t>
      </w:r>
      <w:r w:rsidRPr="000D475E">
        <w:rPr>
          <w:rFonts w:ascii="New times roman" w:hAnsi="New times roman"/>
          <w:lang w:eastAsia="ja-JP"/>
        </w:rPr>
        <w:t xml:space="preserve">the </w:t>
      </w:r>
      <w:r>
        <w:rPr>
          <w:rFonts w:ascii="New times roman" w:hAnsi="New times roman"/>
          <w:lang w:eastAsia="ja-JP"/>
        </w:rPr>
        <w:t>Authority</w:t>
      </w:r>
      <w:r w:rsidR="006E500B">
        <w:rPr>
          <w:rFonts w:ascii="New times roman" w:hAnsi="New times roman"/>
          <w:lang w:eastAsia="ja-JP"/>
        </w:rPr>
        <w:t xml:space="preserve">, for each water accounting </w:t>
      </w:r>
      <w:r w:rsidR="00AA5665">
        <w:rPr>
          <w:rFonts w:ascii="New times roman" w:hAnsi="New times roman"/>
          <w:lang w:eastAsia="ja-JP"/>
        </w:rPr>
        <w:t>period</w:t>
      </w:r>
      <w:r w:rsidR="006E500B">
        <w:rPr>
          <w:rFonts w:ascii="New times roman" w:hAnsi="New times roman"/>
          <w:lang w:eastAsia="ja-JP"/>
        </w:rPr>
        <w:t>,</w:t>
      </w:r>
      <w:r>
        <w:rPr>
          <w:rFonts w:ascii="New times roman" w:hAnsi="New times roman"/>
          <w:lang w:eastAsia="ja-JP"/>
        </w:rPr>
        <w:t xml:space="preserve"> </w:t>
      </w:r>
      <w:r w:rsidR="000B68BB">
        <w:rPr>
          <w:rFonts w:ascii="New times roman" w:hAnsi="New times roman"/>
          <w:lang w:eastAsia="ja-JP"/>
        </w:rPr>
        <w:t>to report on how</w:t>
      </w:r>
      <w:r w:rsidR="00867A6F">
        <w:rPr>
          <w:rFonts w:ascii="New times roman" w:hAnsi="New times roman"/>
          <w:lang w:eastAsia="ja-JP"/>
        </w:rPr>
        <w:t>, when planning for environmental watering,</w:t>
      </w:r>
      <w:r w:rsidR="000B68BB">
        <w:rPr>
          <w:rFonts w:ascii="New times roman" w:hAnsi="New times roman"/>
          <w:lang w:eastAsia="ja-JP"/>
        </w:rPr>
        <w:t xml:space="preserve"> holder</w:t>
      </w:r>
      <w:r w:rsidR="00867A6F">
        <w:rPr>
          <w:rFonts w:ascii="New times roman" w:hAnsi="New times roman"/>
          <w:lang w:eastAsia="ja-JP"/>
        </w:rPr>
        <w:t>s</w:t>
      </w:r>
      <w:r w:rsidR="000B68BB">
        <w:rPr>
          <w:rFonts w:ascii="New times roman" w:hAnsi="New times roman"/>
          <w:lang w:eastAsia="ja-JP"/>
        </w:rPr>
        <w:t xml:space="preserve"> of </w:t>
      </w:r>
      <w:r w:rsidR="00867A6F">
        <w:rPr>
          <w:rFonts w:ascii="New times roman" w:hAnsi="New times roman"/>
          <w:lang w:eastAsia="ja-JP"/>
        </w:rPr>
        <w:t xml:space="preserve">held </w:t>
      </w:r>
      <w:r w:rsidR="000B68BB">
        <w:rPr>
          <w:rFonts w:ascii="New times roman" w:hAnsi="New times roman"/>
          <w:lang w:eastAsia="ja-JP"/>
        </w:rPr>
        <w:t xml:space="preserve">environmental water have considered </w:t>
      </w:r>
      <w:r w:rsidR="00160F0C">
        <w:rPr>
          <w:rFonts w:ascii="New times roman" w:hAnsi="New times roman"/>
          <w:lang w:eastAsia="ja-JP"/>
        </w:rPr>
        <w:t>I</w:t>
      </w:r>
      <w:r w:rsidR="000B68BB" w:rsidRPr="00CF69B7">
        <w:rPr>
          <w:rFonts w:ascii="New times roman" w:hAnsi="New times roman"/>
          <w:lang w:eastAsia="ja-JP"/>
        </w:rPr>
        <w:t>ndigenous values and Indigenous uses</w:t>
      </w:r>
      <w:r w:rsidR="00EF26B4">
        <w:rPr>
          <w:rFonts w:ascii="New times roman" w:hAnsi="New times roman"/>
          <w:lang w:eastAsia="ja-JP"/>
        </w:rPr>
        <w:t xml:space="preserve"> and </w:t>
      </w:r>
      <w:r w:rsidR="00867A6F">
        <w:rPr>
          <w:rFonts w:ascii="New times roman" w:hAnsi="New times roman"/>
          <w:lang w:eastAsia="ja-JP"/>
        </w:rPr>
        <w:t xml:space="preserve">involved </w:t>
      </w:r>
      <w:r w:rsidR="00EF26B4">
        <w:rPr>
          <w:rFonts w:ascii="New times roman" w:hAnsi="New times roman"/>
          <w:lang w:eastAsia="ja-JP"/>
        </w:rPr>
        <w:t>I</w:t>
      </w:r>
      <w:r w:rsidR="000B68BB">
        <w:rPr>
          <w:rFonts w:ascii="New times roman" w:hAnsi="New times roman"/>
          <w:lang w:eastAsia="ja-JP"/>
        </w:rPr>
        <w:t>ndigenous people</w:t>
      </w:r>
      <w:r w:rsidR="00867A6F">
        <w:rPr>
          <w:rFonts w:ascii="New times roman" w:hAnsi="New times roman"/>
          <w:lang w:eastAsia="ja-JP"/>
        </w:rPr>
        <w:t>.</w:t>
      </w:r>
      <w:r w:rsidR="000B68BB">
        <w:rPr>
          <w:rFonts w:ascii="New times roman" w:hAnsi="New times roman"/>
          <w:lang w:eastAsia="ja-JP"/>
        </w:rPr>
        <w:t xml:space="preserve"> </w:t>
      </w:r>
    </w:p>
    <w:p w14:paraId="1817C003" w14:textId="77777777" w:rsidR="00403CC4" w:rsidRPr="00CF69B7" w:rsidRDefault="00F21E79" w:rsidP="00347FBD">
      <w:pPr>
        <w:rPr>
          <w:rFonts w:ascii="New times roman" w:hAnsi="New times roman"/>
          <w:b/>
          <w:lang w:eastAsia="ja-JP"/>
        </w:rPr>
      </w:pPr>
      <w:r w:rsidRPr="00CF69B7">
        <w:rPr>
          <w:rFonts w:ascii="New times roman" w:hAnsi="New times roman"/>
          <w:b/>
          <w:lang w:eastAsia="ja-JP"/>
        </w:rPr>
        <w:t>Consultation</w:t>
      </w:r>
    </w:p>
    <w:p w14:paraId="622DED02" w14:textId="77777777" w:rsidR="00F21E79" w:rsidRPr="005435BB" w:rsidRDefault="005435BB" w:rsidP="00347FBD">
      <w:pPr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The Authority </w:t>
      </w:r>
      <w:r w:rsidR="000B68BB" w:rsidRPr="00EF26B4">
        <w:rPr>
          <w:rFonts w:ascii="New times roman" w:hAnsi="New times roman"/>
          <w:lang w:eastAsia="ja-JP"/>
        </w:rPr>
        <w:t>and</w:t>
      </w:r>
      <w:r w:rsidR="000B68BB" w:rsidRPr="000B68BB">
        <w:rPr>
          <w:rFonts w:ascii="New times roman" w:hAnsi="New times roman"/>
          <w:lang w:eastAsia="ja-JP"/>
        </w:rPr>
        <w:t xml:space="preserve"> </w:t>
      </w:r>
      <w:r w:rsidR="000B68BB">
        <w:rPr>
          <w:rFonts w:ascii="New times roman" w:hAnsi="New times roman"/>
          <w:lang w:eastAsia="ja-JP"/>
        </w:rPr>
        <w:t xml:space="preserve">Commonwealth Environmental Water Holder </w:t>
      </w:r>
      <w:r w:rsidR="00A41CE9" w:rsidRPr="000D475E">
        <w:rPr>
          <w:rFonts w:ascii="New times roman" w:hAnsi="New times roman"/>
          <w:lang w:eastAsia="ja-JP"/>
        </w:rPr>
        <w:t>w</w:t>
      </w:r>
      <w:r w:rsidR="000B68BB" w:rsidRPr="00D778C0">
        <w:rPr>
          <w:rFonts w:ascii="New times roman" w:hAnsi="New times roman"/>
          <w:lang w:eastAsia="ja-JP"/>
        </w:rPr>
        <w:t>ere</w:t>
      </w:r>
      <w:r w:rsidR="00A41CE9">
        <w:rPr>
          <w:rFonts w:ascii="New times roman" w:hAnsi="New times roman"/>
          <w:lang w:eastAsia="ja-JP"/>
        </w:rPr>
        <w:t xml:space="preserve"> consulted </w:t>
      </w:r>
      <w:r>
        <w:rPr>
          <w:rFonts w:ascii="New times roman" w:hAnsi="New times roman"/>
          <w:lang w:eastAsia="ja-JP"/>
        </w:rPr>
        <w:t xml:space="preserve">prior </w:t>
      </w:r>
      <w:r w:rsidR="00867A6F">
        <w:rPr>
          <w:rFonts w:ascii="New times roman" w:hAnsi="New times roman"/>
          <w:lang w:eastAsia="ja-JP"/>
        </w:rPr>
        <w:t xml:space="preserve">to </w:t>
      </w:r>
      <w:r w:rsidR="00A41CE9">
        <w:rPr>
          <w:rFonts w:ascii="New times roman" w:hAnsi="New times roman"/>
          <w:lang w:eastAsia="ja-JP"/>
        </w:rPr>
        <w:t>the Direction being</w:t>
      </w:r>
      <w:r w:rsidR="00590FEE">
        <w:rPr>
          <w:rFonts w:ascii="New times roman" w:hAnsi="New times roman"/>
          <w:lang w:eastAsia="ja-JP"/>
        </w:rPr>
        <w:t xml:space="preserve"> made by the Minister</w:t>
      </w:r>
      <w:r w:rsidR="00A41CE9">
        <w:rPr>
          <w:rFonts w:ascii="New times roman" w:hAnsi="New times roman"/>
          <w:lang w:eastAsia="ja-JP"/>
        </w:rPr>
        <w:t xml:space="preserve">. </w:t>
      </w:r>
    </w:p>
    <w:p w14:paraId="16EA4F3A" w14:textId="77777777" w:rsidR="00403CC4" w:rsidRPr="00CF69B7" w:rsidRDefault="00403CC4" w:rsidP="00347FBD">
      <w:pPr>
        <w:rPr>
          <w:rFonts w:ascii="New times roman" w:hAnsi="New times roman"/>
          <w:b/>
          <w:lang w:eastAsia="ja-JP"/>
        </w:rPr>
      </w:pPr>
      <w:r w:rsidRPr="00CF69B7">
        <w:rPr>
          <w:rFonts w:ascii="New times roman" w:hAnsi="New times roman"/>
          <w:b/>
          <w:lang w:eastAsia="ja-JP"/>
        </w:rPr>
        <w:t>Regulation Impact Statement</w:t>
      </w:r>
    </w:p>
    <w:p w14:paraId="35EE3452" w14:textId="77777777" w:rsidR="00DF3097" w:rsidRDefault="003C6E44" w:rsidP="00347FBD">
      <w:pPr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There is no regulatory impact from this Direction because the Authority is not a regulated entity. </w:t>
      </w:r>
    </w:p>
    <w:p w14:paraId="0E59F5E0" w14:textId="0CFF1B11" w:rsidR="003C6E44" w:rsidRPr="00590FEE" w:rsidRDefault="003C6E44" w:rsidP="003C6E44">
      <w:pPr>
        <w:rPr>
          <w:rFonts w:ascii="New times roman" w:hAnsi="New times roman"/>
          <w:b/>
          <w:u w:val="single"/>
          <w:lang w:eastAsia="ja-JP"/>
        </w:rPr>
      </w:pPr>
      <w:r w:rsidRPr="00590FEE">
        <w:rPr>
          <w:rFonts w:ascii="New times roman" w:hAnsi="New times roman"/>
          <w:b/>
          <w:u w:val="single"/>
          <w:lang w:eastAsia="ja-JP"/>
        </w:rPr>
        <w:t xml:space="preserve">Details of the </w:t>
      </w:r>
      <w:r w:rsidRPr="00590FEE">
        <w:rPr>
          <w:rFonts w:ascii="New times roman" w:hAnsi="New times roman"/>
          <w:b/>
          <w:i/>
          <w:u w:val="single"/>
          <w:lang w:eastAsia="ja-JP"/>
        </w:rPr>
        <w:t>Water (Indigenous Values and Uses) Direction</w:t>
      </w:r>
      <w:r w:rsidR="00FC0B82">
        <w:rPr>
          <w:rFonts w:ascii="New times roman" w:hAnsi="New times roman"/>
          <w:b/>
          <w:i/>
          <w:u w:val="single"/>
          <w:lang w:eastAsia="ja-JP"/>
        </w:rPr>
        <w:t>)</w:t>
      </w:r>
      <w:r w:rsidRPr="00590FEE">
        <w:rPr>
          <w:rFonts w:ascii="New times roman" w:hAnsi="New times roman"/>
          <w:b/>
          <w:i/>
          <w:u w:val="single"/>
          <w:lang w:eastAsia="ja-JP"/>
        </w:rPr>
        <w:t xml:space="preserve"> 2018</w:t>
      </w:r>
    </w:p>
    <w:p w14:paraId="2C3A3BD0" w14:textId="31BE08F5" w:rsidR="005435BB" w:rsidRPr="00FC0784" w:rsidRDefault="00867A6F" w:rsidP="004D01B7">
      <w:pPr>
        <w:ind w:left="1134" w:hanging="1134"/>
        <w:rPr>
          <w:rFonts w:ascii="New times roman" w:hAnsi="New times roman"/>
          <w:i/>
          <w:lang w:eastAsia="ja-JP"/>
        </w:rPr>
      </w:pPr>
      <w:r>
        <w:rPr>
          <w:rFonts w:ascii="New times roman" w:hAnsi="New times roman"/>
          <w:b/>
          <w:lang w:eastAsia="ja-JP"/>
        </w:rPr>
        <w:t xml:space="preserve">Section </w:t>
      </w:r>
      <w:r w:rsidR="005435BB" w:rsidRPr="00D778C0">
        <w:rPr>
          <w:rFonts w:ascii="New times roman" w:hAnsi="New times roman"/>
          <w:b/>
          <w:lang w:eastAsia="ja-JP"/>
        </w:rPr>
        <w:t>1</w:t>
      </w:r>
      <w:r w:rsidR="00FC0784">
        <w:rPr>
          <w:rFonts w:ascii="New times roman" w:hAnsi="New times roman"/>
          <w:b/>
          <w:i/>
          <w:lang w:eastAsia="ja-JP"/>
        </w:rPr>
        <w:t xml:space="preserve"> </w:t>
      </w:r>
      <w:r w:rsidR="004D01B7">
        <w:rPr>
          <w:rFonts w:ascii="New times roman" w:hAnsi="New times roman"/>
          <w:b/>
          <w:i/>
          <w:lang w:eastAsia="ja-JP"/>
        </w:rPr>
        <w:tab/>
      </w:r>
      <w:r w:rsidR="004D01B7">
        <w:rPr>
          <w:rFonts w:ascii="New times roman" w:hAnsi="New times roman"/>
          <w:b/>
          <w:i/>
          <w:lang w:eastAsia="ja-JP"/>
        </w:rPr>
        <w:tab/>
      </w:r>
      <w:r w:rsidR="00FC0784" w:rsidRPr="004D01B7">
        <w:rPr>
          <w:rFonts w:ascii="New times roman" w:hAnsi="New times roman"/>
          <w:lang w:eastAsia="ja-JP"/>
        </w:rPr>
        <w:t xml:space="preserve">Provides </w:t>
      </w:r>
      <w:r w:rsidR="000E625E">
        <w:rPr>
          <w:rFonts w:ascii="New times roman" w:hAnsi="New times roman"/>
          <w:lang w:eastAsia="ja-JP"/>
        </w:rPr>
        <w:t>that the name of the</w:t>
      </w:r>
      <w:r w:rsidR="004D01B7">
        <w:rPr>
          <w:rFonts w:ascii="New times roman" w:hAnsi="New times roman"/>
          <w:lang w:eastAsia="ja-JP"/>
        </w:rPr>
        <w:t xml:space="preserve"> Direction </w:t>
      </w:r>
      <w:r w:rsidR="000E625E">
        <w:rPr>
          <w:rFonts w:ascii="New times roman" w:hAnsi="New times roman"/>
          <w:lang w:eastAsia="ja-JP"/>
        </w:rPr>
        <w:t xml:space="preserve">is </w:t>
      </w:r>
      <w:r w:rsidR="004D01B7" w:rsidRPr="00CF69B7">
        <w:rPr>
          <w:rFonts w:ascii="New times roman" w:hAnsi="New times roman"/>
          <w:i/>
          <w:lang w:eastAsia="ja-JP"/>
        </w:rPr>
        <w:t>Water (Indigenous Values and Use) Direction 2018</w:t>
      </w:r>
      <w:r w:rsidR="004D01B7">
        <w:rPr>
          <w:rFonts w:ascii="New times roman" w:hAnsi="New times roman"/>
          <w:i/>
          <w:lang w:eastAsia="ja-JP"/>
        </w:rPr>
        <w:t>.</w:t>
      </w:r>
    </w:p>
    <w:p w14:paraId="51155F32" w14:textId="77777777" w:rsidR="005435BB" w:rsidRDefault="00867A6F" w:rsidP="004D01B7">
      <w:pPr>
        <w:ind w:left="1134" w:hanging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b/>
          <w:lang w:eastAsia="ja-JP"/>
        </w:rPr>
        <w:t xml:space="preserve">Section </w:t>
      </w:r>
      <w:r w:rsidR="005435BB" w:rsidRPr="00D778C0">
        <w:rPr>
          <w:rFonts w:ascii="New times roman" w:hAnsi="New times roman"/>
          <w:b/>
          <w:lang w:eastAsia="ja-JP"/>
        </w:rPr>
        <w:t>2</w:t>
      </w:r>
      <w:r w:rsidR="00FC0784" w:rsidRPr="00D778C0">
        <w:rPr>
          <w:rFonts w:ascii="New times roman" w:hAnsi="New times roman"/>
          <w:b/>
          <w:lang w:eastAsia="ja-JP"/>
        </w:rPr>
        <w:t xml:space="preserve"> </w:t>
      </w:r>
      <w:r w:rsidR="004D01B7" w:rsidRPr="00D778C0">
        <w:rPr>
          <w:rFonts w:ascii="New times roman" w:hAnsi="New times roman"/>
          <w:b/>
          <w:lang w:eastAsia="ja-JP"/>
        </w:rPr>
        <w:tab/>
      </w:r>
      <w:r w:rsidR="004D01B7">
        <w:rPr>
          <w:rFonts w:ascii="New times roman" w:hAnsi="New times roman"/>
          <w:lang w:eastAsia="ja-JP"/>
        </w:rPr>
        <w:t xml:space="preserve">Provides that the Direction commences on 1 July 2018. </w:t>
      </w:r>
    </w:p>
    <w:p w14:paraId="3BF1E9B1" w14:textId="77777777" w:rsidR="004D01B7" w:rsidRDefault="00867A6F" w:rsidP="004D01B7">
      <w:pPr>
        <w:ind w:left="1134" w:hanging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b/>
          <w:lang w:eastAsia="ja-JP"/>
        </w:rPr>
        <w:lastRenderedPageBreak/>
        <w:t>Section</w:t>
      </w:r>
      <w:r w:rsidRPr="00D778C0">
        <w:rPr>
          <w:rFonts w:ascii="New times roman" w:hAnsi="New times roman"/>
          <w:b/>
          <w:lang w:eastAsia="ja-JP"/>
        </w:rPr>
        <w:t xml:space="preserve"> </w:t>
      </w:r>
      <w:r w:rsidR="004D01B7" w:rsidRPr="00D778C0">
        <w:rPr>
          <w:rFonts w:ascii="New times roman" w:hAnsi="New times roman"/>
          <w:b/>
          <w:lang w:eastAsia="ja-JP"/>
        </w:rPr>
        <w:t>3</w:t>
      </w:r>
      <w:r w:rsidR="004D01B7">
        <w:rPr>
          <w:rFonts w:ascii="New times roman" w:hAnsi="New times roman"/>
          <w:b/>
          <w:i/>
          <w:lang w:eastAsia="ja-JP"/>
        </w:rPr>
        <w:tab/>
      </w:r>
      <w:r w:rsidR="00F34D2D">
        <w:rPr>
          <w:rFonts w:ascii="New times roman" w:hAnsi="New times roman"/>
          <w:lang w:eastAsia="ja-JP"/>
        </w:rPr>
        <w:t xml:space="preserve">Provides that the </w:t>
      </w:r>
      <w:r w:rsidR="000E625E">
        <w:rPr>
          <w:rFonts w:ascii="New times roman" w:hAnsi="New times roman"/>
          <w:lang w:eastAsia="ja-JP"/>
        </w:rPr>
        <w:t>D</w:t>
      </w:r>
      <w:r w:rsidR="00F34D2D">
        <w:rPr>
          <w:rFonts w:ascii="New times roman" w:hAnsi="New times roman"/>
          <w:lang w:eastAsia="ja-JP"/>
        </w:rPr>
        <w:t>irection</w:t>
      </w:r>
      <w:r w:rsidR="000E625E">
        <w:rPr>
          <w:rFonts w:ascii="New times roman" w:hAnsi="New times roman"/>
          <w:lang w:eastAsia="ja-JP"/>
        </w:rPr>
        <w:t xml:space="preserve"> is</w:t>
      </w:r>
      <w:r w:rsidR="00F34D2D">
        <w:rPr>
          <w:rFonts w:ascii="New times roman" w:hAnsi="New times roman"/>
          <w:lang w:eastAsia="ja-JP"/>
        </w:rPr>
        <w:t xml:space="preserve"> made </w:t>
      </w:r>
      <w:r w:rsidR="000E625E">
        <w:rPr>
          <w:rFonts w:ascii="New times roman" w:hAnsi="New times roman"/>
          <w:lang w:eastAsia="ja-JP"/>
        </w:rPr>
        <w:t>under</w:t>
      </w:r>
      <w:r w:rsidR="00F34D2D">
        <w:rPr>
          <w:rFonts w:ascii="New times roman" w:hAnsi="New times roman"/>
          <w:lang w:eastAsia="ja-JP"/>
        </w:rPr>
        <w:t xml:space="preserve"> section 175 of the Act.</w:t>
      </w:r>
    </w:p>
    <w:p w14:paraId="4A9EEDB0" w14:textId="0D0385FF" w:rsidR="00F34D2D" w:rsidRDefault="00867A6F" w:rsidP="004D01B7">
      <w:pPr>
        <w:ind w:left="1134" w:hanging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b/>
          <w:lang w:eastAsia="ja-JP"/>
        </w:rPr>
        <w:t>Section</w:t>
      </w:r>
      <w:r w:rsidRPr="00D778C0">
        <w:rPr>
          <w:rFonts w:ascii="New times roman" w:hAnsi="New times roman"/>
          <w:b/>
          <w:lang w:eastAsia="ja-JP"/>
        </w:rPr>
        <w:t xml:space="preserve"> </w:t>
      </w:r>
      <w:r w:rsidR="00F34D2D" w:rsidRPr="00D778C0">
        <w:rPr>
          <w:rFonts w:ascii="New times roman" w:hAnsi="New times roman"/>
          <w:b/>
          <w:lang w:eastAsia="ja-JP"/>
        </w:rPr>
        <w:t>4</w:t>
      </w:r>
      <w:r w:rsidR="00F34D2D">
        <w:rPr>
          <w:rFonts w:ascii="New times roman" w:hAnsi="New times roman"/>
          <w:b/>
          <w:i/>
          <w:lang w:eastAsia="ja-JP"/>
        </w:rPr>
        <w:tab/>
      </w:r>
      <w:r>
        <w:rPr>
          <w:rFonts w:ascii="New times roman" w:hAnsi="New times roman"/>
          <w:lang w:eastAsia="ja-JP"/>
        </w:rPr>
        <w:t>Provides</w:t>
      </w:r>
      <w:r w:rsidR="006E500B">
        <w:rPr>
          <w:rFonts w:ascii="New times roman" w:hAnsi="New times roman"/>
          <w:lang w:eastAsia="ja-JP"/>
        </w:rPr>
        <w:t xml:space="preserve"> that a number of expressions used in the instrument are defined in section 4 of the Act, including “</w:t>
      </w:r>
      <w:r w:rsidR="004101EA">
        <w:rPr>
          <w:rFonts w:ascii="New times roman" w:hAnsi="New times roman"/>
          <w:lang w:eastAsia="ja-JP"/>
        </w:rPr>
        <w:t>A</w:t>
      </w:r>
      <w:r w:rsidR="006E500B">
        <w:rPr>
          <w:rFonts w:ascii="New times roman" w:hAnsi="New times roman"/>
          <w:lang w:eastAsia="ja-JP"/>
        </w:rPr>
        <w:t>uthority”, “Basin Plan”, “environmental watering”, “held environmental water”, “Indigenous Person” and “</w:t>
      </w:r>
      <w:r w:rsidR="004101EA">
        <w:rPr>
          <w:rFonts w:ascii="New times roman" w:hAnsi="New times roman"/>
          <w:lang w:eastAsia="ja-JP"/>
        </w:rPr>
        <w:t>Murray-Darling Basin</w:t>
      </w:r>
      <w:r w:rsidR="006E500B">
        <w:rPr>
          <w:rFonts w:ascii="New times roman" w:hAnsi="New times roman"/>
          <w:lang w:eastAsia="ja-JP"/>
        </w:rPr>
        <w:t>”.</w:t>
      </w:r>
      <w:r w:rsidR="000550D5">
        <w:rPr>
          <w:rFonts w:ascii="New times roman" w:hAnsi="New times roman"/>
          <w:lang w:eastAsia="ja-JP"/>
        </w:rPr>
        <w:t xml:space="preserve"> The section further provides that “Indigenous uses” has the meaning given by section 10.52 of the Basin Plan</w:t>
      </w:r>
      <w:r w:rsidR="004101EA">
        <w:rPr>
          <w:rFonts w:ascii="New times roman" w:hAnsi="New times roman"/>
          <w:lang w:eastAsia="ja-JP"/>
        </w:rPr>
        <w:t>,</w:t>
      </w:r>
      <w:r w:rsidR="000550D5">
        <w:rPr>
          <w:rFonts w:ascii="New times roman" w:hAnsi="New times roman"/>
          <w:lang w:eastAsia="ja-JP"/>
        </w:rPr>
        <w:t xml:space="preserve"> that “Indigenous values” has the meaning given by section 10.52 of the Basin Plan</w:t>
      </w:r>
      <w:r w:rsidR="004101EA">
        <w:rPr>
          <w:rFonts w:ascii="New times roman" w:hAnsi="New times roman"/>
          <w:lang w:eastAsia="ja-JP"/>
        </w:rPr>
        <w:t xml:space="preserve"> and that “water accounting period” has the meaning given by section 3.08 of the Basin Plan</w:t>
      </w:r>
      <w:r w:rsidR="000550D5">
        <w:rPr>
          <w:rFonts w:ascii="New times roman" w:hAnsi="New times roman"/>
          <w:lang w:eastAsia="ja-JP"/>
        </w:rPr>
        <w:t xml:space="preserve">. </w:t>
      </w:r>
      <w:r w:rsidR="00C656E1">
        <w:rPr>
          <w:rFonts w:ascii="New times roman" w:hAnsi="New times roman"/>
          <w:lang w:eastAsia="ja-JP"/>
        </w:rPr>
        <w:t>The definitions are provided below.</w:t>
      </w:r>
    </w:p>
    <w:p w14:paraId="4E11503A" w14:textId="2869AAD2" w:rsidR="0069203A" w:rsidRPr="0069203A" w:rsidRDefault="0069203A" w:rsidP="00D35A67">
      <w:pPr>
        <w:ind w:left="1134"/>
        <w:rPr>
          <w:rFonts w:ascii="New times roman" w:hAnsi="New times roman"/>
          <w:lang w:eastAsia="ja-JP"/>
        </w:rPr>
      </w:pPr>
      <w:r w:rsidRPr="00996400">
        <w:rPr>
          <w:rFonts w:ascii="New times roman" w:hAnsi="New times roman"/>
          <w:b/>
          <w:i/>
        </w:rPr>
        <w:t>Authority</w:t>
      </w:r>
      <w:r w:rsidR="00B3251E" w:rsidRPr="00996400">
        <w:rPr>
          <w:rFonts w:ascii="New times roman" w:hAnsi="New times roman"/>
          <w:b/>
          <w:i/>
        </w:rPr>
        <w:t xml:space="preserve"> </w:t>
      </w:r>
      <w:r w:rsidR="00B3251E" w:rsidRPr="00D35A67">
        <w:rPr>
          <w:rFonts w:ascii="New times roman" w:hAnsi="New times roman"/>
          <w:lang w:eastAsia="ja-JP"/>
        </w:rPr>
        <w:t>has t</w:t>
      </w:r>
      <w:r w:rsidR="00B3251E" w:rsidRPr="00B3251E">
        <w:rPr>
          <w:rFonts w:ascii="New times roman" w:hAnsi="New times roman"/>
          <w:lang w:eastAsia="ja-JP"/>
        </w:rPr>
        <w:t xml:space="preserve">he meaning given by section 18A. </w:t>
      </w:r>
      <w:r w:rsidR="004E7C13">
        <w:rPr>
          <w:rFonts w:ascii="New times roman" w:hAnsi="New times roman"/>
          <w:lang w:eastAsia="ja-JP"/>
        </w:rPr>
        <w:t xml:space="preserve">Section 18A </w:t>
      </w:r>
      <w:r w:rsidR="00C95743">
        <w:rPr>
          <w:rFonts w:ascii="New times roman" w:hAnsi="New times roman"/>
          <w:lang w:eastAsia="ja-JP"/>
        </w:rPr>
        <w:t xml:space="preserve">of the Act </w:t>
      </w:r>
      <w:r w:rsidR="004E7C13">
        <w:rPr>
          <w:rFonts w:ascii="New times roman" w:hAnsi="New times roman"/>
          <w:lang w:eastAsia="ja-JP"/>
        </w:rPr>
        <w:t>provides t</w:t>
      </w:r>
      <w:r w:rsidR="004E7C13" w:rsidRPr="00B3251E">
        <w:rPr>
          <w:rFonts w:ascii="New times roman" w:hAnsi="New times roman"/>
          <w:lang w:eastAsia="ja-JP"/>
        </w:rPr>
        <w:t xml:space="preserve">hat </w:t>
      </w:r>
      <w:r w:rsidR="00C656E1">
        <w:rPr>
          <w:rFonts w:ascii="New times roman" w:hAnsi="New times roman"/>
          <w:lang w:eastAsia="ja-JP"/>
        </w:rPr>
        <w:t xml:space="preserve">the </w:t>
      </w:r>
      <w:r w:rsidR="00B3251E" w:rsidRPr="00B3251E">
        <w:rPr>
          <w:rFonts w:ascii="New times roman" w:hAnsi="New times roman"/>
          <w:lang w:eastAsia="ja-JP"/>
        </w:rPr>
        <w:t xml:space="preserve">Authority means </w:t>
      </w:r>
      <w:r w:rsidRPr="00D35A67">
        <w:rPr>
          <w:rFonts w:ascii="New times roman" w:hAnsi="New times roman"/>
        </w:rPr>
        <w:t>the Murray</w:t>
      </w:r>
      <w:r w:rsidRPr="00D35A67">
        <w:rPr>
          <w:rFonts w:ascii="New times roman" w:hAnsi="New times roman"/>
        </w:rPr>
        <w:noBreakHyphen/>
        <w:t>Darling Basin Authority established by section</w:t>
      </w:r>
      <w:r w:rsidRPr="00D35A67">
        <w:rPr>
          <w:rFonts w:ascii="New times roman" w:hAnsi="New times roman" w:hint="eastAsia"/>
        </w:rPr>
        <w:t> </w:t>
      </w:r>
      <w:r w:rsidRPr="00D35A67">
        <w:rPr>
          <w:rFonts w:ascii="New times roman" w:hAnsi="New times roman"/>
        </w:rPr>
        <w:t>171</w:t>
      </w:r>
      <w:r w:rsidR="004E7C13">
        <w:rPr>
          <w:rFonts w:ascii="New times roman" w:hAnsi="New times roman"/>
        </w:rPr>
        <w:t xml:space="preserve"> of the Act</w:t>
      </w:r>
      <w:r w:rsidRPr="00D35A67">
        <w:rPr>
          <w:rFonts w:ascii="New times roman" w:hAnsi="New times roman"/>
        </w:rPr>
        <w:t>.</w:t>
      </w:r>
    </w:p>
    <w:p w14:paraId="093FB25E" w14:textId="77777777" w:rsidR="0069203A" w:rsidRPr="0069203A" w:rsidRDefault="0069203A" w:rsidP="00D35A67">
      <w:pPr>
        <w:ind w:left="1134"/>
        <w:rPr>
          <w:rFonts w:ascii="New times roman" w:hAnsi="New times roman"/>
          <w:lang w:eastAsia="ja-JP"/>
        </w:rPr>
      </w:pPr>
      <w:r w:rsidRPr="00996400">
        <w:rPr>
          <w:rFonts w:ascii="New times roman" w:hAnsi="New times roman"/>
          <w:b/>
          <w:i/>
        </w:rPr>
        <w:t>Basin Plan</w:t>
      </w:r>
      <w:r w:rsidR="00B3251E">
        <w:rPr>
          <w:rFonts w:ascii="New times roman" w:hAnsi="New times roman"/>
          <w:b/>
          <w:lang w:eastAsia="ja-JP"/>
        </w:rPr>
        <w:t xml:space="preserve"> </w:t>
      </w:r>
      <w:r w:rsidRPr="00D35A67">
        <w:rPr>
          <w:rFonts w:ascii="New times roman" w:hAnsi="New times roman"/>
        </w:rPr>
        <w:t>means the Basin Plan adopted by the Minister under sect</w:t>
      </w:r>
      <w:r w:rsidR="006904B8" w:rsidRPr="006904B8">
        <w:rPr>
          <w:rFonts w:ascii="New times roman" w:hAnsi="New times roman"/>
        </w:rPr>
        <w:t xml:space="preserve">ion 44 (as amended from time to </w:t>
      </w:r>
      <w:r w:rsidRPr="00D35A67">
        <w:rPr>
          <w:rFonts w:ascii="New times roman" w:hAnsi="New times roman"/>
        </w:rPr>
        <w:t>time).</w:t>
      </w:r>
    </w:p>
    <w:p w14:paraId="6BAA65D6" w14:textId="1C6965DE" w:rsidR="0069203A" w:rsidRPr="0069203A" w:rsidRDefault="004E7C13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b/>
          <w:i/>
          <w:lang w:eastAsia="ja-JP"/>
        </w:rPr>
        <w:t>e</w:t>
      </w:r>
      <w:r w:rsidRPr="00341DC5">
        <w:rPr>
          <w:rFonts w:ascii="New times roman" w:hAnsi="New times roman"/>
          <w:b/>
          <w:i/>
          <w:lang w:eastAsia="ja-JP"/>
        </w:rPr>
        <w:t>nvironmental</w:t>
      </w:r>
      <w:r w:rsidRPr="00996400">
        <w:rPr>
          <w:rFonts w:ascii="New times roman" w:hAnsi="New times roman"/>
          <w:b/>
          <w:i/>
        </w:rPr>
        <w:t xml:space="preserve"> </w:t>
      </w:r>
      <w:r w:rsidR="0069203A" w:rsidRPr="00996400">
        <w:rPr>
          <w:rFonts w:ascii="New times roman" w:hAnsi="New times roman"/>
          <w:b/>
          <w:i/>
        </w:rPr>
        <w:t>watering</w:t>
      </w:r>
      <w:r w:rsidR="00B3251E">
        <w:rPr>
          <w:rFonts w:ascii="New times roman" w:hAnsi="New times roman"/>
          <w:b/>
          <w:lang w:eastAsia="ja-JP"/>
        </w:rPr>
        <w:t xml:space="preserve"> </w:t>
      </w:r>
      <w:r w:rsidR="004F2119" w:rsidRPr="0069203A">
        <w:rPr>
          <w:rFonts w:ascii="New times roman" w:hAnsi="New times roman"/>
          <w:lang w:eastAsia="ja-JP"/>
        </w:rPr>
        <w:t>means</w:t>
      </w:r>
      <w:r w:rsidR="0069203A">
        <w:rPr>
          <w:rFonts w:ascii="New times roman" w:hAnsi="New times roman"/>
          <w:lang w:eastAsia="ja-JP"/>
        </w:rPr>
        <w:t xml:space="preserve"> </w:t>
      </w:r>
      <w:r w:rsidR="0069203A" w:rsidRPr="0069203A">
        <w:rPr>
          <w:rFonts w:ascii="New times roman" w:hAnsi="New times roman"/>
          <w:lang w:eastAsia="ja-JP"/>
        </w:rPr>
        <w:t>the delivery or use of environmental water to achieve environmental outcomes.</w:t>
      </w:r>
      <w:r>
        <w:rPr>
          <w:rFonts w:ascii="New times roman" w:hAnsi="New times roman"/>
          <w:lang w:eastAsia="ja-JP"/>
        </w:rPr>
        <w:t xml:space="preserve"> </w:t>
      </w:r>
      <w:r w:rsidR="000807A4">
        <w:rPr>
          <w:rFonts w:ascii="New times roman" w:hAnsi="New times roman"/>
          <w:lang w:eastAsia="ja-JP"/>
        </w:rPr>
        <w:t>The terms ‘</w:t>
      </w:r>
      <w:r w:rsidRPr="000807A4">
        <w:rPr>
          <w:rFonts w:ascii="New times roman" w:hAnsi="New times roman"/>
          <w:lang w:eastAsia="ja-JP"/>
        </w:rPr>
        <w:t>environmental water</w:t>
      </w:r>
      <w:r w:rsidR="000807A4">
        <w:rPr>
          <w:rFonts w:ascii="New times roman" w:hAnsi="New times roman"/>
          <w:lang w:eastAsia="ja-JP"/>
        </w:rPr>
        <w:t>’</w:t>
      </w:r>
      <w:r>
        <w:rPr>
          <w:rFonts w:ascii="New times roman" w:hAnsi="New times roman"/>
          <w:lang w:eastAsia="ja-JP"/>
        </w:rPr>
        <w:t xml:space="preserve"> and </w:t>
      </w:r>
      <w:r w:rsidR="000807A4">
        <w:rPr>
          <w:rFonts w:ascii="New times roman" w:hAnsi="New times roman"/>
          <w:lang w:eastAsia="ja-JP"/>
        </w:rPr>
        <w:t>‘</w:t>
      </w:r>
      <w:r>
        <w:rPr>
          <w:rFonts w:ascii="New times roman" w:hAnsi="New times roman"/>
          <w:lang w:eastAsia="ja-JP"/>
        </w:rPr>
        <w:t>environmental outcomes</w:t>
      </w:r>
      <w:r w:rsidR="000807A4">
        <w:rPr>
          <w:rFonts w:ascii="New times roman" w:hAnsi="New times roman"/>
          <w:lang w:eastAsia="ja-JP"/>
        </w:rPr>
        <w:t>’</w:t>
      </w:r>
      <w:r>
        <w:rPr>
          <w:rFonts w:ascii="New times roman" w:hAnsi="New times roman"/>
          <w:lang w:eastAsia="ja-JP"/>
        </w:rPr>
        <w:t xml:space="preserve"> </w:t>
      </w:r>
      <w:r w:rsidR="000807A4">
        <w:rPr>
          <w:rFonts w:ascii="New times roman" w:hAnsi="New times roman"/>
          <w:lang w:eastAsia="ja-JP"/>
        </w:rPr>
        <w:t>are</w:t>
      </w:r>
      <w:r>
        <w:rPr>
          <w:rFonts w:ascii="New times roman" w:hAnsi="New times roman"/>
          <w:lang w:eastAsia="ja-JP"/>
        </w:rPr>
        <w:t xml:space="preserve"> defined in </w:t>
      </w:r>
      <w:r w:rsidR="000807A4">
        <w:rPr>
          <w:rFonts w:ascii="New times roman" w:hAnsi="New times roman"/>
          <w:lang w:eastAsia="ja-JP"/>
        </w:rPr>
        <w:t xml:space="preserve">section 4 of </w:t>
      </w:r>
      <w:r>
        <w:rPr>
          <w:rFonts w:ascii="New times roman" w:hAnsi="New times roman"/>
          <w:lang w:eastAsia="ja-JP"/>
        </w:rPr>
        <w:t>the Act</w:t>
      </w:r>
      <w:r w:rsidR="000807A4">
        <w:rPr>
          <w:rFonts w:ascii="New times roman" w:hAnsi="New times roman"/>
          <w:lang w:eastAsia="ja-JP"/>
        </w:rPr>
        <w:t>.</w:t>
      </w:r>
    </w:p>
    <w:p w14:paraId="0311AA99" w14:textId="1275C274" w:rsidR="004E7C13" w:rsidRDefault="004E7C13" w:rsidP="00D35A67">
      <w:pPr>
        <w:ind w:left="1134"/>
        <w:rPr>
          <w:rFonts w:ascii="New times roman" w:hAnsi="New times roman"/>
          <w:lang w:eastAsia="ja-JP"/>
        </w:rPr>
      </w:pPr>
      <w:r w:rsidRPr="00341DC5">
        <w:rPr>
          <w:rFonts w:ascii="New times roman" w:hAnsi="New times roman"/>
          <w:b/>
          <w:i/>
          <w:lang w:eastAsia="ja-JP"/>
        </w:rPr>
        <w:t>held</w:t>
      </w:r>
      <w:r w:rsidRPr="00996400">
        <w:rPr>
          <w:rFonts w:ascii="New times roman" w:hAnsi="New times roman"/>
          <w:b/>
          <w:i/>
        </w:rPr>
        <w:t xml:space="preserve"> </w:t>
      </w:r>
      <w:r w:rsidR="0069203A" w:rsidRPr="00996400">
        <w:rPr>
          <w:rFonts w:ascii="New times roman" w:hAnsi="New times roman"/>
          <w:b/>
          <w:i/>
        </w:rPr>
        <w:t>environmental water</w:t>
      </w:r>
      <w:r w:rsidR="004F2119">
        <w:rPr>
          <w:rFonts w:ascii="New times roman" w:hAnsi="New times roman"/>
          <w:b/>
          <w:lang w:eastAsia="ja-JP"/>
        </w:rPr>
        <w:t xml:space="preserve"> </w:t>
      </w:r>
      <w:r w:rsidR="0069203A">
        <w:rPr>
          <w:rFonts w:ascii="New times roman" w:hAnsi="New times roman"/>
          <w:lang w:eastAsia="ja-JP"/>
        </w:rPr>
        <w:t>means water available under:</w:t>
      </w:r>
      <w:r w:rsidR="00680C23">
        <w:rPr>
          <w:rFonts w:ascii="New times roman" w:hAnsi="New times roman"/>
          <w:lang w:eastAsia="ja-JP"/>
        </w:rPr>
        <w:t xml:space="preserve"> </w:t>
      </w:r>
    </w:p>
    <w:p w14:paraId="57CA59C4" w14:textId="77777777" w:rsidR="004E7C13" w:rsidRDefault="00680C23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>(a) a water access right; or</w:t>
      </w:r>
      <w:r w:rsidR="0069203A" w:rsidRPr="0069203A">
        <w:rPr>
          <w:rFonts w:ascii="New times roman" w:hAnsi="New times roman"/>
          <w:lang w:eastAsia="ja-JP"/>
        </w:rPr>
        <w:t xml:space="preserve"> </w:t>
      </w:r>
    </w:p>
    <w:p w14:paraId="08E2982A" w14:textId="77777777" w:rsidR="004E7C13" w:rsidRDefault="00680C23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(b) </w:t>
      </w:r>
      <w:r w:rsidR="0069203A">
        <w:rPr>
          <w:rFonts w:ascii="New times roman" w:hAnsi="New times roman"/>
          <w:lang w:eastAsia="ja-JP"/>
        </w:rPr>
        <w:t>a water delivery right; or</w:t>
      </w:r>
      <w:r>
        <w:rPr>
          <w:rFonts w:ascii="New times roman" w:hAnsi="New times roman"/>
          <w:lang w:eastAsia="ja-JP"/>
        </w:rPr>
        <w:t xml:space="preserve"> </w:t>
      </w:r>
    </w:p>
    <w:p w14:paraId="77F43335" w14:textId="4AB19696" w:rsidR="0069203A" w:rsidRDefault="00680C23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>(c) an irrigation right</w:t>
      </w:r>
    </w:p>
    <w:p w14:paraId="6E5D820B" w14:textId="77777777" w:rsidR="004E7C13" w:rsidRPr="0069203A" w:rsidRDefault="004E7C13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>for the purposes of achieving environmental outcomes (including water that is specified in a water access right to be for environmental use)</w:t>
      </w:r>
    </w:p>
    <w:p w14:paraId="1452E1B3" w14:textId="77777777" w:rsidR="004E7C13" w:rsidRDefault="0069203A" w:rsidP="00D35A67">
      <w:pPr>
        <w:ind w:left="1134"/>
        <w:rPr>
          <w:rFonts w:ascii="New times roman" w:hAnsi="New times roman"/>
          <w:lang w:eastAsia="ja-JP"/>
        </w:rPr>
      </w:pPr>
      <w:r w:rsidRPr="00996400">
        <w:rPr>
          <w:rFonts w:ascii="New times roman" w:hAnsi="New times roman"/>
          <w:b/>
          <w:i/>
        </w:rPr>
        <w:t>Indigenous person</w:t>
      </w:r>
      <w:r w:rsidR="00C9020D">
        <w:rPr>
          <w:rFonts w:ascii="New times roman" w:hAnsi="New times roman"/>
          <w:b/>
          <w:lang w:eastAsia="ja-JP"/>
        </w:rPr>
        <w:t xml:space="preserve"> </w:t>
      </w:r>
      <w:r>
        <w:rPr>
          <w:rFonts w:ascii="New times roman" w:hAnsi="New times roman"/>
          <w:lang w:eastAsia="ja-JP"/>
        </w:rPr>
        <w:t>means a perso</w:t>
      </w:r>
      <w:r w:rsidR="00C9020D">
        <w:rPr>
          <w:rFonts w:ascii="New times roman" w:hAnsi="New times roman"/>
          <w:lang w:eastAsia="ja-JP"/>
        </w:rPr>
        <w:t xml:space="preserve">n who is: </w:t>
      </w:r>
    </w:p>
    <w:p w14:paraId="4AA953B0" w14:textId="77777777" w:rsidR="004E7C13" w:rsidRDefault="00DA23F3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(a) </w:t>
      </w:r>
      <w:r w:rsidR="0069203A" w:rsidRPr="0069203A">
        <w:rPr>
          <w:rFonts w:ascii="New times roman" w:hAnsi="New times roman"/>
          <w:lang w:eastAsia="ja-JP"/>
        </w:rPr>
        <w:t xml:space="preserve">a member of the Aboriginal </w:t>
      </w:r>
      <w:r w:rsidR="0069203A">
        <w:rPr>
          <w:rFonts w:ascii="New times roman" w:hAnsi="New times roman"/>
          <w:lang w:eastAsia="ja-JP"/>
        </w:rPr>
        <w:t>race of Australia; or</w:t>
      </w:r>
      <w:r w:rsidR="00C9020D">
        <w:rPr>
          <w:rFonts w:ascii="New times roman" w:hAnsi="New times roman"/>
          <w:lang w:eastAsia="ja-JP"/>
        </w:rPr>
        <w:t xml:space="preserve"> </w:t>
      </w:r>
    </w:p>
    <w:p w14:paraId="5CFC6199" w14:textId="77777777" w:rsidR="0069203A" w:rsidRDefault="00C9020D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lang w:eastAsia="ja-JP"/>
        </w:rPr>
        <w:t xml:space="preserve">(b) </w:t>
      </w:r>
      <w:r w:rsidR="0069203A" w:rsidRPr="0069203A">
        <w:rPr>
          <w:rFonts w:ascii="New times roman" w:hAnsi="New times roman"/>
          <w:lang w:eastAsia="ja-JP"/>
        </w:rPr>
        <w:t>a descendant of an Indigenous inhabitant of the Torres Strait Islands</w:t>
      </w:r>
      <w:r>
        <w:rPr>
          <w:rFonts w:ascii="New times roman" w:hAnsi="New times roman"/>
          <w:lang w:eastAsia="ja-JP"/>
        </w:rPr>
        <w:t>.</w:t>
      </w:r>
    </w:p>
    <w:p w14:paraId="5939228A" w14:textId="77777777" w:rsidR="004E7C13" w:rsidRDefault="004E7C13" w:rsidP="004E7C13">
      <w:pPr>
        <w:ind w:left="1134"/>
        <w:rPr>
          <w:rFonts w:ascii="New times roman" w:hAnsi="New times roman"/>
          <w:lang w:eastAsia="ja-JP"/>
        </w:rPr>
      </w:pPr>
      <w:r w:rsidRPr="00996400">
        <w:rPr>
          <w:rFonts w:ascii="New times roman" w:hAnsi="New times roman"/>
          <w:b/>
          <w:i/>
        </w:rPr>
        <w:t>Indigenous uses</w:t>
      </w:r>
      <w:r>
        <w:rPr>
          <w:rFonts w:ascii="New times roman" w:hAnsi="New times roman"/>
          <w:b/>
          <w:lang w:eastAsia="ja-JP"/>
        </w:rPr>
        <w:t xml:space="preserve"> </w:t>
      </w:r>
      <w:r>
        <w:rPr>
          <w:rFonts w:ascii="New times roman" w:hAnsi="New times roman"/>
          <w:lang w:eastAsia="ja-JP"/>
        </w:rPr>
        <w:t xml:space="preserve">means </w:t>
      </w:r>
      <w:r w:rsidRPr="006904B8">
        <w:rPr>
          <w:rFonts w:ascii="New times roman" w:hAnsi="New times roman"/>
          <w:lang w:eastAsia="ja-JP"/>
        </w:rPr>
        <w:t>the social, spiritual and cultural uses of the water resources of the water resource plan area by Indigenous people</w:t>
      </w:r>
    </w:p>
    <w:p w14:paraId="0F0309B8" w14:textId="1EC302BD" w:rsidR="004E7C13" w:rsidRPr="0069203A" w:rsidRDefault="004E7C13" w:rsidP="00D35A67">
      <w:pPr>
        <w:ind w:left="1134"/>
        <w:rPr>
          <w:rFonts w:ascii="New times roman" w:hAnsi="New times roman"/>
          <w:lang w:eastAsia="ja-JP"/>
        </w:rPr>
      </w:pPr>
      <w:r w:rsidRPr="00996400">
        <w:rPr>
          <w:rFonts w:ascii="New times roman" w:hAnsi="New times roman"/>
          <w:b/>
          <w:i/>
        </w:rPr>
        <w:t>Indigenous values</w:t>
      </w:r>
      <w:r>
        <w:rPr>
          <w:rFonts w:ascii="New times roman" w:hAnsi="New times roman"/>
          <w:b/>
          <w:lang w:eastAsia="ja-JP"/>
        </w:rPr>
        <w:t xml:space="preserve"> </w:t>
      </w:r>
      <w:r>
        <w:rPr>
          <w:rFonts w:ascii="New times roman" w:hAnsi="New times roman"/>
          <w:lang w:eastAsia="ja-JP"/>
        </w:rPr>
        <w:t xml:space="preserve">means </w:t>
      </w:r>
      <w:r w:rsidRPr="006904B8">
        <w:rPr>
          <w:rFonts w:ascii="New times roman" w:hAnsi="New times roman"/>
          <w:lang w:eastAsia="ja-JP"/>
        </w:rPr>
        <w:t>the social, spiritual and cultural values of Indigenous people that relate to the water resources of the water resource plan area</w:t>
      </w:r>
    </w:p>
    <w:p w14:paraId="34BD7114" w14:textId="2904F72C" w:rsidR="004101EA" w:rsidRPr="004101EA" w:rsidRDefault="004101EA" w:rsidP="00D35A67">
      <w:pPr>
        <w:ind w:left="1134"/>
        <w:rPr>
          <w:rFonts w:ascii="New times roman" w:hAnsi="New times roman"/>
          <w:lang w:eastAsia="ja-JP"/>
        </w:rPr>
      </w:pPr>
      <w:r w:rsidRPr="00341DC5">
        <w:rPr>
          <w:rFonts w:ascii="New times roman" w:hAnsi="New times roman"/>
          <w:b/>
          <w:i/>
          <w:lang w:eastAsia="ja-JP"/>
        </w:rPr>
        <w:t>Murray-Darling Basin</w:t>
      </w:r>
      <w:r>
        <w:rPr>
          <w:rFonts w:ascii="New times roman" w:hAnsi="New times roman"/>
          <w:b/>
          <w:lang w:eastAsia="ja-JP"/>
        </w:rPr>
        <w:t xml:space="preserve"> </w:t>
      </w:r>
      <w:r>
        <w:rPr>
          <w:rFonts w:ascii="New times roman" w:hAnsi="New times roman"/>
          <w:lang w:eastAsia="ja-JP"/>
        </w:rPr>
        <w:t>has the meaning given by section 18A</w:t>
      </w:r>
      <w:r w:rsidR="00C95743">
        <w:rPr>
          <w:rFonts w:ascii="New times roman" w:hAnsi="New times roman"/>
          <w:lang w:eastAsia="ja-JP"/>
        </w:rPr>
        <w:t>.</w:t>
      </w:r>
      <w:r>
        <w:rPr>
          <w:rFonts w:ascii="New times roman" w:hAnsi="New times roman"/>
          <w:lang w:eastAsia="ja-JP"/>
        </w:rPr>
        <w:t xml:space="preserve"> </w:t>
      </w:r>
      <w:r w:rsidR="00C95743">
        <w:rPr>
          <w:rFonts w:ascii="New times roman" w:hAnsi="New times roman"/>
          <w:lang w:eastAsia="ja-JP"/>
        </w:rPr>
        <w:t xml:space="preserve">Section 18A </w:t>
      </w:r>
      <w:r>
        <w:rPr>
          <w:rFonts w:ascii="New times roman" w:hAnsi="New times roman"/>
          <w:lang w:eastAsia="ja-JP"/>
        </w:rPr>
        <w:t>of the Act</w:t>
      </w:r>
      <w:r w:rsidR="00C95743">
        <w:rPr>
          <w:rFonts w:ascii="New times roman" w:hAnsi="New times roman"/>
          <w:lang w:eastAsia="ja-JP"/>
        </w:rPr>
        <w:t xml:space="preserve"> provides that the Murray-Darling Basin means </w:t>
      </w:r>
      <w:r>
        <w:rPr>
          <w:rFonts w:ascii="New times roman" w:hAnsi="New times roman"/>
          <w:lang w:eastAsia="ja-JP"/>
        </w:rPr>
        <w:t xml:space="preserve">the area falling within the boundary described in </w:t>
      </w:r>
      <w:r w:rsidR="00C95743">
        <w:rPr>
          <w:rFonts w:ascii="New times roman" w:hAnsi="New times roman"/>
          <w:lang w:eastAsia="ja-JP"/>
        </w:rPr>
        <w:t>a particular</w:t>
      </w:r>
      <w:r>
        <w:rPr>
          <w:rFonts w:ascii="New times roman" w:hAnsi="New times roman"/>
          <w:lang w:eastAsia="ja-JP"/>
        </w:rPr>
        <w:t xml:space="preserve"> dataset that is</w:t>
      </w:r>
      <w:r w:rsidR="00CB5BD0">
        <w:rPr>
          <w:rFonts w:ascii="New times roman" w:hAnsi="New times roman"/>
          <w:lang w:eastAsia="ja-JP"/>
        </w:rPr>
        <w:t xml:space="preserve"> held by the Commonwealth</w:t>
      </w:r>
      <w:r>
        <w:rPr>
          <w:rFonts w:ascii="New times roman" w:hAnsi="New times roman"/>
          <w:i/>
          <w:lang w:eastAsia="ja-JP"/>
        </w:rPr>
        <w:t xml:space="preserve">. </w:t>
      </w:r>
    </w:p>
    <w:p w14:paraId="62A7D745" w14:textId="3E8B23C2" w:rsidR="00E5685D" w:rsidRPr="0069203A" w:rsidRDefault="000807A4" w:rsidP="00D35A67">
      <w:pPr>
        <w:ind w:left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b/>
          <w:i/>
          <w:lang w:eastAsia="ja-JP"/>
        </w:rPr>
        <w:t>w</w:t>
      </w:r>
      <w:r w:rsidRPr="00341DC5">
        <w:rPr>
          <w:rFonts w:ascii="New times roman" w:hAnsi="New times roman"/>
          <w:b/>
          <w:i/>
          <w:lang w:eastAsia="ja-JP"/>
        </w:rPr>
        <w:t xml:space="preserve">ater </w:t>
      </w:r>
      <w:r w:rsidR="0069203A" w:rsidRPr="00341DC5">
        <w:rPr>
          <w:rFonts w:ascii="New times roman" w:hAnsi="New times roman"/>
          <w:b/>
          <w:i/>
          <w:lang w:eastAsia="ja-JP"/>
        </w:rPr>
        <w:t>accounting period</w:t>
      </w:r>
      <w:r w:rsidR="00C9020D" w:rsidRPr="00D35A67">
        <w:rPr>
          <w:rFonts w:ascii="New times roman" w:hAnsi="New times roman"/>
          <w:b/>
          <w:lang w:eastAsia="ja-JP"/>
        </w:rPr>
        <w:t xml:space="preserve"> </w:t>
      </w:r>
      <w:r w:rsidR="00B3251E">
        <w:rPr>
          <w:rFonts w:ascii="New times roman" w:hAnsi="New times roman"/>
          <w:lang w:eastAsia="ja-JP"/>
        </w:rPr>
        <w:t xml:space="preserve"> </w:t>
      </w:r>
      <w:r>
        <w:rPr>
          <w:rFonts w:ascii="New times roman" w:hAnsi="New times roman"/>
          <w:lang w:eastAsia="ja-JP"/>
        </w:rPr>
        <w:t>under s 3.08 of the Basin Plan is defined in the following way: ‘T</w:t>
      </w:r>
      <w:r w:rsidRPr="00B3251E">
        <w:rPr>
          <w:rFonts w:ascii="New times roman" w:hAnsi="New times roman"/>
          <w:lang w:eastAsia="ja-JP"/>
        </w:rPr>
        <w:t xml:space="preserve">he </w:t>
      </w:r>
      <w:r w:rsidR="00B3251E" w:rsidRPr="00341DC5">
        <w:rPr>
          <w:rFonts w:ascii="New times roman" w:hAnsi="New times roman"/>
          <w:b/>
          <w:i/>
          <w:lang w:eastAsia="ja-JP"/>
        </w:rPr>
        <w:t>water accounting period</w:t>
      </w:r>
      <w:r w:rsidR="00B3251E" w:rsidRPr="00B3251E">
        <w:rPr>
          <w:rFonts w:ascii="New times roman" w:hAnsi="New times roman"/>
          <w:lang w:eastAsia="ja-JP"/>
        </w:rPr>
        <w:t xml:space="preserve"> for each water resource plan area is a financial year.</w:t>
      </w:r>
      <w:r>
        <w:rPr>
          <w:rFonts w:ascii="New times roman" w:hAnsi="New times roman"/>
          <w:lang w:eastAsia="ja-JP"/>
        </w:rPr>
        <w:t>’</w:t>
      </w:r>
    </w:p>
    <w:p w14:paraId="0CE5C66B" w14:textId="77777777" w:rsidR="006904B8" w:rsidRDefault="006904B8" w:rsidP="004D01B7">
      <w:pPr>
        <w:ind w:left="1134" w:hanging="1134"/>
        <w:rPr>
          <w:rFonts w:ascii="New times roman" w:hAnsi="New times roman"/>
          <w:lang w:eastAsia="ja-JP"/>
        </w:rPr>
      </w:pPr>
    </w:p>
    <w:p w14:paraId="65F9A2ED" w14:textId="1485AA78" w:rsidR="00711C4C" w:rsidRPr="00F34D2D" w:rsidRDefault="00867A6F" w:rsidP="00984332">
      <w:pPr>
        <w:ind w:left="1134" w:hanging="1134"/>
        <w:rPr>
          <w:rFonts w:ascii="New times roman" w:hAnsi="New times roman"/>
          <w:lang w:eastAsia="ja-JP"/>
        </w:rPr>
      </w:pPr>
      <w:r>
        <w:rPr>
          <w:rFonts w:ascii="New times roman" w:hAnsi="New times roman"/>
          <w:b/>
          <w:lang w:eastAsia="ja-JP"/>
        </w:rPr>
        <w:t>Section</w:t>
      </w:r>
      <w:r w:rsidRPr="00D778C0">
        <w:rPr>
          <w:rFonts w:ascii="New times roman" w:hAnsi="New times roman"/>
          <w:b/>
          <w:lang w:eastAsia="ja-JP"/>
        </w:rPr>
        <w:t xml:space="preserve"> </w:t>
      </w:r>
      <w:r w:rsidR="00285E83" w:rsidRPr="00D778C0">
        <w:rPr>
          <w:rFonts w:ascii="New times roman" w:hAnsi="New times roman"/>
          <w:b/>
          <w:lang w:eastAsia="ja-JP"/>
        </w:rPr>
        <w:t>5</w:t>
      </w:r>
      <w:r w:rsidR="00711C4C">
        <w:rPr>
          <w:rFonts w:ascii="New times roman" w:hAnsi="New times roman"/>
          <w:b/>
          <w:i/>
          <w:lang w:eastAsia="ja-JP"/>
        </w:rPr>
        <w:tab/>
      </w:r>
      <w:r w:rsidR="006E500B">
        <w:rPr>
          <w:rFonts w:ascii="New times roman" w:hAnsi="New times roman"/>
          <w:lang w:eastAsia="ja-JP"/>
        </w:rPr>
        <w:t>Subsection 5(1) p</w:t>
      </w:r>
      <w:r w:rsidR="00711C4C" w:rsidRPr="00852F1A">
        <w:rPr>
          <w:rFonts w:ascii="New times roman" w:hAnsi="New times roman"/>
          <w:lang w:eastAsia="ja-JP"/>
        </w:rPr>
        <w:t xml:space="preserve">rovides </w:t>
      </w:r>
      <w:r w:rsidR="00711C4C">
        <w:rPr>
          <w:rFonts w:ascii="New times roman" w:hAnsi="New times roman"/>
          <w:lang w:eastAsia="ja-JP"/>
        </w:rPr>
        <w:t>that</w:t>
      </w:r>
      <w:r w:rsidR="006E500B">
        <w:rPr>
          <w:rFonts w:ascii="New times roman" w:hAnsi="New times roman"/>
          <w:lang w:eastAsia="ja-JP"/>
        </w:rPr>
        <w:t xml:space="preserve"> for each water accounting period,</w:t>
      </w:r>
      <w:r w:rsidR="00711C4C">
        <w:rPr>
          <w:rFonts w:ascii="New times roman" w:hAnsi="New times roman"/>
          <w:lang w:eastAsia="ja-JP"/>
        </w:rPr>
        <w:t xml:space="preserve"> the Authority must report on how</w:t>
      </w:r>
      <w:r w:rsidR="000D475E">
        <w:rPr>
          <w:rFonts w:ascii="New times roman" w:hAnsi="New times roman"/>
          <w:lang w:eastAsia="ja-JP"/>
        </w:rPr>
        <w:t>, when planning for environmental watering in the Murray-Darling Basin,</w:t>
      </w:r>
      <w:r w:rsidR="00711C4C">
        <w:rPr>
          <w:rFonts w:ascii="New times roman" w:hAnsi="New times roman"/>
          <w:lang w:eastAsia="ja-JP"/>
        </w:rPr>
        <w:t xml:space="preserve"> holder</w:t>
      </w:r>
      <w:r w:rsidR="000D475E">
        <w:rPr>
          <w:rFonts w:ascii="New times roman" w:hAnsi="New times roman"/>
          <w:lang w:eastAsia="ja-JP"/>
        </w:rPr>
        <w:t>s</w:t>
      </w:r>
      <w:r w:rsidR="00711C4C">
        <w:rPr>
          <w:rFonts w:ascii="New times roman" w:hAnsi="New times roman"/>
          <w:lang w:eastAsia="ja-JP"/>
        </w:rPr>
        <w:t xml:space="preserve"> of </w:t>
      </w:r>
      <w:r w:rsidR="000D475E">
        <w:rPr>
          <w:rFonts w:ascii="New times roman" w:hAnsi="New times roman"/>
          <w:lang w:eastAsia="ja-JP"/>
        </w:rPr>
        <w:t xml:space="preserve">held </w:t>
      </w:r>
      <w:r w:rsidR="00711C4C">
        <w:rPr>
          <w:rFonts w:ascii="New times roman" w:hAnsi="New times roman"/>
          <w:lang w:eastAsia="ja-JP"/>
        </w:rPr>
        <w:t xml:space="preserve">environmental water considered </w:t>
      </w:r>
      <w:r w:rsidR="000D475E">
        <w:rPr>
          <w:rFonts w:ascii="New times roman" w:hAnsi="New times roman"/>
          <w:lang w:eastAsia="ja-JP"/>
        </w:rPr>
        <w:t>I</w:t>
      </w:r>
      <w:r w:rsidR="00711C4C" w:rsidRPr="00CF69B7">
        <w:rPr>
          <w:rFonts w:ascii="New times roman" w:hAnsi="New times roman"/>
          <w:lang w:eastAsia="ja-JP"/>
        </w:rPr>
        <w:t>ndigenous values and Indigenous uses</w:t>
      </w:r>
      <w:r w:rsidR="000D475E">
        <w:rPr>
          <w:rFonts w:ascii="New times roman" w:hAnsi="New times roman"/>
          <w:lang w:eastAsia="ja-JP"/>
        </w:rPr>
        <w:t>,</w:t>
      </w:r>
      <w:r w:rsidR="00711C4C">
        <w:rPr>
          <w:rFonts w:ascii="New times roman" w:hAnsi="New times roman"/>
          <w:lang w:eastAsia="ja-JP"/>
        </w:rPr>
        <w:t xml:space="preserve"> and </w:t>
      </w:r>
      <w:r>
        <w:rPr>
          <w:rFonts w:ascii="New times roman" w:hAnsi="New times roman"/>
          <w:lang w:eastAsia="ja-JP"/>
        </w:rPr>
        <w:t xml:space="preserve">involved </w:t>
      </w:r>
      <w:r w:rsidR="000D475E">
        <w:rPr>
          <w:rFonts w:ascii="New times roman" w:hAnsi="New times roman"/>
          <w:lang w:eastAsia="ja-JP"/>
        </w:rPr>
        <w:t>I</w:t>
      </w:r>
      <w:r w:rsidR="00711C4C">
        <w:rPr>
          <w:rFonts w:ascii="New times roman" w:hAnsi="New times roman"/>
          <w:lang w:eastAsia="ja-JP"/>
        </w:rPr>
        <w:t xml:space="preserve">ndigenous people. </w:t>
      </w:r>
      <w:r w:rsidR="008C1D97">
        <w:rPr>
          <w:rFonts w:ascii="New times roman" w:hAnsi="New times roman"/>
          <w:lang w:eastAsia="ja-JP"/>
        </w:rPr>
        <w:t>Subsection 5(2)</w:t>
      </w:r>
      <w:r w:rsidR="00183CCD">
        <w:rPr>
          <w:rFonts w:ascii="New times roman" w:hAnsi="New times roman"/>
          <w:lang w:eastAsia="ja-JP"/>
        </w:rPr>
        <w:t xml:space="preserve"> provides</w:t>
      </w:r>
      <w:r w:rsidR="00711C4C">
        <w:rPr>
          <w:rFonts w:ascii="New times roman" w:hAnsi="New times roman"/>
          <w:lang w:eastAsia="ja-JP"/>
        </w:rPr>
        <w:t xml:space="preserve"> that the Authority must publish the report </w:t>
      </w:r>
      <w:r w:rsidR="00AA5665">
        <w:rPr>
          <w:rFonts w:ascii="New times roman" w:hAnsi="New times roman"/>
          <w:lang w:eastAsia="ja-JP"/>
        </w:rPr>
        <w:t xml:space="preserve">on its website </w:t>
      </w:r>
      <w:r w:rsidR="00711C4C">
        <w:rPr>
          <w:rFonts w:ascii="New times roman" w:hAnsi="New times roman"/>
          <w:lang w:eastAsia="ja-JP"/>
        </w:rPr>
        <w:t xml:space="preserve">within six months </w:t>
      </w:r>
      <w:r w:rsidR="00711C4C" w:rsidRPr="00CF69B7">
        <w:rPr>
          <w:rFonts w:ascii="New times roman" w:hAnsi="New times roman"/>
          <w:lang w:eastAsia="ja-JP"/>
        </w:rPr>
        <w:t>after the end of the water accounting period.</w:t>
      </w:r>
      <w:r>
        <w:rPr>
          <w:rFonts w:ascii="New times roman" w:hAnsi="New times roman"/>
          <w:lang w:eastAsia="ja-JP"/>
        </w:rPr>
        <w:t xml:space="preserve"> </w:t>
      </w:r>
      <w:r w:rsidR="008C1D97">
        <w:rPr>
          <w:rFonts w:ascii="New times roman" w:hAnsi="New times roman"/>
          <w:lang w:eastAsia="ja-JP"/>
        </w:rPr>
        <w:t>Subsection 5(3) provides that t</w:t>
      </w:r>
      <w:r>
        <w:rPr>
          <w:rFonts w:ascii="New times roman" w:hAnsi="New times roman"/>
          <w:lang w:eastAsia="ja-JP"/>
        </w:rPr>
        <w:t xml:space="preserve">he </w:t>
      </w:r>
      <w:r w:rsidR="008C1D97">
        <w:rPr>
          <w:rFonts w:ascii="New times roman" w:hAnsi="New times roman"/>
          <w:lang w:eastAsia="ja-JP"/>
        </w:rPr>
        <w:t>D</w:t>
      </w:r>
      <w:r>
        <w:rPr>
          <w:rFonts w:ascii="New times roman" w:hAnsi="New times roman"/>
          <w:lang w:eastAsia="ja-JP"/>
        </w:rPr>
        <w:t>irection applies to each water accounting period that commences after the water accounting period ending 30 June 2018.</w:t>
      </w:r>
    </w:p>
    <w:sectPr w:rsidR="00711C4C" w:rsidRPr="00F34D2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0B87B" w14:textId="77777777" w:rsidR="00175161" w:rsidRDefault="00175161">
      <w:r>
        <w:separator/>
      </w:r>
    </w:p>
  </w:endnote>
  <w:endnote w:type="continuationSeparator" w:id="0">
    <w:p w14:paraId="501AAFD9" w14:textId="77777777" w:rsidR="00175161" w:rsidRDefault="00175161">
      <w:r>
        <w:continuationSeparator/>
      </w:r>
    </w:p>
  </w:endnote>
  <w:endnote w:type="continuationNotice" w:id="1">
    <w:p w14:paraId="38C05FCA" w14:textId="77777777" w:rsidR="00175161" w:rsidRDefault="0017516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E39D4" w14:textId="77777777" w:rsidR="00C6669A" w:rsidRDefault="00C6669A" w:rsidP="00C6669A">
        <w:pPr>
          <w:pStyle w:val="Footer"/>
          <w:jc w:val="right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65AB6" w14:textId="77777777" w:rsidR="00175161" w:rsidRDefault="00175161">
      <w:r>
        <w:separator/>
      </w:r>
    </w:p>
  </w:footnote>
  <w:footnote w:type="continuationSeparator" w:id="0">
    <w:p w14:paraId="08524D37" w14:textId="77777777" w:rsidR="00175161" w:rsidRDefault="00175161">
      <w:r>
        <w:continuationSeparator/>
      </w:r>
    </w:p>
  </w:footnote>
  <w:footnote w:type="continuationNotice" w:id="1">
    <w:p w14:paraId="760B1A19" w14:textId="77777777" w:rsidR="00175161" w:rsidRDefault="0017516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69"/>
    <w:rsid w:val="000278D6"/>
    <w:rsid w:val="000550D5"/>
    <w:rsid w:val="000807A4"/>
    <w:rsid w:val="00081424"/>
    <w:rsid w:val="000B68BB"/>
    <w:rsid w:val="000C138F"/>
    <w:rsid w:val="000D475E"/>
    <w:rsid w:val="000E625E"/>
    <w:rsid w:val="00160F0C"/>
    <w:rsid w:val="001617BF"/>
    <w:rsid w:val="00175161"/>
    <w:rsid w:val="00183CCD"/>
    <w:rsid w:val="001C2E81"/>
    <w:rsid w:val="00223CE7"/>
    <w:rsid w:val="0026748C"/>
    <w:rsid w:val="00285E83"/>
    <w:rsid w:val="002A37B2"/>
    <w:rsid w:val="002C1BEC"/>
    <w:rsid w:val="0033369B"/>
    <w:rsid w:val="00341DC5"/>
    <w:rsid w:val="00347FBD"/>
    <w:rsid w:val="003C6E44"/>
    <w:rsid w:val="00403CC4"/>
    <w:rsid w:val="004043D1"/>
    <w:rsid w:val="004101EA"/>
    <w:rsid w:val="00461807"/>
    <w:rsid w:val="004D01B7"/>
    <w:rsid w:val="004E7C13"/>
    <w:rsid w:val="004F2119"/>
    <w:rsid w:val="00502ECA"/>
    <w:rsid w:val="00507DDA"/>
    <w:rsid w:val="00511E42"/>
    <w:rsid w:val="0052784C"/>
    <w:rsid w:val="005435BB"/>
    <w:rsid w:val="00546156"/>
    <w:rsid w:val="0054747E"/>
    <w:rsid w:val="00550B49"/>
    <w:rsid w:val="005821A7"/>
    <w:rsid w:val="00590FEE"/>
    <w:rsid w:val="005B7605"/>
    <w:rsid w:val="005C43BA"/>
    <w:rsid w:val="005D5EE0"/>
    <w:rsid w:val="005F4AF7"/>
    <w:rsid w:val="00626E31"/>
    <w:rsid w:val="00633106"/>
    <w:rsid w:val="00651F4E"/>
    <w:rsid w:val="00656B05"/>
    <w:rsid w:val="00680C23"/>
    <w:rsid w:val="006904B8"/>
    <w:rsid w:val="0069203A"/>
    <w:rsid w:val="006E500B"/>
    <w:rsid w:val="00711C4C"/>
    <w:rsid w:val="00744658"/>
    <w:rsid w:val="0077701F"/>
    <w:rsid w:val="00791A6C"/>
    <w:rsid w:val="007F3CDD"/>
    <w:rsid w:val="008142AD"/>
    <w:rsid w:val="00820B51"/>
    <w:rsid w:val="00852F1A"/>
    <w:rsid w:val="00867A6F"/>
    <w:rsid w:val="008972E1"/>
    <w:rsid w:val="008C1D97"/>
    <w:rsid w:val="00905F94"/>
    <w:rsid w:val="00925C07"/>
    <w:rsid w:val="00984332"/>
    <w:rsid w:val="00995669"/>
    <w:rsid w:val="00995DF5"/>
    <w:rsid w:val="00996400"/>
    <w:rsid w:val="009C1CD1"/>
    <w:rsid w:val="009C7E4C"/>
    <w:rsid w:val="009F4EB4"/>
    <w:rsid w:val="00A05CC0"/>
    <w:rsid w:val="00A10AC6"/>
    <w:rsid w:val="00A2744D"/>
    <w:rsid w:val="00A41CE9"/>
    <w:rsid w:val="00A62BE4"/>
    <w:rsid w:val="00A70E3C"/>
    <w:rsid w:val="00AA4B88"/>
    <w:rsid w:val="00AA5665"/>
    <w:rsid w:val="00AC407F"/>
    <w:rsid w:val="00AC454D"/>
    <w:rsid w:val="00AD07DF"/>
    <w:rsid w:val="00B02AE6"/>
    <w:rsid w:val="00B30059"/>
    <w:rsid w:val="00B3251E"/>
    <w:rsid w:val="00B57188"/>
    <w:rsid w:val="00BB74FB"/>
    <w:rsid w:val="00BC7DFC"/>
    <w:rsid w:val="00C27150"/>
    <w:rsid w:val="00C31D3D"/>
    <w:rsid w:val="00C4204A"/>
    <w:rsid w:val="00C656E1"/>
    <w:rsid w:val="00C6669A"/>
    <w:rsid w:val="00C9020D"/>
    <w:rsid w:val="00C95743"/>
    <w:rsid w:val="00CB5BD0"/>
    <w:rsid w:val="00CC7BDB"/>
    <w:rsid w:val="00CD393F"/>
    <w:rsid w:val="00CE1328"/>
    <w:rsid w:val="00CF69B7"/>
    <w:rsid w:val="00D06625"/>
    <w:rsid w:val="00D35A67"/>
    <w:rsid w:val="00D778C0"/>
    <w:rsid w:val="00D8137C"/>
    <w:rsid w:val="00DA23F3"/>
    <w:rsid w:val="00DC1A1D"/>
    <w:rsid w:val="00DE4E74"/>
    <w:rsid w:val="00DF3097"/>
    <w:rsid w:val="00E03795"/>
    <w:rsid w:val="00E3214D"/>
    <w:rsid w:val="00E537A9"/>
    <w:rsid w:val="00E5685D"/>
    <w:rsid w:val="00E71DE5"/>
    <w:rsid w:val="00EF26B4"/>
    <w:rsid w:val="00F21E79"/>
    <w:rsid w:val="00F34D2D"/>
    <w:rsid w:val="00F56285"/>
    <w:rsid w:val="00F6440E"/>
    <w:rsid w:val="00F97CA7"/>
    <w:rsid w:val="00FC0784"/>
    <w:rsid w:val="00FC0B82"/>
    <w:rsid w:val="00FD08A1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088A4F"/>
  <w15:chartTrackingRefBased/>
  <w15:docId w15:val="{8B7444DF-3F59-4715-900F-7D32ECEF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29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56A4-03B0-41D5-A3CC-1EF4E5A0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Ohmsen, Renee</dc:creator>
  <cp:keywords/>
  <dc:description/>
  <cp:lastModifiedBy>Norman, Joshua</cp:lastModifiedBy>
  <cp:revision>2</cp:revision>
  <cp:lastPrinted>2018-06-08T02:30:00Z</cp:lastPrinted>
  <dcterms:created xsi:type="dcterms:W3CDTF">2018-06-26T01:25:00Z</dcterms:created>
  <dcterms:modified xsi:type="dcterms:W3CDTF">2018-06-26T01:25:00Z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</Properties>
</file>