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136343" w:rsidRDefault="00193461" w:rsidP="0020300C">
      <w:pPr>
        <w:rPr>
          <w:sz w:val="28"/>
        </w:rPr>
      </w:pPr>
      <w:r w:rsidRPr="00136343">
        <w:rPr>
          <w:noProof/>
          <w:lang w:eastAsia="en-AU"/>
        </w:rPr>
        <w:drawing>
          <wp:inline distT="0" distB="0" distL="0" distR="0" wp14:anchorId="63BC73D1" wp14:editId="4FB3F63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136343" w:rsidRDefault="0048364F" w:rsidP="0048364F">
      <w:pPr>
        <w:rPr>
          <w:sz w:val="19"/>
        </w:rPr>
      </w:pPr>
    </w:p>
    <w:p w:rsidR="00656DE9" w:rsidRPr="00136343" w:rsidRDefault="00D03B04" w:rsidP="00D03B04">
      <w:pPr>
        <w:pStyle w:val="ShortT"/>
      </w:pPr>
      <w:r w:rsidRPr="00136343">
        <w:t>Treasury Laws Amendment (2018 Measures No.</w:t>
      </w:r>
      <w:r w:rsidR="00136343" w:rsidRPr="00136343">
        <w:t> </w:t>
      </w:r>
      <w:r w:rsidRPr="00136343">
        <w:t>1) Regulations</w:t>
      </w:r>
      <w:r w:rsidR="00136343" w:rsidRPr="00136343">
        <w:t> </w:t>
      </w:r>
      <w:r w:rsidRPr="00136343">
        <w:t>2018</w:t>
      </w:r>
    </w:p>
    <w:p w:rsidR="00FB351D" w:rsidRPr="00136343" w:rsidRDefault="00FB351D" w:rsidP="00B45435">
      <w:pPr>
        <w:pStyle w:val="SignCoverPageStart"/>
        <w:spacing w:before="240"/>
        <w:rPr>
          <w:szCs w:val="22"/>
        </w:rPr>
      </w:pPr>
      <w:r w:rsidRPr="00136343">
        <w:rPr>
          <w:szCs w:val="22"/>
        </w:rPr>
        <w:t>I, General the Honourable Sir Peter Cosgrove AK MC (</w:t>
      </w:r>
      <w:proofErr w:type="spellStart"/>
      <w:r w:rsidRPr="00136343">
        <w:rPr>
          <w:szCs w:val="22"/>
        </w:rPr>
        <w:t>Ret’d</w:t>
      </w:r>
      <w:proofErr w:type="spellEnd"/>
      <w:r w:rsidRPr="00136343">
        <w:rPr>
          <w:szCs w:val="22"/>
        </w:rPr>
        <w:t xml:space="preserve">), </w:t>
      </w:r>
      <w:r w:rsidR="00136343" w:rsidRPr="00136343">
        <w:rPr>
          <w:szCs w:val="22"/>
        </w:rPr>
        <w:t>Governor</w:t>
      </w:r>
      <w:r w:rsidR="00136343">
        <w:rPr>
          <w:szCs w:val="22"/>
        </w:rPr>
        <w:noBreakHyphen/>
      </w:r>
      <w:r w:rsidR="00136343" w:rsidRPr="00136343">
        <w:rPr>
          <w:szCs w:val="22"/>
        </w:rPr>
        <w:t>General</w:t>
      </w:r>
      <w:r w:rsidRPr="00136343">
        <w:rPr>
          <w:szCs w:val="22"/>
        </w:rPr>
        <w:t xml:space="preserve"> of the Commonwealth of Australia, acting with the advice of the Federal Executive Council, make the following regulations.</w:t>
      </w:r>
    </w:p>
    <w:p w:rsidR="00FB351D" w:rsidRPr="00136343" w:rsidRDefault="00FB351D" w:rsidP="00B45435">
      <w:pPr>
        <w:keepNext/>
        <w:spacing w:before="720" w:line="240" w:lineRule="atLeast"/>
        <w:ind w:right="397"/>
        <w:jc w:val="both"/>
        <w:rPr>
          <w:szCs w:val="22"/>
        </w:rPr>
      </w:pPr>
      <w:r w:rsidRPr="00136343">
        <w:rPr>
          <w:szCs w:val="22"/>
        </w:rPr>
        <w:t xml:space="preserve">Dated </w:t>
      </w:r>
      <w:r w:rsidRPr="00136343">
        <w:rPr>
          <w:szCs w:val="22"/>
        </w:rPr>
        <w:fldChar w:fldCharType="begin"/>
      </w:r>
      <w:r w:rsidRPr="00136343">
        <w:rPr>
          <w:szCs w:val="22"/>
        </w:rPr>
        <w:instrText xml:space="preserve"> DOCPROPERTY  DateMade </w:instrText>
      </w:r>
      <w:r w:rsidRPr="00136343">
        <w:rPr>
          <w:szCs w:val="22"/>
        </w:rPr>
        <w:fldChar w:fldCharType="separate"/>
      </w:r>
      <w:r w:rsidR="000157D0">
        <w:rPr>
          <w:szCs w:val="22"/>
        </w:rPr>
        <w:t>21 June 2018</w:t>
      </w:r>
      <w:r w:rsidRPr="00136343">
        <w:rPr>
          <w:szCs w:val="22"/>
        </w:rPr>
        <w:fldChar w:fldCharType="end"/>
      </w:r>
    </w:p>
    <w:p w:rsidR="00FB351D" w:rsidRPr="00136343" w:rsidRDefault="00FB351D" w:rsidP="00B45435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136343">
        <w:rPr>
          <w:szCs w:val="22"/>
        </w:rPr>
        <w:t>Peter Cosgrove</w:t>
      </w:r>
    </w:p>
    <w:p w:rsidR="00FB351D" w:rsidRPr="00136343" w:rsidRDefault="00136343" w:rsidP="00B45435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136343">
        <w:rPr>
          <w:szCs w:val="22"/>
        </w:rPr>
        <w:t>Governor</w:t>
      </w:r>
      <w:r>
        <w:rPr>
          <w:szCs w:val="22"/>
        </w:rPr>
        <w:noBreakHyphen/>
      </w:r>
      <w:r w:rsidRPr="00136343">
        <w:rPr>
          <w:szCs w:val="22"/>
        </w:rPr>
        <w:t>General</w:t>
      </w:r>
    </w:p>
    <w:p w:rsidR="00FB351D" w:rsidRPr="00136343" w:rsidRDefault="00FB351D" w:rsidP="00B45435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136343">
        <w:rPr>
          <w:szCs w:val="22"/>
        </w:rPr>
        <w:t>By His Excellency’s Command</w:t>
      </w:r>
    </w:p>
    <w:p w:rsidR="00FB351D" w:rsidRPr="00136343" w:rsidRDefault="00FB351D" w:rsidP="00B45435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136343">
        <w:rPr>
          <w:szCs w:val="22"/>
        </w:rPr>
        <w:t xml:space="preserve">Kelly </w:t>
      </w:r>
      <w:proofErr w:type="spellStart"/>
      <w:r w:rsidRPr="00136343">
        <w:rPr>
          <w:szCs w:val="22"/>
        </w:rPr>
        <w:t>O’Dwyer</w:t>
      </w:r>
      <w:proofErr w:type="spellEnd"/>
    </w:p>
    <w:p w:rsidR="00FB351D" w:rsidRPr="00136343" w:rsidRDefault="00FB351D" w:rsidP="00B45435">
      <w:pPr>
        <w:pStyle w:val="SignCoverPageEnd"/>
        <w:rPr>
          <w:szCs w:val="22"/>
        </w:rPr>
      </w:pPr>
      <w:r w:rsidRPr="00136343">
        <w:rPr>
          <w:szCs w:val="22"/>
        </w:rPr>
        <w:t>Minister for Revenue and Financial Services</w:t>
      </w:r>
    </w:p>
    <w:p w:rsidR="00FB351D" w:rsidRPr="00136343" w:rsidRDefault="00FB351D" w:rsidP="00B45435"/>
    <w:p w:rsidR="00FB351D" w:rsidRPr="00136343" w:rsidRDefault="00FB351D" w:rsidP="00B45435"/>
    <w:p w:rsidR="00FB351D" w:rsidRPr="00136343" w:rsidRDefault="00FB351D" w:rsidP="00B45435"/>
    <w:p w:rsidR="00FB351D" w:rsidRPr="00136343" w:rsidRDefault="00FB351D" w:rsidP="00FB351D"/>
    <w:p w:rsidR="0048364F" w:rsidRPr="00136343" w:rsidRDefault="0048364F" w:rsidP="0048364F">
      <w:pPr>
        <w:pStyle w:val="Header"/>
        <w:tabs>
          <w:tab w:val="clear" w:pos="4150"/>
          <w:tab w:val="clear" w:pos="8307"/>
        </w:tabs>
      </w:pPr>
      <w:r w:rsidRPr="00136343">
        <w:rPr>
          <w:rStyle w:val="CharAmSchNo"/>
        </w:rPr>
        <w:t xml:space="preserve"> </w:t>
      </w:r>
      <w:r w:rsidRPr="00136343">
        <w:rPr>
          <w:rStyle w:val="CharAmSchText"/>
        </w:rPr>
        <w:t xml:space="preserve"> </w:t>
      </w:r>
    </w:p>
    <w:p w:rsidR="0048364F" w:rsidRPr="00136343" w:rsidRDefault="0048364F" w:rsidP="0048364F">
      <w:pPr>
        <w:pStyle w:val="Header"/>
        <w:tabs>
          <w:tab w:val="clear" w:pos="4150"/>
          <w:tab w:val="clear" w:pos="8307"/>
        </w:tabs>
      </w:pPr>
      <w:r w:rsidRPr="00136343">
        <w:rPr>
          <w:rStyle w:val="CharAmPartNo"/>
        </w:rPr>
        <w:t xml:space="preserve"> </w:t>
      </w:r>
      <w:r w:rsidRPr="00136343">
        <w:rPr>
          <w:rStyle w:val="CharAmPartText"/>
        </w:rPr>
        <w:t xml:space="preserve"> </w:t>
      </w:r>
    </w:p>
    <w:p w:rsidR="0048364F" w:rsidRPr="00136343" w:rsidRDefault="0048364F" w:rsidP="0048364F">
      <w:pPr>
        <w:sectPr w:rsidR="0048364F" w:rsidRPr="00136343" w:rsidSect="002771D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136343" w:rsidRDefault="0048364F" w:rsidP="000A5580">
      <w:pPr>
        <w:rPr>
          <w:sz w:val="36"/>
        </w:rPr>
      </w:pPr>
      <w:r w:rsidRPr="00136343">
        <w:rPr>
          <w:sz w:val="36"/>
        </w:rPr>
        <w:lastRenderedPageBreak/>
        <w:t>Contents</w:t>
      </w:r>
    </w:p>
    <w:p w:rsidR="00B45435" w:rsidRPr="00136343" w:rsidRDefault="00B4543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36343">
        <w:fldChar w:fldCharType="begin"/>
      </w:r>
      <w:r w:rsidRPr="00136343">
        <w:instrText xml:space="preserve"> TOC \o "1-9" </w:instrText>
      </w:r>
      <w:r w:rsidRPr="00136343">
        <w:fldChar w:fldCharType="separate"/>
      </w:r>
      <w:r w:rsidRPr="00136343">
        <w:rPr>
          <w:noProof/>
        </w:rPr>
        <w:t>1</w:t>
      </w:r>
      <w:r w:rsidRPr="00136343">
        <w:rPr>
          <w:noProof/>
        </w:rPr>
        <w:tab/>
        <w:t>Name</w:t>
      </w:r>
      <w:r w:rsidRPr="00136343">
        <w:rPr>
          <w:noProof/>
        </w:rPr>
        <w:tab/>
      </w:r>
      <w:r w:rsidRPr="00136343">
        <w:rPr>
          <w:noProof/>
        </w:rPr>
        <w:fldChar w:fldCharType="begin"/>
      </w:r>
      <w:r w:rsidRPr="00136343">
        <w:rPr>
          <w:noProof/>
        </w:rPr>
        <w:instrText xml:space="preserve"> PAGEREF _Toc515460528 \h </w:instrText>
      </w:r>
      <w:r w:rsidRPr="00136343">
        <w:rPr>
          <w:noProof/>
        </w:rPr>
      </w:r>
      <w:r w:rsidRPr="00136343">
        <w:rPr>
          <w:noProof/>
        </w:rPr>
        <w:fldChar w:fldCharType="separate"/>
      </w:r>
      <w:r w:rsidR="000157D0">
        <w:rPr>
          <w:noProof/>
        </w:rPr>
        <w:t>1</w:t>
      </w:r>
      <w:r w:rsidRPr="00136343">
        <w:rPr>
          <w:noProof/>
        </w:rPr>
        <w:fldChar w:fldCharType="end"/>
      </w:r>
    </w:p>
    <w:p w:rsidR="00B45435" w:rsidRPr="00136343" w:rsidRDefault="00B4543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36343">
        <w:rPr>
          <w:noProof/>
        </w:rPr>
        <w:t>2</w:t>
      </w:r>
      <w:r w:rsidRPr="00136343">
        <w:rPr>
          <w:noProof/>
        </w:rPr>
        <w:tab/>
        <w:t>Commencement</w:t>
      </w:r>
      <w:r w:rsidRPr="00136343">
        <w:rPr>
          <w:noProof/>
        </w:rPr>
        <w:tab/>
      </w:r>
      <w:r w:rsidRPr="00136343">
        <w:rPr>
          <w:noProof/>
        </w:rPr>
        <w:fldChar w:fldCharType="begin"/>
      </w:r>
      <w:r w:rsidRPr="00136343">
        <w:rPr>
          <w:noProof/>
        </w:rPr>
        <w:instrText xml:space="preserve"> PAGEREF _Toc515460529 \h </w:instrText>
      </w:r>
      <w:r w:rsidRPr="00136343">
        <w:rPr>
          <w:noProof/>
        </w:rPr>
      </w:r>
      <w:r w:rsidRPr="00136343">
        <w:rPr>
          <w:noProof/>
        </w:rPr>
        <w:fldChar w:fldCharType="separate"/>
      </w:r>
      <w:r w:rsidR="000157D0">
        <w:rPr>
          <w:noProof/>
        </w:rPr>
        <w:t>1</w:t>
      </w:r>
      <w:r w:rsidRPr="00136343">
        <w:rPr>
          <w:noProof/>
        </w:rPr>
        <w:fldChar w:fldCharType="end"/>
      </w:r>
    </w:p>
    <w:p w:rsidR="00B45435" w:rsidRPr="00136343" w:rsidRDefault="00B4543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36343">
        <w:rPr>
          <w:noProof/>
        </w:rPr>
        <w:t>3</w:t>
      </w:r>
      <w:r w:rsidRPr="00136343">
        <w:rPr>
          <w:noProof/>
        </w:rPr>
        <w:tab/>
        <w:t>Authority</w:t>
      </w:r>
      <w:r w:rsidRPr="00136343">
        <w:rPr>
          <w:noProof/>
        </w:rPr>
        <w:tab/>
      </w:r>
      <w:r w:rsidRPr="00136343">
        <w:rPr>
          <w:noProof/>
        </w:rPr>
        <w:fldChar w:fldCharType="begin"/>
      </w:r>
      <w:r w:rsidRPr="00136343">
        <w:rPr>
          <w:noProof/>
        </w:rPr>
        <w:instrText xml:space="preserve"> PAGEREF _Toc515460530 \h </w:instrText>
      </w:r>
      <w:r w:rsidRPr="00136343">
        <w:rPr>
          <w:noProof/>
        </w:rPr>
      </w:r>
      <w:r w:rsidRPr="00136343">
        <w:rPr>
          <w:noProof/>
        </w:rPr>
        <w:fldChar w:fldCharType="separate"/>
      </w:r>
      <w:r w:rsidR="000157D0">
        <w:rPr>
          <w:noProof/>
        </w:rPr>
        <w:t>1</w:t>
      </w:r>
      <w:r w:rsidRPr="00136343">
        <w:rPr>
          <w:noProof/>
        </w:rPr>
        <w:fldChar w:fldCharType="end"/>
      </w:r>
    </w:p>
    <w:p w:rsidR="00B45435" w:rsidRPr="00136343" w:rsidRDefault="00B4543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36343">
        <w:rPr>
          <w:noProof/>
        </w:rPr>
        <w:t>4</w:t>
      </w:r>
      <w:r w:rsidRPr="00136343">
        <w:rPr>
          <w:noProof/>
        </w:rPr>
        <w:tab/>
        <w:t>Schedules</w:t>
      </w:r>
      <w:r w:rsidRPr="00136343">
        <w:rPr>
          <w:noProof/>
        </w:rPr>
        <w:tab/>
      </w:r>
      <w:r w:rsidRPr="00136343">
        <w:rPr>
          <w:noProof/>
        </w:rPr>
        <w:fldChar w:fldCharType="begin"/>
      </w:r>
      <w:r w:rsidRPr="00136343">
        <w:rPr>
          <w:noProof/>
        </w:rPr>
        <w:instrText xml:space="preserve"> PAGEREF _Toc515460531 \h </w:instrText>
      </w:r>
      <w:r w:rsidRPr="00136343">
        <w:rPr>
          <w:noProof/>
        </w:rPr>
      </w:r>
      <w:r w:rsidRPr="00136343">
        <w:rPr>
          <w:noProof/>
        </w:rPr>
        <w:fldChar w:fldCharType="separate"/>
      </w:r>
      <w:r w:rsidR="000157D0">
        <w:rPr>
          <w:noProof/>
        </w:rPr>
        <w:t>1</w:t>
      </w:r>
      <w:r w:rsidRPr="00136343">
        <w:rPr>
          <w:noProof/>
        </w:rPr>
        <w:fldChar w:fldCharType="end"/>
      </w:r>
    </w:p>
    <w:p w:rsidR="00B45435" w:rsidRPr="00136343" w:rsidRDefault="00B4543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136343">
        <w:rPr>
          <w:noProof/>
        </w:rPr>
        <w:t>Schedule</w:t>
      </w:r>
      <w:r w:rsidR="00136343" w:rsidRPr="00136343">
        <w:rPr>
          <w:noProof/>
        </w:rPr>
        <w:t> </w:t>
      </w:r>
      <w:r w:rsidRPr="00136343">
        <w:rPr>
          <w:noProof/>
        </w:rPr>
        <w:t>1—Disclosure of information to the Black Economy Standing Taskforce and the Illicit Tobacco Taskforce</w:t>
      </w:r>
      <w:r w:rsidRPr="00136343">
        <w:rPr>
          <w:b w:val="0"/>
          <w:noProof/>
          <w:sz w:val="18"/>
        </w:rPr>
        <w:tab/>
      </w:r>
      <w:r w:rsidRPr="00136343">
        <w:rPr>
          <w:b w:val="0"/>
          <w:noProof/>
          <w:sz w:val="18"/>
        </w:rPr>
        <w:fldChar w:fldCharType="begin"/>
      </w:r>
      <w:r w:rsidRPr="00136343">
        <w:rPr>
          <w:b w:val="0"/>
          <w:noProof/>
          <w:sz w:val="18"/>
        </w:rPr>
        <w:instrText xml:space="preserve"> PAGEREF _Toc515460532 \h </w:instrText>
      </w:r>
      <w:r w:rsidRPr="00136343">
        <w:rPr>
          <w:b w:val="0"/>
          <w:noProof/>
          <w:sz w:val="18"/>
        </w:rPr>
      </w:r>
      <w:r w:rsidRPr="00136343">
        <w:rPr>
          <w:b w:val="0"/>
          <w:noProof/>
          <w:sz w:val="18"/>
        </w:rPr>
        <w:fldChar w:fldCharType="separate"/>
      </w:r>
      <w:r w:rsidR="000157D0">
        <w:rPr>
          <w:b w:val="0"/>
          <w:noProof/>
          <w:sz w:val="18"/>
        </w:rPr>
        <w:t>2</w:t>
      </w:r>
      <w:r w:rsidRPr="00136343">
        <w:rPr>
          <w:b w:val="0"/>
          <w:noProof/>
          <w:sz w:val="18"/>
        </w:rPr>
        <w:fldChar w:fldCharType="end"/>
      </w:r>
    </w:p>
    <w:p w:rsidR="00B45435" w:rsidRPr="00136343" w:rsidRDefault="00B4543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136343">
        <w:rPr>
          <w:noProof/>
        </w:rPr>
        <w:t>Taxation Administration Regulations</w:t>
      </w:r>
      <w:r w:rsidR="00136343" w:rsidRPr="00136343">
        <w:rPr>
          <w:noProof/>
        </w:rPr>
        <w:t> </w:t>
      </w:r>
      <w:r w:rsidRPr="00136343">
        <w:rPr>
          <w:noProof/>
        </w:rPr>
        <w:t>2017</w:t>
      </w:r>
      <w:r w:rsidRPr="00136343">
        <w:rPr>
          <w:i w:val="0"/>
          <w:noProof/>
          <w:sz w:val="18"/>
        </w:rPr>
        <w:tab/>
      </w:r>
      <w:r w:rsidRPr="00136343">
        <w:rPr>
          <w:i w:val="0"/>
          <w:noProof/>
          <w:sz w:val="18"/>
        </w:rPr>
        <w:fldChar w:fldCharType="begin"/>
      </w:r>
      <w:r w:rsidRPr="00136343">
        <w:rPr>
          <w:i w:val="0"/>
          <w:noProof/>
          <w:sz w:val="18"/>
        </w:rPr>
        <w:instrText xml:space="preserve"> PAGEREF _Toc515460533 \h </w:instrText>
      </w:r>
      <w:r w:rsidRPr="00136343">
        <w:rPr>
          <w:i w:val="0"/>
          <w:noProof/>
          <w:sz w:val="18"/>
        </w:rPr>
      </w:r>
      <w:r w:rsidRPr="00136343">
        <w:rPr>
          <w:i w:val="0"/>
          <w:noProof/>
          <w:sz w:val="18"/>
        </w:rPr>
        <w:fldChar w:fldCharType="separate"/>
      </w:r>
      <w:r w:rsidR="000157D0">
        <w:rPr>
          <w:i w:val="0"/>
          <w:noProof/>
          <w:sz w:val="18"/>
        </w:rPr>
        <w:t>2</w:t>
      </w:r>
      <w:r w:rsidRPr="00136343">
        <w:rPr>
          <w:i w:val="0"/>
          <w:noProof/>
          <w:sz w:val="18"/>
        </w:rPr>
        <w:fldChar w:fldCharType="end"/>
      </w:r>
    </w:p>
    <w:p w:rsidR="00B45435" w:rsidRPr="00136343" w:rsidRDefault="00B4543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136343">
        <w:rPr>
          <w:noProof/>
        </w:rPr>
        <w:t>Schedule</w:t>
      </w:r>
      <w:r w:rsidR="00136343" w:rsidRPr="00136343">
        <w:rPr>
          <w:noProof/>
        </w:rPr>
        <w:t> </w:t>
      </w:r>
      <w:r w:rsidRPr="00136343">
        <w:rPr>
          <w:noProof/>
        </w:rPr>
        <w:t>2—Tax Practitioners Board funding</w:t>
      </w:r>
      <w:r w:rsidRPr="00136343">
        <w:rPr>
          <w:b w:val="0"/>
          <w:noProof/>
          <w:sz w:val="18"/>
        </w:rPr>
        <w:tab/>
      </w:r>
      <w:r w:rsidRPr="00136343">
        <w:rPr>
          <w:b w:val="0"/>
          <w:noProof/>
          <w:sz w:val="18"/>
        </w:rPr>
        <w:fldChar w:fldCharType="begin"/>
      </w:r>
      <w:r w:rsidRPr="00136343">
        <w:rPr>
          <w:b w:val="0"/>
          <w:noProof/>
          <w:sz w:val="18"/>
        </w:rPr>
        <w:instrText xml:space="preserve"> PAGEREF _Toc515460537 \h </w:instrText>
      </w:r>
      <w:r w:rsidRPr="00136343">
        <w:rPr>
          <w:b w:val="0"/>
          <w:noProof/>
          <w:sz w:val="18"/>
        </w:rPr>
      </w:r>
      <w:r w:rsidRPr="00136343">
        <w:rPr>
          <w:b w:val="0"/>
          <w:noProof/>
          <w:sz w:val="18"/>
        </w:rPr>
        <w:fldChar w:fldCharType="separate"/>
      </w:r>
      <w:r w:rsidR="000157D0">
        <w:rPr>
          <w:b w:val="0"/>
          <w:noProof/>
          <w:sz w:val="18"/>
        </w:rPr>
        <w:t>3</w:t>
      </w:r>
      <w:r w:rsidRPr="00136343">
        <w:rPr>
          <w:b w:val="0"/>
          <w:noProof/>
          <w:sz w:val="18"/>
        </w:rPr>
        <w:fldChar w:fldCharType="end"/>
      </w:r>
    </w:p>
    <w:p w:rsidR="00B45435" w:rsidRPr="00136343" w:rsidRDefault="00B4543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136343">
        <w:rPr>
          <w:noProof/>
        </w:rPr>
        <w:t>Tax Agent Services Regulations</w:t>
      </w:r>
      <w:r w:rsidR="00136343" w:rsidRPr="00136343">
        <w:rPr>
          <w:noProof/>
        </w:rPr>
        <w:t> </w:t>
      </w:r>
      <w:r w:rsidRPr="00136343">
        <w:rPr>
          <w:noProof/>
        </w:rPr>
        <w:t>2009</w:t>
      </w:r>
      <w:r w:rsidRPr="00136343">
        <w:rPr>
          <w:i w:val="0"/>
          <w:noProof/>
          <w:sz w:val="18"/>
        </w:rPr>
        <w:tab/>
      </w:r>
      <w:r w:rsidRPr="00136343">
        <w:rPr>
          <w:i w:val="0"/>
          <w:noProof/>
          <w:sz w:val="18"/>
        </w:rPr>
        <w:fldChar w:fldCharType="begin"/>
      </w:r>
      <w:r w:rsidRPr="00136343">
        <w:rPr>
          <w:i w:val="0"/>
          <w:noProof/>
          <w:sz w:val="18"/>
        </w:rPr>
        <w:instrText xml:space="preserve"> PAGEREF _Toc515460538 \h </w:instrText>
      </w:r>
      <w:r w:rsidRPr="00136343">
        <w:rPr>
          <w:i w:val="0"/>
          <w:noProof/>
          <w:sz w:val="18"/>
        </w:rPr>
      </w:r>
      <w:r w:rsidRPr="00136343">
        <w:rPr>
          <w:i w:val="0"/>
          <w:noProof/>
          <w:sz w:val="18"/>
        </w:rPr>
        <w:fldChar w:fldCharType="separate"/>
      </w:r>
      <w:r w:rsidR="000157D0">
        <w:rPr>
          <w:i w:val="0"/>
          <w:noProof/>
          <w:sz w:val="18"/>
        </w:rPr>
        <w:t>3</w:t>
      </w:r>
      <w:r w:rsidRPr="00136343">
        <w:rPr>
          <w:i w:val="0"/>
          <w:noProof/>
          <w:sz w:val="18"/>
        </w:rPr>
        <w:fldChar w:fldCharType="end"/>
      </w:r>
    </w:p>
    <w:p w:rsidR="00B45435" w:rsidRPr="00136343" w:rsidRDefault="00B4543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136343">
        <w:rPr>
          <w:noProof/>
        </w:rPr>
        <w:t>Schedule</w:t>
      </w:r>
      <w:r w:rsidR="00136343" w:rsidRPr="00136343">
        <w:rPr>
          <w:noProof/>
        </w:rPr>
        <w:t> </w:t>
      </w:r>
      <w:r w:rsidRPr="00136343">
        <w:rPr>
          <w:noProof/>
        </w:rPr>
        <w:t>3—Approved Stock Exchanges</w:t>
      </w:r>
      <w:r w:rsidRPr="00136343">
        <w:rPr>
          <w:b w:val="0"/>
          <w:noProof/>
          <w:sz w:val="18"/>
        </w:rPr>
        <w:tab/>
      </w:r>
      <w:r w:rsidRPr="00136343">
        <w:rPr>
          <w:b w:val="0"/>
          <w:noProof/>
          <w:sz w:val="18"/>
        </w:rPr>
        <w:fldChar w:fldCharType="begin"/>
      </w:r>
      <w:r w:rsidRPr="00136343">
        <w:rPr>
          <w:b w:val="0"/>
          <w:noProof/>
          <w:sz w:val="18"/>
        </w:rPr>
        <w:instrText xml:space="preserve"> PAGEREF _Toc515460543 \h </w:instrText>
      </w:r>
      <w:r w:rsidRPr="00136343">
        <w:rPr>
          <w:b w:val="0"/>
          <w:noProof/>
          <w:sz w:val="18"/>
        </w:rPr>
      </w:r>
      <w:r w:rsidRPr="00136343">
        <w:rPr>
          <w:b w:val="0"/>
          <w:noProof/>
          <w:sz w:val="18"/>
        </w:rPr>
        <w:fldChar w:fldCharType="separate"/>
      </w:r>
      <w:r w:rsidR="000157D0">
        <w:rPr>
          <w:b w:val="0"/>
          <w:noProof/>
          <w:sz w:val="18"/>
        </w:rPr>
        <w:t>5</w:t>
      </w:r>
      <w:r w:rsidRPr="00136343">
        <w:rPr>
          <w:b w:val="0"/>
          <w:noProof/>
          <w:sz w:val="18"/>
        </w:rPr>
        <w:fldChar w:fldCharType="end"/>
      </w:r>
    </w:p>
    <w:p w:rsidR="00B45435" w:rsidRPr="00136343" w:rsidRDefault="00B4543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136343">
        <w:rPr>
          <w:noProof/>
        </w:rPr>
        <w:t>Income Tax Assessment Regulations</w:t>
      </w:r>
      <w:r w:rsidR="00136343" w:rsidRPr="00136343">
        <w:rPr>
          <w:noProof/>
        </w:rPr>
        <w:t> </w:t>
      </w:r>
      <w:r w:rsidRPr="00136343">
        <w:rPr>
          <w:noProof/>
        </w:rPr>
        <w:t>1997</w:t>
      </w:r>
      <w:r w:rsidRPr="00136343">
        <w:rPr>
          <w:i w:val="0"/>
          <w:noProof/>
          <w:sz w:val="18"/>
        </w:rPr>
        <w:tab/>
      </w:r>
      <w:r w:rsidRPr="00136343">
        <w:rPr>
          <w:i w:val="0"/>
          <w:noProof/>
          <w:sz w:val="18"/>
        </w:rPr>
        <w:fldChar w:fldCharType="begin"/>
      </w:r>
      <w:r w:rsidRPr="00136343">
        <w:rPr>
          <w:i w:val="0"/>
          <w:noProof/>
          <w:sz w:val="18"/>
        </w:rPr>
        <w:instrText xml:space="preserve"> PAGEREF _Toc515460544 \h </w:instrText>
      </w:r>
      <w:r w:rsidRPr="00136343">
        <w:rPr>
          <w:i w:val="0"/>
          <w:noProof/>
          <w:sz w:val="18"/>
        </w:rPr>
      </w:r>
      <w:r w:rsidRPr="00136343">
        <w:rPr>
          <w:i w:val="0"/>
          <w:noProof/>
          <w:sz w:val="18"/>
        </w:rPr>
        <w:fldChar w:fldCharType="separate"/>
      </w:r>
      <w:r w:rsidR="000157D0">
        <w:rPr>
          <w:i w:val="0"/>
          <w:noProof/>
          <w:sz w:val="18"/>
        </w:rPr>
        <w:t>5</w:t>
      </w:r>
      <w:r w:rsidRPr="00136343">
        <w:rPr>
          <w:i w:val="0"/>
          <w:noProof/>
          <w:sz w:val="18"/>
        </w:rPr>
        <w:fldChar w:fldCharType="end"/>
      </w:r>
    </w:p>
    <w:p w:rsidR="0048364F" w:rsidRPr="00136343" w:rsidRDefault="00B45435" w:rsidP="0048364F">
      <w:r w:rsidRPr="00136343">
        <w:fldChar w:fldCharType="end"/>
      </w:r>
    </w:p>
    <w:p w:rsidR="0048364F" w:rsidRPr="00136343" w:rsidRDefault="0048364F" w:rsidP="0048364F">
      <w:pPr>
        <w:sectPr w:rsidR="0048364F" w:rsidRPr="00136343" w:rsidSect="002771D9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136343" w:rsidRDefault="0048364F" w:rsidP="0048364F">
      <w:pPr>
        <w:pStyle w:val="ActHead5"/>
      </w:pPr>
      <w:bookmarkStart w:id="0" w:name="_Toc515460528"/>
      <w:r w:rsidRPr="00136343">
        <w:rPr>
          <w:rStyle w:val="CharSectno"/>
        </w:rPr>
        <w:lastRenderedPageBreak/>
        <w:t>1</w:t>
      </w:r>
      <w:r w:rsidRPr="00136343">
        <w:t xml:space="preserve">  </w:t>
      </w:r>
      <w:r w:rsidR="004F676E" w:rsidRPr="00136343">
        <w:t>Name</w:t>
      </w:r>
      <w:bookmarkEnd w:id="0"/>
    </w:p>
    <w:p w:rsidR="0048364F" w:rsidRPr="00136343" w:rsidRDefault="0048364F" w:rsidP="0048364F">
      <w:pPr>
        <w:pStyle w:val="subsection"/>
      </w:pPr>
      <w:r w:rsidRPr="00136343">
        <w:tab/>
      </w:r>
      <w:r w:rsidRPr="00136343">
        <w:tab/>
      </w:r>
      <w:r w:rsidR="00D03B04" w:rsidRPr="00136343">
        <w:t>This instrument is</w:t>
      </w:r>
      <w:r w:rsidRPr="00136343">
        <w:t xml:space="preserve"> the </w:t>
      </w:r>
      <w:r w:rsidR="00414ADE" w:rsidRPr="00136343">
        <w:rPr>
          <w:i/>
        </w:rPr>
        <w:fldChar w:fldCharType="begin"/>
      </w:r>
      <w:r w:rsidR="00414ADE" w:rsidRPr="00136343">
        <w:rPr>
          <w:i/>
        </w:rPr>
        <w:instrText xml:space="preserve"> STYLEREF  ShortT </w:instrText>
      </w:r>
      <w:r w:rsidR="00414ADE" w:rsidRPr="00136343">
        <w:rPr>
          <w:i/>
        </w:rPr>
        <w:fldChar w:fldCharType="separate"/>
      </w:r>
      <w:r w:rsidR="000157D0">
        <w:rPr>
          <w:i/>
          <w:noProof/>
        </w:rPr>
        <w:t>Treasury Laws Amendment (2018 Measures No. 1) Regulations 2018</w:t>
      </w:r>
      <w:r w:rsidR="00414ADE" w:rsidRPr="00136343">
        <w:rPr>
          <w:i/>
        </w:rPr>
        <w:fldChar w:fldCharType="end"/>
      </w:r>
      <w:r w:rsidRPr="00136343">
        <w:t>.</w:t>
      </w:r>
    </w:p>
    <w:p w:rsidR="004F676E" w:rsidRPr="00136343" w:rsidRDefault="0048364F" w:rsidP="005452CC">
      <w:pPr>
        <w:pStyle w:val="ActHead5"/>
      </w:pPr>
      <w:bookmarkStart w:id="1" w:name="_Toc515460529"/>
      <w:r w:rsidRPr="00136343">
        <w:rPr>
          <w:rStyle w:val="CharSectno"/>
        </w:rPr>
        <w:t>2</w:t>
      </w:r>
      <w:r w:rsidRPr="00136343">
        <w:t xml:space="preserve">  Commencement</w:t>
      </w:r>
      <w:bookmarkEnd w:id="1"/>
    </w:p>
    <w:p w:rsidR="00125096" w:rsidRPr="00136343" w:rsidRDefault="00125096" w:rsidP="00B45435">
      <w:pPr>
        <w:pStyle w:val="subsection"/>
      </w:pPr>
      <w:r w:rsidRPr="00136343">
        <w:tab/>
        <w:t>(1)</w:t>
      </w:r>
      <w:r w:rsidRPr="00136343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125096" w:rsidRPr="00136343" w:rsidRDefault="00125096" w:rsidP="00B45435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125096" w:rsidRPr="00136343" w:rsidTr="00B454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125096" w:rsidRPr="00136343" w:rsidRDefault="00125096" w:rsidP="00B45435">
            <w:pPr>
              <w:pStyle w:val="TableHeading"/>
            </w:pPr>
            <w:r w:rsidRPr="00136343">
              <w:t>Commencement information</w:t>
            </w:r>
          </w:p>
        </w:tc>
      </w:tr>
      <w:tr w:rsidR="00125096" w:rsidRPr="00136343" w:rsidTr="00B45435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125096" w:rsidRPr="00136343" w:rsidRDefault="00125096" w:rsidP="00B45435">
            <w:pPr>
              <w:pStyle w:val="TableHeading"/>
            </w:pPr>
            <w:r w:rsidRPr="00136343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125096" w:rsidRPr="00136343" w:rsidRDefault="00125096" w:rsidP="00B45435">
            <w:pPr>
              <w:pStyle w:val="TableHeading"/>
            </w:pPr>
            <w:r w:rsidRPr="00136343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125096" w:rsidRPr="00136343" w:rsidRDefault="00125096" w:rsidP="00B45435">
            <w:pPr>
              <w:pStyle w:val="TableHeading"/>
            </w:pPr>
            <w:r w:rsidRPr="00136343">
              <w:t>Column 3</w:t>
            </w:r>
          </w:p>
        </w:tc>
      </w:tr>
      <w:tr w:rsidR="00125096" w:rsidRPr="00136343" w:rsidTr="00B45435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125096" w:rsidRPr="00136343" w:rsidRDefault="00125096" w:rsidP="00B45435">
            <w:pPr>
              <w:pStyle w:val="TableHeading"/>
            </w:pPr>
            <w:r w:rsidRPr="00136343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125096" w:rsidRPr="00136343" w:rsidRDefault="00125096" w:rsidP="00B45435">
            <w:pPr>
              <w:pStyle w:val="TableHeading"/>
            </w:pPr>
            <w:r w:rsidRPr="00136343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125096" w:rsidRPr="00136343" w:rsidRDefault="00125096" w:rsidP="00B45435">
            <w:pPr>
              <w:pStyle w:val="TableHeading"/>
            </w:pPr>
            <w:r w:rsidRPr="00136343">
              <w:t>Date/Details</w:t>
            </w:r>
          </w:p>
        </w:tc>
      </w:tr>
      <w:tr w:rsidR="00125096" w:rsidRPr="00136343" w:rsidTr="00B4543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125096" w:rsidRPr="00136343" w:rsidRDefault="00125096" w:rsidP="00B45435">
            <w:pPr>
              <w:pStyle w:val="Tabletext"/>
            </w:pPr>
            <w:r w:rsidRPr="00136343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125096" w:rsidRPr="00136343" w:rsidRDefault="00125096" w:rsidP="00B45435">
            <w:pPr>
              <w:pStyle w:val="Tabletext"/>
            </w:pPr>
            <w:r w:rsidRPr="00136343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25096" w:rsidRPr="00136343" w:rsidRDefault="00737D54" w:rsidP="00B45435">
            <w:pPr>
              <w:pStyle w:val="Tabletext"/>
            </w:pPr>
            <w:r>
              <w:t>23 June 2018</w:t>
            </w:r>
            <w:bookmarkStart w:id="2" w:name="_GoBack"/>
            <w:bookmarkEnd w:id="2"/>
          </w:p>
        </w:tc>
      </w:tr>
    </w:tbl>
    <w:p w:rsidR="00125096" w:rsidRPr="00136343" w:rsidRDefault="00125096" w:rsidP="00B45435">
      <w:pPr>
        <w:pStyle w:val="notetext"/>
      </w:pPr>
      <w:r w:rsidRPr="00136343">
        <w:rPr>
          <w:snapToGrid w:val="0"/>
          <w:lang w:eastAsia="en-US"/>
        </w:rPr>
        <w:t>Note:</w:t>
      </w:r>
      <w:r w:rsidRPr="00136343">
        <w:rPr>
          <w:snapToGrid w:val="0"/>
          <w:lang w:eastAsia="en-US"/>
        </w:rPr>
        <w:tab/>
        <w:t xml:space="preserve">This table relates only to the provisions of this </w:t>
      </w:r>
      <w:r w:rsidRPr="00136343">
        <w:t xml:space="preserve">instrument </w:t>
      </w:r>
      <w:r w:rsidRPr="00136343">
        <w:rPr>
          <w:snapToGrid w:val="0"/>
          <w:lang w:eastAsia="en-US"/>
        </w:rPr>
        <w:t xml:space="preserve">as originally made. It will not be amended to deal with any later amendments of this </w:t>
      </w:r>
      <w:r w:rsidRPr="00136343">
        <w:t>instrument</w:t>
      </w:r>
      <w:r w:rsidRPr="00136343">
        <w:rPr>
          <w:snapToGrid w:val="0"/>
          <w:lang w:eastAsia="en-US"/>
        </w:rPr>
        <w:t>.</w:t>
      </w:r>
    </w:p>
    <w:p w:rsidR="00125096" w:rsidRPr="00136343" w:rsidRDefault="00125096" w:rsidP="00B45435">
      <w:pPr>
        <w:pStyle w:val="subsection"/>
      </w:pPr>
      <w:r w:rsidRPr="00136343">
        <w:tab/>
        <w:t>(2)</w:t>
      </w:r>
      <w:r w:rsidRPr="00136343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BF6650" w:rsidRPr="00136343" w:rsidRDefault="00BF6650" w:rsidP="00BF6650">
      <w:pPr>
        <w:pStyle w:val="ActHead5"/>
      </w:pPr>
      <w:bookmarkStart w:id="3" w:name="_Toc515460530"/>
      <w:r w:rsidRPr="00136343">
        <w:rPr>
          <w:rStyle w:val="CharSectno"/>
        </w:rPr>
        <w:t>3</w:t>
      </w:r>
      <w:r w:rsidRPr="00136343">
        <w:t xml:space="preserve">  Authority</w:t>
      </w:r>
      <w:bookmarkEnd w:id="3"/>
    </w:p>
    <w:p w:rsidR="00BF6650" w:rsidRPr="00136343" w:rsidRDefault="00BF6650" w:rsidP="00BF6650">
      <w:pPr>
        <w:pStyle w:val="subsection"/>
        <w:rPr>
          <w:i/>
        </w:rPr>
      </w:pPr>
      <w:r w:rsidRPr="00136343">
        <w:tab/>
      </w:r>
      <w:r w:rsidRPr="00136343">
        <w:tab/>
      </w:r>
      <w:r w:rsidR="00D03B04" w:rsidRPr="00136343">
        <w:t>This instrument is</w:t>
      </w:r>
      <w:r w:rsidRPr="00136343">
        <w:t xml:space="preserve"> made </w:t>
      </w:r>
      <w:r w:rsidR="00125096" w:rsidRPr="00136343">
        <w:t>under the following:</w:t>
      </w:r>
    </w:p>
    <w:p w:rsidR="00341549" w:rsidRPr="00136343" w:rsidRDefault="00125096" w:rsidP="00125096">
      <w:pPr>
        <w:pStyle w:val="paragraph"/>
        <w:rPr>
          <w:i/>
        </w:rPr>
      </w:pPr>
      <w:r w:rsidRPr="00136343">
        <w:tab/>
        <w:t>(a)</w:t>
      </w:r>
      <w:r w:rsidRPr="00136343">
        <w:tab/>
      </w:r>
      <w:r w:rsidR="00341549" w:rsidRPr="00136343">
        <w:t xml:space="preserve">the </w:t>
      </w:r>
      <w:r w:rsidR="00341549" w:rsidRPr="00136343">
        <w:rPr>
          <w:i/>
        </w:rPr>
        <w:t>Income Tax Assessment Act 1997;</w:t>
      </w:r>
    </w:p>
    <w:p w:rsidR="00125096" w:rsidRPr="00136343" w:rsidRDefault="00125096" w:rsidP="00125096">
      <w:pPr>
        <w:pStyle w:val="paragraph"/>
        <w:rPr>
          <w:b/>
        </w:rPr>
      </w:pPr>
      <w:r w:rsidRPr="00136343">
        <w:rPr>
          <w:i/>
        </w:rPr>
        <w:tab/>
      </w:r>
      <w:r w:rsidR="00341549" w:rsidRPr="00136343">
        <w:t>(</w:t>
      </w:r>
      <w:r w:rsidR="00FE7B56" w:rsidRPr="00136343">
        <w:t>b</w:t>
      </w:r>
      <w:r w:rsidRPr="00136343">
        <w:t>)</w:t>
      </w:r>
      <w:r w:rsidRPr="00136343">
        <w:rPr>
          <w:i/>
        </w:rPr>
        <w:tab/>
      </w:r>
      <w:r w:rsidRPr="00136343">
        <w:t xml:space="preserve">the </w:t>
      </w:r>
      <w:r w:rsidRPr="00136343">
        <w:rPr>
          <w:i/>
        </w:rPr>
        <w:t>Tax Agent Services Act 2009</w:t>
      </w:r>
      <w:r w:rsidR="00FE7B56" w:rsidRPr="00136343">
        <w:t>;</w:t>
      </w:r>
    </w:p>
    <w:p w:rsidR="00FE7B56" w:rsidRPr="00136343" w:rsidRDefault="00FE7B56" w:rsidP="00341549">
      <w:pPr>
        <w:pStyle w:val="paragraph"/>
      </w:pPr>
      <w:r w:rsidRPr="00136343">
        <w:tab/>
        <w:t>(c)</w:t>
      </w:r>
      <w:r w:rsidRPr="00136343">
        <w:tab/>
        <w:t xml:space="preserve">the </w:t>
      </w:r>
      <w:r w:rsidRPr="00136343">
        <w:rPr>
          <w:i/>
        </w:rPr>
        <w:t>Taxation Administration Act 1953</w:t>
      </w:r>
      <w:r w:rsidRPr="00136343">
        <w:t>.</w:t>
      </w:r>
    </w:p>
    <w:p w:rsidR="00557C7A" w:rsidRPr="00136343" w:rsidRDefault="00BF6650" w:rsidP="00557C7A">
      <w:pPr>
        <w:pStyle w:val="ActHead5"/>
      </w:pPr>
      <w:bookmarkStart w:id="4" w:name="_Toc515460531"/>
      <w:r w:rsidRPr="00136343">
        <w:rPr>
          <w:rStyle w:val="CharSectno"/>
        </w:rPr>
        <w:t>4</w:t>
      </w:r>
      <w:r w:rsidR="00557C7A" w:rsidRPr="00136343">
        <w:t xml:space="preserve">  </w:t>
      </w:r>
      <w:r w:rsidR="00083F48" w:rsidRPr="00136343">
        <w:t>Schedules</w:t>
      </w:r>
      <w:bookmarkEnd w:id="4"/>
    </w:p>
    <w:p w:rsidR="00557C7A" w:rsidRPr="00136343" w:rsidRDefault="00557C7A" w:rsidP="00557C7A">
      <w:pPr>
        <w:pStyle w:val="subsection"/>
      </w:pPr>
      <w:r w:rsidRPr="00136343">
        <w:tab/>
      </w:r>
      <w:r w:rsidRPr="00136343">
        <w:tab/>
      </w:r>
      <w:r w:rsidR="00083F48" w:rsidRPr="00136343">
        <w:t xml:space="preserve">Each </w:t>
      </w:r>
      <w:r w:rsidR="00160BD7" w:rsidRPr="00136343">
        <w:t>instrument</w:t>
      </w:r>
      <w:r w:rsidR="00083F48" w:rsidRPr="00136343">
        <w:t xml:space="preserve"> that is specified in a Schedule to </w:t>
      </w:r>
      <w:r w:rsidR="00D03B04" w:rsidRPr="00136343">
        <w:t>this instrument</w:t>
      </w:r>
      <w:r w:rsidR="00083F48" w:rsidRPr="00136343">
        <w:t xml:space="preserve"> is amended or repealed as set out in the applicable items in the Schedule concerned, and any other item in a Schedule to </w:t>
      </w:r>
      <w:r w:rsidR="00D03B04" w:rsidRPr="00136343">
        <w:t>this instrument</w:t>
      </w:r>
      <w:r w:rsidR="00083F48" w:rsidRPr="00136343">
        <w:t xml:space="preserve"> has effect according to its terms.</w:t>
      </w:r>
    </w:p>
    <w:p w:rsidR="00FD5A08" w:rsidRPr="00136343" w:rsidRDefault="00FD5A08" w:rsidP="00FD5A08">
      <w:pPr>
        <w:pStyle w:val="ActHead6"/>
        <w:pageBreakBefore/>
      </w:pPr>
      <w:bookmarkStart w:id="5" w:name="_Toc515460532"/>
      <w:bookmarkStart w:id="6" w:name="opcAmSched"/>
      <w:r w:rsidRPr="00136343">
        <w:rPr>
          <w:rStyle w:val="CharAmSchNo"/>
        </w:rPr>
        <w:t>Schedule</w:t>
      </w:r>
      <w:r w:rsidR="00136343" w:rsidRPr="00136343">
        <w:rPr>
          <w:rStyle w:val="CharAmSchNo"/>
        </w:rPr>
        <w:t> </w:t>
      </w:r>
      <w:r w:rsidRPr="00136343">
        <w:rPr>
          <w:rStyle w:val="CharAmSchNo"/>
        </w:rPr>
        <w:t>1</w:t>
      </w:r>
      <w:r w:rsidRPr="00136343">
        <w:t>—</w:t>
      </w:r>
      <w:r w:rsidRPr="00136343">
        <w:rPr>
          <w:rStyle w:val="CharAmSchText"/>
        </w:rPr>
        <w:t>Disclosure of information to the Black Economy Standing Taskforce and the Illicit Tobacco Taskforce</w:t>
      </w:r>
      <w:bookmarkEnd w:id="5"/>
    </w:p>
    <w:p w:rsidR="00FD5A08" w:rsidRPr="00136343" w:rsidRDefault="00FD5A08" w:rsidP="00FD5A08">
      <w:pPr>
        <w:pStyle w:val="Header"/>
      </w:pPr>
      <w:bookmarkStart w:id="7" w:name="ConfidenceBlock"/>
      <w:bookmarkEnd w:id="7"/>
      <w:bookmarkEnd w:id="6"/>
      <w:r w:rsidRPr="00136343">
        <w:rPr>
          <w:rStyle w:val="CharAmPartNo"/>
        </w:rPr>
        <w:t xml:space="preserve"> </w:t>
      </w:r>
      <w:r w:rsidRPr="00136343">
        <w:rPr>
          <w:rStyle w:val="CharAmPartText"/>
        </w:rPr>
        <w:t xml:space="preserve"> </w:t>
      </w:r>
    </w:p>
    <w:p w:rsidR="00FD5A08" w:rsidRPr="00136343" w:rsidRDefault="00FD5A08" w:rsidP="00FD5A08">
      <w:pPr>
        <w:pStyle w:val="ActHead9"/>
      </w:pPr>
      <w:bookmarkStart w:id="8" w:name="_Toc515460533"/>
      <w:r w:rsidRPr="00136343">
        <w:t>Taxation Administration Regulations</w:t>
      </w:r>
      <w:r w:rsidR="00136343" w:rsidRPr="00136343">
        <w:t> </w:t>
      </w:r>
      <w:r w:rsidRPr="00136343">
        <w:t>2017</w:t>
      </w:r>
      <w:bookmarkEnd w:id="8"/>
    </w:p>
    <w:p w:rsidR="00FD5A08" w:rsidRPr="00136343" w:rsidRDefault="00FD5A08" w:rsidP="00FD5A08">
      <w:pPr>
        <w:pStyle w:val="ItemHead"/>
      </w:pPr>
      <w:r w:rsidRPr="00136343">
        <w:t>1  Section</w:t>
      </w:r>
      <w:r w:rsidR="00136343" w:rsidRPr="00136343">
        <w:t> </w:t>
      </w:r>
      <w:r w:rsidRPr="00136343">
        <w:t>67 (at the end of the table)</w:t>
      </w:r>
    </w:p>
    <w:p w:rsidR="00FD5A08" w:rsidRPr="00136343" w:rsidRDefault="00FD5A08" w:rsidP="00FD5A08">
      <w:pPr>
        <w:pStyle w:val="Item"/>
      </w:pPr>
      <w:r w:rsidRPr="00136343">
        <w:t>Add:</w:t>
      </w: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7599"/>
      </w:tblGrid>
      <w:tr w:rsidR="00FD5A08" w:rsidRPr="00136343" w:rsidTr="00B45435">
        <w:tc>
          <w:tcPr>
            <w:tcW w:w="71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D5A08" w:rsidRPr="00136343" w:rsidRDefault="00FD5A08" w:rsidP="00B45435">
            <w:pPr>
              <w:pStyle w:val="Tabletext"/>
            </w:pPr>
            <w:r w:rsidRPr="00136343">
              <w:t>8</w:t>
            </w:r>
          </w:p>
        </w:tc>
        <w:tc>
          <w:tcPr>
            <w:tcW w:w="75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D5A08" w:rsidRPr="00136343" w:rsidRDefault="00FD5A08" w:rsidP="00B45435">
            <w:pPr>
              <w:pStyle w:val="Tabletext"/>
            </w:pPr>
            <w:r w:rsidRPr="00136343">
              <w:t>Black Economy Standing Taskforce</w:t>
            </w:r>
          </w:p>
        </w:tc>
      </w:tr>
      <w:tr w:rsidR="00FD5A08" w:rsidRPr="00136343" w:rsidTr="00B45435">
        <w:tc>
          <w:tcPr>
            <w:tcW w:w="71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D5A08" w:rsidRPr="00136343" w:rsidRDefault="00FD5A08" w:rsidP="00B45435">
            <w:pPr>
              <w:pStyle w:val="Tabletext"/>
            </w:pPr>
            <w:r w:rsidRPr="00136343">
              <w:t>9</w:t>
            </w:r>
          </w:p>
        </w:tc>
        <w:tc>
          <w:tcPr>
            <w:tcW w:w="7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D5A08" w:rsidRPr="00136343" w:rsidRDefault="00FD5A08" w:rsidP="00B45435">
            <w:pPr>
              <w:pStyle w:val="Tabletext"/>
            </w:pPr>
            <w:r w:rsidRPr="00136343">
              <w:t>Illicit Tobacco Taskforce</w:t>
            </w:r>
          </w:p>
        </w:tc>
      </w:tr>
    </w:tbl>
    <w:p w:rsidR="00FD5A08" w:rsidRPr="00136343" w:rsidRDefault="00FD5A08" w:rsidP="00FD5A08">
      <w:pPr>
        <w:pStyle w:val="Tabletext"/>
      </w:pPr>
    </w:p>
    <w:p w:rsidR="00FD5A08" w:rsidRPr="00136343" w:rsidRDefault="00FD5A08" w:rsidP="00FD5A08">
      <w:pPr>
        <w:pStyle w:val="ItemHead"/>
      </w:pPr>
      <w:r w:rsidRPr="00136343">
        <w:t>2  Before section</w:t>
      </w:r>
      <w:r w:rsidR="00136343" w:rsidRPr="00136343">
        <w:t> </w:t>
      </w:r>
      <w:r w:rsidRPr="00136343">
        <w:t>71</w:t>
      </w:r>
    </w:p>
    <w:p w:rsidR="00FD5A08" w:rsidRPr="00136343" w:rsidRDefault="00FD5A08" w:rsidP="00FD5A08">
      <w:pPr>
        <w:pStyle w:val="Item"/>
      </w:pPr>
      <w:r w:rsidRPr="00136343">
        <w:t>Insert:</w:t>
      </w:r>
    </w:p>
    <w:p w:rsidR="00FD5A08" w:rsidRPr="00136343" w:rsidRDefault="00FD5A08" w:rsidP="00FD5A08">
      <w:pPr>
        <w:pStyle w:val="ActHead3"/>
        <w:rPr>
          <w:i/>
        </w:rPr>
      </w:pPr>
      <w:bookmarkStart w:id="9" w:name="_Toc515460534"/>
      <w:r w:rsidRPr="00136343">
        <w:rPr>
          <w:rStyle w:val="CharDivNo"/>
        </w:rPr>
        <w:t>Division</w:t>
      </w:r>
      <w:r w:rsidR="00136343" w:rsidRPr="00136343">
        <w:rPr>
          <w:rStyle w:val="CharDivNo"/>
        </w:rPr>
        <w:t> </w:t>
      </w:r>
      <w:r w:rsidRPr="00136343">
        <w:rPr>
          <w:rStyle w:val="CharDivNo"/>
        </w:rPr>
        <w:t>1</w:t>
      </w:r>
      <w:r w:rsidRPr="00136343">
        <w:t>—</w:t>
      </w:r>
      <w:r w:rsidRPr="00136343">
        <w:rPr>
          <w:rStyle w:val="CharDivText"/>
        </w:rPr>
        <w:t>Transitional matters relating to the repeal of the Taxation Administration Regulations</w:t>
      </w:r>
      <w:r w:rsidR="00136343" w:rsidRPr="00136343">
        <w:rPr>
          <w:rStyle w:val="CharDivText"/>
        </w:rPr>
        <w:t> </w:t>
      </w:r>
      <w:r w:rsidRPr="00136343">
        <w:rPr>
          <w:rStyle w:val="CharDivText"/>
        </w:rPr>
        <w:t>1976</w:t>
      </w:r>
      <w:bookmarkEnd w:id="9"/>
    </w:p>
    <w:p w:rsidR="00FD5A08" w:rsidRPr="00136343" w:rsidRDefault="00FD5A08" w:rsidP="00FD5A08">
      <w:pPr>
        <w:pStyle w:val="ItemHead"/>
      </w:pPr>
      <w:r w:rsidRPr="00136343">
        <w:t>3  In the appropriate position in Part</w:t>
      </w:r>
      <w:r w:rsidR="00136343" w:rsidRPr="00136343">
        <w:t> </w:t>
      </w:r>
      <w:r w:rsidRPr="00136343">
        <w:t>7</w:t>
      </w:r>
    </w:p>
    <w:p w:rsidR="00FD5A08" w:rsidRPr="00136343" w:rsidRDefault="00FD5A08" w:rsidP="00FD5A08">
      <w:pPr>
        <w:pStyle w:val="Item"/>
      </w:pPr>
      <w:r w:rsidRPr="00136343">
        <w:t>Insert:</w:t>
      </w:r>
    </w:p>
    <w:p w:rsidR="00FD5A08" w:rsidRPr="00136343" w:rsidRDefault="00FD5A08" w:rsidP="00FD5A08">
      <w:pPr>
        <w:pStyle w:val="ActHead3"/>
      </w:pPr>
      <w:bookmarkStart w:id="10" w:name="_Toc515460535"/>
      <w:r w:rsidRPr="00136343">
        <w:rPr>
          <w:rStyle w:val="CharDivNo"/>
        </w:rPr>
        <w:t>Division</w:t>
      </w:r>
      <w:r w:rsidR="00136343" w:rsidRPr="00136343">
        <w:rPr>
          <w:rStyle w:val="CharDivNo"/>
        </w:rPr>
        <w:t> </w:t>
      </w:r>
      <w:r w:rsidRPr="00136343">
        <w:rPr>
          <w:rStyle w:val="CharDivNo"/>
        </w:rPr>
        <w:t>2</w:t>
      </w:r>
      <w:r w:rsidRPr="00136343">
        <w:t>—</w:t>
      </w:r>
      <w:r w:rsidRPr="00136343">
        <w:rPr>
          <w:rStyle w:val="CharDivText"/>
        </w:rPr>
        <w:t>T</w:t>
      </w:r>
      <w:r w:rsidR="006F3695" w:rsidRPr="00136343">
        <w:rPr>
          <w:rStyle w:val="CharDivText"/>
        </w:rPr>
        <w:t>ransitional matters relating to</w:t>
      </w:r>
      <w:r w:rsidRPr="00136343">
        <w:rPr>
          <w:rStyle w:val="CharDivText"/>
        </w:rPr>
        <w:t xml:space="preserve"> the Treasury Laws Amendment (2018 Measures No.</w:t>
      </w:r>
      <w:r w:rsidR="00136343" w:rsidRPr="00136343">
        <w:rPr>
          <w:rStyle w:val="CharDivText"/>
        </w:rPr>
        <w:t> </w:t>
      </w:r>
      <w:r w:rsidRPr="00136343">
        <w:rPr>
          <w:rStyle w:val="CharDivText"/>
        </w:rPr>
        <w:t>1) Regulations</w:t>
      </w:r>
      <w:r w:rsidR="00136343" w:rsidRPr="00136343">
        <w:rPr>
          <w:rStyle w:val="CharDivText"/>
        </w:rPr>
        <w:t> </w:t>
      </w:r>
      <w:r w:rsidRPr="00136343">
        <w:rPr>
          <w:rStyle w:val="CharDivText"/>
        </w:rPr>
        <w:t>2018</w:t>
      </w:r>
      <w:bookmarkEnd w:id="10"/>
    </w:p>
    <w:p w:rsidR="00FD5A08" w:rsidRPr="00136343" w:rsidRDefault="00FD5A08" w:rsidP="00FD5A08">
      <w:pPr>
        <w:pStyle w:val="ActHead5"/>
      </w:pPr>
      <w:bookmarkStart w:id="11" w:name="_Toc515460536"/>
      <w:r w:rsidRPr="00136343">
        <w:rPr>
          <w:rStyle w:val="CharSectno"/>
        </w:rPr>
        <w:t>73</w:t>
      </w:r>
      <w:r w:rsidRPr="00136343">
        <w:t xml:space="preserve">  Disclosure of information to the Black Economy Standing Taskforce and the Illicit Tobacco Taskforce</w:t>
      </w:r>
      <w:bookmarkEnd w:id="11"/>
    </w:p>
    <w:p w:rsidR="00FD5A08" w:rsidRPr="00136343" w:rsidRDefault="00FD5A08" w:rsidP="00FD5A08">
      <w:pPr>
        <w:pStyle w:val="subsection"/>
      </w:pPr>
      <w:r w:rsidRPr="00136343">
        <w:tab/>
      </w:r>
      <w:r w:rsidRPr="00136343">
        <w:tab/>
        <w:t>The amendment of section</w:t>
      </w:r>
      <w:r w:rsidR="00136343" w:rsidRPr="00136343">
        <w:t> </w:t>
      </w:r>
      <w:r w:rsidRPr="00136343">
        <w:t>67 of this instrument made by Schedule</w:t>
      </w:r>
      <w:r w:rsidR="00136343" w:rsidRPr="00136343">
        <w:t> </w:t>
      </w:r>
      <w:r w:rsidRPr="00136343">
        <w:t xml:space="preserve">1 to the </w:t>
      </w:r>
      <w:r w:rsidRPr="00136343">
        <w:rPr>
          <w:i/>
        </w:rPr>
        <w:t>Treasury Laws Amendment (2018 Measures No.</w:t>
      </w:r>
      <w:r w:rsidR="00136343" w:rsidRPr="00136343">
        <w:rPr>
          <w:i/>
        </w:rPr>
        <w:t> </w:t>
      </w:r>
      <w:r w:rsidRPr="00136343">
        <w:rPr>
          <w:i/>
        </w:rPr>
        <w:t>1) Regulations</w:t>
      </w:r>
      <w:r w:rsidR="00136343" w:rsidRPr="00136343">
        <w:rPr>
          <w:i/>
        </w:rPr>
        <w:t> </w:t>
      </w:r>
      <w:r w:rsidRPr="00136343">
        <w:rPr>
          <w:i/>
        </w:rPr>
        <w:t>2018</w:t>
      </w:r>
      <w:r w:rsidRPr="00136343">
        <w:t xml:space="preserve"> applies in relation to disclosures of information made on or after the commencement of that Schedule (whether the information was obtained before, on or after that commencement).</w:t>
      </w:r>
    </w:p>
    <w:p w:rsidR="00FD5A08" w:rsidRPr="00136343" w:rsidRDefault="00FD5A08" w:rsidP="00FD5A08">
      <w:pPr>
        <w:pStyle w:val="ActHead6"/>
        <w:pageBreakBefore/>
      </w:pPr>
      <w:bookmarkStart w:id="12" w:name="_Toc515460537"/>
      <w:r w:rsidRPr="00136343">
        <w:rPr>
          <w:rStyle w:val="CharAmSchNo"/>
        </w:rPr>
        <w:t>Schedule</w:t>
      </w:r>
      <w:r w:rsidR="00136343" w:rsidRPr="00136343">
        <w:rPr>
          <w:rStyle w:val="CharAmSchNo"/>
        </w:rPr>
        <w:t> </w:t>
      </w:r>
      <w:r w:rsidRPr="00136343">
        <w:rPr>
          <w:rStyle w:val="CharAmSchNo"/>
        </w:rPr>
        <w:t>2</w:t>
      </w:r>
      <w:r w:rsidRPr="00136343">
        <w:t>—</w:t>
      </w:r>
      <w:r w:rsidRPr="00136343">
        <w:rPr>
          <w:rStyle w:val="CharAmSchText"/>
        </w:rPr>
        <w:t>Tax Practitioners Board funding</w:t>
      </w:r>
      <w:bookmarkEnd w:id="12"/>
    </w:p>
    <w:p w:rsidR="00FD5A08" w:rsidRPr="00136343" w:rsidRDefault="00FD5A08" w:rsidP="00FD5A08">
      <w:pPr>
        <w:pStyle w:val="Header"/>
      </w:pPr>
      <w:r w:rsidRPr="00136343">
        <w:rPr>
          <w:rStyle w:val="CharAmPartNo"/>
        </w:rPr>
        <w:t xml:space="preserve"> </w:t>
      </w:r>
      <w:r w:rsidRPr="00136343">
        <w:rPr>
          <w:rStyle w:val="CharAmPartText"/>
        </w:rPr>
        <w:t xml:space="preserve"> </w:t>
      </w:r>
    </w:p>
    <w:p w:rsidR="00FD5A08" w:rsidRPr="00136343" w:rsidRDefault="00FD5A08" w:rsidP="00FD5A08">
      <w:pPr>
        <w:pStyle w:val="ActHead9"/>
      </w:pPr>
      <w:bookmarkStart w:id="13" w:name="_Toc515460538"/>
      <w:r w:rsidRPr="00136343">
        <w:t>Tax Agent Services Regulations</w:t>
      </w:r>
      <w:r w:rsidR="00136343" w:rsidRPr="00136343">
        <w:t> </w:t>
      </w:r>
      <w:r w:rsidRPr="00136343">
        <w:t>2009</w:t>
      </w:r>
      <w:bookmarkEnd w:id="13"/>
    </w:p>
    <w:p w:rsidR="00FD5A08" w:rsidRPr="00136343" w:rsidRDefault="00FD5A08" w:rsidP="00FD5A08">
      <w:pPr>
        <w:pStyle w:val="ItemHead"/>
      </w:pPr>
      <w:r w:rsidRPr="00136343">
        <w:t>1  Regulation</w:t>
      </w:r>
      <w:r w:rsidR="00136343" w:rsidRPr="00136343">
        <w:t> </w:t>
      </w:r>
      <w:r w:rsidRPr="00136343">
        <w:t>9</w:t>
      </w:r>
    </w:p>
    <w:p w:rsidR="00FD5A08" w:rsidRPr="00136343" w:rsidRDefault="00FD5A08" w:rsidP="00FD5A08">
      <w:pPr>
        <w:pStyle w:val="Item"/>
      </w:pPr>
      <w:r w:rsidRPr="00136343">
        <w:t>Repeal the regulation, substitute:</w:t>
      </w:r>
    </w:p>
    <w:p w:rsidR="00FD5A08" w:rsidRPr="00136343" w:rsidRDefault="00FD5A08" w:rsidP="00FD5A08">
      <w:pPr>
        <w:pStyle w:val="ActHead5"/>
      </w:pPr>
      <w:bookmarkStart w:id="14" w:name="_Toc515460539"/>
      <w:r w:rsidRPr="00136343">
        <w:rPr>
          <w:rStyle w:val="CharSectno"/>
        </w:rPr>
        <w:t>9</w:t>
      </w:r>
      <w:r w:rsidRPr="00136343">
        <w:t xml:space="preserve">  Application for registration—processing fees</w:t>
      </w:r>
      <w:bookmarkEnd w:id="14"/>
    </w:p>
    <w:p w:rsidR="00FD5A08" w:rsidRPr="00136343" w:rsidRDefault="00FD5A08" w:rsidP="00FD5A08">
      <w:pPr>
        <w:pStyle w:val="subsection"/>
      </w:pPr>
      <w:r w:rsidRPr="00136343">
        <w:tab/>
        <w:t>(1)</w:t>
      </w:r>
      <w:r w:rsidRPr="00136343">
        <w:tab/>
        <w:t>For the purposes of paragraph</w:t>
      </w:r>
      <w:r w:rsidR="00136343" w:rsidRPr="00136343">
        <w:t> </w:t>
      </w:r>
      <w:r w:rsidRPr="00136343">
        <w:t>20</w:t>
      </w:r>
      <w:r w:rsidR="00136343">
        <w:noBreakHyphen/>
      </w:r>
      <w:r w:rsidRPr="00136343">
        <w:t>20(2)(b) of the Act, the fee for an application to the Board for registration is set out in the following table.</w:t>
      </w:r>
    </w:p>
    <w:p w:rsidR="00FD5A08" w:rsidRPr="00136343" w:rsidRDefault="00FD5A08" w:rsidP="00FD5A08">
      <w:pPr>
        <w:pStyle w:val="notetext"/>
      </w:pPr>
      <w:r w:rsidRPr="00136343">
        <w:t>Note:</w:t>
      </w:r>
      <w:r w:rsidRPr="00136343">
        <w:tab/>
        <w:t>The period of registration is for at least 3 years: see subsection</w:t>
      </w:r>
      <w:r w:rsidR="00136343" w:rsidRPr="00136343">
        <w:t> </w:t>
      </w:r>
      <w:r w:rsidRPr="00136343">
        <w:t>20</w:t>
      </w:r>
      <w:r w:rsidR="00136343">
        <w:noBreakHyphen/>
      </w:r>
      <w:r w:rsidRPr="00136343">
        <w:t>25(4) of the Act. Registration may be renewed with effect from when current registration expires: see section</w:t>
      </w:r>
      <w:r w:rsidR="00136343" w:rsidRPr="00136343">
        <w:t> </w:t>
      </w:r>
      <w:r w:rsidRPr="00136343">
        <w:t>20</w:t>
      </w:r>
      <w:r w:rsidR="00136343">
        <w:noBreakHyphen/>
      </w:r>
      <w:r w:rsidRPr="00136343">
        <w:t>50 of the Act.</w:t>
      </w:r>
    </w:p>
    <w:p w:rsidR="00FD5A08" w:rsidRPr="00136343" w:rsidRDefault="00FD5A08" w:rsidP="00FD5A08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4526"/>
        <w:gridCol w:w="3072"/>
      </w:tblGrid>
      <w:tr w:rsidR="00FD5A08" w:rsidRPr="00136343" w:rsidTr="006F3695">
        <w:trPr>
          <w:tblHeader/>
        </w:trPr>
        <w:tc>
          <w:tcPr>
            <w:tcW w:w="7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D5A08" w:rsidRPr="00136343" w:rsidRDefault="00FD5A08" w:rsidP="00B45435">
            <w:pPr>
              <w:pStyle w:val="TableHeading"/>
            </w:pPr>
            <w:r w:rsidRPr="00136343">
              <w:t>Item</w:t>
            </w:r>
          </w:p>
        </w:tc>
        <w:tc>
          <w:tcPr>
            <w:tcW w:w="45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D5A08" w:rsidRPr="00136343" w:rsidRDefault="00FD5A08" w:rsidP="00B45435">
            <w:pPr>
              <w:pStyle w:val="TableHeading"/>
            </w:pPr>
            <w:r w:rsidRPr="00136343">
              <w:t>For an application for this type of registration …</w:t>
            </w:r>
          </w:p>
        </w:tc>
        <w:tc>
          <w:tcPr>
            <w:tcW w:w="30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D5A08" w:rsidRPr="00136343" w:rsidRDefault="00FD5A08" w:rsidP="00B45435">
            <w:pPr>
              <w:pStyle w:val="TableHeading"/>
            </w:pPr>
            <w:r w:rsidRPr="00136343">
              <w:t>the fee is …</w:t>
            </w:r>
          </w:p>
        </w:tc>
      </w:tr>
      <w:tr w:rsidR="00FD5A08" w:rsidRPr="00136343" w:rsidTr="006F3695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FD5A08" w:rsidRPr="00136343" w:rsidRDefault="00FD5A08" w:rsidP="00B45435">
            <w:pPr>
              <w:pStyle w:val="Tabletext"/>
            </w:pPr>
            <w:r w:rsidRPr="00136343">
              <w:t>1</w:t>
            </w:r>
          </w:p>
        </w:tc>
        <w:tc>
          <w:tcPr>
            <w:tcW w:w="4526" w:type="dxa"/>
            <w:tcBorders>
              <w:top w:val="single" w:sz="12" w:space="0" w:color="auto"/>
            </w:tcBorders>
            <w:shd w:val="clear" w:color="auto" w:fill="auto"/>
          </w:tcPr>
          <w:p w:rsidR="00FD5A08" w:rsidRPr="00136343" w:rsidRDefault="00FE7B56" w:rsidP="00B45435">
            <w:pPr>
              <w:pStyle w:val="Tabletext"/>
            </w:pPr>
            <w:r w:rsidRPr="00136343">
              <w:t xml:space="preserve">registration </w:t>
            </w:r>
            <w:r w:rsidR="00FD5A08" w:rsidRPr="00136343">
              <w:t>as a tax agent</w:t>
            </w:r>
          </w:p>
        </w:tc>
        <w:tc>
          <w:tcPr>
            <w:tcW w:w="3072" w:type="dxa"/>
            <w:tcBorders>
              <w:top w:val="single" w:sz="12" w:space="0" w:color="auto"/>
            </w:tcBorders>
            <w:shd w:val="clear" w:color="auto" w:fill="auto"/>
          </w:tcPr>
          <w:p w:rsidR="00FD5A08" w:rsidRPr="00136343" w:rsidRDefault="00FD5A08" w:rsidP="00B45435">
            <w:pPr>
              <w:pStyle w:val="Tabletext"/>
            </w:pPr>
            <w:r w:rsidRPr="00136343">
              <w:t xml:space="preserve">$675 (subject to indexation under </w:t>
            </w:r>
            <w:proofErr w:type="spellStart"/>
            <w:r w:rsidRPr="00136343">
              <w:t>subregulation</w:t>
            </w:r>
            <w:proofErr w:type="spellEnd"/>
            <w:r w:rsidR="00136343" w:rsidRPr="00136343">
              <w:t> </w:t>
            </w:r>
            <w:r w:rsidRPr="00136343">
              <w:t>(2))</w:t>
            </w:r>
          </w:p>
        </w:tc>
      </w:tr>
      <w:tr w:rsidR="00FD5A08" w:rsidRPr="00136343" w:rsidTr="006F3695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FD5A08" w:rsidRPr="00136343" w:rsidRDefault="00FD5A08" w:rsidP="00B45435">
            <w:pPr>
              <w:pStyle w:val="Tabletext"/>
            </w:pPr>
            <w:r w:rsidRPr="00136343">
              <w:t>2</w:t>
            </w:r>
          </w:p>
        </w:tc>
        <w:tc>
          <w:tcPr>
            <w:tcW w:w="4526" w:type="dxa"/>
            <w:tcBorders>
              <w:bottom w:val="single" w:sz="2" w:space="0" w:color="auto"/>
            </w:tcBorders>
            <w:shd w:val="clear" w:color="auto" w:fill="auto"/>
          </w:tcPr>
          <w:p w:rsidR="00FD5A08" w:rsidRPr="00136343" w:rsidRDefault="00FE7B56" w:rsidP="00B45435">
            <w:pPr>
              <w:pStyle w:val="Tabletext"/>
            </w:pPr>
            <w:r w:rsidRPr="00136343">
              <w:t xml:space="preserve">registration </w:t>
            </w:r>
            <w:r w:rsidR="00FD5A08" w:rsidRPr="00136343">
              <w:t>as a BAS agent</w:t>
            </w:r>
          </w:p>
        </w:tc>
        <w:tc>
          <w:tcPr>
            <w:tcW w:w="3072" w:type="dxa"/>
            <w:tcBorders>
              <w:bottom w:val="single" w:sz="2" w:space="0" w:color="auto"/>
            </w:tcBorders>
            <w:shd w:val="clear" w:color="auto" w:fill="auto"/>
          </w:tcPr>
          <w:p w:rsidR="00FD5A08" w:rsidRPr="00136343" w:rsidRDefault="00FD5A08" w:rsidP="00B45435">
            <w:pPr>
              <w:pStyle w:val="Tabletext"/>
            </w:pPr>
            <w:r w:rsidRPr="00136343">
              <w:t xml:space="preserve">$135 (subject to indexation under </w:t>
            </w:r>
            <w:proofErr w:type="spellStart"/>
            <w:r w:rsidRPr="00136343">
              <w:t>subregulation</w:t>
            </w:r>
            <w:proofErr w:type="spellEnd"/>
            <w:r w:rsidR="00136343" w:rsidRPr="00136343">
              <w:t> </w:t>
            </w:r>
            <w:r w:rsidRPr="00136343">
              <w:t>(2))</w:t>
            </w:r>
          </w:p>
        </w:tc>
      </w:tr>
      <w:tr w:rsidR="00FD5A08" w:rsidRPr="00136343" w:rsidTr="006F3695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FD5A08" w:rsidRPr="00136343" w:rsidRDefault="00FD5A08" w:rsidP="00B45435">
            <w:pPr>
              <w:pStyle w:val="Tabletext"/>
            </w:pPr>
            <w:r w:rsidRPr="00136343">
              <w:t>3</w:t>
            </w:r>
          </w:p>
        </w:tc>
        <w:tc>
          <w:tcPr>
            <w:tcW w:w="452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FD5A08" w:rsidRPr="00136343" w:rsidRDefault="00FE7B56" w:rsidP="00B45435">
            <w:pPr>
              <w:pStyle w:val="Tabletext"/>
            </w:pPr>
            <w:r w:rsidRPr="00136343">
              <w:t xml:space="preserve">registration </w:t>
            </w:r>
            <w:r w:rsidR="00FD5A08" w:rsidRPr="00136343">
              <w:t>as a tax (financial) adviser</w:t>
            </w:r>
          </w:p>
        </w:tc>
        <w:tc>
          <w:tcPr>
            <w:tcW w:w="307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FD5A08" w:rsidRPr="00136343" w:rsidRDefault="00FD5A08" w:rsidP="00B45435">
            <w:pPr>
              <w:pStyle w:val="Tabletext"/>
            </w:pPr>
            <w:r w:rsidRPr="00136343">
              <w:t xml:space="preserve">$540 (subject to indexation under </w:t>
            </w:r>
            <w:proofErr w:type="spellStart"/>
            <w:r w:rsidRPr="00136343">
              <w:t>subregulation</w:t>
            </w:r>
            <w:proofErr w:type="spellEnd"/>
            <w:r w:rsidR="00136343" w:rsidRPr="00136343">
              <w:t> </w:t>
            </w:r>
            <w:r w:rsidRPr="00136343">
              <w:t>(2))</w:t>
            </w:r>
          </w:p>
        </w:tc>
      </w:tr>
    </w:tbl>
    <w:p w:rsidR="00FD5A08" w:rsidRPr="00136343" w:rsidRDefault="00FD5A08" w:rsidP="00FD5A08">
      <w:pPr>
        <w:pStyle w:val="SubsectionHead"/>
      </w:pPr>
      <w:r w:rsidRPr="00136343">
        <w:t>Annual indexation of fees</w:t>
      </w:r>
    </w:p>
    <w:p w:rsidR="00FD5A08" w:rsidRPr="00136343" w:rsidRDefault="00FD5A08" w:rsidP="00FD5A08">
      <w:pPr>
        <w:pStyle w:val="subsection"/>
      </w:pPr>
      <w:r w:rsidRPr="00136343">
        <w:tab/>
        <w:t>(2)</w:t>
      </w:r>
      <w:r w:rsidRPr="00136343">
        <w:tab/>
        <w:t>On 1</w:t>
      </w:r>
      <w:r w:rsidR="00136343" w:rsidRPr="00136343">
        <w:t> </w:t>
      </w:r>
      <w:r w:rsidRPr="00136343">
        <w:t>July 2019 and each 1</w:t>
      </w:r>
      <w:r w:rsidR="00136343" w:rsidRPr="00136343">
        <w:t> </w:t>
      </w:r>
      <w:r w:rsidRPr="00136343">
        <w:t xml:space="preserve">July following that day (an </w:t>
      </w:r>
      <w:r w:rsidRPr="00136343">
        <w:rPr>
          <w:b/>
          <w:i/>
        </w:rPr>
        <w:t>indexation day</w:t>
      </w:r>
      <w:r w:rsidRPr="00136343">
        <w:t xml:space="preserve">), the dollar amount mentioned in an item of the table in </w:t>
      </w:r>
      <w:proofErr w:type="spellStart"/>
      <w:r w:rsidRPr="00136343">
        <w:t>subregulation</w:t>
      </w:r>
      <w:proofErr w:type="spellEnd"/>
      <w:r w:rsidR="00136343" w:rsidRPr="00136343">
        <w:t> </w:t>
      </w:r>
      <w:r w:rsidRPr="00136343">
        <w:t>(1) is replaced by the amount worked out using the following formula:</w:t>
      </w:r>
    </w:p>
    <w:p w:rsidR="00FD5A08" w:rsidRPr="00136343" w:rsidRDefault="00FD5A08" w:rsidP="00FD5A08">
      <w:pPr>
        <w:pStyle w:val="subsection"/>
      </w:pPr>
      <w:r w:rsidRPr="00136343">
        <w:tab/>
      </w:r>
      <w:r w:rsidRPr="00136343">
        <w:tab/>
      </w:r>
      <w:r w:rsidRPr="00136343">
        <w:rPr>
          <w:position w:val="-20"/>
        </w:rPr>
        <w:object w:dxaOrig="517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9.2pt;height:31.7pt" o:ole="">
            <v:imagedata r:id="rId20" o:title=""/>
          </v:shape>
          <o:OLEObject Type="Embed" ProgID="Equation.DSMT4" ShapeID="_x0000_i1025" DrawAspect="Content" ObjectID="_1591173309" r:id="rId21"/>
        </w:object>
      </w:r>
    </w:p>
    <w:p w:rsidR="00FD5A08" w:rsidRPr="00136343" w:rsidRDefault="00FD5A08" w:rsidP="00FD5A08">
      <w:pPr>
        <w:pStyle w:val="subsection"/>
      </w:pPr>
      <w:r w:rsidRPr="00136343">
        <w:tab/>
        <w:t>(3)</w:t>
      </w:r>
      <w:r w:rsidRPr="00136343">
        <w:tab/>
        <w:t xml:space="preserve">The </w:t>
      </w:r>
      <w:r w:rsidRPr="00136343">
        <w:rPr>
          <w:b/>
          <w:i/>
        </w:rPr>
        <w:t>indexation factor</w:t>
      </w:r>
      <w:r w:rsidRPr="00136343">
        <w:t xml:space="preserve"> for an indexation day is the number worked out using the following formula:</w:t>
      </w:r>
    </w:p>
    <w:p w:rsidR="00FD5A08" w:rsidRPr="00136343" w:rsidRDefault="00FD5A08" w:rsidP="00FD5A08">
      <w:pPr>
        <w:pStyle w:val="subsection"/>
      </w:pPr>
      <w:r w:rsidRPr="00136343">
        <w:tab/>
      </w:r>
      <w:r w:rsidRPr="00136343">
        <w:tab/>
      </w:r>
      <w:r w:rsidRPr="00136343">
        <w:rPr>
          <w:position w:val="-54"/>
        </w:rPr>
        <w:object w:dxaOrig="5260" w:dyaOrig="1180">
          <v:shape id="_x0000_i1026" type="#_x0000_t75" style="width:262.65pt;height:59.35pt" o:ole="">
            <v:imagedata r:id="rId22" o:title=""/>
          </v:shape>
          <o:OLEObject Type="Embed" ProgID="Equation.DSMT4" ShapeID="_x0000_i1026" DrawAspect="Content" ObjectID="_1591173310" r:id="rId23"/>
        </w:object>
      </w:r>
    </w:p>
    <w:p w:rsidR="00FD5A08" w:rsidRPr="00136343" w:rsidRDefault="00FD5A08" w:rsidP="00FD5A08">
      <w:pPr>
        <w:pStyle w:val="subsection2"/>
      </w:pPr>
      <w:r w:rsidRPr="00136343">
        <w:t>where:</w:t>
      </w:r>
    </w:p>
    <w:p w:rsidR="00FD5A08" w:rsidRPr="00136343" w:rsidRDefault="00FD5A08" w:rsidP="00FD5A08">
      <w:pPr>
        <w:pStyle w:val="Definition"/>
      </w:pPr>
      <w:r w:rsidRPr="00136343">
        <w:rPr>
          <w:b/>
          <w:i/>
        </w:rPr>
        <w:t>index number</w:t>
      </w:r>
      <w:r w:rsidRPr="00136343">
        <w:t>, for a quarter, means the All Groups Consumer Price Index number (being the weighted average of the 8 capital cities) first published by the Australian Statistician for the quarter.</w:t>
      </w:r>
    </w:p>
    <w:p w:rsidR="00FD5A08" w:rsidRPr="00136343" w:rsidRDefault="00FD5A08" w:rsidP="00FD5A08">
      <w:pPr>
        <w:pStyle w:val="Definition"/>
      </w:pPr>
      <w:r w:rsidRPr="00136343">
        <w:rPr>
          <w:b/>
          <w:i/>
        </w:rPr>
        <w:t>quarter</w:t>
      </w:r>
      <w:r w:rsidRPr="00136343">
        <w:t xml:space="preserve"> means a period of 3 months ending on 31</w:t>
      </w:r>
      <w:r w:rsidR="00136343" w:rsidRPr="00136343">
        <w:t> </w:t>
      </w:r>
      <w:r w:rsidRPr="00136343">
        <w:t>March, 30</w:t>
      </w:r>
      <w:r w:rsidR="00136343" w:rsidRPr="00136343">
        <w:t> </w:t>
      </w:r>
      <w:r w:rsidRPr="00136343">
        <w:t>June, 30</w:t>
      </w:r>
      <w:r w:rsidR="00136343" w:rsidRPr="00136343">
        <w:t> </w:t>
      </w:r>
      <w:r w:rsidRPr="00136343">
        <w:t>September or 31</w:t>
      </w:r>
      <w:r w:rsidR="00136343" w:rsidRPr="00136343">
        <w:t> </w:t>
      </w:r>
      <w:r w:rsidRPr="00136343">
        <w:t>December.</w:t>
      </w:r>
    </w:p>
    <w:p w:rsidR="00FD5A08" w:rsidRPr="00136343" w:rsidRDefault="00FD5A08" w:rsidP="00FD5A08">
      <w:pPr>
        <w:pStyle w:val="subsection"/>
      </w:pPr>
      <w:r w:rsidRPr="00136343">
        <w:rPr>
          <w:i/>
        </w:rPr>
        <w:tab/>
      </w:r>
      <w:r w:rsidRPr="00136343">
        <w:t>(4)</w:t>
      </w:r>
      <w:r w:rsidRPr="00136343">
        <w:tab/>
        <w:t>An indexation factor is to be calculated to 3 decimal places (rounding up if the fourth decimal place is 5 or more).</w:t>
      </w:r>
    </w:p>
    <w:p w:rsidR="00FD5A08" w:rsidRPr="00136343" w:rsidRDefault="00FD5A08" w:rsidP="00FD5A08">
      <w:pPr>
        <w:pStyle w:val="subsection"/>
      </w:pPr>
      <w:r w:rsidRPr="00136343">
        <w:tab/>
        <w:t>(5)</w:t>
      </w:r>
      <w:r w:rsidRPr="00136343">
        <w:tab/>
        <w:t>If an indexation factor worked out under subregulations (3) and (4) would be less than 1, that indexation factor is to be increased to 1.</w:t>
      </w:r>
    </w:p>
    <w:p w:rsidR="00FD5A08" w:rsidRPr="00136343" w:rsidRDefault="00FD5A08" w:rsidP="00FD5A08">
      <w:pPr>
        <w:pStyle w:val="subsection"/>
      </w:pPr>
      <w:r w:rsidRPr="00136343">
        <w:tab/>
        <w:t>(6)</w:t>
      </w:r>
      <w:r w:rsidRPr="00136343">
        <w:tab/>
        <w:t>Amounts worked out under subregulation</w:t>
      </w:r>
      <w:r w:rsidR="00136343" w:rsidRPr="00136343">
        <w:t> </w:t>
      </w:r>
      <w:r w:rsidRPr="00136343">
        <w:t>(2) are to be rounded to the nearest whole dollar (rounding 50 cents upwards).</w:t>
      </w:r>
    </w:p>
    <w:p w:rsidR="00FD5A08" w:rsidRPr="00136343" w:rsidRDefault="00FD5A08" w:rsidP="00FD5A08">
      <w:pPr>
        <w:pStyle w:val="ItemHead"/>
      </w:pPr>
      <w:r w:rsidRPr="00136343">
        <w:t>2  After Part</w:t>
      </w:r>
      <w:r w:rsidR="00136343" w:rsidRPr="00136343">
        <w:t> </w:t>
      </w:r>
      <w:r w:rsidRPr="00136343">
        <w:t>5</w:t>
      </w:r>
    </w:p>
    <w:p w:rsidR="00FD5A08" w:rsidRPr="00136343" w:rsidRDefault="00FD5A08" w:rsidP="00FD5A08">
      <w:pPr>
        <w:pStyle w:val="Item"/>
      </w:pPr>
      <w:r w:rsidRPr="00136343">
        <w:t>Insert:</w:t>
      </w:r>
    </w:p>
    <w:p w:rsidR="00FD5A08" w:rsidRPr="00136343" w:rsidRDefault="00FD5A08" w:rsidP="00FD5A08">
      <w:pPr>
        <w:pStyle w:val="ActHead2"/>
      </w:pPr>
      <w:bookmarkStart w:id="15" w:name="_Toc515460540"/>
      <w:r w:rsidRPr="00136343">
        <w:rPr>
          <w:rStyle w:val="CharPartNo"/>
        </w:rPr>
        <w:t>Part</w:t>
      </w:r>
      <w:r w:rsidR="00136343" w:rsidRPr="00136343">
        <w:rPr>
          <w:rStyle w:val="CharPartNo"/>
        </w:rPr>
        <w:t> </w:t>
      </w:r>
      <w:r w:rsidRPr="00136343">
        <w:rPr>
          <w:rStyle w:val="CharPartNo"/>
        </w:rPr>
        <w:t>6</w:t>
      </w:r>
      <w:r w:rsidRPr="00136343">
        <w:t>—</w:t>
      </w:r>
      <w:r w:rsidRPr="00136343">
        <w:rPr>
          <w:rStyle w:val="CharPartText"/>
        </w:rPr>
        <w:t>Application and transitional provisions</w:t>
      </w:r>
      <w:bookmarkEnd w:id="15"/>
    </w:p>
    <w:p w:rsidR="00FD5A08" w:rsidRPr="00136343" w:rsidRDefault="00FD5A08" w:rsidP="00FD5A08">
      <w:pPr>
        <w:pStyle w:val="ActHead3"/>
      </w:pPr>
      <w:bookmarkStart w:id="16" w:name="_Toc515460541"/>
      <w:r w:rsidRPr="00136343">
        <w:rPr>
          <w:rStyle w:val="CharDivNo"/>
        </w:rPr>
        <w:t>Division</w:t>
      </w:r>
      <w:r w:rsidR="00136343" w:rsidRPr="00136343">
        <w:rPr>
          <w:rStyle w:val="CharDivNo"/>
        </w:rPr>
        <w:t> </w:t>
      </w:r>
      <w:r w:rsidRPr="00136343">
        <w:rPr>
          <w:rStyle w:val="CharDivNo"/>
        </w:rPr>
        <w:t>1</w:t>
      </w:r>
      <w:r w:rsidRPr="00136343">
        <w:t>—</w:t>
      </w:r>
      <w:r w:rsidRPr="00136343">
        <w:rPr>
          <w:rStyle w:val="CharDivText"/>
        </w:rPr>
        <w:t>Amendments</w:t>
      </w:r>
      <w:r w:rsidR="006F3695" w:rsidRPr="00136343">
        <w:rPr>
          <w:rStyle w:val="CharDivText"/>
        </w:rPr>
        <w:t xml:space="preserve"> made by</w:t>
      </w:r>
      <w:r w:rsidRPr="00136343">
        <w:rPr>
          <w:rStyle w:val="CharDivText"/>
        </w:rPr>
        <w:t xml:space="preserve"> the Treasury Laws Amendment (2018 Measures No.</w:t>
      </w:r>
      <w:r w:rsidR="00136343" w:rsidRPr="00136343">
        <w:rPr>
          <w:rStyle w:val="CharDivText"/>
        </w:rPr>
        <w:t> </w:t>
      </w:r>
      <w:r w:rsidRPr="00136343">
        <w:rPr>
          <w:rStyle w:val="CharDivText"/>
        </w:rPr>
        <w:t>1) Regulations</w:t>
      </w:r>
      <w:r w:rsidR="00136343" w:rsidRPr="00136343">
        <w:rPr>
          <w:rStyle w:val="CharDivText"/>
        </w:rPr>
        <w:t> </w:t>
      </w:r>
      <w:r w:rsidRPr="00136343">
        <w:rPr>
          <w:rStyle w:val="CharDivText"/>
        </w:rPr>
        <w:t>2018</w:t>
      </w:r>
      <w:bookmarkEnd w:id="16"/>
    </w:p>
    <w:p w:rsidR="00FD5A08" w:rsidRPr="00136343" w:rsidRDefault="00FD5A08" w:rsidP="00FD5A08">
      <w:pPr>
        <w:pStyle w:val="ActHead5"/>
      </w:pPr>
      <w:bookmarkStart w:id="17" w:name="_Toc515460542"/>
      <w:r w:rsidRPr="00136343">
        <w:rPr>
          <w:rStyle w:val="CharSectno"/>
        </w:rPr>
        <w:t>14</w:t>
      </w:r>
      <w:r w:rsidRPr="00136343">
        <w:t xml:space="preserve">  Application—changes to application fees for registration</w:t>
      </w:r>
      <w:bookmarkEnd w:id="17"/>
    </w:p>
    <w:p w:rsidR="00FD5A08" w:rsidRPr="00136343" w:rsidRDefault="00FD5A08" w:rsidP="00FD5A08">
      <w:pPr>
        <w:pStyle w:val="subsection"/>
      </w:pPr>
      <w:r w:rsidRPr="00136343">
        <w:tab/>
      </w:r>
      <w:r w:rsidRPr="00136343">
        <w:tab/>
        <w:t>The amendment of regulation</w:t>
      </w:r>
      <w:r w:rsidR="00136343" w:rsidRPr="00136343">
        <w:t> </w:t>
      </w:r>
      <w:r w:rsidRPr="00136343">
        <w:t>9 made by Schedule</w:t>
      </w:r>
      <w:r w:rsidR="00136343" w:rsidRPr="00136343">
        <w:t> </w:t>
      </w:r>
      <w:r w:rsidRPr="00136343">
        <w:t xml:space="preserve">2 to the </w:t>
      </w:r>
      <w:r w:rsidRPr="00136343">
        <w:rPr>
          <w:i/>
        </w:rPr>
        <w:t>Treasury Laws Amendment (2018 Measures No.</w:t>
      </w:r>
      <w:r w:rsidR="00136343" w:rsidRPr="00136343">
        <w:rPr>
          <w:i/>
        </w:rPr>
        <w:t> </w:t>
      </w:r>
      <w:r w:rsidRPr="00136343">
        <w:rPr>
          <w:i/>
        </w:rPr>
        <w:t>1) Regulations</w:t>
      </w:r>
      <w:r w:rsidR="00136343" w:rsidRPr="00136343">
        <w:rPr>
          <w:i/>
        </w:rPr>
        <w:t> </w:t>
      </w:r>
      <w:r w:rsidRPr="00136343">
        <w:rPr>
          <w:i/>
        </w:rPr>
        <w:t>2018</w:t>
      </w:r>
      <w:r w:rsidRPr="00136343">
        <w:t xml:space="preserve"> applies in relation to applications for registration, including renewal of registration, made on or after 1</w:t>
      </w:r>
      <w:r w:rsidR="00136343" w:rsidRPr="00136343">
        <w:t> </w:t>
      </w:r>
      <w:r w:rsidRPr="00136343">
        <w:t>July 2018.</w:t>
      </w:r>
    </w:p>
    <w:p w:rsidR="00341549" w:rsidRPr="00136343" w:rsidRDefault="00341549" w:rsidP="00341549">
      <w:pPr>
        <w:pStyle w:val="ActHead6"/>
        <w:pageBreakBefore/>
      </w:pPr>
      <w:bookmarkStart w:id="18" w:name="_Toc515460543"/>
      <w:bookmarkStart w:id="19" w:name="opcCurrentFind"/>
      <w:r w:rsidRPr="00136343">
        <w:rPr>
          <w:rStyle w:val="CharAmSchNo"/>
        </w:rPr>
        <w:t>Schedule</w:t>
      </w:r>
      <w:r w:rsidR="00136343" w:rsidRPr="00136343">
        <w:rPr>
          <w:rStyle w:val="CharAmSchNo"/>
        </w:rPr>
        <w:t> </w:t>
      </w:r>
      <w:r w:rsidRPr="00136343">
        <w:rPr>
          <w:rStyle w:val="CharAmSchNo"/>
        </w:rPr>
        <w:t>3</w:t>
      </w:r>
      <w:r w:rsidRPr="00136343">
        <w:t>—</w:t>
      </w:r>
      <w:r w:rsidRPr="00136343">
        <w:rPr>
          <w:rStyle w:val="CharAmSchText"/>
        </w:rPr>
        <w:t>Approved Stock Exchanges</w:t>
      </w:r>
      <w:bookmarkEnd w:id="18"/>
    </w:p>
    <w:bookmarkEnd w:id="19"/>
    <w:p w:rsidR="00341549" w:rsidRPr="00136343" w:rsidRDefault="00341549" w:rsidP="00341549">
      <w:pPr>
        <w:pStyle w:val="Header"/>
      </w:pPr>
      <w:r w:rsidRPr="00136343">
        <w:rPr>
          <w:rStyle w:val="CharAmPartNo"/>
        </w:rPr>
        <w:t xml:space="preserve"> </w:t>
      </w:r>
      <w:r w:rsidRPr="00136343">
        <w:rPr>
          <w:rStyle w:val="CharAmPartText"/>
        </w:rPr>
        <w:t xml:space="preserve"> </w:t>
      </w:r>
    </w:p>
    <w:p w:rsidR="00341549" w:rsidRPr="00136343" w:rsidRDefault="00341549" w:rsidP="00341549">
      <w:pPr>
        <w:pStyle w:val="ActHead9"/>
      </w:pPr>
      <w:bookmarkStart w:id="20" w:name="_Toc515460544"/>
      <w:r w:rsidRPr="00136343">
        <w:t>Income Tax Assessment Regulations</w:t>
      </w:r>
      <w:r w:rsidR="00136343" w:rsidRPr="00136343">
        <w:t> </w:t>
      </w:r>
      <w:r w:rsidRPr="00136343">
        <w:t>1997</w:t>
      </w:r>
      <w:bookmarkEnd w:id="20"/>
    </w:p>
    <w:p w:rsidR="00341549" w:rsidRPr="00136343" w:rsidRDefault="00341549" w:rsidP="00341549">
      <w:pPr>
        <w:pStyle w:val="ItemHead"/>
      </w:pPr>
      <w:r w:rsidRPr="00136343">
        <w:t>1  Schedule</w:t>
      </w:r>
      <w:r w:rsidR="00136343" w:rsidRPr="00136343">
        <w:t> </w:t>
      </w:r>
      <w:r w:rsidRPr="00136343">
        <w:t>5</w:t>
      </w:r>
    </w:p>
    <w:p w:rsidR="00341549" w:rsidRPr="00136343" w:rsidRDefault="00341549" w:rsidP="00341549">
      <w:pPr>
        <w:pStyle w:val="Item"/>
      </w:pPr>
      <w:r w:rsidRPr="00136343">
        <w:t>Repeal the Schedule, substitute:</w:t>
      </w:r>
    </w:p>
    <w:p w:rsidR="00341549" w:rsidRPr="00136343" w:rsidRDefault="00341549" w:rsidP="00341549">
      <w:pPr>
        <w:pStyle w:val="ActHead1"/>
      </w:pPr>
      <w:bookmarkStart w:id="21" w:name="_Toc515460545"/>
      <w:r w:rsidRPr="00136343">
        <w:rPr>
          <w:rStyle w:val="CharChapNo"/>
        </w:rPr>
        <w:t>Schedule</w:t>
      </w:r>
      <w:r w:rsidR="00136343" w:rsidRPr="00136343">
        <w:rPr>
          <w:rStyle w:val="CharChapNo"/>
        </w:rPr>
        <w:t> </w:t>
      </w:r>
      <w:r w:rsidRPr="00136343">
        <w:rPr>
          <w:rStyle w:val="CharChapNo"/>
        </w:rPr>
        <w:t>5</w:t>
      </w:r>
      <w:r w:rsidRPr="00136343">
        <w:t>—</w:t>
      </w:r>
      <w:r w:rsidRPr="00136343">
        <w:rPr>
          <w:rStyle w:val="CharChapText"/>
        </w:rPr>
        <w:t>Approved Stock Exchanges</w:t>
      </w:r>
      <w:bookmarkEnd w:id="21"/>
    </w:p>
    <w:p w:rsidR="00341549" w:rsidRPr="00136343" w:rsidRDefault="00341549" w:rsidP="00341549">
      <w:pPr>
        <w:pStyle w:val="notemargin"/>
      </w:pPr>
      <w:r w:rsidRPr="00136343">
        <w:t>Note:</w:t>
      </w:r>
      <w:r w:rsidRPr="00136343">
        <w:tab/>
        <w:t>See regulation</w:t>
      </w:r>
      <w:r w:rsidR="00136343" w:rsidRPr="00136343">
        <w:t> </w:t>
      </w:r>
      <w:r w:rsidRPr="00136343">
        <w:t>995</w:t>
      </w:r>
      <w:r w:rsidR="00136343">
        <w:noBreakHyphen/>
      </w:r>
      <w:r w:rsidRPr="00136343">
        <w:t>1.05.</w:t>
      </w:r>
    </w:p>
    <w:p w:rsidR="00341549" w:rsidRPr="00136343" w:rsidRDefault="00341549" w:rsidP="00341549">
      <w:pPr>
        <w:pStyle w:val="Header"/>
        <w:rPr>
          <w:rStyle w:val="CharPartNo"/>
        </w:rPr>
      </w:pPr>
      <w:bookmarkStart w:id="22" w:name="f_Check_Lines_below"/>
      <w:bookmarkEnd w:id="22"/>
    </w:p>
    <w:p w:rsidR="00341549" w:rsidRPr="00136343" w:rsidRDefault="00341549" w:rsidP="00341549">
      <w:pPr>
        <w:pStyle w:val="Header"/>
        <w:rPr>
          <w:rStyle w:val="CharPartText"/>
        </w:rPr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8313"/>
      </w:tblGrid>
      <w:tr w:rsidR="00341549" w:rsidRPr="00136343" w:rsidTr="00B45435">
        <w:trPr>
          <w:tblHeader/>
        </w:trPr>
        <w:tc>
          <w:tcPr>
            <w:tcW w:w="83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41549" w:rsidRPr="00136343" w:rsidRDefault="00341549" w:rsidP="00B45435">
            <w:pPr>
              <w:pStyle w:val="TableHeading"/>
            </w:pPr>
            <w:r w:rsidRPr="00136343">
              <w:t>Approved Stock Exchanges</w:t>
            </w:r>
          </w:p>
        </w:tc>
      </w:tr>
      <w:tr w:rsidR="00341549" w:rsidRPr="00136343" w:rsidTr="00B45435">
        <w:tc>
          <w:tcPr>
            <w:tcW w:w="8313" w:type="dxa"/>
            <w:tcBorders>
              <w:top w:val="single" w:sz="12" w:space="0" w:color="auto"/>
            </w:tcBorders>
            <w:shd w:val="clear" w:color="auto" w:fill="auto"/>
          </w:tcPr>
          <w:p w:rsidR="00341549" w:rsidRPr="00136343" w:rsidRDefault="00341549" w:rsidP="00B45435">
            <w:pPr>
              <w:pStyle w:val="TableHeading"/>
            </w:pPr>
            <w:r w:rsidRPr="00136343">
              <w:t>Argentina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text"/>
            </w:pPr>
            <w:r w:rsidRPr="00136343">
              <w:t>Buenos Aires Stock Exchange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Heading"/>
            </w:pPr>
            <w:r w:rsidRPr="00136343">
              <w:t>Australia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text"/>
            </w:pPr>
            <w:r w:rsidRPr="00136343">
              <w:t>ASX, also known as Australian Securities Exchange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text"/>
            </w:pPr>
            <w:r w:rsidRPr="00136343">
              <w:t>Chi</w:t>
            </w:r>
            <w:r w:rsidR="00136343">
              <w:noBreakHyphen/>
            </w:r>
            <w:r w:rsidRPr="00136343">
              <w:t>X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text"/>
            </w:pPr>
            <w:r w:rsidRPr="00136343">
              <w:t>IR Plus Securities Exchange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text"/>
            </w:pPr>
            <w:r w:rsidRPr="00136343">
              <w:t>National Stock Exchange of Australia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text"/>
            </w:pPr>
            <w:r w:rsidRPr="00136343">
              <w:t>SSX, also known as Sydney Stock Exchange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Heading"/>
            </w:pPr>
            <w:r w:rsidRPr="00136343">
              <w:t>Austria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text"/>
            </w:pPr>
            <w:r w:rsidRPr="00136343">
              <w:t>Vienna Stock Exchange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Heading"/>
            </w:pPr>
            <w:r w:rsidRPr="00136343">
              <w:t>Belgium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text"/>
            </w:pPr>
            <w:r w:rsidRPr="00136343">
              <w:t>Euronext Brussels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Heading"/>
            </w:pPr>
            <w:r w:rsidRPr="00136343">
              <w:t>Bermuda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text"/>
            </w:pPr>
            <w:r w:rsidRPr="00136343">
              <w:t>Bermuda Stock Exchange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Heading"/>
            </w:pPr>
            <w:r w:rsidRPr="00136343">
              <w:t>Brazil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text"/>
            </w:pPr>
            <w:r w:rsidRPr="00136343">
              <w:t>B3, also known as BM&amp;F Bovespa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Heading"/>
            </w:pPr>
            <w:r w:rsidRPr="00136343">
              <w:t>Canada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text"/>
            </w:pPr>
            <w:r w:rsidRPr="00136343">
              <w:t>Montréal Stock Exchange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text"/>
            </w:pPr>
            <w:r w:rsidRPr="00136343">
              <w:t>Toronto Stock Exchange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text"/>
            </w:pPr>
            <w:r w:rsidRPr="00136343">
              <w:t>TSX Venture Exchange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Heading"/>
            </w:pPr>
            <w:r w:rsidRPr="00136343">
              <w:t>Chile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text"/>
            </w:pPr>
            <w:r w:rsidRPr="00136343">
              <w:t>Santiago Stock Exchange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text"/>
            </w:pPr>
            <w:r w:rsidRPr="00136343">
              <w:t>Valparaiso Stock Exchange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Heading"/>
            </w:pPr>
            <w:r w:rsidRPr="00136343">
              <w:t>China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text"/>
            </w:pPr>
            <w:r w:rsidRPr="00136343">
              <w:t>Shanghai Stock Exchange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text"/>
            </w:pPr>
            <w:r w:rsidRPr="00136343">
              <w:t>Shenzhen Stock Exchange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Heading"/>
            </w:pPr>
            <w:r w:rsidRPr="00136343">
              <w:t>Colombia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text"/>
            </w:pPr>
            <w:r w:rsidRPr="00136343">
              <w:t>Colombia Stock Exchange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Heading"/>
            </w:pPr>
            <w:r w:rsidRPr="00136343">
              <w:t>Denmark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text"/>
            </w:pPr>
            <w:r w:rsidRPr="00136343">
              <w:t>Nasdaq Copenhagen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Heading"/>
            </w:pPr>
            <w:r w:rsidRPr="00136343">
              <w:t>Finland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text"/>
            </w:pPr>
            <w:r w:rsidRPr="00136343">
              <w:t>Nasdaq Helsinki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Heading"/>
            </w:pPr>
            <w:r w:rsidRPr="00136343">
              <w:t>France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text"/>
            </w:pPr>
            <w:r w:rsidRPr="00136343">
              <w:t>Euronext Paris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Heading"/>
            </w:pPr>
            <w:r w:rsidRPr="00136343">
              <w:t>Germany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text"/>
            </w:pPr>
            <w:r w:rsidRPr="00136343">
              <w:t>Berlin Stock Exchange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text"/>
            </w:pPr>
            <w:r w:rsidRPr="00136343">
              <w:t>Dusseldorf Stock Exchange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text"/>
            </w:pPr>
            <w:r w:rsidRPr="00136343">
              <w:t>Frankfurt Stock Exchange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text"/>
            </w:pPr>
            <w:r w:rsidRPr="00136343">
              <w:t>Hamburg Stock Exchange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text"/>
            </w:pPr>
            <w:r w:rsidRPr="00136343">
              <w:t>Hannover Stock Exchange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text"/>
            </w:pPr>
            <w:r w:rsidRPr="00136343">
              <w:t>Munich Stock Exchange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text"/>
            </w:pPr>
            <w:r w:rsidRPr="00136343">
              <w:t>Stuttgart Stock Exchange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Heading"/>
            </w:pPr>
            <w:r w:rsidRPr="00136343">
              <w:t>Greece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text"/>
            </w:pPr>
            <w:r w:rsidRPr="00136343">
              <w:t>ATHEX, also known as Athens Exchange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Heading"/>
            </w:pPr>
            <w:r w:rsidRPr="00136343">
              <w:t>Hong Kong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text"/>
            </w:pPr>
            <w:r w:rsidRPr="00136343">
              <w:t>Hong Kong Stock Exchange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Heading"/>
            </w:pPr>
            <w:r w:rsidRPr="00136343">
              <w:t>Hungary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text"/>
            </w:pPr>
            <w:r w:rsidRPr="00136343">
              <w:t>Budapest Stock Exchange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Heading"/>
            </w:pPr>
            <w:r w:rsidRPr="00136343">
              <w:t>India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text"/>
            </w:pPr>
            <w:r w:rsidRPr="00136343">
              <w:t>Bombay Stock Exchange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text"/>
            </w:pPr>
            <w:r w:rsidRPr="00136343">
              <w:t>Calcutta Stock Exchange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Heading"/>
            </w:pPr>
            <w:r w:rsidRPr="00136343">
              <w:t>Indonesia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text"/>
            </w:pPr>
            <w:r w:rsidRPr="00136343">
              <w:t>Indonesia Stock Exchange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Heading"/>
            </w:pPr>
            <w:r w:rsidRPr="00136343">
              <w:t>Ireland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text"/>
            </w:pPr>
            <w:r w:rsidRPr="00136343">
              <w:t>Euronext Dublin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Heading"/>
            </w:pPr>
            <w:r w:rsidRPr="00136343">
              <w:t>Israel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text"/>
            </w:pPr>
            <w:r w:rsidRPr="00136343">
              <w:t>Tel Aviv Stock Exchange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Heading"/>
            </w:pPr>
            <w:r w:rsidRPr="00136343">
              <w:t>Italy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text"/>
            </w:pPr>
            <w:r w:rsidRPr="00136343">
              <w:t>Borsa Italiana, also known as Italian Stock Exchange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Heading"/>
            </w:pPr>
            <w:r w:rsidRPr="00136343">
              <w:t>Jamaica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text"/>
            </w:pPr>
            <w:r w:rsidRPr="00136343">
              <w:t>Jamaica Stock Exchange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Heading"/>
            </w:pPr>
            <w:r w:rsidRPr="00136343">
              <w:t>Japan</w:t>
            </w:r>
          </w:p>
        </w:tc>
      </w:tr>
      <w:tr w:rsidR="00FE7B56" w:rsidRPr="00136343" w:rsidTr="00B45435">
        <w:tc>
          <w:tcPr>
            <w:tcW w:w="8313" w:type="dxa"/>
            <w:shd w:val="clear" w:color="auto" w:fill="auto"/>
          </w:tcPr>
          <w:p w:rsidR="00FE7B56" w:rsidRPr="00136343" w:rsidRDefault="00FE7B56" w:rsidP="00B45435">
            <w:pPr>
              <w:pStyle w:val="Tabletext"/>
            </w:pPr>
            <w:r w:rsidRPr="00136343">
              <w:t>Fukuoka Stock Exchange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text"/>
            </w:pPr>
            <w:r w:rsidRPr="00136343">
              <w:t>Nagoya Stock Exchange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text"/>
            </w:pPr>
            <w:r w:rsidRPr="00136343">
              <w:t>Osaka Securities Exchange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text"/>
            </w:pPr>
            <w:r w:rsidRPr="00136343">
              <w:t>Sapporo Securities Exchange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text"/>
            </w:pPr>
            <w:r w:rsidRPr="00136343">
              <w:t>Tokyo Stock Exchange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Heading"/>
            </w:pPr>
            <w:r w:rsidRPr="00136343">
              <w:t>Korea, Republic of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text"/>
            </w:pPr>
            <w:r w:rsidRPr="00136343">
              <w:t>Korea Stock Exchange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Heading"/>
            </w:pPr>
            <w:r w:rsidRPr="00136343">
              <w:t>Luxembourg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text"/>
            </w:pPr>
            <w:r w:rsidRPr="00136343">
              <w:t>Luxembourg Stock Exchange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Heading"/>
            </w:pPr>
            <w:r w:rsidRPr="00136343">
              <w:t>Malaysia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text"/>
            </w:pPr>
            <w:r w:rsidRPr="00136343">
              <w:t>Bursa Malaysia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Heading"/>
            </w:pPr>
            <w:r w:rsidRPr="00136343">
              <w:t>Mexico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text"/>
            </w:pPr>
            <w:r w:rsidRPr="00136343">
              <w:t>Mexican Stock Exchange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Heading"/>
            </w:pPr>
            <w:r w:rsidRPr="00136343">
              <w:t>Netherlands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text"/>
            </w:pPr>
            <w:r w:rsidRPr="00136343">
              <w:t>Euronext Amsterdam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Heading"/>
            </w:pPr>
            <w:r w:rsidRPr="00136343">
              <w:t>New Zealand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text"/>
            </w:pPr>
            <w:r w:rsidRPr="00136343">
              <w:t>NZX, also known as New Zealand’s Exchange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Heading"/>
            </w:pPr>
            <w:r w:rsidRPr="00136343">
              <w:t>Nigeria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text"/>
            </w:pPr>
            <w:r w:rsidRPr="00136343">
              <w:t>Nigerian Stock Exchange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Heading"/>
            </w:pPr>
            <w:r w:rsidRPr="00136343">
              <w:t>Norway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text"/>
            </w:pPr>
            <w:r w:rsidRPr="00136343">
              <w:t>Oslo Stock Exchange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Heading"/>
            </w:pPr>
            <w:r w:rsidRPr="00136343">
              <w:t>Pakistan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text"/>
            </w:pPr>
            <w:r w:rsidRPr="00136343">
              <w:t>Pakistan Stock Exchange, also known as PSX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Heading"/>
            </w:pPr>
            <w:r w:rsidRPr="00136343">
              <w:t>Peru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text"/>
            </w:pPr>
            <w:r w:rsidRPr="00136343">
              <w:t>Lima Stock Exchange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Heading"/>
            </w:pPr>
            <w:r w:rsidRPr="00136343">
              <w:t>Philippines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text"/>
            </w:pPr>
            <w:r w:rsidRPr="00136343">
              <w:t>Philippine Stock Exchange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Heading"/>
            </w:pPr>
            <w:r w:rsidRPr="00136343">
              <w:t>Poland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text"/>
            </w:pPr>
            <w:r w:rsidRPr="00136343">
              <w:t>Warsaw Stock Exchange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Heading"/>
            </w:pPr>
            <w:r w:rsidRPr="00136343">
              <w:t>Portugal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text"/>
            </w:pPr>
            <w:r w:rsidRPr="00136343">
              <w:t>Euronext Lisbon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Heading"/>
            </w:pPr>
            <w:r w:rsidRPr="00136343">
              <w:t>Serbia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text"/>
            </w:pPr>
            <w:r w:rsidRPr="00136343">
              <w:t>Belgrade Stock Exchange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Heading"/>
            </w:pPr>
            <w:r w:rsidRPr="00136343">
              <w:t>Singapore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text"/>
            </w:pPr>
            <w:r w:rsidRPr="00136343">
              <w:t>Singapore Exchange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Heading"/>
            </w:pPr>
            <w:r w:rsidRPr="00136343">
              <w:t>Slovakia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text"/>
            </w:pPr>
            <w:r w:rsidRPr="00136343">
              <w:t>Bratislava Stock Exchange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Heading"/>
            </w:pPr>
            <w:r w:rsidRPr="00136343">
              <w:t>Slovenia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text"/>
            </w:pPr>
            <w:r w:rsidRPr="00136343">
              <w:t>Ljubljana Stock Exchange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Heading"/>
            </w:pPr>
            <w:r w:rsidRPr="00136343">
              <w:t>South Africa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text"/>
            </w:pPr>
            <w:r w:rsidRPr="00136343">
              <w:t>Johannesburg Stock Exchange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Heading"/>
            </w:pPr>
            <w:r w:rsidRPr="00136343">
              <w:t>Spain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text"/>
            </w:pPr>
            <w:r w:rsidRPr="00136343">
              <w:t>Barcelona Stock Exchange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text"/>
            </w:pPr>
            <w:r w:rsidRPr="00136343">
              <w:t>Bilbao Stock Exchange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text"/>
            </w:pPr>
            <w:r w:rsidRPr="00136343">
              <w:t>Madrid Stock Exchange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text"/>
            </w:pPr>
            <w:r w:rsidRPr="00136343">
              <w:t>Valencia Stock Exchange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Heading"/>
            </w:pPr>
            <w:r w:rsidRPr="00136343">
              <w:t>Sri Lanka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text"/>
            </w:pPr>
            <w:r w:rsidRPr="00136343">
              <w:t>Colombo Stock Exchange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Heading"/>
            </w:pPr>
            <w:r w:rsidRPr="00136343">
              <w:t>Sweden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text"/>
            </w:pPr>
            <w:r w:rsidRPr="00136343">
              <w:t>Nasdaq Stockholm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Heading"/>
            </w:pPr>
            <w:r w:rsidRPr="00136343">
              <w:t>Switzerland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text"/>
            </w:pPr>
            <w:r w:rsidRPr="00136343">
              <w:t>SIX Swiss Exchange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Heading"/>
            </w:pPr>
            <w:r w:rsidRPr="00136343">
              <w:t>Taiwan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text"/>
            </w:pPr>
            <w:r w:rsidRPr="00136343">
              <w:t>Taiwan Stock Exchange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Heading"/>
            </w:pPr>
            <w:r w:rsidRPr="00136343">
              <w:t>Thailand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text"/>
            </w:pPr>
            <w:r w:rsidRPr="00136343">
              <w:t>Stock Exchange of Thailand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Heading"/>
            </w:pPr>
            <w:r w:rsidRPr="00136343">
              <w:t>Trinidad and Tobago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text"/>
            </w:pPr>
            <w:r w:rsidRPr="00136343">
              <w:t>Trinidad and Tobago Stock Exchange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Heading"/>
            </w:pPr>
            <w:r w:rsidRPr="00136343">
              <w:t>Turkey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text"/>
            </w:pPr>
            <w:r w:rsidRPr="00136343">
              <w:t>Borsa Istanbul, also known as Istanbul Stock Exchange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Heading"/>
            </w:pPr>
            <w:r w:rsidRPr="00136343">
              <w:t>United Kingdom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text"/>
            </w:pPr>
            <w:r w:rsidRPr="00136343">
              <w:t>London Stock Exchange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Heading"/>
            </w:pPr>
            <w:r w:rsidRPr="00136343">
              <w:t>United States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text"/>
            </w:pPr>
            <w:r w:rsidRPr="00136343">
              <w:t>Chicago Stock Exchange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text"/>
            </w:pPr>
            <w:r w:rsidRPr="00136343">
              <w:t>NASDAQ OMX BX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text"/>
            </w:pPr>
            <w:r w:rsidRPr="00136343">
              <w:t>NASDAQ PHLX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text"/>
            </w:pPr>
            <w:r w:rsidRPr="00136343">
              <w:t>NASDAQ Stock Exchange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text"/>
            </w:pPr>
            <w:r w:rsidRPr="00136343">
              <w:t>NYSE, also known as New York Stock Exchange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text"/>
            </w:pPr>
            <w:r w:rsidRPr="00136343">
              <w:t>NYSE American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text"/>
            </w:pPr>
            <w:r w:rsidRPr="00136343">
              <w:t>NYSE American Options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text"/>
            </w:pPr>
            <w:r w:rsidRPr="00136343">
              <w:t>NYSE ARCA equities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text"/>
            </w:pPr>
            <w:r w:rsidRPr="00136343">
              <w:t>NYSE ARCA options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text"/>
            </w:pPr>
            <w:r w:rsidRPr="00136343">
              <w:t>NYSE National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Heading"/>
            </w:pPr>
            <w:r w:rsidRPr="00136343">
              <w:t>Uruguay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text"/>
            </w:pPr>
            <w:r w:rsidRPr="00136343">
              <w:t>Montevideo Stock Exchange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Heading"/>
            </w:pPr>
            <w:r w:rsidRPr="00136343">
              <w:t>Venezuela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text"/>
            </w:pPr>
            <w:r w:rsidRPr="00136343">
              <w:t>Caracas Stock Exchange</w:t>
            </w:r>
          </w:p>
        </w:tc>
      </w:tr>
      <w:tr w:rsidR="00341549" w:rsidRPr="00136343" w:rsidTr="00B45435">
        <w:tc>
          <w:tcPr>
            <w:tcW w:w="8313" w:type="dxa"/>
            <w:shd w:val="clear" w:color="auto" w:fill="auto"/>
          </w:tcPr>
          <w:p w:rsidR="00341549" w:rsidRPr="00136343" w:rsidRDefault="00341549" w:rsidP="00B45435">
            <w:pPr>
              <w:pStyle w:val="TableHeading"/>
            </w:pPr>
            <w:r w:rsidRPr="00136343">
              <w:t>Zimbabwe</w:t>
            </w:r>
          </w:p>
        </w:tc>
      </w:tr>
      <w:tr w:rsidR="00341549" w:rsidRPr="00136343" w:rsidTr="00B45435">
        <w:tc>
          <w:tcPr>
            <w:tcW w:w="8313" w:type="dxa"/>
            <w:tcBorders>
              <w:bottom w:val="single" w:sz="12" w:space="0" w:color="auto"/>
            </w:tcBorders>
            <w:shd w:val="clear" w:color="auto" w:fill="auto"/>
          </w:tcPr>
          <w:p w:rsidR="00341549" w:rsidRPr="00136343" w:rsidRDefault="00341549" w:rsidP="00B45435">
            <w:pPr>
              <w:pStyle w:val="Tabletext"/>
            </w:pPr>
            <w:r w:rsidRPr="00136343">
              <w:t>Zimbabwe Stock Exchange</w:t>
            </w:r>
          </w:p>
        </w:tc>
      </w:tr>
    </w:tbl>
    <w:p w:rsidR="00341549" w:rsidRPr="00136343" w:rsidRDefault="00341549" w:rsidP="00341549">
      <w:pPr>
        <w:pStyle w:val="Tabletext"/>
      </w:pPr>
    </w:p>
    <w:sectPr w:rsidR="00341549" w:rsidRPr="00136343" w:rsidSect="002771D9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435" w:rsidRDefault="00B45435" w:rsidP="0048364F">
      <w:pPr>
        <w:spacing w:line="240" w:lineRule="auto"/>
      </w:pPr>
      <w:r>
        <w:separator/>
      </w:r>
    </w:p>
  </w:endnote>
  <w:endnote w:type="continuationSeparator" w:id="0">
    <w:p w:rsidR="00B45435" w:rsidRDefault="00B45435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435" w:rsidRPr="002771D9" w:rsidRDefault="002771D9" w:rsidP="002771D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771D9">
      <w:rPr>
        <w:i/>
        <w:sz w:val="18"/>
      </w:rPr>
      <w:t>OPC63358 -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435" w:rsidRDefault="00B45435" w:rsidP="00E97334"/>
  <w:p w:rsidR="00B45435" w:rsidRPr="002771D9" w:rsidRDefault="002771D9" w:rsidP="002771D9">
    <w:pPr>
      <w:rPr>
        <w:rFonts w:cs="Times New Roman"/>
        <w:i/>
        <w:sz w:val="18"/>
      </w:rPr>
    </w:pPr>
    <w:r w:rsidRPr="002771D9">
      <w:rPr>
        <w:rFonts w:cs="Times New Roman"/>
        <w:i/>
        <w:sz w:val="18"/>
      </w:rPr>
      <w:t>OPC63358 -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435" w:rsidRPr="002771D9" w:rsidRDefault="002771D9" w:rsidP="002771D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771D9">
      <w:rPr>
        <w:i/>
        <w:sz w:val="18"/>
      </w:rPr>
      <w:t>OPC63358 -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435" w:rsidRPr="00E33C1C" w:rsidRDefault="00B4543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45435" w:rsidTr="0013634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B45435" w:rsidRDefault="00B45435" w:rsidP="00B4543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43E91">
            <w:rPr>
              <w:i/>
              <w:noProof/>
              <w:sz w:val="18"/>
            </w:rPr>
            <w:t>v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B45435" w:rsidRDefault="00B45435" w:rsidP="00B4543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157D0">
            <w:rPr>
              <w:i/>
              <w:sz w:val="18"/>
            </w:rPr>
            <w:t>Treasury Laws Amendment (2018 Measures No. 1)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B45435" w:rsidRDefault="00B45435" w:rsidP="00B45435">
          <w:pPr>
            <w:spacing w:line="0" w:lineRule="atLeast"/>
            <w:jc w:val="right"/>
            <w:rPr>
              <w:sz w:val="18"/>
            </w:rPr>
          </w:pPr>
        </w:p>
      </w:tc>
    </w:tr>
  </w:tbl>
  <w:p w:rsidR="00B45435" w:rsidRPr="002771D9" w:rsidRDefault="002771D9" w:rsidP="002771D9">
    <w:pPr>
      <w:rPr>
        <w:rFonts w:cs="Times New Roman"/>
        <w:i/>
        <w:sz w:val="18"/>
      </w:rPr>
    </w:pPr>
    <w:r w:rsidRPr="002771D9">
      <w:rPr>
        <w:rFonts w:cs="Times New Roman"/>
        <w:i/>
        <w:sz w:val="18"/>
      </w:rPr>
      <w:t>OPC63358 -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435" w:rsidRPr="00E33C1C" w:rsidRDefault="00B4543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B45435" w:rsidTr="00136343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45435" w:rsidRDefault="00B45435" w:rsidP="00B4543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B45435" w:rsidRDefault="00B45435" w:rsidP="00B4543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157D0">
            <w:rPr>
              <w:i/>
              <w:sz w:val="18"/>
            </w:rPr>
            <w:t>Treasury Laws Amendment (2018 Measures No. 1)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B45435" w:rsidRDefault="00B45435" w:rsidP="00B4543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37D5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45435" w:rsidRPr="002771D9" w:rsidRDefault="002771D9" w:rsidP="002771D9">
    <w:pPr>
      <w:rPr>
        <w:rFonts w:cs="Times New Roman"/>
        <w:i/>
        <w:sz w:val="18"/>
      </w:rPr>
    </w:pPr>
    <w:r w:rsidRPr="002771D9">
      <w:rPr>
        <w:rFonts w:cs="Times New Roman"/>
        <w:i/>
        <w:sz w:val="18"/>
      </w:rPr>
      <w:t>OPC63358 -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435" w:rsidRPr="00E33C1C" w:rsidRDefault="00B4543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45435" w:rsidTr="0013634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B45435" w:rsidRDefault="00B45435" w:rsidP="00B4543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37D5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B45435" w:rsidRDefault="00B45435" w:rsidP="00B4543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157D0">
            <w:rPr>
              <w:i/>
              <w:sz w:val="18"/>
            </w:rPr>
            <w:t>Treasury Laws Amendment (2018 Measures No. 1)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B45435" w:rsidRDefault="00B45435" w:rsidP="00B45435">
          <w:pPr>
            <w:spacing w:line="0" w:lineRule="atLeast"/>
            <w:jc w:val="right"/>
            <w:rPr>
              <w:sz w:val="18"/>
            </w:rPr>
          </w:pPr>
        </w:p>
      </w:tc>
    </w:tr>
  </w:tbl>
  <w:p w:rsidR="00B45435" w:rsidRPr="002771D9" w:rsidRDefault="002771D9" w:rsidP="002771D9">
    <w:pPr>
      <w:rPr>
        <w:rFonts w:cs="Times New Roman"/>
        <w:i/>
        <w:sz w:val="18"/>
      </w:rPr>
    </w:pPr>
    <w:r w:rsidRPr="002771D9">
      <w:rPr>
        <w:rFonts w:cs="Times New Roman"/>
        <w:i/>
        <w:sz w:val="18"/>
      </w:rPr>
      <w:t>OPC63358 -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435" w:rsidRPr="00E33C1C" w:rsidRDefault="00B4543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45435" w:rsidTr="00B45435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B45435" w:rsidRDefault="00B45435" w:rsidP="00B4543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B45435" w:rsidRDefault="00B45435" w:rsidP="00B4543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157D0">
            <w:rPr>
              <w:i/>
              <w:sz w:val="18"/>
            </w:rPr>
            <w:t>Treasury Laws Amendment (2018 Measures No. 1)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B45435" w:rsidRDefault="00B45435" w:rsidP="00B4543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37D5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45435" w:rsidRPr="002771D9" w:rsidRDefault="002771D9" w:rsidP="002771D9">
    <w:pPr>
      <w:rPr>
        <w:rFonts w:cs="Times New Roman"/>
        <w:i/>
        <w:sz w:val="18"/>
      </w:rPr>
    </w:pPr>
    <w:r w:rsidRPr="002771D9">
      <w:rPr>
        <w:rFonts w:cs="Times New Roman"/>
        <w:i/>
        <w:sz w:val="18"/>
      </w:rPr>
      <w:t>OPC63358 -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435" w:rsidRPr="00E33C1C" w:rsidRDefault="00B4543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4543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B45435" w:rsidRDefault="00B45435" w:rsidP="00B4543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B45435" w:rsidRDefault="00B45435" w:rsidP="00B4543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157D0">
            <w:rPr>
              <w:i/>
              <w:sz w:val="18"/>
            </w:rPr>
            <w:t>Treasury Laws Amendment (2018 Measures No. 1)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B45435" w:rsidRDefault="00B45435" w:rsidP="00B4543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43E91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45435" w:rsidRPr="002771D9" w:rsidRDefault="002771D9" w:rsidP="002771D9">
    <w:pPr>
      <w:rPr>
        <w:rFonts w:cs="Times New Roman"/>
        <w:i/>
        <w:sz w:val="18"/>
      </w:rPr>
    </w:pPr>
    <w:r w:rsidRPr="002771D9">
      <w:rPr>
        <w:rFonts w:cs="Times New Roman"/>
        <w:i/>
        <w:sz w:val="18"/>
      </w:rPr>
      <w:t>OPC63358 -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435" w:rsidRDefault="00B45435" w:rsidP="0048364F">
      <w:pPr>
        <w:spacing w:line="240" w:lineRule="auto"/>
      </w:pPr>
      <w:r>
        <w:separator/>
      </w:r>
    </w:p>
  </w:footnote>
  <w:footnote w:type="continuationSeparator" w:id="0">
    <w:p w:rsidR="00B45435" w:rsidRDefault="00B45435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435" w:rsidRPr="005F1388" w:rsidRDefault="00B45435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435" w:rsidRPr="005F1388" w:rsidRDefault="00B45435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435" w:rsidRPr="005F1388" w:rsidRDefault="00B45435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435" w:rsidRPr="00ED79B6" w:rsidRDefault="00B45435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435" w:rsidRPr="00ED79B6" w:rsidRDefault="00B45435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435" w:rsidRPr="00ED79B6" w:rsidRDefault="00B45435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435" w:rsidRPr="00A961C4" w:rsidRDefault="00B45435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737D54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737D54">
      <w:rPr>
        <w:noProof/>
        <w:sz w:val="20"/>
      </w:rPr>
      <w:t>Disclosure of information to the Black Economy Standing Taskforce and the Illicit Tobacco Taskforce</w:t>
    </w:r>
    <w:r>
      <w:rPr>
        <w:sz w:val="20"/>
      </w:rPr>
      <w:fldChar w:fldCharType="end"/>
    </w:r>
  </w:p>
  <w:p w:rsidR="00B45435" w:rsidRPr="00A961C4" w:rsidRDefault="00B45435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45435" w:rsidRPr="00A961C4" w:rsidRDefault="00B45435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435" w:rsidRPr="00A961C4" w:rsidRDefault="00B45435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B45435" w:rsidRPr="00A961C4" w:rsidRDefault="00B45435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B45435" w:rsidRPr="00A961C4" w:rsidRDefault="00B45435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435" w:rsidRPr="00A961C4" w:rsidRDefault="00B45435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152A2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C89D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3DC13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0CE54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C90DE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2E486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1A0D8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8AA2B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12C7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E102A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displayBackgroundShape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B04"/>
    <w:rsid w:val="00000263"/>
    <w:rsid w:val="00010636"/>
    <w:rsid w:val="000113BC"/>
    <w:rsid w:val="000136AF"/>
    <w:rsid w:val="000157D0"/>
    <w:rsid w:val="0004044E"/>
    <w:rsid w:val="0005120E"/>
    <w:rsid w:val="00054577"/>
    <w:rsid w:val="000614BF"/>
    <w:rsid w:val="0007169C"/>
    <w:rsid w:val="00077593"/>
    <w:rsid w:val="00083F48"/>
    <w:rsid w:val="000A5580"/>
    <w:rsid w:val="000A7DF9"/>
    <w:rsid w:val="000D05EF"/>
    <w:rsid w:val="000D5485"/>
    <w:rsid w:val="000F21C1"/>
    <w:rsid w:val="00105D72"/>
    <w:rsid w:val="0010745C"/>
    <w:rsid w:val="00107F37"/>
    <w:rsid w:val="00117277"/>
    <w:rsid w:val="00125096"/>
    <w:rsid w:val="00136343"/>
    <w:rsid w:val="00146530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5382"/>
    <w:rsid w:val="001A3B9F"/>
    <w:rsid w:val="001A65C0"/>
    <w:rsid w:val="001B5DEF"/>
    <w:rsid w:val="001B6456"/>
    <w:rsid w:val="001B7A5D"/>
    <w:rsid w:val="001C69C4"/>
    <w:rsid w:val="001E0A8D"/>
    <w:rsid w:val="001E3590"/>
    <w:rsid w:val="001E7407"/>
    <w:rsid w:val="00200FAA"/>
    <w:rsid w:val="00201D27"/>
    <w:rsid w:val="0020300C"/>
    <w:rsid w:val="00220A0C"/>
    <w:rsid w:val="00223E4A"/>
    <w:rsid w:val="002302EA"/>
    <w:rsid w:val="00240749"/>
    <w:rsid w:val="002468D7"/>
    <w:rsid w:val="002771D9"/>
    <w:rsid w:val="00285CDD"/>
    <w:rsid w:val="00291167"/>
    <w:rsid w:val="00297ECB"/>
    <w:rsid w:val="002B234E"/>
    <w:rsid w:val="002C152A"/>
    <w:rsid w:val="002D043A"/>
    <w:rsid w:val="0031713F"/>
    <w:rsid w:val="00321913"/>
    <w:rsid w:val="00324EE6"/>
    <w:rsid w:val="003316DC"/>
    <w:rsid w:val="00332E0D"/>
    <w:rsid w:val="00341549"/>
    <w:rsid w:val="003415D3"/>
    <w:rsid w:val="00343E91"/>
    <w:rsid w:val="00346335"/>
    <w:rsid w:val="00352B0F"/>
    <w:rsid w:val="003561B0"/>
    <w:rsid w:val="00367960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52044"/>
    <w:rsid w:val="00460499"/>
    <w:rsid w:val="00474835"/>
    <w:rsid w:val="004819C7"/>
    <w:rsid w:val="0048364F"/>
    <w:rsid w:val="00490F2E"/>
    <w:rsid w:val="00496DB3"/>
    <w:rsid w:val="00496F97"/>
    <w:rsid w:val="004A53EA"/>
    <w:rsid w:val="004D4BE7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A482B"/>
    <w:rsid w:val="005B2207"/>
    <w:rsid w:val="005B4067"/>
    <w:rsid w:val="005C36E0"/>
    <w:rsid w:val="005C3F41"/>
    <w:rsid w:val="005D168D"/>
    <w:rsid w:val="005D5EA1"/>
    <w:rsid w:val="005E61D3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6F3695"/>
    <w:rsid w:val="00700B2C"/>
    <w:rsid w:val="00713084"/>
    <w:rsid w:val="00720FC2"/>
    <w:rsid w:val="00731E00"/>
    <w:rsid w:val="00732E9D"/>
    <w:rsid w:val="0073491A"/>
    <w:rsid w:val="00737D54"/>
    <w:rsid w:val="007440B7"/>
    <w:rsid w:val="00747993"/>
    <w:rsid w:val="007634AD"/>
    <w:rsid w:val="007715C9"/>
    <w:rsid w:val="00774EDD"/>
    <w:rsid w:val="007757EC"/>
    <w:rsid w:val="007A115D"/>
    <w:rsid w:val="007A35E6"/>
    <w:rsid w:val="007A6863"/>
    <w:rsid w:val="007B7C32"/>
    <w:rsid w:val="007D45C1"/>
    <w:rsid w:val="007E7D4A"/>
    <w:rsid w:val="007F48ED"/>
    <w:rsid w:val="007F7947"/>
    <w:rsid w:val="00812F45"/>
    <w:rsid w:val="0084172C"/>
    <w:rsid w:val="00856A31"/>
    <w:rsid w:val="008754D0"/>
    <w:rsid w:val="00877D48"/>
    <w:rsid w:val="0088345B"/>
    <w:rsid w:val="008A16A5"/>
    <w:rsid w:val="008C2B5D"/>
    <w:rsid w:val="008D0EE0"/>
    <w:rsid w:val="008D35D2"/>
    <w:rsid w:val="008D5B99"/>
    <w:rsid w:val="008D7A27"/>
    <w:rsid w:val="008E4702"/>
    <w:rsid w:val="008E69AA"/>
    <w:rsid w:val="008F4F1C"/>
    <w:rsid w:val="00922764"/>
    <w:rsid w:val="00932377"/>
    <w:rsid w:val="00943102"/>
    <w:rsid w:val="0094523D"/>
    <w:rsid w:val="009559E6"/>
    <w:rsid w:val="00976A63"/>
    <w:rsid w:val="00983419"/>
    <w:rsid w:val="009C3431"/>
    <w:rsid w:val="009C5989"/>
    <w:rsid w:val="009D08DA"/>
    <w:rsid w:val="00A06860"/>
    <w:rsid w:val="00A136F5"/>
    <w:rsid w:val="00A1732C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A0343"/>
    <w:rsid w:val="00AA2A5C"/>
    <w:rsid w:val="00AB78E9"/>
    <w:rsid w:val="00AD3467"/>
    <w:rsid w:val="00AD5641"/>
    <w:rsid w:val="00AE0F9B"/>
    <w:rsid w:val="00AF55FF"/>
    <w:rsid w:val="00B032D8"/>
    <w:rsid w:val="00B33B3C"/>
    <w:rsid w:val="00B40D74"/>
    <w:rsid w:val="00B45435"/>
    <w:rsid w:val="00B52663"/>
    <w:rsid w:val="00B56DCB"/>
    <w:rsid w:val="00B770D2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235CE"/>
    <w:rsid w:val="00C42BF8"/>
    <w:rsid w:val="00C460AE"/>
    <w:rsid w:val="00C50043"/>
    <w:rsid w:val="00C50A0F"/>
    <w:rsid w:val="00C7573B"/>
    <w:rsid w:val="00C76CF3"/>
    <w:rsid w:val="00CA7844"/>
    <w:rsid w:val="00CB58EF"/>
    <w:rsid w:val="00CE7D64"/>
    <w:rsid w:val="00CF0BB2"/>
    <w:rsid w:val="00D03B04"/>
    <w:rsid w:val="00D13441"/>
    <w:rsid w:val="00D150ED"/>
    <w:rsid w:val="00D243A3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5891"/>
    <w:rsid w:val="00DB5CB4"/>
    <w:rsid w:val="00DE149E"/>
    <w:rsid w:val="00E05704"/>
    <w:rsid w:val="00E12F1A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A0D36"/>
    <w:rsid w:val="00ED4928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6709F"/>
    <w:rsid w:val="00F677A9"/>
    <w:rsid w:val="00F732EA"/>
    <w:rsid w:val="00F84CF5"/>
    <w:rsid w:val="00F8612E"/>
    <w:rsid w:val="00FA420B"/>
    <w:rsid w:val="00FB351D"/>
    <w:rsid w:val="00FB72A3"/>
    <w:rsid w:val="00FD5A08"/>
    <w:rsid w:val="00FE0781"/>
    <w:rsid w:val="00FE7B56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3634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63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63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63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63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634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634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634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634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634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36343"/>
  </w:style>
  <w:style w:type="paragraph" w:customStyle="1" w:styleId="OPCParaBase">
    <w:name w:val="OPCParaBase"/>
    <w:qFormat/>
    <w:rsid w:val="0013634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3634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3634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3634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3634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3634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3634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3634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3634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3634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3634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36343"/>
  </w:style>
  <w:style w:type="paragraph" w:customStyle="1" w:styleId="Blocks">
    <w:name w:val="Blocks"/>
    <w:aliases w:val="bb"/>
    <w:basedOn w:val="OPCParaBase"/>
    <w:qFormat/>
    <w:rsid w:val="0013634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3634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3634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36343"/>
    <w:rPr>
      <w:i/>
    </w:rPr>
  </w:style>
  <w:style w:type="paragraph" w:customStyle="1" w:styleId="BoxList">
    <w:name w:val="BoxList"/>
    <w:aliases w:val="bl"/>
    <w:basedOn w:val="BoxText"/>
    <w:qFormat/>
    <w:rsid w:val="0013634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3634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3634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36343"/>
    <w:pPr>
      <w:ind w:left="1985" w:hanging="851"/>
    </w:pPr>
  </w:style>
  <w:style w:type="character" w:customStyle="1" w:styleId="CharAmPartNo">
    <w:name w:val="CharAmPartNo"/>
    <w:basedOn w:val="OPCCharBase"/>
    <w:qFormat/>
    <w:rsid w:val="00136343"/>
  </w:style>
  <w:style w:type="character" w:customStyle="1" w:styleId="CharAmPartText">
    <w:name w:val="CharAmPartText"/>
    <w:basedOn w:val="OPCCharBase"/>
    <w:qFormat/>
    <w:rsid w:val="00136343"/>
  </w:style>
  <w:style w:type="character" w:customStyle="1" w:styleId="CharAmSchNo">
    <w:name w:val="CharAmSchNo"/>
    <w:basedOn w:val="OPCCharBase"/>
    <w:qFormat/>
    <w:rsid w:val="00136343"/>
  </w:style>
  <w:style w:type="character" w:customStyle="1" w:styleId="CharAmSchText">
    <w:name w:val="CharAmSchText"/>
    <w:basedOn w:val="OPCCharBase"/>
    <w:qFormat/>
    <w:rsid w:val="00136343"/>
  </w:style>
  <w:style w:type="character" w:customStyle="1" w:styleId="CharBoldItalic">
    <w:name w:val="CharBoldItalic"/>
    <w:basedOn w:val="OPCCharBase"/>
    <w:uiPriority w:val="1"/>
    <w:qFormat/>
    <w:rsid w:val="00136343"/>
    <w:rPr>
      <w:b/>
      <w:i/>
    </w:rPr>
  </w:style>
  <w:style w:type="character" w:customStyle="1" w:styleId="CharChapNo">
    <w:name w:val="CharChapNo"/>
    <w:basedOn w:val="OPCCharBase"/>
    <w:uiPriority w:val="1"/>
    <w:qFormat/>
    <w:rsid w:val="00136343"/>
  </w:style>
  <w:style w:type="character" w:customStyle="1" w:styleId="CharChapText">
    <w:name w:val="CharChapText"/>
    <w:basedOn w:val="OPCCharBase"/>
    <w:uiPriority w:val="1"/>
    <w:qFormat/>
    <w:rsid w:val="00136343"/>
  </w:style>
  <w:style w:type="character" w:customStyle="1" w:styleId="CharDivNo">
    <w:name w:val="CharDivNo"/>
    <w:basedOn w:val="OPCCharBase"/>
    <w:uiPriority w:val="1"/>
    <w:qFormat/>
    <w:rsid w:val="00136343"/>
  </w:style>
  <w:style w:type="character" w:customStyle="1" w:styleId="CharDivText">
    <w:name w:val="CharDivText"/>
    <w:basedOn w:val="OPCCharBase"/>
    <w:uiPriority w:val="1"/>
    <w:qFormat/>
    <w:rsid w:val="00136343"/>
  </w:style>
  <w:style w:type="character" w:customStyle="1" w:styleId="CharItalic">
    <w:name w:val="CharItalic"/>
    <w:basedOn w:val="OPCCharBase"/>
    <w:uiPriority w:val="1"/>
    <w:qFormat/>
    <w:rsid w:val="00136343"/>
    <w:rPr>
      <w:i/>
    </w:rPr>
  </w:style>
  <w:style w:type="character" w:customStyle="1" w:styleId="CharPartNo">
    <w:name w:val="CharPartNo"/>
    <w:basedOn w:val="OPCCharBase"/>
    <w:uiPriority w:val="1"/>
    <w:qFormat/>
    <w:rsid w:val="00136343"/>
  </w:style>
  <w:style w:type="character" w:customStyle="1" w:styleId="CharPartText">
    <w:name w:val="CharPartText"/>
    <w:basedOn w:val="OPCCharBase"/>
    <w:uiPriority w:val="1"/>
    <w:qFormat/>
    <w:rsid w:val="00136343"/>
  </w:style>
  <w:style w:type="character" w:customStyle="1" w:styleId="CharSectno">
    <w:name w:val="CharSectno"/>
    <w:basedOn w:val="OPCCharBase"/>
    <w:qFormat/>
    <w:rsid w:val="00136343"/>
  </w:style>
  <w:style w:type="character" w:customStyle="1" w:styleId="CharSubdNo">
    <w:name w:val="CharSubdNo"/>
    <w:basedOn w:val="OPCCharBase"/>
    <w:uiPriority w:val="1"/>
    <w:qFormat/>
    <w:rsid w:val="00136343"/>
  </w:style>
  <w:style w:type="character" w:customStyle="1" w:styleId="CharSubdText">
    <w:name w:val="CharSubdText"/>
    <w:basedOn w:val="OPCCharBase"/>
    <w:uiPriority w:val="1"/>
    <w:qFormat/>
    <w:rsid w:val="00136343"/>
  </w:style>
  <w:style w:type="paragraph" w:customStyle="1" w:styleId="CTA--">
    <w:name w:val="CTA --"/>
    <w:basedOn w:val="OPCParaBase"/>
    <w:next w:val="Normal"/>
    <w:rsid w:val="0013634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3634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3634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3634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3634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3634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3634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3634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3634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3634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3634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3634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3634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3634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13634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3634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3634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3634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3634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3634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3634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3634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3634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3634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3634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3634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3634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3634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3634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3634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3634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3634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3634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3634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3634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3634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3634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3634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3634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3634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3634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3634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3634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3634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3634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3634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3634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3634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3634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3634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3634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3634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3634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3634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3634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36343"/>
    <w:pPr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36343"/>
    <w:pPr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36343"/>
    <w:pPr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136343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13634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136343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136343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136343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136343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13634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3634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3634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3634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3634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3634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3634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3634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136343"/>
    <w:rPr>
      <w:sz w:val="16"/>
    </w:rPr>
  </w:style>
  <w:style w:type="table" w:customStyle="1" w:styleId="CFlag">
    <w:name w:val="CFlag"/>
    <w:basedOn w:val="TableNormal"/>
    <w:uiPriority w:val="99"/>
    <w:rsid w:val="0013634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363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3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36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3634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3634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36343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3634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3634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36343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36343"/>
    <w:pPr>
      <w:spacing w:before="120"/>
    </w:pPr>
  </w:style>
  <w:style w:type="paragraph" w:customStyle="1" w:styleId="CompiledActNo">
    <w:name w:val="CompiledActNo"/>
    <w:basedOn w:val="OPCParaBase"/>
    <w:next w:val="Normal"/>
    <w:rsid w:val="0013634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3634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3634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3634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3634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3634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3634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3634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3634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3634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3634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3634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3634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3634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3634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634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3634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36343"/>
  </w:style>
  <w:style w:type="character" w:customStyle="1" w:styleId="CharSubPartNoCASA">
    <w:name w:val="CharSubPartNo(CASA)"/>
    <w:basedOn w:val="OPCCharBase"/>
    <w:uiPriority w:val="1"/>
    <w:rsid w:val="00136343"/>
  </w:style>
  <w:style w:type="paragraph" w:customStyle="1" w:styleId="ENoteTTIndentHeadingSub">
    <w:name w:val="ENoteTTIndentHeadingSub"/>
    <w:aliases w:val="enTTHis"/>
    <w:basedOn w:val="OPCParaBase"/>
    <w:rsid w:val="0013634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3634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3634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3634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3634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3634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36343"/>
    <w:rPr>
      <w:sz w:val="22"/>
    </w:rPr>
  </w:style>
  <w:style w:type="paragraph" w:customStyle="1" w:styleId="SOTextNote">
    <w:name w:val="SO TextNote"/>
    <w:aliases w:val="sont"/>
    <w:basedOn w:val="SOText"/>
    <w:qFormat/>
    <w:rsid w:val="0013634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3634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36343"/>
    <w:rPr>
      <w:sz w:val="22"/>
    </w:rPr>
  </w:style>
  <w:style w:type="paragraph" w:customStyle="1" w:styleId="FileName">
    <w:name w:val="FileName"/>
    <w:basedOn w:val="Normal"/>
    <w:rsid w:val="00136343"/>
  </w:style>
  <w:style w:type="paragraph" w:customStyle="1" w:styleId="TableHeading">
    <w:name w:val="TableHeading"/>
    <w:aliases w:val="th"/>
    <w:basedOn w:val="OPCParaBase"/>
    <w:next w:val="Tabletext"/>
    <w:rsid w:val="0013634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3634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3634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3634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3634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3634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3634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3634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3634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3634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3634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3634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3634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3634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363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63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634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634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634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634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634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634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6343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3634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63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63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63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63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634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634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634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634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634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36343"/>
  </w:style>
  <w:style w:type="paragraph" w:customStyle="1" w:styleId="OPCParaBase">
    <w:name w:val="OPCParaBase"/>
    <w:qFormat/>
    <w:rsid w:val="0013634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3634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3634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3634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3634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3634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3634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3634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3634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3634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3634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36343"/>
  </w:style>
  <w:style w:type="paragraph" w:customStyle="1" w:styleId="Blocks">
    <w:name w:val="Blocks"/>
    <w:aliases w:val="bb"/>
    <w:basedOn w:val="OPCParaBase"/>
    <w:qFormat/>
    <w:rsid w:val="0013634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3634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3634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36343"/>
    <w:rPr>
      <w:i/>
    </w:rPr>
  </w:style>
  <w:style w:type="paragraph" w:customStyle="1" w:styleId="BoxList">
    <w:name w:val="BoxList"/>
    <w:aliases w:val="bl"/>
    <w:basedOn w:val="BoxText"/>
    <w:qFormat/>
    <w:rsid w:val="0013634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3634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3634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36343"/>
    <w:pPr>
      <w:ind w:left="1985" w:hanging="851"/>
    </w:pPr>
  </w:style>
  <w:style w:type="character" w:customStyle="1" w:styleId="CharAmPartNo">
    <w:name w:val="CharAmPartNo"/>
    <w:basedOn w:val="OPCCharBase"/>
    <w:qFormat/>
    <w:rsid w:val="00136343"/>
  </w:style>
  <w:style w:type="character" w:customStyle="1" w:styleId="CharAmPartText">
    <w:name w:val="CharAmPartText"/>
    <w:basedOn w:val="OPCCharBase"/>
    <w:qFormat/>
    <w:rsid w:val="00136343"/>
  </w:style>
  <w:style w:type="character" w:customStyle="1" w:styleId="CharAmSchNo">
    <w:name w:val="CharAmSchNo"/>
    <w:basedOn w:val="OPCCharBase"/>
    <w:qFormat/>
    <w:rsid w:val="00136343"/>
  </w:style>
  <w:style w:type="character" w:customStyle="1" w:styleId="CharAmSchText">
    <w:name w:val="CharAmSchText"/>
    <w:basedOn w:val="OPCCharBase"/>
    <w:qFormat/>
    <w:rsid w:val="00136343"/>
  </w:style>
  <w:style w:type="character" w:customStyle="1" w:styleId="CharBoldItalic">
    <w:name w:val="CharBoldItalic"/>
    <w:basedOn w:val="OPCCharBase"/>
    <w:uiPriority w:val="1"/>
    <w:qFormat/>
    <w:rsid w:val="00136343"/>
    <w:rPr>
      <w:b/>
      <w:i/>
    </w:rPr>
  </w:style>
  <w:style w:type="character" w:customStyle="1" w:styleId="CharChapNo">
    <w:name w:val="CharChapNo"/>
    <w:basedOn w:val="OPCCharBase"/>
    <w:uiPriority w:val="1"/>
    <w:qFormat/>
    <w:rsid w:val="00136343"/>
  </w:style>
  <w:style w:type="character" w:customStyle="1" w:styleId="CharChapText">
    <w:name w:val="CharChapText"/>
    <w:basedOn w:val="OPCCharBase"/>
    <w:uiPriority w:val="1"/>
    <w:qFormat/>
    <w:rsid w:val="00136343"/>
  </w:style>
  <w:style w:type="character" w:customStyle="1" w:styleId="CharDivNo">
    <w:name w:val="CharDivNo"/>
    <w:basedOn w:val="OPCCharBase"/>
    <w:uiPriority w:val="1"/>
    <w:qFormat/>
    <w:rsid w:val="00136343"/>
  </w:style>
  <w:style w:type="character" w:customStyle="1" w:styleId="CharDivText">
    <w:name w:val="CharDivText"/>
    <w:basedOn w:val="OPCCharBase"/>
    <w:uiPriority w:val="1"/>
    <w:qFormat/>
    <w:rsid w:val="00136343"/>
  </w:style>
  <w:style w:type="character" w:customStyle="1" w:styleId="CharItalic">
    <w:name w:val="CharItalic"/>
    <w:basedOn w:val="OPCCharBase"/>
    <w:uiPriority w:val="1"/>
    <w:qFormat/>
    <w:rsid w:val="00136343"/>
    <w:rPr>
      <w:i/>
    </w:rPr>
  </w:style>
  <w:style w:type="character" w:customStyle="1" w:styleId="CharPartNo">
    <w:name w:val="CharPartNo"/>
    <w:basedOn w:val="OPCCharBase"/>
    <w:uiPriority w:val="1"/>
    <w:qFormat/>
    <w:rsid w:val="00136343"/>
  </w:style>
  <w:style w:type="character" w:customStyle="1" w:styleId="CharPartText">
    <w:name w:val="CharPartText"/>
    <w:basedOn w:val="OPCCharBase"/>
    <w:uiPriority w:val="1"/>
    <w:qFormat/>
    <w:rsid w:val="00136343"/>
  </w:style>
  <w:style w:type="character" w:customStyle="1" w:styleId="CharSectno">
    <w:name w:val="CharSectno"/>
    <w:basedOn w:val="OPCCharBase"/>
    <w:qFormat/>
    <w:rsid w:val="00136343"/>
  </w:style>
  <w:style w:type="character" w:customStyle="1" w:styleId="CharSubdNo">
    <w:name w:val="CharSubdNo"/>
    <w:basedOn w:val="OPCCharBase"/>
    <w:uiPriority w:val="1"/>
    <w:qFormat/>
    <w:rsid w:val="00136343"/>
  </w:style>
  <w:style w:type="character" w:customStyle="1" w:styleId="CharSubdText">
    <w:name w:val="CharSubdText"/>
    <w:basedOn w:val="OPCCharBase"/>
    <w:uiPriority w:val="1"/>
    <w:qFormat/>
    <w:rsid w:val="00136343"/>
  </w:style>
  <w:style w:type="paragraph" w:customStyle="1" w:styleId="CTA--">
    <w:name w:val="CTA --"/>
    <w:basedOn w:val="OPCParaBase"/>
    <w:next w:val="Normal"/>
    <w:rsid w:val="0013634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3634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3634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3634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3634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3634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3634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3634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3634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3634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3634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3634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3634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3634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13634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3634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3634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3634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3634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3634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3634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3634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3634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3634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3634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3634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3634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3634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3634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3634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3634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3634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3634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3634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3634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3634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3634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3634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3634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3634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3634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3634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3634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3634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3634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3634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3634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3634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3634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3634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3634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3634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3634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3634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3634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36343"/>
    <w:pPr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36343"/>
    <w:pPr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36343"/>
    <w:pPr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136343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13634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136343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136343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136343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136343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13634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3634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3634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3634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3634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3634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3634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3634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136343"/>
    <w:rPr>
      <w:sz w:val="16"/>
    </w:rPr>
  </w:style>
  <w:style w:type="table" w:customStyle="1" w:styleId="CFlag">
    <w:name w:val="CFlag"/>
    <w:basedOn w:val="TableNormal"/>
    <w:uiPriority w:val="99"/>
    <w:rsid w:val="0013634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363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3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36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3634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3634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36343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3634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3634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36343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36343"/>
    <w:pPr>
      <w:spacing w:before="120"/>
    </w:pPr>
  </w:style>
  <w:style w:type="paragraph" w:customStyle="1" w:styleId="CompiledActNo">
    <w:name w:val="CompiledActNo"/>
    <w:basedOn w:val="OPCParaBase"/>
    <w:next w:val="Normal"/>
    <w:rsid w:val="0013634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3634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3634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3634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3634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3634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3634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3634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3634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3634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3634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3634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3634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3634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3634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634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3634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36343"/>
  </w:style>
  <w:style w:type="character" w:customStyle="1" w:styleId="CharSubPartNoCASA">
    <w:name w:val="CharSubPartNo(CASA)"/>
    <w:basedOn w:val="OPCCharBase"/>
    <w:uiPriority w:val="1"/>
    <w:rsid w:val="00136343"/>
  </w:style>
  <w:style w:type="paragraph" w:customStyle="1" w:styleId="ENoteTTIndentHeadingSub">
    <w:name w:val="ENoteTTIndentHeadingSub"/>
    <w:aliases w:val="enTTHis"/>
    <w:basedOn w:val="OPCParaBase"/>
    <w:rsid w:val="0013634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3634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3634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3634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3634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3634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36343"/>
    <w:rPr>
      <w:sz w:val="22"/>
    </w:rPr>
  </w:style>
  <w:style w:type="paragraph" w:customStyle="1" w:styleId="SOTextNote">
    <w:name w:val="SO TextNote"/>
    <w:aliases w:val="sont"/>
    <w:basedOn w:val="SOText"/>
    <w:qFormat/>
    <w:rsid w:val="0013634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3634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36343"/>
    <w:rPr>
      <w:sz w:val="22"/>
    </w:rPr>
  </w:style>
  <w:style w:type="paragraph" w:customStyle="1" w:styleId="FileName">
    <w:name w:val="FileName"/>
    <w:basedOn w:val="Normal"/>
    <w:rsid w:val="00136343"/>
  </w:style>
  <w:style w:type="paragraph" w:customStyle="1" w:styleId="TableHeading">
    <w:name w:val="TableHeading"/>
    <w:aliases w:val="th"/>
    <w:basedOn w:val="OPCParaBase"/>
    <w:next w:val="Tabletext"/>
    <w:rsid w:val="0013634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3634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3634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3634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3634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3634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3634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3634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3634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3634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3634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3634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3634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3634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363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63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634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634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634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634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634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634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6343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6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1.bin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image" Target="media/image2.wmf"/><Relationship Id="rId29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7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oleObject" Target="embeddings/oleObject2.bin"/><Relationship Id="rId28" Type="http://schemas.openxmlformats.org/officeDocument/2006/relationships/header" Target="header9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3.wmf"/><Relationship Id="rId27" Type="http://schemas.openxmlformats.org/officeDocument/2006/relationships/footer" Target="footer7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12</Pages>
  <Words>1322</Words>
  <Characters>7537</Characters>
  <Application>Microsoft Office Word</Application>
  <DocSecurity>4</DocSecurity>
  <PresentationFormat/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8842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2018-05-15T00:06:00Z</cp:lastPrinted>
  <dcterms:created xsi:type="dcterms:W3CDTF">2018-06-22T01:48:00Z</dcterms:created>
  <dcterms:modified xsi:type="dcterms:W3CDTF">2018-06-22T01:48:00Z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2018</vt:lpwstr>
  </property>
  <property fmtid="{D5CDD505-2E9C-101B-9397-08002B2CF9AE}" pid="3" name="ShortT">
    <vt:lpwstr>Treasury Laws Amendment (2018 Measures No. 1) Regulations 2018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/>
  </property>
  <property fmtid="{D5CDD505-2E9C-101B-9397-08002B2CF9AE}" pid="9" name="DateMade">
    <vt:lpwstr>21 June 2018</vt:lpwstr>
  </property>
  <property fmtid="{D5CDD505-2E9C-101B-9397-08002B2CF9AE}" pid="10" name="ID">
    <vt:lpwstr>OPC63358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21 June 2018</vt:lpwstr>
  </property>
</Properties>
</file>