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62AFC" w:rsidRDefault="00DA186E" w:rsidP="00B05CF4">
      <w:pPr>
        <w:rPr>
          <w:sz w:val="28"/>
        </w:rPr>
      </w:pPr>
      <w:r w:rsidRPr="00262AFC">
        <w:rPr>
          <w:noProof/>
          <w:lang w:eastAsia="en-AU"/>
        </w:rPr>
        <w:drawing>
          <wp:inline distT="0" distB="0" distL="0" distR="0" wp14:anchorId="1867137A" wp14:editId="4562F4D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262AFC" w:rsidRDefault="00715914" w:rsidP="00715914">
      <w:pPr>
        <w:rPr>
          <w:sz w:val="19"/>
        </w:rPr>
      </w:pPr>
    </w:p>
    <w:p w:rsidR="00715914" w:rsidRPr="00262AFC" w:rsidRDefault="006C6258" w:rsidP="00715914">
      <w:pPr>
        <w:pStyle w:val="ShortT"/>
      </w:pPr>
      <w:r w:rsidRPr="00262AFC">
        <w:t>Superannuation (Resolution of Complaints) Regulations</w:t>
      </w:r>
      <w:r w:rsidR="00262AFC" w:rsidRPr="00262AFC">
        <w:t> </w:t>
      </w:r>
      <w:r w:rsidRPr="00262AFC">
        <w:t>2018</w:t>
      </w:r>
    </w:p>
    <w:p w:rsidR="00FA4C91" w:rsidRPr="00262AFC" w:rsidRDefault="00FA4C91" w:rsidP="00806721">
      <w:pPr>
        <w:pStyle w:val="SignCoverPageStart"/>
        <w:spacing w:before="240"/>
        <w:rPr>
          <w:szCs w:val="22"/>
        </w:rPr>
      </w:pPr>
      <w:r w:rsidRPr="00262AFC">
        <w:rPr>
          <w:szCs w:val="22"/>
        </w:rPr>
        <w:t>I, General the Honourable Sir Peter Cosgrove AK MC (</w:t>
      </w:r>
      <w:proofErr w:type="spellStart"/>
      <w:r w:rsidRPr="00262AFC">
        <w:rPr>
          <w:szCs w:val="22"/>
        </w:rPr>
        <w:t>Ret’d</w:t>
      </w:r>
      <w:proofErr w:type="spellEnd"/>
      <w:r w:rsidRPr="00262AFC">
        <w:rPr>
          <w:szCs w:val="22"/>
        </w:rPr>
        <w:t xml:space="preserve">), </w:t>
      </w:r>
      <w:r w:rsidR="00262AFC" w:rsidRPr="00262AFC">
        <w:rPr>
          <w:szCs w:val="22"/>
        </w:rPr>
        <w:t>Governor</w:t>
      </w:r>
      <w:r w:rsidR="00262AFC">
        <w:rPr>
          <w:szCs w:val="22"/>
        </w:rPr>
        <w:noBreakHyphen/>
      </w:r>
      <w:r w:rsidR="00262AFC" w:rsidRPr="00262AFC">
        <w:rPr>
          <w:szCs w:val="22"/>
        </w:rPr>
        <w:t>General</w:t>
      </w:r>
      <w:r w:rsidRPr="00262AFC">
        <w:rPr>
          <w:szCs w:val="22"/>
        </w:rPr>
        <w:t xml:space="preserve"> of the Commonwealth of Australia, acting with the advice of the Federal Executive Council, make the following regulations.</w:t>
      </w:r>
    </w:p>
    <w:p w:rsidR="00FA4C91" w:rsidRPr="00262AFC" w:rsidRDefault="00FA4C91" w:rsidP="00806721">
      <w:pPr>
        <w:keepNext/>
        <w:spacing w:before="720" w:line="240" w:lineRule="atLeast"/>
        <w:ind w:right="397"/>
        <w:jc w:val="both"/>
        <w:rPr>
          <w:szCs w:val="22"/>
        </w:rPr>
      </w:pPr>
      <w:r w:rsidRPr="00262AFC">
        <w:rPr>
          <w:szCs w:val="22"/>
        </w:rPr>
        <w:t xml:space="preserve">Dated </w:t>
      </w:r>
      <w:r w:rsidRPr="00262AFC">
        <w:rPr>
          <w:szCs w:val="22"/>
        </w:rPr>
        <w:fldChar w:fldCharType="begin"/>
      </w:r>
      <w:r w:rsidRPr="00262AFC">
        <w:rPr>
          <w:szCs w:val="22"/>
        </w:rPr>
        <w:instrText xml:space="preserve"> DOCPROPERTY  DateMade </w:instrText>
      </w:r>
      <w:r w:rsidRPr="00262AFC">
        <w:rPr>
          <w:szCs w:val="22"/>
        </w:rPr>
        <w:fldChar w:fldCharType="separate"/>
      </w:r>
      <w:r w:rsidR="00401B08">
        <w:rPr>
          <w:szCs w:val="22"/>
        </w:rPr>
        <w:t>21 June 2018</w:t>
      </w:r>
      <w:r w:rsidRPr="00262AFC">
        <w:rPr>
          <w:szCs w:val="22"/>
        </w:rPr>
        <w:fldChar w:fldCharType="end"/>
      </w:r>
    </w:p>
    <w:p w:rsidR="00FA4C91" w:rsidRPr="00262AFC" w:rsidRDefault="00FA4C91" w:rsidP="0080672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62AFC">
        <w:rPr>
          <w:szCs w:val="22"/>
        </w:rPr>
        <w:t>Peter Cosgrove</w:t>
      </w:r>
    </w:p>
    <w:p w:rsidR="00FA4C91" w:rsidRPr="00262AFC" w:rsidRDefault="00262AFC" w:rsidP="0080672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62AFC">
        <w:rPr>
          <w:szCs w:val="22"/>
        </w:rPr>
        <w:t>Governor</w:t>
      </w:r>
      <w:r>
        <w:rPr>
          <w:szCs w:val="22"/>
        </w:rPr>
        <w:noBreakHyphen/>
      </w:r>
      <w:r w:rsidRPr="00262AFC">
        <w:rPr>
          <w:szCs w:val="22"/>
        </w:rPr>
        <w:t>General</w:t>
      </w:r>
    </w:p>
    <w:p w:rsidR="00FA4C91" w:rsidRPr="00262AFC" w:rsidRDefault="00FA4C91" w:rsidP="0080672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62AFC">
        <w:rPr>
          <w:szCs w:val="22"/>
        </w:rPr>
        <w:t>By His Excellency’s Command</w:t>
      </w:r>
    </w:p>
    <w:p w:rsidR="00FA4C91" w:rsidRPr="00262AFC" w:rsidRDefault="00FA4C91" w:rsidP="0080672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62AFC">
        <w:rPr>
          <w:szCs w:val="22"/>
        </w:rPr>
        <w:t xml:space="preserve">Kelly </w:t>
      </w:r>
      <w:proofErr w:type="spellStart"/>
      <w:r w:rsidRPr="00262AFC">
        <w:rPr>
          <w:szCs w:val="22"/>
        </w:rPr>
        <w:t>O’Dwyer</w:t>
      </w:r>
      <w:proofErr w:type="spellEnd"/>
    </w:p>
    <w:p w:rsidR="00FA4C91" w:rsidRPr="00262AFC" w:rsidRDefault="00FA4C91" w:rsidP="00806721">
      <w:pPr>
        <w:pStyle w:val="SignCoverPageEnd"/>
        <w:rPr>
          <w:szCs w:val="22"/>
        </w:rPr>
      </w:pPr>
      <w:r w:rsidRPr="00262AFC">
        <w:rPr>
          <w:szCs w:val="22"/>
        </w:rPr>
        <w:t>Minister for Revenue and Financial Services</w:t>
      </w:r>
    </w:p>
    <w:p w:rsidR="00FA4C91" w:rsidRPr="00262AFC" w:rsidRDefault="00FA4C91" w:rsidP="00806721"/>
    <w:p w:rsidR="00715914" w:rsidRPr="00262AFC" w:rsidRDefault="00715914" w:rsidP="00715914">
      <w:pPr>
        <w:pStyle w:val="Header"/>
        <w:tabs>
          <w:tab w:val="clear" w:pos="4150"/>
          <w:tab w:val="clear" w:pos="8307"/>
        </w:tabs>
      </w:pPr>
      <w:r w:rsidRPr="00262AFC">
        <w:rPr>
          <w:rStyle w:val="CharChapNo"/>
        </w:rPr>
        <w:t xml:space="preserve"> </w:t>
      </w:r>
      <w:r w:rsidRPr="00262AFC">
        <w:rPr>
          <w:rStyle w:val="CharChapText"/>
        </w:rPr>
        <w:t xml:space="preserve"> </w:t>
      </w:r>
    </w:p>
    <w:p w:rsidR="00715914" w:rsidRPr="00262AFC" w:rsidRDefault="00715914" w:rsidP="00715914">
      <w:pPr>
        <w:pStyle w:val="Header"/>
        <w:tabs>
          <w:tab w:val="clear" w:pos="4150"/>
          <w:tab w:val="clear" w:pos="8307"/>
        </w:tabs>
      </w:pPr>
      <w:r w:rsidRPr="00262AFC">
        <w:rPr>
          <w:rStyle w:val="CharPartNo"/>
        </w:rPr>
        <w:t xml:space="preserve"> </w:t>
      </w:r>
      <w:r w:rsidRPr="00262AFC">
        <w:rPr>
          <w:rStyle w:val="CharPartText"/>
        </w:rPr>
        <w:t xml:space="preserve"> </w:t>
      </w:r>
    </w:p>
    <w:p w:rsidR="00715914" w:rsidRPr="00262AFC" w:rsidRDefault="00715914" w:rsidP="00715914">
      <w:pPr>
        <w:pStyle w:val="Header"/>
        <w:tabs>
          <w:tab w:val="clear" w:pos="4150"/>
          <w:tab w:val="clear" w:pos="8307"/>
        </w:tabs>
      </w:pPr>
      <w:r w:rsidRPr="00262AFC">
        <w:rPr>
          <w:rStyle w:val="CharDivNo"/>
        </w:rPr>
        <w:t xml:space="preserve"> </w:t>
      </w:r>
      <w:r w:rsidRPr="00262AFC">
        <w:rPr>
          <w:rStyle w:val="CharDivText"/>
        </w:rPr>
        <w:t xml:space="preserve"> </w:t>
      </w:r>
    </w:p>
    <w:p w:rsidR="00715914" w:rsidRPr="00262AFC" w:rsidRDefault="00715914" w:rsidP="00715914">
      <w:pPr>
        <w:sectPr w:rsidR="00715914" w:rsidRPr="00262AFC" w:rsidSect="00266B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262AFC" w:rsidRDefault="00715914" w:rsidP="00E2616E">
      <w:pPr>
        <w:rPr>
          <w:sz w:val="36"/>
        </w:rPr>
      </w:pPr>
      <w:r w:rsidRPr="00262AFC">
        <w:rPr>
          <w:sz w:val="36"/>
        </w:rPr>
        <w:lastRenderedPageBreak/>
        <w:t>Contents</w:t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fldChar w:fldCharType="begin"/>
      </w:r>
      <w:r w:rsidRPr="00262AFC">
        <w:instrText xml:space="preserve"> TOC \o "1-9" </w:instrText>
      </w:r>
      <w:r w:rsidRPr="00262AFC">
        <w:fldChar w:fldCharType="separate"/>
      </w:r>
      <w:r w:rsidRPr="00262AFC">
        <w:rPr>
          <w:noProof/>
        </w:rPr>
        <w:t>1</w:t>
      </w:r>
      <w:r w:rsidRPr="00262AFC">
        <w:rPr>
          <w:noProof/>
        </w:rPr>
        <w:tab/>
        <w:t>Name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_Toc514161451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1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rPr>
          <w:noProof/>
        </w:rPr>
        <w:t>2</w:t>
      </w:r>
      <w:r w:rsidRPr="00262AFC">
        <w:rPr>
          <w:noProof/>
        </w:rPr>
        <w:tab/>
        <w:t>Commencement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_Toc514161452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1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rPr>
          <w:noProof/>
        </w:rPr>
        <w:t>3</w:t>
      </w:r>
      <w:r w:rsidRPr="00262AFC">
        <w:rPr>
          <w:noProof/>
        </w:rPr>
        <w:tab/>
        <w:t>Authority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_Toc514161453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1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rPr>
          <w:noProof/>
        </w:rPr>
        <w:t>4</w:t>
      </w:r>
      <w:r w:rsidRPr="00262AFC">
        <w:rPr>
          <w:noProof/>
        </w:rPr>
        <w:tab/>
        <w:t>Schedules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_Toc514161454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1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rPr>
          <w:noProof/>
        </w:rPr>
        <w:t>5</w:t>
      </w:r>
      <w:r w:rsidRPr="00262AFC">
        <w:rPr>
          <w:noProof/>
        </w:rPr>
        <w:tab/>
        <w:t>Definitions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_Toc514161455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1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rPr>
          <w:noProof/>
        </w:rPr>
        <w:t>6</w:t>
      </w:r>
      <w:r w:rsidRPr="00262AFC">
        <w:rPr>
          <w:noProof/>
        </w:rPr>
        <w:tab/>
        <w:t>Exempt public sector superannuation schemes taken to be regulated super funds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_Toc514161456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1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rPr>
          <w:noProof/>
        </w:rPr>
        <w:t>7</w:t>
      </w:r>
      <w:r w:rsidRPr="00262AFC">
        <w:rPr>
          <w:noProof/>
        </w:rPr>
        <w:tab/>
        <w:t>Persons to be treated as beneficiaries, members etc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_Toc514161457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2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rPr>
          <w:noProof/>
        </w:rPr>
        <w:t>8</w:t>
      </w:r>
      <w:r w:rsidRPr="00262AFC">
        <w:rPr>
          <w:noProof/>
        </w:rPr>
        <w:tab/>
        <w:t>Payment of death benefits—period for objections and complaints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_Toc514161458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3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rPr>
          <w:noProof/>
        </w:rPr>
        <w:t>9</w:t>
      </w:r>
      <w:r w:rsidRPr="00262AFC">
        <w:rPr>
          <w:noProof/>
        </w:rPr>
        <w:tab/>
        <w:t>Statement of amount or amounts in respect of person’s contributed amounts—period to make complaint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_Toc514161459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3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rPr>
          <w:noProof/>
        </w:rPr>
        <w:t>10</w:t>
      </w:r>
      <w:r w:rsidRPr="00262AFC">
        <w:rPr>
          <w:noProof/>
        </w:rPr>
        <w:tab/>
        <w:t>Complaint handling bodies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_Toc514161460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3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62AFC">
        <w:rPr>
          <w:noProof/>
        </w:rPr>
        <w:t>11</w:t>
      </w:r>
      <w:r w:rsidRPr="00262AFC">
        <w:rPr>
          <w:noProof/>
        </w:rPr>
        <w:tab/>
        <w:t>Method of calculation of interest</w:t>
      </w:r>
      <w:r w:rsidRPr="00262AFC">
        <w:rPr>
          <w:noProof/>
        </w:rPr>
        <w:tab/>
      </w:r>
      <w:r w:rsidRPr="00262AFC">
        <w:rPr>
          <w:noProof/>
        </w:rPr>
        <w:fldChar w:fldCharType="begin"/>
      </w:r>
      <w:r w:rsidRPr="00262AFC">
        <w:rPr>
          <w:noProof/>
        </w:rPr>
        <w:instrText xml:space="preserve"> PAGEREF _Toc514161461 \h </w:instrText>
      </w:r>
      <w:r w:rsidRPr="00262AFC">
        <w:rPr>
          <w:noProof/>
        </w:rPr>
      </w:r>
      <w:r w:rsidRPr="00262AFC">
        <w:rPr>
          <w:noProof/>
        </w:rPr>
        <w:fldChar w:fldCharType="separate"/>
      </w:r>
      <w:r w:rsidR="00401B08">
        <w:rPr>
          <w:noProof/>
        </w:rPr>
        <w:t>4</w:t>
      </w:r>
      <w:r w:rsidRPr="00262AFC">
        <w:rPr>
          <w:noProof/>
        </w:rPr>
        <w:fldChar w:fldCharType="end"/>
      </w:r>
    </w:p>
    <w:p w:rsidR="00B42139" w:rsidRPr="00262AFC" w:rsidRDefault="00B4213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62AFC">
        <w:rPr>
          <w:noProof/>
        </w:rPr>
        <w:t>Schedule</w:t>
      </w:r>
      <w:r w:rsidR="00262AFC" w:rsidRPr="00262AFC">
        <w:rPr>
          <w:noProof/>
        </w:rPr>
        <w:t> </w:t>
      </w:r>
      <w:r w:rsidRPr="00262AFC">
        <w:rPr>
          <w:noProof/>
        </w:rPr>
        <w:t>1—Repeals</w:t>
      </w:r>
      <w:r w:rsidRPr="00262AFC">
        <w:rPr>
          <w:b w:val="0"/>
          <w:noProof/>
          <w:sz w:val="18"/>
        </w:rPr>
        <w:tab/>
      </w:r>
      <w:r w:rsidRPr="00262AFC">
        <w:rPr>
          <w:b w:val="0"/>
          <w:noProof/>
          <w:sz w:val="18"/>
        </w:rPr>
        <w:fldChar w:fldCharType="begin"/>
      </w:r>
      <w:r w:rsidRPr="00262AFC">
        <w:rPr>
          <w:b w:val="0"/>
          <w:noProof/>
          <w:sz w:val="18"/>
        </w:rPr>
        <w:instrText xml:space="preserve"> PAGEREF _Toc514161462 \h </w:instrText>
      </w:r>
      <w:r w:rsidRPr="00262AFC">
        <w:rPr>
          <w:b w:val="0"/>
          <w:noProof/>
          <w:sz w:val="18"/>
        </w:rPr>
      </w:r>
      <w:r w:rsidRPr="00262AFC">
        <w:rPr>
          <w:b w:val="0"/>
          <w:noProof/>
          <w:sz w:val="18"/>
        </w:rPr>
        <w:fldChar w:fldCharType="separate"/>
      </w:r>
      <w:r w:rsidR="00401B08">
        <w:rPr>
          <w:b w:val="0"/>
          <w:noProof/>
          <w:sz w:val="18"/>
        </w:rPr>
        <w:t>5</w:t>
      </w:r>
      <w:r w:rsidRPr="00262AFC">
        <w:rPr>
          <w:b w:val="0"/>
          <w:noProof/>
          <w:sz w:val="18"/>
        </w:rPr>
        <w:fldChar w:fldCharType="end"/>
      </w:r>
    </w:p>
    <w:p w:rsidR="00B42139" w:rsidRPr="00262AFC" w:rsidRDefault="00B4213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62AFC">
        <w:rPr>
          <w:noProof/>
        </w:rPr>
        <w:t>Superannuation (Resolution of Complaints) Regulations</w:t>
      </w:r>
      <w:r w:rsidR="00262AFC" w:rsidRPr="00262AFC">
        <w:rPr>
          <w:noProof/>
        </w:rPr>
        <w:t> </w:t>
      </w:r>
      <w:r w:rsidRPr="00262AFC">
        <w:rPr>
          <w:noProof/>
        </w:rPr>
        <w:t>1994</w:t>
      </w:r>
      <w:r w:rsidRPr="00262AFC">
        <w:rPr>
          <w:i w:val="0"/>
          <w:noProof/>
          <w:sz w:val="18"/>
        </w:rPr>
        <w:tab/>
      </w:r>
      <w:r w:rsidRPr="00262AFC">
        <w:rPr>
          <w:i w:val="0"/>
          <w:noProof/>
          <w:sz w:val="18"/>
        </w:rPr>
        <w:fldChar w:fldCharType="begin"/>
      </w:r>
      <w:r w:rsidRPr="00262AFC">
        <w:rPr>
          <w:i w:val="0"/>
          <w:noProof/>
          <w:sz w:val="18"/>
        </w:rPr>
        <w:instrText xml:space="preserve"> PAGEREF _Toc514161463 \h </w:instrText>
      </w:r>
      <w:r w:rsidRPr="00262AFC">
        <w:rPr>
          <w:i w:val="0"/>
          <w:noProof/>
          <w:sz w:val="18"/>
        </w:rPr>
      </w:r>
      <w:r w:rsidRPr="00262AFC">
        <w:rPr>
          <w:i w:val="0"/>
          <w:noProof/>
          <w:sz w:val="18"/>
        </w:rPr>
        <w:fldChar w:fldCharType="separate"/>
      </w:r>
      <w:r w:rsidR="00401B08">
        <w:rPr>
          <w:i w:val="0"/>
          <w:noProof/>
          <w:sz w:val="18"/>
        </w:rPr>
        <w:t>5</w:t>
      </w:r>
      <w:r w:rsidRPr="00262AFC">
        <w:rPr>
          <w:i w:val="0"/>
          <w:noProof/>
          <w:sz w:val="18"/>
        </w:rPr>
        <w:fldChar w:fldCharType="end"/>
      </w:r>
    </w:p>
    <w:p w:rsidR="00670EA1" w:rsidRPr="00262AFC" w:rsidRDefault="00B42139" w:rsidP="00715914">
      <w:r w:rsidRPr="00262AFC">
        <w:fldChar w:fldCharType="end"/>
      </w:r>
    </w:p>
    <w:p w:rsidR="00670EA1" w:rsidRPr="00262AFC" w:rsidRDefault="00670EA1" w:rsidP="00715914">
      <w:pPr>
        <w:sectPr w:rsidR="00670EA1" w:rsidRPr="00262AFC" w:rsidSect="00266B7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262AFC" w:rsidRDefault="00715914" w:rsidP="00715914">
      <w:pPr>
        <w:pStyle w:val="ActHead5"/>
      </w:pPr>
      <w:bookmarkStart w:id="0" w:name="_Toc514161451"/>
      <w:r w:rsidRPr="00262AFC">
        <w:rPr>
          <w:rStyle w:val="CharSectno"/>
        </w:rPr>
        <w:lastRenderedPageBreak/>
        <w:t>1</w:t>
      </w:r>
      <w:r w:rsidRPr="00262AFC">
        <w:t xml:space="preserve">  </w:t>
      </w:r>
      <w:r w:rsidR="00CE493D" w:rsidRPr="00262AFC">
        <w:t>Name</w:t>
      </w:r>
      <w:bookmarkEnd w:id="0"/>
    </w:p>
    <w:p w:rsidR="00715914" w:rsidRPr="00262AFC" w:rsidRDefault="00715914" w:rsidP="00715914">
      <w:pPr>
        <w:pStyle w:val="subsection"/>
      </w:pPr>
      <w:r w:rsidRPr="00262AFC">
        <w:tab/>
      </w:r>
      <w:r w:rsidRPr="00262AFC">
        <w:tab/>
      </w:r>
      <w:r w:rsidR="006C6258" w:rsidRPr="00262AFC">
        <w:t>This instrument is</w:t>
      </w:r>
      <w:r w:rsidR="00CE493D" w:rsidRPr="00262AFC">
        <w:t xml:space="preserve"> the </w:t>
      </w:r>
      <w:r w:rsidR="00BC76AC" w:rsidRPr="00262AFC">
        <w:rPr>
          <w:i/>
        </w:rPr>
        <w:fldChar w:fldCharType="begin"/>
      </w:r>
      <w:r w:rsidR="00BC76AC" w:rsidRPr="00262AFC">
        <w:rPr>
          <w:i/>
        </w:rPr>
        <w:instrText xml:space="preserve"> STYLEREF  ShortT </w:instrText>
      </w:r>
      <w:r w:rsidR="00BC76AC" w:rsidRPr="00262AFC">
        <w:rPr>
          <w:i/>
        </w:rPr>
        <w:fldChar w:fldCharType="separate"/>
      </w:r>
      <w:r w:rsidR="00401B08">
        <w:rPr>
          <w:i/>
          <w:noProof/>
        </w:rPr>
        <w:t>Superannuation (Resolution of Complaints) Regulations 2018</w:t>
      </w:r>
      <w:r w:rsidR="00BC76AC" w:rsidRPr="00262AFC">
        <w:rPr>
          <w:i/>
        </w:rPr>
        <w:fldChar w:fldCharType="end"/>
      </w:r>
      <w:r w:rsidRPr="00262AFC">
        <w:t>.</w:t>
      </w:r>
    </w:p>
    <w:p w:rsidR="00715914" w:rsidRPr="00262AFC" w:rsidRDefault="00715914" w:rsidP="00715914">
      <w:pPr>
        <w:pStyle w:val="ActHead5"/>
      </w:pPr>
      <w:bookmarkStart w:id="1" w:name="_Toc514161452"/>
      <w:r w:rsidRPr="00262AFC">
        <w:rPr>
          <w:rStyle w:val="CharSectno"/>
        </w:rPr>
        <w:t>2</w:t>
      </w:r>
      <w:r w:rsidRPr="00262AFC">
        <w:t xml:space="preserve">  Commencement</w:t>
      </w:r>
      <w:bookmarkEnd w:id="1"/>
    </w:p>
    <w:p w:rsidR="00BA0C87" w:rsidRPr="00262AFC" w:rsidRDefault="00BA0C87" w:rsidP="00294872">
      <w:pPr>
        <w:pStyle w:val="subsection"/>
      </w:pPr>
      <w:r w:rsidRPr="00262AFC">
        <w:tab/>
        <w:t>(1)</w:t>
      </w:r>
      <w:r w:rsidRPr="00262AFC">
        <w:tab/>
        <w:t xml:space="preserve">Each provision of </w:t>
      </w:r>
      <w:r w:rsidR="006C6258" w:rsidRPr="00262AFC">
        <w:t>this instrument</w:t>
      </w:r>
      <w:r w:rsidRPr="00262AFC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262AFC" w:rsidRDefault="00BA0C87" w:rsidP="00294872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262AFC" w:rsidTr="00F62ECC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262AFC" w:rsidRDefault="00BA0C87" w:rsidP="00294872">
            <w:pPr>
              <w:pStyle w:val="TableHeading"/>
            </w:pPr>
            <w:r w:rsidRPr="00262AFC">
              <w:t>Commencement information</w:t>
            </w:r>
          </w:p>
        </w:tc>
      </w:tr>
      <w:tr w:rsidR="00BA0C87" w:rsidRPr="00262AFC" w:rsidTr="00F62ECC">
        <w:trPr>
          <w:cantSplit/>
          <w:tblHeader/>
        </w:trPr>
        <w:tc>
          <w:tcPr>
            <w:tcW w:w="127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262AFC" w:rsidRDefault="00BA0C87" w:rsidP="00294872">
            <w:pPr>
              <w:pStyle w:val="TableHeading"/>
            </w:pPr>
            <w:r w:rsidRPr="00262AFC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262AFC" w:rsidRDefault="00BA0C87" w:rsidP="00294872">
            <w:pPr>
              <w:pStyle w:val="TableHeading"/>
            </w:pPr>
            <w:r w:rsidRPr="00262AFC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A0C87" w:rsidRPr="00262AFC" w:rsidRDefault="00BA0C87" w:rsidP="00294872">
            <w:pPr>
              <w:pStyle w:val="TableHeading"/>
            </w:pPr>
            <w:r w:rsidRPr="00262AFC">
              <w:t>Column 3</w:t>
            </w:r>
          </w:p>
        </w:tc>
      </w:tr>
      <w:tr w:rsidR="00BA0C87" w:rsidRPr="00262AFC" w:rsidTr="00F62ECC">
        <w:trPr>
          <w:cantSplit/>
          <w:tblHeader/>
        </w:trPr>
        <w:tc>
          <w:tcPr>
            <w:tcW w:w="127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262AFC" w:rsidRDefault="00BA0C87" w:rsidP="00294872">
            <w:pPr>
              <w:pStyle w:val="TableHeading"/>
            </w:pPr>
            <w:r w:rsidRPr="00262AFC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262AFC" w:rsidRDefault="00BA0C87" w:rsidP="00294872">
            <w:pPr>
              <w:pStyle w:val="TableHeading"/>
            </w:pPr>
            <w:r w:rsidRPr="00262AFC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262AFC" w:rsidRDefault="00BA0C87" w:rsidP="00294872">
            <w:pPr>
              <w:pStyle w:val="TableHeading"/>
            </w:pPr>
            <w:r w:rsidRPr="00262AFC">
              <w:t>Date/Details</w:t>
            </w:r>
          </w:p>
        </w:tc>
      </w:tr>
      <w:tr w:rsidR="00BA0C87" w:rsidRPr="00262AFC" w:rsidTr="00F62ECC">
        <w:trPr>
          <w:cantSplit/>
        </w:trPr>
        <w:tc>
          <w:tcPr>
            <w:tcW w:w="127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262AFC" w:rsidRDefault="00BA0C87" w:rsidP="00D14037">
            <w:pPr>
              <w:pStyle w:val="Tabletext"/>
            </w:pPr>
            <w:r w:rsidRPr="00262AFC">
              <w:t xml:space="preserve">1.  </w:t>
            </w:r>
            <w:r w:rsidR="00D14037" w:rsidRPr="00262AFC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A0C87" w:rsidRPr="00262AFC" w:rsidRDefault="00BA0C87" w:rsidP="00BA0C87">
            <w:pPr>
              <w:pStyle w:val="Tabletext"/>
            </w:pPr>
            <w:r w:rsidRPr="00262AFC">
              <w:t xml:space="preserve">The day after </w:t>
            </w:r>
            <w:r w:rsidR="006C6258" w:rsidRPr="00262AFC">
              <w:t>this instrument is</w:t>
            </w:r>
            <w:r w:rsidRPr="00262AFC">
              <w:t xml:space="preserve"> registered.</w:t>
            </w:r>
          </w:p>
        </w:tc>
        <w:tc>
          <w:tcPr>
            <w:tcW w:w="11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A0C87" w:rsidRPr="00262AFC" w:rsidRDefault="00B11FC4">
            <w:pPr>
              <w:pStyle w:val="Tabletext"/>
            </w:pPr>
            <w:r>
              <w:t>23 June 2018</w:t>
            </w:r>
            <w:bookmarkStart w:id="2" w:name="_GoBack"/>
            <w:bookmarkEnd w:id="2"/>
          </w:p>
        </w:tc>
      </w:tr>
    </w:tbl>
    <w:p w:rsidR="00BA0C87" w:rsidRPr="00262AFC" w:rsidRDefault="00BA0C87" w:rsidP="00294872">
      <w:pPr>
        <w:pStyle w:val="notetext"/>
      </w:pPr>
      <w:r w:rsidRPr="00262AFC">
        <w:rPr>
          <w:snapToGrid w:val="0"/>
          <w:lang w:eastAsia="en-US"/>
        </w:rPr>
        <w:t>Note:</w:t>
      </w:r>
      <w:r w:rsidRPr="00262AFC">
        <w:rPr>
          <w:snapToGrid w:val="0"/>
          <w:lang w:eastAsia="en-US"/>
        </w:rPr>
        <w:tab/>
        <w:t xml:space="preserve">This table relates only to the provisions of </w:t>
      </w:r>
      <w:r w:rsidR="006C6258" w:rsidRPr="00262AFC">
        <w:rPr>
          <w:snapToGrid w:val="0"/>
          <w:lang w:eastAsia="en-US"/>
        </w:rPr>
        <w:t>this instrument</w:t>
      </w:r>
      <w:r w:rsidRPr="00262AFC">
        <w:t xml:space="preserve"> </w:t>
      </w:r>
      <w:r w:rsidRPr="00262AFC">
        <w:rPr>
          <w:snapToGrid w:val="0"/>
          <w:lang w:eastAsia="en-US"/>
        </w:rPr>
        <w:t xml:space="preserve">as originally made. It will not be amended to deal with any later amendments of </w:t>
      </w:r>
      <w:r w:rsidR="006C6258" w:rsidRPr="00262AFC">
        <w:rPr>
          <w:snapToGrid w:val="0"/>
          <w:lang w:eastAsia="en-US"/>
        </w:rPr>
        <w:t>this instrument</w:t>
      </w:r>
      <w:r w:rsidRPr="00262AFC">
        <w:rPr>
          <w:snapToGrid w:val="0"/>
          <w:lang w:eastAsia="en-US"/>
        </w:rPr>
        <w:t>.</w:t>
      </w:r>
    </w:p>
    <w:p w:rsidR="00BA0C87" w:rsidRPr="00262AFC" w:rsidRDefault="00BA0C87" w:rsidP="00294872">
      <w:pPr>
        <w:pStyle w:val="subsection"/>
      </w:pPr>
      <w:r w:rsidRPr="00262AFC">
        <w:tab/>
        <w:t>(2)</w:t>
      </w:r>
      <w:r w:rsidRPr="00262AFC">
        <w:tab/>
        <w:t xml:space="preserve">Any information in column 3 of the table is not part of </w:t>
      </w:r>
      <w:r w:rsidR="006C6258" w:rsidRPr="00262AFC">
        <w:t>this instrument</w:t>
      </w:r>
      <w:r w:rsidRPr="00262AFC">
        <w:t xml:space="preserve">. Information may be inserted in this column, or information in it may be edited, in any published version of </w:t>
      </w:r>
      <w:r w:rsidR="006C6258" w:rsidRPr="00262AFC">
        <w:t>this instrument</w:t>
      </w:r>
      <w:r w:rsidRPr="00262AFC">
        <w:t>.</w:t>
      </w:r>
    </w:p>
    <w:p w:rsidR="007500C8" w:rsidRPr="00262AFC" w:rsidRDefault="007500C8" w:rsidP="007500C8">
      <w:pPr>
        <w:pStyle w:val="ActHead5"/>
      </w:pPr>
      <w:bookmarkStart w:id="3" w:name="_Toc514161453"/>
      <w:r w:rsidRPr="00262AFC">
        <w:rPr>
          <w:rStyle w:val="CharSectno"/>
        </w:rPr>
        <w:t>3</w:t>
      </w:r>
      <w:r w:rsidRPr="00262AFC">
        <w:t xml:space="preserve">  Authority</w:t>
      </w:r>
      <w:bookmarkEnd w:id="3"/>
    </w:p>
    <w:p w:rsidR="00E2616E" w:rsidRPr="00262AFC" w:rsidRDefault="007500C8" w:rsidP="00E2616E">
      <w:pPr>
        <w:pStyle w:val="subsection"/>
      </w:pPr>
      <w:r w:rsidRPr="00262AFC">
        <w:tab/>
      </w:r>
      <w:r w:rsidRPr="00262AFC">
        <w:tab/>
      </w:r>
      <w:r w:rsidR="006C6258" w:rsidRPr="00262AFC">
        <w:t>This instrument is</w:t>
      </w:r>
      <w:r w:rsidR="00CE768E" w:rsidRPr="00262AFC">
        <w:t xml:space="preserve"> made under the </w:t>
      </w:r>
      <w:r w:rsidR="00CE768E" w:rsidRPr="00262AFC">
        <w:rPr>
          <w:i/>
        </w:rPr>
        <w:t>Superannuation (Resolution of Complaints) Act 1993</w:t>
      </w:r>
      <w:r w:rsidR="00F4350D" w:rsidRPr="00262AFC">
        <w:t>.</w:t>
      </w:r>
    </w:p>
    <w:p w:rsidR="00F62ECC" w:rsidRPr="00262AFC" w:rsidRDefault="00F62ECC" w:rsidP="00F62ECC">
      <w:pPr>
        <w:pStyle w:val="ActHead5"/>
      </w:pPr>
      <w:bookmarkStart w:id="4" w:name="_Toc514161454"/>
      <w:r w:rsidRPr="00262AFC">
        <w:rPr>
          <w:rStyle w:val="CharSectno"/>
        </w:rPr>
        <w:t>4</w:t>
      </w:r>
      <w:r w:rsidRPr="00262AFC">
        <w:t xml:space="preserve">  Schedules</w:t>
      </w:r>
      <w:bookmarkEnd w:id="4"/>
    </w:p>
    <w:p w:rsidR="00F62ECC" w:rsidRPr="00262AFC" w:rsidRDefault="00F62ECC" w:rsidP="00F62ECC">
      <w:pPr>
        <w:pStyle w:val="subsection"/>
      </w:pPr>
      <w:r w:rsidRPr="00262AFC">
        <w:tab/>
      </w:r>
      <w:r w:rsidRPr="00262AF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D14037" w:rsidRPr="00262AFC" w:rsidRDefault="00F62ECC" w:rsidP="00D14037">
      <w:pPr>
        <w:pStyle w:val="ActHead5"/>
      </w:pPr>
      <w:bookmarkStart w:id="5" w:name="_Toc514161455"/>
      <w:r w:rsidRPr="00262AFC">
        <w:rPr>
          <w:rStyle w:val="CharSectno"/>
        </w:rPr>
        <w:t>5</w:t>
      </w:r>
      <w:r w:rsidR="00D14037" w:rsidRPr="00262AFC">
        <w:t xml:space="preserve">  Definitions</w:t>
      </w:r>
      <w:bookmarkEnd w:id="5"/>
    </w:p>
    <w:p w:rsidR="00D14037" w:rsidRPr="00262AFC" w:rsidRDefault="00D14037" w:rsidP="00D14037">
      <w:pPr>
        <w:pStyle w:val="subsection"/>
      </w:pPr>
      <w:r w:rsidRPr="00262AFC">
        <w:tab/>
      </w:r>
      <w:r w:rsidRPr="00262AFC">
        <w:tab/>
        <w:t>In this instrument:</w:t>
      </w:r>
    </w:p>
    <w:p w:rsidR="00D14037" w:rsidRPr="00262AFC" w:rsidRDefault="00D14037" w:rsidP="00D14037">
      <w:pPr>
        <w:pStyle w:val="Definition"/>
      </w:pPr>
      <w:r w:rsidRPr="00262AFC">
        <w:rPr>
          <w:b/>
          <w:i/>
        </w:rPr>
        <w:t>Act</w:t>
      </w:r>
      <w:r w:rsidRPr="00262AFC">
        <w:t xml:space="preserve"> means the </w:t>
      </w:r>
      <w:r w:rsidRPr="00262AFC">
        <w:rPr>
          <w:i/>
        </w:rPr>
        <w:t>Superannuation (Resolution of Complaints) Act 1993</w:t>
      </w:r>
      <w:r w:rsidRPr="00262AFC">
        <w:t>.</w:t>
      </w:r>
    </w:p>
    <w:p w:rsidR="00F62ECC" w:rsidRPr="00262AFC" w:rsidRDefault="003D051D" w:rsidP="003D051D">
      <w:pPr>
        <w:pStyle w:val="Definition"/>
      </w:pPr>
      <w:r w:rsidRPr="00262AFC">
        <w:rPr>
          <w:b/>
          <w:i/>
        </w:rPr>
        <w:t>AFCA scheme</w:t>
      </w:r>
      <w:r w:rsidRPr="00262AFC">
        <w:t xml:space="preserve"> has the same meaning as in Chapter</w:t>
      </w:r>
      <w:r w:rsidR="00262AFC" w:rsidRPr="00262AFC">
        <w:t> </w:t>
      </w:r>
      <w:r w:rsidRPr="00262AFC">
        <w:t xml:space="preserve">7 of the </w:t>
      </w:r>
      <w:r w:rsidRPr="00262AFC">
        <w:rPr>
          <w:i/>
        </w:rPr>
        <w:t>Corporations Act 2001</w:t>
      </w:r>
      <w:r w:rsidRPr="00262AFC">
        <w:t>.</w:t>
      </w:r>
    </w:p>
    <w:p w:rsidR="00E2616E" w:rsidRPr="00262AFC" w:rsidRDefault="00F62ECC" w:rsidP="00D14037">
      <w:pPr>
        <w:pStyle w:val="ActHead5"/>
      </w:pPr>
      <w:bookmarkStart w:id="6" w:name="_Toc514161456"/>
      <w:r w:rsidRPr="00262AFC">
        <w:rPr>
          <w:rStyle w:val="CharSectno"/>
        </w:rPr>
        <w:t>6</w:t>
      </w:r>
      <w:r w:rsidR="00D14037" w:rsidRPr="00262AFC">
        <w:t xml:space="preserve">  E</w:t>
      </w:r>
      <w:r w:rsidR="00E2616E" w:rsidRPr="00262AFC">
        <w:t>xempt public sector superannuation schemes taken to be regulated super funds</w:t>
      </w:r>
      <w:bookmarkEnd w:id="6"/>
    </w:p>
    <w:p w:rsidR="00D14037" w:rsidRPr="00262AFC" w:rsidRDefault="00D14037" w:rsidP="00D14037">
      <w:pPr>
        <w:pStyle w:val="subsection"/>
      </w:pPr>
      <w:r w:rsidRPr="00262AFC">
        <w:tab/>
      </w:r>
      <w:r w:rsidRPr="00262AFC">
        <w:tab/>
        <w:t>For the purposes of section</w:t>
      </w:r>
      <w:r w:rsidR="00262AFC" w:rsidRPr="00262AFC">
        <w:t> </w:t>
      </w:r>
      <w:r w:rsidRPr="00262AFC">
        <w:t xml:space="preserve">4A of the Act, an exempt public sector superannuation scheme specified </w:t>
      </w:r>
      <w:r w:rsidR="00A460C8" w:rsidRPr="00262AFC">
        <w:t xml:space="preserve">in </w:t>
      </w:r>
      <w:r w:rsidR="0080065B" w:rsidRPr="00262AFC">
        <w:t>the following table is taken to be a regulated superannuation fund for the purposes of the Act.</w:t>
      </w:r>
    </w:p>
    <w:p w:rsidR="0080065B" w:rsidRPr="00262AFC" w:rsidRDefault="0080065B" w:rsidP="0080065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75"/>
        <w:gridCol w:w="7854"/>
      </w:tblGrid>
      <w:tr w:rsidR="0080065B" w:rsidRPr="00262AFC" w:rsidTr="00F62ECC">
        <w:trPr>
          <w:tblHeader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Heading"/>
            </w:pPr>
            <w:r w:rsidRPr="00262AFC">
              <w:t xml:space="preserve">Exempt public sector superannuation schemes taken to be </w:t>
            </w:r>
            <w:r w:rsidR="00A515A4" w:rsidRPr="00262AFC">
              <w:t xml:space="preserve">a </w:t>
            </w:r>
            <w:r w:rsidRPr="00262AFC">
              <w:t>regulated super fund</w:t>
            </w:r>
          </w:p>
        </w:tc>
      </w:tr>
      <w:tr w:rsidR="0080065B" w:rsidRPr="00262AFC" w:rsidTr="004C6A42">
        <w:trPr>
          <w:tblHeader/>
        </w:trPr>
        <w:tc>
          <w:tcPr>
            <w:tcW w:w="3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Heading"/>
            </w:pPr>
            <w:r w:rsidRPr="00262AFC">
              <w:t>Item</w:t>
            </w:r>
          </w:p>
        </w:tc>
        <w:tc>
          <w:tcPr>
            <w:tcW w:w="46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Heading"/>
            </w:pPr>
            <w:r w:rsidRPr="00262AFC">
              <w:t>Exempt Public Sector Superannuation Scheme</w:t>
            </w:r>
          </w:p>
        </w:tc>
      </w:tr>
      <w:tr w:rsidR="0080065B" w:rsidRPr="00262AFC" w:rsidTr="004C6A42">
        <w:tc>
          <w:tcPr>
            <w:tcW w:w="396" w:type="pct"/>
            <w:tcBorders>
              <w:top w:val="single" w:sz="12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text"/>
            </w:pPr>
            <w:r w:rsidRPr="00262AFC">
              <w:t>1</w:t>
            </w:r>
          </w:p>
        </w:tc>
        <w:tc>
          <w:tcPr>
            <w:tcW w:w="4604" w:type="pct"/>
            <w:tcBorders>
              <w:top w:val="single" w:sz="12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text"/>
            </w:pPr>
            <w:r w:rsidRPr="00262AFC">
              <w:t>Parliamentary Contributory Superannuation Fund (Queensland)</w:t>
            </w:r>
          </w:p>
        </w:tc>
      </w:tr>
      <w:tr w:rsidR="0080065B" w:rsidRPr="00262AFC" w:rsidTr="004C6A42">
        <w:tc>
          <w:tcPr>
            <w:tcW w:w="396" w:type="pct"/>
            <w:shd w:val="clear" w:color="auto" w:fill="auto"/>
          </w:tcPr>
          <w:p w:rsidR="0080065B" w:rsidRPr="00262AFC" w:rsidRDefault="0080065B" w:rsidP="0080065B">
            <w:pPr>
              <w:pStyle w:val="Tabletext"/>
            </w:pPr>
            <w:r w:rsidRPr="00262AFC">
              <w:t>2</w:t>
            </w:r>
          </w:p>
        </w:tc>
        <w:tc>
          <w:tcPr>
            <w:tcW w:w="4604" w:type="pct"/>
            <w:shd w:val="clear" w:color="auto" w:fill="auto"/>
          </w:tcPr>
          <w:p w:rsidR="0080065B" w:rsidRPr="00262AFC" w:rsidRDefault="0080065B" w:rsidP="00A36C80">
            <w:pPr>
              <w:pStyle w:val="Tabletext"/>
            </w:pPr>
            <w:r w:rsidRPr="00262AFC">
              <w:t>State Public Sector Superannuation Scheme (</w:t>
            </w:r>
            <w:proofErr w:type="spellStart"/>
            <w:r w:rsidRPr="00262AFC">
              <w:t>QSuper</w:t>
            </w:r>
            <w:proofErr w:type="spellEnd"/>
            <w:r w:rsidRPr="00262AFC">
              <w:t>) (Queensland)</w:t>
            </w:r>
          </w:p>
        </w:tc>
      </w:tr>
      <w:tr w:rsidR="0080065B" w:rsidRPr="00262AFC" w:rsidTr="004C6A42">
        <w:tc>
          <w:tcPr>
            <w:tcW w:w="396" w:type="pct"/>
            <w:tcBorders>
              <w:bottom w:val="single" w:sz="2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text"/>
            </w:pPr>
            <w:r w:rsidRPr="00262AFC">
              <w:t>3</w:t>
            </w:r>
          </w:p>
        </w:tc>
        <w:tc>
          <w:tcPr>
            <w:tcW w:w="4604" w:type="pct"/>
            <w:tcBorders>
              <w:bottom w:val="single" w:sz="2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text"/>
            </w:pPr>
            <w:r w:rsidRPr="00262AFC">
              <w:t xml:space="preserve">Schemes established by or under the </w:t>
            </w:r>
            <w:r w:rsidRPr="00262AFC">
              <w:rPr>
                <w:i/>
              </w:rPr>
              <w:t>State Superannuation Act 2000</w:t>
            </w:r>
            <w:r w:rsidRPr="00262AFC">
              <w:t xml:space="preserve"> (WA), including the schemes continued by section</w:t>
            </w:r>
            <w:r w:rsidR="00262AFC" w:rsidRPr="00262AFC">
              <w:t> </w:t>
            </w:r>
            <w:r w:rsidR="00A36C80" w:rsidRPr="00262AFC">
              <w:t>29 of that Act</w:t>
            </w:r>
          </w:p>
        </w:tc>
      </w:tr>
      <w:tr w:rsidR="0080065B" w:rsidRPr="00262AFC" w:rsidTr="004C6A42">
        <w:tc>
          <w:tcPr>
            <w:tcW w:w="3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text"/>
            </w:pPr>
            <w:r w:rsidRPr="00262AFC">
              <w:t>4</w:t>
            </w:r>
          </w:p>
        </w:tc>
        <w:tc>
          <w:tcPr>
            <w:tcW w:w="460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text"/>
            </w:pPr>
            <w:r w:rsidRPr="00262AFC">
              <w:t>SA Metropolitan Fire Service Superannuation Scheme (South Australia)</w:t>
            </w:r>
          </w:p>
        </w:tc>
      </w:tr>
      <w:tr w:rsidR="0080065B" w:rsidRPr="00262AFC" w:rsidTr="004C6A42">
        <w:tc>
          <w:tcPr>
            <w:tcW w:w="3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text"/>
            </w:pPr>
            <w:r w:rsidRPr="00262AFC">
              <w:t>5</w:t>
            </w:r>
          </w:p>
        </w:tc>
        <w:tc>
          <w:tcPr>
            <w:tcW w:w="46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0065B" w:rsidRPr="00262AFC" w:rsidRDefault="0080065B" w:rsidP="0080065B">
            <w:pPr>
              <w:pStyle w:val="Tabletext"/>
            </w:pPr>
            <w:r w:rsidRPr="00262AFC">
              <w:t>Electricity Industry Superannuation Scheme (South Australia)</w:t>
            </w:r>
          </w:p>
        </w:tc>
      </w:tr>
    </w:tbl>
    <w:p w:rsidR="00A460C8" w:rsidRPr="00262AFC" w:rsidRDefault="00F62ECC" w:rsidP="00A460C8">
      <w:pPr>
        <w:pStyle w:val="ActHead5"/>
      </w:pPr>
      <w:bookmarkStart w:id="7" w:name="_Toc514161457"/>
      <w:r w:rsidRPr="00262AFC">
        <w:rPr>
          <w:rStyle w:val="CharSectno"/>
        </w:rPr>
        <w:t>7</w:t>
      </w:r>
      <w:r w:rsidR="00A460C8" w:rsidRPr="00262AFC">
        <w:t xml:space="preserve">  Persons to be treated as beneficiaries, members </w:t>
      </w:r>
      <w:proofErr w:type="spellStart"/>
      <w:r w:rsidR="00A460C8" w:rsidRPr="00262AFC">
        <w:t>etc</w:t>
      </w:r>
      <w:bookmarkEnd w:id="7"/>
      <w:proofErr w:type="spellEnd"/>
    </w:p>
    <w:p w:rsidR="00A460C8" w:rsidRPr="00262AFC" w:rsidRDefault="00A460C8" w:rsidP="00A460C8">
      <w:pPr>
        <w:pStyle w:val="subsection"/>
      </w:pPr>
      <w:r w:rsidRPr="00262AFC">
        <w:tab/>
      </w:r>
      <w:r w:rsidR="00F535E2" w:rsidRPr="00262AFC">
        <w:t>(1)</w:t>
      </w:r>
      <w:r w:rsidRPr="00262AFC">
        <w:tab/>
        <w:t>For the purposes of subsection</w:t>
      </w:r>
      <w:r w:rsidR="00262AFC" w:rsidRPr="00262AFC">
        <w:t> </w:t>
      </w:r>
      <w:r w:rsidRPr="00262AFC">
        <w:t xml:space="preserve">4B(1) of the Act, the following persons are to be treated as members of regulated superannuation funds </w:t>
      </w:r>
      <w:r w:rsidR="00F535E2" w:rsidRPr="00262AFC">
        <w:t>for the purposes of paragraph</w:t>
      </w:r>
      <w:r w:rsidR="00262AFC" w:rsidRPr="00262AFC">
        <w:t> </w:t>
      </w:r>
      <w:r w:rsidR="00F535E2" w:rsidRPr="00262AFC">
        <w:t>14(1)(a) and subparagraph</w:t>
      </w:r>
      <w:r w:rsidR="00262AFC" w:rsidRPr="00262AFC">
        <w:t> </w:t>
      </w:r>
      <w:r w:rsidR="00F535E2" w:rsidRPr="00262AFC">
        <w:t>15(1)(b)(</w:t>
      </w:r>
      <w:proofErr w:type="spellStart"/>
      <w:r w:rsidR="00F535E2" w:rsidRPr="00262AFC">
        <w:t>i</w:t>
      </w:r>
      <w:proofErr w:type="spellEnd"/>
      <w:r w:rsidR="00F535E2" w:rsidRPr="00262AFC">
        <w:t>) of the Act:</w:t>
      </w:r>
    </w:p>
    <w:p w:rsidR="00E2616E" w:rsidRPr="00262AFC" w:rsidRDefault="00E2616E" w:rsidP="00F535E2">
      <w:pPr>
        <w:pStyle w:val="paragraph"/>
      </w:pPr>
      <w:r w:rsidRPr="00262AFC">
        <w:tab/>
        <w:t>(a)</w:t>
      </w:r>
      <w:r w:rsidRPr="00262AFC">
        <w:tab/>
        <w:t>a non</w:t>
      </w:r>
      <w:r w:rsidR="00262AFC">
        <w:noBreakHyphen/>
      </w:r>
      <w:r w:rsidRPr="00262AFC">
        <w:t xml:space="preserve">member spouse in relation to whom a splitting order under the </w:t>
      </w:r>
      <w:r w:rsidRPr="00262AFC">
        <w:rPr>
          <w:i/>
        </w:rPr>
        <w:t>Family Law Act</w:t>
      </w:r>
      <w:r w:rsidR="00B32CD9" w:rsidRPr="00262AFC">
        <w:rPr>
          <w:i/>
        </w:rPr>
        <w:t xml:space="preserve"> </w:t>
      </w:r>
      <w:r w:rsidRPr="00262AFC">
        <w:rPr>
          <w:i/>
        </w:rPr>
        <w:t>1975</w:t>
      </w:r>
      <w:r w:rsidRPr="00262AFC">
        <w:t xml:space="preserve"> has been made, from the day on which a copy of the order is served on the trustee;</w:t>
      </w:r>
    </w:p>
    <w:p w:rsidR="00E2616E" w:rsidRPr="00262AFC" w:rsidRDefault="001F3A56" w:rsidP="00F535E2">
      <w:pPr>
        <w:pStyle w:val="paragraph"/>
      </w:pPr>
      <w:r w:rsidRPr="00262AFC">
        <w:tab/>
        <w:t>(b)</w:t>
      </w:r>
      <w:r w:rsidRPr="00262AFC">
        <w:tab/>
        <w:t>a non</w:t>
      </w:r>
      <w:r w:rsidR="00262AFC">
        <w:noBreakHyphen/>
      </w:r>
      <w:r w:rsidR="00E2616E" w:rsidRPr="00262AFC">
        <w:t xml:space="preserve">member spouse who is a party to a superannuation agreement under the </w:t>
      </w:r>
      <w:r w:rsidR="00E2616E" w:rsidRPr="00262AFC">
        <w:rPr>
          <w:i/>
        </w:rPr>
        <w:t>Family Law Act</w:t>
      </w:r>
      <w:r w:rsidR="00B32CD9" w:rsidRPr="00262AFC">
        <w:rPr>
          <w:i/>
        </w:rPr>
        <w:t xml:space="preserve"> </w:t>
      </w:r>
      <w:r w:rsidR="00E2616E" w:rsidRPr="00262AFC">
        <w:rPr>
          <w:i/>
        </w:rPr>
        <w:t>1975</w:t>
      </w:r>
      <w:r w:rsidR="00E2616E" w:rsidRPr="00262AFC">
        <w:t>, from the day on which a copy of the agreement is served on the trustee;</w:t>
      </w:r>
    </w:p>
    <w:p w:rsidR="00E2616E" w:rsidRPr="00262AFC" w:rsidRDefault="00E2616E" w:rsidP="00F535E2">
      <w:pPr>
        <w:pStyle w:val="paragraph"/>
      </w:pPr>
      <w:r w:rsidRPr="00262AFC">
        <w:tab/>
        <w:t>(c)</w:t>
      </w:r>
      <w:r w:rsidRPr="00262AFC">
        <w:tab/>
        <w:t>a party to a marriage in relation to which an order of a kind referred to in Part</w:t>
      </w:r>
      <w:r w:rsidR="00262AFC" w:rsidRPr="00262AFC">
        <w:t> </w:t>
      </w:r>
      <w:proofErr w:type="spellStart"/>
      <w:r w:rsidRPr="00262AFC">
        <w:t>VIIIAA</w:t>
      </w:r>
      <w:proofErr w:type="spellEnd"/>
      <w:r w:rsidRPr="00262AFC">
        <w:t xml:space="preserve"> of the </w:t>
      </w:r>
      <w:r w:rsidRPr="00262AFC">
        <w:rPr>
          <w:i/>
        </w:rPr>
        <w:t>Family Law Act</w:t>
      </w:r>
      <w:r w:rsidR="00B32CD9" w:rsidRPr="00262AFC">
        <w:rPr>
          <w:i/>
        </w:rPr>
        <w:t xml:space="preserve"> </w:t>
      </w:r>
      <w:r w:rsidRPr="00262AFC">
        <w:rPr>
          <w:i/>
        </w:rPr>
        <w:t>1975</w:t>
      </w:r>
      <w:r w:rsidRPr="00262AFC">
        <w:t xml:space="preserve"> has been made, if the order relates to a superannuation interest;</w:t>
      </w:r>
    </w:p>
    <w:p w:rsidR="00E2616E" w:rsidRPr="00262AFC" w:rsidRDefault="00E2616E" w:rsidP="00F535E2">
      <w:pPr>
        <w:pStyle w:val="paragraph"/>
      </w:pPr>
      <w:r w:rsidRPr="00262AFC">
        <w:tab/>
        <w:t>(d)</w:t>
      </w:r>
      <w:r w:rsidRPr="00262AFC">
        <w:tab/>
        <w:t>an eligible person within the meaning of section</w:t>
      </w:r>
      <w:r w:rsidR="00262AFC" w:rsidRPr="00262AFC">
        <w:t> </w:t>
      </w:r>
      <w:r w:rsidRPr="00262AFC">
        <w:t xml:space="preserve">90MZB of the </w:t>
      </w:r>
      <w:r w:rsidRPr="00262AFC">
        <w:rPr>
          <w:i/>
        </w:rPr>
        <w:t>Family Law Act 1975</w:t>
      </w:r>
      <w:r w:rsidRPr="00262AFC">
        <w:t>.</w:t>
      </w:r>
    </w:p>
    <w:p w:rsidR="00E2616E" w:rsidRPr="00262AFC" w:rsidRDefault="00F535E2" w:rsidP="00F535E2">
      <w:pPr>
        <w:pStyle w:val="subsection"/>
      </w:pPr>
      <w:r w:rsidRPr="00262AFC">
        <w:tab/>
        <w:t>(2)</w:t>
      </w:r>
      <w:r w:rsidRPr="00262AFC">
        <w:tab/>
      </w:r>
      <w:r w:rsidR="00E2616E" w:rsidRPr="00262AFC">
        <w:t xml:space="preserve">For </w:t>
      </w:r>
      <w:r w:rsidRPr="00262AFC">
        <w:t xml:space="preserve">the purposes of </w:t>
      </w:r>
      <w:r w:rsidR="00E2616E" w:rsidRPr="00262AFC">
        <w:t>subsection</w:t>
      </w:r>
      <w:r w:rsidR="00262AFC" w:rsidRPr="00262AFC">
        <w:t> </w:t>
      </w:r>
      <w:r w:rsidR="00E2616E" w:rsidRPr="00262AFC">
        <w:t>4B(1) of the Act, the following persons are to be treated as beneficiaries of approved deposit funds for the purposes of paragraph</w:t>
      </w:r>
      <w:r w:rsidR="00262AFC" w:rsidRPr="00262AFC">
        <w:t> </w:t>
      </w:r>
      <w:r w:rsidR="00E2616E" w:rsidRPr="00262AFC">
        <w:t>14(1)(b) and subparagraph</w:t>
      </w:r>
      <w:r w:rsidR="00262AFC" w:rsidRPr="00262AFC">
        <w:t> </w:t>
      </w:r>
      <w:r w:rsidR="00E2616E" w:rsidRPr="00262AFC">
        <w:t>15(1)(b)</w:t>
      </w:r>
      <w:r w:rsidRPr="00262AFC">
        <w:t>(</w:t>
      </w:r>
      <w:r w:rsidR="00E2616E" w:rsidRPr="00262AFC">
        <w:t>ii) of the Act:</w:t>
      </w:r>
    </w:p>
    <w:p w:rsidR="00E2616E" w:rsidRPr="00262AFC" w:rsidRDefault="00E2616E" w:rsidP="00F535E2">
      <w:pPr>
        <w:pStyle w:val="paragraph"/>
      </w:pPr>
      <w:r w:rsidRPr="00262AFC">
        <w:tab/>
        <w:t>(a)</w:t>
      </w:r>
      <w:r w:rsidRPr="00262AFC">
        <w:tab/>
        <w:t>a non</w:t>
      </w:r>
      <w:r w:rsidR="00262AFC">
        <w:noBreakHyphen/>
      </w:r>
      <w:r w:rsidRPr="00262AFC">
        <w:t xml:space="preserve">member spouse in relation to whom a splitting order under the </w:t>
      </w:r>
      <w:r w:rsidRPr="00262AFC">
        <w:rPr>
          <w:i/>
        </w:rPr>
        <w:t>Family Law Act</w:t>
      </w:r>
      <w:r w:rsidR="00B32CD9" w:rsidRPr="00262AFC">
        <w:rPr>
          <w:i/>
        </w:rPr>
        <w:t xml:space="preserve"> </w:t>
      </w:r>
      <w:r w:rsidRPr="00262AFC">
        <w:rPr>
          <w:i/>
        </w:rPr>
        <w:t xml:space="preserve">1975 </w:t>
      </w:r>
      <w:r w:rsidRPr="00262AFC">
        <w:t>has been made, from the day on which a copy of the order is served on the trustee;</w:t>
      </w:r>
    </w:p>
    <w:p w:rsidR="00E2616E" w:rsidRPr="00262AFC" w:rsidRDefault="00E2616E" w:rsidP="00F535E2">
      <w:pPr>
        <w:pStyle w:val="paragraph"/>
      </w:pPr>
      <w:r w:rsidRPr="00262AFC">
        <w:tab/>
        <w:t>(b)</w:t>
      </w:r>
      <w:r w:rsidRPr="00262AFC">
        <w:tab/>
        <w:t>a non</w:t>
      </w:r>
      <w:r w:rsidR="00262AFC">
        <w:noBreakHyphen/>
      </w:r>
      <w:r w:rsidRPr="00262AFC">
        <w:t xml:space="preserve">member spouse who is a party to a superannuation agreement under the </w:t>
      </w:r>
      <w:r w:rsidRPr="00262AFC">
        <w:rPr>
          <w:i/>
        </w:rPr>
        <w:t>Family Law Act</w:t>
      </w:r>
      <w:r w:rsidR="00B32CD9" w:rsidRPr="00262AFC">
        <w:rPr>
          <w:i/>
        </w:rPr>
        <w:t xml:space="preserve"> </w:t>
      </w:r>
      <w:r w:rsidRPr="00262AFC">
        <w:rPr>
          <w:i/>
        </w:rPr>
        <w:t>1975</w:t>
      </w:r>
      <w:r w:rsidRPr="00262AFC">
        <w:t>, from the day on which a copy of the agreement is served on the trustee;</w:t>
      </w:r>
    </w:p>
    <w:p w:rsidR="00E2616E" w:rsidRPr="00262AFC" w:rsidRDefault="00E2616E" w:rsidP="00F535E2">
      <w:pPr>
        <w:pStyle w:val="paragraph"/>
      </w:pPr>
      <w:r w:rsidRPr="00262AFC">
        <w:tab/>
        <w:t>(c)</w:t>
      </w:r>
      <w:r w:rsidRPr="00262AFC">
        <w:tab/>
        <w:t>a party to a marriage in relation to which an order of a kind referred to in Part</w:t>
      </w:r>
      <w:r w:rsidR="00262AFC" w:rsidRPr="00262AFC">
        <w:t> </w:t>
      </w:r>
      <w:proofErr w:type="spellStart"/>
      <w:r w:rsidRPr="00262AFC">
        <w:t>VIIIAA</w:t>
      </w:r>
      <w:proofErr w:type="spellEnd"/>
      <w:r w:rsidRPr="00262AFC">
        <w:t xml:space="preserve"> of the </w:t>
      </w:r>
      <w:r w:rsidRPr="00262AFC">
        <w:rPr>
          <w:i/>
        </w:rPr>
        <w:t>Family Law Act</w:t>
      </w:r>
      <w:r w:rsidR="00B32CD9" w:rsidRPr="00262AFC">
        <w:rPr>
          <w:i/>
        </w:rPr>
        <w:t xml:space="preserve"> </w:t>
      </w:r>
      <w:r w:rsidRPr="00262AFC">
        <w:rPr>
          <w:i/>
        </w:rPr>
        <w:t>1975</w:t>
      </w:r>
      <w:r w:rsidRPr="00262AFC">
        <w:t xml:space="preserve"> has been made, if the order relates to a superannuation interest;</w:t>
      </w:r>
    </w:p>
    <w:p w:rsidR="00E2616E" w:rsidRPr="00262AFC" w:rsidRDefault="00E2616E" w:rsidP="00F535E2">
      <w:pPr>
        <w:pStyle w:val="paragraph"/>
      </w:pPr>
      <w:r w:rsidRPr="00262AFC">
        <w:tab/>
        <w:t>(d)</w:t>
      </w:r>
      <w:r w:rsidRPr="00262AFC">
        <w:tab/>
        <w:t>an eligible person within the meaning of section</w:t>
      </w:r>
      <w:r w:rsidR="00262AFC" w:rsidRPr="00262AFC">
        <w:t> </w:t>
      </w:r>
      <w:r w:rsidRPr="00262AFC">
        <w:t xml:space="preserve">90MZB of the </w:t>
      </w:r>
      <w:r w:rsidRPr="00262AFC">
        <w:rPr>
          <w:i/>
        </w:rPr>
        <w:t>Family Law Act 1975</w:t>
      </w:r>
      <w:r w:rsidRPr="00262AFC">
        <w:t>.</w:t>
      </w:r>
    </w:p>
    <w:p w:rsidR="00E2616E" w:rsidRPr="00262AFC" w:rsidRDefault="00E2616E" w:rsidP="00F535E2">
      <w:pPr>
        <w:pStyle w:val="subsection"/>
      </w:pPr>
      <w:r w:rsidRPr="00262AFC">
        <w:tab/>
        <w:t>(3)</w:t>
      </w:r>
      <w:r w:rsidRPr="00262AFC">
        <w:tab/>
        <w:t xml:space="preserve">For </w:t>
      </w:r>
      <w:r w:rsidR="00F535E2" w:rsidRPr="00262AFC">
        <w:t xml:space="preserve">the purposes of </w:t>
      </w:r>
      <w:r w:rsidRPr="00262AFC">
        <w:t>subsection</w:t>
      </w:r>
      <w:r w:rsidR="00262AFC" w:rsidRPr="00262AFC">
        <w:t> </w:t>
      </w:r>
      <w:r w:rsidRPr="00262AFC">
        <w:t xml:space="preserve">4B(1) of the Act, the following persons are to be treated as holders of </w:t>
      </w:r>
      <w:proofErr w:type="spellStart"/>
      <w:r w:rsidRPr="00262AFC">
        <w:t>RSAs</w:t>
      </w:r>
      <w:proofErr w:type="spellEnd"/>
      <w:r w:rsidRPr="00262AFC">
        <w:t xml:space="preserve"> for the purposes of subsection</w:t>
      </w:r>
      <w:r w:rsidR="00262AFC" w:rsidRPr="00262AFC">
        <w:t> </w:t>
      </w:r>
      <w:r w:rsidRPr="00262AFC">
        <w:t>15F(1) and paragraph</w:t>
      </w:r>
      <w:r w:rsidR="00262AFC" w:rsidRPr="00262AFC">
        <w:t> </w:t>
      </w:r>
      <w:r w:rsidRPr="00262AFC">
        <w:t>15G(1)(b) of the Act:</w:t>
      </w:r>
    </w:p>
    <w:p w:rsidR="00E2616E" w:rsidRPr="00262AFC" w:rsidRDefault="00E2616E" w:rsidP="00F535E2">
      <w:pPr>
        <w:pStyle w:val="paragraph"/>
      </w:pPr>
      <w:r w:rsidRPr="00262AFC">
        <w:tab/>
        <w:t>(a)</w:t>
      </w:r>
      <w:r w:rsidRPr="00262AFC">
        <w:tab/>
        <w:t>a non</w:t>
      </w:r>
      <w:r w:rsidR="00262AFC">
        <w:noBreakHyphen/>
      </w:r>
      <w:r w:rsidRPr="00262AFC">
        <w:t xml:space="preserve">member spouse in relation to whom a splitting order under the </w:t>
      </w:r>
      <w:r w:rsidRPr="00262AFC">
        <w:rPr>
          <w:i/>
        </w:rPr>
        <w:t>Family Law Act</w:t>
      </w:r>
      <w:r w:rsidR="00B32CD9" w:rsidRPr="00262AFC">
        <w:rPr>
          <w:i/>
        </w:rPr>
        <w:t xml:space="preserve"> </w:t>
      </w:r>
      <w:r w:rsidRPr="00262AFC">
        <w:rPr>
          <w:i/>
        </w:rPr>
        <w:t>1975</w:t>
      </w:r>
      <w:r w:rsidRPr="00262AFC">
        <w:t xml:space="preserve"> has been made, from the day on which a copy of the order is served on the trustee;</w:t>
      </w:r>
    </w:p>
    <w:p w:rsidR="00E2616E" w:rsidRPr="00262AFC" w:rsidRDefault="00E2616E" w:rsidP="00F535E2">
      <w:pPr>
        <w:pStyle w:val="paragraph"/>
      </w:pPr>
      <w:r w:rsidRPr="00262AFC">
        <w:tab/>
        <w:t>(b)</w:t>
      </w:r>
      <w:r w:rsidRPr="00262AFC">
        <w:tab/>
        <w:t>a non</w:t>
      </w:r>
      <w:r w:rsidR="00262AFC">
        <w:noBreakHyphen/>
      </w:r>
      <w:r w:rsidRPr="00262AFC">
        <w:t xml:space="preserve">member spouse who is a party to a superannuation agreement under the </w:t>
      </w:r>
      <w:r w:rsidRPr="00262AFC">
        <w:rPr>
          <w:i/>
        </w:rPr>
        <w:t>Family Law Act</w:t>
      </w:r>
      <w:r w:rsidR="00B32CD9" w:rsidRPr="00262AFC">
        <w:rPr>
          <w:i/>
        </w:rPr>
        <w:t xml:space="preserve"> </w:t>
      </w:r>
      <w:r w:rsidRPr="00262AFC">
        <w:rPr>
          <w:i/>
        </w:rPr>
        <w:t>1975</w:t>
      </w:r>
      <w:r w:rsidRPr="00262AFC">
        <w:t>, from the day on which a copy of the agreement is served on the trustee;</w:t>
      </w:r>
    </w:p>
    <w:p w:rsidR="00E2616E" w:rsidRPr="00262AFC" w:rsidRDefault="00E2616E" w:rsidP="00F535E2">
      <w:pPr>
        <w:pStyle w:val="paragraph"/>
      </w:pPr>
      <w:r w:rsidRPr="00262AFC">
        <w:tab/>
        <w:t>(c)</w:t>
      </w:r>
      <w:r w:rsidRPr="00262AFC">
        <w:tab/>
        <w:t>a party to a marriage in relation to which an order of a kind referred to in Part</w:t>
      </w:r>
      <w:r w:rsidR="00262AFC" w:rsidRPr="00262AFC">
        <w:t> </w:t>
      </w:r>
      <w:proofErr w:type="spellStart"/>
      <w:r w:rsidRPr="00262AFC">
        <w:t>VIIIAA</w:t>
      </w:r>
      <w:proofErr w:type="spellEnd"/>
      <w:r w:rsidRPr="00262AFC">
        <w:t xml:space="preserve"> of the </w:t>
      </w:r>
      <w:r w:rsidRPr="00262AFC">
        <w:rPr>
          <w:i/>
        </w:rPr>
        <w:t>Family Law Act</w:t>
      </w:r>
      <w:r w:rsidR="00B32CD9" w:rsidRPr="00262AFC">
        <w:rPr>
          <w:i/>
        </w:rPr>
        <w:t xml:space="preserve"> </w:t>
      </w:r>
      <w:r w:rsidRPr="00262AFC">
        <w:rPr>
          <w:i/>
        </w:rPr>
        <w:t>1975</w:t>
      </w:r>
      <w:r w:rsidRPr="00262AFC">
        <w:t xml:space="preserve"> has been made, if the order relates to a superannuation interest;</w:t>
      </w:r>
    </w:p>
    <w:p w:rsidR="00E2616E" w:rsidRPr="00262AFC" w:rsidRDefault="00E2616E" w:rsidP="00F535E2">
      <w:pPr>
        <w:pStyle w:val="paragraph"/>
      </w:pPr>
      <w:r w:rsidRPr="00262AFC">
        <w:tab/>
        <w:t>(d)</w:t>
      </w:r>
      <w:r w:rsidRPr="00262AFC">
        <w:tab/>
        <w:t>an eligible person within the meaning of section</w:t>
      </w:r>
      <w:r w:rsidR="00262AFC" w:rsidRPr="00262AFC">
        <w:t> </w:t>
      </w:r>
      <w:r w:rsidRPr="00262AFC">
        <w:t xml:space="preserve">90MZB of the </w:t>
      </w:r>
      <w:r w:rsidRPr="00262AFC">
        <w:rPr>
          <w:i/>
        </w:rPr>
        <w:t>Family Law Act 1975</w:t>
      </w:r>
      <w:r w:rsidRPr="00262AFC">
        <w:t>.</w:t>
      </w:r>
    </w:p>
    <w:p w:rsidR="00E2616E" w:rsidRPr="00262AFC" w:rsidRDefault="001F3A56" w:rsidP="00F00B5E">
      <w:pPr>
        <w:pStyle w:val="ActHead5"/>
      </w:pPr>
      <w:bookmarkStart w:id="8" w:name="_Toc514161458"/>
      <w:r w:rsidRPr="00262AFC">
        <w:rPr>
          <w:rStyle w:val="CharSectno"/>
        </w:rPr>
        <w:t>8</w:t>
      </w:r>
      <w:r w:rsidR="00F00B5E" w:rsidRPr="00262AFC">
        <w:t xml:space="preserve">  </w:t>
      </w:r>
      <w:r w:rsidR="00E2616E" w:rsidRPr="00262AFC">
        <w:t>Payment of death benefits</w:t>
      </w:r>
      <w:r w:rsidR="00F00B5E" w:rsidRPr="00262AFC">
        <w:t>—</w:t>
      </w:r>
      <w:r w:rsidR="00E2616E" w:rsidRPr="00262AFC">
        <w:t>period for objections and complaints</w:t>
      </w:r>
      <w:bookmarkEnd w:id="8"/>
    </w:p>
    <w:p w:rsidR="00F00B5E" w:rsidRPr="00262AFC" w:rsidRDefault="00F00B5E" w:rsidP="00F00B5E">
      <w:pPr>
        <w:pStyle w:val="subsection"/>
      </w:pPr>
      <w:r w:rsidRPr="00262AFC">
        <w:tab/>
      </w:r>
      <w:r w:rsidRPr="00262AFC">
        <w:tab/>
      </w:r>
      <w:r w:rsidR="009F7FAD" w:rsidRPr="00262AFC">
        <w:t>For the purposes of the following provisions of the Act, the prescribed period is 28 days</w:t>
      </w:r>
      <w:r w:rsidRPr="00262AFC">
        <w:t>:</w:t>
      </w:r>
    </w:p>
    <w:p w:rsidR="00F00B5E" w:rsidRPr="00262AFC" w:rsidRDefault="00F00B5E" w:rsidP="00F00B5E">
      <w:pPr>
        <w:pStyle w:val="paragraph"/>
      </w:pPr>
      <w:r w:rsidRPr="00262AFC">
        <w:tab/>
        <w:t>(a)</w:t>
      </w:r>
      <w:r w:rsidRPr="00262AFC">
        <w:tab/>
      </w:r>
      <w:r w:rsidR="00E2616E" w:rsidRPr="00262AFC">
        <w:t>paragraph</w:t>
      </w:r>
      <w:r w:rsidR="00262AFC" w:rsidRPr="00262AFC">
        <w:t> </w:t>
      </w:r>
      <w:r w:rsidR="00E2616E" w:rsidRPr="00262AFC">
        <w:t>14(3)(b)</w:t>
      </w:r>
      <w:r w:rsidRPr="00262AFC">
        <w:t>;</w:t>
      </w:r>
    </w:p>
    <w:p w:rsidR="00F00B5E" w:rsidRPr="00262AFC" w:rsidRDefault="00F00B5E" w:rsidP="00F00B5E">
      <w:pPr>
        <w:pStyle w:val="paragraph"/>
      </w:pPr>
      <w:r w:rsidRPr="00262AFC">
        <w:tab/>
        <w:t>(b)</w:t>
      </w:r>
      <w:r w:rsidRPr="00262AFC">
        <w:tab/>
      </w:r>
      <w:r w:rsidR="00E2616E" w:rsidRPr="00262AFC">
        <w:t>subparagraph</w:t>
      </w:r>
      <w:r w:rsidR="00262AFC" w:rsidRPr="00262AFC">
        <w:t> </w:t>
      </w:r>
      <w:r w:rsidR="00E2616E" w:rsidRPr="00262AFC">
        <w:t>15(2)(a)(ii)</w:t>
      </w:r>
      <w:r w:rsidRPr="00262AFC">
        <w:t>;</w:t>
      </w:r>
    </w:p>
    <w:p w:rsidR="00F00B5E" w:rsidRPr="00262AFC" w:rsidRDefault="00F00B5E" w:rsidP="00F00B5E">
      <w:pPr>
        <w:pStyle w:val="paragraph"/>
      </w:pPr>
      <w:r w:rsidRPr="00262AFC">
        <w:tab/>
        <w:t>(c)</w:t>
      </w:r>
      <w:r w:rsidRPr="00262AFC">
        <w:tab/>
      </w:r>
      <w:r w:rsidR="00E2616E" w:rsidRPr="00262AFC">
        <w:t>paragraph</w:t>
      </w:r>
      <w:r w:rsidR="00262AFC" w:rsidRPr="00262AFC">
        <w:t> </w:t>
      </w:r>
      <w:r w:rsidR="00E2616E" w:rsidRPr="00262AFC">
        <w:t>15B(2)(b)</w:t>
      </w:r>
      <w:r w:rsidRPr="00262AFC">
        <w:t>;</w:t>
      </w:r>
    </w:p>
    <w:p w:rsidR="00F00B5E" w:rsidRPr="00262AFC" w:rsidRDefault="00F00B5E" w:rsidP="00F00B5E">
      <w:pPr>
        <w:pStyle w:val="paragraph"/>
      </w:pPr>
      <w:r w:rsidRPr="00262AFC">
        <w:tab/>
        <w:t>(d)</w:t>
      </w:r>
      <w:r w:rsidRPr="00262AFC">
        <w:tab/>
      </w:r>
      <w:r w:rsidR="00E2616E" w:rsidRPr="00262AFC">
        <w:t>subparagraph</w:t>
      </w:r>
      <w:r w:rsidR="00262AFC" w:rsidRPr="00262AFC">
        <w:t> </w:t>
      </w:r>
      <w:r w:rsidR="00E2616E" w:rsidRPr="00262AFC">
        <w:t>15C(2)(a)(ii)</w:t>
      </w:r>
      <w:r w:rsidRPr="00262AFC">
        <w:t>;</w:t>
      </w:r>
    </w:p>
    <w:p w:rsidR="00F00B5E" w:rsidRPr="00262AFC" w:rsidRDefault="00F00B5E" w:rsidP="00F00B5E">
      <w:pPr>
        <w:pStyle w:val="paragraph"/>
      </w:pPr>
      <w:r w:rsidRPr="00262AFC">
        <w:tab/>
        <w:t>(e)</w:t>
      </w:r>
      <w:r w:rsidRPr="00262AFC">
        <w:tab/>
      </w:r>
      <w:r w:rsidR="00E2616E" w:rsidRPr="00262AFC">
        <w:t>paragraph</w:t>
      </w:r>
      <w:r w:rsidR="00262AFC" w:rsidRPr="00262AFC">
        <w:t> </w:t>
      </w:r>
      <w:r w:rsidR="00E2616E" w:rsidRPr="00262AFC">
        <w:t>15F(2)(b)</w:t>
      </w:r>
      <w:r w:rsidRPr="00262AFC">
        <w:t>;</w:t>
      </w:r>
    </w:p>
    <w:p w:rsidR="009F7FAD" w:rsidRPr="00262AFC" w:rsidRDefault="00F00B5E" w:rsidP="00F00B5E">
      <w:pPr>
        <w:pStyle w:val="paragraph"/>
      </w:pPr>
      <w:r w:rsidRPr="00262AFC">
        <w:tab/>
        <w:t>(f)</w:t>
      </w:r>
      <w:r w:rsidRPr="00262AFC">
        <w:tab/>
      </w:r>
      <w:r w:rsidR="00E2616E" w:rsidRPr="00262AFC">
        <w:t>subparagraph</w:t>
      </w:r>
      <w:r w:rsidR="00262AFC" w:rsidRPr="00262AFC">
        <w:t> </w:t>
      </w:r>
      <w:r w:rsidR="00E2616E" w:rsidRPr="00262AFC">
        <w:t>15G(2)(a)(ii)</w:t>
      </w:r>
      <w:r w:rsidR="009F7FAD" w:rsidRPr="00262AFC">
        <w:t>;</w:t>
      </w:r>
    </w:p>
    <w:p w:rsidR="009F7FAD" w:rsidRPr="00262AFC" w:rsidRDefault="009F7FAD" w:rsidP="00F00B5E">
      <w:pPr>
        <w:pStyle w:val="paragraph"/>
      </w:pPr>
      <w:r w:rsidRPr="00262AFC">
        <w:tab/>
        <w:t>(g)</w:t>
      </w:r>
      <w:r w:rsidRPr="00262AFC">
        <w:tab/>
      </w:r>
      <w:r w:rsidR="00E2616E" w:rsidRPr="00262AFC">
        <w:t>paragraph</w:t>
      </w:r>
      <w:r w:rsidR="00262AFC" w:rsidRPr="00262AFC">
        <w:t> </w:t>
      </w:r>
      <w:r w:rsidR="00E2616E" w:rsidRPr="00262AFC">
        <w:t>15J(2)(b)</w:t>
      </w:r>
      <w:r w:rsidRPr="00262AFC">
        <w:t>;</w:t>
      </w:r>
    </w:p>
    <w:p w:rsidR="00E2616E" w:rsidRPr="00262AFC" w:rsidRDefault="009F7FAD" w:rsidP="00F00B5E">
      <w:pPr>
        <w:pStyle w:val="paragraph"/>
      </w:pPr>
      <w:r w:rsidRPr="00262AFC">
        <w:tab/>
        <w:t>(h)</w:t>
      </w:r>
      <w:r w:rsidRPr="00262AFC">
        <w:tab/>
      </w:r>
      <w:r w:rsidR="00E2616E" w:rsidRPr="00262AFC">
        <w:t>subparagraph</w:t>
      </w:r>
      <w:r w:rsidR="00262AFC" w:rsidRPr="00262AFC">
        <w:t> </w:t>
      </w:r>
      <w:r w:rsidR="00E2616E" w:rsidRPr="00262AFC">
        <w:t>15K(2)(a)(ii).</w:t>
      </w:r>
    </w:p>
    <w:p w:rsidR="00E2616E" w:rsidRPr="00262AFC" w:rsidRDefault="001F3A56" w:rsidP="009F7FAD">
      <w:pPr>
        <w:pStyle w:val="ActHead5"/>
      </w:pPr>
      <w:bookmarkStart w:id="9" w:name="_Toc514161459"/>
      <w:r w:rsidRPr="00262AFC">
        <w:rPr>
          <w:rStyle w:val="CharSectno"/>
        </w:rPr>
        <w:t>9</w:t>
      </w:r>
      <w:r w:rsidR="009F7FAD" w:rsidRPr="00262AFC">
        <w:t xml:space="preserve">  S</w:t>
      </w:r>
      <w:r w:rsidR="00E2616E" w:rsidRPr="00262AFC">
        <w:t>tatement of amount or amounts in respect of person’s contributed amounts—period to make complaint</w:t>
      </w:r>
      <w:bookmarkEnd w:id="9"/>
    </w:p>
    <w:p w:rsidR="00E2616E" w:rsidRPr="00262AFC" w:rsidRDefault="00E47E52" w:rsidP="00E47E52">
      <w:pPr>
        <w:pStyle w:val="subsection"/>
      </w:pPr>
      <w:r w:rsidRPr="00262AFC">
        <w:tab/>
      </w:r>
      <w:r w:rsidR="00E2616E" w:rsidRPr="00262AFC">
        <w:tab/>
        <w:t>For the purposes of subsection</w:t>
      </w:r>
      <w:r w:rsidR="00262AFC" w:rsidRPr="00262AFC">
        <w:t> </w:t>
      </w:r>
      <w:r w:rsidR="00E2616E" w:rsidRPr="00262AFC">
        <w:t>15CA(2) of the Act, the prescribed period is 12 months.</w:t>
      </w:r>
    </w:p>
    <w:p w:rsidR="003D051D" w:rsidRPr="00262AFC" w:rsidRDefault="001F3A56" w:rsidP="003D051D">
      <w:pPr>
        <w:pStyle w:val="ActHead5"/>
      </w:pPr>
      <w:bookmarkStart w:id="10" w:name="_Toc514161460"/>
      <w:r w:rsidRPr="00262AFC">
        <w:rPr>
          <w:rStyle w:val="CharSectno"/>
        </w:rPr>
        <w:t>10</w:t>
      </w:r>
      <w:r w:rsidR="003D051D" w:rsidRPr="00262AFC">
        <w:t xml:space="preserve">  Complaint handling bodies</w:t>
      </w:r>
      <w:bookmarkEnd w:id="10"/>
    </w:p>
    <w:p w:rsidR="00E77229" w:rsidRPr="00262AFC" w:rsidRDefault="00E77229" w:rsidP="003D051D">
      <w:pPr>
        <w:pStyle w:val="subsection"/>
      </w:pPr>
      <w:r w:rsidRPr="00262AFC">
        <w:tab/>
        <w:t>(1)</w:t>
      </w:r>
      <w:r w:rsidRPr="00262AFC">
        <w:tab/>
        <w:t>For the purposes of subsection</w:t>
      </w:r>
      <w:r w:rsidR="00262AFC" w:rsidRPr="00262AFC">
        <w:t> </w:t>
      </w:r>
      <w:r w:rsidRPr="00262AFC">
        <w:t>22A(1) of the Act, a body responsible for dealing with disputes under an external dispute resolution scheme that complies with paragraph</w:t>
      </w:r>
      <w:r w:rsidR="00262AFC" w:rsidRPr="00262AFC">
        <w:t> </w:t>
      </w:r>
      <w:r w:rsidRPr="00262AFC">
        <w:t>912A(2)(</w:t>
      </w:r>
      <w:r w:rsidR="00B04B7C" w:rsidRPr="00262AFC">
        <w:t>b</w:t>
      </w:r>
      <w:r w:rsidRPr="00262AFC">
        <w:t xml:space="preserve">) of the </w:t>
      </w:r>
      <w:r w:rsidRPr="00262AFC">
        <w:rPr>
          <w:i/>
        </w:rPr>
        <w:t>Corporations Act 2001</w:t>
      </w:r>
      <w:r w:rsidRPr="00262AFC">
        <w:t xml:space="preserve"> is prescribed for the period</w:t>
      </w:r>
      <w:r w:rsidR="003D3A59" w:rsidRPr="00262AFC">
        <w:t xml:space="preserve"> that</w:t>
      </w:r>
      <w:r w:rsidRPr="00262AFC">
        <w:t>:</w:t>
      </w:r>
    </w:p>
    <w:p w:rsidR="00E77229" w:rsidRPr="00262AFC" w:rsidRDefault="00E77229" w:rsidP="00E77229">
      <w:pPr>
        <w:pStyle w:val="paragraph"/>
      </w:pPr>
      <w:r w:rsidRPr="00262AFC">
        <w:tab/>
        <w:t>(a)</w:t>
      </w:r>
      <w:r w:rsidRPr="00262AFC">
        <w:tab/>
      </w:r>
      <w:r w:rsidR="003D3A59" w:rsidRPr="00262AFC">
        <w:t xml:space="preserve">starts on </w:t>
      </w:r>
      <w:r w:rsidRPr="00262AFC">
        <w:t>the commencement of this section; and</w:t>
      </w:r>
    </w:p>
    <w:p w:rsidR="00E77229" w:rsidRPr="00262AFC" w:rsidRDefault="00E77229" w:rsidP="00E77229">
      <w:pPr>
        <w:pStyle w:val="paragraph"/>
      </w:pPr>
      <w:r w:rsidRPr="00262AFC">
        <w:tab/>
        <w:t>(b)</w:t>
      </w:r>
      <w:r w:rsidRPr="00262AFC">
        <w:tab/>
        <w:t>end</w:t>
      </w:r>
      <w:r w:rsidR="003D3A59" w:rsidRPr="00262AFC">
        <w:t>s</w:t>
      </w:r>
      <w:r w:rsidRPr="00262AFC">
        <w:t xml:space="preserve"> </w:t>
      </w:r>
      <w:r w:rsidR="00A95E3A" w:rsidRPr="00262AFC">
        <w:t xml:space="preserve">immediately before the day </w:t>
      </w:r>
      <w:r w:rsidRPr="00262AFC">
        <w:t>that the amendments made by Part</w:t>
      </w:r>
      <w:r w:rsidR="00262AFC" w:rsidRPr="00262AFC">
        <w:t> </w:t>
      </w:r>
      <w:r w:rsidRPr="00262AFC">
        <w:t>5 of Schedule</w:t>
      </w:r>
      <w:r w:rsidR="00262AFC" w:rsidRPr="00262AFC">
        <w:t> </w:t>
      </w:r>
      <w:r w:rsidRPr="00262AFC">
        <w:t xml:space="preserve">1 to the </w:t>
      </w:r>
      <w:r w:rsidRPr="00262AFC">
        <w:rPr>
          <w:i/>
        </w:rPr>
        <w:t xml:space="preserve">Treasury Laws Amendment (Putting Consumers First—Establishment of the Australian Financial Complaints Authority) Act 2018 </w:t>
      </w:r>
      <w:r w:rsidR="00B04B7C" w:rsidRPr="00262AFC">
        <w:t xml:space="preserve">start to </w:t>
      </w:r>
      <w:r w:rsidRPr="00262AFC">
        <w:t>apply.</w:t>
      </w:r>
    </w:p>
    <w:p w:rsidR="0046184D" w:rsidRPr="00262AFC" w:rsidRDefault="00F41171" w:rsidP="00E77229">
      <w:pPr>
        <w:pStyle w:val="notetext"/>
      </w:pPr>
      <w:r w:rsidRPr="00262AFC">
        <w:t>Note</w:t>
      </w:r>
      <w:r w:rsidR="00E77229" w:rsidRPr="00262AFC">
        <w:t>:</w:t>
      </w:r>
      <w:r w:rsidR="00E77229" w:rsidRPr="00262AFC">
        <w:tab/>
      </w:r>
      <w:r w:rsidR="0046184D" w:rsidRPr="00262AFC">
        <w:t>The repeal of paragraph</w:t>
      </w:r>
      <w:r w:rsidR="00262AFC" w:rsidRPr="00262AFC">
        <w:t> </w:t>
      </w:r>
      <w:r w:rsidR="0046184D" w:rsidRPr="00262AFC">
        <w:t xml:space="preserve">912A(2)(b) of the </w:t>
      </w:r>
      <w:r w:rsidR="0046184D" w:rsidRPr="00262AFC">
        <w:rPr>
          <w:i/>
        </w:rPr>
        <w:t>Corporations Act 2001</w:t>
      </w:r>
      <w:r w:rsidR="0046184D" w:rsidRPr="00262AFC">
        <w:t xml:space="preserve"> by item</w:t>
      </w:r>
      <w:r w:rsidR="00262AFC" w:rsidRPr="00262AFC">
        <w:t> </w:t>
      </w:r>
      <w:r w:rsidR="0046184D" w:rsidRPr="00262AFC">
        <w:t>59 of Schedule</w:t>
      </w:r>
      <w:r w:rsidR="00262AFC" w:rsidRPr="00262AFC">
        <w:t> </w:t>
      </w:r>
      <w:r w:rsidR="0046184D" w:rsidRPr="00262AFC">
        <w:t xml:space="preserve">1 to the </w:t>
      </w:r>
      <w:r w:rsidR="0046184D" w:rsidRPr="00262AFC">
        <w:rPr>
          <w:i/>
        </w:rPr>
        <w:t>Treasury Laws Amendment (Putting Consumers First—Establishment of the Australian Financial Complain</w:t>
      </w:r>
      <w:r w:rsidR="00C739E0" w:rsidRPr="00262AFC">
        <w:rPr>
          <w:i/>
        </w:rPr>
        <w:t>t</w:t>
      </w:r>
      <w:r w:rsidR="0046184D" w:rsidRPr="00262AFC">
        <w:rPr>
          <w:i/>
        </w:rPr>
        <w:t>s Authority) Act 2018</w:t>
      </w:r>
      <w:r w:rsidR="0046184D" w:rsidRPr="00262AFC">
        <w:t xml:space="preserve"> applies </w:t>
      </w:r>
      <w:r w:rsidR="00182EA8" w:rsidRPr="00262AFC">
        <w:t xml:space="preserve">on and after </w:t>
      </w:r>
      <w:r w:rsidR="0046184D" w:rsidRPr="00262AFC">
        <w:t>when the amendments made by Part</w:t>
      </w:r>
      <w:r w:rsidR="00262AFC" w:rsidRPr="00262AFC">
        <w:t> </w:t>
      </w:r>
      <w:r w:rsidR="0046184D" w:rsidRPr="00262AFC">
        <w:t>5 of that Schedule start to apply. For when the amendments made by Part</w:t>
      </w:r>
      <w:r w:rsidR="00262AFC" w:rsidRPr="00262AFC">
        <w:t> </w:t>
      </w:r>
      <w:r w:rsidR="0046184D" w:rsidRPr="00262AFC">
        <w:t xml:space="preserve">5 of that Schedule </w:t>
      </w:r>
      <w:r w:rsidR="00C739E0" w:rsidRPr="00262AFC">
        <w:t xml:space="preserve">start to </w:t>
      </w:r>
      <w:r w:rsidR="0046184D" w:rsidRPr="00262AFC">
        <w:t>apply, see item</w:t>
      </w:r>
      <w:r w:rsidR="00262AFC" w:rsidRPr="00262AFC">
        <w:t> </w:t>
      </w:r>
      <w:r w:rsidR="0046184D" w:rsidRPr="00262AFC">
        <w:t>72 of that Schedule.</w:t>
      </w:r>
    </w:p>
    <w:p w:rsidR="00E77229" w:rsidRPr="00262AFC" w:rsidRDefault="00E77229" w:rsidP="001E0B11">
      <w:pPr>
        <w:pStyle w:val="subsection"/>
      </w:pPr>
      <w:r w:rsidRPr="00262AFC">
        <w:tab/>
        <w:t>(2)</w:t>
      </w:r>
      <w:r w:rsidRPr="00262AFC">
        <w:tab/>
        <w:t>For the purposes of subsection</w:t>
      </w:r>
      <w:r w:rsidR="00262AFC" w:rsidRPr="00262AFC">
        <w:t> </w:t>
      </w:r>
      <w:r w:rsidRPr="00262AFC">
        <w:t>22A(1) of the Act, the operator of the AFCA scheme is prescribed</w:t>
      </w:r>
      <w:r w:rsidR="000A2F9F" w:rsidRPr="00262AFC">
        <w:t xml:space="preserve"> from the start of the </w:t>
      </w:r>
      <w:r w:rsidR="001E0B11" w:rsidRPr="00262AFC">
        <w:t xml:space="preserve">day that the </w:t>
      </w:r>
      <w:r w:rsidRPr="00262AFC">
        <w:t>amendments made by Part</w:t>
      </w:r>
      <w:r w:rsidR="00262AFC" w:rsidRPr="00262AFC">
        <w:t> </w:t>
      </w:r>
      <w:r w:rsidRPr="00262AFC">
        <w:t>4 of Schedule</w:t>
      </w:r>
      <w:r w:rsidR="00262AFC" w:rsidRPr="00262AFC">
        <w:t> </w:t>
      </w:r>
      <w:r w:rsidRPr="00262AFC">
        <w:t xml:space="preserve">1 to the </w:t>
      </w:r>
      <w:r w:rsidRPr="00262AFC">
        <w:rPr>
          <w:i/>
        </w:rPr>
        <w:t>Treasury Laws Amendment (Putting Consumers First—Establishment of the Australian Financial Complaints Authority) Act 2018</w:t>
      </w:r>
      <w:r w:rsidRPr="00262AFC">
        <w:t xml:space="preserve"> </w:t>
      </w:r>
      <w:r w:rsidR="00B04B7C" w:rsidRPr="00262AFC">
        <w:t xml:space="preserve">start to </w:t>
      </w:r>
      <w:r w:rsidRPr="00262AFC">
        <w:t>apply.</w:t>
      </w:r>
    </w:p>
    <w:p w:rsidR="00B8594F" w:rsidRPr="00262AFC" w:rsidRDefault="00B8594F" w:rsidP="00B8594F">
      <w:pPr>
        <w:pStyle w:val="notetext"/>
      </w:pPr>
      <w:r w:rsidRPr="00262AFC">
        <w:t>Note:</w:t>
      </w:r>
      <w:r w:rsidRPr="00262AFC">
        <w:tab/>
        <w:t>For when the amendments made by Part</w:t>
      </w:r>
      <w:r w:rsidR="00262AFC" w:rsidRPr="00262AFC">
        <w:t> </w:t>
      </w:r>
      <w:r w:rsidRPr="00262AFC">
        <w:t>4 of Schedule</w:t>
      </w:r>
      <w:r w:rsidR="00262AFC" w:rsidRPr="00262AFC">
        <w:t> </w:t>
      </w:r>
      <w:r w:rsidRPr="00262AFC">
        <w:t xml:space="preserve">1 to the </w:t>
      </w:r>
      <w:r w:rsidRPr="00262AFC">
        <w:rPr>
          <w:i/>
        </w:rPr>
        <w:t>Treasury Laws Amendment (Putting Consumers First—Establishment of the Australian Financial Complaints Authority) Act 2018</w:t>
      </w:r>
      <w:r w:rsidRPr="00262AFC">
        <w:t xml:space="preserve"> </w:t>
      </w:r>
      <w:r w:rsidR="00B04B7C" w:rsidRPr="00262AFC">
        <w:t xml:space="preserve">start to </w:t>
      </w:r>
      <w:r w:rsidRPr="00262AFC">
        <w:t>apply, see item</w:t>
      </w:r>
      <w:r w:rsidR="00262AFC" w:rsidRPr="00262AFC">
        <w:t> </w:t>
      </w:r>
      <w:r w:rsidRPr="00262AFC">
        <w:t xml:space="preserve">58 of that </w:t>
      </w:r>
      <w:r w:rsidR="00B04B7C" w:rsidRPr="00262AFC">
        <w:t>Schedule</w:t>
      </w:r>
      <w:r w:rsidRPr="00262AFC">
        <w:t>.</w:t>
      </w:r>
    </w:p>
    <w:p w:rsidR="00E2616E" w:rsidRPr="00262AFC" w:rsidRDefault="001F3A56" w:rsidP="00A460C8">
      <w:pPr>
        <w:pStyle w:val="ActHead5"/>
      </w:pPr>
      <w:bookmarkStart w:id="11" w:name="_Toc514161461"/>
      <w:r w:rsidRPr="00262AFC">
        <w:rPr>
          <w:rStyle w:val="CharSectno"/>
        </w:rPr>
        <w:t>11</w:t>
      </w:r>
      <w:r w:rsidR="00F00B5E" w:rsidRPr="00262AFC">
        <w:t xml:space="preserve">  </w:t>
      </w:r>
      <w:r w:rsidR="00E2616E" w:rsidRPr="00262AFC">
        <w:t>Method of calculation of interest</w:t>
      </w:r>
      <w:bookmarkEnd w:id="11"/>
    </w:p>
    <w:p w:rsidR="00E2616E" w:rsidRPr="00262AFC" w:rsidRDefault="00E2616E" w:rsidP="00A460C8">
      <w:pPr>
        <w:pStyle w:val="subsection"/>
      </w:pPr>
      <w:r w:rsidRPr="00262AFC">
        <w:tab/>
      </w:r>
      <w:r w:rsidRPr="00262AFC">
        <w:tab/>
        <w:t>For the purposes of subparagraph</w:t>
      </w:r>
      <w:r w:rsidR="00262AFC" w:rsidRPr="00262AFC">
        <w:t> </w:t>
      </w:r>
      <w:r w:rsidRPr="00262AFC">
        <w:t>37A(3)(a)(iii), paragraph</w:t>
      </w:r>
      <w:r w:rsidR="00262AFC" w:rsidRPr="00262AFC">
        <w:t> </w:t>
      </w:r>
      <w:r w:rsidRPr="00262AFC">
        <w:t>37A(4)(c) and subparagraphs</w:t>
      </w:r>
      <w:r w:rsidR="00262AFC" w:rsidRPr="00262AFC">
        <w:t> </w:t>
      </w:r>
      <w:r w:rsidRPr="00262AFC">
        <w:t>37B(2)(a)(iii), 37D(3)(a)(iv), 37D(5)(a)(iv), 37F(3)(a)(iv) and 37F(5)(a)(iv) of the Act, interest on any:</w:t>
      </w:r>
    </w:p>
    <w:p w:rsidR="00E2616E" w:rsidRPr="00262AFC" w:rsidRDefault="00E2616E" w:rsidP="00A460C8">
      <w:pPr>
        <w:pStyle w:val="paragraph"/>
      </w:pPr>
      <w:r w:rsidRPr="00262AFC">
        <w:tab/>
        <w:t>(a)</w:t>
      </w:r>
      <w:r w:rsidRPr="00262AFC">
        <w:tab/>
        <w:t>money received under a life policy; or</w:t>
      </w:r>
    </w:p>
    <w:p w:rsidR="00E2616E" w:rsidRPr="00262AFC" w:rsidRDefault="00E2616E" w:rsidP="00A460C8">
      <w:pPr>
        <w:pStyle w:val="paragraph"/>
      </w:pPr>
      <w:r w:rsidRPr="00262AFC">
        <w:tab/>
        <w:t>(b)</w:t>
      </w:r>
      <w:r w:rsidRPr="00262AFC">
        <w:tab/>
        <w:t>money received in relation to a life policy fund; or</w:t>
      </w:r>
    </w:p>
    <w:p w:rsidR="00E2616E" w:rsidRPr="00262AFC" w:rsidRDefault="00E2616E" w:rsidP="00A460C8">
      <w:pPr>
        <w:pStyle w:val="paragraph"/>
      </w:pPr>
      <w:r w:rsidRPr="00262AFC">
        <w:tab/>
        <w:t>(c)</w:t>
      </w:r>
      <w:r w:rsidRPr="00262AFC">
        <w:tab/>
        <w:t>money received under an annuity policy; or</w:t>
      </w:r>
    </w:p>
    <w:p w:rsidR="00E2616E" w:rsidRPr="00262AFC" w:rsidRDefault="00E2616E" w:rsidP="00A460C8">
      <w:pPr>
        <w:pStyle w:val="paragraph"/>
      </w:pPr>
      <w:r w:rsidRPr="00262AFC">
        <w:tab/>
        <w:t>(d)</w:t>
      </w:r>
      <w:r w:rsidRPr="00262AFC">
        <w:tab/>
        <w:t>money received under an RSA; or</w:t>
      </w:r>
    </w:p>
    <w:p w:rsidR="00E2616E" w:rsidRPr="00262AFC" w:rsidRDefault="00E2616E" w:rsidP="00A460C8">
      <w:pPr>
        <w:pStyle w:val="paragraph"/>
      </w:pPr>
      <w:r w:rsidRPr="00262AFC">
        <w:tab/>
        <w:t>(e)</w:t>
      </w:r>
      <w:r w:rsidRPr="00262AFC">
        <w:tab/>
        <w:t>money received under a contract of insurance, the premiums for which are paid from an RSA;</w:t>
      </w:r>
    </w:p>
    <w:p w:rsidR="00E2616E" w:rsidRPr="00262AFC" w:rsidRDefault="00E2616E" w:rsidP="00A460C8">
      <w:pPr>
        <w:pStyle w:val="subsection2"/>
      </w:pPr>
      <w:r w:rsidRPr="00262AFC">
        <w:t xml:space="preserve">that is required by the Tribunal to be repaid is to be worked out </w:t>
      </w:r>
      <w:r w:rsidR="00A460C8" w:rsidRPr="00262AFC">
        <w:t>in accordance with the formula:</w:t>
      </w:r>
    </w:p>
    <w:p w:rsidR="00A460C8" w:rsidRPr="00262AFC" w:rsidRDefault="000E15D7" w:rsidP="00A460C8">
      <w:pPr>
        <w:pStyle w:val="subsection2"/>
      </w:pPr>
      <w:r w:rsidRPr="00262AFC">
        <w:rPr>
          <w:position w:val="-18"/>
        </w:rPr>
        <w:object w:dxaOrig="17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75pt;height:27.55pt" o:ole="">
            <v:imagedata r:id="rId21" o:title=""/>
          </v:shape>
          <o:OLEObject Type="Embed" ProgID="Equation.DSMT4" ShapeID="_x0000_i1025" DrawAspect="Content" ObjectID="_1591170500" r:id="rId22"/>
        </w:object>
      </w:r>
    </w:p>
    <w:p w:rsidR="00A460C8" w:rsidRPr="00262AFC" w:rsidRDefault="00A460C8" w:rsidP="00A460C8">
      <w:pPr>
        <w:pStyle w:val="subsection2"/>
      </w:pPr>
      <w:r w:rsidRPr="00262AFC">
        <w:t>where:</w:t>
      </w:r>
    </w:p>
    <w:p w:rsidR="00B32CD9" w:rsidRPr="00262AFC" w:rsidRDefault="00B32CD9" w:rsidP="00B32CD9">
      <w:pPr>
        <w:pStyle w:val="Definition"/>
      </w:pPr>
      <w:r w:rsidRPr="00262AFC">
        <w:rPr>
          <w:b/>
          <w:i/>
        </w:rPr>
        <w:t>i</w:t>
      </w:r>
      <w:r w:rsidRPr="00262AFC">
        <w:t xml:space="preserve"> </w:t>
      </w:r>
      <w:r w:rsidR="00B04B7C" w:rsidRPr="00262AFC">
        <w:t>means</w:t>
      </w:r>
      <w:r w:rsidRPr="00262AFC">
        <w:t xml:space="preserve"> 0.05 </w:t>
      </w:r>
      <w:r w:rsidR="00B04B7C" w:rsidRPr="00262AFC">
        <w:t>divided by</w:t>
      </w:r>
      <w:r w:rsidRPr="00262AFC">
        <w:t xml:space="preserve"> 12, worked out to 5 decimal places.</w:t>
      </w:r>
    </w:p>
    <w:p w:rsidR="00B32CD9" w:rsidRPr="00262AFC" w:rsidRDefault="00B32CD9" w:rsidP="00B32CD9">
      <w:pPr>
        <w:pStyle w:val="Definition"/>
      </w:pPr>
      <w:r w:rsidRPr="00262AFC">
        <w:rPr>
          <w:b/>
          <w:i/>
        </w:rPr>
        <w:t>n</w:t>
      </w:r>
      <w:r w:rsidRPr="00262AFC">
        <w:t xml:space="preserve"> </w:t>
      </w:r>
      <w:r w:rsidR="00B04B7C" w:rsidRPr="00262AFC">
        <w:t>means</w:t>
      </w:r>
      <w:r w:rsidRPr="00262AFC">
        <w:t xml:space="preserve"> the number of whole calendar months since the end of that calendar month to the date of the repayment.</w:t>
      </w:r>
    </w:p>
    <w:p w:rsidR="00E2616E" w:rsidRPr="00262AFC" w:rsidRDefault="00E2616E" w:rsidP="00A460C8">
      <w:pPr>
        <w:pStyle w:val="Definition"/>
      </w:pPr>
      <w:r w:rsidRPr="00262AFC">
        <w:rPr>
          <w:b/>
          <w:i/>
        </w:rPr>
        <w:t>p</w:t>
      </w:r>
      <w:r w:rsidRPr="00262AFC">
        <w:t xml:space="preserve"> </w:t>
      </w:r>
      <w:r w:rsidR="00B04B7C" w:rsidRPr="00262AFC">
        <w:t>means</w:t>
      </w:r>
      <w:r w:rsidRPr="00262AFC">
        <w:t xml:space="preserve"> the amount of money received in a particular calendar month.</w:t>
      </w:r>
    </w:p>
    <w:p w:rsidR="00F62ECC" w:rsidRPr="00262AFC" w:rsidRDefault="00F62ECC">
      <w:pPr>
        <w:sectPr w:rsidR="00F62ECC" w:rsidRPr="00262AFC" w:rsidSect="00266B70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F62ECC" w:rsidRPr="00262AFC" w:rsidRDefault="00F62ECC" w:rsidP="00F62ECC">
      <w:pPr>
        <w:pStyle w:val="ActHead6"/>
      </w:pPr>
      <w:bookmarkStart w:id="12" w:name="_Toc514161462"/>
      <w:bookmarkStart w:id="13" w:name="opcAmSched"/>
      <w:bookmarkStart w:id="14" w:name="opcCurrentFind"/>
      <w:r w:rsidRPr="00262AFC">
        <w:rPr>
          <w:rStyle w:val="CharAmSchNo"/>
        </w:rPr>
        <w:t>Schedule</w:t>
      </w:r>
      <w:r w:rsidR="00262AFC" w:rsidRPr="00262AFC">
        <w:rPr>
          <w:rStyle w:val="CharAmSchNo"/>
        </w:rPr>
        <w:t> </w:t>
      </w:r>
      <w:r w:rsidR="00B83649" w:rsidRPr="00262AFC">
        <w:rPr>
          <w:rStyle w:val="CharAmSchNo"/>
        </w:rPr>
        <w:t>1</w:t>
      </w:r>
      <w:r w:rsidRPr="00262AFC">
        <w:t>—</w:t>
      </w:r>
      <w:r w:rsidRPr="00262AFC">
        <w:rPr>
          <w:rStyle w:val="CharAmSchText"/>
        </w:rPr>
        <w:t>Repeals</w:t>
      </w:r>
      <w:bookmarkEnd w:id="12"/>
    </w:p>
    <w:bookmarkEnd w:id="13"/>
    <w:bookmarkEnd w:id="14"/>
    <w:p w:rsidR="00F62ECC" w:rsidRPr="00262AFC" w:rsidRDefault="00F62ECC">
      <w:pPr>
        <w:pStyle w:val="Header"/>
      </w:pPr>
      <w:r w:rsidRPr="00262AFC">
        <w:rPr>
          <w:rStyle w:val="CharAmPartNo"/>
        </w:rPr>
        <w:t xml:space="preserve"> </w:t>
      </w:r>
      <w:r w:rsidRPr="00262AFC">
        <w:rPr>
          <w:rStyle w:val="CharAmPartText"/>
        </w:rPr>
        <w:t xml:space="preserve"> </w:t>
      </w:r>
    </w:p>
    <w:p w:rsidR="00F62ECC" w:rsidRPr="00262AFC" w:rsidRDefault="00F62ECC" w:rsidP="00F62ECC">
      <w:pPr>
        <w:pStyle w:val="ActHead9"/>
      </w:pPr>
      <w:bookmarkStart w:id="15" w:name="_Toc514161463"/>
      <w:r w:rsidRPr="00262AFC">
        <w:t>Superannuation (Resolution of Complaints) Regulations</w:t>
      </w:r>
      <w:r w:rsidR="00262AFC" w:rsidRPr="00262AFC">
        <w:t> </w:t>
      </w:r>
      <w:r w:rsidRPr="00262AFC">
        <w:t>1994</w:t>
      </w:r>
      <w:bookmarkEnd w:id="15"/>
    </w:p>
    <w:p w:rsidR="00F62ECC" w:rsidRPr="00262AFC" w:rsidRDefault="00F62ECC" w:rsidP="00F62ECC">
      <w:pPr>
        <w:pStyle w:val="ItemHead"/>
      </w:pPr>
      <w:r w:rsidRPr="00262AFC">
        <w:t>1  The whole of the instrument</w:t>
      </w:r>
    </w:p>
    <w:p w:rsidR="00F62ECC" w:rsidRPr="00262AFC" w:rsidRDefault="00F62ECC" w:rsidP="00F62ECC">
      <w:pPr>
        <w:pStyle w:val="Item"/>
      </w:pPr>
      <w:r w:rsidRPr="00262AFC">
        <w:t>Repeal the instrument.</w:t>
      </w:r>
    </w:p>
    <w:p w:rsidR="00F62ECC" w:rsidRPr="00262AFC" w:rsidRDefault="00F62ECC">
      <w:pPr>
        <w:sectPr w:rsidR="00F62ECC" w:rsidRPr="00262AFC" w:rsidSect="00266B70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F62ECC" w:rsidRPr="00262AFC" w:rsidRDefault="00F62ECC" w:rsidP="004D088E">
      <w:pPr>
        <w:rPr>
          <w:b/>
          <w:i/>
        </w:rPr>
      </w:pPr>
    </w:p>
    <w:sectPr w:rsidR="00F62ECC" w:rsidRPr="00262AFC" w:rsidSect="00266B7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21" w:rsidRDefault="00806721" w:rsidP="00715914">
      <w:pPr>
        <w:spacing w:line="240" w:lineRule="auto"/>
      </w:pPr>
      <w:r>
        <w:separator/>
      </w:r>
    </w:p>
  </w:endnote>
  <w:endnote w:type="continuationSeparator" w:id="0">
    <w:p w:rsidR="00806721" w:rsidRDefault="0080672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70" w:rsidRPr="00266B70" w:rsidRDefault="00266B70" w:rsidP="00266B70">
    <w:pPr>
      <w:pStyle w:val="Footer"/>
      <w:rPr>
        <w:i/>
        <w:sz w:val="18"/>
      </w:rPr>
    </w:pPr>
    <w:r w:rsidRPr="00266B70">
      <w:rPr>
        <w:i/>
        <w:sz w:val="18"/>
      </w:rPr>
      <w:t>OPC63293 -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D90ABA" w:rsidRDefault="00806721" w:rsidP="00F62E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806721" w:rsidTr="00F62ECC">
      <w:tc>
        <w:tcPr>
          <w:tcW w:w="942" w:type="pct"/>
        </w:tcPr>
        <w:p w:rsidR="00806721" w:rsidRDefault="00806721" w:rsidP="00294872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806721" w:rsidRDefault="00806721" w:rsidP="002948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B08">
            <w:rPr>
              <w:i/>
              <w:sz w:val="18"/>
            </w:rPr>
            <w:t>Superannuation (Resolution of Complaints)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806721" w:rsidRDefault="00806721" w:rsidP="002948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1FC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06721" w:rsidRPr="00266B70" w:rsidRDefault="00266B70" w:rsidP="00266B70">
    <w:pPr>
      <w:rPr>
        <w:rFonts w:cs="Times New Roman"/>
        <w:i/>
        <w:sz w:val="18"/>
      </w:rPr>
    </w:pPr>
    <w:r w:rsidRPr="00266B70">
      <w:rPr>
        <w:rFonts w:cs="Times New Roman"/>
        <w:i/>
        <w:sz w:val="18"/>
      </w:rPr>
      <w:t>OPC63293 -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Default="00806721">
    <w:pPr>
      <w:pBdr>
        <w:top w:val="single" w:sz="6" w:space="1" w:color="auto"/>
      </w:pBdr>
      <w:rPr>
        <w:sz w:val="18"/>
      </w:rPr>
    </w:pPr>
  </w:p>
  <w:p w:rsidR="00806721" w:rsidRDefault="00806721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401B08">
      <w:rPr>
        <w:i/>
        <w:noProof/>
        <w:sz w:val="18"/>
      </w:rPr>
      <w:t>Superannuation (Resolution of Complaints)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401B08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8D3226">
      <w:rPr>
        <w:i/>
        <w:noProof/>
        <w:sz w:val="18"/>
      </w:rPr>
      <w:t>5</w:t>
    </w:r>
    <w:r>
      <w:rPr>
        <w:i/>
        <w:sz w:val="18"/>
      </w:rPr>
      <w:fldChar w:fldCharType="end"/>
    </w:r>
  </w:p>
  <w:p w:rsidR="00806721" w:rsidRPr="00266B70" w:rsidRDefault="00266B70" w:rsidP="00266B70">
    <w:pPr>
      <w:rPr>
        <w:rFonts w:cs="Times New Roman"/>
        <w:i/>
        <w:sz w:val="18"/>
      </w:rPr>
    </w:pPr>
    <w:r w:rsidRPr="00266B70">
      <w:rPr>
        <w:rFonts w:cs="Times New Roman"/>
        <w:i/>
        <w:sz w:val="18"/>
      </w:rPr>
      <w:t>OPC63293 -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E33C1C" w:rsidRDefault="00806721" w:rsidP="00F62E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806721" w:rsidTr="00F62ECC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22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B08">
            <w:rPr>
              <w:i/>
              <w:sz w:val="18"/>
            </w:rPr>
            <w:t>Superannuation (Resolution of Complaints)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right"/>
            <w:rPr>
              <w:sz w:val="18"/>
            </w:rPr>
          </w:pPr>
        </w:p>
      </w:tc>
    </w:tr>
  </w:tbl>
  <w:p w:rsidR="00806721" w:rsidRPr="00ED79B6" w:rsidRDefault="00806721" w:rsidP="007500C8">
    <w:pPr>
      <w:rPr>
        <w:i/>
        <w:sz w:val="18"/>
      </w:rPr>
    </w:pPr>
  </w:p>
  <w:p w:rsidR="00806721" w:rsidRPr="00266B70" w:rsidRDefault="00266B70" w:rsidP="00266B70">
    <w:pPr>
      <w:rPr>
        <w:rFonts w:cs="Times New Roman"/>
        <w:i/>
        <w:sz w:val="18"/>
      </w:rPr>
    </w:pPr>
    <w:r w:rsidRPr="00266B70">
      <w:rPr>
        <w:rFonts w:cs="Times New Roman"/>
        <w:i/>
        <w:sz w:val="18"/>
      </w:rPr>
      <w:t>OPC63293 -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E33C1C" w:rsidRDefault="00806721" w:rsidP="00F62E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06721" w:rsidTr="00F62ECC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B08">
            <w:rPr>
              <w:i/>
              <w:sz w:val="18"/>
            </w:rPr>
            <w:t>Superannuation (Resolution of Complaints)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22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06721" w:rsidRPr="00ED79B6" w:rsidRDefault="00806721" w:rsidP="00472DBE">
    <w:pPr>
      <w:rPr>
        <w:i/>
        <w:sz w:val="18"/>
      </w:rPr>
    </w:pPr>
  </w:p>
  <w:p w:rsidR="00806721" w:rsidRPr="00266B70" w:rsidRDefault="00266B70" w:rsidP="00266B70">
    <w:pPr>
      <w:rPr>
        <w:rFonts w:cs="Times New Roman"/>
        <w:i/>
        <w:sz w:val="18"/>
      </w:rPr>
    </w:pPr>
    <w:r w:rsidRPr="00266B70">
      <w:rPr>
        <w:rFonts w:cs="Times New Roman"/>
        <w:i/>
        <w:sz w:val="18"/>
      </w:rPr>
      <w:t>OPC63293 -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E33C1C" w:rsidRDefault="00806721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06721" w:rsidTr="00F62ECC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B08">
            <w:rPr>
              <w:i/>
              <w:sz w:val="18"/>
            </w:rPr>
            <w:t>Superannuation (Resolution of Complaints)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22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06721" w:rsidRPr="00ED79B6" w:rsidRDefault="00806721" w:rsidP="007500C8">
    <w:pPr>
      <w:rPr>
        <w:i/>
        <w:sz w:val="18"/>
      </w:rPr>
    </w:pPr>
  </w:p>
  <w:p w:rsidR="00806721" w:rsidRPr="00266B70" w:rsidRDefault="00266B70" w:rsidP="00266B70">
    <w:pPr>
      <w:rPr>
        <w:rFonts w:cs="Times New Roman"/>
        <w:i/>
        <w:sz w:val="18"/>
      </w:rPr>
    </w:pPr>
    <w:r w:rsidRPr="00266B70">
      <w:rPr>
        <w:rFonts w:cs="Times New Roman"/>
        <w:i/>
        <w:sz w:val="18"/>
      </w:rPr>
      <w:t>OPC63293 -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Default="00806721" w:rsidP="00F62ECC">
    <w:pPr>
      <w:pStyle w:val="Footer"/>
      <w:spacing w:before="120"/>
    </w:pPr>
  </w:p>
  <w:p w:rsidR="00806721" w:rsidRPr="00266B70" w:rsidRDefault="00266B70" w:rsidP="00266B70">
    <w:pPr>
      <w:pStyle w:val="Footer"/>
      <w:rPr>
        <w:i/>
        <w:sz w:val="18"/>
      </w:rPr>
    </w:pPr>
    <w:r w:rsidRPr="00266B70">
      <w:rPr>
        <w:i/>
        <w:sz w:val="18"/>
      </w:rPr>
      <w:t>OPC63293 -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266B70" w:rsidRDefault="00266B70" w:rsidP="00266B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66B70">
      <w:rPr>
        <w:i/>
        <w:sz w:val="18"/>
      </w:rPr>
      <w:t>OPC63293 -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E33C1C" w:rsidRDefault="00806721" w:rsidP="00F62E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806721" w:rsidTr="00F62ECC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226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B08">
            <w:rPr>
              <w:i/>
              <w:sz w:val="18"/>
            </w:rPr>
            <w:t>Superannuation (Resolution of Complaints)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right"/>
            <w:rPr>
              <w:sz w:val="18"/>
            </w:rPr>
          </w:pPr>
        </w:p>
      </w:tc>
    </w:tr>
  </w:tbl>
  <w:p w:rsidR="00806721" w:rsidRPr="00266B70" w:rsidRDefault="00266B70" w:rsidP="00266B70">
    <w:pPr>
      <w:rPr>
        <w:rFonts w:cs="Times New Roman"/>
        <w:i/>
        <w:sz w:val="18"/>
      </w:rPr>
    </w:pPr>
    <w:r w:rsidRPr="00266B70">
      <w:rPr>
        <w:rFonts w:cs="Times New Roman"/>
        <w:i/>
        <w:sz w:val="18"/>
      </w:rPr>
      <w:t>OPC63293 -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E33C1C" w:rsidRDefault="00806721" w:rsidP="00F62E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806721" w:rsidTr="00F62ECC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B08">
            <w:rPr>
              <w:i/>
              <w:sz w:val="18"/>
            </w:rPr>
            <w:t>Superannuation (Resolution of Complaints)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1FC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06721" w:rsidRPr="00266B70" w:rsidRDefault="00266B70" w:rsidP="00266B70">
    <w:pPr>
      <w:rPr>
        <w:rFonts w:cs="Times New Roman"/>
        <w:i/>
        <w:sz w:val="18"/>
      </w:rPr>
    </w:pPr>
    <w:r w:rsidRPr="00266B70">
      <w:rPr>
        <w:rFonts w:cs="Times New Roman"/>
        <w:i/>
        <w:sz w:val="18"/>
      </w:rPr>
      <w:t>OPC63293 -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D90ABA" w:rsidRDefault="00806721" w:rsidP="00F62E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06721" w:rsidTr="00F62ECC">
      <w:tc>
        <w:tcPr>
          <w:tcW w:w="365" w:type="pct"/>
        </w:tcPr>
        <w:p w:rsidR="00806721" w:rsidRDefault="00806721" w:rsidP="002948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1FC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06721" w:rsidRDefault="00806721" w:rsidP="002948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B08">
            <w:rPr>
              <w:i/>
              <w:sz w:val="18"/>
            </w:rPr>
            <w:t>Superannuation (Resolution of Complaints)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06721" w:rsidRDefault="00806721" w:rsidP="00294872">
          <w:pPr>
            <w:spacing w:line="0" w:lineRule="atLeast"/>
            <w:jc w:val="right"/>
            <w:rPr>
              <w:sz w:val="18"/>
            </w:rPr>
          </w:pPr>
        </w:p>
      </w:tc>
    </w:tr>
  </w:tbl>
  <w:p w:rsidR="00806721" w:rsidRPr="00266B70" w:rsidRDefault="00266B70" w:rsidP="00266B70">
    <w:pPr>
      <w:rPr>
        <w:rFonts w:cs="Times New Roman"/>
        <w:i/>
        <w:sz w:val="18"/>
      </w:rPr>
    </w:pPr>
    <w:r w:rsidRPr="00266B70">
      <w:rPr>
        <w:rFonts w:cs="Times New Roman"/>
        <w:i/>
        <w:sz w:val="18"/>
      </w:rPr>
      <w:t>OPC63293 -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D90ABA" w:rsidRDefault="00806721" w:rsidP="00F62E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06721" w:rsidTr="00F62ECC">
      <w:tc>
        <w:tcPr>
          <w:tcW w:w="947" w:type="pct"/>
        </w:tcPr>
        <w:p w:rsidR="00806721" w:rsidRDefault="00806721" w:rsidP="0029487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06721" w:rsidRDefault="00806721" w:rsidP="002948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B08">
            <w:rPr>
              <w:i/>
              <w:sz w:val="18"/>
            </w:rPr>
            <w:t>Superannuation (Resolution of Complaints)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06721" w:rsidRDefault="00806721" w:rsidP="002948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1FC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06721" w:rsidRPr="00266B70" w:rsidRDefault="00266B70" w:rsidP="00266B70">
    <w:pPr>
      <w:rPr>
        <w:rFonts w:cs="Times New Roman"/>
        <w:i/>
        <w:sz w:val="18"/>
      </w:rPr>
    </w:pPr>
    <w:r w:rsidRPr="00266B70">
      <w:rPr>
        <w:rFonts w:cs="Times New Roman"/>
        <w:i/>
        <w:sz w:val="18"/>
      </w:rPr>
      <w:t>OPC63293 -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E33C1C" w:rsidRDefault="00806721" w:rsidP="00F62EC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06721" w:rsidTr="00F62ECC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B08">
            <w:rPr>
              <w:i/>
              <w:sz w:val="18"/>
            </w:rPr>
            <w:t>Superannuation (Resolution of Complaints)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06721" w:rsidRDefault="00806721" w:rsidP="002948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22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06721" w:rsidRPr="00ED79B6" w:rsidRDefault="00806721" w:rsidP="00F62ECC">
    <w:pPr>
      <w:rPr>
        <w:i/>
        <w:sz w:val="18"/>
      </w:rPr>
    </w:pPr>
  </w:p>
  <w:p w:rsidR="00806721" w:rsidRDefault="00806721" w:rsidP="00F62ECC"/>
  <w:p w:rsidR="00806721" w:rsidRPr="00266B70" w:rsidRDefault="00266B70" w:rsidP="00266B70">
    <w:pPr>
      <w:pStyle w:val="Footer"/>
      <w:rPr>
        <w:i/>
        <w:sz w:val="18"/>
      </w:rPr>
    </w:pPr>
    <w:r w:rsidRPr="00266B70">
      <w:rPr>
        <w:i/>
        <w:sz w:val="18"/>
      </w:rPr>
      <w:t>OPC63293 -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D90ABA" w:rsidRDefault="00806721" w:rsidP="00F62E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06721" w:rsidTr="00F62ECC">
      <w:tc>
        <w:tcPr>
          <w:tcW w:w="365" w:type="pct"/>
        </w:tcPr>
        <w:p w:rsidR="00806721" w:rsidRDefault="00806721" w:rsidP="002948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322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06721" w:rsidRDefault="00806721" w:rsidP="002948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01B08">
            <w:rPr>
              <w:i/>
              <w:sz w:val="18"/>
            </w:rPr>
            <w:t>Superannuation (Resolution of Complaints)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06721" w:rsidRDefault="00806721" w:rsidP="00294872">
          <w:pPr>
            <w:spacing w:line="0" w:lineRule="atLeast"/>
            <w:jc w:val="right"/>
            <w:rPr>
              <w:sz w:val="18"/>
            </w:rPr>
          </w:pPr>
        </w:p>
      </w:tc>
    </w:tr>
  </w:tbl>
  <w:p w:rsidR="00806721" w:rsidRPr="00266B70" w:rsidRDefault="00266B70" w:rsidP="00266B70">
    <w:pPr>
      <w:rPr>
        <w:rFonts w:cs="Times New Roman"/>
        <w:i/>
        <w:sz w:val="18"/>
      </w:rPr>
    </w:pPr>
    <w:r w:rsidRPr="00266B70">
      <w:rPr>
        <w:rFonts w:cs="Times New Roman"/>
        <w:i/>
        <w:sz w:val="18"/>
      </w:rPr>
      <w:t>OPC63293 -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21" w:rsidRDefault="00806721" w:rsidP="00715914">
      <w:pPr>
        <w:spacing w:line="240" w:lineRule="auto"/>
      </w:pPr>
      <w:r>
        <w:separator/>
      </w:r>
    </w:p>
  </w:footnote>
  <w:footnote w:type="continuationSeparator" w:id="0">
    <w:p w:rsidR="00806721" w:rsidRDefault="0080672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5F1388" w:rsidRDefault="00806721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Default="0080672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11FC4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11FC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06721" w:rsidRDefault="0080672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06721" w:rsidRDefault="00806721" w:rsidP="00F62ECC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Default="00806721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Default="0080672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806721" w:rsidRDefault="0080672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06721" w:rsidRPr="007A1328" w:rsidRDefault="00806721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06721" w:rsidRPr="007A1328" w:rsidRDefault="00806721" w:rsidP="00715914">
    <w:pPr>
      <w:rPr>
        <w:b/>
        <w:sz w:val="24"/>
      </w:rPr>
    </w:pPr>
  </w:p>
  <w:p w:rsidR="00806721" w:rsidRPr="007A1328" w:rsidRDefault="00806721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01B0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01B08">
      <w:rPr>
        <w:noProof/>
        <w:sz w:val="24"/>
      </w:rPr>
      <w:t>11</w:t>
    </w:r>
    <w:r w:rsidRPr="007A1328">
      <w:rPr>
        <w:sz w:val="24"/>
      </w:rPr>
      <w:fldChar w:fldCharType="end"/>
    </w:r>
  </w:p>
  <w:p w:rsidR="00806721" w:rsidRDefault="00806721" w:rsidP="00F62ECC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7A1328" w:rsidRDefault="0080672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06721" w:rsidRPr="007A1328" w:rsidRDefault="0080672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06721" w:rsidRPr="007A1328" w:rsidRDefault="0080672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06721" w:rsidRPr="007A1328" w:rsidRDefault="00806721" w:rsidP="00715914">
    <w:pPr>
      <w:jc w:val="right"/>
      <w:rPr>
        <w:b/>
        <w:sz w:val="24"/>
      </w:rPr>
    </w:pPr>
  </w:p>
  <w:p w:rsidR="00806721" w:rsidRPr="007A1328" w:rsidRDefault="00806721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01B0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01B08">
      <w:rPr>
        <w:noProof/>
        <w:sz w:val="24"/>
      </w:rPr>
      <w:t>11</w:t>
    </w:r>
    <w:r w:rsidRPr="007A1328">
      <w:rPr>
        <w:sz w:val="24"/>
      </w:rPr>
      <w:fldChar w:fldCharType="end"/>
    </w:r>
  </w:p>
  <w:p w:rsidR="00806721" w:rsidRDefault="00806721" w:rsidP="00F62ECC">
    <w:pPr>
      <w:pBdr>
        <w:bottom w:val="single" w:sz="6" w:space="1" w:color="auto"/>
      </w:pBdr>
      <w:spacing w:after="12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7A1328" w:rsidRDefault="00806721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5F1388" w:rsidRDefault="0080672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5F1388" w:rsidRDefault="00806721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ED79B6" w:rsidRDefault="00806721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ED79B6" w:rsidRDefault="00806721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Pr="00ED79B6" w:rsidRDefault="0080672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Default="0080672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806721" w:rsidRDefault="0080672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06721" w:rsidRDefault="0080672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06721" w:rsidRDefault="00806721">
    <w:pPr>
      <w:rPr>
        <w:b/>
        <w:sz w:val="24"/>
      </w:rPr>
    </w:pPr>
  </w:p>
  <w:p w:rsidR="00806721" w:rsidRDefault="00806721" w:rsidP="00F62EC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11FC4">
      <w:rPr>
        <w:noProof/>
        <w:sz w:val="24"/>
      </w:rPr>
      <w:t>11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Default="0080672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06721" w:rsidRDefault="0080672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06721" w:rsidRDefault="0080672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06721" w:rsidRDefault="00806721">
    <w:pPr>
      <w:jc w:val="right"/>
      <w:rPr>
        <w:b/>
        <w:sz w:val="24"/>
      </w:rPr>
    </w:pPr>
  </w:p>
  <w:p w:rsidR="00806721" w:rsidRDefault="00806721" w:rsidP="00F62EC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11FC4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21" w:rsidRDefault="0080672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01B08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01B08">
      <w:rPr>
        <w:noProof/>
        <w:sz w:val="20"/>
      </w:rPr>
      <w:t>Repeals</w:t>
    </w:r>
    <w:r>
      <w:rPr>
        <w:sz w:val="20"/>
      </w:rPr>
      <w:fldChar w:fldCharType="end"/>
    </w:r>
  </w:p>
  <w:p w:rsidR="00806721" w:rsidRDefault="0080672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06721" w:rsidRDefault="00806721" w:rsidP="00F62ECC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58"/>
    <w:rsid w:val="00004470"/>
    <w:rsid w:val="000136AF"/>
    <w:rsid w:val="000437C1"/>
    <w:rsid w:val="000464D7"/>
    <w:rsid w:val="0005365D"/>
    <w:rsid w:val="000614BF"/>
    <w:rsid w:val="00062F43"/>
    <w:rsid w:val="00075AC4"/>
    <w:rsid w:val="000A2F9F"/>
    <w:rsid w:val="000B58FA"/>
    <w:rsid w:val="000D05EF"/>
    <w:rsid w:val="000E15D7"/>
    <w:rsid w:val="000E2261"/>
    <w:rsid w:val="000F21C1"/>
    <w:rsid w:val="0010745C"/>
    <w:rsid w:val="00132CEB"/>
    <w:rsid w:val="00142B62"/>
    <w:rsid w:val="0014539C"/>
    <w:rsid w:val="0015169C"/>
    <w:rsid w:val="00157B8B"/>
    <w:rsid w:val="00166C2F"/>
    <w:rsid w:val="001809D7"/>
    <w:rsid w:val="00182EA8"/>
    <w:rsid w:val="001939E1"/>
    <w:rsid w:val="00194C3E"/>
    <w:rsid w:val="00195382"/>
    <w:rsid w:val="001C61C5"/>
    <w:rsid w:val="001C69C4"/>
    <w:rsid w:val="001D37EF"/>
    <w:rsid w:val="001E0B11"/>
    <w:rsid w:val="001E3590"/>
    <w:rsid w:val="001E7407"/>
    <w:rsid w:val="001F3A56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375D5"/>
    <w:rsid w:val="0024010F"/>
    <w:rsid w:val="00240749"/>
    <w:rsid w:val="00243018"/>
    <w:rsid w:val="00250F1F"/>
    <w:rsid w:val="002564A4"/>
    <w:rsid w:val="00262AFC"/>
    <w:rsid w:val="00266B70"/>
    <w:rsid w:val="0026736C"/>
    <w:rsid w:val="00281308"/>
    <w:rsid w:val="00284719"/>
    <w:rsid w:val="0029124F"/>
    <w:rsid w:val="00294872"/>
    <w:rsid w:val="00297ECB"/>
    <w:rsid w:val="002A7BCF"/>
    <w:rsid w:val="002C3DC4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831CD"/>
    <w:rsid w:val="003C6231"/>
    <w:rsid w:val="003D01B5"/>
    <w:rsid w:val="003D051D"/>
    <w:rsid w:val="003D0BFE"/>
    <w:rsid w:val="003D3A59"/>
    <w:rsid w:val="003D5700"/>
    <w:rsid w:val="003E1EC7"/>
    <w:rsid w:val="003E341B"/>
    <w:rsid w:val="00401B08"/>
    <w:rsid w:val="00406039"/>
    <w:rsid w:val="00406E65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47F7B"/>
    <w:rsid w:val="00454D2D"/>
    <w:rsid w:val="0046184D"/>
    <w:rsid w:val="00461C81"/>
    <w:rsid w:val="00467661"/>
    <w:rsid w:val="004705B7"/>
    <w:rsid w:val="00472DBE"/>
    <w:rsid w:val="00474A19"/>
    <w:rsid w:val="00496F97"/>
    <w:rsid w:val="004C6A42"/>
    <w:rsid w:val="004C6AE8"/>
    <w:rsid w:val="004D088E"/>
    <w:rsid w:val="004D3593"/>
    <w:rsid w:val="004E063A"/>
    <w:rsid w:val="004E3323"/>
    <w:rsid w:val="004E7BEC"/>
    <w:rsid w:val="005020EF"/>
    <w:rsid w:val="00505D3D"/>
    <w:rsid w:val="00506AF6"/>
    <w:rsid w:val="00516B8D"/>
    <w:rsid w:val="00517625"/>
    <w:rsid w:val="00534C17"/>
    <w:rsid w:val="00537FBC"/>
    <w:rsid w:val="00542C73"/>
    <w:rsid w:val="00554954"/>
    <w:rsid w:val="005574D1"/>
    <w:rsid w:val="00584811"/>
    <w:rsid w:val="00585784"/>
    <w:rsid w:val="00586FD0"/>
    <w:rsid w:val="00593AA6"/>
    <w:rsid w:val="00594161"/>
    <w:rsid w:val="00594749"/>
    <w:rsid w:val="005B4067"/>
    <w:rsid w:val="005C3F41"/>
    <w:rsid w:val="005D2D09"/>
    <w:rsid w:val="005D38D7"/>
    <w:rsid w:val="00600219"/>
    <w:rsid w:val="00603DC4"/>
    <w:rsid w:val="00620076"/>
    <w:rsid w:val="00670152"/>
    <w:rsid w:val="00670EA1"/>
    <w:rsid w:val="00677CC2"/>
    <w:rsid w:val="006905DE"/>
    <w:rsid w:val="0069207B"/>
    <w:rsid w:val="006B5789"/>
    <w:rsid w:val="006C30C5"/>
    <w:rsid w:val="006C6258"/>
    <w:rsid w:val="006C7F8C"/>
    <w:rsid w:val="006E6246"/>
    <w:rsid w:val="006F2F9B"/>
    <w:rsid w:val="006F318F"/>
    <w:rsid w:val="006F4226"/>
    <w:rsid w:val="0070017E"/>
    <w:rsid w:val="00700570"/>
    <w:rsid w:val="00700B2C"/>
    <w:rsid w:val="007050A2"/>
    <w:rsid w:val="00713084"/>
    <w:rsid w:val="00714F20"/>
    <w:rsid w:val="0071590F"/>
    <w:rsid w:val="00715914"/>
    <w:rsid w:val="00716A23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758CC"/>
    <w:rsid w:val="00783E89"/>
    <w:rsid w:val="00793915"/>
    <w:rsid w:val="007C2253"/>
    <w:rsid w:val="007D5A63"/>
    <w:rsid w:val="007D7B81"/>
    <w:rsid w:val="007E163D"/>
    <w:rsid w:val="007E1B6A"/>
    <w:rsid w:val="007E667A"/>
    <w:rsid w:val="007F28C9"/>
    <w:rsid w:val="0080065B"/>
    <w:rsid w:val="00803587"/>
    <w:rsid w:val="00806721"/>
    <w:rsid w:val="008117E9"/>
    <w:rsid w:val="008228B7"/>
    <w:rsid w:val="00824498"/>
    <w:rsid w:val="00830D2F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D3226"/>
    <w:rsid w:val="008E6067"/>
    <w:rsid w:val="008F54E7"/>
    <w:rsid w:val="00901AE0"/>
    <w:rsid w:val="00903422"/>
    <w:rsid w:val="00915DF9"/>
    <w:rsid w:val="0091603A"/>
    <w:rsid w:val="009254C3"/>
    <w:rsid w:val="00932377"/>
    <w:rsid w:val="00947D5A"/>
    <w:rsid w:val="009532A5"/>
    <w:rsid w:val="00982242"/>
    <w:rsid w:val="009868E9"/>
    <w:rsid w:val="009E5CFC"/>
    <w:rsid w:val="009F7FAD"/>
    <w:rsid w:val="00A079CB"/>
    <w:rsid w:val="00A12128"/>
    <w:rsid w:val="00A22C98"/>
    <w:rsid w:val="00A231E2"/>
    <w:rsid w:val="00A36C80"/>
    <w:rsid w:val="00A460C8"/>
    <w:rsid w:val="00A515A4"/>
    <w:rsid w:val="00A64912"/>
    <w:rsid w:val="00A70A74"/>
    <w:rsid w:val="00A95E3A"/>
    <w:rsid w:val="00AD5641"/>
    <w:rsid w:val="00AD7889"/>
    <w:rsid w:val="00AF021B"/>
    <w:rsid w:val="00AF06CF"/>
    <w:rsid w:val="00B04B7C"/>
    <w:rsid w:val="00B05CF4"/>
    <w:rsid w:val="00B07CDB"/>
    <w:rsid w:val="00B11FC4"/>
    <w:rsid w:val="00B16A31"/>
    <w:rsid w:val="00B17DFD"/>
    <w:rsid w:val="00B308FE"/>
    <w:rsid w:val="00B32CD9"/>
    <w:rsid w:val="00B33709"/>
    <w:rsid w:val="00B33B3C"/>
    <w:rsid w:val="00B4022F"/>
    <w:rsid w:val="00B42139"/>
    <w:rsid w:val="00B50ADC"/>
    <w:rsid w:val="00B566B1"/>
    <w:rsid w:val="00B63834"/>
    <w:rsid w:val="00B65F8A"/>
    <w:rsid w:val="00B72734"/>
    <w:rsid w:val="00B80199"/>
    <w:rsid w:val="00B804DF"/>
    <w:rsid w:val="00B83204"/>
    <w:rsid w:val="00B83649"/>
    <w:rsid w:val="00B8594F"/>
    <w:rsid w:val="00BA0C87"/>
    <w:rsid w:val="00BA220B"/>
    <w:rsid w:val="00BA3A57"/>
    <w:rsid w:val="00BA691F"/>
    <w:rsid w:val="00BB4E1A"/>
    <w:rsid w:val="00BB5FA7"/>
    <w:rsid w:val="00BC015E"/>
    <w:rsid w:val="00BC76AC"/>
    <w:rsid w:val="00BD0ECB"/>
    <w:rsid w:val="00BD2EA6"/>
    <w:rsid w:val="00BD6A61"/>
    <w:rsid w:val="00BE2155"/>
    <w:rsid w:val="00BE2213"/>
    <w:rsid w:val="00BE719A"/>
    <w:rsid w:val="00BE720A"/>
    <w:rsid w:val="00BF0D73"/>
    <w:rsid w:val="00BF2465"/>
    <w:rsid w:val="00C25E7F"/>
    <w:rsid w:val="00C265CC"/>
    <w:rsid w:val="00C2746F"/>
    <w:rsid w:val="00C324A0"/>
    <w:rsid w:val="00C3300F"/>
    <w:rsid w:val="00C42BF8"/>
    <w:rsid w:val="00C45EAA"/>
    <w:rsid w:val="00C50043"/>
    <w:rsid w:val="00C739E0"/>
    <w:rsid w:val="00C7573B"/>
    <w:rsid w:val="00C76A50"/>
    <w:rsid w:val="00C93C03"/>
    <w:rsid w:val="00CB2C8E"/>
    <w:rsid w:val="00CB602E"/>
    <w:rsid w:val="00CE051D"/>
    <w:rsid w:val="00CE0A44"/>
    <w:rsid w:val="00CE1335"/>
    <w:rsid w:val="00CE493D"/>
    <w:rsid w:val="00CE768E"/>
    <w:rsid w:val="00CF07FA"/>
    <w:rsid w:val="00CF0BB2"/>
    <w:rsid w:val="00CF3EE8"/>
    <w:rsid w:val="00D050E6"/>
    <w:rsid w:val="00D13441"/>
    <w:rsid w:val="00D14037"/>
    <w:rsid w:val="00D150E7"/>
    <w:rsid w:val="00D1732C"/>
    <w:rsid w:val="00D32F65"/>
    <w:rsid w:val="00D52DC2"/>
    <w:rsid w:val="00D53BCC"/>
    <w:rsid w:val="00D66258"/>
    <w:rsid w:val="00D70DFB"/>
    <w:rsid w:val="00D766DF"/>
    <w:rsid w:val="00D81071"/>
    <w:rsid w:val="00D825DC"/>
    <w:rsid w:val="00DA11C1"/>
    <w:rsid w:val="00DA186E"/>
    <w:rsid w:val="00DA4116"/>
    <w:rsid w:val="00DB251C"/>
    <w:rsid w:val="00DB4630"/>
    <w:rsid w:val="00DC3ED2"/>
    <w:rsid w:val="00DC4F88"/>
    <w:rsid w:val="00DE0173"/>
    <w:rsid w:val="00DF6FA6"/>
    <w:rsid w:val="00E05704"/>
    <w:rsid w:val="00E11E44"/>
    <w:rsid w:val="00E2616E"/>
    <w:rsid w:val="00E3270E"/>
    <w:rsid w:val="00E338EF"/>
    <w:rsid w:val="00E47E52"/>
    <w:rsid w:val="00E544BB"/>
    <w:rsid w:val="00E662CB"/>
    <w:rsid w:val="00E74DC7"/>
    <w:rsid w:val="00E76806"/>
    <w:rsid w:val="00E77229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0B5E"/>
    <w:rsid w:val="00F01EE1"/>
    <w:rsid w:val="00F072A7"/>
    <w:rsid w:val="00F078DC"/>
    <w:rsid w:val="00F32BA8"/>
    <w:rsid w:val="00F349F1"/>
    <w:rsid w:val="00F41171"/>
    <w:rsid w:val="00F4350D"/>
    <w:rsid w:val="00F535E2"/>
    <w:rsid w:val="00F567F7"/>
    <w:rsid w:val="00F62036"/>
    <w:rsid w:val="00F62ECC"/>
    <w:rsid w:val="00F65B52"/>
    <w:rsid w:val="00F67BCA"/>
    <w:rsid w:val="00F7255E"/>
    <w:rsid w:val="00F73BD6"/>
    <w:rsid w:val="00F83989"/>
    <w:rsid w:val="00F85099"/>
    <w:rsid w:val="00F9379C"/>
    <w:rsid w:val="00F9632C"/>
    <w:rsid w:val="00FA1E52"/>
    <w:rsid w:val="00FA4C91"/>
    <w:rsid w:val="00FE4688"/>
    <w:rsid w:val="00FE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2A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A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A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A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A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A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2A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A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A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A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62AFC"/>
  </w:style>
  <w:style w:type="paragraph" w:customStyle="1" w:styleId="OPCParaBase">
    <w:name w:val="OPCParaBase"/>
    <w:qFormat/>
    <w:rsid w:val="00262A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62A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62A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62A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62A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62A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62A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62A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62A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62A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62A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62AFC"/>
  </w:style>
  <w:style w:type="paragraph" w:customStyle="1" w:styleId="Blocks">
    <w:name w:val="Blocks"/>
    <w:aliases w:val="bb"/>
    <w:basedOn w:val="OPCParaBase"/>
    <w:qFormat/>
    <w:rsid w:val="00262A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62A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62A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62AFC"/>
    <w:rPr>
      <w:i/>
    </w:rPr>
  </w:style>
  <w:style w:type="paragraph" w:customStyle="1" w:styleId="BoxList">
    <w:name w:val="BoxList"/>
    <w:aliases w:val="bl"/>
    <w:basedOn w:val="BoxText"/>
    <w:qFormat/>
    <w:rsid w:val="00262A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62A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62A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62AF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62AFC"/>
  </w:style>
  <w:style w:type="character" w:customStyle="1" w:styleId="CharAmPartText">
    <w:name w:val="CharAmPartText"/>
    <w:basedOn w:val="OPCCharBase"/>
    <w:uiPriority w:val="1"/>
    <w:qFormat/>
    <w:rsid w:val="00262AFC"/>
  </w:style>
  <w:style w:type="character" w:customStyle="1" w:styleId="CharAmSchNo">
    <w:name w:val="CharAmSchNo"/>
    <w:basedOn w:val="OPCCharBase"/>
    <w:uiPriority w:val="1"/>
    <w:qFormat/>
    <w:rsid w:val="00262AFC"/>
  </w:style>
  <w:style w:type="character" w:customStyle="1" w:styleId="CharAmSchText">
    <w:name w:val="CharAmSchText"/>
    <w:basedOn w:val="OPCCharBase"/>
    <w:uiPriority w:val="1"/>
    <w:qFormat/>
    <w:rsid w:val="00262AFC"/>
  </w:style>
  <w:style w:type="character" w:customStyle="1" w:styleId="CharBoldItalic">
    <w:name w:val="CharBoldItalic"/>
    <w:basedOn w:val="OPCCharBase"/>
    <w:uiPriority w:val="1"/>
    <w:qFormat/>
    <w:rsid w:val="00262AFC"/>
    <w:rPr>
      <w:b/>
      <w:i/>
    </w:rPr>
  </w:style>
  <w:style w:type="character" w:customStyle="1" w:styleId="CharChapNo">
    <w:name w:val="CharChapNo"/>
    <w:basedOn w:val="OPCCharBase"/>
    <w:qFormat/>
    <w:rsid w:val="00262AFC"/>
  </w:style>
  <w:style w:type="character" w:customStyle="1" w:styleId="CharChapText">
    <w:name w:val="CharChapText"/>
    <w:basedOn w:val="OPCCharBase"/>
    <w:qFormat/>
    <w:rsid w:val="00262AFC"/>
  </w:style>
  <w:style w:type="character" w:customStyle="1" w:styleId="CharDivNo">
    <w:name w:val="CharDivNo"/>
    <w:basedOn w:val="OPCCharBase"/>
    <w:qFormat/>
    <w:rsid w:val="00262AFC"/>
  </w:style>
  <w:style w:type="character" w:customStyle="1" w:styleId="CharDivText">
    <w:name w:val="CharDivText"/>
    <w:basedOn w:val="OPCCharBase"/>
    <w:qFormat/>
    <w:rsid w:val="00262AFC"/>
  </w:style>
  <w:style w:type="character" w:customStyle="1" w:styleId="CharItalic">
    <w:name w:val="CharItalic"/>
    <w:basedOn w:val="OPCCharBase"/>
    <w:uiPriority w:val="1"/>
    <w:qFormat/>
    <w:rsid w:val="00262AFC"/>
    <w:rPr>
      <w:i/>
    </w:rPr>
  </w:style>
  <w:style w:type="character" w:customStyle="1" w:styleId="CharPartNo">
    <w:name w:val="CharPartNo"/>
    <w:basedOn w:val="OPCCharBase"/>
    <w:qFormat/>
    <w:rsid w:val="00262AFC"/>
  </w:style>
  <w:style w:type="character" w:customStyle="1" w:styleId="CharPartText">
    <w:name w:val="CharPartText"/>
    <w:basedOn w:val="OPCCharBase"/>
    <w:qFormat/>
    <w:rsid w:val="00262AFC"/>
  </w:style>
  <w:style w:type="character" w:customStyle="1" w:styleId="CharSectno">
    <w:name w:val="CharSectno"/>
    <w:basedOn w:val="OPCCharBase"/>
    <w:qFormat/>
    <w:rsid w:val="00262AFC"/>
  </w:style>
  <w:style w:type="character" w:customStyle="1" w:styleId="CharSubdNo">
    <w:name w:val="CharSubdNo"/>
    <w:basedOn w:val="OPCCharBase"/>
    <w:uiPriority w:val="1"/>
    <w:qFormat/>
    <w:rsid w:val="00262AFC"/>
  </w:style>
  <w:style w:type="character" w:customStyle="1" w:styleId="CharSubdText">
    <w:name w:val="CharSubdText"/>
    <w:basedOn w:val="OPCCharBase"/>
    <w:uiPriority w:val="1"/>
    <w:qFormat/>
    <w:rsid w:val="00262AFC"/>
  </w:style>
  <w:style w:type="paragraph" w:customStyle="1" w:styleId="CTA--">
    <w:name w:val="CTA --"/>
    <w:basedOn w:val="OPCParaBase"/>
    <w:next w:val="Normal"/>
    <w:rsid w:val="00262A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62A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62A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62A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62A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62A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62A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62A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62A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62A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62A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62A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62A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62A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62A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62AF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62A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62A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62A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62A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62A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62A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62A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62A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62A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62A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62A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62A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62A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62A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62A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62A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62A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62A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62A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62A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62A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62A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62A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62A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62A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62A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62A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62A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62A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62A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62A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62A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62A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62A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62A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62A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62A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62A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62A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62A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62A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262A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262AF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62A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62AF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62AF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62AF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62AF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62A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62A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62A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62A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62A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62A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62A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62A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62AFC"/>
    <w:rPr>
      <w:sz w:val="16"/>
    </w:rPr>
  </w:style>
  <w:style w:type="table" w:customStyle="1" w:styleId="CFlag">
    <w:name w:val="CFlag"/>
    <w:basedOn w:val="TableNormal"/>
    <w:uiPriority w:val="99"/>
    <w:rsid w:val="00262A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62A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62A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62A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62AF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62A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62AF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62AF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62AF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2AF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62A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62A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2A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62A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62A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62A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62A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62A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62A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62A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62A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62A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62AFC"/>
  </w:style>
  <w:style w:type="character" w:customStyle="1" w:styleId="CharSubPartNoCASA">
    <w:name w:val="CharSubPartNo(CASA)"/>
    <w:basedOn w:val="OPCCharBase"/>
    <w:uiPriority w:val="1"/>
    <w:rsid w:val="00262AFC"/>
  </w:style>
  <w:style w:type="paragraph" w:customStyle="1" w:styleId="ENoteTTIndentHeadingSub">
    <w:name w:val="ENoteTTIndentHeadingSub"/>
    <w:aliases w:val="enTTHis"/>
    <w:basedOn w:val="OPCParaBase"/>
    <w:rsid w:val="00262A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62A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62A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62A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62A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62EC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62A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62AFC"/>
    <w:rPr>
      <w:sz w:val="22"/>
    </w:rPr>
  </w:style>
  <w:style w:type="paragraph" w:customStyle="1" w:styleId="SOTextNote">
    <w:name w:val="SO TextNote"/>
    <w:aliases w:val="sont"/>
    <w:basedOn w:val="SOText"/>
    <w:qFormat/>
    <w:rsid w:val="00262A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62A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62AFC"/>
    <w:rPr>
      <w:sz w:val="22"/>
    </w:rPr>
  </w:style>
  <w:style w:type="paragraph" w:customStyle="1" w:styleId="FileName">
    <w:name w:val="FileName"/>
    <w:basedOn w:val="Normal"/>
    <w:rsid w:val="00262AFC"/>
  </w:style>
  <w:style w:type="paragraph" w:customStyle="1" w:styleId="TableHeading">
    <w:name w:val="TableHeading"/>
    <w:aliases w:val="th"/>
    <w:basedOn w:val="OPCParaBase"/>
    <w:next w:val="Tabletext"/>
    <w:rsid w:val="00262A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62A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62A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62A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62A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62A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62A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62A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62A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62A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62A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62A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62A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62A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2A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A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A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A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62A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A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A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A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SchPTNo">
    <w:name w:val="CharSchPTNo"/>
    <w:basedOn w:val="DefaultParagraphFont"/>
    <w:rsid w:val="00E2616E"/>
  </w:style>
  <w:style w:type="character" w:customStyle="1" w:styleId="CharSchPTText">
    <w:name w:val="CharSchPTText"/>
    <w:basedOn w:val="DefaultParagraphFont"/>
    <w:rsid w:val="00E26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2A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A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A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A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A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A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2A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A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A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A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62AFC"/>
  </w:style>
  <w:style w:type="paragraph" w:customStyle="1" w:styleId="OPCParaBase">
    <w:name w:val="OPCParaBase"/>
    <w:qFormat/>
    <w:rsid w:val="00262A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62A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62A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62A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62A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62A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62A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62A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62A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62A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62A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62AFC"/>
  </w:style>
  <w:style w:type="paragraph" w:customStyle="1" w:styleId="Blocks">
    <w:name w:val="Blocks"/>
    <w:aliases w:val="bb"/>
    <w:basedOn w:val="OPCParaBase"/>
    <w:qFormat/>
    <w:rsid w:val="00262A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62A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62A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62AFC"/>
    <w:rPr>
      <w:i/>
    </w:rPr>
  </w:style>
  <w:style w:type="paragraph" w:customStyle="1" w:styleId="BoxList">
    <w:name w:val="BoxList"/>
    <w:aliases w:val="bl"/>
    <w:basedOn w:val="BoxText"/>
    <w:qFormat/>
    <w:rsid w:val="00262A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62A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62A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62AF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62AFC"/>
  </w:style>
  <w:style w:type="character" w:customStyle="1" w:styleId="CharAmPartText">
    <w:name w:val="CharAmPartText"/>
    <w:basedOn w:val="OPCCharBase"/>
    <w:uiPriority w:val="1"/>
    <w:qFormat/>
    <w:rsid w:val="00262AFC"/>
  </w:style>
  <w:style w:type="character" w:customStyle="1" w:styleId="CharAmSchNo">
    <w:name w:val="CharAmSchNo"/>
    <w:basedOn w:val="OPCCharBase"/>
    <w:uiPriority w:val="1"/>
    <w:qFormat/>
    <w:rsid w:val="00262AFC"/>
  </w:style>
  <w:style w:type="character" w:customStyle="1" w:styleId="CharAmSchText">
    <w:name w:val="CharAmSchText"/>
    <w:basedOn w:val="OPCCharBase"/>
    <w:uiPriority w:val="1"/>
    <w:qFormat/>
    <w:rsid w:val="00262AFC"/>
  </w:style>
  <w:style w:type="character" w:customStyle="1" w:styleId="CharBoldItalic">
    <w:name w:val="CharBoldItalic"/>
    <w:basedOn w:val="OPCCharBase"/>
    <w:uiPriority w:val="1"/>
    <w:qFormat/>
    <w:rsid w:val="00262AFC"/>
    <w:rPr>
      <w:b/>
      <w:i/>
    </w:rPr>
  </w:style>
  <w:style w:type="character" w:customStyle="1" w:styleId="CharChapNo">
    <w:name w:val="CharChapNo"/>
    <w:basedOn w:val="OPCCharBase"/>
    <w:qFormat/>
    <w:rsid w:val="00262AFC"/>
  </w:style>
  <w:style w:type="character" w:customStyle="1" w:styleId="CharChapText">
    <w:name w:val="CharChapText"/>
    <w:basedOn w:val="OPCCharBase"/>
    <w:qFormat/>
    <w:rsid w:val="00262AFC"/>
  </w:style>
  <w:style w:type="character" w:customStyle="1" w:styleId="CharDivNo">
    <w:name w:val="CharDivNo"/>
    <w:basedOn w:val="OPCCharBase"/>
    <w:qFormat/>
    <w:rsid w:val="00262AFC"/>
  </w:style>
  <w:style w:type="character" w:customStyle="1" w:styleId="CharDivText">
    <w:name w:val="CharDivText"/>
    <w:basedOn w:val="OPCCharBase"/>
    <w:qFormat/>
    <w:rsid w:val="00262AFC"/>
  </w:style>
  <w:style w:type="character" w:customStyle="1" w:styleId="CharItalic">
    <w:name w:val="CharItalic"/>
    <w:basedOn w:val="OPCCharBase"/>
    <w:uiPriority w:val="1"/>
    <w:qFormat/>
    <w:rsid w:val="00262AFC"/>
    <w:rPr>
      <w:i/>
    </w:rPr>
  </w:style>
  <w:style w:type="character" w:customStyle="1" w:styleId="CharPartNo">
    <w:name w:val="CharPartNo"/>
    <w:basedOn w:val="OPCCharBase"/>
    <w:qFormat/>
    <w:rsid w:val="00262AFC"/>
  </w:style>
  <w:style w:type="character" w:customStyle="1" w:styleId="CharPartText">
    <w:name w:val="CharPartText"/>
    <w:basedOn w:val="OPCCharBase"/>
    <w:qFormat/>
    <w:rsid w:val="00262AFC"/>
  </w:style>
  <w:style w:type="character" w:customStyle="1" w:styleId="CharSectno">
    <w:name w:val="CharSectno"/>
    <w:basedOn w:val="OPCCharBase"/>
    <w:qFormat/>
    <w:rsid w:val="00262AFC"/>
  </w:style>
  <w:style w:type="character" w:customStyle="1" w:styleId="CharSubdNo">
    <w:name w:val="CharSubdNo"/>
    <w:basedOn w:val="OPCCharBase"/>
    <w:uiPriority w:val="1"/>
    <w:qFormat/>
    <w:rsid w:val="00262AFC"/>
  </w:style>
  <w:style w:type="character" w:customStyle="1" w:styleId="CharSubdText">
    <w:name w:val="CharSubdText"/>
    <w:basedOn w:val="OPCCharBase"/>
    <w:uiPriority w:val="1"/>
    <w:qFormat/>
    <w:rsid w:val="00262AFC"/>
  </w:style>
  <w:style w:type="paragraph" w:customStyle="1" w:styleId="CTA--">
    <w:name w:val="CTA --"/>
    <w:basedOn w:val="OPCParaBase"/>
    <w:next w:val="Normal"/>
    <w:rsid w:val="00262A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62A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62A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62A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62A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62A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62A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62A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62A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62A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62A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62A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62A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62A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62A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62AF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62A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62A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62A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62A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62A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62A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62A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62A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62A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62A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62A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62A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62A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62A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62A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62A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62A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62A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62A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62A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62A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62A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62A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62A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62A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62A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62A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62A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62A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62A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62A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62A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62A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62A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62A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62A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62A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62A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62A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62A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62A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262A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262AF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62A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62AF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62AF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62AF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62AF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62A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62A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62A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62A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62A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62A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62A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62A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62AFC"/>
    <w:rPr>
      <w:sz w:val="16"/>
    </w:rPr>
  </w:style>
  <w:style w:type="table" w:customStyle="1" w:styleId="CFlag">
    <w:name w:val="CFlag"/>
    <w:basedOn w:val="TableNormal"/>
    <w:uiPriority w:val="99"/>
    <w:rsid w:val="00262A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62A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62AF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62A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62AF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62A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62AF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62AF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62AF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2AF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62A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62A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2A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62A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62A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62A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62A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62A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62A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62A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62A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62A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62AFC"/>
  </w:style>
  <w:style w:type="character" w:customStyle="1" w:styleId="CharSubPartNoCASA">
    <w:name w:val="CharSubPartNo(CASA)"/>
    <w:basedOn w:val="OPCCharBase"/>
    <w:uiPriority w:val="1"/>
    <w:rsid w:val="00262AFC"/>
  </w:style>
  <w:style w:type="paragraph" w:customStyle="1" w:styleId="ENoteTTIndentHeadingSub">
    <w:name w:val="ENoteTTIndentHeadingSub"/>
    <w:aliases w:val="enTTHis"/>
    <w:basedOn w:val="OPCParaBase"/>
    <w:rsid w:val="00262A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62A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62A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62A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62A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62EC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62A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62AFC"/>
    <w:rPr>
      <w:sz w:val="22"/>
    </w:rPr>
  </w:style>
  <w:style w:type="paragraph" w:customStyle="1" w:styleId="SOTextNote">
    <w:name w:val="SO TextNote"/>
    <w:aliases w:val="sont"/>
    <w:basedOn w:val="SOText"/>
    <w:qFormat/>
    <w:rsid w:val="00262A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62A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62AFC"/>
    <w:rPr>
      <w:sz w:val="22"/>
    </w:rPr>
  </w:style>
  <w:style w:type="paragraph" w:customStyle="1" w:styleId="FileName">
    <w:name w:val="FileName"/>
    <w:basedOn w:val="Normal"/>
    <w:rsid w:val="00262AFC"/>
  </w:style>
  <w:style w:type="paragraph" w:customStyle="1" w:styleId="TableHeading">
    <w:name w:val="TableHeading"/>
    <w:aliases w:val="th"/>
    <w:basedOn w:val="OPCParaBase"/>
    <w:next w:val="Tabletext"/>
    <w:rsid w:val="00262A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62A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62A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62A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62A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62A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62A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62A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62A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62A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62A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62A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62AF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62AF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62A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A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A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A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62AF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A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A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A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SchPTNo">
    <w:name w:val="CharSchPTNo"/>
    <w:basedOn w:val="DefaultParagraphFont"/>
    <w:rsid w:val="00E2616E"/>
  </w:style>
  <w:style w:type="character" w:customStyle="1" w:styleId="CharSchPTText">
    <w:name w:val="CharSchPTText"/>
    <w:basedOn w:val="DefaultParagraphFont"/>
    <w:rsid w:val="00E2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9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34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B4AC-0541-42F6-94A6-70A45541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1392</Words>
  <Characters>7940</Characters>
  <Application>Microsoft Office Word</Application>
  <DocSecurity>4</DocSecurity>
  <PresentationFormat/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2018-04-12T00:55:00Z</cp:lastPrinted>
  <dcterms:created xsi:type="dcterms:W3CDTF">2018-06-22T01:01:00Z</dcterms:created>
  <dcterms:modified xsi:type="dcterms:W3CDTF">2018-06-22T01:01:00Z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Superannuation (Resolution of Complaints)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21 June 2018</vt:lpwstr>
  </property>
  <property fmtid="{D5CDD505-2E9C-101B-9397-08002B2CF9AE}" pid="10" name="Authority">
    <vt:lpwstr/>
  </property>
  <property fmtid="{D5CDD505-2E9C-101B-9397-08002B2CF9AE}" pid="11" name="ID">
    <vt:lpwstr>OPC63293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21 June 2018</vt:lpwstr>
  </property>
</Properties>
</file>