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174" w:rsidRPr="00CA4DFF" w:rsidRDefault="005C0174" w:rsidP="006B4376">
      <w:r w:rsidRPr="00CA4DF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98146774" r:id="rId9"/>
        </w:object>
      </w:r>
    </w:p>
    <w:p w:rsidR="005C0174" w:rsidRPr="00CA4DFF" w:rsidRDefault="005C0174" w:rsidP="006B4376">
      <w:pPr>
        <w:pStyle w:val="ShortT"/>
        <w:spacing w:before="240"/>
      </w:pPr>
      <w:r w:rsidRPr="00CA4DFF">
        <w:t>Health Insurance (Section 3C Co</w:t>
      </w:r>
      <w:r w:rsidR="00C468E2" w:rsidRPr="00CA4DFF">
        <w:noBreakHyphen/>
      </w:r>
      <w:r w:rsidRPr="00CA4DFF">
        <w:t>Dependent Pathology Services) Determination 2018</w:t>
      </w:r>
    </w:p>
    <w:p w:rsidR="000035EE" w:rsidRPr="00CA4DFF" w:rsidRDefault="000035EE" w:rsidP="000035EE">
      <w:pPr>
        <w:pStyle w:val="MadeunderText"/>
      </w:pPr>
      <w:r w:rsidRPr="00CA4DFF">
        <w:t>made under subsection 3C(1) of the</w:t>
      </w:r>
    </w:p>
    <w:p w:rsidR="000035EE" w:rsidRPr="00CA4DFF" w:rsidRDefault="000035EE" w:rsidP="000035EE">
      <w:pPr>
        <w:pStyle w:val="CompiledMadeUnder"/>
        <w:spacing w:before="240"/>
      </w:pPr>
      <w:r w:rsidRPr="00CA4DFF">
        <w:t>Health Insurance Act 1973</w:t>
      </w:r>
    </w:p>
    <w:p w:rsidR="005C0174" w:rsidRPr="00CA4DFF" w:rsidRDefault="005C0174" w:rsidP="006B4376">
      <w:pPr>
        <w:spacing w:before="1000"/>
        <w:rPr>
          <w:rFonts w:cs="Arial"/>
          <w:b/>
          <w:sz w:val="32"/>
          <w:szCs w:val="32"/>
        </w:rPr>
      </w:pPr>
      <w:r w:rsidRPr="00CA4DFF">
        <w:rPr>
          <w:rFonts w:cs="Arial"/>
          <w:b/>
          <w:sz w:val="32"/>
          <w:szCs w:val="32"/>
        </w:rPr>
        <w:t xml:space="preserve">Compilation No. </w:t>
      </w:r>
      <w:r w:rsidR="00C8332B" w:rsidRPr="00C7545E">
        <w:rPr>
          <w:rFonts w:cs="Arial"/>
          <w:b/>
          <w:sz w:val="32"/>
          <w:szCs w:val="32"/>
        </w:rPr>
        <w:fldChar w:fldCharType="begin"/>
      </w:r>
      <w:r w:rsidR="00C8332B" w:rsidRPr="00C7545E">
        <w:rPr>
          <w:rFonts w:cs="Arial"/>
          <w:b/>
          <w:sz w:val="32"/>
          <w:szCs w:val="32"/>
        </w:rPr>
        <w:instrText xml:space="preserve"> DOCPROPERTY  CompilationNumber </w:instrText>
      </w:r>
      <w:r w:rsidR="00C8332B" w:rsidRPr="00C7545E">
        <w:rPr>
          <w:rFonts w:cs="Arial"/>
          <w:b/>
          <w:sz w:val="32"/>
          <w:szCs w:val="32"/>
        </w:rPr>
        <w:fldChar w:fldCharType="separate"/>
      </w:r>
      <w:r w:rsidR="007F166C">
        <w:rPr>
          <w:rFonts w:cs="Arial"/>
          <w:b/>
          <w:sz w:val="32"/>
          <w:szCs w:val="32"/>
        </w:rPr>
        <w:t>11</w:t>
      </w:r>
      <w:r w:rsidR="00C8332B" w:rsidRPr="00C7545E">
        <w:rPr>
          <w:rFonts w:cs="Arial"/>
          <w:b/>
          <w:sz w:val="32"/>
          <w:szCs w:val="32"/>
        </w:rPr>
        <w:fldChar w:fldCharType="end"/>
      </w:r>
      <w:bookmarkStart w:id="0" w:name="_GoBack"/>
      <w:bookmarkEnd w:id="0"/>
    </w:p>
    <w:p w:rsidR="005C0174" w:rsidRPr="00CA4DFF" w:rsidRDefault="005C0174" w:rsidP="00B87961">
      <w:pPr>
        <w:tabs>
          <w:tab w:val="left" w:pos="3600"/>
        </w:tabs>
        <w:spacing w:before="480"/>
        <w:rPr>
          <w:rFonts w:cs="Arial"/>
          <w:sz w:val="24"/>
        </w:rPr>
      </w:pPr>
      <w:r w:rsidRPr="00CA4DFF">
        <w:rPr>
          <w:rFonts w:cs="Arial"/>
          <w:b/>
          <w:sz w:val="24"/>
        </w:rPr>
        <w:t>Compilation date:</w:t>
      </w:r>
      <w:r w:rsidR="00B87961">
        <w:rPr>
          <w:rFonts w:cs="Arial"/>
          <w:b/>
          <w:sz w:val="24"/>
        </w:rPr>
        <w:tab/>
      </w:r>
      <w:r w:rsidR="00C8332B" w:rsidRPr="007F166C">
        <w:rPr>
          <w:rFonts w:cs="Arial"/>
          <w:sz w:val="24"/>
        </w:rPr>
        <w:fldChar w:fldCharType="begin"/>
      </w:r>
      <w:r w:rsidR="00C8332B" w:rsidRPr="007F166C">
        <w:rPr>
          <w:rFonts w:cs="Arial"/>
          <w:sz w:val="24"/>
        </w:rPr>
        <w:instrText>DOCPROPERTY StartDate \@ "d MMMM yyyy" \* MERGEFORMAT</w:instrText>
      </w:r>
      <w:r w:rsidR="00C8332B" w:rsidRPr="007F166C">
        <w:rPr>
          <w:rFonts w:cs="Arial"/>
          <w:sz w:val="24"/>
        </w:rPr>
        <w:fldChar w:fldCharType="separate"/>
      </w:r>
      <w:r w:rsidR="007F166C" w:rsidRPr="007F166C">
        <w:rPr>
          <w:rFonts w:cs="Arial"/>
          <w:bCs/>
          <w:sz w:val="24"/>
        </w:rPr>
        <w:t>1</w:t>
      </w:r>
      <w:r w:rsidR="007F166C" w:rsidRPr="007F166C">
        <w:rPr>
          <w:rFonts w:cs="Arial"/>
          <w:sz w:val="24"/>
        </w:rPr>
        <w:t xml:space="preserve"> November 2021</w:t>
      </w:r>
      <w:r w:rsidR="00C8332B" w:rsidRPr="007F166C">
        <w:rPr>
          <w:rFonts w:cs="Arial"/>
          <w:sz w:val="24"/>
        </w:rPr>
        <w:fldChar w:fldCharType="end"/>
      </w:r>
    </w:p>
    <w:p w:rsidR="005C0174" w:rsidRPr="002534DF" w:rsidRDefault="005C0174" w:rsidP="00264196">
      <w:pPr>
        <w:spacing w:before="240"/>
        <w:rPr>
          <w:rFonts w:cs="Arial"/>
          <w:sz w:val="24"/>
        </w:rPr>
      </w:pPr>
      <w:r w:rsidRPr="00CA4DFF">
        <w:rPr>
          <w:rFonts w:cs="Arial"/>
          <w:b/>
          <w:sz w:val="24"/>
        </w:rPr>
        <w:t>Includes amendments up to:</w:t>
      </w:r>
      <w:r w:rsidRPr="00CA4DFF">
        <w:rPr>
          <w:rFonts w:cs="Arial"/>
          <w:b/>
          <w:sz w:val="24"/>
        </w:rPr>
        <w:tab/>
      </w:r>
      <w:r w:rsidR="00C8332B" w:rsidRPr="007F166C">
        <w:rPr>
          <w:rFonts w:cs="Arial"/>
          <w:sz w:val="24"/>
        </w:rPr>
        <w:fldChar w:fldCharType="begin"/>
      </w:r>
      <w:r w:rsidR="00C8332B" w:rsidRPr="007F166C">
        <w:rPr>
          <w:rFonts w:cs="Arial"/>
          <w:sz w:val="24"/>
        </w:rPr>
        <w:instrText xml:space="preserve"> DOCPROPERTY IncludesUpTo </w:instrText>
      </w:r>
      <w:r w:rsidR="00C8332B" w:rsidRPr="007F166C">
        <w:rPr>
          <w:rFonts w:cs="Arial"/>
          <w:sz w:val="24"/>
        </w:rPr>
        <w:fldChar w:fldCharType="separate"/>
      </w:r>
      <w:r w:rsidR="007F166C" w:rsidRPr="007F166C">
        <w:rPr>
          <w:rFonts w:cs="Arial"/>
          <w:sz w:val="24"/>
        </w:rPr>
        <w:t>F2021L01270</w:t>
      </w:r>
      <w:r w:rsidR="00C8332B" w:rsidRPr="007F166C">
        <w:rPr>
          <w:rFonts w:cs="Arial"/>
          <w:sz w:val="24"/>
        </w:rPr>
        <w:fldChar w:fldCharType="end"/>
      </w:r>
    </w:p>
    <w:p w:rsidR="00264196" w:rsidRPr="00CA4DFF" w:rsidRDefault="00264196" w:rsidP="00B87961">
      <w:pPr>
        <w:tabs>
          <w:tab w:val="left" w:pos="3600"/>
        </w:tabs>
        <w:spacing w:before="240" w:after="240"/>
        <w:rPr>
          <w:rFonts w:cs="Arial"/>
          <w:sz w:val="24"/>
        </w:rPr>
      </w:pPr>
      <w:r w:rsidRPr="00CA4DFF">
        <w:rPr>
          <w:rFonts w:cs="Arial"/>
          <w:b/>
          <w:sz w:val="24"/>
        </w:rPr>
        <w:t>Registered:</w:t>
      </w:r>
      <w:r w:rsidR="00B87961">
        <w:rPr>
          <w:rFonts w:cs="Arial"/>
          <w:b/>
          <w:sz w:val="24"/>
        </w:rPr>
        <w:tab/>
      </w:r>
      <w:r w:rsidR="00C8332B" w:rsidRPr="007F166C">
        <w:rPr>
          <w:rFonts w:cs="Arial"/>
          <w:sz w:val="24"/>
        </w:rPr>
        <w:fldChar w:fldCharType="begin"/>
      </w:r>
      <w:r w:rsidR="00C8332B" w:rsidRPr="007F166C">
        <w:rPr>
          <w:rFonts w:cs="Arial"/>
          <w:sz w:val="24"/>
        </w:rPr>
        <w:instrText xml:space="preserve"> IF </w:instrText>
      </w:r>
      <w:r w:rsidR="00C8332B" w:rsidRPr="007F166C">
        <w:rPr>
          <w:rFonts w:cs="Arial"/>
          <w:sz w:val="24"/>
        </w:rPr>
        <w:fldChar w:fldCharType="begin"/>
      </w:r>
      <w:r w:rsidR="00C8332B" w:rsidRPr="007F166C">
        <w:rPr>
          <w:rFonts w:cs="Arial"/>
          <w:sz w:val="24"/>
        </w:rPr>
        <w:instrText xml:space="preserve"> DOCPROPERTY RegisteredDate </w:instrText>
      </w:r>
      <w:r w:rsidR="00C8332B" w:rsidRPr="007F166C">
        <w:rPr>
          <w:rFonts w:cs="Arial"/>
          <w:sz w:val="24"/>
        </w:rPr>
        <w:fldChar w:fldCharType="separate"/>
      </w:r>
      <w:r w:rsidR="007F166C" w:rsidRPr="007F166C">
        <w:rPr>
          <w:rFonts w:cs="Arial"/>
          <w:sz w:val="24"/>
        </w:rPr>
        <w:instrText>11 November 2021</w:instrText>
      </w:r>
      <w:r w:rsidR="00C8332B" w:rsidRPr="007F166C">
        <w:rPr>
          <w:rFonts w:cs="Arial"/>
          <w:sz w:val="24"/>
        </w:rPr>
        <w:fldChar w:fldCharType="end"/>
      </w:r>
      <w:r w:rsidR="00C8332B" w:rsidRPr="007F166C">
        <w:rPr>
          <w:rFonts w:cs="Arial"/>
          <w:sz w:val="24"/>
        </w:rPr>
        <w:instrText xml:space="preserve"> = #1/1/1901# "Unknown" </w:instrText>
      </w:r>
      <w:r w:rsidR="00C8332B" w:rsidRPr="007F166C">
        <w:rPr>
          <w:rFonts w:cs="Arial"/>
          <w:sz w:val="24"/>
        </w:rPr>
        <w:fldChar w:fldCharType="begin"/>
      </w:r>
      <w:r w:rsidR="00C8332B" w:rsidRPr="007F166C">
        <w:rPr>
          <w:rFonts w:cs="Arial"/>
          <w:sz w:val="24"/>
        </w:rPr>
        <w:instrText xml:space="preserve"> DOCPROPERTY RegisteredDate \@ "d MMMM yyyy" </w:instrText>
      </w:r>
      <w:r w:rsidR="00C8332B" w:rsidRPr="007F166C">
        <w:rPr>
          <w:rFonts w:cs="Arial"/>
          <w:sz w:val="24"/>
        </w:rPr>
        <w:fldChar w:fldCharType="separate"/>
      </w:r>
      <w:r w:rsidR="007F166C" w:rsidRPr="007F166C">
        <w:rPr>
          <w:rFonts w:cs="Arial"/>
          <w:sz w:val="24"/>
        </w:rPr>
        <w:instrText>11 November 2021</w:instrText>
      </w:r>
      <w:r w:rsidR="00C8332B" w:rsidRPr="007F166C">
        <w:rPr>
          <w:rFonts w:cs="Arial"/>
          <w:sz w:val="24"/>
        </w:rPr>
        <w:fldChar w:fldCharType="end"/>
      </w:r>
      <w:r w:rsidR="00C8332B" w:rsidRPr="007F166C">
        <w:rPr>
          <w:rFonts w:cs="Arial"/>
          <w:sz w:val="24"/>
        </w:rPr>
        <w:instrText xml:space="preserve"> \*MERGEFORMAT </w:instrText>
      </w:r>
      <w:r w:rsidR="00C8332B" w:rsidRPr="007F166C">
        <w:rPr>
          <w:rFonts w:cs="Arial"/>
          <w:sz w:val="24"/>
        </w:rPr>
        <w:fldChar w:fldCharType="separate"/>
      </w:r>
      <w:r w:rsidR="007F166C" w:rsidRPr="007F166C">
        <w:rPr>
          <w:rFonts w:cs="Arial"/>
          <w:bCs/>
          <w:noProof/>
          <w:sz w:val="24"/>
        </w:rPr>
        <w:t>11</w:t>
      </w:r>
      <w:r w:rsidR="007F166C" w:rsidRPr="007F166C">
        <w:rPr>
          <w:rFonts w:cs="Arial"/>
          <w:noProof/>
          <w:sz w:val="24"/>
        </w:rPr>
        <w:t xml:space="preserve"> November 2021</w:t>
      </w:r>
      <w:r w:rsidR="00C8332B" w:rsidRPr="007F166C">
        <w:rPr>
          <w:rFonts w:cs="Arial"/>
          <w:sz w:val="24"/>
        </w:rPr>
        <w:fldChar w:fldCharType="end"/>
      </w:r>
    </w:p>
    <w:p w:rsidR="005C0174" w:rsidRPr="00CA4DFF" w:rsidRDefault="005C0174" w:rsidP="006B4376">
      <w:pPr>
        <w:pageBreakBefore/>
        <w:rPr>
          <w:rFonts w:cs="Arial"/>
          <w:b/>
          <w:sz w:val="32"/>
          <w:szCs w:val="32"/>
        </w:rPr>
      </w:pPr>
      <w:r w:rsidRPr="00CA4DFF">
        <w:rPr>
          <w:rFonts w:cs="Arial"/>
          <w:b/>
          <w:sz w:val="32"/>
          <w:szCs w:val="32"/>
        </w:rPr>
        <w:lastRenderedPageBreak/>
        <w:t>About this compilation</w:t>
      </w:r>
    </w:p>
    <w:p w:rsidR="005C0174" w:rsidRPr="00CA4DFF" w:rsidRDefault="005C0174" w:rsidP="006B4376">
      <w:pPr>
        <w:spacing w:before="240"/>
        <w:rPr>
          <w:rFonts w:cs="Arial"/>
        </w:rPr>
      </w:pPr>
      <w:r w:rsidRPr="00CA4DFF">
        <w:rPr>
          <w:rFonts w:cs="Arial"/>
          <w:b/>
          <w:szCs w:val="22"/>
        </w:rPr>
        <w:t>This compilation</w:t>
      </w:r>
    </w:p>
    <w:p w:rsidR="005C0174" w:rsidRPr="00CA4DFF" w:rsidRDefault="005C0174" w:rsidP="006B4376">
      <w:pPr>
        <w:spacing w:before="120" w:after="120"/>
        <w:rPr>
          <w:rFonts w:cs="Arial"/>
          <w:szCs w:val="22"/>
        </w:rPr>
      </w:pPr>
      <w:r w:rsidRPr="00CA4DFF">
        <w:rPr>
          <w:rFonts w:cs="Arial"/>
          <w:szCs w:val="22"/>
        </w:rPr>
        <w:t xml:space="preserve">This is a compilation of the </w:t>
      </w:r>
      <w:r w:rsidRPr="00CA4DFF">
        <w:rPr>
          <w:rFonts w:cs="Arial"/>
          <w:i/>
          <w:szCs w:val="22"/>
        </w:rPr>
        <w:fldChar w:fldCharType="begin"/>
      </w:r>
      <w:r w:rsidRPr="00CA4DFF">
        <w:rPr>
          <w:rFonts w:cs="Arial"/>
          <w:i/>
          <w:szCs w:val="22"/>
        </w:rPr>
        <w:instrText xml:space="preserve"> STYLEREF  ShortT </w:instrText>
      </w:r>
      <w:r w:rsidRPr="00CA4DFF">
        <w:rPr>
          <w:rFonts w:cs="Arial"/>
          <w:i/>
          <w:szCs w:val="22"/>
        </w:rPr>
        <w:fldChar w:fldCharType="separate"/>
      </w:r>
      <w:r w:rsidR="0084395F">
        <w:rPr>
          <w:rFonts w:cs="Arial"/>
          <w:i/>
          <w:noProof/>
          <w:szCs w:val="22"/>
        </w:rPr>
        <w:t>Health Insurance (Section 3C Co-Dependent Pathology Services) Determination 2018</w:t>
      </w:r>
      <w:r w:rsidRPr="00CA4DFF">
        <w:rPr>
          <w:rFonts w:cs="Arial"/>
          <w:i/>
          <w:szCs w:val="22"/>
        </w:rPr>
        <w:fldChar w:fldCharType="end"/>
      </w:r>
      <w:r w:rsidRPr="00CA4DFF">
        <w:rPr>
          <w:rFonts w:cs="Arial"/>
          <w:szCs w:val="22"/>
        </w:rPr>
        <w:t xml:space="preserve"> that shows the text of the law as amended and in force on </w:t>
      </w:r>
      <w:r w:rsidR="00CC6405" w:rsidRPr="007F166C">
        <w:rPr>
          <w:rFonts w:cs="Arial"/>
          <w:szCs w:val="22"/>
        </w:rPr>
        <w:fldChar w:fldCharType="begin"/>
      </w:r>
      <w:r w:rsidR="00CC6405" w:rsidRPr="007F166C">
        <w:rPr>
          <w:rFonts w:cs="Arial"/>
          <w:szCs w:val="22"/>
        </w:rPr>
        <w:instrText xml:space="preserve"> DOCPROPERTY  StartDate </w:instrText>
      </w:r>
      <w:r w:rsidR="00CC6405" w:rsidRPr="007F166C">
        <w:rPr>
          <w:rFonts w:cs="Arial"/>
          <w:szCs w:val="22"/>
        </w:rPr>
        <w:fldChar w:fldCharType="separate"/>
      </w:r>
      <w:r w:rsidR="007F166C" w:rsidRPr="007F166C">
        <w:rPr>
          <w:rFonts w:cs="Arial"/>
          <w:szCs w:val="22"/>
        </w:rPr>
        <w:t>1 November 2021</w:t>
      </w:r>
      <w:r w:rsidR="00CC6405" w:rsidRPr="007F166C">
        <w:rPr>
          <w:rFonts w:cs="Arial"/>
          <w:szCs w:val="22"/>
        </w:rPr>
        <w:fldChar w:fldCharType="end"/>
      </w:r>
      <w:r w:rsidRPr="00CA4DFF">
        <w:rPr>
          <w:rFonts w:cs="Arial"/>
          <w:szCs w:val="22"/>
        </w:rPr>
        <w:t xml:space="preserve"> (the </w:t>
      </w:r>
      <w:r w:rsidRPr="00CA4DFF">
        <w:rPr>
          <w:rFonts w:cs="Arial"/>
          <w:b/>
          <w:i/>
          <w:szCs w:val="22"/>
        </w:rPr>
        <w:t>compilation date</w:t>
      </w:r>
      <w:r w:rsidRPr="00CA4DFF">
        <w:rPr>
          <w:rFonts w:cs="Arial"/>
          <w:szCs w:val="22"/>
        </w:rPr>
        <w:t>).</w:t>
      </w:r>
    </w:p>
    <w:p w:rsidR="005C0174" w:rsidRPr="00CA4DFF" w:rsidRDefault="005C0174" w:rsidP="006B4376">
      <w:pPr>
        <w:spacing w:after="120"/>
        <w:rPr>
          <w:rFonts w:cs="Arial"/>
          <w:szCs w:val="22"/>
        </w:rPr>
      </w:pPr>
      <w:r w:rsidRPr="00CA4DFF">
        <w:rPr>
          <w:rFonts w:cs="Arial"/>
          <w:szCs w:val="22"/>
        </w:rPr>
        <w:t xml:space="preserve">The notes at the end of this compilation (the </w:t>
      </w:r>
      <w:r w:rsidRPr="00CA4DFF">
        <w:rPr>
          <w:rFonts w:cs="Arial"/>
          <w:b/>
          <w:i/>
          <w:szCs w:val="22"/>
        </w:rPr>
        <w:t>endnotes</w:t>
      </w:r>
      <w:r w:rsidRPr="00CA4DFF">
        <w:rPr>
          <w:rFonts w:cs="Arial"/>
          <w:szCs w:val="22"/>
        </w:rPr>
        <w:t>) include information about amending laws and the amendment history of provisions of the compiled law.</w:t>
      </w:r>
    </w:p>
    <w:p w:rsidR="005C0174" w:rsidRPr="00CA4DFF" w:rsidRDefault="005C0174" w:rsidP="006B4376">
      <w:pPr>
        <w:tabs>
          <w:tab w:val="left" w:pos="5640"/>
        </w:tabs>
        <w:spacing w:before="120" w:after="120"/>
        <w:rPr>
          <w:rFonts w:cs="Arial"/>
          <w:b/>
          <w:szCs w:val="22"/>
        </w:rPr>
      </w:pPr>
      <w:r w:rsidRPr="00CA4DFF">
        <w:rPr>
          <w:rFonts w:cs="Arial"/>
          <w:b/>
          <w:szCs w:val="22"/>
        </w:rPr>
        <w:t>Uncommenced amendments</w:t>
      </w:r>
    </w:p>
    <w:p w:rsidR="005C0174" w:rsidRPr="00CA4DFF" w:rsidRDefault="005C0174" w:rsidP="006B4376">
      <w:pPr>
        <w:spacing w:after="120"/>
        <w:rPr>
          <w:rFonts w:cs="Arial"/>
          <w:szCs w:val="22"/>
        </w:rPr>
      </w:pPr>
      <w:r w:rsidRPr="00CA4DF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C0174" w:rsidRPr="00CA4DFF" w:rsidRDefault="005C0174" w:rsidP="006B4376">
      <w:pPr>
        <w:spacing w:before="120" w:after="120"/>
        <w:rPr>
          <w:rFonts w:cs="Arial"/>
          <w:b/>
          <w:szCs w:val="22"/>
        </w:rPr>
      </w:pPr>
      <w:r w:rsidRPr="00CA4DFF">
        <w:rPr>
          <w:rFonts w:cs="Arial"/>
          <w:b/>
          <w:szCs w:val="22"/>
        </w:rPr>
        <w:t>Application, saving and transitional provisions for provisions and amendments</w:t>
      </w:r>
    </w:p>
    <w:p w:rsidR="005C0174" w:rsidRPr="00CA4DFF" w:rsidRDefault="005C0174" w:rsidP="006B4376">
      <w:pPr>
        <w:spacing w:after="120"/>
        <w:rPr>
          <w:rFonts w:cs="Arial"/>
          <w:szCs w:val="22"/>
        </w:rPr>
      </w:pPr>
      <w:r w:rsidRPr="00CA4DFF">
        <w:rPr>
          <w:rFonts w:cs="Arial"/>
          <w:szCs w:val="22"/>
        </w:rPr>
        <w:t>If the operation of a provision or amendment of the compiled law is affected by an application, saving or transitional provision that is not included in this compilation, details are included in the endnotes.</w:t>
      </w:r>
    </w:p>
    <w:p w:rsidR="005C0174" w:rsidRPr="00CA4DFF" w:rsidRDefault="005C0174" w:rsidP="006B4376">
      <w:pPr>
        <w:spacing w:after="120"/>
        <w:rPr>
          <w:rFonts w:cs="Arial"/>
          <w:b/>
          <w:szCs w:val="22"/>
        </w:rPr>
      </w:pPr>
      <w:r w:rsidRPr="00CA4DFF">
        <w:rPr>
          <w:rFonts w:cs="Arial"/>
          <w:b/>
          <w:szCs w:val="22"/>
        </w:rPr>
        <w:t>Editorial changes</w:t>
      </w:r>
    </w:p>
    <w:p w:rsidR="005C0174" w:rsidRPr="00CA4DFF" w:rsidRDefault="005C0174" w:rsidP="006B4376">
      <w:pPr>
        <w:spacing w:after="120"/>
        <w:rPr>
          <w:rFonts w:cs="Arial"/>
          <w:szCs w:val="22"/>
        </w:rPr>
      </w:pPr>
      <w:r w:rsidRPr="00CA4DFF">
        <w:rPr>
          <w:rFonts w:cs="Arial"/>
          <w:szCs w:val="22"/>
        </w:rPr>
        <w:t>For more information about any editorial changes made in this compilation, see the endnotes.</w:t>
      </w:r>
    </w:p>
    <w:p w:rsidR="005C0174" w:rsidRPr="00CA4DFF" w:rsidRDefault="005C0174" w:rsidP="006B4376">
      <w:pPr>
        <w:spacing w:before="120" w:after="120"/>
        <w:rPr>
          <w:rFonts w:cs="Arial"/>
          <w:b/>
          <w:szCs w:val="22"/>
        </w:rPr>
      </w:pPr>
      <w:r w:rsidRPr="00CA4DFF">
        <w:rPr>
          <w:rFonts w:cs="Arial"/>
          <w:b/>
          <w:szCs w:val="22"/>
        </w:rPr>
        <w:t>Modifications</w:t>
      </w:r>
    </w:p>
    <w:p w:rsidR="005C0174" w:rsidRPr="00CA4DFF" w:rsidRDefault="005C0174" w:rsidP="006B4376">
      <w:pPr>
        <w:spacing w:after="120"/>
        <w:rPr>
          <w:rFonts w:cs="Arial"/>
          <w:szCs w:val="22"/>
        </w:rPr>
      </w:pPr>
      <w:r w:rsidRPr="00CA4DF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C0174" w:rsidRPr="00CA4DFF" w:rsidRDefault="005C0174" w:rsidP="006B4376">
      <w:pPr>
        <w:spacing w:before="80" w:after="120"/>
        <w:rPr>
          <w:rFonts w:cs="Arial"/>
          <w:b/>
          <w:szCs w:val="22"/>
        </w:rPr>
      </w:pPr>
      <w:r w:rsidRPr="00CA4DFF">
        <w:rPr>
          <w:rFonts w:cs="Arial"/>
          <w:b/>
          <w:szCs w:val="22"/>
        </w:rPr>
        <w:t>Self</w:t>
      </w:r>
      <w:r w:rsidR="00C468E2" w:rsidRPr="00CA4DFF">
        <w:rPr>
          <w:rFonts w:cs="Arial"/>
          <w:b/>
          <w:szCs w:val="22"/>
        </w:rPr>
        <w:noBreakHyphen/>
      </w:r>
      <w:r w:rsidRPr="00CA4DFF">
        <w:rPr>
          <w:rFonts w:cs="Arial"/>
          <w:b/>
          <w:szCs w:val="22"/>
        </w:rPr>
        <w:t>repealing provisions</w:t>
      </w:r>
    </w:p>
    <w:p w:rsidR="005C0174" w:rsidRPr="00CA4DFF" w:rsidRDefault="005C0174" w:rsidP="006B4376">
      <w:pPr>
        <w:spacing w:after="120"/>
        <w:rPr>
          <w:rFonts w:cs="Arial"/>
          <w:szCs w:val="22"/>
        </w:rPr>
      </w:pPr>
      <w:r w:rsidRPr="00CA4DFF">
        <w:rPr>
          <w:rFonts w:cs="Arial"/>
          <w:szCs w:val="22"/>
        </w:rPr>
        <w:t>If a provision of the compiled law has been repealed in accordance with a provision of the law, details are included in the endnotes.</w:t>
      </w:r>
    </w:p>
    <w:p w:rsidR="005C0174" w:rsidRPr="00CA4DFF" w:rsidRDefault="005C0174" w:rsidP="006B4376">
      <w:pPr>
        <w:pStyle w:val="Header"/>
        <w:tabs>
          <w:tab w:val="clear" w:pos="4150"/>
          <w:tab w:val="clear" w:pos="8307"/>
        </w:tabs>
      </w:pPr>
      <w:r w:rsidRPr="00CA4DFF">
        <w:rPr>
          <w:rStyle w:val="CharChapNo"/>
        </w:rPr>
        <w:t xml:space="preserve"> </w:t>
      </w:r>
      <w:r w:rsidRPr="00CA4DFF">
        <w:rPr>
          <w:rStyle w:val="CharChapText"/>
        </w:rPr>
        <w:t xml:space="preserve"> </w:t>
      </w:r>
    </w:p>
    <w:p w:rsidR="005C0174" w:rsidRPr="00CA4DFF" w:rsidRDefault="005C0174" w:rsidP="006B4376">
      <w:pPr>
        <w:pStyle w:val="Header"/>
        <w:tabs>
          <w:tab w:val="clear" w:pos="4150"/>
          <w:tab w:val="clear" w:pos="8307"/>
        </w:tabs>
      </w:pPr>
      <w:r w:rsidRPr="00CA4DFF">
        <w:rPr>
          <w:rStyle w:val="CharPartNo"/>
        </w:rPr>
        <w:t xml:space="preserve"> </w:t>
      </w:r>
      <w:r w:rsidRPr="00CA4DFF">
        <w:rPr>
          <w:rStyle w:val="CharPartText"/>
        </w:rPr>
        <w:t xml:space="preserve"> </w:t>
      </w:r>
    </w:p>
    <w:p w:rsidR="005C0174" w:rsidRPr="00CA4DFF" w:rsidRDefault="005C0174" w:rsidP="006B4376">
      <w:pPr>
        <w:pStyle w:val="Header"/>
        <w:tabs>
          <w:tab w:val="clear" w:pos="4150"/>
          <w:tab w:val="clear" w:pos="8307"/>
        </w:tabs>
      </w:pPr>
      <w:r w:rsidRPr="00CA4DFF">
        <w:rPr>
          <w:rStyle w:val="CharDivNo"/>
        </w:rPr>
        <w:t xml:space="preserve"> </w:t>
      </w:r>
      <w:r w:rsidRPr="00CA4DFF">
        <w:rPr>
          <w:rStyle w:val="CharDivText"/>
        </w:rPr>
        <w:t xml:space="preserve"> </w:t>
      </w:r>
    </w:p>
    <w:p w:rsidR="005C0174" w:rsidRPr="00CA4DFF" w:rsidRDefault="005C0174" w:rsidP="006B4376">
      <w:pPr>
        <w:sectPr w:rsidR="005C0174" w:rsidRPr="00CA4DFF" w:rsidSect="008C731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sdt>
      <w:sdtPr>
        <w:rPr>
          <w:b/>
          <w:bCs/>
        </w:rPr>
        <w:id w:val="1331722052"/>
        <w:docPartObj>
          <w:docPartGallery w:val="Table of Contents"/>
          <w:docPartUnique/>
        </w:docPartObj>
      </w:sdtPr>
      <w:sdtEndPr>
        <w:rPr>
          <w:b w:val="0"/>
          <w:bCs w:val="0"/>
          <w:noProof/>
        </w:rPr>
      </w:sdtEndPr>
      <w:sdtContent>
        <w:p w:rsidR="00F06474" w:rsidRPr="00CA4DFF" w:rsidRDefault="00F06474" w:rsidP="00F06474">
          <w:pPr>
            <w:rPr>
              <w:sz w:val="36"/>
            </w:rPr>
          </w:pPr>
          <w:r w:rsidRPr="00CA4DFF">
            <w:rPr>
              <w:sz w:val="36"/>
            </w:rPr>
            <w:t>Contents</w:t>
          </w:r>
        </w:p>
      </w:sdtContent>
    </w:sdt>
    <w:p w:rsidR="00852F50" w:rsidRDefault="003E233C">
      <w:pPr>
        <w:pStyle w:val="TOC1"/>
        <w:rPr>
          <w:rFonts w:asciiTheme="minorHAnsi" w:eastAsiaTheme="minorEastAsia" w:hAnsiTheme="minorHAnsi" w:cstheme="minorBidi"/>
          <w:b w:val="0"/>
          <w:noProof/>
          <w:kern w:val="0"/>
          <w:sz w:val="22"/>
          <w:szCs w:val="22"/>
          <w:lang w:val="en-US" w:eastAsia="en-US"/>
        </w:rPr>
      </w:pPr>
      <w:r w:rsidRPr="00CA4DFF">
        <w:fldChar w:fldCharType="begin"/>
      </w:r>
      <w:r w:rsidRPr="00CA4DFF">
        <w:instrText xml:space="preserve"> TOC \o "1-9" </w:instrText>
      </w:r>
      <w:r w:rsidRPr="00CA4DFF">
        <w:fldChar w:fldCharType="separate"/>
      </w:r>
      <w:r w:rsidR="00852F50" w:rsidRPr="00B24CC1">
        <w:rPr>
          <w:noProof/>
        </w:rPr>
        <w:t>1.</w:t>
      </w:r>
      <w:r w:rsidR="00852F50">
        <w:rPr>
          <w:rFonts w:asciiTheme="minorHAnsi" w:eastAsiaTheme="minorEastAsia" w:hAnsiTheme="minorHAnsi" w:cstheme="minorBidi"/>
          <w:b w:val="0"/>
          <w:noProof/>
          <w:kern w:val="0"/>
          <w:sz w:val="22"/>
          <w:szCs w:val="22"/>
          <w:lang w:val="en-US" w:eastAsia="en-US"/>
        </w:rPr>
        <w:tab/>
      </w:r>
      <w:r w:rsidR="00852F50" w:rsidRPr="00B24CC1">
        <w:rPr>
          <w:noProof/>
        </w:rPr>
        <w:t>Name of Determination</w:t>
      </w:r>
      <w:r w:rsidR="00852F50" w:rsidRPr="00852F50">
        <w:rPr>
          <w:b w:val="0"/>
          <w:noProof/>
          <w:sz w:val="18"/>
        </w:rPr>
        <w:tab/>
      </w:r>
      <w:r w:rsidR="00852F50" w:rsidRPr="00852F50">
        <w:rPr>
          <w:b w:val="0"/>
          <w:noProof/>
          <w:sz w:val="18"/>
        </w:rPr>
        <w:fldChar w:fldCharType="begin"/>
      </w:r>
      <w:r w:rsidR="00852F50" w:rsidRPr="00852F50">
        <w:rPr>
          <w:b w:val="0"/>
          <w:noProof/>
          <w:sz w:val="18"/>
        </w:rPr>
        <w:instrText xml:space="preserve"> PAGEREF _Toc87527196 \h </w:instrText>
      </w:r>
      <w:r w:rsidR="00852F50" w:rsidRPr="00852F50">
        <w:rPr>
          <w:b w:val="0"/>
          <w:noProof/>
          <w:sz w:val="18"/>
        </w:rPr>
      </w:r>
      <w:r w:rsidR="00852F50" w:rsidRPr="00852F50">
        <w:rPr>
          <w:b w:val="0"/>
          <w:noProof/>
          <w:sz w:val="18"/>
        </w:rPr>
        <w:fldChar w:fldCharType="separate"/>
      </w:r>
      <w:r w:rsidR="00852F50">
        <w:rPr>
          <w:b w:val="0"/>
          <w:noProof/>
          <w:sz w:val="18"/>
        </w:rPr>
        <w:t>1</w:t>
      </w:r>
      <w:r w:rsidR="00852F50" w:rsidRPr="00852F50">
        <w:rPr>
          <w:b w:val="0"/>
          <w:noProof/>
          <w:sz w:val="18"/>
        </w:rPr>
        <w:fldChar w:fldCharType="end"/>
      </w:r>
    </w:p>
    <w:p w:rsidR="00852F50" w:rsidRDefault="00852F50">
      <w:pPr>
        <w:pStyle w:val="TOC1"/>
        <w:rPr>
          <w:rFonts w:asciiTheme="minorHAnsi" w:eastAsiaTheme="minorEastAsia" w:hAnsiTheme="minorHAnsi" w:cstheme="minorBidi"/>
          <w:b w:val="0"/>
          <w:noProof/>
          <w:kern w:val="0"/>
          <w:sz w:val="22"/>
          <w:szCs w:val="22"/>
          <w:lang w:val="en-US" w:eastAsia="en-US"/>
        </w:rPr>
      </w:pPr>
      <w:r w:rsidRPr="00B24CC1">
        <w:rPr>
          <w:noProof/>
        </w:rPr>
        <w:t>3.</w:t>
      </w:r>
      <w:r>
        <w:rPr>
          <w:rFonts w:asciiTheme="minorHAnsi" w:eastAsiaTheme="minorEastAsia" w:hAnsiTheme="minorHAnsi" w:cstheme="minorBidi"/>
          <w:b w:val="0"/>
          <w:noProof/>
          <w:kern w:val="0"/>
          <w:sz w:val="22"/>
          <w:szCs w:val="22"/>
          <w:lang w:val="en-US" w:eastAsia="en-US"/>
        </w:rPr>
        <w:tab/>
      </w:r>
      <w:r w:rsidRPr="00B24CC1">
        <w:rPr>
          <w:noProof/>
        </w:rPr>
        <w:t>Authority</w:t>
      </w:r>
      <w:r w:rsidRPr="00852F50">
        <w:rPr>
          <w:b w:val="0"/>
          <w:noProof/>
          <w:sz w:val="18"/>
        </w:rPr>
        <w:tab/>
      </w:r>
      <w:r w:rsidRPr="00852F50">
        <w:rPr>
          <w:b w:val="0"/>
          <w:noProof/>
          <w:sz w:val="18"/>
        </w:rPr>
        <w:fldChar w:fldCharType="begin"/>
      </w:r>
      <w:r w:rsidRPr="00852F50">
        <w:rPr>
          <w:b w:val="0"/>
          <w:noProof/>
          <w:sz w:val="18"/>
        </w:rPr>
        <w:instrText xml:space="preserve"> PAGEREF _Toc87527197 \h </w:instrText>
      </w:r>
      <w:r w:rsidRPr="00852F50">
        <w:rPr>
          <w:b w:val="0"/>
          <w:noProof/>
          <w:sz w:val="18"/>
        </w:rPr>
      </w:r>
      <w:r w:rsidRPr="00852F50">
        <w:rPr>
          <w:b w:val="0"/>
          <w:noProof/>
          <w:sz w:val="18"/>
        </w:rPr>
        <w:fldChar w:fldCharType="separate"/>
      </w:r>
      <w:r>
        <w:rPr>
          <w:b w:val="0"/>
          <w:noProof/>
          <w:sz w:val="18"/>
        </w:rPr>
        <w:t>1</w:t>
      </w:r>
      <w:r w:rsidRPr="00852F50">
        <w:rPr>
          <w:b w:val="0"/>
          <w:noProof/>
          <w:sz w:val="18"/>
        </w:rPr>
        <w:fldChar w:fldCharType="end"/>
      </w:r>
    </w:p>
    <w:p w:rsidR="00852F50" w:rsidRDefault="00852F50">
      <w:pPr>
        <w:pStyle w:val="TOC1"/>
        <w:rPr>
          <w:rFonts w:asciiTheme="minorHAnsi" w:eastAsiaTheme="minorEastAsia" w:hAnsiTheme="minorHAnsi" w:cstheme="minorBidi"/>
          <w:b w:val="0"/>
          <w:noProof/>
          <w:kern w:val="0"/>
          <w:sz w:val="22"/>
          <w:szCs w:val="22"/>
          <w:lang w:val="en-US" w:eastAsia="en-US"/>
        </w:rPr>
      </w:pPr>
      <w:r w:rsidRPr="00B24CC1">
        <w:rPr>
          <w:noProof/>
        </w:rPr>
        <w:t>5.</w:t>
      </w:r>
      <w:r>
        <w:rPr>
          <w:rFonts w:asciiTheme="minorHAnsi" w:eastAsiaTheme="minorEastAsia" w:hAnsiTheme="minorHAnsi" w:cstheme="minorBidi"/>
          <w:b w:val="0"/>
          <w:noProof/>
          <w:kern w:val="0"/>
          <w:sz w:val="22"/>
          <w:szCs w:val="22"/>
          <w:lang w:val="en-US" w:eastAsia="en-US"/>
        </w:rPr>
        <w:tab/>
      </w:r>
      <w:r w:rsidRPr="00B24CC1">
        <w:rPr>
          <w:noProof/>
        </w:rPr>
        <w:t>Definitions</w:t>
      </w:r>
      <w:r w:rsidRPr="00852F50">
        <w:rPr>
          <w:b w:val="0"/>
          <w:noProof/>
          <w:sz w:val="18"/>
        </w:rPr>
        <w:tab/>
      </w:r>
      <w:r w:rsidRPr="00852F50">
        <w:rPr>
          <w:b w:val="0"/>
          <w:noProof/>
          <w:sz w:val="18"/>
        </w:rPr>
        <w:fldChar w:fldCharType="begin"/>
      </w:r>
      <w:r w:rsidRPr="00852F50">
        <w:rPr>
          <w:b w:val="0"/>
          <w:noProof/>
          <w:sz w:val="18"/>
        </w:rPr>
        <w:instrText xml:space="preserve"> PAGEREF _Toc87527198 \h </w:instrText>
      </w:r>
      <w:r w:rsidRPr="00852F50">
        <w:rPr>
          <w:b w:val="0"/>
          <w:noProof/>
          <w:sz w:val="18"/>
        </w:rPr>
      </w:r>
      <w:r w:rsidRPr="00852F50">
        <w:rPr>
          <w:b w:val="0"/>
          <w:noProof/>
          <w:sz w:val="18"/>
        </w:rPr>
        <w:fldChar w:fldCharType="separate"/>
      </w:r>
      <w:r>
        <w:rPr>
          <w:b w:val="0"/>
          <w:noProof/>
          <w:sz w:val="18"/>
        </w:rPr>
        <w:t>1</w:t>
      </w:r>
      <w:r w:rsidRPr="00852F50">
        <w:rPr>
          <w:b w:val="0"/>
          <w:noProof/>
          <w:sz w:val="18"/>
        </w:rPr>
        <w:fldChar w:fldCharType="end"/>
      </w:r>
    </w:p>
    <w:p w:rsidR="00852F50" w:rsidRDefault="00852F50">
      <w:pPr>
        <w:pStyle w:val="TOC1"/>
        <w:rPr>
          <w:rFonts w:asciiTheme="minorHAnsi" w:eastAsiaTheme="minorEastAsia" w:hAnsiTheme="minorHAnsi" w:cstheme="minorBidi"/>
          <w:b w:val="0"/>
          <w:noProof/>
          <w:kern w:val="0"/>
          <w:sz w:val="22"/>
          <w:szCs w:val="22"/>
          <w:lang w:val="en-US" w:eastAsia="en-US"/>
        </w:rPr>
      </w:pPr>
      <w:r w:rsidRPr="00B24CC1">
        <w:rPr>
          <w:noProof/>
        </w:rPr>
        <w:t>6.</w:t>
      </w:r>
      <w:r>
        <w:rPr>
          <w:rFonts w:asciiTheme="minorHAnsi" w:eastAsiaTheme="minorEastAsia" w:hAnsiTheme="minorHAnsi" w:cstheme="minorBidi"/>
          <w:b w:val="0"/>
          <w:noProof/>
          <w:kern w:val="0"/>
          <w:sz w:val="22"/>
          <w:szCs w:val="22"/>
          <w:lang w:val="en-US" w:eastAsia="en-US"/>
        </w:rPr>
        <w:tab/>
      </w:r>
      <w:r w:rsidRPr="00B24CC1">
        <w:rPr>
          <w:noProof/>
        </w:rPr>
        <w:t>Treatment of relevant services</w:t>
      </w:r>
      <w:r w:rsidRPr="00852F50">
        <w:rPr>
          <w:b w:val="0"/>
          <w:noProof/>
          <w:sz w:val="18"/>
        </w:rPr>
        <w:tab/>
      </w:r>
      <w:r w:rsidRPr="00852F50">
        <w:rPr>
          <w:b w:val="0"/>
          <w:noProof/>
          <w:sz w:val="18"/>
        </w:rPr>
        <w:fldChar w:fldCharType="begin"/>
      </w:r>
      <w:r w:rsidRPr="00852F50">
        <w:rPr>
          <w:b w:val="0"/>
          <w:noProof/>
          <w:sz w:val="18"/>
        </w:rPr>
        <w:instrText xml:space="preserve"> PAGEREF _Toc87527199 \h </w:instrText>
      </w:r>
      <w:r w:rsidRPr="00852F50">
        <w:rPr>
          <w:b w:val="0"/>
          <w:noProof/>
          <w:sz w:val="18"/>
        </w:rPr>
      </w:r>
      <w:r w:rsidRPr="00852F50">
        <w:rPr>
          <w:b w:val="0"/>
          <w:noProof/>
          <w:sz w:val="18"/>
        </w:rPr>
        <w:fldChar w:fldCharType="separate"/>
      </w:r>
      <w:r>
        <w:rPr>
          <w:b w:val="0"/>
          <w:noProof/>
          <w:sz w:val="18"/>
        </w:rPr>
        <w:t>1</w:t>
      </w:r>
      <w:r w:rsidRPr="00852F50">
        <w:rPr>
          <w:b w:val="0"/>
          <w:noProof/>
          <w:sz w:val="18"/>
        </w:rPr>
        <w:fldChar w:fldCharType="end"/>
      </w:r>
    </w:p>
    <w:p w:rsidR="00852F50" w:rsidRDefault="00852F50">
      <w:pPr>
        <w:pStyle w:val="TOC1"/>
        <w:rPr>
          <w:rFonts w:asciiTheme="minorHAnsi" w:eastAsiaTheme="minorEastAsia" w:hAnsiTheme="minorHAnsi" w:cstheme="minorBidi"/>
          <w:b w:val="0"/>
          <w:noProof/>
          <w:kern w:val="0"/>
          <w:sz w:val="22"/>
          <w:szCs w:val="22"/>
          <w:lang w:val="en-US" w:eastAsia="en-US"/>
        </w:rPr>
      </w:pPr>
      <w:r w:rsidRPr="00B24CC1">
        <w:rPr>
          <w:noProof/>
        </w:rPr>
        <w:t>Schedule 1 – Relevant Services</w:t>
      </w:r>
      <w:r w:rsidRPr="00852F50">
        <w:rPr>
          <w:b w:val="0"/>
          <w:noProof/>
          <w:sz w:val="18"/>
        </w:rPr>
        <w:tab/>
      </w:r>
      <w:r w:rsidRPr="00852F50">
        <w:rPr>
          <w:b w:val="0"/>
          <w:noProof/>
          <w:sz w:val="18"/>
        </w:rPr>
        <w:fldChar w:fldCharType="begin"/>
      </w:r>
      <w:r w:rsidRPr="00852F50">
        <w:rPr>
          <w:b w:val="0"/>
          <w:noProof/>
          <w:sz w:val="18"/>
        </w:rPr>
        <w:instrText xml:space="preserve"> PAGEREF _Toc87527200 \h </w:instrText>
      </w:r>
      <w:r w:rsidRPr="00852F50">
        <w:rPr>
          <w:b w:val="0"/>
          <w:noProof/>
          <w:sz w:val="18"/>
        </w:rPr>
      </w:r>
      <w:r w:rsidRPr="00852F50">
        <w:rPr>
          <w:b w:val="0"/>
          <w:noProof/>
          <w:sz w:val="18"/>
        </w:rPr>
        <w:fldChar w:fldCharType="separate"/>
      </w:r>
      <w:r>
        <w:rPr>
          <w:b w:val="0"/>
          <w:noProof/>
          <w:sz w:val="18"/>
        </w:rPr>
        <w:t>3</w:t>
      </w:r>
      <w:r w:rsidRPr="00852F50">
        <w:rPr>
          <w:b w:val="0"/>
          <w:noProof/>
          <w:sz w:val="18"/>
        </w:rPr>
        <w:fldChar w:fldCharType="end"/>
      </w:r>
    </w:p>
    <w:p w:rsidR="00852F50" w:rsidRDefault="00852F50" w:rsidP="00852F50">
      <w:pPr>
        <w:pStyle w:val="TOC2"/>
        <w:rPr>
          <w:rFonts w:asciiTheme="minorHAnsi" w:eastAsiaTheme="minorEastAsia" w:hAnsiTheme="minorHAnsi" w:cstheme="minorBidi"/>
          <w:b w:val="0"/>
          <w:noProof/>
          <w:kern w:val="0"/>
          <w:sz w:val="22"/>
          <w:szCs w:val="22"/>
          <w:lang w:val="en-US" w:eastAsia="en-US"/>
        </w:rPr>
      </w:pPr>
      <w:r>
        <w:rPr>
          <w:noProof/>
        </w:rPr>
        <w:t>Endnotes</w:t>
      </w:r>
      <w:r w:rsidRPr="00852F50">
        <w:rPr>
          <w:b w:val="0"/>
          <w:noProof/>
          <w:sz w:val="18"/>
        </w:rPr>
        <w:tab/>
      </w:r>
      <w:r w:rsidRPr="00852F50">
        <w:rPr>
          <w:b w:val="0"/>
          <w:noProof/>
          <w:sz w:val="18"/>
        </w:rPr>
        <w:fldChar w:fldCharType="begin"/>
      </w:r>
      <w:r w:rsidRPr="00852F50">
        <w:rPr>
          <w:b w:val="0"/>
          <w:noProof/>
          <w:sz w:val="18"/>
        </w:rPr>
        <w:instrText xml:space="preserve"> PAGEREF _Toc87527201 \h </w:instrText>
      </w:r>
      <w:r w:rsidRPr="00852F50">
        <w:rPr>
          <w:b w:val="0"/>
          <w:noProof/>
          <w:sz w:val="18"/>
        </w:rPr>
      </w:r>
      <w:r w:rsidRPr="00852F50">
        <w:rPr>
          <w:b w:val="0"/>
          <w:noProof/>
          <w:sz w:val="18"/>
        </w:rPr>
        <w:fldChar w:fldCharType="separate"/>
      </w:r>
      <w:r>
        <w:rPr>
          <w:b w:val="0"/>
          <w:noProof/>
          <w:sz w:val="18"/>
        </w:rPr>
        <w:t>7</w:t>
      </w:r>
      <w:r w:rsidRPr="00852F50">
        <w:rPr>
          <w:b w:val="0"/>
          <w:noProof/>
          <w:sz w:val="18"/>
        </w:rPr>
        <w:fldChar w:fldCharType="end"/>
      </w:r>
    </w:p>
    <w:p w:rsidR="00852F50" w:rsidRDefault="00852F50">
      <w:pPr>
        <w:pStyle w:val="TOC3"/>
        <w:rPr>
          <w:rFonts w:asciiTheme="minorHAnsi" w:eastAsiaTheme="minorEastAsia" w:hAnsiTheme="minorHAnsi" w:cstheme="minorBidi"/>
          <w:b w:val="0"/>
          <w:noProof/>
          <w:kern w:val="0"/>
          <w:szCs w:val="22"/>
          <w:lang w:val="en-US" w:eastAsia="en-US"/>
        </w:rPr>
      </w:pPr>
      <w:r>
        <w:rPr>
          <w:noProof/>
        </w:rPr>
        <w:t>Endnote 1—About the endnotes</w:t>
      </w:r>
      <w:r w:rsidRPr="00852F50">
        <w:rPr>
          <w:b w:val="0"/>
          <w:noProof/>
          <w:sz w:val="18"/>
        </w:rPr>
        <w:tab/>
      </w:r>
      <w:r w:rsidRPr="00852F50">
        <w:rPr>
          <w:b w:val="0"/>
          <w:noProof/>
          <w:sz w:val="18"/>
        </w:rPr>
        <w:fldChar w:fldCharType="begin"/>
      </w:r>
      <w:r w:rsidRPr="00852F50">
        <w:rPr>
          <w:b w:val="0"/>
          <w:noProof/>
          <w:sz w:val="18"/>
        </w:rPr>
        <w:instrText xml:space="preserve"> PAGEREF _Toc87527202 \h </w:instrText>
      </w:r>
      <w:r w:rsidRPr="00852F50">
        <w:rPr>
          <w:b w:val="0"/>
          <w:noProof/>
          <w:sz w:val="18"/>
        </w:rPr>
      </w:r>
      <w:r w:rsidRPr="00852F50">
        <w:rPr>
          <w:b w:val="0"/>
          <w:noProof/>
          <w:sz w:val="18"/>
        </w:rPr>
        <w:fldChar w:fldCharType="separate"/>
      </w:r>
      <w:r>
        <w:rPr>
          <w:b w:val="0"/>
          <w:noProof/>
          <w:sz w:val="18"/>
        </w:rPr>
        <w:t>7</w:t>
      </w:r>
      <w:r w:rsidRPr="00852F50">
        <w:rPr>
          <w:b w:val="0"/>
          <w:noProof/>
          <w:sz w:val="18"/>
        </w:rPr>
        <w:fldChar w:fldCharType="end"/>
      </w:r>
    </w:p>
    <w:p w:rsidR="00852F50" w:rsidRDefault="00852F50">
      <w:pPr>
        <w:pStyle w:val="TOC3"/>
        <w:rPr>
          <w:rFonts w:asciiTheme="minorHAnsi" w:eastAsiaTheme="minorEastAsia" w:hAnsiTheme="minorHAnsi" w:cstheme="minorBidi"/>
          <w:b w:val="0"/>
          <w:noProof/>
          <w:kern w:val="0"/>
          <w:szCs w:val="22"/>
          <w:lang w:val="en-US" w:eastAsia="en-US"/>
        </w:rPr>
      </w:pPr>
      <w:r>
        <w:rPr>
          <w:noProof/>
        </w:rPr>
        <w:t>Endnote 2—Abbreviation key</w:t>
      </w:r>
      <w:r w:rsidRPr="00852F50">
        <w:rPr>
          <w:b w:val="0"/>
          <w:noProof/>
          <w:sz w:val="18"/>
        </w:rPr>
        <w:tab/>
      </w:r>
      <w:r w:rsidRPr="00852F50">
        <w:rPr>
          <w:b w:val="0"/>
          <w:noProof/>
          <w:sz w:val="18"/>
        </w:rPr>
        <w:fldChar w:fldCharType="begin"/>
      </w:r>
      <w:r w:rsidRPr="00852F50">
        <w:rPr>
          <w:b w:val="0"/>
          <w:noProof/>
          <w:sz w:val="18"/>
        </w:rPr>
        <w:instrText xml:space="preserve"> PAGEREF _Toc87527203 \h </w:instrText>
      </w:r>
      <w:r w:rsidRPr="00852F50">
        <w:rPr>
          <w:b w:val="0"/>
          <w:noProof/>
          <w:sz w:val="18"/>
        </w:rPr>
      </w:r>
      <w:r w:rsidRPr="00852F50">
        <w:rPr>
          <w:b w:val="0"/>
          <w:noProof/>
          <w:sz w:val="18"/>
        </w:rPr>
        <w:fldChar w:fldCharType="separate"/>
      </w:r>
      <w:r>
        <w:rPr>
          <w:b w:val="0"/>
          <w:noProof/>
          <w:sz w:val="18"/>
        </w:rPr>
        <w:t>8</w:t>
      </w:r>
      <w:r w:rsidRPr="00852F50">
        <w:rPr>
          <w:b w:val="0"/>
          <w:noProof/>
          <w:sz w:val="18"/>
        </w:rPr>
        <w:fldChar w:fldCharType="end"/>
      </w:r>
    </w:p>
    <w:p w:rsidR="00852F50" w:rsidRDefault="00852F50">
      <w:pPr>
        <w:pStyle w:val="TOC3"/>
        <w:rPr>
          <w:rFonts w:asciiTheme="minorHAnsi" w:eastAsiaTheme="minorEastAsia" w:hAnsiTheme="minorHAnsi" w:cstheme="minorBidi"/>
          <w:b w:val="0"/>
          <w:noProof/>
          <w:kern w:val="0"/>
          <w:szCs w:val="22"/>
          <w:lang w:val="en-US" w:eastAsia="en-US"/>
        </w:rPr>
      </w:pPr>
      <w:r>
        <w:rPr>
          <w:noProof/>
        </w:rPr>
        <w:t>Endnote 3—Legislation history</w:t>
      </w:r>
      <w:r w:rsidRPr="00852F50">
        <w:rPr>
          <w:b w:val="0"/>
          <w:noProof/>
          <w:sz w:val="18"/>
        </w:rPr>
        <w:tab/>
      </w:r>
      <w:r w:rsidRPr="00852F50">
        <w:rPr>
          <w:b w:val="0"/>
          <w:noProof/>
          <w:sz w:val="18"/>
        </w:rPr>
        <w:fldChar w:fldCharType="begin"/>
      </w:r>
      <w:r w:rsidRPr="00852F50">
        <w:rPr>
          <w:b w:val="0"/>
          <w:noProof/>
          <w:sz w:val="18"/>
        </w:rPr>
        <w:instrText xml:space="preserve"> PAGEREF _Toc87527204 \h </w:instrText>
      </w:r>
      <w:r w:rsidRPr="00852F50">
        <w:rPr>
          <w:b w:val="0"/>
          <w:noProof/>
          <w:sz w:val="18"/>
        </w:rPr>
      </w:r>
      <w:r w:rsidRPr="00852F50">
        <w:rPr>
          <w:b w:val="0"/>
          <w:noProof/>
          <w:sz w:val="18"/>
        </w:rPr>
        <w:fldChar w:fldCharType="separate"/>
      </w:r>
      <w:r>
        <w:rPr>
          <w:b w:val="0"/>
          <w:noProof/>
          <w:sz w:val="18"/>
        </w:rPr>
        <w:t>9</w:t>
      </w:r>
      <w:r w:rsidRPr="00852F50">
        <w:rPr>
          <w:b w:val="0"/>
          <w:noProof/>
          <w:sz w:val="18"/>
        </w:rPr>
        <w:fldChar w:fldCharType="end"/>
      </w:r>
    </w:p>
    <w:p w:rsidR="00852F50" w:rsidRDefault="00852F50">
      <w:pPr>
        <w:pStyle w:val="TOC3"/>
        <w:rPr>
          <w:rFonts w:asciiTheme="minorHAnsi" w:eastAsiaTheme="minorEastAsia" w:hAnsiTheme="minorHAnsi" w:cstheme="minorBidi"/>
          <w:b w:val="0"/>
          <w:noProof/>
          <w:kern w:val="0"/>
          <w:szCs w:val="22"/>
          <w:lang w:val="en-US" w:eastAsia="en-US"/>
        </w:rPr>
      </w:pPr>
      <w:r>
        <w:rPr>
          <w:noProof/>
        </w:rPr>
        <w:t>Endnote 4—Amendment history</w:t>
      </w:r>
      <w:r w:rsidRPr="00852F50">
        <w:rPr>
          <w:b w:val="0"/>
          <w:noProof/>
          <w:sz w:val="18"/>
        </w:rPr>
        <w:tab/>
      </w:r>
      <w:r w:rsidRPr="00852F50">
        <w:rPr>
          <w:b w:val="0"/>
          <w:noProof/>
          <w:sz w:val="18"/>
        </w:rPr>
        <w:fldChar w:fldCharType="begin"/>
      </w:r>
      <w:r w:rsidRPr="00852F50">
        <w:rPr>
          <w:b w:val="0"/>
          <w:noProof/>
          <w:sz w:val="18"/>
        </w:rPr>
        <w:instrText xml:space="preserve"> PAGEREF _Toc87527205 \h </w:instrText>
      </w:r>
      <w:r w:rsidRPr="00852F50">
        <w:rPr>
          <w:b w:val="0"/>
          <w:noProof/>
          <w:sz w:val="18"/>
        </w:rPr>
      </w:r>
      <w:r w:rsidRPr="00852F50">
        <w:rPr>
          <w:b w:val="0"/>
          <w:noProof/>
          <w:sz w:val="18"/>
        </w:rPr>
        <w:fldChar w:fldCharType="separate"/>
      </w:r>
      <w:r>
        <w:rPr>
          <w:b w:val="0"/>
          <w:noProof/>
          <w:sz w:val="18"/>
        </w:rPr>
        <w:t>11</w:t>
      </w:r>
      <w:r w:rsidRPr="00852F50">
        <w:rPr>
          <w:b w:val="0"/>
          <w:noProof/>
          <w:sz w:val="18"/>
        </w:rPr>
        <w:fldChar w:fldCharType="end"/>
      </w:r>
    </w:p>
    <w:p w:rsidR="00307068" w:rsidRPr="00CA4DFF" w:rsidRDefault="003E233C" w:rsidP="00F949DB">
      <w:pPr>
        <w:ind w:right="1792"/>
        <w:sectPr w:rsidR="00307068" w:rsidRPr="00CA4DFF" w:rsidSect="008C7313">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CA4DFF">
        <w:fldChar w:fldCharType="end"/>
      </w:r>
    </w:p>
    <w:p w:rsidR="00797EDB" w:rsidRPr="00CA4DFF" w:rsidRDefault="00314068" w:rsidP="00314068">
      <w:pPr>
        <w:pStyle w:val="Heading1"/>
        <w:numPr>
          <w:ilvl w:val="0"/>
          <w:numId w:val="0"/>
        </w:numPr>
        <w:ind w:left="120"/>
        <w:rPr>
          <w:rFonts w:ascii="Times New Roman" w:hAnsi="Times New Roman" w:cs="Times New Roman"/>
          <w:sz w:val="22"/>
          <w:szCs w:val="22"/>
        </w:rPr>
      </w:pPr>
      <w:bookmarkStart w:id="1" w:name="_Toc87527196"/>
      <w:r w:rsidRPr="00CA4DFF">
        <w:rPr>
          <w:rFonts w:ascii="Times New Roman" w:hAnsi="Times New Roman" w:cs="Times New Roman"/>
          <w:sz w:val="22"/>
          <w:szCs w:val="22"/>
        </w:rPr>
        <w:lastRenderedPageBreak/>
        <w:t>1.</w:t>
      </w:r>
      <w:r w:rsidRPr="00CA4DFF">
        <w:rPr>
          <w:rFonts w:ascii="Times New Roman" w:hAnsi="Times New Roman" w:cs="Times New Roman"/>
          <w:sz w:val="22"/>
          <w:szCs w:val="22"/>
        </w:rPr>
        <w:tab/>
      </w:r>
      <w:r w:rsidR="00797EDB" w:rsidRPr="00CA4DFF">
        <w:rPr>
          <w:rFonts w:ascii="Times New Roman" w:hAnsi="Times New Roman" w:cs="Times New Roman"/>
          <w:sz w:val="22"/>
          <w:szCs w:val="22"/>
        </w:rPr>
        <w:t>Name of Determination</w:t>
      </w:r>
      <w:bookmarkEnd w:id="1"/>
    </w:p>
    <w:p w:rsidR="00797EDB" w:rsidRPr="00CA4DFF" w:rsidRDefault="00797EDB" w:rsidP="00797EDB">
      <w:pPr>
        <w:pStyle w:val="HealthLevel1"/>
        <w:rPr>
          <w:iCs/>
          <w:color w:val="auto"/>
          <w:sz w:val="22"/>
          <w:szCs w:val="22"/>
        </w:rPr>
      </w:pPr>
      <w:r w:rsidRPr="00CA4DFF">
        <w:rPr>
          <w:color w:val="auto"/>
          <w:sz w:val="22"/>
          <w:szCs w:val="22"/>
        </w:rPr>
        <w:t xml:space="preserve">This Determination is the </w:t>
      </w:r>
      <w:r w:rsidRPr="00CA4DFF">
        <w:rPr>
          <w:i/>
          <w:color w:val="auto"/>
          <w:sz w:val="22"/>
          <w:szCs w:val="22"/>
        </w:rPr>
        <w:t>Health Insurance (Section 3C Co</w:t>
      </w:r>
      <w:r w:rsidR="00C468E2" w:rsidRPr="00CA4DFF">
        <w:rPr>
          <w:i/>
          <w:color w:val="auto"/>
          <w:sz w:val="22"/>
          <w:szCs w:val="22"/>
        </w:rPr>
        <w:noBreakHyphen/>
      </w:r>
      <w:r w:rsidRPr="00CA4DFF">
        <w:rPr>
          <w:i/>
          <w:color w:val="auto"/>
          <w:sz w:val="22"/>
          <w:szCs w:val="22"/>
        </w:rPr>
        <w:t>Dependent Pathology Services) Determination 2018.</w:t>
      </w:r>
    </w:p>
    <w:p w:rsidR="00797EDB" w:rsidRPr="00CA4DFF" w:rsidRDefault="00314068" w:rsidP="00314068">
      <w:pPr>
        <w:pStyle w:val="Heading1"/>
        <w:numPr>
          <w:ilvl w:val="0"/>
          <w:numId w:val="0"/>
        </w:numPr>
        <w:ind w:left="120"/>
        <w:rPr>
          <w:rFonts w:ascii="Times New Roman" w:hAnsi="Times New Roman" w:cs="Times New Roman"/>
          <w:sz w:val="22"/>
          <w:szCs w:val="22"/>
        </w:rPr>
      </w:pPr>
      <w:bookmarkStart w:id="2" w:name="_Toc87527197"/>
      <w:r w:rsidRPr="00CA4DFF">
        <w:rPr>
          <w:rFonts w:ascii="Times New Roman" w:hAnsi="Times New Roman" w:cs="Times New Roman"/>
          <w:sz w:val="22"/>
          <w:szCs w:val="22"/>
        </w:rPr>
        <w:t>3.</w:t>
      </w:r>
      <w:r w:rsidRPr="00CA4DFF">
        <w:rPr>
          <w:rFonts w:ascii="Times New Roman" w:hAnsi="Times New Roman" w:cs="Times New Roman"/>
          <w:sz w:val="22"/>
          <w:szCs w:val="22"/>
        </w:rPr>
        <w:tab/>
      </w:r>
      <w:r w:rsidR="00797EDB" w:rsidRPr="00CA4DFF">
        <w:rPr>
          <w:rFonts w:ascii="Times New Roman" w:hAnsi="Times New Roman" w:cs="Times New Roman"/>
          <w:sz w:val="22"/>
          <w:szCs w:val="22"/>
        </w:rPr>
        <w:t>Authority</w:t>
      </w:r>
      <w:bookmarkEnd w:id="2"/>
    </w:p>
    <w:p w:rsidR="00797EDB" w:rsidRPr="00CA4DFF" w:rsidRDefault="00797EDB" w:rsidP="00797EDB">
      <w:pPr>
        <w:spacing w:before="120"/>
        <w:ind w:left="851"/>
        <w:rPr>
          <w:rFonts w:cs="Times New Roman"/>
          <w:szCs w:val="22"/>
        </w:rPr>
      </w:pPr>
      <w:r w:rsidRPr="00CA4DFF">
        <w:rPr>
          <w:rFonts w:cs="Times New Roman"/>
          <w:szCs w:val="22"/>
        </w:rPr>
        <w:t xml:space="preserve">This Determination is made under subsection 3C(1) of the </w:t>
      </w:r>
      <w:r w:rsidRPr="00CA4DFF">
        <w:rPr>
          <w:rFonts w:cs="Times New Roman"/>
          <w:i/>
          <w:szCs w:val="22"/>
        </w:rPr>
        <w:t>Health Insurance Act 1973</w:t>
      </w:r>
      <w:r w:rsidRPr="00CA4DFF">
        <w:rPr>
          <w:rFonts w:cs="Times New Roman"/>
          <w:szCs w:val="22"/>
        </w:rPr>
        <w:t xml:space="preserve">. </w:t>
      </w:r>
    </w:p>
    <w:p w:rsidR="00797EDB" w:rsidRPr="00CA4DFF" w:rsidRDefault="00314068" w:rsidP="00314068">
      <w:pPr>
        <w:pStyle w:val="Heading1"/>
        <w:numPr>
          <w:ilvl w:val="0"/>
          <w:numId w:val="0"/>
        </w:numPr>
        <w:ind w:left="120"/>
        <w:rPr>
          <w:rFonts w:ascii="Times New Roman" w:hAnsi="Times New Roman" w:cs="Times New Roman"/>
          <w:sz w:val="22"/>
          <w:szCs w:val="22"/>
        </w:rPr>
      </w:pPr>
      <w:bookmarkStart w:id="3" w:name="_Toc87527198"/>
      <w:r w:rsidRPr="00CA4DFF">
        <w:rPr>
          <w:rFonts w:ascii="Times New Roman" w:hAnsi="Times New Roman" w:cs="Times New Roman"/>
          <w:sz w:val="22"/>
          <w:szCs w:val="22"/>
        </w:rPr>
        <w:t>5.</w:t>
      </w:r>
      <w:r w:rsidRPr="00CA4DFF">
        <w:rPr>
          <w:rFonts w:ascii="Times New Roman" w:hAnsi="Times New Roman" w:cs="Times New Roman"/>
          <w:sz w:val="22"/>
          <w:szCs w:val="22"/>
        </w:rPr>
        <w:tab/>
      </w:r>
      <w:r w:rsidR="00797EDB" w:rsidRPr="00CA4DFF">
        <w:rPr>
          <w:rFonts w:ascii="Times New Roman" w:hAnsi="Times New Roman" w:cs="Times New Roman"/>
          <w:sz w:val="22"/>
          <w:szCs w:val="22"/>
        </w:rPr>
        <w:t>Definitions</w:t>
      </w:r>
      <w:bookmarkEnd w:id="3"/>
    </w:p>
    <w:p w:rsidR="00797EDB" w:rsidRPr="00CA4DFF" w:rsidRDefault="00797EDB" w:rsidP="00797EDB">
      <w:pPr>
        <w:shd w:val="clear" w:color="auto" w:fill="FFFFFF"/>
        <w:spacing w:before="120"/>
        <w:ind w:left="851" w:hanging="567"/>
        <w:jc w:val="both"/>
        <w:rPr>
          <w:rFonts w:cs="Times New Roman"/>
          <w:color w:val="000000"/>
          <w:szCs w:val="22"/>
          <w:lang w:eastAsia="en-AU"/>
        </w:rPr>
      </w:pPr>
      <w:r w:rsidRPr="00CA4DFF">
        <w:rPr>
          <w:rFonts w:cs="Times New Roman"/>
          <w:color w:val="000000"/>
          <w:szCs w:val="22"/>
          <w:lang w:eastAsia="en-AU"/>
        </w:rPr>
        <w:t>(1)</w:t>
      </w:r>
      <w:r w:rsidRPr="00CA4DFF">
        <w:rPr>
          <w:rFonts w:cs="Times New Roman"/>
          <w:color w:val="000000"/>
          <w:szCs w:val="22"/>
          <w:lang w:eastAsia="en-AU"/>
        </w:rPr>
        <w:tab/>
        <w:t>In this Determination:</w:t>
      </w:r>
    </w:p>
    <w:p w:rsidR="00797EDB" w:rsidRPr="00CA4DFF" w:rsidRDefault="00797EDB" w:rsidP="00797EDB">
      <w:pPr>
        <w:shd w:val="clear" w:color="auto" w:fill="FFFFFF"/>
        <w:spacing w:before="120"/>
        <w:ind w:left="851"/>
        <w:jc w:val="both"/>
        <w:rPr>
          <w:rFonts w:cs="Times New Roman"/>
          <w:color w:val="000000"/>
          <w:szCs w:val="22"/>
          <w:lang w:eastAsia="en-AU"/>
        </w:rPr>
      </w:pPr>
      <w:r w:rsidRPr="00CA4DFF">
        <w:rPr>
          <w:rFonts w:cs="Times New Roman"/>
          <w:b/>
          <w:bCs/>
          <w:i/>
          <w:iCs/>
          <w:color w:val="000000"/>
          <w:szCs w:val="22"/>
          <w:lang w:eastAsia="en-AU"/>
        </w:rPr>
        <w:t>Act </w:t>
      </w:r>
      <w:r w:rsidRPr="00CA4DFF">
        <w:rPr>
          <w:rFonts w:cs="Times New Roman"/>
          <w:color w:val="000000"/>
          <w:szCs w:val="22"/>
          <w:lang w:eastAsia="en-AU"/>
        </w:rPr>
        <w:t>means the </w:t>
      </w:r>
      <w:r w:rsidRPr="00CA4DFF">
        <w:rPr>
          <w:rFonts w:cs="Times New Roman"/>
          <w:i/>
          <w:iCs/>
          <w:color w:val="000000"/>
          <w:szCs w:val="22"/>
          <w:lang w:eastAsia="en-AU"/>
        </w:rPr>
        <w:t>Health Insurance Act 1973</w:t>
      </w:r>
      <w:r w:rsidRPr="00CA4DFF">
        <w:rPr>
          <w:rFonts w:cs="Times New Roman"/>
          <w:color w:val="000000"/>
          <w:szCs w:val="22"/>
          <w:lang w:eastAsia="en-AU"/>
        </w:rPr>
        <w:t>.</w:t>
      </w:r>
    </w:p>
    <w:p w:rsidR="00797EDB" w:rsidRPr="00CA4DFF" w:rsidRDefault="00797EDB" w:rsidP="00797EDB">
      <w:pPr>
        <w:shd w:val="clear" w:color="auto" w:fill="FFFFFF"/>
        <w:spacing w:before="80"/>
        <w:ind w:left="851"/>
        <w:jc w:val="both"/>
        <w:rPr>
          <w:rFonts w:cs="Times New Roman"/>
          <w:color w:val="000000"/>
          <w:szCs w:val="22"/>
          <w:lang w:eastAsia="en-AU"/>
        </w:rPr>
      </w:pPr>
      <w:r w:rsidRPr="00CA4DFF">
        <w:rPr>
          <w:rFonts w:cs="Times New Roman"/>
          <w:b/>
          <w:bCs/>
          <w:i/>
          <w:iCs/>
          <w:color w:val="000000"/>
          <w:szCs w:val="22"/>
          <w:lang w:eastAsia="en-AU"/>
        </w:rPr>
        <w:t>relevant provisions</w:t>
      </w:r>
      <w:r w:rsidRPr="00CA4DFF">
        <w:rPr>
          <w:rFonts w:cs="Times New Roman"/>
          <w:color w:val="000000"/>
          <w:szCs w:val="22"/>
          <w:lang w:eastAsia="en-AU"/>
        </w:rPr>
        <w:t> means all provisions, of the Act and regulations made under the Act, and the </w:t>
      </w:r>
      <w:r w:rsidRPr="00CA4DFF">
        <w:rPr>
          <w:rFonts w:cs="Times New Roman"/>
          <w:i/>
          <w:iCs/>
          <w:color w:val="000000"/>
          <w:szCs w:val="22"/>
          <w:lang w:eastAsia="en-AU"/>
        </w:rPr>
        <w:t xml:space="preserve">National Health Act 1953 </w:t>
      </w:r>
      <w:r w:rsidRPr="00CA4DFF">
        <w:rPr>
          <w:rFonts w:cs="Times New Roman"/>
          <w:color w:val="000000"/>
          <w:szCs w:val="22"/>
          <w:lang w:eastAsia="en-AU"/>
        </w:rPr>
        <w:t>and regulations made under the</w:t>
      </w:r>
      <w:r w:rsidRPr="00CA4DFF">
        <w:rPr>
          <w:rFonts w:cs="Times New Roman"/>
          <w:i/>
          <w:color w:val="000000"/>
          <w:szCs w:val="22"/>
          <w:lang w:eastAsia="en-AU"/>
        </w:rPr>
        <w:t xml:space="preserve"> National Health Act 1953</w:t>
      </w:r>
      <w:r w:rsidRPr="00CA4DFF">
        <w:rPr>
          <w:rFonts w:cs="Times New Roman"/>
          <w:color w:val="000000"/>
          <w:szCs w:val="22"/>
          <w:lang w:eastAsia="en-AU"/>
        </w:rPr>
        <w:t>, relating to medical services, professional services or items.</w:t>
      </w:r>
    </w:p>
    <w:p w:rsidR="00797EDB" w:rsidRPr="00CA4DFF" w:rsidRDefault="00797EDB" w:rsidP="00797EDB">
      <w:pPr>
        <w:shd w:val="clear" w:color="auto" w:fill="FFFFFF"/>
        <w:spacing w:before="120"/>
        <w:ind w:left="851"/>
        <w:jc w:val="both"/>
        <w:rPr>
          <w:rFonts w:cs="Times New Roman"/>
          <w:color w:val="000000"/>
          <w:szCs w:val="22"/>
          <w:lang w:eastAsia="en-AU"/>
        </w:rPr>
      </w:pPr>
      <w:r w:rsidRPr="00CA4DFF">
        <w:rPr>
          <w:rFonts w:cs="Times New Roman"/>
          <w:b/>
          <w:bCs/>
          <w:i/>
          <w:iCs/>
          <w:color w:val="000000"/>
          <w:szCs w:val="22"/>
          <w:lang w:eastAsia="en-AU"/>
        </w:rPr>
        <w:t>relevant service </w:t>
      </w:r>
      <w:r w:rsidRPr="00CA4DFF">
        <w:rPr>
          <w:rFonts w:cs="Times New Roman"/>
          <w:color w:val="000000"/>
          <w:szCs w:val="22"/>
          <w:lang w:eastAsia="en-AU"/>
        </w:rPr>
        <w:t>means a health service, as defined in subsection 3C(8) of the Act, that is specified in a Schedule.</w:t>
      </w:r>
    </w:p>
    <w:p w:rsidR="00797EDB" w:rsidRPr="00CA4DFF" w:rsidRDefault="00797EDB" w:rsidP="00797EDB">
      <w:pPr>
        <w:shd w:val="clear" w:color="auto" w:fill="FFFFFF"/>
        <w:spacing w:before="120"/>
        <w:ind w:left="851"/>
        <w:jc w:val="both"/>
        <w:rPr>
          <w:rFonts w:cs="Times New Roman"/>
          <w:color w:val="000000"/>
          <w:szCs w:val="22"/>
          <w:lang w:eastAsia="en-AU"/>
        </w:rPr>
      </w:pPr>
      <w:r w:rsidRPr="00CA4DFF">
        <w:rPr>
          <w:rFonts w:cs="Times New Roman"/>
          <w:b/>
          <w:i/>
          <w:color w:val="000000"/>
          <w:szCs w:val="22"/>
          <w:lang w:eastAsia="en-AU"/>
        </w:rPr>
        <w:t>Pathology services table</w:t>
      </w:r>
      <w:r w:rsidRPr="00CA4DFF">
        <w:rPr>
          <w:rFonts w:cs="Times New Roman"/>
          <w:color w:val="000000"/>
          <w:szCs w:val="22"/>
          <w:lang w:eastAsia="en-AU"/>
        </w:rPr>
        <w:t xml:space="preserve"> means the table prescribed under subsection 4A(1) of the Act.</w:t>
      </w:r>
    </w:p>
    <w:p w:rsidR="00797EDB" w:rsidRPr="00CA4DFF" w:rsidRDefault="00797EDB" w:rsidP="00797EDB">
      <w:pPr>
        <w:shd w:val="clear" w:color="auto" w:fill="FFFFFF"/>
        <w:spacing w:before="120"/>
        <w:ind w:left="851"/>
        <w:jc w:val="both"/>
        <w:rPr>
          <w:rFonts w:cs="Times New Roman"/>
          <w:color w:val="000000"/>
          <w:szCs w:val="22"/>
          <w:lang w:eastAsia="en-AU"/>
        </w:rPr>
      </w:pPr>
      <w:r w:rsidRPr="00CA4DFF">
        <w:rPr>
          <w:rFonts w:cs="Times New Roman"/>
          <w:b/>
          <w:i/>
          <w:color w:val="000000"/>
          <w:szCs w:val="22"/>
          <w:lang w:eastAsia="en-AU"/>
        </w:rPr>
        <w:t>Pharmaceutical Benefits Scheme</w:t>
      </w:r>
      <w:r w:rsidRPr="00CA4DFF">
        <w:rPr>
          <w:rFonts w:cs="Times New Roman"/>
          <w:color w:val="000000"/>
          <w:szCs w:val="22"/>
          <w:lang w:eastAsia="en-AU"/>
        </w:rPr>
        <w:t xml:space="preserve"> means the scheme for the supply of pharmaceutical benefits established under Part VII of the National Health Act 1953.</w:t>
      </w:r>
    </w:p>
    <w:p w:rsidR="00797EDB" w:rsidRPr="00CA4DFF" w:rsidRDefault="00797EDB" w:rsidP="00797EDB">
      <w:pPr>
        <w:shd w:val="clear" w:color="auto" w:fill="FFFFFF"/>
        <w:spacing w:before="120"/>
        <w:ind w:left="851"/>
        <w:jc w:val="both"/>
        <w:rPr>
          <w:rFonts w:cs="Times New Roman"/>
          <w:bCs/>
          <w:iCs/>
          <w:color w:val="000000"/>
          <w:szCs w:val="22"/>
          <w:lang w:eastAsia="en-AU"/>
        </w:rPr>
      </w:pPr>
      <w:r w:rsidRPr="00CA4DFF">
        <w:rPr>
          <w:rFonts w:cs="Times New Roman"/>
          <w:b/>
          <w:bCs/>
          <w:i/>
          <w:iCs/>
          <w:color w:val="000000"/>
          <w:szCs w:val="22"/>
          <w:lang w:eastAsia="en-AU"/>
        </w:rPr>
        <w:t>Schedule </w:t>
      </w:r>
      <w:r w:rsidRPr="00CA4DFF">
        <w:rPr>
          <w:rFonts w:cs="Times New Roman"/>
          <w:bCs/>
          <w:iCs/>
          <w:color w:val="000000"/>
          <w:szCs w:val="22"/>
          <w:lang w:eastAsia="en-AU"/>
        </w:rPr>
        <w:t>means a Schedule to this Determination.</w:t>
      </w:r>
    </w:p>
    <w:p w:rsidR="00797EDB" w:rsidRPr="00CA4DFF" w:rsidRDefault="00797EDB" w:rsidP="00797EDB">
      <w:pPr>
        <w:shd w:val="clear" w:color="auto" w:fill="FFFFFF"/>
        <w:spacing w:before="120"/>
        <w:ind w:left="851"/>
        <w:jc w:val="both"/>
        <w:rPr>
          <w:rFonts w:cs="Times New Roman"/>
          <w:bCs/>
          <w:iCs/>
          <w:color w:val="000000"/>
          <w:szCs w:val="22"/>
          <w:lang w:eastAsia="en-AU"/>
        </w:rPr>
      </w:pPr>
      <w:r w:rsidRPr="00CA4DFF">
        <w:rPr>
          <w:rFonts w:cs="Times New Roman"/>
          <w:bCs/>
          <w:iCs/>
          <w:color w:val="000000"/>
          <w:szCs w:val="22"/>
          <w:lang w:eastAsia="en-AU"/>
        </w:rPr>
        <w:t>Note:</w:t>
      </w:r>
      <w:r w:rsidRPr="00CA4DFF">
        <w:rPr>
          <w:rFonts w:cs="Times New Roman"/>
          <w:bCs/>
          <w:iCs/>
          <w:color w:val="000000"/>
          <w:szCs w:val="22"/>
          <w:lang w:eastAsia="en-AU"/>
        </w:rPr>
        <w:tab/>
        <w:t>The following terms are defined in subsection 3(1) of the Act:</w:t>
      </w:r>
    </w:p>
    <w:p w:rsidR="00797EDB" w:rsidRPr="00CA4DFF" w:rsidRDefault="007E2479" w:rsidP="007E2479">
      <w:pPr>
        <w:shd w:val="clear" w:color="auto" w:fill="FFFFFF"/>
        <w:ind w:left="2061" w:hanging="360"/>
        <w:jc w:val="both"/>
        <w:rPr>
          <w:rFonts w:cs="Times New Roman"/>
          <w:bCs/>
          <w:iCs/>
          <w:color w:val="000000"/>
          <w:szCs w:val="22"/>
          <w:lang w:eastAsia="en-AU"/>
        </w:rPr>
      </w:pPr>
      <w:r w:rsidRPr="00CA4DFF">
        <w:rPr>
          <w:rFonts w:ascii="Symbol" w:hAnsi="Symbol" w:cs="Times New Roman"/>
          <w:bCs/>
          <w:iCs/>
          <w:color w:val="000000"/>
          <w:szCs w:val="22"/>
          <w:lang w:eastAsia="en-AU"/>
        </w:rPr>
        <w:t></w:t>
      </w:r>
      <w:r w:rsidRPr="00CA4DFF">
        <w:rPr>
          <w:rFonts w:ascii="Symbol" w:hAnsi="Symbol" w:cs="Times New Roman"/>
          <w:bCs/>
          <w:iCs/>
          <w:color w:val="000000"/>
          <w:szCs w:val="22"/>
          <w:lang w:eastAsia="en-AU"/>
        </w:rPr>
        <w:tab/>
      </w:r>
      <w:r w:rsidR="00797EDB" w:rsidRPr="00CA4DFF">
        <w:rPr>
          <w:rFonts w:cs="Times New Roman"/>
          <w:bCs/>
          <w:iCs/>
          <w:color w:val="000000"/>
          <w:szCs w:val="22"/>
          <w:lang w:eastAsia="en-AU"/>
        </w:rPr>
        <w:t>clinically relevant service</w:t>
      </w:r>
    </w:p>
    <w:p w:rsidR="00797EDB" w:rsidRPr="00CA4DFF" w:rsidRDefault="007E2479" w:rsidP="007E2479">
      <w:pPr>
        <w:shd w:val="clear" w:color="auto" w:fill="FFFFFF"/>
        <w:ind w:left="2061" w:hanging="360"/>
        <w:jc w:val="both"/>
        <w:rPr>
          <w:rFonts w:cs="Times New Roman"/>
          <w:bCs/>
          <w:iCs/>
          <w:color w:val="000000"/>
          <w:szCs w:val="22"/>
          <w:lang w:eastAsia="en-AU"/>
        </w:rPr>
      </w:pPr>
      <w:r w:rsidRPr="00CA4DFF">
        <w:rPr>
          <w:rFonts w:ascii="Symbol" w:hAnsi="Symbol" w:cs="Times New Roman"/>
          <w:bCs/>
          <w:iCs/>
          <w:color w:val="000000"/>
          <w:szCs w:val="22"/>
          <w:lang w:eastAsia="en-AU"/>
        </w:rPr>
        <w:t></w:t>
      </w:r>
      <w:r w:rsidRPr="00CA4DFF">
        <w:rPr>
          <w:rFonts w:ascii="Symbol" w:hAnsi="Symbol" w:cs="Times New Roman"/>
          <w:bCs/>
          <w:iCs/>
          <w:color w:val="000000"/>
          <w:szCs w:val="22"/>
          <w:lang w:eastAsia="en-AU"/>
        </w:rPr>
        <w:tab/>
      </w:r>
      <w:r w:rsidR="00797EDB" w:rsidRPr="00CA4DFF">
        <w:rPr>
          <w:rFonts w:cs="Times New Roman"/>
          <w:bCs/>
          <w:iCs/>
          <w:color w:val="000000"/>
          <w:szCs w:val="22"/>
          <w:lang w:eastAsia="en-AU"/>
        </w:rPr>
        <w:t>pathology services table</w:t>
      </w:r>
    </w:p>
    <w:p w:rsidR="00797EDB" w:rsidRPr="00CA4DFF" w:rsidRDefault="007E2479" w:rsidP="007E2479">
      <w:pPr>
        <w:shd w:val="clear" w:color="auto" w:fill="FFFFFF"/>
        <w:ind w:left="2061" w:hanging="360"/>
        <w:jc w:val="both"/>
        <w:rPr>
          <w:rFonts w:cs="Times New Roman"/>
          <w:bCs/>
          <w:iCs/>
          <w:color w:val="000000"/>
          <w:szCs w:val="22"/>
          <w:lang w:eastAsia="en-AU"/>
        </w:rPr>
      </w:pPr>
      <w:r w:rsidRPr="00CA4DFF">
        <w:rPr>
          <w:rFonts w:ascii="Symbol" w:hAnsi="Symbol" w:cs="Times New Roman"/>
          <w:bCs/>
          <w:iCs/>
          <w:color w:val="000000"/>
          <w:szCs w:val="22"/>
          <w:lang w:eastAsia="en-AU"/>
        </w:rPr>
        <w:t></w:t>
      </w:r>
      <w:r w:rsidRPr="00CA4DFF">
        <w:rPr>
          <w:rFonts w:ascii="Symbol" w:hAnsi="Symbol" w:cs="Times New Roman"/>
          <w:bCs/>
          <w:iCs/>
          <w:color w:val="000000"/>
          <w:szCs w:val="22"/>
          <w:lang w:eastAsia="en-AU"/>
        </w:rPr>
        <w:tab/>
      </w:r>
      <w:r w:rsidR="00797EDB" w:rsidRPr="00CA4DFF">
        <w:rPr>
          <w:rFonts w:cs="Times New Roman"/>
          <w:bCs/>
          <w:iCs/>
          <w:color w:val="000000"/>
          <w:szCs w:val="22"/>
          <w:lang w:eastAsia="en-AU"/>
        </w:rPr>
        <w:t>item</w:t>
      </w:r>
    </w:p>
    <w:p w:rsidR="00797EDB" w:rsidRPr="00CA4DFF" w:rsidRDefault="007E2479" w:rsidP="007E2479">
      <w:pPr>
        <w:shd w:val="clear" w:color="auto" w:fill="FFFFFF"/>
        <w:ind w:left="2061" w:hanging="360"/>
        <w:jc w:val="both"/>
        <w:rPr>
          <w:rFonts w:cs="Times New Roman"/>
          <w:bCs/>
          <w:iCs/>
          <w:color w:val="000000"/>
          <w:szCs w:val="22"/>
          <w:lang w:eastAsia="en-AU"/>
        </w:rPr>
      </w:pPr>
      <w:r w:rsidRPr="00CA4DFF">
        <w:rPr>
          <w:rFonts w:ascii="Symbol" w:hAnsi="Symbol" w:cs="Times New Roman"/>
          <w:bCs/>
          <w:iCs/>
          <w:color w:val="000000"/>
          <w:szCs w:val="22"/>
          <w:lang w:eastAsia="en-AU"/>
        </w:rPr>
        <w:t></w:t>
      </w:r>
      <w:r w:rsidRPr="00CA4DFF">
        <w:rPr>
          <w:rFonts w:ascii="Symbol" w:hAnsi="Symbol" w:cs="Times New Roman"/>
          <w:bCs/>
          <w:iCs/>
          <w:color w:val="000000"/>
          <w:szCs w:val="22"/>
          <w:lang w:eastAsia="en-AU"/>
        </w:rPr>
        <w:tab/>
      </w:r>
      <w:r w:rsidR="00797EDB" w:rsidRPr="00CA4DFF">
        <w:rPr>
          <w:rFonts w:cs="Times New Roman"/>
          <w:bCs/>
          <w:iCs/>
          <w:color w:val="000000"/>
          <w:szCs w:val="22"/>
          <w:lang w:eastAsia="en-AU"/>
        </w:rPr>
        <w:t>professional service</w:t>
      </w:r>
    </w:p>
    <w:p w:rsidR="00797EDB" w:rsidRPr="00CA4DFF" w:rsidRDefault="00797EDB" w:rsidP="00797EDB">
      <w:pPr>
        <w:shd w:val="clear" w:color="auto" w:fill="FFFFFF"/>
        <w:spacing w:before="180"/>
        <w:ind w:left="795" w:hanging="510"/>
        <w:rPr>
          <w:rFonts w:cs="Times New Roman"/>
          <w:color w:val="000000"/>
          <w:szCs w:val="22"/>
          <w:lang w:eastAsia="en-AU"/>
        </w:rPr>
      </w:pPr>
      <w:r w:rsidRPr="00CA4DFF">
        <w:rPr>
          <w:rFonts w:cs="Times New Roman"/>
          <w:color w:val="000000"/>
          <w:szCs w:val="22"/>
          <w:lang w:eastAsia="en-AU"/>
        </w:rPr>
        <w:t>(2)</w:t>
      </w:r>
      <w:r w:rsidRPr="00CA4DFF">
        <w:rPr>
          <w:rFonts w:cs="Times New Roman"/>
          <w:color w:val="000000"/>
          <w:szCs w:val="22"/>
          <w:lang w:eastAsia="en-AU"/>
        </w:rPr>
        <w:tab/>
        <w:t>Unless the contrary intention appears, a reference in this Determination to a provision of the Act or the </w:t>
      </w:r>
      <w:r w:rsidRPr="00CA4DFF">
        <w:rPr>
          <w:rFonts w:cs="Times New Roman"/>
          <w:i/>
          <w:iCs/>
          <w:color w:val="000000"/>
          <w:szCs w:val="22"/>
          <w:lang w:eastAsia="en-AU"/>
        </w:rPr>
        <w:t>National Health Act 1953</w:t>
      </w:r>
      <w:r w:rsidRPr="00CA4DFF">
        <w:rPr>
          <w:rFonts w:cs="Times New Roman"/>
          <w:color w:val="000000"/>
          <w:szCs w:val="22"/>
          <w:lang w:eastAsia="en-AU"/>
        </w:rPr>
        <w:t> or regulations made under the Act or under the </w:t>
      </w:r>
      <w:r w:rsidRPr="00CA4DFF">
        <w:rPr>
          <w:rFonts w:cs="Times New Roman"/>
          <w:i/>
          <w:iCs/>
          <w:color w:val="000000"/>
          <w:szCs w:val="22"/>
          <w:lang w:eastAsia="en-AU"/>
        </w:rPr>
        <w:t>National Health Act 1953</w:t>
      </w:r>
      <w:r w:rsidRPr="00CA4DFF">
        <w:rPr>
          <w:rFonts w:cs="Times New Roman"/>
          <w:color w:val="000000"/>
          <w:szCs w:val="22"/>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rsidR="00797EDB" w:rsidRPr="00CA4DFF" w:rsidRDefault="00314068" w:rsidP="00314068">
      <w:pPr>
        <w:pStyle w:val="Heading1"/>
        <w:numPr>
          <w:ilvl w:val="0"/>
          <w:numId w:val="0"/>
        </w:numPr>
        <w:ind w:left="120"/>
        <w:rPr>
          <w:rFonts w:ascii="Times New Roman" w:hAnsi="Times New Roman" w:cs="Times New Roman"/>
          <w:sz w:val="22"/>
          <w:szCs w:val="22"/>
        </w:rPr>
      </w:pPr>
      <w:bookmarkStart w:id="4" w:name="_Toc87527199"/>
      <w:r w:rsidRPr="00CA4DFF">
        <w:rPr>
          <w:rFonts w:ascii="Times New Roman" w:hAnsi="Times New Roman" w:cs="Times New Roman"/>
          <w:sz w:val="22"/>
          <w:szCs w:val="22"/>
        </w:rPr>
        <w:t>6.</w:t>
      </w:r>
      <w:r w:rsidRPr="00CA4DFF">
        <w:rPr>
          <w:rFonts w:ascii="Times New Roman" w:hAnsi="Times New Roman" w:cs="Times New Roman"/>
          <w:sz w:val="22"/>
          <w:szCs w:val="22"/>
        </w:rPr>
        <w:tab/>
      </w:r>
      <w:r w:rsidR="00797EDB" w:rsidRPr="00CA4DFF">
        <w:rPr>
          <w:rFonts w:ascii="Times New Roman" w:hAnsi="Times New Roman" w:cs="Times New Roman"/>
          <w:sz w:val="22"/>
          <w:szCs w:val="22"/>
        </w:rPr>
        <w:t>Treatment of relevant services</w:t>
      </w:r>
      <w:bookmarkEnd w:id="4"/>
    </w:p>
    <w:p w:rsidR="00797EDB" w:rsidRPr="00CA4DFF" w:rsidRDefault="00797EDB" w:rsidP="00797EDB">
      <w:pPr>
        <w:shd w:val="clear" w:color="auto" w:fill="FFFFFF"/>
        <w:spacing w:before="120"/>
        <w:ind w:left="851" w:hanging="567"/>
        <w:jc w:val="both"/>
        <w:rPr>
          <w:rFonts w:cs="Times New Roman"/>
          <w:color w:val="000000"/>
          <w:szCs w:val="22"/>
          <w:lang w:eastAsia="en-AU"/>
        </w:rPr>
      </w:pPr>
      <w:r w:rsidRPr="00CA4DFF">
        <w:rPr>
          <w:rFonts w:cs="Times New Roman"/>
          <w:szCs w:val="22"/>
        </w:rPr>
        <w:t>(1)</w:t>
      </w:r>
      <w:r w:rsidR="000035EE" w:rsidRPr="00CA4DFF">
        <w:rPr>
          <w:rFonts w:cs="Times New Roman"/>
          <w:szCs w:val="22"/>
        </w:rPr>
        <w:tab/>
      </w:r>
      <w:r w:rsidRPr="00CA4DFF">
        <w:rPr>
          <w:rFonts w:cs="Times New Roman"/>
          <w:color w:val="000000"/>
          <w:szCs w:val="22"/>
          <w:lang w:eastAsia="en-AU"/>
        </w:rPr>
        <w:t>For subsection 3C(1) of the Act a relevant service, provided in accordance with this Determination and as a clinically relevant service, is to be treated, for the relevant provisions, as if:</w:t>
      </w:r>
    </w:p>
    <w:p w:rsidR="00797EDB" w:rsidRPr="00CA4DFF" w:rsidRDefault="000035EE" w:rsidP="000035EE">
      <w:pPr>
        <w:pStyle w:val="Healthnumlevel2"/>
        <w:numPr>
          <w:ilvl w:val="0"/>
          <w:numId w:val="0"/>
        </w:numPr>
        <w:shd w:val="clear" w:color="auto" w:fill="FFFFFF"/>
        <w:autoSpaceDE/>
        <w:autoSpaceDN/>
        <w:spacing w:before="120" w:line="260" w:lineRule="atLeast"/>
        <w:ind w:left="851"/>
        <w:rPr>
          <w:sz w:val="22"/>
          <w:szCs w:val="22"/>
          <w:lang w:eastAsia="en-AU"/>
        </w:rPr>
      </w:pPr>
      <w:r w:rsidRPr="00CA4DFF">
        <w:rPr>
          <w:sz w:val="22"/>
          <w:szCs w:val="22"/>
          <w:lang w:eastAsia="en-AU"/>
        </w:rPr>
        <w:t>(a)</w:t>
      </w:r>
      <w:r w:rsidRPr="00CA4DFF">
        <w:rPr>
          <w:sz w:val="22"/>
          <w:szCs w:val="22"/>
          <w:lang w:eastAsia="en-AU"/>
        </w:rPr>
        <w:tab/>
      </w:r>
      <w:r w:rsidR="00797EDB" w:rsidRPr="00CA4DFF">
        <w:rPr>
          <w:sz w:val="22"/>
          <w:szCs w:val="22"/>
          <w:lang w:eastAsia="en-AU"/>
        </w:rPr>
        <w:t>it were both a professional service and a pathology service; and</w:t>
      </w:r>
    </w:p>
    <w:p w:rsidR="00797EDB" w:rsidRPr="00CA4DFF" w:rsidRDefault="000035EE" w:rsidP="000035EE">
      <w:pPr>
        <w:pStyle w:val="Healthnumlevel2"/>
        <w:numPr>
          <w:ilvl w:val="0"/>
          <w:numId w:val="0"/>
        </w:numPr>
        <w:spacing w:before="120"/>
        <w:ind w:left="851"/>
        <w:rPr>
          <w:sz w:val="22"/>
          <w:szCs w:val="22"/>
          <w:lang w:eastAsia="en-AU"/>
        </w:rPr>
      </w:pPr>
      <w:r w:rsidRPr="00CA4DFF">
        <w:rPr>
          <w:sz w:val="22"/>
          <w:szCs w:val="22"/>
          <w:lang w:eastAsia="en-AU"/>
        </w:rPr>
        <w:lastRenderedPageBreak/>
        <w:t>(b)</w:t>
      </w:r>
      <w:r w:rsidRPr="00CA4DFF">
        <w:rPr>
          <w:sz w:val="22"/>
          <w:szCs w:val="22"/>
          <w:lang w:eastAsia="en-AU"/>
        </w:rPr>
        <w:tab/>
      </w:r>
      <w:r w:rsidR="00797EDB" w:rsidRPr="00CA4DFF">
        <w:rPr>
          <w:sz w:val="22"/>
          <w:szCs w:val="22"/>
          <w:lang w:eastAsia="en-AU"/>
        </w:rPr>
        <w:t>there were an item in Group</w:t>
      </w:r>
      <w:r w:rsidR="00070744" w:rsidRPr="00CA4DFF">
        <w:rPr>
          <w:sz w:val="22"/>
          <w:szCs w:val="22"/>
          <w:lang w:eastAsia="en-AU"/>
        </w:rPr>
        <w:t>s P5 or</w:t>
      </w:r>
      <w:r w:rsidR="00797EDB" w:rsidRPr="00CA4DFF">
        <w:rPr>
          <w:sz w:val="22"/>
          <w:szCs w:val="22"/>
          <w:lang w:eastAsia="en-AU"/>
        </w:rPr>
        <w:t xml:space="preserve"> P7 of the pathology services table that:</w:t>
      </w:r>
    </w:p>
    <w:p w:rsidR="00797EDB" w:rsidRPr="00CA4DFF" w:rsidRDefault="000035EE" w:rsidP="000035EE">
      <w:pPr>
        <w:pStyle w:val="HealthnumLevel3"/>
        <w:numPr>
          <w:ilvl w:val="0"/>
          <w:numId w:val="0"/>
        </w:numPr>
        <w:spacing w:before="120"/>
        <w:ind w:left="1821"/>
        <w:rPr>
          <w:sz w:val="22"/>
          <w:szCs w:val="22"/>
          <w:lang w:eastAsia="en-AU"/>
        </w:rPr>
      </w:pPr>
      <w:r w:rsidRPr="00CA4DFF">
        <w:rPr>
          <w:sz w:val="22"/>
          <w:szCs w:val="22"/>
          <w:lang w:eastAsia="en-AU"/>
        </w:rPr>
        <w:t>(i)</w:t>
      </w:r>
      <w:r w:rsidRPr="00CA4DFF">
        <w:rPr>
          <w:sz w:val="22"/>
          <w:szCs w:val="22"/>
          <w:lang w:eastAsia="en-AU"/>
        </w:rPr>
        <w:tab/>
      </w:r>
      <w:r w:rsidR="00797EDB" w:rsidRPr="00CA4DFF">
        <w:rPr>
          <w:sz w:val="22"/>
          <w:szCs w:val="22"/>
          <w:lang w:eastAsia="en-AU"/>
        </w:rPr>
        <w:t>related to the service; and</w:t>
      </w:r>
    </w:p>
    <w:p w:rsidR="00797EDB" w:rsidRPr="00CA4DFF" w:rsidRDefault="000035EE" w:rsidP="000035EE">
      <w:pPr>
        <w:pStyle w:val="HealthnumLevel3"/>
        <w:numPr>
          <w:ilvl w:val="0"/>
          <w:numId w:val="0"/>
        </w:numPr>
        <w:spacing w:before="120"/>
        <w:ind w:left="2127" w:hanging="306"/>
        <w:rPr>
          <w:sz w:val="22"/>
          <w:szCs w:val="22"/>
          <w:lang w:eastAsia="en-AU"/>
        </w:rPr>
      </w:pPr>
      <w:r w:rsidRPr="00CA4DFF">
        <w:rPr>
          <w:sz w:val="22"/>
          <w:szCs w:val="22"/>
          <w:lang w:eastAsia="en-AU"/>
        </w:rPr>
        <w:t>(i</w:t>
      </w:r>
      <w:r w:rsidR="001C2230" w:rsidRPr="00CA4DFF">
        <w:rPr>
          <w:sz w:val="22"/>
          <w:szCs w:val="22"/>
          <w:lang w:eastAsia="en-AU"/>
        </w:rPr>
        <w:t>i</w:t>
      </w:r>
      <w:r w:rsidRPr="00CA4DFF">
        <w:rPr>
          <w:sz w:val="22"/>
          <w:szCs w:val="22"/>
          <w:lang w:eastAsia="en-AU"/>
        </w:rPr>
        <w:t>)</w:t>
      </w:r>
      <w:r w:rsidRPr="00CA4DFF">
        <w:rPr>
          <w:sz w:val="22"/>
          <w:szCs w:val="22"/>
          <w:lang w:eastAsia="en-AU"/>
        </w:rPr>
        <w:tab/>
      </w:r>
      <w:r w:rsidR="00797EDB" w:rsidRPr="00CA4DFF">
        <w:rPr>
          <w:sz w:val="22"/>
          <w:szCs w:val="22"/>
          <w:lang w:eastAsia="en-AU"/>
        </w:rPr>
        <w:t>specified for the service a fee in relation to each State, being the fee specified in Schedule 1 in relation to the service.</w:t>
      </w:r>
    </w:p>
    <w:p w:rsidR="00797EDB" w:rsidRPr="00CA4DFF" w:rsidRDefault="00797EDB" w:rsidP="00DA633D">
      <w:pPr>
        <w:pStyle w:val="Heading1"/>
        <w:pageBreakBefore/>
        <w:numPr>
          <w:ilvl w:val="0"/>
          <w:numId w:val="0"/>
        </w:numPr>
        <w:ind w:left="119"/>
        <w:rPr>
          <w:rFonts w:ascii="Times New Roman" w:hAnsi="Times New Roman" w:cs="Times New Roman"/>
          <w:sz w:val="32"/>
        </w:rPr>
      </w:pPr>
      <w:bookmarkStart w:id="5" w:name="_Toc87527200"/>
      <w:r w:rsidRPr="00CA4DFF">
        <w:rPr>
          <w:rFonts w:ascii="Times New Roman" w:hAnsi="Times New Roman" w:cs="Times New Roman"/>
          <w:sz w:val="32"/>
        </w:rPr>
        <w:lastRenderedPageBreak/>
        <w:t>Schedule 1 – Relevant Services</w:t>
      </w:r>
      <w:bookmarkEnd w:id="5"/>
    </w:p>
    <w:p w:rsidR="00070744" w:rsidRPr="00CA4DFF" w:rsidRDefault="00070744" w:rsidP="00070744">
      <w:pPr>
        <w:rPr>
          <w:rFonts w:cs="Times New Roman"/>
          <w:szCs w:val="22"/>
        </w:rPr>
      </w:pPr>
    </w:p>
    <w:tbl>
      <w:tblPr>
        <w:tblW w:w="5000" w:type="pct"/>
        <w:shd w:val="clear" w:color="auto" w:fill="FFFFFF"/>
        <w:tblCellMar>
          <w:left w:w="0" w:type="dxa"/>
          <w:right w:w="0" w:type="dxa"/>
        </w:tblCellMar>
        <w:tblLook w:val="04A0" w:firstRow="1" w:lastRow="0" w:firstColumn="1" w:lastColumn="0" w:noHBand="0" w:noVBand="1"/>
      </w:tblPr>
      <w:tblGrid>
        <w:gridCol w:w="1198"/>
        <w:gridCol w:w="97"/>
        <w:gridCol w:w="5861"/>
        <w:gridCol w:w="283"/>
        <w:gridCol w:w="1081"/>
        <w:gridCol w:w="7"/>
      </w:tblGrid>
      <w:tr w:rsidR="00070744" w:rsidRPr="00CA4DFF" w:rsidTr="005C0174">
        <w:trPr>
          <w:tblHeader/>
        </w:trPr>
        <w:tc>
          <w:tcPr>
            <w:tcW w:w="5000" w:type="pct"/>
            <w:gridSpan w:val="6"/>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Group P5—Tissue pathology</w:t>
            </w:r>
          </w:p>
        </w:tc>
      </w:tr>
      <w:tr w:rsidR="00070744" w:rsidRPr="00CA4DFF" w:rsidTr="005C0174">
        <w:trPr>
          <w:tblHeader/>
        </w:trPr>
        <w:tc>
          <w:tcPr>
            <w:tcW w:w="759"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Item</w:t>
            </w:r>
          </w:p>
        </w:tc>
        <w:tc>
          <w:tcPr>
            <w:tcW w:w="3437"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Description</w:t>
            </w:r>
          </w:p>
        </w:tc>
        <w:tc>
          <w:tcPr>
            <w:tcW w:w="804"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line="240" w:lineRule="atLeast"/>
              <w:ind w:left="594" w:right="-382"/>
              <w:rPr>
                <w:rFonts w:cs="Times New Roman"/>
                <w:szCs w:val="22"/>
                <w:lang w:eastAsia="en-AU"/>
              </w:rPr>
            </w:pPr>
            <w:r w:rsidRPr="00CA4DFF">
              <w:rPr>
                <w:rFonts w:cs="Times New Roman"/>
                <w:b/>
                <w:bCs/>
                <w:color w:val="000000"/>
                <w:szCs w:val="22"/>
                <w:lang w:eastAsia="en-AU"/>
              </w:rPr>
              <w:t>Fee ($)</w:t>
            </w:r>
          </w:p>
        </w:tc>
      </w:tr>
      <w:tr w:rsidR="00070744" w:rsidRPr="00CA4DFF" w:rsidTr="005C0174">
        <w:trPr>
          <w:gridAfter w:val="1"/>
          <w:wAfter w:w="4" w:type="pct"/>
          <w:cantSplit/>
        </w:trPr>
        <w:tc>
          <w:tcPr>
            <w:tcW w:w="702" w:type="pct"/>
            <w:tcBorders>
              <w:top w:val="nil"/>
              <w:left w:val="nil"/>
              <w:bottom w:val="single" w:sz="12" w:space="0" w:color="auto"/>
              <w:right w:val="nil"/>
            </w:tcBorders>
            <w:shd w:val="clear" w:color="auto" w:fill="FFFFFF"/>
            <w:tcMar>
              <w:top w:w="0" w:type="dxa"/>
              <w:left w:w="107" w:type="dxa"/>
              <w:bottom w:w="0" w:type="dxa"/>
              <w:right w:w="107" w:type="dxa"/>
            </w:tcMar>
          </w:tcPr>
          <w:p w:rsidR="00070744" w:rsidRPr="00CA4DFF" w:rsidRDefault="00070744" w:rsidP="006B4376">
            <w:pPr>
              <w:rPr>
                <w:rFonts w:cs="Times New Roman"/>
                <w:szCs w:val="22"/>
              </w:rPr>
            </w:pPr>
            <w:r w:rsidRPr="00CA4DFF">
              <w:rPr>
                <w:rFonts w:cs="Times New Roman"/>
                <w:szCs w:val="22"/>
              </w:rPr>
              <w:t>72814</w:t>
            </w:r>
          </w:p>
        </w:tc>
        <w:tc>
          <w:tcPr>
            <w:tcW w:w="3660" w:type="pct"/>
            <w:gridSpan w:val="3"/>
            <w:tcBorders>
              <w:top w:val="nil"/>
              <w:left w:val="nil"/>
              <w:bottom w:val="single" w:sz="12" w:space="0" w:color="auto"/>
              <w:right w:val="nil"/>
            </w:tcBorders>
            <w:shd w:val="clear" w:color="auto" w:fill="FFFFFF"/>
            <w:tcMar>
              <w:top w:w="0" w:type="dxa"/>
              <w:left w:w="107" w:type="dxa"/>
              <w:bottom w:w="0" w:type="dxa"/>
              <w:right w:w="107" w:type="dxa"/>
            </w:tcMar>
          </w:tcPr>
          <w:p w:rsidR="00070744" w:rsidRPr="00CA4DFF" w:rsidRDefault="007E2479" w:rsidP="006B4376">
            <w:pPr>
              <w:rPr>
                <w:rFonts w:cs="Times New Roman"/>
                <w:szCs w:val="22"/>
              </w:rPr>
            </w:pPr>
            <w:r w:rsidRPr="00A45E9D">
              <w:rPr>
                <w:szCs w:val="22"/>
              </w:rPr>
              <w:t>Immunohistochemical examination by immunoperoxidase or other labelled antibody techniques using the programmed cell death ligand 1 (PD</w:t>
            </w:r>
            <w:r w:rsidRPr="00A45E9D">
              <w:rPr>
                <w:szCs w:val="22"/>
              </w:rPr>
              <w:noBreakHyphen/>
              <w:t>L1) antibody of tumour material from a patient diagnosed with non</w:t>
            </w:r>
            <w:r w:rsidRPr="00A45E9D">
              <w:rPr>
                <w:szCs w:val="22"/>
              </w:rPr>
              <w:noBreakHyphen/>
              <w:t>small cell lung cancer.</w:t>
            </w:r>
          </w:p>
        </w:tc>
        <w:tc>
          <w:tcPr>
            <w:tcW w:w="634" w:type="pct"/>
            <w:tcBorders>
              <w:top w:val="nil"/>
              <w:left w:val="nil"/>
              <w:bottom w:val="single" w:sz="12" w:space="0" w:color="auto"/>
              <w:right w:val="nil"/>
            </w:tcBorders>
            <w:shd w:val="clear" w:color="auto" w:fill="FFFFFF"/>
            <w:tcMar>
              <w:top w:w="0" w:type="dxa"/>
              <w:left w:w="107" w:type="dxa"/>
              <w:bottom w:w="0" w:type="dxa"/>
              <w:right w:w="107" w:type="dxa"/>
            </w:tcMar>
          </w:tcPr>
          <w:p w:rsidR="00070744" w:rsidRPr="00CA4DFF" w:rsidRDefault="00070744" w:rsidP="006B4376">
            <w:pPr>
              <w:ind w:left="20"/>
              <w:rPr>
                <w:rFonts w:cs="Times New Roman"/>
                <w:szCs w:val="22"/>
              </w:rPr>
            </w:pPr>
            <w:r w:rsidRPr="00CA4DFF">
              <w:rPr>
                <w:rFonts w:cs="Times New Roman"/>
                <w:szCs w:val="22"/>
              </w:rPr>
              <w:t xml:space="preserve">    74.50</w:t>
            </w:r>
          </w:p>
        </w:tc>
      </w:tr>
    </w:tbl>
    <w:p w:rsidR="00070744" w:rsidRPr="00CA4DFF" w:rsidRDefault="00070744" w:rsidP="00070744">
      <w:pPr>
        <w:rPr>
          <w:rFonts w:cs="Times New Roman"/>
          <w:szCs w:val="22"/>
        </w:rPr>
      </w:pPr>
    </w:p>
    <w:tbl>
      <w:tblPr>
        <w:tblW w:w="5000" w:type="pct"/>
        <w:shd w:val="clear" w:color="auto" w:fill="FFFFFF"/>
        <w:tblCellMar>
          <w:left w:w="0" w:type="dxa"/>
          <w:right w:w="0" w:type="dxa"/>
        </w:tblCellMar>
        <w:tblLook w:val="04A0" w:firstRow="1" w:lastRow="0" w:firstColumn="1" w:lastColumn="0" w:noHBand="0" w:noVBand="1"/>
      </w:tblPr>
      <w:tblGrid>
        <w:gridCol w:w="1218"/>
        <w:gridCol w:w="5319"/>
        <w:gridCol w:w="755"/>
        <w:gridCol w:w="1235"/>
      </w:tblGrid>
      <w:tr w:rsidR="00070744" w:rsidRPr="00CA4DFF" w:rsidTr="005C0174">
        <w:trPr>
          <w:tblHeader/>
        </w:trPr>
        <w:tc>
          <w:tcPr>
            <w:tcW w:w="5000" w:type="pct"/>
            <w:gridSpan w:val="4"/>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Group P7—Genetics</w:t>
            </w:r>
          </w:p>
        </w:tc>
      </w:tr>
      <w:tr w:rsidR="00070744" w:rsidRPr="00CA4DFF" w:rsidTr="005C0174">
        <w:trPr>
          <w:tblHeader/>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Item</w:t>
            </w:r>
          </w:p>
        </w:tc>
        <w:tc>
          <w:tcPr>
            <w:tcW w:w="3119"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100" w:afterAutospacing="1" w:line="240" w:lineRule="atLeast"/>
              <w:rPr>
                <w:rFonts w:cs="Times New Roman"/>
                <w:szCs w:val="22"/>
                <w:lang w:eastAsia="en-AU"/>
              </w:rPr>
            </w:pPr>
            <w:r w:rsidRPr="00CA4DFF">
              <w:rPr>
                <w:rFonts w:cs="Times New Roman"/>
                <w:b/>
                <w:bCs/>
                <w:color w:val="000000"/>
                <w:szCs w:val="22"/>
                <w:lang w:eastAsia="en-AU"/>
              </w:rPr>
              <w:t>Description</w:t>
            </w:r>
          </w:p>
        </w:tc>
        <w:tc>
          <w:tcPr>
            <w:tcW w:w="1167"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line="240" w:lineRule="atLeast"/>
              <w:ind w:left="957" w:right="-382"/>
              <w:rPr>
                <w:rFonts w:cs="Times New Roman"/>
                <w:szCs w:val="22"/>
                <w:lang w:eastAsia="en-AU"/>
              </w:rPr>
            </w:pPr>
            <w:r w:rsidRPr="00CA4DFF">
              <w:rPr>
                <w:rFonts w:cs="Times New Roman"/>
                <w:b/>
                <w:bCs/>
                <w:color w:val="000000"/>
                <w:szCs w:val="22"/>
                <w:lang w:eastAsia="en-AU"/>
              </w:rPr>
              <w:t>Fee ($)</w:t>
            </w:r>
          </w:p>
        </w:tc>
      </w:tr>
      <w:tr w:rsidR="00D33614" w:rsidRPr="00CA4DFF" w:rsidTr="00B87961">
        <w:trPr>
          <w:cantSplit/>
        </w:trPr>
        <w:tc>
          <w:tcPr>
            <w:tcW w:w="714" w:type="pct"/>
            <w:tcBorders>
              <w:top w:val="nil"/>
              <w:left w:val="nil"/>
              <w:bottom w:val="single" w:sz="12" w:space="0" w:color="auto"/>
              <w:right w:val="nil"/>
            </w:tcBorders>
            <w:shd w:val="clear" w:color="auto" w:fill="auto"/>
            <w:tcMar>
              <w:top w:w="0" w:type="dxa"/>
              <w:left w:w="107" w:type="dxa"/>
              <w:bottom w:w="0" w:type="dxa"/>
              <w:right w:w="107" w:type="dxa"/>
            </w:tcMar>
          </w:tcPr>
          <w:p w:rsidR="00D33614" w:rsidRPr="00CA4DFF" w:rsidRDefault="00D33614" w:rsidP="006B4376">
            <w:pPr>
              <w:spacing w:before="60" w:after="60" w:line="276" w:lineRule="auto"/>
              <w:rPr>
                <w:rFonts w:cs="Times New Roman"/>
                <w:szCs w:val="22"/>
                <w:lang w:eastAsia="en-AU"/>
              </w:rPr>
            </w:pPr>
            <w:r w:rsidRPr="00CA4DFF">
              <w:rPr>
                <w:rFonts w:eastAsia="Calibri" w:cs="Times New Roman"/>
                <w:szCs w:val="22"/>
                <w:lang w:eastAsia="en-AU"/>
              </w:rPr>
              <w:t>73295</w:t>
            </w:r>
          </w:p>
        </w:tc>
        <w:tc>
          <w:tcPr>
            <w:tcW w:w="3562" w:type="pct"/>
            <w:gridSpan w:val="2"/>
            <w:tcBorders>
              <w:top w:val="nil"/>
              <w:left w:val="nil"/>
              <w:bottom w:val="single" w:sz="12" w:space="0" w:color="auto"/>
              <w:right w:val="nil"/>
            </w:tcBorders>
            <w:shd w:val="clear" w:color="auto" w:fill="auto"/>
            <w:tcMar>
              <w:top w:w="0" w:type="dxa"/>
              <w:left w:w="107" w:type="dxa"/>
              <w:bottom w:w="0" w:type="dxa"/>
              <w:right w:w="107" w:type="dxa"/>
            </w:tcMar>
          </w:tcPr>
          <w:p w:rsidR="00D33614" w:rsidRPr="00CA4DFF" w:rsidRDefault="00D33614" w:rsidP="00B87961">
            <w:pPr>
              <w:shd w:val="clear" w:color="auto" w:fill="FFFFFF"/>
              <w:spacing w:before="100" w:beforeAutospacing="1" w:after="100" w:afterAutospacing="1" w:line="240" w:lineRule="atLeast"/>
              <w:rPr>
                <w:rFonts w:eastAsia="Calibri" w:cs="Times New Roman"/>
                <w:szCs w:val="22"/>
                <w:lang w:eastAsia="en-AU"/>
              </w:rPr>
            </w:pPr>
            <w:r w:rsidRPr="00CA4DFF">
              <w:rPr>
                <w:rFonts w:eastAsia="Calibri" w:cs="Times New Roman"/>
                <w:szCs w:val="22"/>
                <w:lang w:eastAsia="en-AU"/>
              </w:rPr>
              <w:t xml:space="preserve">Detection of germline </w:t>
            </w:r>
            <w:r w:rsidRPr="00CA4DFF">
              <w:rPr>
                <w:rFonts w:eastAsia="Calibri" w:cs="Times New Roman"/>
                <w:i/>
                <w:szCs w:val="22"/>
                <w:lang w:eastAsia="en-AU"/>
              </w:rPr>
              <w:t>BRCA1</w:t>
            </w:r>
            <w:r w:rsidRPr="00CA4DFF">
              <w:rPr>
                <w:rFonts w:eastAsia="Calibri" w:cs="Times New Roman"/>
                <w:szCs w:val="22"/>
                <w:lang w:eastAsia="en-AU"/>
              </w:rPr>
              <w:t xml:space="preserve"> or </w:t>
            </w:r>
            <w:r w:rsidRPr="00CA4DFF">
              <w:rPr>
                <w:rFonts w:eastAsia="Calibri" w:cs="Times New Roman"/>
                <w:i/>
                <w:szCs w:val="22"/>
                <w:lang w:eastAsia="en-AU"/>
              </w:rPr>
              <w:t>BRCA2</w:t>
            </w:r>
            <w:r w:rsidRPr="00CA4DFF">
              <w:rPr>
                <w:rFonts w:eastAsia="Calibri" w:cs="Times New Roman"/>
                <w:szCs w:val="22"/>
                <w:lang w:eastAsia="en-AU"/>
              </w:rPr>
              <w:t xml:space="preserve"> pathogenic or likely pathogenic gene variants, in a patient with advanced (FIGO III-IV) high-grade serous or high-grade epithelial ovarian, fallopian tube or primary peritoneal cancer for whom testing of tumour tissue is not feasible, requested by a </w:t>
            </w:r>
            <w:r w:rsidRPr="00B87961">
              <w:rPr>
                <w:rFonts w:cs="Times New Roman"/>
                <w:szCs w:val="22"/>
                <w:lang w:eastAsia="en-AU"/>
              </w:rPr>
              <w:t>specialist</w:t>
            </w:r>
            <w:r w:rsidRPr="00CA4DFF">
              <w:rPr>
                <w:rFonts w:eastAsia="Calibri" w:cs="Times New Roman"/>
                <w:szCs w:val="22"/>
                <w:lang w:eastAsia="en-AU"/>
              </w:rPr>
              <w:t xml:space="preserve"> or consultant physician, to determine eligibility for olaparib under the Pharmaceutical Benefits Scheme (PBS)</w:t>
            </w:r>
          </w:p>
          <w:p w:rsidR="00D33614" w:rsidRPr="00CA4DFF" w:rsidRDefault="00D33614" w:rsidP="006B4376">
            <w:pPr>
              <w:shd w:val="clear" w:color="auto" w:fill="FFFFFF"/>
              <w:spacing w:before="100" w:beforeAutospacing="1" w:line="240" w:lineRule="atLeast"/>
              <w:rPr>
                <w:rFonts w:cs="Times New Roman"/>
                <w:szCs w:val="22"/>
                <w:lang w:eastAsia="en-AU"/>
              </w:rPr>
            </w:pPr>
            <w:r w:rsidRPr="00CA4DFF">
              <w:rPr>
                <w:rFonts w:eastAsia="Calibri" w:cs="Times New Roman"/>
                <w:szCs w:val="22"/>
                <w:lang w:eastAsia="en-AU"/>
              </w:rPr>
              <w:t>Maximum of one test per patient’s lifetime</w:t>
            </w:r>
          </w:p>
        </w:tc>
        <w:tc>
          <w:tcPr>
            <w:tcW w:w="724" w:type="pct"/>
            <w:tcBorders>
              <w:top w:val="nil"/>
              <w:left w:val="nil"/>
              <w:bottom w:val="single" w:sz="12" w:space="0" w:color="auto"/>
              <w:right w:val="nil"/>
            </w:tcBorders>
            <w:shd w:val="clear" w:color="auto" w:fill="auto"/>
            <w:tcMar>
              <w:top w:w="0" w:type="dxa"/>
              <w:left w:w="107" w:type="dxa"/>
              <w:bottom w:w="0" w:type="dxa"/>
              <w:right w:w="107" w:type="dxa"/>
            </w:tcMar>
          </w:tcPr>
          <w:p w:rsidR="00D33614" w:rsidRPr="00CA4DFF" w:rsidRDefault="00D33614" w:rsidP="006B4376">
            <w:pPr>
              <w:keepNext/>
              <w:spacing w:before="60" w:after="60" w:line="276" w:lineRule="auto"/>
              <w:ind w:left="177"/>
              <w:rPr>
                <w:rFonts w:cs="Times New Roman"/>
                <w:szCs w:val="22"/>
                <w:lang w:eastAsia="en-AU"/>
              </w:rPr>
            </w:pPr>
            <w:r w:rsidRPr="00CA4DFF">
              <w:rPr>
                <w:rFonts w:eastAsia="Calibri" w:cs="Times New Roman"/>
                <w:szCs w:val="22"/>
                <w:lang w:eastAsia="en-AU"/>
              </w:rPr>
              <w:t>1,200.00</w:t>
            </w:r>
          </w:p>
        </w:tc>
      </w:tr>
      <w:tr w:rsidR="00B87961" w:rsidRPr="00CA4DFF" w:rsidTr="00B87961">
        <w:trPr>
          <w:cantSplit/>
        </w:trPr>
        <w:tc>
          <w:tcPr>
            <w:tcW w:w="714" w:type="pct"/>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spacing w:before="60" w:after="60" w:line="276" w:lineRule="auto"/>
              <w:rPr>
                <w:rFonts w:eastAsia="Calibri" w:cs="Times New Roman"/>
                <w:szCs w:val="22"/>
                <w:lang w:eastAsia="en-AU"/>
              </w:rPr>
            </w:pPr>
            <w:r w:rsidRPr="00690FDA">
              <w:rPr>
                <w:rFonts w:eastAsia="Calibri" w:cs="Times New Roman"/>
                <w:szCs w:val="22"/>
                <w:lang w:eastAsia="en-AU"/>
              </w:rPr>
              <w:t>73301</w:t>
            </w:r>
          </w:p>
        </w:tc>
        <w:tc>
          <w:tcPr>
            <w:tcW w:w="3562" w:type="pct"/>
            <w:gridSpan w:val="2"/>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shd w:val="clear" w:color="auto" w:fill="FFFFFF"/>
              <w:spacing w:after="120" w:line="240" w:lineRule="auto"/>
              <w:rPr>
                <w:rFonts w:eastAsia="Calibri" w:cs="Times New Roman"/>
                <w:szCs w:val="22"/>
                <w:lang w:eastAsia="en-AU"/>
              </w:rPr>
            </w:pPr>
            <w:r w:rsidRPr="00690FDA">
              <w:t xml:space="preserve">A test of tumour tissue from a patient with advanced (FIGO III-IV), high grade serous or high grade epithelial ovarian, fallopian tube or primary peritoneal cancer, requested by a specialist or consultant physician, to determine eligibility relating to </w:t>
            </w:r>
            <w:r w:rsidRPr="00690FDA">
              <w:rPr>
                <w:i/>
              </w:rPr>
              <w:t>BRCA</w:t>
            </w:r>
            <w:r w:rsidRPr="00690FDA">
              <w:t xml:space="preserve"> status for access to olaparib under the </w:t>
            </w:r>
            <w:r w:rsidRPr="00690FDA">
              <w:rPr>
                <w:rFonts w:eastAsia="Calibri" w:cs="Times New Roman"/>
                <w:szCs w:val="22"/>
                <w:lang w:eastAsia="en-AU"/>
              </w:rPr>
              <w:t>Pharmaceutical Benefits Scheme (PBS)</w:t>
            </w:r>
          </w:p>
          <w:p w:rsidR="00B87961" w:rsidRPr="00690FDA" w:rsidRDefault="00B87961" w:rsidP="00853B5F">
            <w:pPr>
              <w:shd w:val="clear" w:color="auto" w:fill="FFFFFF"/>
              <w:spacing w:after="120" w:line="240" w:lineRule="auto"/>
              <w:rPr>
                <w:rFonts w:eastAsia="Calibri"/>
                <w:szCs w:val="22"/>
                <w:lang w:eastAsia="en-AU"/>
              </w:rPr>
            </w:pPr>
            <w:r w:rsidRPr="00690FDA">
              <w:rPr>
                <w:rFonts w:eastAsia="Calibri" w:cs="Times New Roman"/>
                <w:szCs w:val="22"/>
                <w:lang w:eastAsia="en-AU"/>
              </w:rPr>
              <w:t>Applicable</w:t>
            </w:r>
            <w:r w:rsidRPr="00690FDA">
              <w:rPr>
                <w:rFonts w:eastAsia="Calibri"/>
                <w:szCs w:val="22"/>
                <w:lang w:eastAsia="en-AU"/>
              </w:rPr>
              <w:t xml:space="preserve"> once per primary tumour diagnosis</w:t>
            </w:r>
          </w:p>
        </w:tc>
        <w:tc>
          <w:tcPr>
            <w:tcW w:w="724" w:type="pct"/>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keepNext/>
              <w:spacing w:before="60" w:after="60" w:line="276" w:lineRule="auto"/>
              <w:ind w:left="177"/>
              <w:rPr>
                <w:rFonts w:eastAsia="Calibri" w:cs="Times New Roman"/>
                <w:szCs w:val="22"/>
                <w:lang w:eastAsia="en-AU"/>
              </w:rPr>
            </w:pPr>
            <w:r w:rsidRPr="00690FDA">
              <w:rPr>
                <w:rFonts w:eastAsia="Calibri" w:cs="Times New Roman"/>
                <w:szCs w:val="22"/>
                <w:lang w:eastAsia="en-AU"/>
              </w:rPr>
              <w:t>1,200.00</w:t>
            </w:r>
          </w:p>
        </w:tc>
      </w:tr>
      <w:tr w:rsidR="00B87961" w:rsidRPr="00CA4DFF" w:rsidTr="00B87961">
        <w:trPr>
          <w:cantSplit/>
        </w:trPr>
        <w:tc>
          <w:tcPr>
            <w:tcW w:w="714" w:type="pct"/>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spacing w:before="60" w:after="60" w:line="276" w:lineRule="auto"/>
              <w:rPr>
                <w:rFonts w:eastAsia="Calibri" w:cs="Times New Roman"/>
                <w:szCs w:val="22"/>
                <w:lang w:eastAsia="en-AU"/>
              </w:rPr>
            </w:pPr>
            <w:r w:rsidRPr="00690FDA">
              <w:rPr>
                <w:rFonts w:eastAsia="Calibri" w:cs="Times New Roman"/>
                <w:szCs w:val="22"/>
                <w:lang w:eastAsia="en-AU"/>
              </w:rPr>
              <w:t>73302</w:t>
            </w:r>
          </w:p>
        </w:tc>
        <w:tc>
          <w:tcPr>
            <w:tcW w:w="3562" w:type="pct"/>
            <w:gridSpan w:val="2"/>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shd w:val="clear" w:color="auto" w:fill="FFFFFF"/>
              <w:spacing w:after="120" w:line="240" w:lineRule="auto"/>
              <w:rPr>
                <w:rFonts w:eastAsia="Calibri" w:cs="Times New Roman"/>
                <w:szCs w:val="22"/>
                <w:lang w:eastAsia="en-AU"/>
              </w:rPr>
            </w:pPr>
            <w:r w:rsidRPr="00690FDA">
              <w:rPr>
                <w:rFonts w:eastAsia="Calibri" w:cs="Times New Roman"/>
                <w:szCs w:val="22"/>
                <w:lang w:eastAsia="en-AU"/>
              </w:rPr>
              <w:t xml:space="preserve">Characterisation of germline gene variants including copy number variants, in </w:t>
            </w:r>
            <w:r w:rsidRPr="00690FDA">
              <w:rPr>
                <w:rFonts w:eastAsia="Calibri" w:cs="Times New Roman"/>
                <w:i/>
                <w:szCs w:val="22"/>
                <w:lang w:eastAsia="en-AU"/>
              </w:rPr>
              <w:t>BRCA1</w:t>
            </w:r>
            <w:r w:rsidRPr="00690FDA">
              <w:rPr>
                <w:rFonts w:eastAsia="Calibri" w:cs="Times New Roman"/>
                <w:szCs w:val="22"/>
                <w:lang w:eastAsia="en-AU"/>
              </w:rPr>
              <w:t xml:space="preserve"> or </w:t>
            </w:r>
            <w:r w:rsidRPr="00690FDA">
              <w:rPr>
                <w:rFonts w:eastAsia="Calibri" w:cs="Times New Roman"/>
                <w:i/>
                <w:szCs w:val="22"/>
                <w:lang w:eastAsia="en-AU"/>
              </w:rPr>
              <w:t>BRCA2</w:t>
            </w:r>
            <w:r w:rsidRPr="00690FDA">
              <w:rPr>
                <w:rFonts w:eastAsia="Calibri" w:cs="Times New Roman"/>
                <w:szCs w:val="22"/>
                <w:lang w:eastAsia="en-AU"/>
              </w:rPr>
              <w:t xml:space="preserve"> genes, in a patient who has had a pathogenic or likely pathogenic variant identified in either gene by tumour testing and who has not previously received a service to which items 73295, 73296 or 73297 applies, requested by a specialist or consultant physician</w:t>
            </w:r>
          </w:p>
          <w:p w:rsidR="00B87961" w:rsidRPr="00690FDA" w:rsidRDefault="00B87961" w:rsidP="00853B5F">
            <w:pPr>
              <w:shd w:val="clear" w:color="auto" w:fill="FFFFFF"/>
              <w:spacing w:after="120" w:line="240" w:lineRule="auto"/>
              <w:rPr>
                <w:rFonts w:eastAsia="Calibri" w:cs="Times New Roman"/>
                <w:szCs w:val="22"/>
                <w:lang w:eastAsia="en-AU"/>
              </w:rPr>
            </w:pPr>
            <w:r w:rsidRPr="00690FDA">
              <w:rPr>
                <w:rFonts w:eastAsia="Calibri" w:cs="Times New Roman"/>
                <w:szCs w:val="22"/>
                <w:lang w:eastAsia="en-AU"/>
              </w:rPr>
              <w:t>Applicable once per primary tumour diagnosis</w:t>
            </w:r>
          </w:p>
          <w:p w:rsidR="00B87961" w:rsidRPr="00690FDA" w:rsidRDefault="00B87961" w:rsidP="00853B5F">
            <w:pPr>
              <w:shd w:val="clear" w:color="auto" w:fill="FFFFFF"/>
              <w:spacing w:after="120" w:line="240" w:lineRule="auto"/>
              <w:rPr>
                <w:rFonts w:eastAsia="Calibri" w:cs="Times New Roman"/>
                <w:szCs w:val="22"/>
                <w:lang w:eastAsia="en-AU"/>
              </w:rPr>
            </w:pPr>
            <w:r w:rsidRPr="00690FDA">
              <w:rPr>
                <w:rFonts w:eastAsia="Calibri" w:cs="Times New Roman"/>
                <w:szCs w:val="22"/>
                <w:lang w:eastAsia="en-AU"/>
              </w:rPr>
              <w:t>Note: Items 73296 and 73297 are in the pathology services table.</w:t>
            </w:r>
          </w:p>
        </w:tc>
        <w:tc>
          <w:tcPr>
            <w:tcW w:w="724" w:type="pct"/>
            <w:tcBorders>
              <w:top w:val="nil"/>
              <w:left w:val="nil"/>
              <w:bottom w:val="single" w:sz="12" w:space="0" w:color="auto"/>
              <w:right w:val="nil"/>
            </w:tcBorders>
            <w:shd w:val="clear" w:color="auto" w:fill="auto"/>
            <w:tcMar>
              <w:top w:w="0" w:type="dxa"/>
              <w:left w:w="107" w:type="dxa"/>
              <w:bottom w:w="0" w:type="dxa"/>
              <w:right w:w="107" w:type="dxa"/>
            </w:tcMar>
          </w:tcPr>
          <w:p w:rsidR="00B87961" w:rsidRPr="00690FDA" w:rsidRDefault="00B87961" w:rsidP="00853B5F">
            <w:pPr>
              <w:keepNext/>
              <w:spacing w:before="60" w:after="60" w:line="276" w:lineRule="auto"/>
              <w:ind w:left="177"/>
              <w:rPr>
                <w:rFonts w:eastAsia="Calibri" w:cs="Times New Roman"/>
                <w:szCs w:val="22"/>
                <w:lang w:eastAsia="en-AU"/>
              </w:rPr>
            </w:pPr>
            <w:r w:rsidRPr="00690FDA">
              <w:rPr>
                <w:rFonts w:eastAsia="Calibri" w:cs="Times New Roman"/>
                <w:szCs w:val="22"/>
                <w:lang w:eastAsia="en-AU"/>
              </w:rPr>
              <w:t>400.00</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t>73332</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hd w:val="clear" w:color="auto" w:fill="FFFFFF"/>
              <w:spacing w:before="100" w:beforeAutospacing="1" w:after="100" w:afterAutospacing="1" w:line="240" w:lineRule="atLeast"/>
              <w:rPr>
                <w:rFonts w:cs="Times New Roman"/>
                <w:szCs w:val="22"/>
                <w:lang w:eastAsia="en-AU"/>
              </w:rPr>
            </w:pPr>
            <w:r w:rsidRPr="00CA4DFF">
              <w:rPr>
                <w:rFonts w:cs="Times New Roman"/>
                <w:szCs w:val="22"/>
                <w:lang w:eastAsia="en-AU"/>
              </w:rPr>
              <w:t>An in situ hybridisation (ISH) test of tumour tissue from a patient with breast cancer requested by, or on the advice of, a specialist or consultant physician who manages the treatment of the patient to determine if the requirements relating to human epidermal growth factor receptor 2 (HER2) gene amplification for access to trastuzumab under the Pharmaceutical Benefits Scheme or the Herceptin Program are fulfilled.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315.40</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lastRenderedPageBreak/>
              <w:t>73336</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C40703">
            <w:pPr>
              <w:shd w:val="clear" w:color="auto" w:fill="FFFFFF"/>
              <w:spacing w:before="100" w:beforeAutospacing="1" w:after="100" w:afterAutospacing="1" w:line="240" w:lineRule="atLeast"/>
              <w:rPr>
                <w:rFonts w:cs="Times New Roman"/>
                <w:szCs w:val="22"/>
                <w:lang w:eastAsia="en-AU"/>
              </w:rPr>
            </w:pPr>
            <w:r w:rsidRPr="00CA4DFF">
              <w:rPr>
                <w:rFonts w:cs="Times New Roman"/>
                <w:szCs w:val="22"/>
                <w:lang w:eastAsia="en-AU"/>
              </w:rPr>
              <w:t xml:space="preserve">A test of tumour tissue from a patient with stage III or stage IV metastatic cutaneous melanoma, requested by, or on behalf of, a specialist or consultant physician, to determine if the requirements relating to BRAF V600 mutation status for access to </w:t>
            </w:r>
            <w:r w:rsidR="00146DB3" w:rsidRPr="00CA4DFF">
              <w:rPr>
                <w:rFonts w:cs="Times New Roman"/>
                <w:szCs w:val="22"/>
                <w:lang w:eastAsia="en-AU"/>
              </w:rPr>
              <w:t>dabrafenib, vemurafenib or encorafenib</w:t>
            </w:r>
            <w:r w:rsidRPr="00CA4DFF">
              <w:rPr>
                <w:rFonts w:cs="Times New Roman"/>
                <w:szCs w:val="22"/>
                <w:lang w:eastAsia="en-AU"/>
              </w:rPr>
              <w:t xml:space="preserve"> under the Pharmaceutical Benefits Scheme are fulfilled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230.95</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t>73337</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7E2479" w:rsidRPr="00A45E9D" w:rsidRDefault="007E2479" w:rsidP="007F166C">
            <w:r w:rsidRPr="00A45E9D">
              <w:t>A test of tumour tissue from a patient diagnosed with non-small cell lung cancer, shown to have non-squamous histology or histology not otherwise specified, requested by, or on behalf of, a specialist or consultant physician, to determine:</w:t>
            </w:r>
          </w:p>
          <w:p w:rsidR="007E2479" w:rsidRPr="00A45E9D" w:rsidRDefault="007E2479" w:rsidP="004668A5">
            <w:pPr>
              <w:pStyle w:val="Item"/>
              <w:ind w:left="342" w:hanging="356"/>
              <w:rPr>
                <w:rFonts w:ascii="Tms Rmn" w:hAnsi="Tms Rmn"/>
              </w:rPr>
            </w:pPr>
            <w:r w:rsidRPr="00A45E9D">
              <w:t>(a)</w:t>
            </w:r>
            <w:r w:rsidRPr="00A45E9D">
              <w:tab/>
            </w:r>
            <w:r w:rsidRPr="00A45E9D">
              <w:rPr>
                <w:rFonts w:ascii="Tms Rmn" w:hAnsi="Tms Rmn"/>
              </w:rPr>
              <w:t xml:space="preserve">if the requirements relating to epidermal growth factor receptor (EGFR) gene status for access to an EGFR tyrosine kinase inhibitor under the Pharmaceutical Benefits Scheme are fulfilled; or </w:t>
            </w:r>
          </w:p>
          <w:p w:rsidR="00070744" w:rsidRPr="00CA4DFF" w:rsidRDefault="007E2479" w:rsidP="007F166C">
            <w:pPr>
              <w:pStyle w:val="Item"/>
              <w:ind w:left="342" w:hanging="356"/>
              <w:rPr>
                <w:szCs w:val="22"/>
              </w:rPr>
            </w:pPr>
            <w:r w:rsidRPr="00A45E9D">
              <w:rPr>
                <w:lang w:eastAsia="en-US"/>
              </w:rPr>
              <w:t>(b)</w:t>
            </w:r>
            <w:r w:rsidRPr="00A45E9D">
              <w:rPr>
                <w:lang w:eastAsia="en-US"/>
              </w:rPr>
              <w:tab/>
              <w:t>if the requirements relating to EGFR status for access to pembrolizumab under the Pharmaceutical Benefits Scheme are fulfilled.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397.35</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t>73338</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hd w:val="clear" w:color="auto" w:fill="FFFFFF"/>
              <w:spacing w:before="100" w:beforeAutospacing="1" w:line="240" w:lineRule="atLeast"/>
              <w:rPr>
                <w:rFonts w:cs="Times New Roman"/>
                <w:szCs w:val="22"/>
                <w:lang w:eastAsia="en-AU"/>
              </w:rPr>
            </w:pPr>
            <w:r w:rsidRPr="00CA4DFF">
              <w:rPr>
                <w:rFonts w:cs="Times New Roman"/>
                <w:szCs w:val="22"/>
                <w:lang w:eastAsia="en-AU"/>
              </w:rPr>
              <w:t>A test of tumour tissue from a patient with metastatic colorectal cancer (stage IV), requested by a specialist or consultant physician, to determine if the requirements relating to rat sarcoma oncogene (RAS) gene mutation status for access to cetuximab or panitumumab under the Pharmaceutical Benefits Scheme are fulfilled, if:</w:t>
            </w:r>
          </w:p>
          <w:p w:rsidR="00070744" w:rsidRPr="00CA4DFF" w:rsidRDefault="00070744" w:rsidP="006B4376">
            <w:pPr>
              <w:shd w:val="clear" w:color="auto" w:fill="FFFFFF"/>
              <w:spacing w:before="120" w:line="240" w:lineRule="atLeast"/>
              <w:ind w:left="567"/>
              <w:rPr>
                <w:rFonts w:cs="Times New Roman"/>
                <w:szCs w:val="22"/>
                <w:lang w:eastAsia="en-AU"/>
              </w:rPr>
            </w:pPr>
            <w:r w:rsidRPr="00CA4DFF">
              <w:rPr>
                <w:rFonts w:cs="Times New Roman"/>
                <w:szCs w:val="22"/>
                <w:lang w:eastAsia="en-AU"/>
              </w:rPr>
              <w:t>(a) the test is conducted for all clinically relevant mutations on KRAS exons 2, 3 and 4 and NRAS exons 2, 3, and 4; or</w:t>
            </w:r>
          </w:p>
          <w:p w:rsidR="00070744" w:rsidRPr="00CA4DFF" w:rsidRDefault="00070744" w:rsidP="006B4376">
            <w:pPr>
              <w:shd w:val="clear" w:color="auto" w:fill="FFFFFF"/>
              <w:spacing w:before="120" w:line="240" w:lineRule="atLeast"/>
              <w:ind w:left="567"/>
              <w:rPr>
                <w:rFonts w:cs="Times New Roman"/>
                <w:szCs w:val="22"/>
                <w:lang w:eastAsia="en-AU"/>
              </w:rPr>
            </w:pPr>
            <w:r w:rsidRPr="00CA4DFF">
              <w:rPr>
                <w:rFonts w:cs="Times New Roman"/>
                <w:szCs w:val="22"/>
                <w:lang w:eastAsia="en-AU"/>
              </w:rPr>
              <w:t>(b) a RAS mutation is found.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362.60</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t>73341</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7E2479" w:rsidRPr="00A45E9D" w:rsidRDefault="007E2479" w:rsidP="00103408">
            <w:r w:rsidRPr="00A45E9D">
              <w:t>Fluorescence in situ hybridisation (FISH) test of tumour tissue from a patient with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to determine:</w:t>
            </w:r>
          </w:p>
          <w:p w:rsidR="007E2479" w:rsidRPr="004668A5" w:rsidRDefault="007E2479" w:rsidP="00103408">
            <w:pPr>
              <w:pStyle w:val="Item"/>
              <w:ind w:left="342" w:hanging="342"/>
            </w:pPr>
            <w:r w:rsidRPr="004668A5">
              <w:t>(a)</w:t>
            </w:r>
            <w:r w:rsidRPr="004668A5">
              <w:tab/>
              <w:t>if requirements relating to ALK gene rearrangement status for access to an anaplastic lymphoma kinase inhibitor under the Pharmaceutical Benefits Scheme are fulfilled; or</w:t>
            </w:r>
          </w:p>
          <w:p w:rsidR="00070744" w:rsidRPr="007F166C" w:rsidRDefault="007E2479" w:rsidP="007F166C">
            <w:pPr>
              <w:pStyle w:val="Item"/>
              <w:ind w:left="342" w:hanging="342"/>
            </w:pPr>
            <w:r w:rsidRPr="004668A5">
              <w:t>(b)</w:t>
            </w:r>
            <w:r w:rsidRPr="004668A5">
              <w:tab/>
              <w:t>if requirements relating to ALK status for access to pembrolizumab under the Pharmaceutical Benefits Scheme are fulfilled.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400.00</w:t>
            </w:r>
          </w:p>
        </w:tc>
      </w:tr>
      <w:tr w:rsidR="00070744" w:rsidRPr="00CA4DFF" w:rsidTr="005C0174">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pacing w:before="60" w:after="60" w:line="276" w:lineRule="auto"/>
              <w:rPr>
                <w:rFonts w:cs="Times New Roman"/>
                <w:szCs w:val="22"/>
                <w:lang w:eastAsia="en-AU"/>
              </w:rPr>
            </w:pPr>
            <w:r w:rsidRPr="00CA4DFF">
              <w:rPr>
                <w:rFonts w:cs="Times New Roman"/>
                <w:szCs w:val="22"/>
                <w:lang w:eastAsia="en-AU"/>
              </w:rPr>
              <w:lastRenderedPageBreak/>
              <w:t>73342</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shd w:val="clear" w:color="auto" w:fill="FFFFFF"/>
              <w:spacing w:before="100" w:beforeAutospacing="1" w:after="100" w:afterAutospacing="1" w:line="240" w:lineRule="atLeast"/>
              <w:rPr>
                <w:rFonts w:cs="Times New Roman"/>
                <w:szCs w:val="22"/>
                <w:lang w:eastAsia="en-AU"/>
              </w:rPr>
            </w:pPr>
            <w:r w:rsidRPr="00CA4DFF">
              <w:rPr>
                <w:rFonts w:cs="Times New Roman"/>
                <w:szCs w:val="22"/>
                <w:lang w:eastAsia="en-AU"/>
              </w:rPr>
              <w:t>An in situ hybridisation (ISH) test of tumour tissue from a patient with metastatic adenocarcinoma of the stomach or gastro</w:t>
            </w:r>
            <w:r w:rsidR="00C468E2" w:rsidRPr="00CA4DFF">
              <w:rPr>
                <w:rFonts w:cs="Times New Roman"/>
                <w:szCs w:val="22"/>
                <w:lang w:eastAsia="en-AU"/>
              </w:rPr>
              <w:noBreakHyphen/>
            </w:r>
            <w:r w:rsidRPr="00CA4DFF">
              <w:rPr>
                <w:rFonts w:cs="Times New Roman"/>
                <w:szCs w:val="22"/>
                <w:lang w:eastAsia="en-AU"/>
              </w:rPr>
              <w:t>oesophageal junction, with documented evidence of human epidermal growth factor receptor 2 (HER2) overexpression by immunohistochemical (IHC) examination giving a staining intensity score of 2+ or 3+ on the same tumour tissue sample, requested by, or on the advice of, a specialist or consultant physician who manages the treatment of the patient to determine if the requirements relating to HER2 gene amplification for access to trastuzumab under the Pharmaceutical Benefits Scheme are fulfilled.</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hideMark/>
          </w:tcPr>
          <w:p w:rsidR="00070744" w:rsidRPr="00CA4DFF" w:rsidRDefault="00070744" w:rsidP="006B4376">
            <w:pPr>
              <w:keepNext/>
              <w:spacing w:before="60" w:after="60" w:line="276" w:lineRule="auto"/>
              <w:ind w:left="177"/>
              <w:rPr>
                <w:rFonts w:cs="Times New Roman"/>
                <w:szCs w:val="22"/>
                <w:lang w:eastAsia="en-AU"/>
              </w:rPr>
            </w:pPr>
            <w:r w:rsidRPr="00CA4DFF">
              <w:rPr>
                <w:rFonts w:cs="Times New Roman"/>
                <w:szCs w:val="22"/>
                <w:lang w:eastAsia="en-AU"/>
              </w:rPr>
              <w:t>315.40</w:t>
            </w:r>
          </w:p>
        </w:tc>
      </w:tr>
      <w:tr w:rsidR="00224D0E" w:rsidRPr="00CA4DFF" w:rsidDel="00224D0E" w:rsidTr="009578FA">
        <w:trPr>
          <w:cantSplit/>
        </w:trPr>
        <w:tc>
          <w:tcPr>
            <w:tcW w:w="714" w:type="pct"/>
            <w:tcBorders>
              <w:top w:val="nil"/>
              <w:left w:val="nil"/>
              <w:bottom w:val="single" w:sz="12" w:space="0" w:color="auto"/>
              <w:right w:val="nil"/>
            </w:tcBorders>
            <w:shd w:val="clear" w:color="auto" w:fill="FFFFFF"/>
            <w:tcMar>
              <w:top w:w="0" w:type="dxa"/>
              <w:left w:w="107" w:type="dxa"/>
              <w:bottom w:w="0" w:type="dxa"/>
              <w:right w:w="107" w:type="dxa"/>
            </w:tcMar>
          </w:tcPr>
          <w:p w:rsidR="00224D0E" w:rsidRPr="00CA4DFF" w:rsidDel="00224D0E" w:rsidRDefault="00224D0E" w:rsidP="00224D0E">
            <w:pPr>
              <w:spacing w:before="60" w:after="60" w:line="276" w:lineRule="auto"/>
              <w:rPr>
                <w:rFonts w:cs="Times New Roman"/>
                <w:szCs w:val="22"/>
                <w:lang w:eastAsia="en-AU"/>
              </w:rPr>
            </w:pPr>
            <w:r w:rsidRPr="00A45E9D">
              <w:rPr>
                <w:rFonts w:eastAsia="Times New Roman" w:cs="Times New Roman"/>
                <w:color w:val="000000"/>
                <w:szCs w:val="22"/>
                <w:lang w:eastAsia="en-AU"/>
              </w:rPr>
              <w:t>73343</w:t>
            </w:r>
          </w:p>
        </w:tc>
        <w:tc>
          <w:tcPr>
            <w:tcW w:w="3562" w:type="pct"/>
            <w:gridSpan w:val="2"/>
            <w:tcBorders>
              <w:top w:val="nil"/>
              <w:left w:val="nil"/>
              <w:bottom w:val="single" w:sz="12" w:space="0" w:color="auto"/>
              <w:right w:val="nil"/>
            </w:tcBorders>
            <w:shd w:val="clear" w:color="auto" w:fill="FFFFFF"/>
            <w:tcMar>
              <w:top w:w="0" w:type="dxa"/>
              <w:left w:w="107" w:type="dxa"/>
              <w:bottom w:w="0" w:type="dxa"/>
              <w:right w:w="107" w:type="dxa"/>
            </w:tcMar>
          </w:tcPr>
          <w:p w:rsidR="00224D0E" w:rsidRPr="00A45E9D" w:rsidRDefault="00224D0E" w:rsidP="00224D0E">
            <w:pPr>
              <w:shd w:val="clear" w:color="auto" w:fill="FFFFFF"/>
              <w:spacing w:after="120" w:line="240" w:lineRule="atLeast"/>
              <w:rPr>
                <w:rFonts w:eastAsia="Times New Roman" w:cs="Times New Roman"/>
                <w:color w:val="000000"/>
                <w:szCs w:val="22"/>
                <w:lang w:eastAsia="en-AU"/>
              </w:rPr>
            </w:pPr>
            <w:r w:rsidRPr="00A45E9D">
              <w:rPr>
                <w:rFonts w:eastAsia="Times New Roman" w:cs="Times New Roman"/>
                <w:color w:val="000000"/>
                <w:szCs w:val="22"/>
                <w:lang w:eastAsia="en-AU"/>
              </w:rPr>
              <w:t>Detection of 17p chromosomal deletions by fluorescence in situ hybridisation or genome wide micro-array, in a patient with relapsed or refractory chronic lymphocytic leukaemia or small lymphocytic lymphoma, on a peripheral blood or bone marrow sample, requested by a specialist or consultant physician, to determine if the requirements for access to idelalisib, ibrutinib, venetoclax or acalabrutinib on the Pharmaceutical Benefits Scheme are fulfilled.</w:t>
            </w:r>
          </w:p>
          <w:p w:rsidR="00224D0E" w:rsidRPr="00CA4DFF" w:rsidDel="00224D0E" w:rsidRDefault="00224D0E" w:rsidP="00224D0E">
            <w:pPr>
              <w:shd w:val="clear" w:color="auto" w:fill="FFFFFF"/>
              <w:spacing w:before="100" w:beforeAutospacing="1" w:after="100" w:afterAutospacing="1" w:line="240" w:lineRule="atLeast"/>
              <w:rPr>
                <w:rFonts w:cs="Times New Roman"/>
                <w:szCs w:val="22"/>
                <w:lang w:eastAsia="en-AU"/>
              </w:rPr>
            </w:pPr>
            <w:r w:rsidRPr="00A45E9D">
              <w:rPr>
                <w:rFonts w:eastAsia="Times New Roman" w:cs="Times New Roman"/>
                <w:color w:val="000000"/>
                <w:szCs w:val="22"/>
                <w:lang w:eastAsia="en-AU"/>
              </w:rPr>
              <w:t>For any particular patient, applicable not more than once in 12 months.</w:t>
            </w:r>
          </w:p>
        </w:tc>
        <w:tc>
          <w:tcPr>
            <w:tcW w:w="724" w:type="pct"/>
            <w:tcBorders>
              <w:top w:val="nil"/>
              <w:left w:val="nil"/>
              <w:bottom w:val="single" w:sz="12" w:space="0" w:color="auto"/>
              <w:right w:val="nil"/>
            </w:tcBorders>
            <w:shd w:val="clear" w:color="auto" w:fill="FFFFFF"/>
            <w:tcMar>
              <w:top w:w="0" w:type="dxa"/>
              <w:left w:w="107" w:type="dxa"/>
              <w:bottom w:w="0" w:type="dxa"/>
              <w:right w:w="107" w:type="dxa"/>
            </w:tcMar>
          </w:tcPr>
          <w:p w:rsidR="00224D0E" w:rsidRPr="00CA4DFF" w:rsidDel="00224D0E" w:rsidRDefault="00224D0E" w:rsidP="00224D0E">
            <w:pPr>
              <w:keepNext/>
              <w:spacing w:before="60" w:after="60" w:line="276" w:lineRule="auto"/>
              <w:ind w:left="177"/>
              <w:rPr>
                <w:rFonts w:cs="Times New Roman"/>
                <w:szCs w:val="22"/>
                <w:lang w:eastAsia="en-AU"/>
              </w:rPr>
            </w:pPr>
            <w:r w:rsidRPr="00A45E9D">
              <w:rPr>
                <w:rFonts w:eastAsia="Times New Roman" w:cs="Times New Roman"/>
                <w:color w:val="000000"/>
                <w:szCs w:val="22"/>
                <w:lang w:eastAsia="en-AU"/>
              </w:rPr>
              <w:t>589.90</w:t>
            </w:r>
          </w:p>
        </w:tc>
      </w:tr>
      <w:tr w:rsidR="00224D0E" w:rsidRPr="00CA4DFF" w:rsidTr="00A91B98">
        <w:trPr>
          <w:cantSplit/>
        </w:trPr>
        <w:tc>
          <w:tcPr>
            <w:tcW w:w="714"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224D0E" w:rsidRPr="00CA4DFF" w:rsidRDefault="00224D0E" w:rsidP="00224D0E">
            <w:pPr>
              <w:spacing w:before="60" w:after="60" w:line="276" w:lineRule="auto"/>
              <w:rPr>
                <w:rFonts w:cs="Times New Roman"/>
                <w:szCs w:val="22"/>
                <w:lang w:eastAsia="en-AU"/>
              </w:rPr>
            </w:pPr>
            <w:r w:rsidRPr="00CA4DFF">
              <w:t>73344</w:t>
            </w:r>
          </w:p>
        </w:tc>
        <w:tc>
          <w:tcPr>
            <w:tcW w:w="3562"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4668A5" w:rsidRPr="00A45E9D" w:rsidRDefault="004668A5" w:rsidP="00103408">
            <w:r w:rsidRPr="00A45E9D">
              <w:t>Fluorescence in situ hybridization (FISH) test of tumour tissue from a patient with locally advanced or metastatic non-small-cell lung cancer, which is 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to determine:</w:t>
            </w:r>
          </w:p>
          <w:p w:rsidR="004668A5" w:rsidRPr="004668A5" w:rsidRDefault="004668A5" w:rsidP="00103408">
            <w:pPr>
              <w:pStyle w:val="Item"/>
              <w:ind w:left="342" w:hanging="356"/>
            </w:pPr>
            <w:r w:rsidRPr="004668A5">
              <w:t>(a)</w:t>
            </w:r>
            <w:r w:rsidRPr="004668A5">
              <w:tab/>
              <w:t>if requirements relating to ROS1 gene arrangement status for access to crizotinib or entrectinib under the Pharmaceutical Benefits Scheme are fulfilled; or</w:t>
            </w:r>
          </w:p>
          <w:p w:rsidR="00224D0E" w:rsidRPr="00CA4DFF" w:rsidRDefault="004668A5" w:rsidP="00103408">
            <w:pPr>
              <w:pStyle w:val="Item"/>
              <w:ind w:left="342" w:hanging="356"/>
            </w:pPr>
            <w:r w:rsidRPr="004668A5">
              <w:t>(b)</w:t>
            </w:r>
            <w:r w:rsidRPr="004668A5">
              <w:tab/>
              <w:t>if requirements relating to ROS1 status for access to pembrolizumab under the Pharmaceutical Benefits Scheme are fulfilled.</w:t>
            </w:r>
          </w:p>
        </w:tc>
        <w:tc>
          <w:tcPr>
            <w:tcW w:w="724"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224D0E" w:rsidRPr="00CA4DFF" w:rsidRDefault="00224D0E" w:rsidP="00224D0E">
            <w:pPr>
              <w:keepNext/>
              <w:spacing w:before="60" w:after="60" w:line="276" w:lineRule="auto"/>
              <w:ind w:left="177"/>
              <w:rPr>
                <w:rFonts w:cs="Times New Roman"/>
                <w:szCs w:val="22"/>
                <w:lang w:eastAsia="en-AU"/>
              </w:rPr>
            </w:pPr>
            <w:r w:rsidRPr="00CA4DFF">
              <w:t>400.</w:t>
            </w:r>
            <w:r w:rsidRPr="00CA4DFF">
              <w:rPr>
                <w:rFonts w:cs="Times New Roman"/>
                <w:szCs w:val="22"/>
                <w:lang w:eastAsia="en-AU"/>
              </w:rPr>
              <w:t>00</w:t>
            </w:r>
          </w:p>
        </w:tc>
      </w:tr>
      <w:tr w:rsidR="00224D0E" w:rsidRPr="00CA4DFF" w:rsidTr="00A91B98">
        <w:trPr>
          <w:cantSplit/>
        </w:trPr>
        <w:tc>
          <w:tcPr>
            <w:tcW w:w="714"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224D0E" w:rsidRPr="00CA4DFF" w:rsidRDefault="00224D0E" w:rsidP="00224D0E">
            <w:pPr>
              <w:spacing w:before="60" w:after="60" w:line="276" w:lineRule="auto"/>
              <w:rPr>
                <w:rFonts w:cs="Times New Roman"/>
                <w:szCs w:val="22"/>
                <w:lang w:eastAsia="en-AU"/>
              </w:rPr>
            </w:pPr>
            <w:r w:rsidRPr="00CA4DFF">
              <w:rPr>
                <w:rFonts w:cs="Times New Roman"/>
                <w:szCs w:val="22"/>
                <w:lang w:eastAsia="en-AU"/>
              </w:rPr>
              <w:lastRenderedPageBreak/>
              <w:t>73351</w:t>
            </w:r>
          </w:p>
        </w:tc>
        <w:tc>
          <w:tcPr>
            <w:tcW w:w="3562"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224D0E" w:rsidRPr="00CA4DFF" w:rsidRDefault="00224D0E" w:rsidP="00224D0E">
            <w:pPr>
              <w:shd w:val="clear" w:color="auto" w:fill="FFFFFF"/>
              <w:spacing w:before="100" w:beforeAutospacing="1" w:after="100" w:afterAutospacing="1" w:line="240" w:lineRule="atLeast"/>
              <w:rPr>
                <w:rFonts w:cs="Times New Roman"/>
                <w:szCs w:val="22"/>
                <w:lang w:eastAsia="en-AU"/>
              </w:rPr>
            </w:pPr>
            <w:r w:rsidRPr="00CA4DFF">
              <w:t>A test of tumour tissue that is derived from a new sample from a patient with locally advanced (Stage IIIb) or metastatic (Stage IV) non</w:t>
            </w:r>
            <w:r w:rsidRPr="00CA4DFF">
              <w:noBreakHyphen/>
            </w:r>
            <w:r w:rsidRPr="00CA4DFF">
              <w:rPr>
                <w:rFonts w:cs="Times New Roman"/>
                <w:szCs w:val="22"/>
                <w:lang w:eastAsia="en-AU"/>
              </w:rPr>
              <w:t>small</w:t>
            </w:r>
            <w:r w:rsidRPr="00CA4DFF">
              <w:t xml:space="preserve"> cell lung cancer (NSCLC), who has progressed on or after treatment with an epidermal growth factor receptor tyrosine kinase inhibitor (EGFR TKI). The test is to be requested by a specialist or consultant physician, to determine if the requirements relating to </w:t>
            </w:r>
            <w:r w:rsidRPr="00CA4DFF">
              <w:rPr>
                <w:i/>
                <w:iCs/>
              </w:rPr>
              <w:t>EGFR</w:t>
            </w:r>
            <w:r w:rsidRPr="00CA4DFF">
              <w:t xml:space="preserve"> </w:t>
            </w:r>
            <w:r w:rsidRPr="00CA4DFF">
              <w:rPr>
                <w:i/>
                <w:iCs/>
              </w:rPr>
              <w:t>T790M</w:t>
            </w:r>
            <w:r w:rsidRPr="00CA4DFF">
              <w:t xml:space="preserve"> gene status for access to osimertinib under the Pharmaceutical Benefits Scheme are fulfilled.</w:t>
            </w:r>
          </w:p>
        </w:tc>
        <w:tc>
          <w:tcPr>
            <w:tcW w:w="724"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224D0E" w:rsidRPr="00CA4DFF" w:rsidRDefault="00224D0E" w:rsidP="00224D0E">
            <w:pPr>
              <w:keepNext/>
              <w:spacing w:before="60" w:after="60" w:line="276" w:lineRule="auto"/>
              <w:ind w:left="177"/>
              <w:rPr>
                <w:rFonts w:cs="Times New Roman"/>
                <w:szCs w:val="22"/>
                <w:lang w:eastAsia="en-AU"/>
              </w:rPr>
            </w:pPr>
            <w:r w:rsidRPr="00CA4DFF">
              <w:rPr>
                <w:rFonts w:cs="Times New Roman"/>
                <w:szCs w:val="22"/>
                <w:lang w:eastAsia="en-AU"/>
              </w:rPr>
              <w:t>397.35</w:t>
            </w:r>
          </w:p>
        </w:tc>
      </w:tr>
    </w:tbl>
    <w:p w:rsidR="00070744" w:rsidRPr="00CA4DFF" w:rsidRDefault="00070744" w:rsidP="00070744"/>
    <w:p w:rsidR="00DC7B41" w:rsidRPr="00CA4DFF" w:rsidRDefault="00DC7B41" w:rsidP="00DC7B41">
      <w:pPr>
        <w:sectPr w:rsidR="00DC7B41" w:rsidRPr="00CA4DFF" w:rsidSect="008C7313">
          <w:headerReference w:type="even" r:id="rId21"/>
          <w:headerReference w:type="default" r:id="rId22"/>
          <w:footerReference w:type="even" r:id="rId23"/>
          <w:footerReference w:type="default" r:id="rId24"/>
          <w:headerReference w:type="first" r:id="rId25"/>
          <w:pgSz w:w="11907" w:h="16839"/>
          <w:pgMar w:top="2325" w:right="1797" w:bottom="1440" w:left="1797" w:header="720" w:footer="709" w:gutter="0"/>
          <w:pgNumType w:start="1"/>
          <w:cols w:space="708"/>
          <w:docGrid w:linePitch="360"/>
        </w:sectPr>
      </w:pPr>
    </w:p>
    <w:p w:rsidR="00307068" w:rsidRPr="00CA4DFF" w:rsidRDefault="00307068" w:rsidP="00307068">
      <w:pPr>
        <w:pStyle w:val="ENotesHeading1"/>
      </w:pPr>
      <w:bookmarkStart w:id="6" w:name="_Toc87527201"/>
      <w:r w:rsidRPr="00CA4DFF">
        <w:lastRenderedPageBreak/>
        <w:t>Endnotes</w:t>
      </w:r>
      <w:bookmarkEnd w:id="6"/>
    </w:p>
    <w:p w:rsidR="005C0174" w:rsidRPr="00CA4DFF" w:rsidRDefault="005C0174" w:rsidP="00DD7704">
      <w:pPr>
        <w:pStyle w:val="ENotesHeading2"/>
      </w:pPr>
      <w:bookmarkStart w:id="7" w:name="_Toc87527202"/>
      <w:r w:rsidRPr="00CA4DFF">
        <w:t>Endnote 1—About the endnotes</w:t>
      </w:r>
      <w:bookmarkEnd w:id="7"/>
    </w:p>
    <w:p w:rsidR="005C0174" w:rsidRPr="00CA4DFF" w:rsidRDefault="005C0174" w:rsidP="006B4376">
      <w:pPr>
        <w:spacing w:after="120"/>
      </w:pPr>
      <w:r w:rsidRPr="00CA4DFF">
        <w:t>The endnotes provide information about this compilation and the compiled law.</w:t>
      </w:r>
    </w:p>
    <w:p w:rsidR="005C0174" w:rsidRPr="00CA4DFF" w:rsidRDefault="005C0174" w:rsidP="006B4376">
      <w:pPr>
        <w:spacing w:after="120"/>
      </w:pPr>
      <w:r w:rsidRPr="00CA4DFF">
        <w:t>The following endnotes are included in every compilation:</w:t>
      </w:r>
    </w:p>
    <w:p w:rsidR="005C0174" w:rsidRPr="00CA4DFF" w:rsidRDefault="005C0174" w:rsidP="006B4376">
      <w:r w:rsidRPr="00CA4DFF">
        <w:t>Endnote 1—About the endnotes</w:t>
      </w:r>
    </w:p>
    <w:p w:rsidR="005C0174" w:rsidRPr="00CA4DFF" w:rsidRDefault="005C0174" w:rsidP="006B4376">
      <w:r w:rsidRPr="00CA4DFF">
        <w:t>Endnote 2—Abbreviation key</w:t>
      </w:r>
    </w:p>
    <w:p w:rsidR="005C0174" w:rsidRPr="00CA4DFF" w:rsidRDefault="005C0174" w:rsidP="006B4376">
      <w:r w:rsidRPr="00CA4DFF">
        <w:t>Endnote 3—Legislation history</w:t>
      </w:r>
    </w:p>
    <w:p w:rsidR="005C0174" w:rsidRPr="00CA4DFF" w:rsidRDefault="005C0174" w:rsidP="006B4376">
      <w:pPr>
        <w:spacing w:after="120"/>
      </w:pPr>
      <w:r w:rsidRPr="00CA4DFF">
        <w:t>Endnote 4—Amendment history</w:t>
      </w:r>
    </w:p>
    <w:p w:rsidR="005C0174" w:rsidRPr="00CA4DFF" w:rsidRDefault="005C0174" w:rsidP="006B4376">
      <w:r w:rsidRPr="00CA4DFF">
        <w:rPr>
          <w:b/>
        </w:rPr>
        <w:t>Abbreviation key—Endnote 2</w:t>
      </w:r>
    </w:p>
    <w:p w:rsidR="005C0174" w:rsidRPr="00CA4DFF" w:rsidRDefault="005C0174" w:rsidP="006B4376">
      <w:pPr>
        <w:spacing w:after="120"/>
      </w:pPr>
      <w:r w:rsidRPr="00CA4DFF">
        <w:t>The abbreviation key sets out abbreviations that may be used in the endnotes.</w:t>
      </w:r>
    </w:p>
    <w:p w:rsidR="005C0174" w:rsidRPr="00CA4DFF" w:rsidRDefault="005C0174" w:rsidP="006B4376">
      <w:pPr>
        <w:rPr>
          <w:b/>
        </w:rPr>
      </w:pPr>
      <w:r w:rsidRPr="00CA4DFF">
        <w:rPr>
          <w:b/>
        </w:rPr>
        <w:t>Legislation history and amendment history—Endnotes 3 and 4</w:t>
      </w:r>
    </w:p>
    <w:p w:rsidR="005C0174" w:rsidRPr="00CA4DFF" w:rsidRDefault="005C0174" w:rsidP="006B4376">
      <w:pPr>
        <w:spacing w:after="120"/>
      </w:pPr>
      <w:r w:rsidRPr="00CA4DFF">
        <w:t>Amending laws are annotated in the legislation history and amendment history.</w:t>
      </w:r>
    </w:p>
    <w:p w:rsidR="005C0174" w:rsidRPr="00CA4DFF" w:rsidRDefault="005C0174" w:rsidP="006B4376">
      <w:pPr>
        <w:spacing w:after="120"/>
      </w:pPr>
      <w:r w:rsidRPr="00CA4DF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C0174" w:rsidRPr="00CA4DFF" w:rsidRDefault="005C0174" w:rsidP="006B4376">
      <w:pPr>
        <w:spacing w:after="120"/>
      </w:pPr>
      <w:r w:rsidRPr="00CA4DF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C0174" w:rsidRPr="00CA4DFF" w:rsidRDefault="005C0174" w:rsidP="006B4376">
      <w:pPr>
        <w:rPr>
          <w:b/>
        </w:rPr>
      </w:pPr>
      <w:r w:rsidRPr="00CA4DFF">
        <w:rPr>
          <w:b/>
        </w:rPr>
        <w:t>Editorial changes</w:t>
      </w:r>
    </w:p>
    <w:p w:rsidR="005C0174" w:rsidRPr="00CA4DFF" w:rsidRDefault="005C0174" w:rsidP="006B4376">
      <w:pPr>
        <w:spacing w:after="120"/>
      </w:pPr>
      <w:r w:rsidRPr="00CA4DFF">
        <w:t xml:space="preserve">The </w:t>
      </w:r>
      <w:r w:rsidRPr="00CA4DFF">
        <w:rPr>
          <w:i/>
        </w:rPr>
        <w:t>Legislation Act 2003</w:t>
      </w:r>
      <w:r w:rsidRPr="00CA4DF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C0174" w:rsidRPr="00CA4DFF" w:rsidRDefault="005C0174" w:rsidP="006B4376">
      <w:pPr>
        <w:spacing w:after="120"/>
      </w:pPr>
      <w:r w:rsidRPr="00CA4DFF">
        <w:t xml:space="preserve">If the compilation includes editorial changes, the endnotes include a brief outline of the changes in general terms. Full details of any changes can be obtained from the Office of Parliamentary Counsel. </w:t>
      </w:r>
    </w:p>
    <w:p w:rsidR="005C0174" w:rsidRPr="00CA4DFF" w:rsidRDefault="005C0174" w:rsidP="006B4376">
      <w:pPr>
        <w:keepNext/>
      </w:pPr>
      <w:r w:rsidRPr="00CA4DFF">
        <w:rPr>
          <w:b/>
        </w:rPr>
        <w:t>Misdescribed amendments</w:t>
      </w:r>
    </w:p>
    <w:p w:rsidR="005C0174" w:rsidRPr="00CA4DFF" w:rsidRDefault="005C0174" w:rsidP="006B4376">
      <w:pPr>
        <w:spacing w:after="120"/>
      </w:pPr>
      <w:r w:rsidRPr="00CA4DF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5C0174" w:rsidRPr="00CA4DFF" w:rsidRDefault="005C0174" w:rsidP="006B4376">
      <w:pPr>
        <w:spacing w:before="120"/>
      </w:pPr>
      <w:r w:rsidRPr="00CA4DFF">
        <w:t>If a misdescribed amendment cannot be given effect as intended, the abbreviation “(md not incorp)” is added to the details of the amendment included in the amendment history.</w:t>
      </w:r>
    </w:p>
    <w:p w:rsidR="00307068" w:rsidRPr="00CA4DFF" w:rsidRDefault="00307068" w:rsidP="00307068">
      <w:pPr>
        <w:spacing w:before="120"/>
      </w:pPr>
    </w:p>
    <w:p w:rsidR="005C0174" w:rsidRPr="00CA4DFF" w:rsidRDefault="005C0174" w:rsidP="00DD7704">
      <w:pPr>
        <w:pStyle w:val="ENotesHeading2"/>
        <w:pageBreakBefore/>
      </w:pPr>
      <w:bookmarkStart w:id="8" w:name="_Toc87527203"/>
      <w:r w:rsidRPr="00CA4DFF">
        <w:lastRenderedPageBreak/>
        <w:t>Endnote 2—Abbreviation key</w:t>
      </w:r>
      <w:bookmarkEnd w:id="8"/>
    </w:p>
    <w:p w:rsidR="005C0174" w:rsidRPr="00CA4DFF" w:rsidRDefault="005C0174" w:rsidP="006B4376">
      <w:pPr>
        <w:pStyle w:val="Tabletext"/>
      </w:pPr>
    </w:p>
    <w:tbl>
      <w:tblPr>
        <w:tblW w:w="5000" w:type="pct"/>
        <w:tblLook w:val="0000" w:firstRow="0" w:lastRow="0" w:firstColumn="0" w:lastColumn="0" w:noHBand="0" w:noVBand="0"/>
      </w:tblPr>
      <w:tblGrid>
        <w:gridCol w:w="4570"/>
        <w:gridCol w:w="3959"/>
      </w:tblGrid>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A = Act</w:t>
            </w:r>
          </w:p>
        </w:tc>
        <w:tc>
          <w:tcPr>
            <w:tcW w:w="2321" w:type="pct"/>
            <w:shd w:val="clear" w:color="auto" w:fill="auto"/>
          </w:tcPr>
          <w:p w:rsidR="005C0174" w:rsidRPr="00CA4DFF" w:rsidRDefault="005C0174" w:rsidP="006B4376">
            <w:pPr>
              <w:spacing w:before="60"/>
              <w:ind w:left="34"/>
              <w:rPr>
                <w:sz w:val="20"/>
              </w:rPr>
            </w:pPr>
            <w:r w:rsidRPr="00CA4DFF">
              <w:rPr>
                <w:sz w:val="20"/>
              </w:rPr>
              <w:t>o = order(s)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ad = added or inserted</w:t>
            </w:r>
          </w:p>
        </w:tc>
        <w:tc>
          <w:tcPr>
            <w:tcW w:w="2321" w:type="pct"/>
            <w:shd w:val="clear" w:color="auto" w:fill="auto"/>
          </w:tcPr>
          <w:p w:rsidR="005C0174" w:rsidRPr="00CA4DFF" w:rsidRDefault="005C0174" w:rsidP="006B4376">
            <w:pPr>
              <w:spacing w:before="60"/>
              <w:ind w:left="34"/>
              <w:rPr>
                <w:sz w:val="20"/>
              </w:rPr>
            </w:pPr>
            <w:r w:rsidRPr="00CA4DFF">
              <w:rPr>
                <w:sz w:val="20"/>
              </w:rPr>
              <w:t>Ord = Ordinance</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am = amended</w:t>
            </w:r>
          </w:p>
        </w:tc>
        <w:tc>
          <w:tcPr>
            <w:tcW w:w="2321" w:type="pct"/>
            <w:shd w:val="clear" w:color="auto" w:fill="auto"/>
          </w:tcPr>
          <w:p w:rsidR="005C0174" w:rsidRPr="00CA4DFF" w:rsidRDefault="005C0174" w:rsidP="006B4376">
            <w:pPr>
              <w:spacing w:before="60"/>
              <w:ind w:left="34"/>
              <w:rPr>
                <w:sz w:val="20"/>
              </w:rPr>
            </w:pPr>
            <w:r w:rsidRPr="00CA4DFF">
              <w:rPr>
                <w:sz w:val="20"/>
              </w:rPr>
              <w:t>orig = original</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amdt = amendment</w:t>
            </w:r>
          </w:p>
        </w:tc>
        <w:tc>
          <w:tcPr>
            <w:tcW w:w="2321" w:type="pct"/>
            <w:shd w:val="clear" w:color="auto" w:fill="auto"/>
          </w:tcPr>
          <w:p w:rsidR="005C0174" w:rsidRPr="00CA4DFF" w:rsidRDefault="005C0174" w:rsidP="006B4376">
            <w:pPr>
              <w:spacing w:before="60"/>
              <w:ind w:left="34"/>
              <w:rPr>
                <w:sz w:val="20"/>
              </w:rPr>
            </w:pPr>
            <w:r w:rsidRPr="00CA4DFF">
              <w:rPr>
                <w:sz w:val="20"/>
              </w:rPr>
              <w:t>par = paragraph(s)/subparagraph(s)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c = clause(s)</w:t>
            </w:r>
          </w:p>
        </w:tc>
        <w:tc>
          <w:tcPr>
            <w:tcW w:w="2321" w:type="pct"/>
            <w:shd w:val="clear" w:color="auto" w:fill="auto"/>
          </w:tcPr>
          <w:p w:rsidR="005C0174" w:rsidRPr="00CA4DFF" w:rsidRDefault="00B87961" w:rsidP="00B87961">
            <w:pPr>
              <w:ind w:left="34" w:firstLine="249"/>
              <w:rPr>
                <w:sz w:val="20"/>
              </w:rPr>
            </w:pPr>
            <w:r w:rsidRPr="00CA4DFF">
              <w:rPr>
                <w:sz w:val="20"/>
              </w:rPr>
              <w:t>/</w:t>
            </w:r>
            <w:r w:rsidR="005C0174" w:rsidRPr="00CA4DFF">
              <w:rPr>
                <w:sz w:val="20"/>
              </w:rPr>
              <w:t>sub</w:t>
            </w:r>
            <w:r w:rsidR="00C468E2" w:rsidRPr="00CA4DFF">
              <w:rPr>
                <w:sz w:val="20"/>
              </w:rPr>
              <w:noBreakHyphen/>
            </w:r>
            <w:r w:rsidR="005C0174" w:rsidRPr="00CA4DFF">
              <w:rPr>
                <w:sz w:val="20"/>
              </w:rPr>
              <w:t>subparagraph(s)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C[x] = Compilation No. x</w:t>
            </w:r>
          </w:p>
        </w:tc>
        <w:tc>
          <w:tcPr>
            <w:tcW w:w="2321" w:type="pct"/>
            <w:shd w:val="clear" w:color="auto" w:fill="auto"/>
          </w:tcPr>
          <w:p w:rsidR="005C0174" w:rsidRPr="00CA4DFF" w:rsidRDefault="005C0174" w:rsidP="006B4376">
            <w:pPr>
              <w:spacing w:before="60"/>
              <w:ind w:left="34"/>
              <w:rPr>
                <w:sz w:val="20"/>
              </w:rPr>
            </w:pPr>
            <w:r w:rsidRPr="00CA4DFF">
              <w:rPr>
                <w:sz w:val="20"/>
              </w:rPr>
              <w:t>pres = present</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Ch = Chapter(s)</w:t>
            </w:r>
          </w:p>
        </w:tc>
        <w:tc>
          <w:tcPr>
            <w:tcW w:w="2321" w:type="pct"/>
            <w:shd w:val="clear" w:color="auto" w:fill="auto"/>
          </w:tcPr>
          <w:p w:rsidR="005C0174" w:rsidRPr="00CA4DFF" w:rsidRDefault="005C0174" w:rsidP="006B4376">
            <w:pPr>
              <w:spacing w:before="60"/>
              <w:ind w:left="34"/>
              <w:rPr>
                <w:sz w:val="20"/>
              </w:rPr>
            </w:pPr>
            <w:r w:rsidRPr="00CA4DFF">
              <w:rPr>
                <w:sz w:val="20"/>
              </w:rPr>
              <w:t>prev = previous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def = definition(s)</w:t>
            </w:r>
          </w:p>
        </w:tc>
        <w:tc>
          <w:tcPr>
            <w:tcW w:w="2321" w:type="pct"/>
            <w:shd w:val="clear" w:color="auto" w:fill="auto"/>
          </w:tcPr>
          <w:p w:rsidR="005C0174" w:rsidRPr="00CA4DFF" w:rsidRDefault="005C0174" w:rsidP="006B4376">
            <w:pPr>
              <w:spacing w:before="60"/>
              <w:ind w:left="34"/>
              <w:rPr>
                <w:sz w:val="20"/>
              </w:rPr>
            </w:pPr>
            <w:r w:rsidRPr="00CA4DFF">
              <w:rPr>
                <w:sz w:val="20"/>
              </w:rPr>
              <w:t>(prev…) = previously</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Dict = Dictionary</w:t>
            </w:r>
          </w:p>
        </w:tc>
        <w:tc>
          <w:tcPr>
            <w:tcW w:w="2321" w:type="pct"/>
            <w:shd w:val="clear" w:color="auto" w:fill="auto"/>
          </w:tcPr>
          <w:p w:rsidR="005C0174" w:rsidRPr="00CA4DFF" w:rsidRDefault="005C0174" w:rsidP="006B4376">
            <w:pPr>
              <w:spacing w:before="60"/>
              <w:ind w:left="34"/>
              <w:rPr>
                <w:sz w:val="20"/>
              </w:rPr>
            </w:pPr>
            <w:r w:rsidRPr="00CA4DFF">
              <w:rPr>
                <w:sz w:val="20"/>
              </w:rPr>
              <w:t>Pt = Part(s)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disallowed = disallowed by Parliament</w:t>
            </w:r>
          </w:p>
        </w:tc>
        <w:tc>
          <w:tcPr>
            <w:tcW w:w="2321" w:type="pct"/>
            <w:shd w:val="clear" w:color="auto" w:fill="auto"/>
          </w:tcPr>
          <w:p w:rsidR="005C0174" w:rsidRPr="00CA4DFF" w:rsidRDefault="005C0174" w:rsidP="006B4376">
            <w:pPr>
              <w:spacing w:before="60"/>
              <w:ind w:left="34"/>
              <w:rPr>
                <w:sz w:val="20"/>
              </w:rPr>
            </w:pPr>
            <w:r w:rsidRPr="00CA4DFF">
              <w:rPr>
                <w:sz w:val="20"/>
              </w:rPr>
              <w:t>r = regulation(s)/rule(s)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Div = Division(s)</w:t>
            </w:r>
          </w:p>
        </w:tc>
        <w:tc>
          <w:tcPr>
            <w:tcW w:w="2321" w:type="pct"/>
            <w:shd w:val="clear" w:color="auto" w:fill="auto"/>
          </w:tcPr>
          <w:p w:rsidR="005C0174" w:rsidRPr="00CA4DFF" w:rsidRDefault="005C0174" w:rsidP="006B4376">
            <w:pPr>
              <w:spacing w:before="60"/>
              <w:ind w:left="34"/>
              <w:rPr>
                <w:sz w:val="20"/>
              </w:rPr>
            </w:pPr>
            <w:r w:rsidRPr="00CA4DFF">
              <w:rPr>
                <w:sz w:val="20"/>
              </w:rPr>
              <w:t>Reg = Regulation/Regulations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exp = expires/expired or ceases/ceased to have</w:t>
            </w:r>
          </w:p>
        </w:tc>
        <w:tc>
          <w:tcPr>
            <w:tcW w:w="2321" w:type="pct"/>
            <w:shd w:val="clear" w:color="auto" w:fill="auto"/>
          </w:tcPr>
          <w:p w:rsidR="005C0174" w:rsidRPr="00CA4DFF" w:rsidRDefault="005C0174" w:rsidP="006B4376">
            <w:pPr>
              <w:spacing w:before="60"/>
              <w:ind w:left="34"/>
              <w:rPr>
                <w:sz w:val="20"/>
              </w:rPr>
            </w:pPr>
            <w:r w:rsidRPr="00CA4DFF">
              <w:rPr>
                <w:sz w:val="20"/>
              </w:rPr>
              <w:t>reloc = relocated</w:t>
            </w:r>
          </w:p>
        </w:tc>
      </w:tr>
      <w:tr w:rsidR="005C0174" w:rsidRPr="00CA4DFF" w:rsidTr="005C0174">
        <w:tc>
          <w:tcPr>
            <w:tcW w:w="2679" w:type="pct"/>
            <w:shd w:val="clear" w:color="auto" w:fill="auto"/>
          </w:tcPr>
          <w:p w:rsidR="005C0174" w:rsidRPr="00CA4DFF" w:rsidRDefault="00B87961" w:rsidP="00B87961">
            <w:pPr>
              <w:ind w:left="34" w:firstLine="249"/>
              <w:rPr>
                <w:sz w:val="20"/>
              </w:rPr>
            </w:pPr>
            <w:r w:rsidRPr="00CA4DFF">
              <w:rPr>
                <w:sz w:val="20"/>
              </w:rPr>
              <w:t>e</w:t>
            </w:r>
            <w:r w:rsidR="005C0174" w:rsidRPr="00CA4DFF">
              <w:rPr>
                <w:sz w:val="20"/>
              </w:rPr>
              <w:t>ffect</w:t>
            </w:r>
          </w:p>
        </w:tc>
        <w:tc>
          <w:tcPr>
            <w:tcW w:w="2321" w:type="pct"/>
            <w:shd w:val="clear" w:color="auto" w:fill="auto"/>
          </w:tcPr>
          <w:p w:rsidR="005C0174" w:rsidRPr="00CA4DFF" w:rsidRDefault="005C0174" w:rsidP="006B4376">
            <w:pPr>
              <w:spacing w:before="60"/>
              <w:ind w:left="34"/>
              <w:rPr>
                <w:sz w:val="20"/>
              </w:rPr>
            </w:pPr>
            <w:r w:rsidRPr="00CA4DFF">
              <w:rPr>
                <w:sz w:val="20"/>
              </w:rPr>
              <w:t>renum = renumbered</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F = Federal Register of Legislative Instruments</w:t>
            </w:r>
          </w:p>
        </w:tc>
        <w:tc>
          <w:tcPr>
            <w:tcW w:w="2321" w:type="pct"/>
            <w:shd w:val="clear" w:color="auto" w:fill="auto"/>
          </w:tcPr>
          <w:p w:rsidR="005C0174" w:rsidRPr="00CA4DFF" w:rsidRDefault="005C0174" w:rsidP="006B4376">
            <w:pPr>
              <w:spacing w:before="60"/>
              <w:ind w:left="34"/>
              <w:rPr>
                <w:sz w:val="20"/>
              </w:rPr>
            </w:pPr>
            <w:r w:rsidRPr="00CA4DFF">
              <w:rPr>
                <w:sz w:val="20"/>
              </w:rPr>
              <w:t>rep = repealed</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gaz = gazette</w:t>
            </w:r>
          </w:p>
        </w:tc>
        <w:tc>
          <w:tcPr>
            <w:tcW w:w="2321" w:type="pct"/>
            <w:shd w:val="clear" w:color="auto" w:fill="auto"/>
          </w:tcPr>
          <w:p w:rsidR="005C0174" w:rsidRPr="00CA4DFF" w:rsidRDefault="005C0174" w:rsidP="006B4376">
            <w:pPr>
              <w:spacing w:before="60"/>
              <w:ind w:left="34"/>
              <w:rPr>
                <w:sz w:val="20"/>
              </w:rPr>
            </w:pPr>
            <w:r w:rsidRPr="00CA4DFF">
              <w:rPr>
                <w:sz w:val="20"/>
              </w:rPr>
              <w:t>rs = repealed and substituted</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LI = Legislative Instrument</w:t>
            </w:r>
          </w:p>
        </w:tc>
        <w:tc>
          <w:tcPr>
            <w:tcW w:w="2321" w:type="pct"/>
            <w:shd w:val="clear" w:color="auto" w:fill="auto"/>
          </w:tcPr>
          <w:p w:rsidR="005C0174" w:rsidRPr="00CA4DFF" w:rsidRDefault="005C0174" w:rsidP="006B4376">
            <w:pPr>
              <w:spacing w:before="60"/>
              <w:ind w:left="34"/>
              <w:rPr>
                <w:sz w:val="20"/>
              </w:rPr>
            </w:pPr>
            <w:r w:rsidRPr="00CA4DFF">
              <w:rPr>
                <w:sz w:val="20"/>
              </w:rPr>
              <w:t>s = section(s)/subsection(s)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 xml:space="preserve">LIA = </w:t>
            </w:r>
            <w:r w:rsidRPr="00CA4DFF">
              <w:rPr>
                <w:i/>
                <w:sz w:val="20"/>
              </w:rPr>
              <w:t>Legislative Instruments Act 2003</w:t>
            </w:r>
          </w:p>
        </w:tc>
        <w:tc>
          <w:tcPr>
            <w:tcW w:w="2321" w:type="pct"/>
            <w:shd w:val="clear" w:color="auto" w:fill="auto"/>
          </w:tcPr>
          <w:p w:rsidR="005C0174" w:rsidRPr="00CA4DFF" w:rsidRDefault="005C0174" w:rsidP="006B4376">
            <w:pPr>
              <w:spacing w:before="60"/>
              <w:ind w:left="34"/>
              <w:rPr>
                <w:sz w:val="20"/>
              </w:rPr>
            </w:pPr>
            <w:r w:rsidRPr="00CA4DFF">
              <w:rPr>
                <w:sz w:val="20"/>
              </w:rPr>
              <w:t>Sch = Schedule(s)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(md) = misdescribed amendment can be given</w:t>
            </w:r>
          </w:p>
        </w:tc>
        <w:tc>
          <w:tcPr>
            <w:tcW w:w="2321" w:type="pct"/>
            <w:shd w:val="clear" w:color="auto" w:fill="auto"/>
          </w:tcPr>
          <w:p w:rsidR="005C0174" w:rsidRPr="00CA4DFF" w:rsidRDefault="005C0174" w:rsidP="006B4376">
            <w:pPr>
              <w:spacing w:before="60"/>
              <w:ind w:left="34"/>
              <w:rPr>
                <w:sz w:val="20"/>
              </w:rPr>
            </w:pPr>
            <w:r w:rsidRPr="00CA4DFF">
              <w:rPr>
                <w:sz w:val="20"/>
              </w:rPr>
              <w:t>Sdiv = Subdivision(s)</w:t>
            </w:r>
          </w:p>
        </w:tc>
      </w:tr>
      <w:tr w:rsidR="005C0174" w:rsidRPr="00CA4DFF" w:rsidTr="005C0174">
        <w:tc>
          <w:tcPr>
            <w:tcW w:w="2679" w:type="pct"/>
            <w:shd w:val="clear" w:color="auto" w:fill="auto"/>
          </w:tcPr>
          <w:p w:rsidR="005C0174" w:rsidRPr="00CA4DFF" w:rsidRDefault="00B87961" w:rsidP="00B87961">
            <w:pPr>
              <w:ind w:left="34" w:firstLine="249"/>
              <w:rPr>
                <w:sz w:val="20"/>
              </w:rPr>
            </w:pPr>
            <w:r w:rsidRPr="00CA4DFF">
              <w:rPr>
                <w:sz w:val="20"/>
              </w:rPr>
              <w:t>e</w:t>
            </w:r>
            <w:r w:rsidR="005C0174" w:rsidRPr="00CA4DFF">
              <w:rPr>
                <w:sz w:val="20"/>
              </w:rPr>
              <w:t>ffect</w:t>
            </w:r>
          </w:p>
        </w:tc>
        <w:tc>
          <w:tcPr>
            <w:tcW w:w="2321" w:type="pct"/>
            <w:shd w:val="clear" w:color="auto" w:fill="auto"/>
          </w:tcPr>
          <w:p w:rsidR="005C0174" w:rsidRPr="00CA4DFF" w:rsidRDefault="005C0174" w:rsidP="006B4376">
            <w:pPr>
              <w:spacing w:before="60"/>
              <w:ind w:left="34"/>
              <w:rPr>
                <w:sz w:val="20"/>
              </w:rPr>
            </w:pPr>
            <w:r w:rsidRPr="00CA4DFF">
              <w:rPr>
                <w:sz w:val="20"/>
              </w:rPr>
              <w:t>SLI = Select Legislative Instrument</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(md not incorp) = misdescribed amendment</w:t>
            </w:r>
          </w:p>
        </w:tc>
        <w:tc>
          <w:tcPr>
            <w:tcW w:w="2321" w:type="pct"/>
            <w:shd w:val="clear" w:color="auto" w:fill="auto"/>
          </w:tcPr>
          <w:p w:rsidR="005C0174" w:rsidRPr="00CA4DFF" w:rsidRDefault="005C0174" w:rsidP="006B4376">
            <w:pPr>
              <w:spacing w:before="60"/>
              <w:ind w:left="34"/>
              <w:rPr>
                <w:sz w:val="20"/>
              </w:rPr>
            </w:pPr>
            <w:r w:rsidRPr="00CA4DFF">
              <w:rPr>
                <w:sz w:val="20"/>
              </w:rPr>
              <w:t>SR = Statutory Rules</w:t>
            </w:r>
          </w:p>
        </w:tc>
      </w:tr>
      <w:tr w:rsidR="005C0174" w:rsidRPr="00CA4DFF" w:rsidTr="005C0174">
        <w:tc>
          <w:tcPr>
            <w:tcW w:w="2679" w:type="pct"/>
            <w:shd w:val="clear" w:color="auto" w:fill="auto"/>
          </w:tcPr>
          <w:p w:rsidR="005C0174" w:rsidRPr="00CA4DFF" w:rsidRDefault="00B87961" w:rsidP="00B87961">
            <w:pPr>
              <w:ind w:left="34" w:firstLine="249"/>
              <w:rPr>
                <w:sz w:val="20"/>
              </w:rPr>
            </w:pPr>
            <w:r w:rsidRPr="00CA4DFF">
              <w:rPr>
                <w:sz w:val="20"/>
              </w:rPr>
              <w:t>c</w:t>
            </w:r>
            <w:r w:rsidR="005C0174" w:rsidRPr="00CA4DFF">
              <w:rPr>
                <w:sz w:val="20"/>
              </w:rPr>
              <w:t>annot be given effect</w:t>
            </w:r>
          </w:p>
        </w:tc>
        <w:tc>
          <w:tcPr>
            <w:tcW w:w="2321" w:type="pct"/>
            <w:shd w:val="clear" w:color="auto" w:fill="auto"/>
          </w:tcPr>
          <w:p w:rsidR="005C0174" w:rsidRPr="00CA4DFF" w:rsidRDefault="005C0174" w:rsidP="006B4376">
            <w:pPr>
              <w:spacing w:before="60"/>
              <w:ind w:left="34"/>
              <w:rPr>
                <w:sz w:val="20"/>
              </w:rPr>
            </w:pPr>
            <w:r w:rsidRPr="00CA4DFF">
              <w:rPr>
                <w:sz w:val="20"/>
              </w:rPr>
              <w:t>Sub</w:t>
            </w:r>
            <w:r w:rsidR="00C468E2" w:rsidRPr="00CA4DFF">
              <w:rPr>
                <w:sz w:val="20"/>
              </w:rPr>
              <w:noBreakHyphen/>
            </w:r>
            <w:r w:rsidRPr="00CA4DFF">
              <w:rPr>
                <w:sz w:val="20"/>
              </w:rPr>
              <w:t>Ch = Sub</w:t>
            </w:r>
            <w:r w:rsidR="00C468E2" w:rsidRPr="00CA4DFF">
              <w:rPr>
                <w:sz w:val="20"/>
              </w:rPr>
              <w:noBreakHyphen/>
            </w:r>
            <w:r w:rsidRPr="00CA4DFF">
              <w:rPr>
                <w:sz w:val="20"/>
              </w:rPr>
              <w:t>Chapter(s)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mod = modified/modification</w:t>
            </w:r>
          </w:p>
        </w:tc>
        <w:tc>
          <w:tcPr>
            <w:tcW w:w="2321" w:type="pct"/>
            <w:shd w:val="clear" w:color="auto" w:fill="auto"/>
          </w:tcPr>
          <w:p w:rsidR="005C0174" w:rsidRPr="00CA4DFF" w:rsidRDefault="005C0174" w:rsidP="006B4376">
            <w:pPr>
              <w:spacing w:before="60"/>
              <w:ind w:left="34"/>
              <w:rPr>
                <w:sz w:val="20"/>
              </w:rPr>
            </w:pPr>
            <w:r w:rsidRPr="00CA4DFF">
              <w:rPr>
                <w:sz w:val="20"/>
              </w:rPr>
              <w:t>SubPt = Subpart(s)</w:t>
            </w:r>
          </w:p>
        </w:tc>
      </w:tr>
      <w:tr w:rsidR="005C0174" w:rsidRPr="00CA4DFF" w:rsidTr="005C0174">
        <w:tc>
          <w:tcPr>
            <w:tcW w:w="2679" w:type="pct"/>
            <w:shd w:val="clear" w:color="auto" w:fill="auto"/>
          </w:tcPr>
          <w:p w:rsidR="005C0174" w:rsidRPr="00CA4DFF" w:rsidRDefault="005C0174" w:rsidP="006B4376">
            <w:pPr>
              <w:spacing w:before="60"/>
              <w:ind w:left="34"/>
              <w:rPr>
                <w:sz w:val="20"/>
              </w:rPr>
            </w:pPr>
            <w:r w:rsidRPr="00CA4DFF">
              <w:rPr>
                <w:sz w:val="20"/>
              </w:rPr>
              <w:t>No. = Number(s)</w:t>
            </w:r>
          </w:p>
        </w:tc>
        <w:tc>
          <w:tcPr>
            <w:tcW w:w="2321" w:type="pct"/>
            <w:shd w:val="clear" w:color="auto" w:fill="auto"/>
          </w:tcPr>
          <w:p w:rsidR="005C0174" w:rsidRPr="00CA4DFF" w:rsidRDefault="005C0174" w:rsidP="006B4376">
            <w:pPr>
              <w:spacing w:before="60"/>
              <w:ind w:left="34"/>
              <w:rPr>
                <w:sz w:val="20"/>
              </w:rPr>
            </w:pPr>
            <w:r w:rsidRPr="00CA4DFF">
              <w:rPr>
                <w:sz w:val="20"/>
                <w:u w:val="single"/>
              </w:rPr>
              <w:t>underlining</w:t>
            </w:r>
            <w:r w:rsidRPr="00CA4DFF">
              <w:rPr>
                <w:sz w:val="20"/>
              </w:rPr>
              <w:t xml:space="preserve"> = whole or part not</w:t>
            </w:r>
          </w:p>
        </w:tc>
      </w:tr>
      <w:tr w:rsidR="005C0174" w:rsidRPr="00CA4DFF" w:rsidTr="005C0174">
        <w:tc>
          <w:tcPr>
            <w:tcW w:w="2679" w:type="pct"/>
            <w:shd w:val="clear" w:color="auto" w:fill="auto"/>
          </w:tcPr>
          <w:p w:rsidR="005C0174" w:rsidRPr="00CA4DFF" w:rsidRDefault="005C0174" w:rsidP="006B4376">
            <w:pPr>
              <w:spacing w:before="60"/>
              <w:ind w:left="34"/>
              <w:rPr>
                <w:sz w:val="20"/>
              </w:rPr>
            </w:pPr>
          </w:p>
        </w:tc>
        <w:tc>
          <w:tcPr>
            <w:tcW w:w="2321" w:type="pct"/>
            <w:shd w:val="clear" w:color="auto" w:fill="auto"/>
          </w:tcPr>
          <w:p w:rsidR="005C0174" w:rsidRPr="00CA4DFF" w:rsidRDefault="00B87961" w:rsidP="00B87961">
            <w:pPr>
              <w:ind w:left="34" w:firstLine="249"/>
              <w:rPr>
                <w:sz w:val="20"/>
              </w:rPr>
            </w:pPr>
            <w:r w:rsidRPr="00CA4DFF">
              <w:rPr>
                <w:sz w:val="20"/>
              </w:rPr>
              <w:t>c</w:t>
            </w:r>
            <w:r w:rsidR="005C0174" w:rsidRPr="00CA4DFF">
              <w:rPr>
                <w:sz w:val="20"/>
              </w:rPr>
              <w:t>ommenced or to be commenced</w:t>
            </w:r>
          </w:p>
        </w:tc>
      </w:tr>
    </w:tbl>
    <w:p w:rsidR="005C0174" w:rsidRPr="00CA4DFF" w:rsidRDefault="005C0174" w:rsidP="006B4376">
      <w:pPr>
        <w:pStyle w:val="Tabletext"/>
      </w:pPr>
    </w:p>
    <w:p w:rsidR="00307068" w:rsidRPr="00CA4DFF" w:rsidRDefault="00307068" w:rsidP="00307068">
      <w:pPr>
        <w:pStyle w:val="ENotesHeading2"/>
        <w:pageBreakBefore/>
      </w:pPr>
      <w:bookmarkStart w:id="9" w:name="_Toc87527204"/>
      <w:r w:rsidRPr="00CA4DFF">
        <w:lastRenderedPageBreak/>
        <w:t>Endnote 3—Legislation history</w:t>
      </w:r>
      <w:bookmarkEnd w:id="9"/>
    </w:p>
    <w:p w:rsidR="00307068" w:rsidRPr="00CA4DFF" w:rsidRDefault="00307068" w:rsidP="0030706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2"/>
        <w:gridCol w:w="1945"/>
        <w:gridCol w:w="2320"/>
        <w:gridCol w:w="2132"/>
      </w:tblGrid>
      <w:tr w:rsidR="00307068" w:rsidRPr="00CA4DFF" w:rsidTr="00B87961">
        <w:trPr>
          <w:cantSplit/>
          <w:tblHeader/>
        </w:trPr>
        <w:tc>
          <w:tcPr>
            <w:tcW w:w="1250" w:type="pct"/>
            <w:tcBorders>
              <w:top w:val="single" w:sz="12" w:space="0" w:color="auto"/>
              <w:bottom w:val="single" w:sz="12" w:space="0" w:color="auto"/>
            </w:tcBorders>
            <w:shd w:val="clear" w:color="auto" w:fill="auto"/>
          </w:tcPr>
          <w:p w:rsidR="00307068" w:rsidRPr="00CA4DFF" w:rsidRDefault="00307068" w:rsidP="006B4376">
            <w:pPr>
              <w:pStyle w:val="ENoteTableHeading"/>
            </w:pPr>
            <w:r w:rsidRPr="00CA4DFF">
              <w:t>Name</w:t>
            </w:r>
          </w:p>
        </w:tc>
        <w:tc>
          <w:tcPr>
            <w:tcW w:w="1140" w:type="pct"/>
            <w:tcBorders>
              <w:top w:val="single" w:sz="12" w:space="0" w:color="auto"/>
              <w:bottom w:val="single" w:sz="12" w:space="0" w:color="auto"/>
            </w:tcBorders>
            <w:shd w:val="clear" w:color="auto" w:fill="auto"/>
          </w:tcPr>
          <w:p w:rsidR="00307068" w:rsidRPr="00CA4DFF" w:rsidRDefault="00307068" w:rsidP="006B4376">
            <w:pPr>
              <w:pStyle w:val="ENoteTableHeading"/>
            </w:pPr>
            <w:r w:rsidRPr="00CA4DFF">
              <w:t>Registration</w:t>
            </w:r>
          </w:p>
        </w:tc>
        <w:tc>
          <w:tcPr>
            <w:tcW w:w="1360" w:type="pct"/>
            <w:tcBorders>
              <w:top w:val="single" w:sz="12" w:space="0" w:color="auto"/>
              <w:bottom w:val="single" w:sz="12" w:space="0" w:color="auto"/>
            </w:tcBorders>
            <w:shd w:val="clear" w:color="auto" w:fill="auto"/>
          </w:tcPr>
          <w:p w:rsidR="00307068" w:rsidRPr="00CA4DFF" w:rsidRDefault="00307068" w:rsidP="006B4376">
            <w:pPr>
              <w:pStyle w:val="ENoteTableHeading"/>
            </w:pPr>
            <w:r w:rsidRPr="00CA4DFF">
              <w:t>Commencement</w:t>
            </w:r>
          </w:p>
        </w:tc>
        <w:tc>
          <w:tcPr>
            <w:tcW w:w="1250" w:type="pct"/>
            <w:tcBorders>
              <w:top w:val="single" w:sz="12" w:space="0" w:color="auto"/>
              <w:bottom w:val="single" w:sz="12" w:space="0" w:color="auto"/>
            </w:tcBorders>
            <w:shd w:val="clear" w:color="auto" w:fill="auto"/>
          </w:tcPr>
          <w:p w:rsidR="00307068" w:rsidRPr="00CA4DFF" w:rsidRDefault="00307068" w:rsidP="006B4376">
            <w:pPr>
              <w:pStyle w:val="ENoteTableHeading"/>
            </w:pPr>
            <w:r w:rsidRPr="00CA4DFF">
              <w:t>Application, saving and transitional provisions</w:t>
            </w:r>
          </w:p>
        </w:tc>
      </w:tr>
      <w:tr w:rsidR="00310655" w:rsidRPr="00CA4DFF" w:rsidTr="00B87961">
        <w:trPr>
          <w:cantSplit/>
        </w:trPr>
        <w:tc>
          <w:tcPr>
            <w:tcW w:w="1250" w:type="pct"/>
            <w:tcBorders>
              <w:top w:val="single" w:sz="12" w:space="0" w:color="auto"/>
              <w:bottom w:val="single" w:sz="4" w:space="0" w:color="auto"/>
            </w:tcBorders>
            <w:shd w:val="clear" w:color="auto" w:fill="auto"/>
          </w:tcPr>
          <w:p w:rsidR="00310655" w:rsidRPr="00CA4DFF" w:rsidRDefault="00310655" w:rsidP="006B4376">
            <w:pPr>
              <w:pStyle w:val="ENoteTableText"/>
            </w:pPr>
            <w:r w:rsidRPr="00CA4DFF">
              <w:t>Health Insurance (Section 3C Co</w:t>
            </w:r>
            <w:r w:rsidR="00C468E2" w:rsidRPr="00CA4DFF">
              <w:noBreakHyphen/>
            </w:r>
            <w:r w:rsidRPr="00CA4DFF">
              <w:t>Dependent Pathology Services) Determination 2018</w:t>
            </w:r>
          </w:p>
        </w:tc>
        <w:tc>
          <w:tcPr>
            <w:tcW w:w="1140" w:type="pct"/>
            <w:tcBorders>
              <w:top w:val="single" w:sz="12" w:space="0" w:color="auto"/>
              <w:bottom w:val="single" w:sz="4" w:space="0" w:color="auto"/>
            </w:tcBorders>
            <w:shd w:val="clear" w:color="auto" w:fill="auto"/>
          </w:tcPr>
          <w:p w:rsidR="00310655" w:rsidRPr="00CA4DFF" w:rsidRDefault="00310655" w:rsidP="00780A41">
            <w:pPr>
              <w:pStyle w:val="ENoteTableText"/>
            </w:pPr>
            <w:r w:rsidRPr="00CA4DFF">
              <w:t>21 June 2018 (F2018L00810)</w:t>
            </w:r>
          </w:p>
        </w:tc>
        <w:tc>
          <w:tcPr>
            <w:tcW w:w="1360" w:type="pct"/>
            <w:tcBorders>
              <w:top w:val="single" w:sz="12" w:space="0" w:color="auto"/>
              <w:bottom w:val="single" w:sz="4" w:space="0" w:color="auto"/>
            </w:tcBorders>
            <w:shd w:val="clear" w:color="auto" w:fill="auto"/>
          </w:tcPr>
          <w:p w:rsidR="00310655" w:rsidRPr="00CA4DFF" w:rsidRDefault="00310655" w:rsidP="006B4376">
            <w:pPr>
              <w:pStyle w:val="ENoteTableText"/>
            </w:pPr>
            <w:r w:rsidRPr="00CA4DFF">
              <w:t>1 July 2018</w:t>
            </w:r>
          </w:p>
        </w:tc>
        <w:tc>
          <w:tcPr>
            <w:tcW w:w="1250" w:type="pct"/>
            <w:tcBorders>
              <w:top w:val="single" w:sz="12" w:space="0" w:color="auto"/>
              <w:bottom w:val="single" w:sz="4" w:space="0" w:color="auto"/>
            </w:tcBorders>
            <w:shd w:val="clear" w:color="auto" w:fill="auto"/>
          </w:tcPr>
          <w:p w:rsidR="00310655" w:rsidRPr="00CA4DFF" w:rsidRDefault="00310655" w:rsidP="006B4376">
            <w:pPr>
              <w:pStyle w:val="ENoteTableText"/>
            </w:pPr>
            <w:r w:rsidRPr="00CA4DFF">
              <w:t>—</w:t>
            </w:r>
          </w:p>
        </w:tc>
      </w:tr>
      <w:tr w:rsidR="00310655" w:rsidRPr="00CA4DFF" w:rsidTr="00B87961">
        <w:trPr>
          <w:cantSplit/>
        </w:trPr>
        <w:tc>
          <w:tcPr>
            <w:tcW w:w="1250" w:type="pct"/>
            <w:shd w:val="clear" w:color="auto" w:fill="auto"/>
          </w:tcPr>
          <w:p w:rsidR="00310655" w:rsidRPr="00CA4DFF" w:rsidRDefault="00310655" w:rsidP="006B4376">
            <w:pPr>
              <w:pStyle w:val="ENoteTableText"/>
            </w:pPr>
            <w:r w:rsidRPr="00CA4DFF">
              <w:t>Health Insurance (Section 3C Co</w:t>
            </w:r>
            <w:r w:rsidR="00C468E2" w:rsidRPr="00CA4DFF">
              <w:noBreakHyphen/>
            </w:r>
            <w:r w:rsidRPr="00CA4DFF">
              <w:t>Dependent Pathology Services) Amendment Determination 2018</w:t>
            </w:r>
          </w:p>
        </w:tc>
        <w:tc>
          <w:tcPr>
            <w:tcW w:w="1140" w:type="pct"/>
            <w:shd w:val="clear" w:color="auto" w:fill="auto"/>
          </w:tcPr>
          <w:p w:rsidR="00310655" w:rsidRPr="00CA4DFF" w:rsidRDefault="00330077" w:rsidP="00390220">
            <w:pPr>
              <w:pStyle w:val="ENoteTableText"/>
            </w:pPr>
            <w:r w:rsidRPr="00CA4DFF">
              <w:t xml:space="preserve">26 October </w:t>
            </w:r>
            <w:r w:rsidR="00310655" w:rsidRPr="00CA4DFF">
              <w:t>2018 (F2018L01473)</w:t>
            </w:r>
          </w:p>
        </w:tc>
        <w:tc>
          <w:tcPr>
            <w:tcW w:w="1360" w:type="pct"/>
            <w:shd w:val="clear" w:color="auto" w:fill="auto"/>
          </w:tcPr>
          <w:p w:rsidR="00310655" w:rsidRPr="00CA4DFF" w:rsidRDefault="00310655" w:rsidP="00390220">
            <w:pPr>
              <w:pStyle w:val="ENoteTableText"/>
            </w:pPr>
            <w:r w:rsidRPr="00CA4DFF">
              <w:t>1 November 2018</w:t>
            </w:r>
          </w:p>
        </w:tc>
        <w:tc>
          <w:tcPr>
            <w:tcW w:w="1250" w:type="pct"/>
            <w:shd w:val="clear" w:color="auto" w:fill="auto"/>
          </w:tcPr>
          <w:p w:rsidR="00310655" w:rsidRPr="00CA4DFF" w:rsidRDefault="00310655" w:rsidP="006B4376">
            <w:pPr>
              <w:pStyle w:val="ENoteTableText"/>
            </w:pPr>
            <w:r w:rsidRPr="00CA4DFF">
              <w:t>—</w:t>
            </w:r>
          </w:p>
        </w:tc>
      </w:tr>
      <w:tr w:rsidR="002751D5" w:rsidRPr="00CA4DFF" w:rsidTr="00B87961">
        <w:trPr>
          <w:cantSplit/>
        </w:trPr>
        <w:tc>
          <w:tcPr>
            <w:tcW w:w="1250" w:type="pct"/>
            <w:tcBorders>
              <w:bottom w:val="single" w:sz="4" w:space="0" w:color="auto"/>
            </w:tcBorders>
            <w:shd w:val="clear" w:color="auto" w:fill="auto"/>
          </w:tcPr>
          <w:p w:rsidR="002751D5" w:rsidRPr="00CA4DFF" w:rsidRDefault="002751D5" w:rsidP="006B4376">
            <w:pPr>
              <w:pStyle w:val="ENoteTableText"/>
            </w:pPr>
            <w:r w:rsidRPr="00CA4DFF">
              <w:t>Health Insurance (Section 3C Co</w:t>
            </w:r>
            <w:r w:rsidR="00C468E2" w:rsidRPr="00CA4DFF">
              <w:noBreakHyphen/>
            </w:r>
            <w:r w:rsidRPr="00CA4DFF">
              <w:t>Dependent Pathology Services) Amendment Determination (No.2) 2018</w:t>
            </w:r>
          </w:p>
        </w:tc>
        <w:tc>
          <w:tcPr>
            <w:tcW w:w="1140" w:type="pct"/>
            <w:tcBorders>
              <w:bottom w:val="single" w:sz="4" w:space="0" w:color="auto"/>
            </w:tcBorders>
            <w:shd w:val="clear" w:color="auto" w:fill="auto"/>
          </w:tcPr>
          <w:p w:rsidR="002751D5" w:rsidRPr="00CA4DFF" w:rsidRDefault="002751D5" w:rsidP="00780A41">
            <w:pPr>
              <w:pStyle w:val="ENoteTableText"/>
            </w:pPr>
            <w:r w:rsidRPr="00CA4DFF">
              <w:t>30 October 2018 (F2018L01505)</w:t>
            </w:r>
          </w:p>
        </w:tc>
        <w:tc>
          <w:tcPr>
            <w:tcW w:w="1360" w:type="pct"/>
            <w:tcBorders>
              <w:bottom w:val="single" w:sz="4" w:space="0" w:color="auto"/>
            </w:tcBorders>
            <w:shd w:val="clear" w:color="auto" w:fill="auto"/>
          </w:tcPr>
          <w:p w:rsidR="002751D5" w:rsidRPr="00CA4DFF" w:rsidRDefault="002751D5" w:rsidP="00390220">
            <w:pPr>
              <w:pStyle w:val="ENoteTableText"/>
            </w:pPr>
            <w:r w:rsidRPr="00CA4DFF">
              <w:t>1 November 2018</w:t>
            </w:r>
          </w:p>
        </w:tc>
        <w:tc>
          <w:tcPr>
            <w:tcW w:w="1250" w:type="pct"/>
            <w:tcBorders>
              <w:bottom w:val="single" w:sz="4" w:space="0" w:color="auto"/>
            </w:tcBorders>
            <w:shd w:val="clear" w:color="auto" w:fill="auto"/>
          </w:tcPr>
          <w:p w:rsidR="002751D5" w:rsidRPr="00CA4DFF" w:rsidRDefault="002751D5" w:rsidP="006B4376">
            <w:pPr>
              <w:pStyle w:val="ENoteTableText"/>
            </w:pPr>
            <w:r w:rsidRPr="00CA4DFF">
              <w:t>—</w:t>
            </w:r>
          </w:p>
        </w:tc>
      </w:tr>
      <w:tr w:rsidR="006B4376" w:rsidRPr="00CA4DFF" w:rsidTr="00B87961">
        <w:trPr>
          <w:cantSplit/>
        </w:trPr>
        <w:tc>
          <w:tcPr>
            <w:tcW w:w="1250" w:type="pct"/>
            <w:shd w:val="clear" w:color="auto" w:fill="auto"/>
          </w:tcPr>
          <w:p w:rsidR="006B4376" w:rsidRPr="00CA4DFF" w:rsidRDefault="006B4376" w:rsidP="006B4376">
            <w:pPr>
              <w:pStyle w:val="ENoteTableText"/>
            </w:pPr>
            <w:r w:rsidRPr="00CA4DFF">
              <w:t>Health Insurance (Section 3C Co</w:t>
            </w:r>
            <w:r w:rsidR="00C468E2" w:rsidRPr="00CA4DFF">
              <w:noBreakHyphen/>
            </w:r>
            <w:r w:rsidRPr="00CA4DFF">
              <w:t>Dependent Pathology Services) Amendment Determination (No. 3) 2018</w:t>
            </w:r>
          </w:p>
        </w:tc>
        <w:tc>
          <w:tcPr>
            <w:tcW w:w="1140" w:type="pct"/>
            <w:shd w:val="clear" w:color="auto" w:fill="auto"/>
          </w:tcPr>
          <w:p w:rsidR="006B4376" w:rsidRPr="00CA4DFF" w:rsidRDefault="006B4376" w:rsidP="00780A41">
            <w:pPr>
              <w:pStyle w:val="ENoteTableText"/>
            </w:pPr>
            <w:r w:rsidRPr="00CA4DFF">
              <w:t>17 Dec</w:t>
            </w:r>
            <w:r w:rsidR="00390220" w:rsidRPr="00CA4DFF">
              <w:t>ember</w:t>
            </w:r>
            <w:r w:rsidRPr="00CA4DFF">
              <w:t xml:space="preserve"> 2018 (F2018L01776)</w:t>
            </w:r>
          </w:p>
        </w:tc>
        <w:tc>
          <w:tcPr>
            <w:tcW w:w="1360" w:type="pct"/>
            <w:shd w:val="clear" w:color="auto" w:fill="auto"/>
          </w:tcPr>
          <w:p w:rsidR="006B4376" w:rsidRPr="00CA4DFF" w:rsidRDefault="00626533" w:rsidP="006B4376">
            <w:pPr>
              <w:pStyle w:val="ENoteTableText"/>
            </w:pPr>
            <w:r w:rsidRPr="00CA4DFF">
              <w:t>1 Jan</w:t>
            </w:r>
            <w:r w:rsidR="00390220" w:rsidRPr="00CA4DFF">
              <w:t>uary</w:t>
            </w:r>
            <w:r w:rsidRPr="00CA4DFF">
              <w:t xml:space="preserve"> 2019</w:t>
            </w:r>
            <w:r w:rsidR="008F2D3D" w:rsidRPr="00CA4DFF">
              <w:t xml:space="preserve"> (s 2)</w:t>
            </w:r>
          </w:p>
        </w:tc>
        <w:tc>
          <w:tcPr>
            <w:tcW w:w="1250" w:type="pct"/>
            <w:shd w:val="clear" w:color="auto" w:fill="auto"/>
          </w:tcPr>
          <w:p w:rsidR="006B4376" w:rsidRPr="00CA4DFF" w:rsidRDefault="00626533" w:rsidP="006B4376">
            <w:pPr>
              <w:pStyle w:val="ENoteTableText"/>
            </w:pPr>
            <w:r w:rsidRPr="00CA4DFF">
              <w:t>—</w:t>
            </w:r>
          </w:p>
        </w:tc>
      </w:tr>
      <w:tr w:rsidR="00C154F8" w:rsidRPr="00CA4DFF" w:rsidTr="00B87961">
        <w:trPr>
          <w:cantSplit/>
        </w:trPr>
        <w:tc>
          <w:tcPr>
            <w:tcW w:w="1250" w:type="pct"/>
            <w:shd w:val="clear" w:color="auto" w:fill="auto"/>
          </w:tcPr>
          <w:p w:rsidR="00C154F8" w:rsidRPr="00CA4DFF" w:rsidRDefault="00C154F8" w:rsidP="006B4376">
            <w:pPr>
              <w:pStyle w:val="ENoteTableText"/>
            </w:pPr>
            <w:r w:rsidRPr="00CA4DFF">
              <w:t>Health Insurance (Section 3C Co</w:t>
            </w:r>
            <w:r w:rsidR="00C468E2" w:rsidRPr="00CA4DFF">
              <w:noBreakHyphen/>
            </w:r>
            <w:r w:rsidRPr="00CA4DFF">
              <w:t>Dependent Pathology Services) Amendment Determination 2019</w:t>
            </w:r>
          </w:p>
        </w:tc>
        <w:tc>
          <w:tcPr>
            <w:tcW w:w="1140" w:type="pct"/>
            <w:shd w:val="clear" w:color="auto" w:fill="auto"/>
          </w:tcPr>
          <w:p w:rsidR="00C154F8" w:rsidRPr="00CA4DFF" w:rsidRDefault="00C154F8" w:rsidP="00780A41">
            <w:pPr>
              <w:pStyle w:val="ENoteTableText"/>
            </w:pPr>
            <w:r w:rsidRPr="00CA4DFF">
              <w:t>17 January 2019 (F2019L00044)</w:t>
            </w:r>
          </w:p>
        </w:tc>
        <w:tc>
          <w:tcPr>
            <w:tcW w:w="1360" w:type="pct"/>
            <w:shd w:val="clear" w:color="auto" w:fill="auto"/>
          </w:tcPr>
          <w:p w:rsidR="00C154F8" w:rsidRPr="00CA4DFF" w:rsidRDefault="00C154F8" w:rsidP="006B4376">
            <w:pPr>
              <w:pStyle w:val="ENoteTableText"/>
            </w:pPr>
            <w:r w:rsidRPr="00CA4DFF">
              <w:t>1 February 2019</w:t>
            </w:r>
            <w:r w:rsidR="008F2D3D" w:rsidRPr="00CA4DFF">
              <w:t xml:space="preserve"> (s 2)</w:t>
            </w:r>
          </w:p>
        </w:tc>
        <w:tc>
          <w:tcPr>
            <w:tcW w:w="1250" w:type="pct"/>
            <w:shd w:val="clear" w:color="auto" w:fill="auto"/>
          </w:tcPr>
          <w:p w:rsidR="00C154F8" w:rsidRPr="00CA4DFF" w:rsidRDefault="00C154F8" w:rsidP="006B4376">
            <w:pPr>
              <w:pStyle w:val="ENoteTableText"/>
            </w:pPr>
            <w:r w:rsidRPr="00CA4DFF">
              <w:t>—</w:t>
            </w:r>
          </w:p>
        </w:tc>
      </w:tr>
      <w:tr w:rsidR="0042215D" w:rsidRPr="00CA4DFF" w:rsidTr="00B87961">
        <w:trPr>
          <w:cantSplit/>
        </w:trPr>
        <w:tc>
          <w:tcPr>
            <w:tcW w:w="1250" w:type="pct"/>
            <w:shd w:val="clear" w:color="auto" w:fill="auto"/>
          </w:tcPr>
          <w:p w:rsidR="0042215D" w:rsidRPr="00CA4DFF" w:rsidRDefault="0042215D" w:rsidP="006B4376">
            <w:pPr>
              <w:pStyle w:val="ENoteTableText"/>
            </w:pPr>
            <w:r w:rsidRPr="00CA4DFF">
              <w:t>Health Insurance (Section 3C Co</w:t>
            </w:r>
            <w:r w:rsidR="00C468E2" w:rsidRPr="00CA4DFF">
              <w:noBreakHyphen/>
            </w:r>
            <w:r w:rsidRPr="00CA4DFF">
              <w:t>Dependent Pathology Services) Amendment Determination (No.2) 2019</w:t>
            </w:r>
          </w:p>
        </w:tc>
        <w:tc>
          <w:tcPr>
            <w:tcW w:w="1140" w:type="pct"/>
            <w:shd w:val="clear" w:color="auto" w:fill="auto"/>
          </w:tcPr>
          <w:p w:rsidR="0042215D" w:rsidRPr="00CA4DFF" w:rsidRDefault="0042215D" w:rsidP="00780A41">
            <w:pPr>
              <w:pStyle w:val="ENoteTableText"/>
            </w:pPr>
            <w:r w:rsidRPr="00CA4DFF">
              <w:t>22 February 2019 (F2019L00174)</w:t>
            </w:r>
          </w:p>
        </w:tc>
        <w:tc>
          <w:tcPr>
            <w:tcW w:w="1360" w:type="pct"/>
            <w:shd w:val="clear" w:color="auto" w:fill="auto"/>
          </w:tcPr>
          <w:p w:rsidR="0042215D" w:rsidRPr="00CA4DFF" w:rsidRDefault="0042215D" w:rsidP="006B4376">
            <w:pPr>
              <w:pStyle w:val="ENoteTableText"/>
            </w:pPr>
            <w:r w:rsidRPr="00CA4DFF">
              <w:t>1 March 2019</w:t>
            </w:r>
            <w:r w:rsidR="008F2D3D" w:rsidRPr="00CA4DFF">
              <w:t xml:space="preserve"> (s 2)</w:t>
            </w:r>
          </w:p>
        </w:tc>
        <w:tc>
          <w:tcPr>
            <w:tcW w:w="1250" w:type="pct"/>
            <w:shd w:val="clear" w:color="auto" w:fill="auto"/>
          </w:tcPr>
          <w:p w:rsidR="0042215D" w:rsidRPr="00CA4DFF" w:rsidRDefault="0042215D" w:rsidP="006B4376">
            <w:pPr>
              <w:pStyle w:val="ENoteTableText"/>
            </w:pPr>
            <w:r w:rsidRPr="00CA4DFF">
              <w:t>—</w:t>
            </w:r>
          </w:p>
        </w:tc>
      </w:tr>
      <w:tr w:rsidR="00CF2BCF" w:rsidRPr="00CA4DFF" w:rsidTr="00B87961">
        <w:trPr>
          <w:cantSplit/>
        </w:trPr>
        <w:tc>
          <w:tcPr>
            <w:tcW w:w="1250" w:type="pct"/>
            <w:shd w:val="clear" w:color="auto" w:fill="auto"/>
          </w:tcPr>
          <w:p w:rsidR="00CF2BCF" w:rsidRPr="00CA4DFF" w:rsidRDefault="00CF2BCF" w:rsidP="006B4376">
            <w:pPr>
              <w:pStyle w:val="ENoteTableText"/>
            </w:pPr>
            <w:r w:rsidRPr="00CA4DFF">
              <w:rPr>
                <w:noProof/>
              </w:rPr>
              <w:t>Health Insurance (Section 3C Co</w:t>
            </w:r>
            <w:r w:rsidR="00C468E2" w:rsidRPr="00CA4DFF">
              <w:rPr>
                <w:noProof/>
              </w:rPr>
              <w:noBreakHyphen/>
            </w:r>
            <w:r w:rsidRPr="00CA4DFF">
              <w:rPr>
                <w:noProof/>
              </w:rPr>
              <w:t>Dependent Pathology Services) Amendment Determination (No. 3) 2019</w:t>
            </w:r>
          </w:p>
        </w:tc>
        <w:tc>
          <w:tcPr>
            <w:tcW w:w="1140" w:type="pct"/>
            <w:shd w:val="clear" w:color="auto" w:fill="auto"/>
          </w:tcPr>
          <w:p w:rsidR="00CF2BCF" w:rsidRPr="00CA4DFF" w:rsidRDefault="00CF2BCF" w:rsidP="00780A41">
            <w:pPr>
              <w:pStyle w:val="ENoteTableText"/>
            </w:pPr>
            <w:r w:rsidRPr="00CA4DFF">
              <w:t>30 October 2019 (F2019L01385)</w:t>
            </w:r>
          </w:p>
        </w:tc>
        <w:tc>
          <w:tcPr>
            <w:tcW w:w="1360" w:type="pct"/>
            <w:shd w:val="clear" w:color="auto" w:fill="auto"/>
          </w:tcPr>
          <w:p w:rsidR="00CF2BCF" w:rsidRPr="00CA4DFF" w:rsidRDefault="00CF2BCF" w:rsidP="006B4376">
            <w:pPr>
              <w:pStyle w:val="ENoteTableText"/>
            </w:pPr>
            <w:r w:rsidRPr="00CA4DFF">
              <w:t>1 November 2019</w:t>
            </w:r>
            <w:r w:rsidR="008F2D3D" w:rsidRPr="00CA4DFF">
              <w:t xml:space="preserve"> (s 2(1) item 1)</w:t>
            </w:r>
          </w:p>
        </w:tc>
        <w:tc>
          <w:tcPr>
            <w:tcW w:w="1250" w:type="pct"/>
            <w:shd w:val="clear" w:color="auto" w:fill="auto"/>
          </w:tcPr>
          <w:p w:rsidR="00CF2BCF" w:rsidRPr="00CA4DFF" w:rsidRDefault="00CF2BCF" w:rsidP="006B4376">
            <w:pPr>
              <w:pStyle w:val="ENoteTableText"/>
            </w:pPr>
            <w:r w:rsidRPr="00CA4DFF">
              <w:t>—</w:t>
            </w:r>
          </w:p>
        </w:tc>
      </w:tr>
      <w:tr w:rsidR="00B44177" w:rsidRPr="00CA4DFF" w:rsidTr="00B87961">
        <w:trPr>
          <w:cantSplit/>
        </w:trPr>
        <w:tc>
          <w:tcPr>
            <w:tcW w:w="1250" w:type="pct"/>
            <w:shd w:val="clear" w:color="auto" w:fill="auto"/>
          </w:tcPr>
          <w:p w:rsidR="00B44177" w:rsidRPr="00CA4DFF" w:rsidRDefault="00B44177">
            <w:pPr>
              <w:pStyle w:val="ENoteTableText"/>
              <w:rPr>
                <w:noProof/>
              </w:rPr>
            </w:pPr>
            <w:r w:rsidRPr="00CA4DFF">
              <w:rPr>
                <w:noProof/>
              </w:rPr>
              <w:t>Health Insurance (Section 3C Co</w:t>
            </w:r>
            <w:r w:rsidR="00C468E2" w:rsidRPr="00CA4DFF">
              <w:rPr>
                <w:noProof/>
              </w:rPr>
              <w:noBreakHyphen/>
            </w:r>
            <w:r w:rsidRPr="00CA4DFF">
              <w:rPr>
                <w:noProof/>
              </w:rPr>
              <w:t>Dependent Pathology Services) Amendment Determination (No. 1) 2020</w:t>
            </w:r>
          </w:p>
        </w:tc>
        <w:tc>
          <w:tcPr>
            <w:tcW w:w="1140" w:type="pct"/>
            <w:shd w:val="clear" w:color="auto" w:fill="auto"/>
          </w:tcPr>
          <w:p w:rsidR="00B44177" w:rsidRPr="00CA4DFF" w:rsidRDefault="00C8244C" w:rsidP="00780A41">
            <w:pPr>
              <w:pStyle w:val="ENoteTableText"/>
            </w:pPr>
            <w:r w:rsidRPr="00CA4DFF">
              <w:t xml:space="preserve">25 March </w:t>
            </w:r>
            <w:r w:rsidR="00B44177" w:rsidRPr="00CA4DFF">
              <w:t>2020 (F2020L00304)</w:t>
            </w:r>
          </w:p>
        </w:tc>
        <w:tc>
          <w:tcPr>
            <w:tcW w:w="1360" w:type="pct"/>
            <w:shd w:val="clear" w:color="auto" w:fill="auto"/>
          </w:tcPr>
          <w:p w:rsidR="00B44177" w:rsidRPr="00CA4DFF" w:rsidRDefault="00B44177" w:rsidP="006B4376">
            <w:pPr>
              <w:pStyle w:val="ENoteTableText"/>
            </w:pPr>
            <w:r w:rsidRPr="00CA4DFF">
              <w:t>1 April 2020</w:t>
            </w:r>
            <w:r w:rsidR="008F2D3D" w:rsidRPr="00CA4DFF">
              <w:t xml:space="preserve"> (s 2(1) item 1)</w:t>
            </w:r>
          </w:p>
        </w:tc>
        <w:tc>
          <w:tcPr>
            <w:tcW w:w="1250" w:type="pct"/>
            <w:shd w:val="clear" w:color="auto" w:fill="auto"/>
          </w:tcPr>
          <w:p w:rsidR="00B44177" w:rsidRPr="00CA4DFF" w:rsidRDefault="00B44177" w:rsidP="006B4376">
            <w:pPr>
              <w:pStyle w:val="ENoteTableText"/>
            </w:pPr>
            <w:r w:rsidRPr="00CA4DFF">
              <w:t>—</w:t>
            </w:r>
          </w:p>
        </w:tc>
      </w:tr>
      <w:tr w:rsidR="005126EC" w:rsidRPr="00CA4DFF" w:rsidTr="00B87961">
        <w:trPr>
          <w:cantSplit/>
        </w:trPr>
        <w:tc>
          <w:tcPr>
            <w:tcW w:w="1250" w:type="pct"/>
            <w:shd w:val="clear" w:color="auto" w:fill="auto"/>
          </w:tcPr>
          <w:p w:rsidR="005126EC" w:rsidRPr="00CA4DFF" w:rsidRDefault="005126EC">
            <w:pPr>
              <w:pStyle w:val="ENoteTableText"/>
              <w:rPr>
                <w:noProof/>
              </w:rPr>
            </w:pPr>
            <w:r w:rsidRPr="00CA4DFF">
              <w:rPr>
                <w:noProof/>
              </w:rPr>
              <w:t>Health Insurance (Section 3C Co-Dependent Pathology Services) Amendment Determination (No. 4) 2020</w:t>
            </w:r>
          </w:p>
        </w:tc>
        <w:tc>
          <w:tcPr>
            <w:tcW w:w="1140" w:type="pct"/>
            <w:shd w:val="clear" w:color="auto" w:fill="auto"/>
          </w:tcPr>
          <w:p w:rsidR="005126EC" w:rsidRPr="00CA4DFF" w:rsidRDefault="005126EC" w:rsidP="00780A41">
            <w:pPr>
              <w:pStyle w:val="ENoteTableText"/>
            </w:pPr>
            <w:r w:rsidRPr="00CA4DFF">
              <w:t>30 April 2020 (F2020L00521)</w:t>
            </w:r>
          </w:p>
        </w:tc>
        <w:tc>
          <w:tcPr>
            <w:tcW w:w="1360" w:type="pct"/>
            <w:shd w:val="clear" w:color="auto" w:fill="auto"/>
          </w:tcPr>
          <w:p w:rsidR="005126EC" w:rsidRPr="00CA4DFF" w:rsidRDefault="005126EC" w:rsidP="006B4376">
            <w:pPr>
              <w:pStyle w:val="ENoteTableText"/>
            </w:pPr>
            <w:r w:rsidRPr="00CA4DFF">
              <w:t>1 May 2020</w:t>
            </w:r>
            <w:r w:rsidR="008F2D3D" w:rsidRPr="00CA4DFF">
              <w:t xml:space="preserve"> (s 2(1) item 1)</w:t>
            </w:r>
          </w:p>
        </w:tc>
        <w:tc>
          <w:tcPr>
            <w:tcW w:w="1250" w:type="pct"/>
            <w:shd w:val="clear" w:color="auto" w:fill="auto"/>
          </w:tcPr>
          <w:p w:rsidR="005126EC" w:rsidRPr="00CA4DFF" w:rsidRDefault="005126EC" w:rsidP="006B4376">
            <w:pPr>
              <w:pStyle w:val="ENoteTableText"/>
            </w:pPr>
            <w:r w:rsidRPr="00CA4DFF">
              <w:t>—</w:t>
            </w:r>
          </w:p>
        </w:tc>
      </w:tr>
      <w:tr w:rsidR="00F25620" w:rsidRPr="00CA4DFF" w:rsidTr="00025478">
        <w:trPr>
          <w:cantSplit/>
        </w:trPr>
        <w:tc>
          <w:tcPr>
            <w:tcW w:w="1250" w:type="pct"/>
            <w:shd w:val="clear" w:color="auto" w:fill="auto"/>
          </w:tcPr>
          <w:p w:rsidR="00F25620" w:rsidRPr="00CA4DFF" w:rsidRDefault="00F25620">
            <w:pPr>
              <w:pStyle w:val="ENoteTableText"/>
              <w:rPr>
                <w:noProof/>
              </w:rPr>
            </w:pPr>
            <w:r w:rsidRPr="00CA4DFF">
              <w:rPr>
                <w:noProof/>
              </w:rPr>
              <w:t>Health Insurance (Section 3C Co-Dependent Pathology Services) Amendment Determination (No. 5) 2020</w:t>
            </w:r>
          </w:p>
        </w:tc>
        <w:tc>
          <w:tcPr>
            <w:tcW w:w="1140" w:type="pct"/>
            <w:shd w:val="clear" w:color="auto" w:fill="auto"/>
          </w:tcPr>
          <w:p w:rsidR="00F25620" w:rsidRPr="00CA4DFF" w:rsidRDefault="00F25620" w:rsidP="00780A41">
            <w:pPr>
              <w:pStyle w:val="ENoteTableText"/>
            </w:pPr>
            <w:r w:rsidRPr="00CA4DFF">
              <w:t>23 Jul</w:t>
            </w:r>
            <w:r w:rsidR="006A24FE">
              <w:t>y</w:t>
            </w:r>
            <w:r w:rsidRPr="00CA4DFF">
              <w:t xml:space="preserve"> 2020 (F2020L00938)</w:t>
            </w:r>
          </w:p>
        </w:tc>
        <w:tc>
          <w:tcPr>
            <w:tcW w:w="1360" w:type="pct"/>
            <w:shd w:val="clear" w:color="auto" w:fill="auto"/>
          </w:tcPr>
          <w:p w:rsidR="00F25620" w:rsidRPr="00CA4DFF" w:rsidRDefault="00F25620" w:rsidP="006B4376">
            <w:pPr>
              <w:pStyle w:val="ENoteTableText"/>
            </w:pPr>
            <w:r w:rsidRPr="00CA4DFF">
              <w:t>1 August 2020 (s 2(1) item 1)</w:t>
            </w:r>
          </w:p>
        </w:tc>
        <w:tc>
          <w:tcPr>
            <w:tcW w:w="1250" w:type="pct"/>
            <w:shd w:val="clear" w:color="auto" w:fill="auto"/>
          </w:tcPr>
          <w:p w:rsidR="00F25620" w:rsidRPr="00CA4DFF" w:rsidRDefault="00F25620" w:rsidP="006B4376">
            <w:pPr>
              <w:pStyle w:val="ENoteTableText"/>
            </w:pPr>
            <w:r w:rsidRPr="00CA4DFF">
              <w:t>—</w:t>
            </w:r>
          </w:p>
        </w:tc>
      </w:tr>
      <w:tr w:rsidR="00506C62" w:rsidRPr="00CA4DFF" w:rsidTr="0084487A">
        <w:trPr>
          <w:cantSplit/>
        </w:trPr>
        <w:tc>
          <w:tcPr>
            <w:tcW w:w="1250" w:type="pct"/>
            <w:shd w:val="clear" w:color="auto" w:fill="auto"/>
          </w:tcPr>
          <w:p w:rsidR="00506C62" w:rsidRPr="00506C62" w:rsidRDefault="00506C62">
            <w:pPr>
              <w:pStyle w:val="ENoteTableText"/>
              <w:rPr>
                <w:noProof/>
              </w:rPr>
            </w:pPr>
            <w:r w:rsidRPr="00025478">
              <w:lastRenderedPageBreak/>
              <w:t>Health Insurance (Section 3C Co-Dependent Pathology Services) Amendment Determination (No. 6) 2020</w:t>
            </w:r>
          </w:p>
        </w:tc>
        <w:tc>
          <w:tcPr>
            <w:tcW w:w="1140" w:type="pct"/>
            <w:shd w:val="clear" w:color="auto" w:fill="auto"/>
          </w:tcPr>
          <w:p w:rsidR="00506C62" w:rsidRPr="00CA4DFF" w:rsidRDefault="00506C62" w:rsidP="00780A41">
            <w:pPr>
              <w:pStyle w:val="ENoteTableText"/>
            </w:pPr>
            <w:r>
              <w:t>27 August 2020 (F2020L01075)</w:t>
            </w:r>
          </w:p>
        </w:tc>
        <w:tc>
          <w:tcPr>
            <w:tcW w:w="1360" w:type="pct"/>
            <w:shd w:val="clear" w:color="auto" w:fill="auto"/>
          </w:tcPr>
          <w:p w:rsidR="00506C62" w:rsidRPr="00CA4DFF" w:rsidRDefault="00506C62" w:rsidP="006B4376">
            <w:pPr>
              <w:pStyle w:val="ENoteTableText"/>
            </w:pPr>
            <w:r>
              <w:t>1 September 2020 (s 2(1) item 1)</w:t>
            </w:r>
          </w:p>
        </w:tc>
        <w:tc>
          <w:tcPr>
            <w:tcW w:w="1250" w:type="pct"/>
            <w:shd w:val="clear" w:color="auto" w:fill="auto"/>
          </w:tcPr>
          <w:p w:rsidR="00506C62" w:rsidRPr="00CA4DFF" w:rsidRDefault="00506C62" w:rsidP="00506C62">
            <w:pPr>
              <w:pStyle w:val="ENoteTableText"/>
            </w:pPr>
            <w:r w:rsidRPr="00CA4DFF">
              <w:t>—</w:t>
            </w:r>
          </w:p>
        </w:tc>
      </w:tr>
      <w:tr w:rsidR="008353D7" w:rsidRPr="00CA4DFF" w:rsidTr="00103408">
        <w:trPr>
          <w:cantSplit/>
        </w:trPr>
        <w:tc>
          <w:tcPr>
            <w:tcW w:w="1250" w:type="pct"/>
            <w:shd w:val="clear" w:color="auto" w:fill="auto"/>
          </w:tcPr>
          <w:p w:rsidR="008353D7" w:rsidRPr="00025478" w:rsidRDefault="008353D7">
            <w:pPr>
              <w:pStyle w:val="ENoteTableText"/>
            </w:pPr>
            <w:r w:rsidRPr="0084487A">
              <w:t>Health Insurance (Section 3C Co-Dependent Pathology Services) Amendment Determination (No. 7) 2020</w:t>
            </w:r>
          </w:p>
        </w:tc>
        <w:tc>
          <w:tcPr>
            <w:tcW w:w="1140" w:type="pct"/>
            <w:shd w:val="clear" w:color="auto" w:fill="auto"/>
          </w:tcPr>
          <w:p w:rsidR="008353D7" w:rsidRDefault="008353D7" w:rsidP="00780A41">
            <w:pPr>
              <w:pStyle w:val="ENoteTableText"/>
            </w:pPr>
            <w:r>
              <w:t>18 December 2020 (</w:t>
            </w:r>
            <w:r w:rsidRPr="0084487A">
              <w:t>F2020L01642)</w:t>
            </w:r>
          </w:p>
        </w:tc>
        <w:tc>
          <w:tcPr>
            <w:tcW w:w="1360" w:type="pct"/>
            <w:shd w:val="clear" w:color="auto" w:fill="auto"/>
          </w:tcPr>
          <w:p w:rsidR="008353D7" w:rsidRDefault="008353D7" w:rsidP="00D52259">
            <w:pPr>
              <w:pStyle w:val="ENoteTableText"/>
            </w:pPr>
            <w:r>
              <w:t>1 January 202</w:t>
            </w:r>
            <w:r w:rsidR="00D52259">
              <w:t>1</w:t>
            </w:r>
            <w:r>
              <w:t xml:space="preserve"> (s 2(1) item 1)</w:t>
            </w:r>
          </w:p>
        </w:tc>
        <w:tc>
          <w:tcPr>
            <w:tcW w:w="1250" w:type="pct"/>
            <w:shd w:val="clear" w:color="auto" w:fill="auto"/>
          </w:tcPr>
          <w:p w:rsidR="008353D7" w:rsidRPr="00CA4DFF" w:rsidRDefault="008353D7" w:rsidP="00506C62">
            <w:pPr>
              <w:pStyle w:val="ENoteTableText"/>
            </w:pPr>
            <w:r w:rsidRPr="00CA4DFF">
              <w:t>—</w:t>
            </w:r>
          </w:p>
        </w:tc>
      </w:tr>
      <w:tr w:rsidR="004668A5" w:rsidRPr="00CA4DFF" w:rsidTr="00B87961">
        <w:trPr>
          <w:cantSplit/>
        </w:trPr>
        <w:tc>
          <w:tcPr>
            <w:tcW w:w="1250" w:type="pct"/>
            <w:tcBorders>
              <w:bottom w:val="single" w:sz="12" w:space="0" w:color="auto"/>
            </w:tcBorders>
            <w:shd w:val="clear" w:color="auto" w:fill="auto"/>
          </w:tcPr>
          <w:p w:rsidR="004668A5" w:rsidRPr="0084487A" w:rsidRDefault="004668A5">
            <w:pPr>
              <w:pStyle w:val="ENoteTableText"/>
            </w:pPr>
            <w:r w:rsidRPr="004668A5">
              <w:t>Health Insurance (Section 3C Co-Dependent Pathology Services) Amendment Determination 2021</w:t>
            </w:r>
          </w:p>
        </w:tc>
        <w:tc>
          <w:tcPr>
            <w:tcW w:w="1140" w:type="pct"/>
            <w:tcBorders>
              <w:bottom w:val="single" w:sz="12" w:space="0" w:color="auto"/>
            </w:tcBorders>
            <w:shd w:val="clear" w:color="auto" w:fill="auto"/>
          </w:tcPr>
          <w:p w:rsidR="004668A5" w:rsidRDefault="004668A5" w:rsidP="00780A41">
            <w:pPr>
              <w:pStyle w:val="ENoteTableText"/>
            </w:pPr>
            <w:r>
              <w:t>16 September 2021 (</w:t>
            </w:r>
            <w:r w:rsidRPr="004668A5">
              <w:t>F2021L01270</w:t>
            </w:r>
            <w:r>
              <w:t>)</w:t>
            </w:r>
          </w:p>
        </w:tc>
        <w:tc>
          <w:tcPr>
            <w:tcW w:w="1360" w:type="pct"/>
            <w:tcBorders>
              <w:bottom w:val="single" w:sz="12" w:space="0" w:color="auto"/>
            </w:tcBorders>
            <w:shd w:val="clear" w:color="auto" w:fill="auto"/>
          </w:tcPr>
          <w:p w:rsidR="004668A5" w:rsidRDefault="004668A5" w:rsidP="00D52259">
            <w:pPr>
              <w:pStyle w:val="ENoteTableText"/>
            </w:pPr>
            <w:r>
              <w:t>1 November 2021 (s 2(1) item 1)</w:t>
            </w:r>
          </w:p>
        </w:tc>
        <w:tc>
          <w:tcPr>
            <w:tcW w:w="1250" w:type="pct"/>
            <w:tcBorders>
              <w:bottom w:val="single" w:sz="12" w:space="0" w:color="auto"/>
            </w:tcBorders>
            <w:shd w:val="clear" w:color="auto" w:fill="auto"/>
          </w:tcPr>
          <w:p w:rsidR="004668A5" w:rsidRPr="00CA4DFF" w:rsidRDefault="004668A5" w:rsidP="00506C62">
            <w:pPr>
              <w:pStyle w:val="ENoteTableText"/>
            </w:pPr>
            <w:r>
              <w:t>—</w:t>
            </w:r>
          </w:p>
        </w:tc>
      </w:tr>
    </w:tbl>
    <w:p w:rsidR="00307068" w:rsidRPr="00CA4DFF" w:rsidRDefault="00307068" w:rsidP="00852F50">
      <w:pPr>
        <w:pStyle w:val="Tabletext"/>
      </w:pPr>
    </w:p>
    <w:p w:rsidR="00307068" w:rsidRPr="00CA4DFF" w:rsidRDefault="00307068" w:rsidP="00307068">
      <w:pPr>
        <w:pStyle w:val="ENotesHeading2"/>
        <w:pageBreakBefore/>
      </w:pPr>
      <w:bookmarkStart w:id="10" w:name="_Toc87527205"/>
      <w:r w:rsidRPr="00CA4DFF">
        <w:lastRenderedPageBreak/>
        <w:t>Endnote 4—Amendment history</w:t>
      </w:r>
      <w:bookmarkEnd w:id="10"/>
    </w:p>
    <w:p w:rsidR="00307068" w:rsidRPr="00CA4DFF" w:rsidRDefault="00307068" w:rsidP="00307068">
      <w:pPr>
        <w:pStyle w:val="Tabletext"/>
      </w:pPr>
    </w:p>
    <w:tbl>
      <w:tblPr>
        <w:tblW w:w="8359" w:type="dxa"/>
        <w:tblInd w:w="113" w:type="dxa"/>
        <w:tblLayout w:type="fixed"/>
        <w:tblLook w:val="0000" w:firstRow="0" w:lastRow="0" w:firstColumn="0" w:lastColumn="0" w:noHBand="0" w:noVBand="0"/>
      </w:tblPr>
      <w:tblGrid>
        <w:gridCol w:w="2139"/>
        <w:gridCol w:w="6220"/>
      </w:tblGrid>
      <w:tr w:rsidR="00390220" w:rsidRPr="00CA4DFF" w:rsidTr="00774685">
        <w:trPr>
          <w:cantSplit/>
          <w:tblHeader/>
        </w:trPr>
        <w:tc>
          <w:tcPr>
            <w:tcW w:w="2139" w:type="dxa"/>
            <w:tcBorders>
              <w:top w:val="single" w:sz="12" w:space="0" w:color="auto"/>
              <w:bottom w:val="single" w:sz="12" w:space="0" w:color="auto"/>
            </w:tcBorders>
            <w:shd w:val="clear" w:color="auto" w:fill="auto"/>
          </w:tcPr>
          <w:p w:rsidR="00390220" w:rsidRPr="00CA4DFF" w:rsidRDefault="00390220" w:rsidP="00774685">
            <w:pPr>
              <w:pStyle w:val="ENoteTableHeading"/>
              <w:tabs>
                <w:tab w:val="center" w:leader="dot" w:pos="2268"/>
              </w:tabs>
            </w:pPr>
            <w:r w:rsidRPr="00CA4DFF">
              <w:t>Provision affected</w:t>
            </w:r>
          </w:p>
        </w:tc>
        <w:tc>
          <w:tcPr>
            <w:tcW w:w="6220" w:type="dxa"/>
            <w:tcBorders>
              <w:top w:val="single" w:sz="12" w:space="0" w:color="auto"/>
              <w:bottom w:val="single" w:sz="12" w:space="0" w:color="auto"/>
            </w:tcBorders>
            <w:shd w:val="clear" w:color="auto" w:fill="auto"/>
          </w:tcPr>
          <w:p w:rsidR="00390220" w:rsidRPr="00CA4DFF" w:rsidRDefault="00390220" w:rsidP="00774685">
            <w:pPr>
              <w:pStyle w:val="ENoteTableHeading"/>
              <w:tabs>
                <w:tab w:val="center" w:leader="dot" w:pos="2268"/>
              </w:tabs>
            </w:pPr>
            <w:r w:rsidRPr="00CA4DFF">
              <w:t>How affected</w:t>
            </w:r>
          </w:p>
        </w:tc>
      </w:tr>
      <w:tr w:rsidR="00390220" w:rsidRPr="00CA4DFF" w:rsidTr="00774685">
        <w:trPr>
          <w:cantSplit/>
        </w:trPr>
        <w:tc>
          <w:tcPr>
            <w:tcW w:w="2139" w:type="dxa"/>
            <w:tcBorders>
              <w:top w:val="single" w:sz="12" w:space="0" w:color="auto"/>
            </w:tcBorders>
            <w:shd w:val="clear" w:color="auto" w:fill="auto"/>
          </w:tcPr>
          <w:p w:rsidR="00390220" w:rsidRPr="00CA4DFF" w:rsidRDefault="00390220" w:rsidP="00774685">
            <w:pPr>
              <w:pStyle w:val="ENoteTableText"/>
              <w:tabs>
                <w:tab w:val="center" w:leader="dot" w:pos="2268"/>
              </w:tabs>
            </w:pPr>
            <w:r w:rsidRPr="00CA4DFF">
              <w:t>s 2</w:t>
            </w:r>
            <w:r w:rsidRPr="00CA4DFF">
              <w:tab/>
            </w:r>
          </w:p>
        </w:tc>
        <w:tc>
          <w:tcPr>
            <w:tcW w:w="6220" w:type="dxa"/>
            <w:tcBorders>
              <w:top w:val="single" w:sz="12" w:space="0" w:color="auto"/>
            </w:tcBorders>
            <w:shd w:val="clear" w:color="auto" w:fill="auto"/>
          </w:tcPr>
          <w:p w:rsidR="00390220" w:rsidRPr="00CA4DFF" w:rsidRDefault="00390220" w:rsidP="00774685">
            <w:pPr>
              <w:pStyle w:val="ENoteTableText"/>
              <w:tabs>
                <w:tab w:val="center" w:leader="dot" w:pos="2268"/>
              </w:tabs>
            </w:pPr>
            <w:r w:rsidRPr="00CA4DFF">
              <w:t>rep LA s 48D</w:t>
            </w:r>
          </w:p>
        </w:tc>
      </w:tr>
      <w:tr w:rsidR="00390220" w:rsidRPr="00CA4DFF" w:rsidTr="00774685">
        <w:trPr>
          <w:cantSplit/>
        </w:trPr>
        <w:tc>
          <w:tcPr>
            <w:tcW w:w="2139" w:type="dxa"/>
            <w:shd w:val="clear" w:color="auto" w:fill="auto"/>
          </w:tcPr>
          <w:p w:rsidR="00390220" w:rsidRPr="00CA4DFF" w:rsidRDefault="00390220" w:rsidP="003B37D6">
            <w:pPr>
              <w:pStyle w:val="ENoteTableText"/>
              <w:tabs>
                <w:tab w:val="center" w:leader="dot" w:pos="2268"/>
              </w:tabs>
            </w:pPr>
            <w:r w:rsidRPr="00CA4DFF">
              <w:t>s 4</w:t>
            </w:r>
            <w:r w:rsidRPr="00CA4DFF">
              <w:tab/>
            </w:r>
          </w:p>
        </w:tc>
        <w:tc>
          <w:tcPr>
            <w:tcW w:w="6220" w:type="dxa"/>
            <w:shd w:val="clear" w:color="auto" w:fill="auto"/>
          </w:tcPr>
          <w:p w:rsidR="00390220" w:rsidRPr="00CA4DFF" w:rsidRDefault="00390220" w:rsidP="00774685">
            <w:pPr>
              <w:pStyle w:val="ENoteTableText"/>
              <w:tabs>
                <w:tab w:val="center" w:leader="dot" w:pos="2268"/>
              </w:tabs>
            </w:pPr>
            <w:r w:rsidRPr="00CA4DFF">
              <w:t>rep LA s 48C</w:t>
            </w:r>
          </w:p>
        </w:tc>
      </w:tr>
      <w:tr w:rsidR="00390220" w:rsidRPr="00CA4DFF" w:rsidTr="00774685">
        <w:trPr>
          <w:cantSplit/>
        </w:trPr>
        <w:tc>
          <w:tcPr>
            <w:tcW w:w="2139" w:type="dxa"/>
            <w:shd w:val="clear" w:color="auto" w:fill="auto"/>
          </w:tcPr>
          <w:p w:rsidR="00390220" w:rsidRPr="00CA4DFF" w:rsidRDefault="00390220" w:rsidP="003B37D6">
            <w:pPr>
              <w:pStyle w:val="ENoteTableText"/>
              <w:tabs>
                <w:tab w:val="center" w:leader="dot" w:pos="2268"/>
              </w:tabs>
            </w:pPr>
            <w:r w:rsidRPr="00CA4DFF">
              <w:t>s 6</w:t>
            </w:r>
            <w:r w:rsidRPr="00CA4DFF">
              <w:tab/>
            </w:r>
          </w:p>
        </w:tc>
        <w:tc>
          <w:tcPr>
            <w:tcW w:w="6220" w:type="dxa"/>
            <w:shd w:val="clear" w:color="auto" w:fill="auto"/>
          </w:tcPr>
          <w:p w:rsidR="00390220" w:rsidRPr="00CA4DFF" w:rsidRDefault="00E74935" w:rsidP="00774685">
            <w:pPr>
              <w:pStyle w:val="ENoteTableText"/>
            </w:pPr>
            <w:r w:rsidRPr="00CA4DFF">
              <w:t>am</w:t>
            </w:r>
            <w:r w:rsidR="00390220" w:rsidRPr="00CA4DFF">
              <w:t xml:space="preserve"> F2018L01505</w:t>
            </w:r>
          </w:p>
        </w:tc>
      </w:tr>
      <w:tr w:rsidR="00E74935" w:rsidRPr="00CA4DFF" w:rsidTr="00774685">
        <w:trPr>
          <w:cantSplit/>
        </w:trPr>
        <w:tc>
          <w:tcPr>
            <w:tcW w:w="2139" w:type="dxa"/>
            <w:shd w:val="clear" w:color="auto" w:fill="auto"/>
          </w:tcPr>
          <w:p w:rsidR="00E74935" w:rsidRPr="00CA4DFF" w:rsidRDefault="00E74935" w:rsidP="003B37D6">
            <w:pPr>
              <w:pStyle w:val="ENoteTableText"/>
              <w:tabs>
                <w:tab w:val="center" w:leader="dot" w:pos="2268"/>
              </w:tabs>
              <w:rPr>
                <w:b/>
              </w:rPr>
            </w:pPr>
            <w:r w:rsidRPr="00CA4DFF">
              <w:rPr>
                <w:b/>
              </w:rPr>
              <w:t>Schedule 1</w:t>
            </w:r>
          </w:p>
        </w:tc>
        <w:tc>
          <w:tcPr>
            <w:tcW w:w="6220" w:type="dxa"/>
            <w:shd w:val="clear" w:color="auto" w:fill="auto"/>
          </w:tcPr>
          <w:p w:rsidR="00E74935" w:rsidRPr="00CA4DFF" w:rsidRDefault="00E74935" w:rsidP="00774685">
            <w:pPr>
              <w:pStyle w:val="ENoteTableText"/>
            </w:pPr>
          </w:p>
        </w:tc>
      </w:tr>
      <w:tr w:rsidR="00390220" w:rsidRPr="00CA4DFF" w:rsidTr="00774685">
        <w:trPr>
          <w:cantSplit/>
        </w:trPr>
        <w:tc>
          <w:tcPr>
            <w:tcW w:w="2139" w:type="dxa"/>
            <w:shd w:val="clear" w:color="auto" w:fill="auto"/>
          </w:tcPr>
          <w:p w:rsidR="00390220" w:rsidRPr="00CA4DFF" w:rsidRDefault="00390220" w:rsidP="003B37D6">
            <w:pPr>
              <w:pStyle w:val="ENoteTableText"/>
              <w:tabs>
                <w:tab w:val="center" w:leader="dot" w:pos="2268"/>
              </w:tabs>
            </w:pPr>
            <w:r w:rsidRPr="00CA4DFF">
              <w:t>Sch</w:t>
            </w:r>
            <w:r w:rsidR="00E74935" w:rsidRPr="00CA4DFF">
              <w:t>edule</w:t>
            </w:r>
            <w:r w:rsidRPr="00CA4DFF">
              <w:t xml:space="preserve"> 1</w:t>
            </w:r>
            <w:r w:rsidRPr="00CA4DFF">
              <w:tab/>
            </w:r>
          </w:p>
        </w:tc>
        <w:tc>
          <w:tcPr>
            <w:tcW w:w="6220" w:type="dxa"/>
            <w:shd w:val="clear" w:color="auto" w:fill="auto"/>
          </w:tcPr>
          <w:p w:rsidR="00390220" w:rsidRPr="00CA4DFF" w:rsidRDefault="00390220" w:rsidP="00774685">
            <w:pPr>
              <w:pStyle w:val="ENoteTableText"/>
            </w:pPr>
            <w:r w:rsidRPr="00CA4DFF">
              <w:t>ad F2018L01473</w:t>
            </w:r>
          </w:p>
        </w:tc>
      </w:tr>
      <w:tr w:rsidR="00390220" w:rsidRPr="00CA4DFF" w:rsidTr="00E74935">
        <w:trPr>
          <w:cantSplit/>
        </w:trPr>
        <w:tc>
          <w:tcPr>
            <w:tcW w:w="2139" w:type="dxa"/>
            <w:shd w:val="clear" w:color="auto" w:fill="auto"/>
          </w:tcPr>
          <w:p w:rsidR="00390220" w:rsidRPr="00CA4DFF" w:rsidRDefault="00390220" w:rsidP="00774685">
            <w:pPr>
              <w:pStyle w:val="ENoteTableText"/>
              <w:tabs>
                <w:tab w:val="center" w:leader="dot" w:pos="2268"/>
              </w:tabs>
            </w:pPr>
          </w:p>
        </w:tc>
        <w:tc>
          <w:tcPr>
            <w:tcW w:w="6220" w:type="dxa"/>
            <w:shd w:val="clear" w:color="auto" w:fill="auto"/>
          </w:tcPr>
          <w:p w:rsidR="00390220" w:rsidRPr="00CA4DFF" w:rsidRDefault="00390220" w:rsidP="003B37D6">
            <w:pPr>
              <w:pStyle w:val="ENoteTableText"/>
            </w:pPr>
            <w:r w:rsidRPr="00CA4DFF">
              <w:t>rs F2018L01505</w:t>
            </w:r>
          </w:p>
        </w:tc>
      </w:tr>
      <w:tr w:rsidR="00390220" w:rsidTr="00774685">
        <w:trPr>
          <w:cantSplit/>
        </w:trPr>
        <w:tc>
          <w:tcPr>
            <w:tcW w:w="2139" w:type="dxa"/>
            <w:tcBorders>
              <w:bottom w:val="single" w:sz="12" w:space="0" w:color="auto"/>
            </w:tcBorders>
            <w:shd w:val="clear" w:color="auto" w:fill="auto"/>
          </w:tcPr>
          <w:p w:rsidR="00390220" w:rsidRPr="00CA4DFF" w:rsidRDefault="00390220" w:rsidP="00774685">
            <w:pPr>
              <w:pStyle w:val="ENoteTableText"/>
              <w:tabs>
                <w:tab w:val="center" w:leader="dot" w:pos="2268"/>
              </w:tabs>
            </w:pPr>
          </w:p>
        </w:tc>
        <w:tc>
          <w:tcPr>
            <w:tcW w:w="6220" w:type="dxa"/>
            <w:tcBorders>
              <w:bottom w:val="single" w:sz="12" w:space="0" w:color="auto"/>
            </w:tcBorders>
            <w:shd w:val="clear" w:color="auto" w:fill="auto"/>
          </w:tcPr>
          <w:p w:rsidR="00390220" w:rsidRPr="002751D5" w:rsidRDefault="00390220" w:rsidP="00390220">
            <w:pPr>
              <w:pStyle w:val="ENoteTableText"/>
            </w:pPr>
            <w:r w:rsidRPr="00CA4DFF">
              <w:t>am F2018L01776</w:t>
            </w:r>
            <w:r w:rsidR="00AF210B" w:rsidRPr="00CA4DFF">
              <w:t>; F2019L00044</w:t>
            </w:r>
            <w:r w:rsidR="00B14CB3" w:rsidRPr="00CA4DFF">
              <w:t>; F2019L00174</w:t>
            </w:r>
            <w:r w:rsidR="00CF2BCF" w:rsidRPr="00CA4DFF">
              <w:t>; F2019L01385</w:t>
            </w:r>
            <w:r w:rsidR="00146DB3" w:rsidRPr="00CA4DFF">
              <w:t>; F2020L00304</w:t>
            </w:r>
            <w:r w:rsidR="007F17C3" w:rsidRPr="00CA4DFF">
              <w:t>; F2020L00521</w:t>
            </w:r>
            <w:r w:rsidR="004E2D8B" w:rsidRPr="00CA4DFF">
              <w:t>; F2020L00938</w:t>
            </w:r>
            <w:r w:rsidR="00506C62">
              <w:t>; F2020L01075</w:t>
            </w:r>
            <w:r w:rsidR="008353D7">
              <w:t xml:space="preserve">; </w:t>
            </w:r>
            <w:r w:rsidR="008353D7" w:rsidRPr="00C43858">
              <w:t>F2020L01642</w:t>
            </w:r>
            <w:r w:rsidR="004668A5">
              <w:t xml:space="preserve">; </w:t>
            </w:r>
            <w:r w:rsidR="004668A5" w:rsidRPr="004668A5">
              <w:t>F2021L01270</w:t>
            </w:r>
          </w:p>
        </w:tc>
      </w:tr>
    </w:tbl>
    <w:p w:rsidR="00DF6D7F" w:rsidRDefault="00DF6D7F" w:rsidP="00852F50">
      <w:pPr>
        <w:pStyle w:val="Tabletext"/>
      </w:pPr>
    </w:p>
    <w:p w:rsidR="00852F50" w:rsidRDefault="00852F50" w:rsidP="00307068">
      <w:pPr>
        <w:sectPr w:rsidR="00852F50" w:rsidSect="008C7313">
          <w:headerReference w:type="even" r:id="rId26"/>
          <w:headerReference w:type="default" r:id="rId27"/>
          <w:footerReference w:type="even" r:id="rId28"/>
          <w:footerReference w:type="default" r:id="rId29"/>
          <w:pgSz w:w="11907" w:h="16839" w:code="9"/>
          <w:pgMar w:top="2325" w:right="1797" w:bottom="1440" w:left="1797" w:header="720" w:footer="709" w:gutter="0"/>
          <w:cols w:space="708"/>
          <w:docGrid w:linePitch="360"/>
        </w:sectPr>
      </w:pPr>
    </w:p>
    <w:p w:rsidR="00307068" w:rsidRPr="00152412" w:rsidRDefault="00307068" w:rsidP="00DF6D7F"/>
    <w:sectPr w:rsidR="00307068" w:rsidRPr="00152412" w:rsidSect="008C7313">
      <w:footerReference w:type="even" r:id="rId30"/>
      <w:footerReference w:type="default" r:id="rId3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376" w:rsidRDefault="006B4376" w:rsidP="008E17F3">
      <w:pPr>
        <w:spacing w:line="240" w:lineRule="auto"/>
      </w:pPr>
      <w:r>
        <w:separator/>
      </w:r>
    </w:p>
  </w:endnote>
  <w:endnote w:type="continuationSeparator" w:id="0">
    <w:p w:rsidR="006B4376" w:rsidRDefault="006B4376"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Default="006B437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Default="006B4376"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8FA">
      <w:rPr>
        <w:rStyle w:val="PageNumber"/>
        <w:noProof/>
      </w:rPr>
      <w:t>9</w:t>
    </w:r>
    <w:r>
      <w:rPr>
        <w:rStyle w:val="PageNumber"/>
      </w:rPr>
      <w:fldChar w:fldCharType="end"/>
    </w:r>
  </w:p>
  <w:p w:rsidR="006B4376" w:rsidRDefault="006B4376" w:rsidP="008E17F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7B3B51" w:rsidRDefault="006B4376" w:rsidP="006B437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B4376" w:rsidRPr="007B3B51" w:rsidTr="005C0174">
      <w:tc>
        <w:tcPr>
          <w:tcW w:w="681" w:type="pct"/>
        </w:tcPr>
        <w:p w:rsidR="006B4376" w:rsidRPr="007B3B51" w:rsidRDefault="006B4376" w:rsidP="006B4376">
          <w:pPr>
            <w:rPr>
              <w:i/>
              <w:sz w:val="16"/>
              <w:szCs w:val="16"/>
            </w:rPr>
          </w:pPr>
        </w:p>
      </w:tc>
      <w:tc>
        <w:tcPr>
          <w:tcW w:w="3471" w:type="pct"/>
          <w:gridSpan w:val="3"/>
        </w:tcPr>
        <w:p w:rsidR="006B4376" w:rsidRPr="007B3B51" w:rsidRDefault="006B4376" w:rsidP="006B43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395F">
            <w:rPr>
              <w:i/>
              <w:noProof/>
              <w:sz w:val="16"/>
              <w:szCs w:val="16"/>
            </w:rPr>
            <w:t>Health Insurance (Section 3C Co-Dependent Pathology Services) Determination 2018</w:t>
          </w:r>
          <w:r w:rsidRPr="007B3B51">
            <w:rPr>
              <w:i/>
              <w:sz w:val="16"/>
              <w:szCs w:val="16"/>
            </w:rPr>
            <w:fldChar w:fldCharType="end"/>
          </w:r>
        </w:p>
      </w:tc>
      <w:tc>
        <w:tcPr>
          <w:tcW w:w="848" w:type="pct"/>
        </w:tcPr>
        <w:p w:rsidR="006B4376" w:rsidRPr="007B3B51" w:rsidRDefault="006B4376" w:rsidP="006B43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8FA">
            <w:rPr>
              <w:i/>
              <w:noProof/>
              <w:sz w:val="16"/>
              <w:szCs w:val="16"/>
            </w:rPr>
            <w:t>9</w:t>
          </w:r>
          <w:r w:rsidRPr="007B3B51">
            <w:rPr>
              <w:i/>
              <w:sz w:val="16"/>
              <w:szCs w:val="16"/>
            </w:rPr>
            <w:fldChar w:fldCharType="end"/>
          </w:r>
        </w:p>
      </w:tc>
    </w:tr>
    <w:tr w:rsidR="006B4376" w:rsidRPr="00130F37" w:rsidTr="005C0174">
      <w:tc>
        <w:tcPr>
          <w:tcW w:w="848" w:type="pct"/>
          <w:gridSpan w:val="2"/>
        </w:tcPr>
        <w:p w:rsidR="006B4376" w:rsidRPr="00130F37" w:rsidRDefault="006B4376" w:rsidP="006B43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395F">
            <w:rPr>
              <w:sz w:val="16"/>
              <w:szCs w:val="16"/>
            </w:rPr>
            <w:t>11</w:t>
          </w:r>
          <w:r w:rsidRPr="00130F37">
            <w:rPr>
              <w:sz w:val="16"/>
              <w:szCs w:val="16"/>
            </w:rPr>
            <w:fldChar w:fldCharType="end"/>
          </w:r>
        </w:p>
      </w:tc>
      <w:tc>
        <w:tcPr>
          <w:tcW w:w="3135" w:type="pct"/>
        </w:tcPr>
        <w:p w:rsidR="006B4376" w:rsidRPr="00130F37" w:rsidRDefault="006B4376" w:rsidP="006B4376">
          <w:pPr>
            <w:spacing w:before="120"/>
            <w:jc w:val="center"/>
            <w:rPr>
              <w:sz w:val="16"/>
              <w:szCs w:val="16"/>
            </w:rPr>
          </w:pPr>
          <w:r w:rsidRPr="00130F37">
            <w:rPr>
              <w:sz w:val="16"/>
              <w:szCs w:val="16"/>
            </w:rPr>
            <w:t xml:space="preserve">Compilation date: </w:t>
          </w:r>
          <w:r w:rsidRPr="00130F37">
            <w:rPr>
              <w:sz w:val="16"/>
              <w:szCs w:val="16"/>
            </w:rPr>
            <w:fldChar w:fldCharType="begin"/>
          </w:r>
          <w:r w:rsidR="00146DB3">
            <w:rPr>
              <w:sz w:val="16"/>
              <w:szCs w:val="16"/>
            </w:rPr>
            <w:instrText xml:space="preserve"> DOCPROPERTY  StartDate \@ "dd/MM/yyyy"  </w:instrText>
          </w:r>
          <w:r w:rsidRPr="00130F37">
            <w:rPr>
              <w:sz w:val="16"/>
              <w:szCs w:val="16"/>
            </w:rPr>
            <w:fldChar w:fldCharType="separate"/>
          </w:r>
          <w:r w:rsidR="0084395F">
            <w:rPr>
              <w:sz w:val="16"/>
              <w:szCs w:val="16"/>
            </w:rPr>
            <w:t>01/11/2021</w:t>
          </w:r>
          <w:r w:rsidRPr="00130F37">
            <w:rPr>
              <w:sz w:val="16"/>
              <w:szCs w:val="16"/>
            </w:rPr>
            <w:fldChar w:fldCharType="end"/>
          </w:r>
        </w:p>
      </w:tc>
      <w:tc>
        <w:tcPr>
          <w:tcW w:w="1017" w:type="pct"/>
          <w:gridSpan w:val="2"/>
        </w:tcPr>
        <w:p w:rsidR="006B4376" w:rsidRPr="00130F37" w:rsidRDefault="006B4376" w:rsidP="006B43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395F">
            <w:rPr>
              <w:sz w:val="16"/>
              <w:szCs w:val="16"/>
            </w:rPr>
            <w:instrText>11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146DB3">
            <w:rPr>
              <w:sz w:val="16"/>
              <w:szCs w:val="16"/>
            </w:rPr>
            <w:instrText xml:space="preserve"> DOCPROPERTY RegisteredDate \@ "dd/MM/yyyy" </w:instrText>
          </w:r>
          <w:r w:rsidRPr="00130F37">
            <w:rPr>
              <w:sz w:val="16"/>
              <w:szCs w:val="16"/>
            </w:rPr>
            <w:fldChar w:fldCharType="separate"/>
          </w:r>
          <w:r w:rsidR="0084395F">
            <w:rPr>
              <w:sz w:val="16"/>
              <w:szCs w:val="16"/>
            </w:rPr>
            <w:instrText>11/11/2021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395F">
            <w:rPr>
              <w:noProof/>
              <w:sz w:val="16"/>
              <w:szCs w:val="16"/>
            </w:rPr>
            <w:t>11/11/2021</w:t>
          </w:r>
          <w:r w:rsidRPr="00130F37">
            <w:rPr>
              <w:sz w:val="16"/>
              <w:szCs w:val="16"/>
            </w:rPr>
            <w:fldChar w:fldCharType="end"/>
          </w:r>
        </w:p>
      </w:tc>
    </w:tr>
  </w:tbl>
  <w:p w:rsidR="006B4376" w:rsidRPr="005C0174" w:rsidRDefault="006B4376" w:rsidP="005C0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Default="006B4376" w:rsidP="006B437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6B437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33C1C" w:rsidRDefault="006B4376" w:rsidP="006B437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6B4376" w:rsidTr="005C0174">
      <w:tc>
        <w:tcPr>
          <w:tcW w:w="418" w:type="pct"/>
          <w:tcBorders>
            <w:top w:val="nil"/>
            <w:left w:val="nil"/>
            <w:bottom w:val="nil"/>
            <w:right w:val="nil"/>
          </w:tcBorders>
        </w:tcPr>
        <w:p w:rsidR="006B4376" w:rsidRDefault="006B4376" w:rsidP="006B437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38FA">
            <w:rPr>
              <w:i/>
              <w:noProof/>
              <w:sz w:val="18"/>
            </w:rPr>
            <w:t>ix</w:t>
          </w:r>
          <w:r w:rsidRPr="00ED79B6">
            <w:rPr>
              <w:i/>
              <w:sz w:val="18"/>
            </w:rPr>
            <w:fldChar w:fldCharType="end"/>
          </w:r>
        </w:p>
      </w:tc>
      <w:tc>
        <w:tcPr>
          <w:tcW w:w="3765" w:type="pct"/>
          <w:tcBorders>
            <w:top w:val="nil"/>
            <w:left w:val="nil"/>
            <w:bottom w:val="nil"/>
            <w:right w:val="nil"/>
          </w:tcBorders>
        </w:tcPr>
        <w:p w:rsidR="006B4376" w:rsidRDefault="006B4376" w:rsidP="006B437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395F">
            <w:rPr>
              <w:i/>
              <w:sz w:val="18"/>
            </w:rPr>
            <w:t>Health Insurance (Section 3C Co-Dependent Pathology Services) Determination 2018</w:t>
          </w:r>
          <w:r w:rsidRPr="007A1328">
            <w:rPr>
              <w:i/>
              <w:sz w:val="18"/>
            </w:rPr>
            <w:fldChar w:fldCharType="end"/>
          </w:r>
        </w:p>
      </w:tc>
      <w:tc>
        <w:tcPr>
          <w:tcW w:w="817" w:type="pct"/>
          <w:tcBorders>
            <w:top w:val="nil"/>
            <w:left w:val="nil"/>
            <w:bottom w:val="nil"/>
            <w:right w:val="nil"/>
          </w:tcBorders>
        </w:tcPr>
        <w:p w:rsidR="006B4376" w:rsidRDefault="006B4376" w:rsidP="006B4376">
          <w:pPr>
            <w:spacing w:line="0" w:lineRule="atLeast"/>
            <w:jc w:val="right"/>
            <w:rPr>
              <w:sz w:val="18"/>
            </w:rPr>
          </w:pPr>
        </w:p>
      </w:tc>
    </w:tr>
    <w:tr w:rsidR="006B4376" w:rsidTr="005C0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6B4376" w:rsidRDefault="006B4376" w:rsidP="006B4376">
          <w:pPr>
            <w:jc w:val="right"/>
            <w:rPr>
              <w:sz w:val="18"/>
            </w:rPr>
          </w:pPr>
          <w:r>
            <w:rPr>
              <w:i/>
              <w:noProof/>
              <w:sz w:val="18"/>
            </w:rPr>
            <w:t>S16MD235.v06.docx</w:t>
          </w:r>
          <w:r w:rsidRPr="00ED79B6">
            <w:rPr>
              <w:i/>
              <w:sz w:val="18"/>
            </w:rPr>
            <w:t xml:space="preserve"> </w:t>
          </w:r>
          <w:r>
            <w:rPr>
              <w:i/>
              <w:noProof/>
              <w:sz w:val="18"/>
            </w:rPr>
            <w:t>18/7/2016 12:36 PM</w:t>
          </w:r>
        </w:p>
      </w:tc>
    </w:tr>
  </w:tbl>
  <w:p w:rsidR="006B4376" w:rsidRPr="00ED79B6" w:rsidRDefault="006B4376" w:rsidP="006B437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50" w:rsidRPr="007B3B51" w:rsidRDefault="00852F50" w:rsidP="00852F5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852F50" w:rsidRPr="007B3B51" w:rsidTr="001865F1">
      <w:tc>
        <w:tcPr>
          <w:tcW w:w="1139" w:type="dxa"/>
        </w:tcPr>
        <w:p w:rsidR="00852F50" w:rsidRPr="007B3B51" w:rsidRDefault="00852F50" w:rsidP="00852F50">
          <w:pPr>
            <w:rPr>
              <w:i/>
              <w:sz w:val="16"/>
              <w:szCs w:val="16"/>
            </w:rPr>
          </w:pPr>
        </w:p>
      </w:tc>
      <w:tc>
        <w:tcPr>
          <w:tcW w:w="5807" w:type="dxa"/>
          <w:gridSpan w:val="3"/>
        </w:tcPr>
        <w:p w:rsidR="00852F50" w:rsidRPr="007B3B51" w:rsidRDefault="00852F50" w:rsidP="00852F5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7313">
            <w:rPr>
              <w:i/>
              <w:noProof/>
              <w:sz w:val="16"/>
              <w:szCs w:val="16"/>
            </w:rPr>
            <w:t>Health Insurance (Section 3C Co-Dependent Pathology Services) Determination 2018</w:t>
          </w:r>
          <w:r w:rsidRPr="007B3B51">
            <w:rPr>
              <w:i/>
              <w:sz w:val="16"/>
              <w:szCs w:val="16"/>
            </w:rPr>
            <w:fldChar w:fldCharType="end"/>
          </w:r>
        </w:p>
      </w:tc>
      <w:tc>
        <w:tcPr>
          <w:tcW w:w="1418" w:type="dxa"/>
        </w:tcPr>
        <w:p w:rsidR="00852F50" w:rsidRPr="007B3B51" w:rsidRDefault="00852F50" w:rsidP="00852F5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r w:rsidR="00852F50" w:rsidRPr="00130F37" w:rsidTr="001865F1">
      <w:tc>
        <w:tcPr>
          <w:tcW w:w="1560" w:type="dxa"/>
          <w:gridSpan w:val="2"/>
        </w:tcPr>
        <w:p w:rsidR="00852F50" w:rsidRPr="00130F37" w:rsidRDefault="00852F50" w:rsidP="00852F5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395F">
            <w:rPr>
              <w:sz w:val="16"/>
              <w:szCs w:val="16"/>
            </w:rPr>
            <w:t>11</w:t>
          </w:r>
          <w:r w:rsidRPr="00130F37">
            <w:rPr>
              <w:sz w:val="16"/>
              <w:szCs w:val="16"/>
            </w:rPr>
            <w:fldChar w:fldCharType="end"/>
          </w:r>
        </w:p>
      </w:tc>
      <w:tc>
        <w:tcPr>
          <w:tcW w:w="4961" w:type="dxa"/>
        </w:tcPr>
        <w:p w:rsidR="00852F50" w:rsidRPr="00130F37" w:rsidRDefault="00852F50" w:rsidP="00852F5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4395F">
            <w:rPr>
              <w:sz w:val="16"/>
              <w:szCs w:val="16"/>
            </w:rPr>
            <w:t>01/11/2021</w:t>
          </w:r>
          <w:r w:rsidRPr="00130F37">
            <w:rPr>
              <w:sz w:val="16"/>
              <w:szCs w:val="16"/>
            </w:rPr>
            <w:fldChar w:fldCharType="end"/>
          </w:r>
        </w:p>
      </w:tc>
      <w:tc>
        <w:tcPr>
          <w:tcW w:w="1843" w:type="dxa"/>
          <w:gridSpan w:val="2"/>
        </w:tcPr>
        <w:p w:rsidR="00852F50" w:rsidRPr="00130F37" w:rsidRDefault="00852F50" w:rsidP="00852F5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395F">
            <w:rPr>
              <w:sz w:val="16"/>
              <w:szCs w:val="16"/>
            </w:rPr>
            <w:instrText>11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4395F">
            <w:rPr>
              <w:sz w:val="16"/>
              <w:szCs w:val="16"/>
            </w:rPr>
            <w:instrText>11/11/2021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395F">
            <w:rPr>
              <w:noProof/>
              <w:sz w:val="16"/>
              <w:szCs w:val="16"/>
            </w:rPr>
            <w:t>11/11/2021</w:t>
          </w:r>
          <w:r w:rsidRPr="00130F37">
            <w:rPr>
              <w:sz w:val="16"/>
              <w:szCs w:val="16"/>
            </w:rPr>
            <w:fldChar w:fldCharType="end"/>
          </w:r>
        </w:p>
      </w:tc>
    </w:tr>
  </w:tbl>
  <w:p w:rsidR="006B4376" w:rsidRPr="00852F50" w:rsidRDefault="006B4376" w:rsidP="00852F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50" w:rsidRPr="007B3B51" w:rsidRDefault="00852F50" w:rsidP="00852F5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852F50" w:rsidRPr="007B3B51" w:rsidTr="001865F1">
      <w:tc>
        <w:tcPr>
          <w:tcW w:w="1139" w:type="dxa"/>
        </w:tcPr>
        <w:p w:rsidR="00852F50" w:rsidRPr="007B3B51" w:rsidRDefault="00852F50" w:rsidP="00852F5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38</w:t>
          </w:r>
          <w:r w:rsidRPr="007B3B51">
            <w:rPr>
              <w:i/>
              <w:sz w:val="16"/>
              <w:szCs w:val="16"/>
            </w:rPr>
            <w:fldChar w:fldCharType="end"/>
          </w:r>
        </w:p>
      </w:tc>
      <w:tc>
        <w:tcPr>
          <w:tcW w:w="5807" w:type="dxa"/>
          <w:gridSpan w:val="3"/>
        </w:tcPr>
        <w:p w:rsidR="00852F50" w:rsidRPr="007B3B51" w:rsidRDefault="00852F50" w:rsidP="00852F5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7313">
            <w:rPr>
              <w:i/>
              <w:noProof/>
              <w:sz w:val="16"/>
              <w:szCs w:val="16"/>
            </w:rPr>
            <w:t>Health Insurance (Section 3C Co-Dependent Pathology Services) Determination 2018</w:t>
          </w:r>
          <w:r w:rsidRPr="007B3B51">
            <w:rPr>
              <w:i/>
              <w:sz w:val="16"/>
              <w:szCs w:val="16"/>
            </w:rPr>
            <w:fldChar w:fldCharType="end"/>
          </w:r>
        </w:p>
      </w:tc>
      <w:tc>
        <w:tcPr>
          <w:tcW w:w="1418" w:type="dxa"/>
        </w:tcPr>
        <w:p w:rsidR="00852F50" w:rsidRPr="007B3B51" w:rsidRDefault="00852F50" w:rsidP="00852F50">
          <w:pPr>
            <w:jc w:val="right"/>
            <w:rPr>
              <w:sz w:val="16"/>
              <w:szCs w:val="16"/>
            </w:rPr>
          </w:pPr>
        </w:p>
      </w:tc>
    </w:tr>
    <w:tr w:rsidR="00852F50" w:rsidRPr="0055472E" w:rsidTr="001865F1">
      <w:tc>
        <w:tcPr>
          <w:tcW w:w="1560" w:type="dxa"/>
          <w:gridSpan w:val="2"/>
        </w:tcPr>
        <w:p w:rsidR="00852F50" w:rsidRPr="0055472E" w:rsidRDefault="00852F50" w:rsidP="00852F5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395F">
            <w:rPr>
              <w:sz w:val="16"/>
              <w:szCs w:val="16"/>
            </w:rPr>
            <w:t>11</w:t>
          </w:r>
          <w:r w:rsidRPr="0055472E">
            <w:rPr>
              <w:sz w:val="16"/>
              <w:szCs w:val="16"/>
            </w:rPr>
            <w:fldChar w:fldCharType="end"/>
          </w:r>
        </w:p>
      </w:tc>
      <w:tc>
        <w:tcPr>
          <w:tcW w:w="4961" w:type="dxa"/>
        </w:tcPr>
        <w:p w:rsidR="00852F50" w:rsidRPr="0055472E" w:rsidRDefault="00852F50" w:rsidP="00852F5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84395F">
            <w:rPr>
              <w:sz w:val="16"/>
              <w:szCs w:val="16"/>
            </w:rPr>
            <w:t>01/11/2021</w:t>
          </w:r>
          <w:r w:rsidRPr="0055472E">
            <w:rPr>
              <w:sz w:val="16"/>
              <w:szCs w:val="16"/>
            </w:rPr>
            <w:fldChar w:fldCharType="end"/>
          </w:r>
        </w:p>
      </w:tc>
      <w:tc>
        <w:tcPr>
          <w:tcW w:w="1843" w:type="dxa"/>
          <w:gridSpan w:val="2"/>
        </w:tcPr>
        <w:p w:rsidR="00852F50" w:rsidRPr="0055472E" w:rsidRDefault="00852F50" w:rsidP="00852F5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395F">
            <w:rPr>
              <w:sz w:val="16"/>
              <w:szCs w:val="16"/>
            </w:rPr>
            <w:instrText>11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84395F">
            <w:rPr>
              <w:sz w:val="16"/>
              <w:szCs w:val="16"/>
            </w:rPr>
            <w:instrText>11/11/2021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395F">
            <w:rPr>
              <w:noProof/>
              <w:sz w:val="16"/>
              <w:szCs w:val="16"/>
            </w:rPr>
            <w:t>11/11/2021</w:t>
          </w:r>
          <w:r w:rsidRPr="0055472E">
            <w:rPr>
              <w:sz w:val="16"/>
              <w:szCs w:val="16"/>
            </w:rPr>
            <w:fldChar w:fldCharType="end"/>
          </w:r>
        </w:p>
      </w:tc>
    </w:tr>
  </w:tbl>
  <w:p w:rsidR="006B4376" w:rsidRPr="00852F50" w:rsidRDefault="006B4376" w:rsidP="00852F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50" w:rsidRPr="007B3B51" w:rsidRDefault="00852F50" w:rsidP="00852F5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852F50" w:rsidRPr="007B3B51" w:rsidTr="001865F1">
      <w:tc>
        <w:tcPr>
          <w:tcW w:w="1139" w:type="dxa"/>
        </w:tcPr>
        <w:p w:rsidR="00852F50" w:rsidRPr="007B3B51" w:rsidRDefault="00852F50" w:rsidP="00852F50">
          <w:pPr>
            <w:rPr>
              <w:i/>
              <w:sz w:val="16"/>
              <w:szCs w:val="16"/>
            </w:rPr>
          </w:pPr>
        </w:p>
      </w:tc>
      <w:tc>
        <w:tcPr>
          <w:tcW w:w="5807" w:type="dxa"/>
          <w:gridSpan w:val="3"/>
        </w:tcPr>
        <w:p w:rsidR="00852F50" w:rsidRPr="007B3B51" w:rsidRDefault="00852F50" w:rsidP="00852F5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7313">
            <w:rPr>
              <w:i/>
              <w:noProof/>
              <w:sz w:val="16"/>
              <w:szCs w:val="16"/>
            </w:rPr>
            <w:t>Health Insurance (Section 3C Co-Dependent Pathology Services) Determination 2018</w:t>
          </w:r>
          <w:r w:rsidRPr="007B3B51">
            <w:rPr>
              <w:i/>
              <w:sz w:val="16"/>
              <w:szCs w:val="16"/>
            </w:rPr>
            <w:fldChar w:fldCharType="end"/>
          </w:r>
        </w:p>
      </w:tc>
      <w:tc>
        <w:tcPr>
          <w:tcW w:w="1418" w:type="dxa"/>
        </w:tcPr>
        <w:p w:rsidR="00852F50" w:rsidRPr="007B3B51" w:rsidRDefault="00852F50" w:rsidP="00852F5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852F50" w:rsidRPr="00130F37" w:rsidTr="001865F1">
      <w:tc>
        <w:tcPr>
          <w:tcW w:w="1560" w:type="dxa"/>
          <w:gridSpan w:val="2"/>
        </w:tcPr>
        <w:p w:rsidR="00852F50" w:rsidRPr="00130F37" w:rsidRDefault="00852F50" w:rsidP="00852F5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395F">
            <w:rPr>
              <w:sz w:val="16"/>
              <w:szCs w:val="16"/>
            </w:rPr>
            <w:t>11</w:t>
          </w:r>
          <w:r w:rsidRPr="00130F37">
            <w:rPr>
              <w:sz w:val="16"/>
              <w:szCs w:val="16"/>
            </w:rPr>
            <w:fldChar w:fldCharType="end"/>
          </w:r>
        </w:p>
      </w:tc>
      <w:tc>
        <w:tcPr>
          <w:tcW w:w="4961" w:type="dxa"/>
        </w:tcPr>
        <w:p w:rsidR="00852F50" w:rsidRPr="00130F37" w:rsidRDefault="00852F50" w:rsidP="00852F5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4395F">
            <w:rPr>
              <w:sz w:val="16"/>
              <w:szCs w:val="16"/>
            </w:rPr>
            <w:t>01/11/2021</w:t>
          </w:r>
          <w:r w:rsidRPr="00130F37">
            <w:rPr>
              <w:sz w:val="16"/>
              <w:szCs w:val="16"/>
            </w:rPr>
            <w:fldChar w:fldCharType="end"/>
          </w:r>
        </w:p>
      </w:tc>
      <w:tc>
        <w:tcPr>
          <w:tcW w:w="1843" w:type="dxa"/>
          <w:gridSpan w:val="2"/>
        </w:tcPr>
        <w:p w:rsidR="00852F50" w:rsidRPr="00130F37" w:rsidRDefault="00852F50" w:rsidP="00852F5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395F">
            <w:rPr>
              <w:sz w:val="16"/>
              <w:szCs w:val="16"/>
            </w:rPr>
            <w:instrText>11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4395F">
            <w:rPr>
              <w:sz w:val="16"/>
              <w:szCs w:val="16"/>
            </w:rPr>
            <w:instrText>11/11/2021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395F">
            <w:rPr>
              <w:noProof/>
              <w:sz w:val="16"/>
              <w:szCs w:val="16"/>
            </w:rPr>
            <w:t>11/11/2021</w:t>
          </w:r>
          <w:r w:rsidRPr="00130F37">
            <w:rPr>
              <w:sz w:val="16"/>
              <w:szCs w:val="16"/>
            </w:rPr>
            <w:fldChar w:fldCharType="end"/>
          </w:r>
        </w:p>
      </w:tc>
    </w:tr>
  </w:tbl>
  <w:p w:rsidR="006B4376" w:rsidRPr="00852F50" w:rsidRDefault="006B4376" w:rsidP="00852F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50" w:rsidRPr="007B3B51" w:rsidRDefault="00852F50" w:rsidP="00852F5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852F50" w:rsidRPr="007B3B51" w:rsidTr="001865F1">
      <w:tc>
        <w:tcPr>
          <w:tcW w:w="1139" w:type="dxa"/>
        </w:tcPr>
        <w:p w:rsidR="00852F50" w:rsidRPr="007B3B51" w:rsidRDefault="00852F50" w:rsidP="00852F5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38</w:t>
          </w:r>
          <w:r w:rsidRPr="007B3B51">
            <w:rPr>
              <w:i/>
              <w:sz w:val="16"/>
              <w:szCs w:val="16"/>
            </w:rPr>
            <w:fldChar w:fldCharType="end"/>
          </w:r>
        </w:p>
      </w:tc>
      <w:tc>
        <w:tcPr>
          <w:tcW w:w="5807" w:type="dxa"/>
          <w:gridSpan w:val="3"/>
        </w:tcPr>
        <w:p w:rsidR="00852F50" w:rsidRPr="007B3B51" w:rsidRDefault="00852F50" w:rsidP="00852F5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7313">
            <w:rPr>
              <w:i/>
              <w:noProof/>
              <w:sz w:val="16"/>
              <w:szCs w:val="16"/>
            </w:rPr>
            <w:t>Health Insurance (Section 3C Co-Dependent Pathology Services) Determination 2018</w:t>
          </w:r>
          <w:r w:rsidRPr="007B3B51">
            <w:rPr>
              <w:i/>
              <w:sz w:val="16"/>
              <w:szCs w:val="16"/>
            </w:rPr>
            <w:fldChar w:fldCharType="end"/>
          </w:r>
        </w:p>
      </w:tc>
      <w:tc>
        <w:tcPr>
          <w:tcW w:w="1418" w:type="dxa"/>
        </w:tcPr>
        <w:p w:rsidR="00852F50" w:rsidRPr="007B3B51" w:rsidRDefault="00852F50" w:rsidP="00852F50">
          <w:pPr>
            <w:jc w:val="right"/>
            <w:rPr>
              <w:sz w:val="16"/>
              <w:szCs w:val="16"/>
            </w:rPr>
          </w:pPr>
        </w:p>
      </w:tc>
    </w:tr>
    <w:tr w:rsidR="00852F50" w:rsidRPr="0055472E" w:rsidTr="001865F1">
      <w:tc>
        <w:tcPr>
          <w:tcW w:w="1560" w:type="dxa"/>
          <w:gridSpan w:val="2"/>
        </w:tcPr>
        <w:p w:rsidR="00852F50" w:rsidRPr="0055472E" w:rsidRDefault="00852F50" w:rsidP="00852F5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395F">
            <w:rPr>
              <w:sz w:val="16"/>
              <w:szCs w:val="16"/>
            </w:rPr>
            <w:t>11</w:t>
          </w:r>
          <w:r w:rsidRPr="0055472E">
            <w:rPr>
              <w:sz w:val="16"/>
              <w:szCs w:val="16"/>
            </w:rPr>
            <w:fldChar w:fldCharType="end"/>
          </w:r>
        </w:p>
      </w:tc>
      <w:tc>
        <w:tcPr>
          <w:tcW w:w="4961" w:type="dxa"/>
        </w:tcPr>
        <w:p w:rsidR="00852F50" w:rsidRPr="0055472E" w:rsidRDefault="00852F50" w:rsidP="00852F5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84395F">
            <w:rPr>
              <w:sz w:val="16"/>
              <w:szCs w:val="16"/>
            </w:rPr>
            <w:t>01/11/2021</w:t>
          </w:r>
          <w:r w:rsidRPr="0055472E">
            <w:rPr>
              <w:sz w:val="16"/>
              <w:szCs w:val="16"/>
            </w:rPr>
            <w:fldChar w:fldCharType="end"/>
          </w:r>
        </w:p>
      </w:tc>
      <w:tc>
        <w:tcPr>
          <w:tcW w:w="1843" w:type="dxa"/>
          <w:gridSpan w:val="2"/>
        </w:tcPr>
        <w:p w:rsidR="00852F50" w:rsidRPr="0055472E" w:rsidRDefault="00852F50" w:rsidP="00852F5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395F">
            <w:rPr>
              <w:sz w:val="16"/>
              <w:szCs w:val="16"/>
            </w:rPr>
            <w:instrText>11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84395F">
            <w:rPr>
              <w:sz w:val="16"/>
              <w:szCs w:val="16"/>
            </w:rPr>
            <w:instrText>11/11/2021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395F">
            <w:rPr>
              <w:noProof/>
              <w:sz w:val="16"/>
              <w:szCs w:val="16"/>
            </w:rPr>
            <w:t>11/11/2021</w:t>
          </w:r>
          <w:r w:rsidRPr="0055472E">
            <w:rPr>
              <w:sz w:val="16"/>
              <w:szCs w:val="16"/>
            </w:rPr>
            <w:fldChar w:fldCharType="end"/>
          </w:r>
        </w:p>
      </w:tc>
    </w:tr>
  </w:tbl>
  <w:p w:rsidR="006B4376" w:rsidRPr="00852F50" w:rsidRDefault="006B4376" w:rsidP="00852F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50" w:rsidRPr="007B3B51" w:rsidRDefault="00852F50" w:rsidP="00852F5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852F50" w:rsidRPr="007B3B51" w:rsidTr="001865F1">
      <w:tc>
        <w:tcPr>
          <w:tcW w:w="1139" w:type="dxa"/>
        </w:tcPr>
        <w:p w:rsidR="00852F50" w:rsidRPr="007B3B51" w:rsidRDefault="00852F50" w:rsidP="00852F50">
          <w:pPr>
            <w:rPr>
              <w:i/>
              <w:sz w:val="16"/>
              <w:szCs w:val="16"/>
            </w:rPr>
          </w:pPr>
        </w:p>
      </w:tc>
      <w:tc>
        <w:tcPr>
          <w:tcW w:w="5807" w:type="dxa"/>
          <w:gridSpan w:val="3"/>
        </w:tcPr>
        <w:p w:rsidR="00852F50" w:rsidRPr="007B3B51" w:rsidRDefault="00852F50" w:rsidP="00852F5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7313">
            <w:rPr>
              <w:i/>
              <w:noProof/>
              <w:sz w:val="16"/>
              <w:szCs w:val="16"/>
            </w:rPr>
            <w:t>Health Insurance (Section 3C Co-Dependent Pathology Services) Determination 2018</w:t>
          </w:r>
          <w:r w:rsidRPr="007B3B51">
            <w:rPr>
              <w:i/>
              <w:sz w:val="16"/>
              <w:szCs w:val="16"/>
            </w:rPr>
            <w:fldChar w:fldCharType="end"/>
          </w:r>
        </w:p>
      </w:tc>
      <w:tc>
        <w:tcPr>
          <w:tcW w:w="1418" w:type="dxa"/>
        </w:tcPr>
        <w:p w:rsidR="00852F50" w:rsidRPr="007B3B51" w:rsidRDefault="00852F50" w:rsidP="00852F5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5</w:t>
          </w:r>
          <w:r w:rsidRPr="007B3B51">
            <w:rPr>
              <w:i/>
              <w:sz w:val="16"/>
              <w:szCs w:val="16"/>
            </w:rPr>
            <w:fldChar w:fldCharType="end"/>
          </w:r>
        </w:p>
      </w:tc>
    </w:tr>
    <w:tr w:rsidR="00852F50" w:rsidRPr="00130F37" w:rsidTr="001865F1">
      <w:tc>
        <w:tcPr>
          <w:tcW w:w="1560" w:type="dxa"/>
          <w:gridSpan w:val="2"/>
        </w:tcPr>
        <w:p w:rsidR="00852F50" w:rsidRPr="00130F37" w:rsidRDefault="00852F50" w:rsidP="00852F5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395F">
            <w:rPr>
              <w:sz w:val="16"/>
              <w:szCs w:val="16"/>
            </w:rPr>
            <w:t>11</w:t>
          </w:r>
          <w:r w:rsidRPr="00130F37">
            <w:rPr>
              <w:sz w:val="16"/>
              <w:szCs w:val="16"/>
            </w:rPr>
            <w:fldChar w:fldCharType="end"/>
          </w:r>
        </w:p>
      </w:tc>
      <w:tc>
        <w:tcPr>
          <w:tcW w:w="4961" w:type="dxa"/>
        </w:tcPr>
        <w:p w:rsidR="00852F50" w:rsidRPr="00130F37" w:rsidRDefault="00852F50" w:rsidP="00852F5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4395F">
            <w:rPr>
              <w:sz w:val="16"/>
              <w:szCs w:val="16"/>
            </w:rPr>
            <w:t>01/11/2021</w:t>
          </w:r>
          <w:r w:rsidRPr="00130F37">
            <w:rPr>
              <w:sz w:val="16"/>
              <w:szCs w:val="16"/>
            </w:rPr>
            <w:fldChar w:fldCharType="end"/>
          </w:r>
        </w:p>
      </w:tc>
      <w:tc>
        <w:tcPr>
          <w:tcW w:w="1843" w:type="dxa"/>
          <w:gridSpan w:val="2"/>
        </w:tcPr>
        <w:p w:rsidR="00852F50" w:rsidRPr="00130F37" w:rsidRDefault="00852F50" w:rsidP="00852F5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395F">
            <w:rPr>
              <w:sz w:val="16"/>
              <w:szCs w:val="16"/>
            </w:rPr>
            <w:instrText>11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4395F">
            <w:rPr>
              <w:sz w:val="16"/>
              <w:szCs w:val="16"/>
            </w:rPr>
            <w:instrText>11/11/2021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395F">
            <w:rPr>
              <w:noProof/>
              <w:sz w:val="16"/>
              <w:szCs w:val="16"/>
            </w:rPr>
            <w:t>11/11/2021</w:t>
          </w:r>
          <w:r w:rsidRPr="00130F37">
            <w:rPr>
              <w:sz w:val="16"/>
              <w:szCs w:val="16"/>
            </w:rPr>
            <w:fldChar w:fldCharType="end"/>
          </w:r>
        </w:p>
      </w:tc>
    </w:tr>
  </w:tbl>
  <w:p w:rsidR="006B4376" w:rsidRPr="00852F50" w:rsidRDefault="006B4376" w:rsidP="00852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376" w:rsidRDefault="006B4376" w:rsidP="008E17F3">
      <w:pPr>
        <w:spacing w:line="240" w:lineRule="auto"/>
      </w:pPr>
      <w:r>
        <w:separator/>
      </w:r>
    </w:p>
  </w:footnote>
  <w:footnote w:type="continuationSeparator" w:id="0">
    <w:p w:rsidR="006B4376" w:rsidRDefault="006B4376"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Default="006B4376" w:rsidP="006B4376">
    <w:pPr>
      <w:pStyle w:val="Header"/>
      <w:pBdr>
        <w:bottom w:val="single" w:sz="6" w:space="1" w:color="auto"/>
      </w:pBdr>
    </w:pPr>
  </w:p>
  <w:p w:rsidR="006B4376" w:rsidRDefault="006B4376" w:rsidP="006B4376">
    <w:pPr>
      <w:pStyle w:val="Header"/>
      <w:pBdr>
        <w:bottom w:val="single" w:sz="6" w:space="1" w:color="auto"/>
      </w:pBdr>
    </w:pPr>
  </w:p>
  <w:p w:rsidR="006B4376" w:rsidRPr="001E77D2" w:rsidRDefault="006B4376" w:rsidP="006B437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C4473E" w:rsidRDefault="006B4376" w:rsidP="006B4376">
    <w:pPr>
      <w:rPr>
        <w:sz w:val="26"/>
        <w:szCs w:val="26"/>
      </w:rPr>
    </w:pPr>
  </w:p>
  <w:p w:rsidR="006B4376" w:rsidRPr="00965EE7" w:rsidRDefault="006B4376" w:rsidP="006B4376">
    <w:pPr>
      <w:rPr>
        <w:b/>
        <w:sz w:val="20"/>
      </w:rPr>
    </w:pPr>
    <w:r w:rsidRPr="00965EE7">
      <w:rPr>
        <w:b/>
        <w:sz w:val="20"/>
      </w:rPr>
      <w:t>Endnotes</w:t>
    </w:r>
  </w:p>
  <w:p w:rsidR="006B4376" w:rsidRPr="007A1328" w:rsidRDefault="006B4376" w:rsidP="006B4376">
    <w:pPr>
      <w:rPr>
        <w:sz w:val="20"/>
      </w:rPr>
    </w:pPr>
  </w:p>
  <w:p w:rsidR="006B4376" w:rsidRPr="007A1328" w:rsidRDefault="006B4376" w:rsidP="006B4376">
    <w:pPr>
      <w:rPr>
        <w:b/>
        <w:sz w:val="24"/>
      </w:rPr>
    </w:pPr>
  </w:p>
  <w:p w:rsidR="006B4376" w:rsidRPr="00C4473E" w:rsidRDefault="006B4376" w:rsidP="006B4376">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C7313">
      <w:rPr>
        <w:noProof/>
        <w:szCs w:val="22"/>
      </w:rPr>
      <w:t>Endnote 1—About the endnotes</w:t>
    </w:r>
    <w:r w:rsidRPr="00C4473E">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C4473E" w:rsidRDefault="006B4376" w:rsidP="006B4376">
    <w:pPr>
      <w:jc w:val="right"/>
      <w:rPr>
        <w:sz w:val="26"/>
        <w:szCs w:val="26"/>
      </w:rPr>
    </w:pPr>
  </w:p>
  <w:p w:rsidR="006B4376" w:rsidRPr="00965EE7" w:rsidRDefault="006B4376" w:rsidP="006B4376">
    <w:pPr>
      <w:jc w:val="right"/>
      <w:rPr>
        <w:b/>
        <w:sz w:val="20"/>
      </w:rPr>
    </w:pPr>
    <w:r w:rsidRPr="00965EE7">
      <w:rPr>
        <w:b/>
        <w:sz w:val="20"/>
      </w:rPr>
      <w:t>Endnotes</w:t>
    </w:r>
  </w:p>
  <w:p w:rsidR="006B4376" w:rsidRPr="007A1328" w:rsidRDefault="006B4376" w:rsidP="006B4376">
    <w:pPr>
      <w:jc w:val="right"/>
      <w:rPr>
        <w:sz w:val="20"/>
      </w:rPr>
    </w:pPr>
  </w:p>
  <w:p w:rsidR="006B4376" w:rsidRPr="007A1328" w:rsidRDefault="006B4376" w:rsidP="006B4376">
    <w:pPr>
      <w:jc w:val="right"/>
      <w:rPr>
        <w:b/>
        <w:sz w:val="24"/>
      </w:rPr>
    </w:pPr>
  </w:p>
  <w:p w:rsidR="006B4376" w:rsidRPr="00C4473E" w:rsidRDefault="006B4376" w:rsidP="006B4376">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C7313">
      <w:rPr>
        <w:noProof/>
        <w:szCs w:val="22"/>
      </w:rPr>
      <w:t>Endnote 1—About the endnotes</w:t>
    </w:r>
    <w:r w:rsidRPr="00C4473E">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Default="006B4376" w:rsidP="006B4376">
    <w:pPr>
      <w:pStyle w:val="Header"/>
      <w:pBdr>
        <w:bottom w:val="single" w:sz="4" w:space="1" w:color="auto"/>
      </w:pBdr>
    </w:pPr>
  </w:p>
  <w:p w:rsidR="006B4376" w:rsidRDefault="006B4376" w:rsidP="006B4376">
    <w:pPr>
      <w:pStyle w:val="Header"/>
      <w:pBdr>
        <w:bottom w:val="single" w:sz="4" w:space="1" w:color="auto"/>
      </w:pBdr>
    </w:pPr>
  </w:p>
  <w:p w:rsidR="006B4376" w:rsidRPr="001E77D2" w:rsidRDefault="006B4376" w:rsidP="006B437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5F1388" w:rsidRDefault="006B4376" w:rsidP="006B437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6B4376">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5C017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6B437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6B4376">
    <w:pPr>
      <w:pBdr>
        <w:bottom w:val="single" w:sz="12"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5C0174">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76" w:rsidRPr="00ED79B6" w:rsidRDefault="006B4376" w:rsidP="006B4376">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1EC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147E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163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9C8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4225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F8C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2C0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62F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8AA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22BB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58144413"/>
    <w:multiLevelType w:val="multilevel"/>
    <w:tmpl w:val="C0562FCA"/>
    <w:lvl w:ilvl="0">
      <w:start w:val="1"/>
      <w:numFmt w:val="decimal"/>
      <w:lvlRestart w:val="0"/>
      <w:pStyle w:val="Heading1"/>
      <w:lvlText w:val="%1."/>
      <w:lvlJc w:val="left"/>
      <w:pPr>
        <w:tabs>
          <w:tab w:val="num" w:pos="970"/>
        </w:tabs>
        <w:ind w:left="970" w:hanging="850"/>
      </w:pPr>
      <w:rPr>
        <w:rFonts w:hint="default"/>
        <w:i w:val="0"/>
        <w:sz w:val="20"/>
        <w:szCs w:val="20"/>
      </w:rPr>
    </w:lvl>
    <w:lvl w:ilvl="1">
      <w:start w:val="1"/>
      <w:numFmt w:val="upperLetter"/>
      <w:pStyle w:val="Heading2"/>
      <w:lvlText w:val="%1%2"/>
      <w:lvlJc w:val="left"/>
      <w:pPr>
        <w:tabs>
          <w:tab w:val="num" w:pos="970"/>
        </w:tabs>
        <w:ind w:left="970" w:hanging="850"/>
      </w:pPr>
      <w:rPr>
        <w:rFonts w:hint="default"/>
      </w:rPr>
    </w:lvl>
    <w:lvl w:ilvl="2">
      <w:start w:val="1"/>
      <w:numFmt w:val="lowerLetter"/>
      <w:lvlRestart w:val="0"/>
      <w:pStyle w:val="Healthnumlevel2"/>
      <w:lvlText w:val="(%3)"/>
      <w:lvlJc w:val="left"/>
      <w:pPr>
        <w:tabs>
          <w:tab w:val="num" w:pos="1702"/>
        </w:tabs>
        <w:ind w:left="1702" w:hanging="851"/>
      </w:pPr>
      <w:rPr>
        <w:rFonts w:hint="default"/>
      </w:rPr>
    </w:lvl>
    <w:lvl w:ilvl="3">
      <w:start w:val="1"/>
      <w:numFmt w:val="lowerRoman"/>
      <w:pStyle w:val="HealthnumLevel3"/>
      <w:lvlText w:val="(%4)"/>
      <w:lvlJc w:val="left"/>
      <w:pPr>
        <w:tabs>
          <w:tab w:val="num" w:pos="2671"/>
        </w:tabs>
        <w:ind w:left="2671" w:hanging="850"/>
      </w:pPr>
      <w:rPr>
        <w:rFonts w:hint="default"/>
      </w:rPr>
    </w:lvl>
    <w:lvl w:ilvl="4">
      <w:start w:val="1"/>
      <w:numFmt w:val="upperLetter"/>
      <w:pStyle w:val="HealthnumLevel4"/>
      <w:lvlText w:val="(%5)"/>
      <w:lvlJc w:val="left"/>
      <w:pPr>
        <w:tabs>
          <w:tab w:val="num" w:pos="3522"/>
        </w:tabs>
        <w:ind w:left="3522" w:hanging="851"/>
      </w:pPr>
      <w:rPr>
        <w:rFonts w:hint="default"/>
      </w:rPr>
    </w:lvl>
    <w:lvl w:ilvl="5">
      <w:numFmt w:val="none"/>
      <w:pStyle w:val="HealthnumLevel5"/>
      <w:lvlText w:val=""/>
      <w:lvlJc w:val="left"/>
      <w:pPr>
        <w:tabs>
          <w:tab w:val="num" w:pos="360"/>
        </w:tabs>
        <w:ind w:left="0" w:firstLine="0"/>
      </w:pPr>
      <w:rPr>
        <w:rFonts w:hint="default"/>
      </w:rPr>
    </w:lvl>
    <w:lvl w:ilvl="6">
      <w:numFmt w:val="none"/>
      <w:pStyle w:val="HealthnumLevel6"/>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1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068"/>
    <w:rsid w:val="000035EE"/>
    <w:rsid w:val="0000597E"/>
    <w:rsid w:val="000136AF"/>
    <w:rsid w:val="00022B7E"/>
    <w:rsid w:val="00025478"/>
    <w:rsid w:val="00033300"/>
    <w:rsid w:val="00036B0B"/>
    <w:rsid w:val="00042512"/>
    <w:rsid w:val="00056743"/>
    <w:rsid w:val="000614BF"/>
    <w:rsid w:val="0006513F"/>
    <w:rsid w:val="00070744"/>
    <w:rsid w:val="00085349"/>
    <w:rsid w:val="00086765"/>
    <w:rsid w:val="000B0CF1"/>
    <w:rsid w:val="000C604C"/>
    <w:rsid w:val="000D05EF"/>
    <w:rsid w:val="000D0EC1"/>
    <w:rsid w:val="000F1D2D"/>
    <w:rsid w:val="00102606"/>
    <w:rsid w:val="00103408"/>
    <w:rsid w:val="0010745C"/>
    <w:rsid w:val="0013647D"/>
    <w:rsid w:val="001377D4"/>
    <w:rsid w:val="0014164D"/>
    <w:rsid w:val="00146DB3"/>
    <w:rsid w:val="0015276D"/>
    <w:rsid w:val="00166C2F"/>
    <w:rsid w:val="00185E2C"/>
    <w:rsid w:val="00192E89"/>
    <w:rsid w:val="001939E1"/>
    <w:rsid w:val="00195382"/>
    <w:rsid w:val="001C2230"/>
    <w:rsid w:val="001C69C4"/>
    <w:rsid w:val="001E3590"/>
    <w:rsid w:val="001E7407"/>
    <w:rsid w:val="00216D12"/>
    <w:rsid w:val="00224D0E"/>
    <w:rsid w:val="002347CE"/>
    <w:rsid w:val="002534DF"/>
    <w:rsid w:val="00253D1B"/>
    <w:rsid w:val="00254796"/>
    <w:rsid w:val="00260B7F"/>
    <w:rsid w:val="00264196"/>
    <w:rsid w:val="0026692F"/>
    <w:rsid w:val="002751D5"/>
    <w:rsid w:val="00284ACB"/>
    <w:rsid w:val="00295FBA"/>
    <w:rsid w:val="002970D7"/>
    <w:rsid w:val="00297ECB"/>
    <w:rsid w:val="002A1EB8"/>
    <w:rsid w:val="002C0E66"/>
    <w:rsid w:val="002C2FEB"/>
    <w:rsid w:val="002C7668"/>
    <w:rsid w:val="002D043A"/>
    <w:rsid w:val="002D0A34"/>
    <w:rsid w:val="002D6A8E"/>
    <w:rsid w:val="002D7979"/>
    <w:rsid w:val="002E7DEE"/>
    <w:rsid w:val="002F0765"/>
    <w:rsid w:val="00307068"/>
    <w:rsid w:val="00310655"/>
    <w:rsid w:val="00311448"/>
    <w:rsid w:val="00314068"/>
    <w:rsid w:val="00314949"/>
    <w:rsid w:val="0032286F"/>
    <w:rsid w:val="00330077"/>
    <w:rsid w:val="003378FE"/>
    <w:rsid w:val="00351C91"/>
    <w:rsid w:val="00352B0F"/>
    <w:rsid w:val="00360FB0"/>
    <w:rsid w:val="00361837"/>
    <w:rsid w:val="003756C9"/>
    <w:rsid w:val="00377A00"/>
    <w:rsid w:val="003800AD"/>
    <w:rsid w:val="00390220"/>
    <w:rsid w:val="00390284"/>
    <w:rsid w:val="003B1AED"/>
    <w:rsid w:val="003B37D6"/>
    <w:rsid w:val="003B5735"/>
    <w:rsid w:val="003C3B8D"/>
    <w:rsid w:val="003D0BFE"/>
    <w:rsid w:val="003D5700"/>
    <w:rsid w:val="003D6F8A"/>
    <w:rsid w:val="003E233C"/>
    <w:rsid w:val="003E4160"/>
    <w:rsid w:val="003F1909"/>
    <w:rsid w:val="003F55CE"/>
    <w:rsid w:val="004116CD"/>
    <w:rsid w:val="00412819"/>
    <w:rsid w:val="00421889"/>
    <w:rsid w:val="0042215D"/>
    <w:rsid w:val="00424251"/>
    <w:rsid w:val="00424CA9"/>
    <w:rsid w:val="0044291A"/>
    <w:rsid w:val="00443839"/>
    <w:rsid w:val="00454A09"/>
    <w:rsid w:val="00455786"/>
    <w:rsid w:val="004560FB"/>
    <w:rsid w:val="00461BC7"/>
    <w:rsid w:val="00464D89"/>
    <w:rsid w:val="00464EE2"/>
    <w:rsid w:val="004653F8"/>
    <w:rsid w:val="004668A5"/>
    <w:rsid w:val="00496F97"/>
    <w:rsid w:val="004A0EBB"/>
    <w:rsid w:val="004A50CF"/>
    <w:rsid w:val="004B33A5"/>
    <w:rsid w:val="004B509F"/>
    <w:rsid w:val="004E2D8B"/>
    <w:rsid w:val="004F153E"/>
    <w:rsid w:val="004F1E1E"/>
    <w:rsid w:val="00506C62"/>
    <w:rsid w:val="005126EC"/>
    <w:rsid w:val="00516B8D"/>
    <w:rsid w:val="0053192B"/>
    <w:rsid w:val="005327A0"/>
    <w:rsid w:val="005351A8"/>
    <w:rsid w:val="00537FBC"/>
    <w:rsid w:val="005416C5"/>
    <w:rsid w:val="00550FAB"/>
    <w:rsid w:val="00563076"/>
    <w:rsid w:val="0056727F"/>
    <w:rsid w:val="00584811"/>
    <w:rsid w:val="00587B39"/>
    <w:rsid w:val="00594161"/>
    <w:rsid w:val="00594749"/>
    <w:rsid w:val="005A7705"/>
    <w:rsid w:val="005C0174"/>
    <w:rsid w:val="005D0F9B"/>
    <w:rsid w:val="005E5ED2"/>
    <w:rsid w:val="00600219"/>
    <w:rsid w:val="00603FC1"/>
    <w:rsid w:val="00613A55"/>
    <w:rsid w:val="006207A3"/>
    <w:rsid w:val="00626533"/>
    <w:rsid w:val="00627825"/>
    <w:rsid w:val="006279B8"/>
    <w:rsid w:val="006308E8"/>
    <w:rsid w:val="00657B5A"/>
    <w:rsid w:val="00677CC2"/>
    <w:rsid w:val="00680F77"/>
    <w:rsid w:val="0069207B"/>
    <w:rsid w:val="006A0852"/>
    <w:rsid w:val="006A24FE"/>
    <w:rsid w:val="006B4376"/>
    <w:rsid w:val="006C7F8C"/>
    <w:rsid w:val="006D762C"/>
    <w:rsid w:val="006D77BA"/>
    <w:rsid w:val="006E2E9F"/>
    <w:rsid w:val="006E419D"/>
    <w:rsid w:val="00704A73"/>
    <w:rsid w:val="00704ECB"/>
    <w:rsid w:val="00706C1B"/>
    <w:rsid w:val="00722997"/>
    <w:rsid w:val="007276BC"/>
    <w:rsid w:val="00731E00"/>
    <w:rsid w:val="00733990"/>
    <w:rsid w:val="007348C6"/>
    <w:rsid w:val="00742E81"/>
    <w:rsid w:val="00750765"/>
    <w:rsid w:val="007513C7"/>
    <w:rsid w:val="0076289D"/>
    <w:rsid w:val="00766393"/>
    <w:rsid w:val="007715C9"/>
    <w:rsid w:val="00774EDD"/>
    <w:rsid w:val="00775577"/>
    <w:rsid w:val="007757EC"/>
    <w:rsid w:val="00775E25"/>
    <w:rsid w:val="00780A41"/>
    <w:rsid w:val="00797D44"/>
    <w:rsid w:val="00797EDB"/>
    <w:rsid w:val="007A0DEF"/>
    <w:rsid w:val="007D2655"/>
    <w:rsid w:val="007E2479"/>
    <w:rsid w:val="007E5BF4"/>
    <w:rsid w:val="007F0503"/>
    <w:rsid w:val="007F166C"/>
    <w:rsid w:val="007F17C3"/>
    <w:rsid w:val="007F68B5"/>
    <w:rsid w:val="008006B2"/>
    <w:rsid w:val="00803EE4"/>
    <w:rsid w:val="00806874"/>
    <w:rsid w:val="00817721"/>
    <w:rsid w:val="00833CC0"/>
    <w:rsid w:val="008353D7"/>
    <w:rsid w:val="0084395F"/>
    <w:rsid w:val="0084487A"/>
    <w:rsid w:val="00852F50"/>
    <w:rsid w:val="00856A31"/>
    <w:rsid w:val="00864850"/>
    <w:rsid w:val="00864B63"/>
    <w:rsid w:val="00872D66"/>
    <w:rsid w:val="008754D0"/>
    <w:rsid w:val="00886FB1"/>
    <w:rsid w:val="00893A33"/>
    <w:rsid w:val="00896556"/>
    <w:rsid w:val="00896C1E"/>
    <w:rsid w:val="008A2324"/>
    <w:rsid w:val="008C1A20"/>
    <w:rsid w:val="008C3A7C"/>
    <w:rsid w:val="008C7313"/>
    <w:rsid w:val="008C75D8"/>
    <w:rsid w:val="008D54AF"/>
    <w:rsid w:val="008E17F3"/>
    <w:rsid w:val="008E3B8C"/>
    <w:rsid w:val="008E4F16"/>
    <w:rsid w:val="008F0CF0"/>
    <w:rsid w:val="008F20EA"/>
    <w:rsid w:val="008F2D3D"/>
    <w:rsid w:val="00910C7A"/>
    <w:rsid w:val="00936A7C"/>
    <w:rsid w:val="0094622F"/>
    <w:rsid w:val="009578FA"/>
    <w:rsid w:val="00957F2A"/>
    <w:rsid w:val="00976624"/>
    <w:rsid w:val="0098638B"/>
    <w:rsid w:val="009876BA"/>
    <w:rsid w:val="00996701"/>
    <w:rsid w:val="009C3868"/>
    <w:rsid w:val="009E531C"/>
    <w:rsid w:val="00A1269C"/>
    <w:rsid w:val="00A231E2"/>
    <w:rsid w:val="00A36BD9"/>
    <w:rsid w:val="00A36D7D"/>
    <w:rsid w:val="00A427BC"/>
    <w:rsid w:val="00A61ECE"/>
    <w:rsid w:val="00A62A51"/>
    <w:rsid w:val="00A63E52"/>
    <w:rsid w:val="00A64912"/>
    <w:rsid w:val="00A70A74"/>
    <w:rsid w:val="00A90A8D"/>
    <w:rsid w:val="00A91B5C"/>
    <w:rsid w:val="00A91B98"/>
    <w:rsid w:val="00AA2E40"/>
    <w:rsid w:val="00AA72E1"/>
    <w:rsid w:val="00AB26C9"/>
    <w:rsid w:val="00AB3067"/>
    <w:rsid w:val="00AB6BF7"/>
    <w:rsid w:val="00AC07B0"/>
    <w:rsid w:val="00AD5641"/>
    <w:rsid w:val="00AF210B"/>
    <w:rsid w:val="00B14CB3"/>
    <w:rsid w:val="00B33B3C"/>
    <w:rsid w:val="00B44177"/>
    <w:rsid w:val="00B57FC8"/>
    <w:rsid w:val="00B72F7F"/>
    <w:rsid w:val="00B84E07"/>
    <w:rsid w:val="00B87961"/>
    <w:rsid w:val="00BB290A"/>
    <w:rsid w:val="00BC41C8"/>
    <w:rsid w:val="00BD4597"/>
    <w:rsid w:val="00BD4B15"/>
    <w:rsid w:val="00BE719A"/>
    <w:rsid w:val="00BE720A"/>
    <w:rsid w:val="00C01ED2"/>
    <w:rsid w:val="00C154F8"/>
    <w:rsid w:val="00C204B3"/>
    <w:rsid w:val="00C40703"/>
    <w:rsid w:val="00C42BF8"/>
    <w:rsid w:val="00C43029"/>
    <w:rsid w:val="00C4314B"/>
    <w:rsid w:val="00C468E2"/>
    <w:rsid w:val="00C50043"/>
    <w:rsid w:val="00C544DF"/>
    <w:rsid w:val="00C61CDD"/>
    <w:rsid w:val="00C7015D"/>
    <w:rsid w:val="00C7573B"/>
    <w:rsid w:val="00C8244C"/>
    <w:rsid w:val="00C8332B"/>
    <w:rsid w:val="00C83868"/>
    <w:rsid w:val="00C93636"/>
    <w:rsid w:val="00CA4DFF"/>
    <w:rsid w:val="00CB3D6B"/>
    <w:rsid w:val="00CB48D8"/>
    <w:rsid w:val="00CC6405"/>
    <w:rsid w:val="00CD0200"/>
    <w:rsid w:val="00CF0BB2"/>
    <w:rsid w:val="00CF2BCF"/>
    <w:rsid w:val="00D068FB"/>
    <w:rsid w:val="00D13441"/>
    <w:rsid w:val="00D25BCA"/>
    <w:rsid w:val="00D327BB"/>
    <w:rsid w:val="00D33614"/>
    <w:rsid w:val="00D43F3B"/>
    <w:rsid w:val="00D47EDF"/>
    <w:rsid w:val="00D509CF"/>
    <w:rsid w:val="00D52259"/>
    <w:rsid w:val="00D70DFB"/>
    <w:rsid w:val="00D72CB6"/>
    <w:rsid w:val="00D766DF"/>
    <w:rsid w:val="00DA633D"/>
    <w:rsid w:val="00DB3CFE"/>
    <w:rsid w:val="00DB54DF"/>
    <w:rsid w:val="00DB6E60"/>
    <w:rsid w:val="00DC7B41"/>
    <w:rsid w:val="00DD7704"/>
    <w:rsid w:val="00DE4487"/>
    <w:rsid w:val="00DE7073"/>
    <w:rsid w:val="00DE73B9"/>
    <w:rsid w:val="00DF057F"/>
    <w:rsid w:val="00DF14EC"/>
    <w:rsid w:val="00DF1CF5"/>
    <w:rsid w:val="00DF6D7F"/>
    <w:rsid w:val="00E45FD8"/>
    <w:rsid w:val="00E64A62"/>
    <w:rsid w:val="00E74935"/>
    <w:rsid w:val="00E74DC7"/>
    <w:rsid w:val="00E76A98"/>
    <w:rsid w:val="00E9306A"/>
    <w:rsid w:val="00E939A9"/>
    <w:rsid w:val="00EA507C"/>
    <w:rsid w:val="00EC7C4A"/>
    <w:rsid w:val="00ED0C49"/>
    <w:rsid w:val="00EE0816"/>
    <w:rsid w:val="00EE5076"/>
    <w:rsid w:val="00EF2E3A"/>
    <w:rsid w:val="00EF6CAF"/>
    <w:rsid w:val="00F00A0D"/>
    <w:rsid w:val="00F04811"/>
    <w:rsid w:val="00F06474"/>
    <w:rsid w:val="00F078DC"/>
    <w:rsid w:val="00F138FA"/>
    <w:rsid w:val="00F23E5F"/>
    <w:rsid w:val="00F25620"/>
    <w:rsid w:val="00F25D50"/>
    <w:rsid w:val="00F424C1"/>
    <w:rsid w:val="00F51269"/>
    <w:rsid w:val="00F610D0"/>
    <w:rsid w:val="00F8355B"/>
    <w:rsid w:val="00F85C9A"/>
    <w:rsid w:val="00F949DB"/>
    <w:rsid w:val="00FA1734"/>
    <w:rsid w:val="00FA25AC"/>
    <w:rsid w:val="00FC1805"/>
    <w:rsid w:val="00FC504B"/>
    <w:rsid w:val="00FE495E"/>
    <w:rsid w:val="00FE64B3"/>
    <w:rsid w:val="00FE6E64"/>
    <w:rsid w:val="00FF33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888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52F50"/>
    <w:pPr>
      <w:spacing w:line="260" w:lineRule="atLeast"/>
    </w:pPr>
    <w:rPr>
      <w:sz w:val="22"/>
    </w:rPr>
  </w:style>
  <w:style w:type="paragraph" w:styleId="Heading1">
    <w:name w:val="heading 1"/>
    <w:aliases w:val="h1"/>
    <w:basedOn w:val="Normal"/>
    <w:next w:val="Normal"/>
    <w:link w:val="Heading1Char"/>
    <w:qFormat/>
    <w:rsid w:val="00797EDB"/>
    <w:pPr>
      <w:keepNext/>
      <w:numPr>
        <w:numId w:val="14"/>
      </w:numPr>
      <w:autoSpaceDE w:val="0"/>
      <w:autoSpaceDN w:val="0"/>
      <w:spacing w:before="360" w:line="240" w:lineRule="auto"/>
      <w:outlineLvl w:val="0"/>
    </w:pPr>
    <w:rPr>
      <w:rFonts w:ascii="Arial" w:eastAsiaTheme="minorEastAsia" w:hAnsi="Arial" w:cs="Arial"/>
      <w:b/>
      <w:bCs/>
      <w:kern w:val="32"/>
      <w:sz w:val="24"/>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qFormat/>
    <w:rsid w:val="00797EDB"/>
    <w:pPr>
      <w:keepNext/>
      <w:numPr>
        <w:ilvl w:val="1"/>
        <w:numId w:val="14"/>
      </w:numPr>
      <w:autoSpaceDE w:val="0"/>
      <w:autoSpaceDN w:val="0"/>
      <w:spacing w:before="240" w:after="60" w:line="240" w:lineRule="auto"/>
      <w:outlineLvl w:val="1"/>
    </w:pPr>
    <w:rPr>
      <w:rFonts w:ascii="Arial" w:eastAsiaTheme="minorEastAsia"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2F50"/>
  </w:style>
  <w:style w:type="paragraph" w:customStyle="1" w:styleId="OPCParaBase">
    <w:name w:val="OPCParaBase"/>
    <w:qFormat/>
    <w:rsid w:val="00852F50"/>
    <w:pPr>
      <w:spacing w:line="260" w:lineRule="atLeast"/>
    </w:pPr>
    <w:rPr>
      <w:rFonts w:eastAsia="Times New Roman" w:cs="Times New Roman"/>
      <w:sz w:val="22"/>
      <w:lang w:eastAsia="en-AU"/>
    </w:rPr>
  </w:style>
  <w:style w:type="paragraph" w:customStyle="1" w:styleId="ShortT">
    <w:name w:val="ShortT"/>
    <w:basedOn w:val="OPCParaBase"/>
    <w:next w:val="Normal"/>
    <w:qFormat/>
    <w:rsid w:val="00852F50"/>
    <w:pPr>
      <w:spacing w:line="240" w:lineRule="auto"/>
    </w:pPr>
    <w:rPr>
      <w:b/>
      <w:sz w:val="40"/>
    </w:rPr>
  </w:style>
  <w:style w:type="paragraph" w:customStyle="1" w:styleId="ActHead1">
    <w:name w:val="ActHead 1"/>
    <w:aliases w:val="c"/>
    <w:basedOn w:val="OPCParaBase"/>
    <w:next w:val="Normal"/>
    <w:qFormat/>
    <w:rsid w:val="00852F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2F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2F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2F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52F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2F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2F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2F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2F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52F50"/>
  </w:style>
  <w:style w:type="paragraph" w:customStyle="1" w:styleId="Blocks">
    <w:name w:val="Blocks"/>
    <w:aliases w:val="bb"/>
    <w:basedOn w:val="OPCParaBase"/>
    <w:qFormat/>
    <w:rsid w:val="00852F50"/>
    <w:pPr>
      <w:spacing w:line="240" w:lineRule="auto"/>
    </w:pPr>
    <w:rPr>
      <w:sz w:val="24"/>
    </w:rPr>
  </w:style>
  <w:style w:type="paragraph" w:customStyle="1" w:styleId="BoxText">
    <w:name w:val="BoxText"/>
    <w:aliases w:val="bt"/>
    <w:basedOn w:val="OPCParaBase"/>
    <w:qFormat/>
    <w:rsid w:val="00852F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2F50"/>
    <w:rPr>
      <w:b/>
    </w:rPr>
  </w:style>
  <w:style w:type="paragraph" w:customStyle="1" w:styleId="BoxHeadItalic">
    <w:name w:val="BoxHeadItalic"/>
    <w:aliases w:val="bhi"/>
    <w:basedOn w:val="BoxText"/>
    <w:next w:val="BoxStep"/>
    <w:qFormat/>
    <w:rsid w:val="00852F50"/>
    <w:rPr>
      <w:i/>
    </w:rPr>
  </w:style>
  <w:style w:type="paragraph" w:customStyle="1" w:styleId="BoxList">
    <w:name w:val="BoxList"/>
    <w:aliases w:val="bl"/>
    <w:basedOn w:val="BoxText"/>
    <w:qFormat/>
    <w:rsid w:val="00852F50"/>
    <w:pPr>
      <w:ind w:left="1559" w:hanging="425"/>
    </w:pPr>
  </w:style>
  <w:style w:type="paragraph" w:customStyle="1" w:styleId="BoxNote">
    <w:name w:val="BoxNote"/>
    <w:aliases w:val="bn"/>
    <w:basedOn w:val="BoxText"/>
    <w:qFormat/>
    <w:rsid w:val="00852F50"/>
    <w:pPr>
      <w:tabs>
        <w:tab w:val="left" w:pos="1985"/>
      </w:tabs>
      <w:spacing w:before="122" w:line="198" w:lineRule="exact"/>
      <w:ind w:left="2948" w:hanging="1814"/>
    </w:pPr>
    <w:rPr>
      <w:sz w:val="18"/>
    </w:rPr>
  </w:style>
  <w:style w:type="paragraph" w:customStyle="1" w:styleId="BoxPara">
    <w:name w:val="BoxPara"/>
    <w:aliases w:val="bp"/>
    <w:basedOn w:val="BoxText"/>
    <w:qFormat/>
    <w:rsid w:val="00852F50"/>
    <w:pPr>
      <w:tabs>
        <w:tab w:val="right" w:pos="2268"/>
      </w:tabs>
      <w:ind w:left="2552" w:hanging="1418"/>
    </w:pPr>
  </w:style>
  <w:style w:type="paragraph" w:customStyle="1" w:styleId="BoxStep">
    <w:name w:val="BoxStep"/>
    <w:aliases w:val="bs"/>
    <w:basedOn w:val="BoxText"/>
    <w:qFormat/>
    <w:rsid w:val="00852F50"/>
    <w:pPr>
      <w:ind w:left="1985" w:hanging="851"/>
    </w:pPr>
  </w:style>
  <w:style w:type="character" w:customStyle="1" w:styleId="CharAmPartNo">
    <w:name w:val="CharAmPartNo"/>
    <w:basedOn w:val="OPCCharBase"/>
    <w:uiPriority w:val="1"/>
    <w:qFormat/>
    <w:rsid w:val="00852F50"/>
  </w:style>
  <w:style w:type="character" w:customStyle="1" w:styleId="CharAmPartText">
    <w:name w:val="CharAmPartText"/>
    <w:basedOn w:val="OPCCharBase"/>
    <w:uiPriority w:val="1"/>
    <w:qFormat/>
    <w:rsid w:val="00852F50"/>
  </w:style>
  <w:style w:type="character" w:customStyle="1" w:styleId="CharAmSchNo">
    <w:name w:val="CharAmSchNo"/>
    <w:basedOn w:val="OPCCharBase"/>
    <w:uiPriority w:val="1"/>
    <w:qFormat/>
    <w:rsid w:val="00852F50"/>
  </w:style>
  <w:style w:type="character" w:customStyle="1" w:styleId="CharAmSchText">
    <w:name w:val="CharAmSchText"/>
    <w:basedOn w:val="OPCCharBase"/>
    <w:uiPriority w:val="1"/>
    <w:qFormat/>
    <w:rsid w:val="00852F50"/>
  </w:style>
  <w:style w:type="character" w:customStyle="1" w:styleId="CharBoldItalic">
    <w:name w:val="CharBoldItalic"/>
    <w:basedOn w:val="OPCCharBase"/>
    <w:uiPriority w:val="1"/>
    <w:qFormat/>
    <w:rsid w:val="00852F50"/>
    <w:rPr>
      <w:b/>
      <w:i/>
    </w:rPr>
  </w:style>
  <w:style w:type="character" w:customStyle="1" w:styleId="CharChapNo">
    <w:name w:val="CharChapNo"/>
    <w:basedOn w:val="OPCCharBase"/>
    <w:qFormat/>
    <w:rsid w:val="00852F50"/>
  </w:style>
  <w:style w:type="character" w:customStyle="1" w:styleId="CharChapText">
    <w:name w:val="CharChapText"/>
    <w:basedOn w:val="OPCCharBase"/>
    <w:qFormat/>
    <w:rsid w:val="00852F50"/>
  </w:style>
  <w:style w:type="character" w:customStyle="1" w:styleId="CharDivNo">
    <w:name w:val="CharDivNo"/>
    <w:basedOn w:val="OPCCharBase"/>
    <w:qFormat/>
    <w:rsid w:val="00852F50"/>
  </w:style>
  <w:style w:type="character" w:customStyle="1" w:styleId="CharDivText">
    <w:name w:val="CharDivText"/>
    <w:basedOn w:val="OPCCharBase"/>
    <w:qFormat/>
    <w:rsid w:val="00852F50"/>
  </w:style>
  <w:style w:type="character" w:customStyle="1" w:styleId="CharItalic">
    <w:name w:val="CharItalic"/>
    <w:basedOn w:val="OPCCharBase"/>
    <w:uiPriority w:val="1"/>
    <w:qFormat/>
    <w:rsid w:val="00852F50"/>
    <w:rPr>
      <w:i/>
    </w:rPr>
  </w:style>
  <w:style w:type="character" w:customStyle="1" w:styleId="CharPartNo">
    <w:name w:val="CharPartNo"/>
    <w:basedOn w:val="OPCCharBase"/>
    <w:qFormat/>
    <w:rsid w:val="00852F50"/>
  </w:style>
  <w:style w:type="character" w:customStyle="1" w:styleId="CharPartText">
    <w:name w:val="CharPartText"/>
    <w:basedOn w:val="OPCCharBase"/>
    <w:qFormat/>
    <w:rsid w:val="00852F50"/>
  </w:style>
  <w:style w:type="character" w:customStyle="1" w:styleId="CharSectno">
    <w:name w:val="CharSectno"/>
    <w:basedOn w:val="OPCCharBase"/>
    <w:qFormat/>
    <w:rsid w:val="00852F50"/>
  </w:style>
  <w:style w:type="character" w:customStyle="1" w:styleId="CharSubdNo">
    <w:name w:val="CharSubdNo"/>
    <w:basedOn w:val="OPCCharBase"/>
    <w:uiPriority w:val="1"/>
    <w:qFormat/>
    <w:rsid w:val="00852F50"/>
  </w:style>
  <w:style w:type="character" w:customStyle="1" w:styleId="CharSubdText">
    <w:name w:val="CharSubdText"/>
    <w:basedOn w:val="OPCCharBase"/>
    <w:uiPriority w:val="1"/>
    <w:qFormat/>
    <w:rsid w:val="00852F50"/>
  </w:style>
  <w:style w:type="paragraph" w:customStyle="1" w:styleId="CTA--">
    <w:name w:val="CTA --"/>
    <w:basedOn w:val="OPCParaBase"/>
    <w:next w:val="Normal"/>
    <w:rsid w:val="00852F50"/>
    <w:pPr>
      <w:spacing w:before="60" w:line="240" w:lineRule="atLeast"/>
      <w:ind w:left="142" w:hanging="142"/>
    </w:pPr>
    <w:rPr>
      <w:sz w:val="20"/>
    </w:rPr>
  </w:style>
  <w:style w:type="paragraph" w:customStyle="1" w:styleId="CTA-">
    <w:name w:val="CTA -"/>
    <w:basedOn w:val="OPCParaBase"/>
    <w:rsid w:val="00852F50"/>
    <w:pPr>
      <w:spacing w:before="60" w:line="240" w:lineRule="atLeast"/>
      <w:ind w:left="85" w:hanging="85"/>
    </w:pPr>
    <w:rPr>
      <w:sz w:val="20"/>
    </w:rPr>
  </w:style>
  <w:style w:type="paragraph" w:customStyle="1" w:styleId="CTA---">
    <w:name w:val="CTA ---"/>
    <w:basedOn w:val="OPCParaBase"/>
    <w:next w:val="Normal"/>
    <w:rsid w:val="00852F50"/>
    <w:pPr>
      <w:spacing w:before="60" w:line="240" w:lineRule="atLeast"/>
      <w:ind w:left="198" w:hanging="198"/>
    </w:pPr>
    <w:rPr>
      <w:sz w:val="20"/>
    </w:rPr>
  </w:style>
  <w:style w:type="paragraph" w:customStyle="1" w:styleId="CTA----">
    <w:name w:val="CTA ----"/>
    <w:basedOn w:val="OPCParaBase"/>
    <w:next w:val="Normal"/>
    <w:rsid w:val="00852F50"/>
    <w:pPr>
      <w:spacing w:before="60" w:line="240" w:lineRule="atLeast"/>
      <w:ind w:left="255" w:hanging="255"/>
    </w:pPr>
    <w:rPr>
      <w:sz w:val="20"/>
    </w:rPr>
  </w:style>
  <w:style w:type="paragraph" w:customStyle="1" w:styleId="CTA1a">
    <w:name w:val="CTA 1(a)"/>
    <w:basedOn w:val="OPCParaBase"/>
    <w:rsid w:val="00852F50"/>
    <w:pPr>
      <w:tabs>
        <w:tab w:val="right" w:pos="414"/>
      </w:tabs>
      <w:spacing w:before="40" w:line="240" w:lineRule="atLeast"/>
      <w:ind w:left="675" w:hanging="675"/>
    </w:pPr>
    <w:rPr>
      <w:sz w:val="20"/>
    </w:rPr>
  </w:style>
  <w:style w:type="paragraph" w:customStyle="1" w:styleId="CTA1ai">
    <w:name w:val="CTA 1(a)(i)"/>
    <w:basedOn w:val="OPCParaBase"/>
    <w:rsid w:val="00852F50"/>
    <w:pPr>
      <w:tabs>
        <w:tab w:val="right" w:pos="1004"/>
      </w:tabs>
      <w:spacing w:before="40" w:line="240" w:lineRule="atLeast"/>
      <w:ind w:left="1253" w:hanging="1253"/>
    </w:pPr>
    <w:rPr>
      <w:sz w:val="20"/>
    </w:rPr>
  </w:style>
  <w:style w:type="paragraph" w:customStyle="1" w:styleId="CTA2a">
    <w:name w:val="CTA 2(a)"/>
    <w:basedOn w:val="OPCParaBase"/>
    <w:rsid w:val="00852F50"/>
    <w:pPr>
      <w:tabs>
        <w:tab w:val="right" w:pos="482"/>
      </w:tabs>
      <w:spacing w:before="40" w:line="240" w:lineRule="atLeast"/>
      <w:ind w:left="748" w:hanging="748"/>
    </w:pPr>
    <w:rPr>
      <w:sz w:val="20"/>
    </w:rPr>
  </w:style>
  <w:style w:type="paragraph" w:customStyle="1" w:styleId="CTA2ai">
    <w:name w:val="CTA 2(a)(i)"/>
    <w:basedOn w:val="OPCParaBase"/>
    <w:rsid w:val="00852F50"/>
    <w:pPr>
      <w:tabs>
        <w:tab w:val="right" w:pos="1089"/>
      </w:tabs>
      <w:spacing w:before="40" w:line="240" w:lineRule="atLeast"/>
      <w:ind w:left="1327" w:hanging="1327"/>
    </w:pPr>
    <w:rPr>
      <w:sz w:val="20"/>
    </w:rPr>
  </w:style>
  <w:style w:type="paragraph" w:customStyle="1" w:styleId="CTA3a">
    <w:name w:val="CTA 3(a)"/>
    <w:basedOn w:val="OPCParaBase"/>
    <w:rsid w:val="00852F50"/>
    <w:pPr>
      <w:tabs>
        <w:tab w:val="right" w:pos="556"/>
      </w:tabs>
      <w:spacing w:before="40" w:line="240" w:lineRule="atLeast"/>
      <w:ind w:left="805" w:hanging="805"/>
    </w:pPr>
    <w:rPr>
      <w:sz w:val="20"/>
    </w:rPr>
  </w:style>
  <w:style w:type="paragraph" w:customStyle="1" w:styleId="CTA3ai">
    <w:name w:val="CTA 3(a)(i)"/>
    <w:basedOn w:val="OPCParaBase"/>
    <w:rsid w:val="00852F50"/>
    <w:pPr>
      <w:tabs>
        <w:tab w:val="right" w:pos="1140"/>
      </w:tabs>
      <w:spacing w:before="40" w:line="240" w:lineRule="atLeast"/>
      <w:ind w:left="1361" w:hanging="1361"/>
    </w:pPr>
    <w:rPr>
      <w:sz w:val="20"/>
    </w:rPr>
  </w:style>
  <w:style w:type="paragraph" w:customStyle="1" w:styleId="CTA4a">
    <w:name w:val="CTA 4(a)"/>
    <w:basedOn w:val="OPCParaBase"/>
    <w:rsid w:val="00852F50"/>
    <w:pPr>
      <w:tabs>
        <w:tab w:val="right" w:pos="624"/>
      </w:tabs>
      <w:spacing w:before="40" w:line="240" w:lineRule="atLeast"/>
      <w:ind w:left="873" w:hanging="873"/>
    </w:pPr>
    <w:rPr>
      <w:sz w:val="20"/>
    </w:rPr>
  </w:style>
  <w:style w:type="paragraph" w:customStyle="1" w:styleId="CTA4ai">
    <w:name w:val="CTA 4(a)(i)"/>
    <w:basedOn w:val="OPCParaBase"/>
    <w:rsid w:val="00852F50"/>
    <w:pPr>
      <w:tabs>
        <w:tab w:val="right" w:pos="1213"/>
      </w:tabs>
      <w:spacing w:before="40" w:line="240" w:lineRule="atLeast"/>
      <w:ind w:left="1452" w:hanging="1452"/>
    </w:pPr>
    <w:rPr>
      <w:sz w:val="20"/>
    </w:rPr>
  </w:style>
  <w:style w:type="paragraph" w:customStyle="1" w:styleId="CTACAPS">
    <w:name w:val="CTA CAPS"/>
    <w:basedOn w:val="OPCParaBase"/>
    <w:rsid w:val="00852F50"/>
    <w:pPr>
      <w:spacing w:before="60" w:line="240" w:lineRule="atLeast"/>
    </w:pPr>
    <w:rPr>
      <w:sz w:val="20"/>
    </w:rPr>
  </w:style>
  <w:style w:type="paragraph" w:customStyle="1" w:styleId="CTAright">
    <w:name w:val="CTA right"/>
    <w:basedOn w:val="OPCParaBase"/>
    <w:rsid w:val="00852F50"/>
    <w:pPr>
      <w:spacing w:before="60" w:line="240" w:lineRule="auto"/>
      <w:jc w:val="right"/>
    </w:pPr>
    <w:rPr>
      <w:sz w:val="20"/>
    </w:rPr>
  </w:style>
  <w:style w:type="paragraph" w:customStyle="1" w:styleId="subsection">
    <w:name w:val="subsection"/>
    <w:aliases w:val="ss"/>
    <w:basedOn w:val="OPCParaBase"/>
    <w:rsid w:val="00852F50"/>
    <w:pPr>
      <w:tabs>
        <w:tab w:val="right" w:pos="1021"/>
      </w:tabs>
      <w:spacing w:before="180" w:line="240" w:lineRule="auto"/>
      <w:ind w:left="1134" w:hanging="1134"/>
    </w:pPr>
  </w:style>
  <w:style w:type="paragraph" w:customStyle="1" w:styleId="Definition">
    <w:name w:val="Definition"/>
    <w:aliases w:val="dd"/>
    <w:basedOn w:val="OPCParaBase"/>
    <w:rsid w:val="00852F50"/>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852F50"/>
    <w:pPr>
      <w:spacing w:line="240" w:lineRule="auto"/>
      <w:ind w:left="1134"/>
    </w:pPr>
    <w:rPr>
      <w:sz w:val="20"/>
    </w:rPr>
  </w:style>
  <w:style w:type="paragraph" w:styleId="Header">
    <w:name w:val="header"/>
    <w:basedOn w:val="OPCParaBase"/>
    <w:link w:val="HeaderChar"/>
    <w:unhideWhenUsed/>
    <w:rsid w:val="00852F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2F50"/>
    <w:rPr>
      <w:rFonts w:eastAsia="Times New Roman" w:cs="Times New Roman"/>
      <w:sz w:val="16"/>
      <w:lang w:eastAsia="en-AU"/>
    </w:rPr>
  </w:style>
  <w:style w:type="paragraph" w:customStyle="1" w:styleId="House">
    <w:name w:val="House"/>
    <w:basedOn w:val="OPCParaBase"/>
    <w:rsid w:val="00852F50"/>
    <w:pPr>
      <w:spacing w:line="240" w:lineRule="auto"/>
    </w:pPr>
    <w:rPr>
      <w:sz w:val="28"/>
    </w:rPr>
  </w:style>
  <w:style w:type="paragraph" w:customStyle="1" w:styleId="Item">
    <w:name w:val="Item"/>
    <w:aliases w:val="i"/>
    <w:basedOn w:val="OPCParaBase"/>
    <w:next w:val="ItemHead"/>
    <w:rsid w:val="00852F50"/>
    <w:pPr>
      <w:keepLines/>
      <w:spacing w:before="80" w:line="240" w:lineRule="auto"/>
      <w:ind w:left="709"/>
    </w:pPr>
  </w:style>
  <w:style w:type="paragraph" w:customStyle="1" w:styleId="ItemHead">
    <w:name w:val="ItemHead"/>
    <w:aliases w:val="ih"/>
    <w:basedOn w:val="OPCParaBase"/>
    <w:next w:val="Item"/>
    <w:rsid w:val="00852F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2F50"/>
    <w:pPr>
      <w:spacing w:line="240" w:lineRule="auto"/>
    </w:pPr>
    <w:rPr>
      <w:b/>
      <w:sz w:val="32"/>
    </w:rPr>
  </w:style>
  <w:style w:type="paragraph" w:customStyle="1" w:styleId="notedraft">
    <w:name w:val="note(draft)"/>
    <w:aliases w:val="nd"/>
    <w:basedOn w:val="OPCParaBase"/>
    <w:rsid w:val="00852F50"/>
    <w:pPr>
      <w:spacing w:before="240" w:line="240" w:lineRule="auto"/>
      <w:ind w:left="284" w:hanging="284"/>
    </w:pPr>
    <w:rPr>
      <w:i/>
      <w:sz w:val="24"/>
    </w:rPr>
  </w:style>
  <w:style w:type="paragraph" w:customStyle="1" w:styleId="notemargin">
    <w:name w:val="note(margin)"/>
    <w:aliases w:val="nm"/>
    <w:basedOn w:val="OPCParaBase"/>
    <w:rsid w:val="00852F50"/>
    <w:pPr>
      <w:tabs>
        <w:tab w:val="left" w:pos="709"/>
      </w:tabs>
      <w:spacing w:before="122" w:line="198" w:lineRule="exact"/>
      <w:ind w:left="709" w:hanging="709"/>
    </w:pPr>
    <w:rPr>
      <w:sz w:val="18"/>
    </w:rPr>
  </w:style>
  <w:style w:type="paragraph" w:customStyle="1" w:styleId="notepara">
    <w:name w:val="note(para)"/>
    <w:aliases w:val="na"/>
    <w:basedOn w:val="OPCParaBase"/>
    <w:rsid w:val="00852F50"/>
    <w:pPr>
      <w:spacing w:before="40" w:line="198" w:lineRule="exact"/>
      <w:ind w:left="2354" w:hanging="369"/>
    </w:pPr>
    <w:rPr>
      <w:sz w:val="18"/>
    </w:rPr>
  </w:style>
  <w:style w:type="paragraph" w:customStyle="1" w:styleId="noteParlAmend">
    <w:name w:val="note(ParlAmend)"/>
    <w:aliases w:val="npp"/>
    <w:basedOn w:val="OPCParaBase"/>
    <w:next w:val="ParlAmend"/>
    <w:rsid w:val="00852F50"/>
    <w:pPr>
      <w:spacing w:line="240" w:lineRule="auto"/>
      <w:jc w:val="right"/>
    </w:pPr>
    <w:rPr>
      <w:rFonts w:ascii="Arial" w:hAnsi="Arial"/>
      <w:b/>
      <w:i/>
    </w:rPr>
  </w:style>
  <w:style w:type="paragraph" w:customStyle="1" w:styleId="Page1">
    <w:name w:val="Page1"/>
    <w:basedOn w:val="OPCParaBase"/>
    <w:rsid w:val="00852F50"/>
    <w:pPr>
      <w:spacing w:before="5600" w:line="240" w:lineRule="auto"/>
    </w:pPr>
    <w:rPr>
      <w:b/>
      <w:sz w:val="32"/>
    </w:rPr>
  </w:style>
  <w:style w:type="paragraph" w:customStyle="1" w:styleId="PageBreak">
    <w:name w:val="PageBreak"/>
    <w:aliases w:val="pb"/>
    <w:basedOn w:val="OPCParaBase"/>
    <w:rsid w:val="00852F50"/>
    <w:pPr>
      <w:spacing w:line="240" w:lineRule="auto"/>
    </w:pPr>
    <w:rPr>
      <w:sz w:val="20"/>
    </w:rPr>
  </w:style>
  <w:style w:type="paragraph" w:customStyle="1" w:styleId="paragraphsub">
    <w:name w:val="paragraph(sub)"/>
    <w:aliases w:val="aa"/>
    <w:basedOn w:val="OPCParaBase"/>
    <w:rsid w:val="00852F50"/>
    <w:pPr>
      <w:tabs>
        <w:tab w:val="right" w:pos="1985"/>
      </w:tabs>
      <w:spacing w:before="40" w:line="240" w:lineRule="auto"/>
      <w:ind w:left="2098" w:hanging="2098"/>
    </w:pPr>
  </w:style>
  <w:style w:type="paragraph" w:customStyle="1" w:styleId="paragraphsub-sub">
    <w:name w:val="paragraph(sub-sub)"/>
    <w:aliases w:val="aaa"/>
    <w:basedOn w:val="OPCParaBase"/>
    <w:rsid w:val="00852F50"/>
    <w:pPr>
      <w:tabs>
        <w:tab w:val="right" w:pos="2722"/>
      </w:tabs>
      <w:spacing w:before="40" w:line="240" w:lineRule="auto"/>
      <w:ind w:left="2835" w:hanging="2835"/>
    </w:pPr>
  </w:style>
  <w:style w:type="paragraph" w:customStyle="1" w:styleId="paragraph">
    <w:name w:val="paragraph"/>
    <w:aliases w:val="a"/>
    <w:basedOn w:val="OPCParaBase"/>
    <w:rsid w:val="00852F50"/>
    <w:pPr>
      <w:tabs>
        <w:tab w:val="right" w:pos="1531"/>
      </w:tabs>
      <w:spacing w:before="40" w:line="240" w:lineRule="auto"/>
      <w:ind w:left="1644" w:hanging="1644"/>
    </w:pPr>
  </w:style>
  <w:style w:type="paragraph" w:customStyle="1" w:styleId="ParlAmend">
    <w:name w:val="ParlAmend"/>
    <w:aliases w:val="pp"/>
    <w:basedOn w:val="OPCParaBase"/>
    <w:rsid w:val="00852F50"/>
    <w:pPr>
      <w:spacing w:before="240" w:line="240" w:lineRule="atLeast"/>
      <w:ind w:hanging="567"/>
    </w:pPr>
    <w:rPr>
      <w:sz w:val="24"/>
    </w:rPr>
  </w:style>
  <w:style w:type="paragraph" w:customStyle="1" w:styleId="Penalty">
    <w:name w:val="Penalty"/>
    <w:basedOn w:val="OPCParaBase"/>
    <w:rsid w:val="00852F50"/>
    <w:pPr>
      <w:tabs>
        <w:tab w:val="left" w:pos="2977"/>
      </w:tabs>
      <w:spacing w:before="180" w:line="240" w:lineRule="auto"/>
      <w:ind w:left="1985" w:hanging="851"/>
    </w:pPr>
  </w:style>
  <w:style w:type="paragraph" w:customStyle="1" w:styleId="Portfolio">
    <w:name w:val="Portfolio"/>
    <w:basedOn w:val="OPCParaBase"/>
    <w:rsid w:val="00852F50"/>
    <w:pPr>
      <w:spacing w:line="240" w:lineRule="auto"/>
    </w:pPr>
    <w:rPr>
      <w:i/>
      <w:sz w:val="20"/>
    </w:rPr>
  </w:style>
  <w:style w:type="paragraph" w:customStyle="1" w:styleId="Preamble">
    <w:name w:val="Preamble"/>
    <w:basedOn w:val="OPCParaBase"/>
    <w:next w:val="Normal"/>
    <w:rsid w:val="00852F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2F50"/>
    <w:pPr>
      <w:spacing w:line="240" w:lineRule="auto"/>
    </w:pPr>
    <w:rPr>
      <w:i/>
      <w:sz w:val="20"/>
    </w:rPr>
  </w:style>
  <w:style w:type="paragraph" w:customStyle="1" w:styleId="Session">
    <w:name w:val="Session"/>
    <w:basedOn w:val="OPCParaBase"/>
    <w:rsid w:val="00852F50"/>
    <w:pPr>
      <w:spacing w:line="240" w:lineRule="auto"/>
    </w:pPr>
    <w:rPr>
      <w:sz w:val="28"/>
    </w:rPr>
  </w:style>
  <w:style w:type="paragraph" w:customStyle="1" w:styleId="Sponsor">
    <w:name w:val="Sponsor"/>
    <w:basedOn w:val="OPCParaBase"/>
    <w:rsid w:val="00852F50"/>
    <w:pPr>
      <w:spacing w:line="240" w:lineRule="auto"/>
    </w:pPr>
    <w:rPr>
      <w:i/>
    </w:rPr>
  </w:style>
  <w:style w:type="paragraph" w:customStyle="1" w:styleId="Subitem">
    <w:name w:val="Subitem"/>
    <w:aliases w:val="iss"/>
    <w:basedOn w:val="OPCParaBase"/>
    <w:rsid w:val="00852F50"/>
    <w:pPr>
      <w:spacing w:before="180" w:line="240" w:lineRule="auto"/>
      <w:ind w:left="709" w:hanging="709"/>
    </w:pPr>
  </w:style>
  <w:style w:type="paragraph" w:customStyle="1" w:styleId="SubitemHead">
    <w:name w:val="SubitemHead"/>
    <w:aliases w:val="issh"/>
    <w:basedOn w:val="OPCParaBase"/>
    <w:rsid w:val="00852F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2F50"/>
    <w:pPr>
      <w:spacing w:before="40" w:line="240" w:lineRule="auto"/>
      <w:ind w:left="1134"/>
    </w:pPr>
  </w:style>
  <w:style w:type="paragraph" w:customStyle="1" w:styleId="SubsectionHead">
    <w:name w:val="SubsectionHead"/>
    <w:aliases w:val="ssh"/>
    <w:basedOn w:val="OPCParaBase"/>
    <w:next w:val="subsection"/>
    <w:rsid w:val="00852F50"/>
    <w:pPr>
      <w:keepNext/>
      <w:keepLines/>
      <w:spacing w:before="240" w:line="240" w:lineRule="auto"/>
      <w:ind w:left="1134"/>
    </w:pPr>
    <w:rPr>
      <w:i/>
    </w:rPr>
  </w:style>
  <w:style w:type="paragraph" w:customStyle="1" w:styleId="Tablea">
    <w:name w:val="Table(a)"/>
    <w:aliases w:val="ta"/>
    <w:basedOn w:val="OPCParaBase"/>
    <w:rsid w:val="00852F50"/>
    <w:pPr>
      <w:spacing w:before="60" w:line="240" w:lineRule="auto"/>
      <w:ind w:left="284" w:hanging="284"/>
    </w:pPr>
    <w:rPr>
      <w:sz w:val="20"/>
    </w:rPr>
  </w:style>
  <w:style w:type="paragraph" w:customStyle="1" w:styleId="TableAA">
    <w:name w:val="Table(AA)"/>
    <w:aliases w:val="taaa"/>
    <w:basedOn w:val="OPCParaBase"/>
    <w:rsid w:val="00852F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2F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2F50"/>
    <w:pPr>
      <w:spacing w:before="60" w:line="240" w:lineRule="atLeast"/>
    </w:pPr>
    <w:rPr>
      <w:sz w:val="20"/>
    </w:rPr>
  </w:style>
  <w:style w:type="paragraph" w:customStyle="1" w:styleId="TLPBoxTextnote">
    <w:name w:val="TLPBoxText(note"/>
    <w:aliases w:val="right)"/>
    <w:basedOn w:val="OPCParaBase"/>
    <w:rsid w:val="00852F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2F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2F50"/>
    <w:pPr>
      <w:spacing w:before="122" w:line="198" w:lineRule="exact"/>
      <w:ind w:left="1985" w:hanging="851"/>
      <w:jc w:val="right"/>
    </w:pPr>
    <w:rPr>
      <w:sz w:val="18"/>
    </w:rPr>
  </w:style>
  <w:style w:type="paragraph" w:customStyle="1" w:styleId="TLPTableBullet">
    <w:name w:val="TLPTableBullet"/>
    <w:aliases w:val="ttb"/>
    <w:basedOn w:val="OPCParaBase"/>
    <w:rsid w:val="00852F50"/>
    <w:pPr>
      <w:spacing w:line="240" w:lineRule="exact"/>
      <w:ind w:left="284" w:hanging="284"/>
    </w:pPr>
    <w:rPr>
      <w:sz w:val="20"/>
    </w:rPr>
  </w:style>
  <w:style w:type="paragraph" w:styleId="TOC1">
    <w:name w:val="toc 1"/>
    <w:basedOn w:val="OPCParaBase"/>
    <w:next w:val="Normal"/>
    <w:uiPriority w:val="39"/>
    <w:unhideWhenUsed/>
    <w:rsid w:val="00852F5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2F5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52F5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52F5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852F5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52F5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2F5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2F5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52F5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2F50"/>
    <w:pPr>
      <w:keepLines/>
      <w:spacing w:before="240" w:after="120" w:line="240" w:lineRule="auto"/>
      <w:ind w:left="794"/>
    </w:pPr>
    <w:rPr>
      <w:b/>
      <w:kern w:val="28"/>
      <w:sz w:val="20"/>
    </w:rPr>
  </w:style>
  <w:style w:type="paragraph" w:customStyle="1" w:styleId="TofSectsHeading">
    <w:name w:val="TofSects(Heading)"/>
    <w:basedOn w:val="OPCParaBase"/>
    <w:rsid w:val="00852F50"/>
    <w:pPr>
      <w:spacing w:before="240" w:after="120" w:line="240" w:lineRule="auto"/>
    </w:pPr>
    <w:rPr>
      <w:b/>
      <w:sz w:val="24"/>
    </w:rPr>
  </w:style>
  <w:style w:type="paragraph" w:customStyle="1" w:styleId="TofSectsSection">
    <w:name w:val="TofSects(Section)"/>
    <w:basedOn w:val="OPCParaBase"/>
    <w:rsid w:val="00852F50"/>
    <w:pPr>
      <w:keepLines/>
      <w:spacing w:before="40" w:line="240" w:lineRule="auto"/>
      <w:ind w:left="1588" w:hanging="794"/>
    </w:pPr>
    <w:rPr>
      <w:kern w:val="28"/>
      <w:sz w:val="18"/>
    </w:rPr>
  </w:style>
  <w:style w:type="paragraph" w:customStyle="1" w:styleId="TofSectsSubdiv">
    <w:name w:val="TofSects(Subdiv)"/>
    <w:basedOn w:val="OPCParaBase"/>
    <w:rsid w:val="00852F50"/>
    <w:pPr>
      <w:keepLines/>
      <w:spacing w:before="80" w:line="240" w:lineRule="auto"/>
      <w:ind w:left="1588" w:hanging="794"/>
    </w:pPr>
    <w:rPr>
      <w:kern w:val="28"/>
    </w:rPr>
  </w:style>
  <w:style w:type="paragraph" w:customStyle="1" w:styleId="WRStyle">
    <w:name w:val="WR Style"/>
    <w:aliases w:val="WR"/>
    <w:basedOn w:val="OPCParaBase"/>
    <w:rsid w:val="00852F50"/>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852F50"/>
    <w:pPr>
      <w:spacing w:before="122" w:line="198" w:lineRule="exact"/>
      <w:ind w:left="2353" w:hanging="709"/>
    </w:pPr>
    <w:rPr>
      <w:sz w:val="18"/>
    </w:rPr>
  </w:style>
  <w:style w:type="paragraph" w:styleId="Footer">
    <w:name w:val="footer"/>
    <w:link w:val="FooterChar"/>
    <w:rsid w:val="00852F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2F50"/>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852F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F50"/>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852F50"/>
    <w:pPr>
      <w:spacing w:before="122" w:line="240" w:lineRule="auto"/>
      <w:ind w:left="1985" w:hanging="851"/>
    </w:pPr>
    <w:rPr>
      <w:sz w:val="18"/>
    </w:rPr>
  </w:style>
  <w:style w:type="paragraph" w:customStyle="1" w:styleId="FreeForm">
    <w:name w:val="FreeForm"/>
    <w:rsid w:val="00852F50"/>
    <w:rPr>
      <w:rFonts w:ascii="Arial" w:hAnsi="Arial"/>
      <w:sz w:val="22"/>
    </w:rPr>
  </w:style>
  <w:style w:type="paragraph" w:customStyle="1" w:styleId="SOTextNote">
    <w:name w:val="SO TextNote"/>
    <w:aliases w:val="sont"/>
    <w:basedOn w:val="SOText"/>
    <w:qFormat/>
    <w:rsid w:val="00852F50"/>
    <w:pPr>
      <w:spacing w:before="122" w:line="198" w:lineRule="exact"/>
      <w:ind w:left="1843" w:hanging="709"/>
    </w:pPr>
    <w:rPr>
      <w:sz w:val="18"/>
    </w:rPr>
  </w:style>
  <w:style w:type="paragraph" w:customStyle="1" w:styleId="SOPara">
    <w:name w:val="SO Para"/>
    <w:aliases w:val="soa"/>
    <w:basedOn w:val="SOText"/>
    <w:link w:val="SOParaChar"/>
    <w:qFormat/>
    <w:rsid w:val="00852F50"/>
    <w:pPr>
      <w:tabs>
        <w:tab w:val="right" w:pos="1786"/>
      </w:tabs>
      <w:spacing w:before="40"/>
      <w:ind w:left="2070" w:hanging="936"/>
    </w:pPr>
  </w:style>
  <w:style w:type="character" w:customStyle="1" w:styleId="SOParaChar">
    <w:name w:val="SO Para Char"/>
    <w:aliases w:val="soa Char"/>
    <w:basedOn w:val="DefaultParagraphFont"/>
    <w:link w:val="SOPara"/>
    <w:rsid w:val="00852F50"/>
    <w:rPr>
      <w:sz w:val="22"/>
    </w:rPr>
  </w:style>
  <w:style w:type="paragraph" w:customStyle="1" w:styleId="SOHeadItalic">
    <w:name w:val="SO HeadItalic"/>
    <w:aliases w:val="sohi"/>
    <w:basedOn w:val="SOText"/>
    <w:next w:val="SOText"/>
    <w:link w:val="SOHeadItalicChar"/>
    <w:qFormat/>
    <w:rsid w:val="00852F50"/>
    <w:rPr>
      <w:i/>
    </w:rPr>
  </w:style>
  <w:style w:type="character" w:customStyle="1" w:styleId="SOHeadItalicChar">
    <w:name w:val="SO HeadItalic Char"/>
    <w:aliases w:val="sohi Char"/>
    <w:basedOn w:val="DefaultParagraphFont"/>
    <w:link w:val="SOHeadItalic"/>
    <w:rsid w:val="00852F50"/>
    <w:rPr>
      <w:i/>
      <w:sz w:val="22"/>
    </w:rPr>
  </w:style>
  <w:style w:type="paragraph" w:customStyle="1" w:styleId="SOHeadBold">
    <w:name w:val="SO HeadBold"/>
    <w:aliases w:val="sohb"/>
    <w:basedOn w:val="SOText"/>
    <w:next w:val="SOText"/>
    <w:link w:val="SOHeadBoldChar"/>
    <w:qFormat/>
    <w:rsid w:val="00852F50"/>
    <w:rPr>
      <w:b/>
    </w:rPr>
  </w:style>
  <w:style w:type="character" w:customStyle="1" w:styleId="SOHeadBoldChar">
    <w:name w:val="SO HeadBold Char"/>
    <w:aliases w:val="sohb Char"/>
    <w:basedOn w:val="DefaultParagraphFont"/>
    <w:link w:val="SOHeadBold"/>
    <w:rsid w:val="00852F50"/>
    <w:rPr>
      <w:b/>
      <w:sz w:val="22"/>
    </w:rPr>
  </w:style>
  <w:style w:type="paragraph" w:customStyle="1" w:styleId="SOBulletNote">
    <w:name w:val="SO BulletNote"/>
    <w:aliases w:val="sonb"/>
    <w:basedOn w:val="SOTextNote"/>
    <w:link w:val="SOBulletNoteChar"/>
    <w:qFormat/>
    <w:rsid w:val="00852F50"/>
    <w:pPr>
      <w:tabs>
        <w:tab w:val="left" w:pos="1560"/>
      </w:tabs>
      <w:ind w:left="2268" w:hanging="1134"/>
    </w:pPr>
  </w:style>
  <w:style w:type="character" w:customStyle="1" w:styleId="SOBulletNoteChar">
    <w:name w:val="SO BulletNote Char"/>
    <w:aliases w:val="sonb Char"/>
    <w:basedOn w:val="DefaultParagraphFont"/>
    <w:link w:val="SOBulletNote"/>
    <w:rsid w:val="00852F50"/>
    <w:rPr>
      <w:sz w:val="18"/>
    </w:rPr>
  </w:style>
  <w:style w:type="paragraph" w:customStyle="1" w:styleId="SOBullet">
    <w:name w:val="SO Bullet"/>
    <w:aliases w:val="sotb"/>
    <w:basedOn w:val="SOText"/>
    <w:link w:val="SOBulletChar"/>
    <w:qFormat/>
    <w:rsid w:val="00852F50"/>
    <w:pPr>
      <w:ind w:left="1559" w:hanging="425"/>
    </w:pPr>
  </w:style>
  <w:style w:type="character" w:customStyle="1" w:styleId="SOBulletChar">
    <w:name w:val="SO Bullet Char"/>
    <w:aliases w:val="sotb Char"/>
    <w:basedOn w:val="DefaultParagraphFont"/>
    <w:link w:val="SOBullet"/>
    <w:rsid w:val="00852F50"/>
    <w:rPr>
      <w:sz w:val="22"/>
    </w:rPr>
  </w:style>
  <w:style w:type="paragraph" w:customStyle="1" w:styleId="TableHeading">
    <w:name w:val="TableHeading"/>
    <w:aliases w:val="th"/>
    <w:basedOn w:val="OPCParaBase"/>
    <w:next w:val="Tabletext"/>
    <w:rsid w:val="00852F50"/>
    <w:pPr>
      <w:keepNext/>
      <w:spacing w:before="60" w:line="240" w:lineRule="atLeast"/>
    </w:pPr>
    <w:rPr>
      <w:b/>
      <w:sz w:val="20"/>
    </w:rPr>
  </w:style>
  <w:style w:type="table" w:styleId="TableGrid">
    <w:name w:val="Table Grid"/>
    <w:aliases w:val="Summary box"/>
    <w:basedOn w:val="TableNormal"/>
    <w:uiPriority w:val="59"/>
    <w:rsid w:val="0085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852F50"/>
    <w:rPr>
      <w:i/>
      <w:sz w:val="24"/>
      <w:szCs w:val="24"/>
    </w:rPr>
  </w:style>
  <w:style w:type="paragraph" w:customStyle="1" w:styleId="ENoteTableHeading">
    <w:name w:val="ENoteTableHeading"/>
    <w:aliases w:val="enth"/>
    <w:basedOn w:val="OPCParaBase"/>
    <w:rsid w:val="00852F50"/>
    <w:pPr>
      <w:keepNext/>
      <w:spacing w:before="60" w:line="240" w:lineRule="atLeast"/>
    </w:pPr>
    <w:rPr>
      <w:rFonts w:ascii="Arial" w:hAnsi="Arial"/>
      <w:b/>
      <w:sz w:val="16"/>
    </w:rPr>
  </w:style>
  <w:style w:type="paragraph" w:customStyle="1" w:styleId="ENoteTableText">
    <w:name w:val="ENoteTableText"/>
    <w:aliases w:val="entt"/>
    <w:basedOn w:val="OPCParaBase"/>
    <w:rsid w:val="00852F50"/>
    <w:pPr>
      <w:spacing w:before="60" w:line="240" w:lineRule="atLeast"/>
    </w:pPr>
    <w:rPr>
      <w:sz w:val="16"/>
    </w:rPr>
  </w:style>
  <w:style w:type="paragraph" w:customStyle="1" w:styleId="ENotesHeading1">
    <w:name w:val="ENotesHeading 1"/>
    <w:aliases w:val="Enh1,ENh1"/>
    <w:basedOn w:val="OPCParaBase"/>
    <w:next w:val="Normal"/>
    <w:rsid w:val="00852F50"/>
    <w:pPr>
      <w:spacing w:before="120"/>
      <w:outlineLvl w:val="1"/>
    </w:pPr>
    <w:rPr>
      <w:b/>
      <w:sz w:val="28"/>
      <w:szCs w:val="28"/>
    </w:rPr>
  </w:style>
  <w:style w:type="paragraph" w:customStyle="1" w:styleId="ENotesHeading2">
    <w:name w:val="ENotesHeading 2"/>
    <w:aliases w:val="Enh2,ENh2"/>
    <w:basedOn w:val="OPCParaBase"/>
    <w:next w:val="Normal"/>
    <w:rsid w:val="00852F50"/>
    <w:pPr>
      <w:spacing w:before="120" w:after="120"/>
      <w:outlineLvl w:val="2"/>
    </w:pPr>
    <w:rPr>
      <w:b/>
      <w:sz w:val="24"/>
      <w:szCs w:val="28"/>
    </w:rPr>
  </w:style>
  <w:style w:type="paragraph" w:customStyle="1" w:styleId="MadeunderText">
    <w:name w:val="MadeunderText"/>
    <w:basedOn w:val="OPCParaBase"/>
    <w:next w:val="CompiledMadeUnder"/>
    <w:rsid w:val="00852F50"/>
    <w:pPr>
      <w:spacing w:before="240"/>
    </w:pPr>
    <w:rPr>
      <w:sz w:val="24"/>
      <w:szCs w:val="24"/>
    </w:rPr>
  </w:style>
  <w:style w:type="character" w:customStyle="1" w:styleId="Heading1Char">
    <w:name w:val="Heading 1 Char"/>
    <w:aliases w:val="h1 Char"/>
    <w:basedOn w:val="DefaultParagraphFont"/>
    <w:link w:val="Heading1"/>
    <w:rsid w:val="00797EDB"/>
    <w:rPr>
      <w:rFonts w:ascii="Arial" w:eastAsiaTheme="minorEastAsia" w:hAnsi="Arial" w:cs="Arial"/>
      <w:b/>
      <w:bCs/>
      <w:kern w:val="32"/>
      <w:sz w:val="24"/>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rsid w:val="00797EDB"/>
    <w:rPr>
      <w:rFonts w:ascii="Arial" w:eastAsiaTheme="minorEastAsia" w:hAnsi="Arial" w:cs="Arial"/>
      <w:b/>
      <w:bCs/>
      <w:iCs/>
      <w:sz w:val="24"/>
      <w:szCs w:val="28"/>
    </w:rPr>
  </w:style>
  <w:style w:type="paragraph" w:customStyle="1" w:styleId="HealthLevel1">
    <w:name w:val="Health Level 1"/>
    <w:basedOn w:val="Normal"/>
    <w:link w:val="HealthLevel1Char"/>
    <w:rsid w:val="00797EDB"/>
    <w:pPr>
      <w:tabs>
        <w:tab w:val="left" w:pos="851"/>
      </w:tabs>
      <w:autoSpaceDE w:val="0"/>
      <w:autoSpaceDN w:val="0"/>
      <w:spacing w:before="120" w:line="260" w:lineRule="exact"/>
      <w:ind w:left="851"/>
    </w:pPr>
    <w:rPr>
      <w:rFonts w:eastAsiaTheme="minorEastAsia" w:cs="Times New Roman"/>
      <w:color w:val="000000"/>
      <w:sz w:val="24"/>
      <w:szCs w:val="24"/>
    </w:rPr>
  </w:style>
  <w:style w:type="paragraph" w:customStyle="1" w:styleId="Healthnumlevel2">
    <w:name w:val="Health (num) level 2"/>
    <w:basedOn w:val="Normal"/>
    <w:link w:val="Healthnumlevel2Char"/>
    <w:rsid w:val="00797EDB"/>
    <w:pPr>
      <w:numPr>
        <w:ilvl w:val="2"/>
        <w:numId w:val="14"/>
      </w:numPr>
      <w:autoSpaceDE w:val="0"/>
      <w:autoSpaceDN w:val="0"/>
      <w:spacing w:before="60" w:line="240" w:lineRule="auto"/>
    </w:pPr>
    <w:rPr>
      <w:rFonts w:eastAsiaTheme="minorEastAsia" w:cs="Times New Roman"/>
      <w:color w:val="000000"/>
      <w:sz w:val="24"/>
      <w:szCs w:val="24"/>
    </w:rPr>
  </w:style>
  <w:style w:type="paragraph" w:customStyle="1" w:styleId="HealthnumLevel3">
    <w:name w:val="Health (num) Level 3"/>
    <w:basedOn w:val="Normal"/>
    <w:rsid w:val="00797EDB"/>
    <w:pPr>
      <w:numPr>
        <w:ilvl w:val="3"/>
        <w:numId w:val="14"/>
      </w:numPr>
      <w:autoSpaceDE w:val="0"/>
      <w:autoSpaceDN w:val="0"/>
      <w:spacing w:before="60" w:line="260" w:lineRule="exact"/>
      <w:jc w:val="both"/>
    </w:pPr>
    <w:rPr>
      <w:rFonts w:eastAsiaTheme="minorEastAsia" w:cs="Times New Roman"/>
      <w:color w:val="000000"/>
      <w:sz w:val="24"/>
      <w:szCs w:val="24"/>
    </w:rPr>
  </w:style>
  <w:style w:type="paragraph" w:customStyle="1" w:styleId="HealthnumLevel4">
    <w:name w:val="Health (num) Level 4"/>
    <w:basedOn w:val="Normal"/>
    <w:rsid w:val="00797EDB"/>
    <w:pPr>
      <w:numPr>
        <w:ilvl w:val="4"/>
        <w:numId w:val="14"/>
      </w:numPr>
      <w:autoSpaceDE w:val="0"/>
      <w:autoSpaceDN w:val="0"/>
      <w:spacing w:before="60" w:line="260" w:lineRule="exact"/>
    </w:pPr>
    <w:rPr>
      <w:rFonts w:eastAsiaTheme="minorEastAsia" w:cs="Times New Roman"/>
      <w:sz w:val="24"/>
      <w:szCs w:val="24"/>
    </w:rPr>
  </w:style>
  <w:style w:type="paragraph" w:customStyle="1" w:styleId="HealthnumLevel5">
    <w:name w:val="Health (num) Level 5"/>
    <w:basedOn w:val="Normal"/>
    <w:rsid w:val="00797EDB"/>
    <w:pPr>
      <w:numPr>
        <w:ilvl w:val="5"/>
        <w:numId w:val="14"/>
      </w:numPr>
      <w:autoSpaceDE w:val="0"/>
      <w:autoSpaceDN w:val="0"/>
      <w:spacing w:before="180" w:line="260" w:lineRule="exact"/>
    </w:pPr>
    <w:rPr>
      <w:rFonts w:eastAsiaTheme="minorEastAsia" w:cs="Times New Roman"/>
      <w:sz w:val="24"/>
      <w:szCs w:val="24"/>
    </w:rPr>
  </w:style>
  <w:style w:type="paragraph" w:customStyle="1" w:styleId="HealthnumLevel6">
    <w:name w:val="Health (num) Level 6"/>
    <w:basedOn w:val="Normal"/>
    <w:rsid w:val="00797EDB"/>
    <w:pPr>
      <w:numPr>
        <w:ilvl w:val="6"/>
        <w:numId w:val="14"/>
      </w:numPr>
      <w:autoSpaceDE w:val="0"/>
      <w:autoSpaceDN w:val="0"/>
      <w:spacing w:before="180" w:line="260" w:lineRule="exact"/>
    </w:pPr>
    <w:rPr>
      <w:rFonts w:eastAsiaTheme="minorEastAsia" w:cs="Times New Roman"/>
      <w:sz w:val="24"/>
      <w:szCs w:val="24"/>
    </w:rPr>
  </w:style>
  <w:style w:type="character" w:styleId="Hyperlink">
    <w:name w:val="Hyperlink"/>
    <w:uiPriority w:val="99"/>
    <w:rsid w:val="00797EDB"/>
    <w:rPr>
      <w:color w:val="0000FF"/>
      <w:u w:val="single"/>
    </w:rPr>
  </w:style>
  <w:style w:type="character" w:customStyle="1" w:styleId="Healthnumlevel2Char">
    <w:name w:val="Health (num) level 2 Char"/>
    <w:link w:val="Healthnumlevel2"/>
    <w:rsid w:val="00797EDB"/>
    <w:rPr>
      <w:rFonts w:eastAsiaTheme="minorEastAsia" w:cs="Times New Roman"/>
      <w:color w:val="000000"/>
      <w:sz w:val="24"/>
      <w:szCs w:val="24"/>
    </w:rPr>
  </w:style>
  <w:style w:type="character" w:customStyle="1" w:styleId="HealthLevel1Char">
    <w:name w:val="Health Level 1 Char"/>
    <w:link w:val="HealthLevel1"/>
    <w:rsid w:val="00797EDB"/>
    <w:rPr>
      <w:rFonts w:eastAsiaTheme="minorEastAsia" w:cs="Times New Roman"/>
      <w:color w:val="000000"/>
      <w:sz w:val="24"/>
      <w:szCs w:val="24"/>
    </w:rPr>
  </w:style>
  <w:style w:type="paragraph" w:customStyle="1" w:styleId="tabletext0">
    <w:name w:val="tabletext"/>
    <w:basedOn w:val="Normal"/>
    <w:rsid w:val="00797EDB"/>
    <w:pPr>
      <w:spacing w:before="100" w:beforeAutospacing="1" w:after="100" w:afterAutospacing="1" w:line="240" w:lineRule="auto"/>
    </w:pPr>
    <w:rPr>
      <w:rFonts w:eastAsiaTheme="minorEastAsia" w:cs="Times New Roman"/>
      <w:sz w:val="24"/>
      <w:szCs w:val="24"/>
      <w:lang w:eastAsia="en-AU"/>
    </w:rPr>
  </w:style>
  <w:style w:type="paragraph" w:styleId="TOCHeading">
    <w:name w:val="TOC Heading"/>
    <w:basedOn w:val="Heading1"/>
    <w:next w:val="Normal"/>
    <w:uiPriority w:val="39"/>
    <w:unhideWhenUsed/>
    <w:qFormat/>
    <w:rsid w:val="00797EDB"/>
    <w:pPr>
      <w:keepLines/>
      <w:numPr>
        <w:numId w:val="0"/>
      </w:numPr>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CommentReference">
    <w:name w:val="annotation reference"/>
    <w:basedOn w:val="DefaultParagraphFont"/>
    <w:uiPriority w:val="99"/>
    <w:semiHidden/>
    <w:unhideWhenUsed/>
    <w:rsid w:val="00DE4487"/>
    <w:rPr>
      <w:sz w:val="16"/>
      <w:szCs w:val="16"/>
    </w:rPr>
  </w:style>
  <w:style w:type="paragraph" w:styleId="CommentText">
    <w:name w:val="annotation text"/>
    <w:basedOn w:val="Normal"/>
    <w:link w:val="CommentTextChar"/>
    <w:uiPriority w:val="99"/>
    <w:semiHidden/>
    <w:unhideWhenUsed/>
    <w:rsid w:val="00DE4487"/>
    <w:pPr>
      <w:spacing w:line="240" w:lineRule="auto"/>
    </w:pPr>
    <w:rPr>
      <w:sz w:val="20"/>
    </w:rPr>
  </w:style>
  <w:style w:type="character" w:customStyle="1" w:styleId="CommentTextChar">
    <w:name w:val="Comment Text Char"/>
    <w:basedOn w:val="DefaultParagraphFont"/>
    <w:link w:val="CommentText"/>
    <w:uiPriority w:val="99"/>
    <w:semiHidden/>
    <w:rsid w:val="00DE4487"/>
  </w:style>
  <w:style w:type="paragraph" w:styleId="CommentSubject">
    <w:name w:val="annotation subject"/>
    <w:basedOn w:val="CommentText"/>
    <w:next w:val="CommentText"/>
    <w:link w:val="CommentSubjectChar"/>
    <w:uiPriority w:val="99"/>
    <w:semiHidden/>
    <w:unhideWhenUsed/>
    <w:rsid w:val="00DE4487"/>
    <w:rPr>
      <w:b/>
      <w:bCs/>
    </w:rPr>
  </w:style>
  <w:style w:type="character" w:customStyle="1" w:styleId="CommentSubjectChar">
    <w:name w:val="Comment Subject Char"/>
    <w:basedOn w:val="CommentTextChar"/>
    <w:link w:val="CommentSubject"/>
    <w:uiPriority w:val="99"/>
    <w:semiHidden/>
    <w:rsid w:val="00DE4487"/>
    <w:rPr>
      <w:b/>
      <w:bCs/>
    </w:rPr>
  </w:style>
  <w:style w:type="paragraph" w:customStyle="1" w:styleId="CompiledActNo">
    <w:name w:val="CompiledActNo"/>
    <w:basedOn w:val="OPCParaBase"/>
    <w:next w:val="Normal"/>
    <w:rsid w:val="00852F50"/>
    <w:rPr>
      <w:b/>
      <w:sz w:val="24"/>
      <w:szCs w:val="24"/>
    </w:rPr>
  </w:style>
  <w:style w:type="paragraph" w:customStyle="1" w:styleId="EndNotespara">
    <w:name w:val="EndNotes(para)"/>
    <w:aliases w:val="eta"/>
    <w:basedOn w:val="OPCParaBase"/>
    <w:next w:val="EndNotessubpara"/>
    <w:rsid w:val="00852F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2F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2F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2F50"/>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852F50"/>
    <w:rPr>
      <w:sz w:val="16"/>
    </w:rPr>
  </w:style>
  <w:style w:type="table" w:customStyle="1" w:styleId="CFlag">
    <w:name w:val="CFlag"/>
    <w:basedOn w:val="TableNormal"/>
    <w:uiPriority w:val="99"/>
    <w:rsid w:val="00852F50"/>
    <w:rPr>
      <w:rFonts w:eastAsia="Times New Roman" w:cs="Times New Roman"/>
      <w:lang w:eastAsia="en-AU"/>
    </w:rPr>
    <w:tblPr/>
  </w:style>
  <w:style w:type="paragraph" w:customStyle="1" w:styleId="InstNo">
    <w:name w:val="InstNo"/>
    <w:basedOn w:val="OPCParaBase"/>
    <w:next w:val="Normal"/>
    <w:rsid w:val="00852F50"/>
    <w:rPr>
      <w:b/>
      <w:sz w:val="28"/>
      <w:szCs w:val="32"/>
    </w:rPr>
  </w:style>
  <w:style w:type="paragraph" w:customStyle="1" w:styleId="LegislationMadeUnder">
    <w:name w:val="LegislationMadeUnder"/>
    <w:basedOn w:val="OPCParaBase"/>
    <w:next w:val="Normal"/>
    <w:rsid w:val="00852F50"/>
    <w:rPr>
      <w:i/>
      <w:sz w:val="32"/>
      <w:szCs w:val="32"/>
    </w:rPr>
  </w:style>
  <w:style w:type="paragraph" w:customStyle="1" w:styleId="ActHead10">
    <w:name w:val="ActHead 10"/>
    <w:aliases w:val="sp"/>
    <w:basedOn w:val="OPCParaBase"/>
    <w:next w:val="ActHead3"/>
    <w:rsid w:val="00852F50"/>
    <w:pPr>
      <w:keepNext/>
      <w:spacing w:before="280" w:line="240" w:lineRule="auto"/>
      <w:outlineLvl w:val="1"/>
    </w:pPr>
    <w:rPr>
      <w:b/>
      <w:sz w:val="32"/>
      <w:szCs w:val="30"/>
    </w:rPr>
  </w:style>
  <w:style w:type="paragraph" w:customStyle="1" w:styleId="SignCoverPageEnd">
    <w:name w:val="SignCoverPageEnd"/>
    <w:basedOn w:val="OPCParaBase"/>
    <w:next w:val="Normal"/>
    <w:rsid w:val="00852F5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2F50"/>
    <w:pPr>
      <w:pBdr>
        <w:top w:val="single" w:sz="4" w:space="1" w:color="auto"/>
      </w:pBdr>
      <w:spacing w:before="360"/>
      <w:ind w:right="397"/>
      <w:jc w:val="both"/>
    </w:pPr>
  </w:style>
  <w:style w:type="paragraph" w:customStyle="1" w:styleId="NotesHeading1">
    <w:name w:val="NotesHeading 1"/>
    <w:basedOn w:val="OPCParaBase"/>
    <w:next w:val="Normal"/>
    <w:rsid w:val="00852F50"/>
    <w:pPr>
      <w:outlineLvl w:val="0"/>
    </w:pPr>
    <w:rPr>
      <w:b/>
      <w:sz w:val="28"/>
      <w:szCs w:val="28"/>
    </w:rPr>
  </w:style>
  <w:style w:type="paragraph" w:customStyle="1" w:styleId="NotesHeading2">
    <w:name w:val="NotesHeading 2"/>
    <w:basedOn w:val="OPCParaBase"/>
    <w:next w:val="Normal"/>
    <w:rsid w:val="00852F50"/>
    <w:rPr>
      <w:b/>
      <w:sz w:val="28"/>
      <w:szCs w:val="28"/>
    </w:rPr>
  </w:style>
  <w:style w:type="paragraph" w:customStyle="1" w:styleId="ENotesText">
    <w:name w:val="ENotesText"/>
    <w:aliases w:val="Ent"/>
    <w:basedOn w:val="OPCParaBase"/>
    <w:next w:val="Normal"/>
    <w:rsid w:val="00852F50"/>
    <w:pPr>
      <w:spacing w:before="120"/>
    </w:pPr>
  </w:style>
  <w:style w:type="paragraph" w:customStyle="1" w:styleId="Paragraphsub-sub-sub">
    <w:name w:val="Paragraph(sub-sub-sub)"/>
    <w:aliases w:val="aaaa"/>
    <w:basedOn w:val="OPCParaBase"/>
    <w:rsid w:val="00852F50"/>
    <w:pPr>
      <w:tabs>
        <w:tab w:val="right" w:pos="3402"/>
      </w:tabs>
      <w:spacing w:before="40" w:line="240" w:lineRule="auto"/>
      <w:ind w:left="3402" w:hanging="3402"/>
    </w:pPr>
  </w:style>
  <w:style w:type="paragraph" w:customStyle="1" w:styleId="TableTextEndNotes">
    <w:name w:val="TableTextEndNotes"/>
    <w:aliases w:val="Tten"/>
    <w:basedOn w:val="Normal"/>
    <w:rsid w:val="00852F50"/>
    <w:pPr>
      <w:spacing w:before="60" w:line="240" w:lineRule="auto"/>
    </w:pPr>
    <w:rPr>
      <w:rFonts w:cs="Arial"/>
      <w:sz w:val="20"/>
      <w:szCs w:val="22"/>
    </w:rPr>
  </w:style>
  <w:style w:type="paragraph" w:customStyle="1" w:styleId="NoteToSubpara">
    <w:name w:val="NoteToSubpara"/>
    <w:aliases w:val="nts"/>
    <w:basedOn w:val="OPCParaBase"/>
    <w:rsid w:val="00852F50"/>
    <w:pPr>
      <w:spacing w:before="40" w:line="198" w:lineRule="exact"/>
      <w:ind w:left="2835" w:hanging="709"/>
    </w:pPr>
    <w:rPr>
      <w:sz w:val="18"/>
    </w:rPr>
  </w:style>
  <w:style w:type="paragraph" w:customStyle="1" w:styleId="ENoteTTi">
    <w:name w:val="ENoteTTi"/>
    <w:aliases w:val="entti"/>
    <w:basedOn w:val="OPCParaBase"/>
    <w:rsid w:val="00852F50"/>
    <w:pPr>
      <w:keepNext/>
      <w:spacing w:before="60" w:line="240" w:lineRule="atLeast"/>
      <w:ind w:left="170"/>
    </w:pPr>
    <w:rPr>
      <w:sz w:val="16"/>
    </w:rPr>
  </w:style>
  <w:style w:type="paragraph" w:customStyle="1" w:styleId="ENoteTTIndentHeading">
    <w:name w:val="ENoteTTIndentHeading"/>
    <w:aliases w:val="enTTHi"/>
    <w:basedOn w:val="OPCParaBase"/>
    <w:rsid w:val="00852F50"/>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852F50"/>
    <w:pPr>
      <w:keepNext/>
      <w:spacing w:before="120" w:line="240" w:lineRule="auto"/>
      <w:outlineLvl w:val="4"/>
    </w:pPr>
    <w:rPr>
      <w:b/>
      <w:szCs w:val="24"/>
    </w:rPr>
  </w:style>
  <w:style w:type="paragraph" w:customStyle="1" w:styleId="SubPartCASA">
    <w:name w:val="SubPart(CASA)"/>
    <w:aliases w:val="csp"/>
    <w:basedOn w:val="OPCParaBase"/>
    <w:next w:val="ActHead3"/>
    <w:rsid w:val="00852F50"/>
    <w:pPr>
      <w:keepNext/>
      <w:keepLines/>
      <w:spacing w:before="280"/>
      <w:outlineLvl w:val="1"/>
    </w:pPr>
    <w:rPr>
      <w:b/>
      <w:kern w:val="28"/>
      <w:sz w:val="32"/>
    </w:rPr>
  </w:style>
  <w:style w:type="character" w:customStyle="1" w:styleId="CharSubPartTextCASA">
    <w:name w:val="CharSubPartText(CASA)"/>
    <w:basedOn w:val="OPCCharBase"/>
    <w:uiPriority w:val="1"/>
    <w:rsid w:val="00852F50"/>
  </w:style>
  <w:style w:type="character" w:customStyle="1" w:styleId="CharSubPartNoCASA">
    <w:name w:val="CharSubPartNo(CASA)"/>
    <w:basedOn w:val="OPCCharBase"/>
    <w:uiPriority w:val="1"/>
    <w:rsid w:val="00852F50"/>
  </w:style>
  <w:style w:type="paragraph" w:customStyle="1" w:styleId="ENoteTTIndentHeadingSub">
    <w:name w:val="ENoteTTIndentHeadingSub"/>
    <w:aliases w:val="enTTHis"/>
    <w:basedOn w:val="OPCParaBase"/>
    <w:rsid w:val="00852F50"/>
    <w:pPr>
      <w:keepNext/>
      <w:spacing w:before="60" w:line="240" w:lineRule="atLeast"/>
      <w:ind w:left="340"/>
    </w:pPr>
    <w:rPr>
      <w:b/>
      <w:sz w:val="16"/>
    </w:rPr>
  </w:style>
  <w:style w:type="paragraph" w:customStyle="1" w:styleId="ENoteTTiSub">
    <w:name w:val="ENoteTTiSub"/>
    <w:aliases w:val="enttis"/>
    <w:basedOn w:val="OPCParaBase"/>
    <w:rsid w:val="00852F50"/>
    <w:pPr>
      <w:keepNext/>
      <w:spacing w:before="60" w:line="240" w:lineRule="atLeast"/>
      <w:ind w:left="340"/>
    </w:pPr>
    <w:rPr>
      <w:sz w:val="16"/>
    </w:rPr>
  </w:style>
  <w:style w:type="paragraph" w:customStyle="1" w:styleId="SubDivisionMigration">
    <w:name w:val="SubDivisionMigration"/>
    <w:aliases w:val="sdm"/>
    <w:basedOn w:val="OPCParaBase"/>
    <w:rsid w:val="00852F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2F50"/>
    <w:pPr>
      <w:keepNext/>
      <w:keepLines/>
      <w:spacing w:before="240" w:line="240" w:lineRule="auto"/>
      <w:ind w:left="1134" w:hanging="1134"/>
    </w:pPr>
    <w:rPr>
      <w:b/>
      <w:sz w:val="28"/>
    </w:rPr>
  </w:style>
  <w:style w:type="paragraph" w:customStyle="1" w:styleId="SOText">
    <w:name w:val="SO Text"/>
    <w:aliases w:val="sot"/>
    <w:link w:val="SOTextChar"/>
    <w:rsid w:val="00852F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2F50"/>
    <w:rPr>
      <w:sz w:val="22"/>
    </w:rPr>
  </w:style>
  <w:style w:type="paragraph" w:customStyle="1" w:styleId="FileName">
    <w:name w:val="FileName"/>
    <w:basedOn w:val="Normal"/>
    <w:rsid w:val="00852F50"/>
  </w:style>
  <w:style w:type="paragraph" w:customStyle="1" w:styleId="EnStatement">
    <w:name w:val="EnStatement"/>
    <w:basedOn w:val="Normal"/>
    <w:rsid w:val="00852F50"/>
    <w:pPr>
      <w:numPr>
        <w:numId w:val="20"/>
      </w:numPr>
    </w:pPr>
    <w:rPr>
      <w:rFonts w:eastAsia="Times New Roman" w:cs="Times New Roman"/>
      <w:lang w:eastAsia="en-AU"/>
    </w:rPr>
  </w:style>
  <w:style w:type="paragraph" w:customStyle="1" w:styleId="EnStatementHeading">
    <w:name w:val="EnStatementHeading"/>
    <w:basedOn w:val="Normal"/>
    <w:rsid w:val="00852F50"/>
    <w:rPr>
      <w:rFonts w:eastAsia="Times New Roman" w:cs="Times New Roman"/>
      <w:b/>
      <w:lang w:eastAsia="en-AU"/>
    </w:rPr>
  </w:style>
  <w:style w:type="paragraph" w:customStyle="1" w:styleId="Transitional">
    <w:name w:val="Transitional"/>
    <w:aliases w:val="tr"/>
    <w:basedOn w:val="Normal"/>
    <w:next w:val="Normal"/>
    <w:rsid w:val="00852F50"/>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F138FA"/>
    <w:rPr>
      <w:sz w:val="22"/>
    </w:rPr>
  </w:style>
  <w:style w:type="character" w:customStyle="1" w:styleId="legsubtitle1">
    <w:name w:val="legsubtitle1"/>
    <w:basedOn w:val="DefaultParagraphFont"/>
    <w:rsid w:val="0026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E8C8-5E1B-439A-8710-1F70E92F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15</Pages>
  <Words>2572</Words>
  <Characters>14525</Characters>
  <Application>Microsoft Office Word</Application>
  <DocSecurity>0</DocSecurity>
  <PresentationFormat/>
  <Lines>472</Lines>
  <Paragraphs>243</Paragraphs>
  <ScaleCrop>false</ScaleCrop>
  <HeadingPairs>
    <vt:vector size="2" baseType="variant">
      <vt:variant>
        <vt:lpstr>Title</vt:lpstr>
      </vt:variant>
      <vt:variant>
        <vt:i4>1</vt:i4>
      </vt:variant>
    </vt:vector>
  </HeadingPairs>
  <TitlesOfParts>
    <vt:vector size="1" baseType="lpstr">
      <vt:lpstr>Health Insurance (Section 3C Co-Dependent Pathology Services) Determination 2018</vt:lpstr>
    </vt:vector>
  </TitlesOfParts>
  <Manager/>
  <Company/>
  <LinksUpToDate>false</LinksUpToDate>
  <CharactersWithSpaces>16859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Co-Dependent Pathology Services) Determination 2018</dc:title>
  <dc:subject/>
  <dc:creator/>
  <cp:keywords/>
  <dc:description/>
  <cp:lastModifiedBy/>
  <cp:revision>1</cp:revision>
  <cp:lastPrinted>2019-04-23T04:59:00Z</cp:lastPrinted>
  <dcterms:created xsi:type="dcterms:W3CDTF">2021-11-11T03:37:00Z</dcterms:created>
  <dcterms:modified xsi:type="dcterms:W3CDTF">2021-11-11T03:37:00Z</dcterms:modified>
  <cp:category>Other - Update</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nverted">
    <vt:bool>false</vt:bool>
  </property>
  <property fmtid="{D5CDD505-2E9C-101B-9397-08002B2CF9AE}" pid="5" name="ShortT">
    <vt:lpwstr>Health Insurance (Section 3C Co-Dependent Pathology Services) Determination 2018</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CompilationVersion">
    <vt:i4>3</vt:i4>
  </property>
  <property fmtid="{D5CDD505-2E9C-101B-9397-08002B2CF9AE}" pid="10" name="CompilationNumber">
    <vt:lpwstr>11</vt:lpwstr>
  </property>
  <property fmtid="{D5CDD505-2E9C-101B-9397-08002B2CF9AE}" pid="11" name="StartDate">
    <vt:lpwstr>1 November 2021</vt:lpwstr>
  </property>
  <property fmtid="{D5CDD505-2E9C-101B-9397-08002B2CF9AE}" pid="12" name="IncludesUpTo">
    <vt:lpwstr>F2021L01270</vt:lpwstr>
  </property>
  <property fmtid="{D5CDD505-2E9C-101B-9397-08002B2CF9AE}" pid="13" name="RegisteredDate">
    <vt:lpwstr>11 November 2021</vt:lpwstr>
  </property>
  <property fmtid="{D5CDD505-2E9C-101B-9397-08002B2CF9AE}" pid="14" name="DoNotAsk">
    <vt:lpwstr>0</vt:lpwstr>
  </property>
  <property fmtid="{D5CDD505-2E9C-101B-9397-08002B2CF9AE}" pid="15" name="ChangedTitle">
    <vt:lpwstr/>
  </property>
  <property fmtid="{D5CDD505-2E9C-101B-9397-08002B2CF9AE}" pid="16" name="Actno">
    <vt:lpwstr/>
  </property>
</Properties>
</file>