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27" w:rsidRPr="00470227" w:rsidRDefault="00470227" w:rsidP="0047022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p>
    <w:p w:rsidR="00470227" w:rsidRPr="00AF6D86" w:rsidRDefault="00470227" w:rsidP="0047022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u w:val="single"/>
          <w:lang w:eastAsia="en-AU"/>
        </w:rPr>
      </w:pPr>
      <w:r w:rsidRPr="00AF6D86">
        <w:rPr>
          <w:rFonts w:ascii="Times New Roman" w:eastAsia="Times New Roman" w:hAnsi="Times New Roman" w:cs="Times New Roman"/>
          <w:b/>
          <w:bCs/>
          <w:sz w:val="24"/>
          <w:szCs w:val="24"/>
          <w:u w:val="single"/>
          <w:lang w:eastAsia="en-AU"/>
        </w:rPr>
        <w:t>EXPLANATORY STATEMENT</w:t>
      </w:r>
    </w:p>
    <w:p w:rsidR="00F512ED" w:rsidRPr="009E2B39" w:rsidRDefault="00F512ED" w:rsidP="00F512ED">
      <w:pPr>
        <w:ind w:left="1134" w:hanging="1134"/>
        <w:jc w:val="center"/>
        <w:rPr>
          <w:rFonts w:ascii="Times New Roman" w:hAnsi="Times New Roman" w:cs="Times New Roman"/>
          <w:b/>
          <w:i/>
          <w:sz w:val="24"/>
          <w:szCs w:val="24"/>
        </w:rPr>
      </w:pPr>
      <w:r w:rsidRPr="009E2B39">
        <w:rPr>
          <w:rFonts w:ascii="Times New Roman" w:hAnsi="Times New Roman" w:cs="Times New Roman"/>
          <w:b/>
          <w:i/>
          <w:sz w:val="24"/>
          <w:szCs w:val="24"/>
        </w:rPr>
        <w:t>Therapeutic Goods Act 1989</w:t>
      </w:r>
    </w:p>
    <w:p w:rsidR="004E0D9D" w:rsidRPr="004E0D9D" w:rsidRDefault="004E0D9D" w:rsidP="004E0D9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E0D9D">
        <w:rPr>
          <w:rFonts w:ascii="Times New Roman" w:eastAsia="Times New Roman" w:hAnsi="Times New Roman" w:cs="Times New Roman"/>
          <w:b/>
          <w:bCs/>
          <w:sz w:val="24"/>
          <w:szCs w:val="24"/>
          <w:lang w:eastAsia="en-AU"/>
        </w:rPr>
        <w:t>Therapeutic Goods Order No. 91B - Therapeutic Goods Order No. 91 (Standard for labels of prescription and related medicines) Amendment Order 2018</w:t>
      </w:r>
    </w:p>
    <w:p w:rsidR="00C00025" w:rsidRPr="00AF6D86" w:rsidRDefault="00C00025" w:rsidP="00C00025">
      <w:pPr>
        <w:pStyle w:val="Heading3"/>
        <w:spacing w:before="0"/>
        <w:rPr>
          <w:rFonts w:ascii="Times New Roman" w:hAnsi="Times New Roman" w:cs="Times New Roman"/>
          <w:sz w:val="24"/>
          <w:szCs w:val="24"/>
        </w:rPr>
      </w:pPr>
    </w:p>
    <w:p w:rsidR="00C00025" w:rsidRPr="00AF6D86" w:rsidRDefault="00C00025" w:rsidP="00C00025">
      <w:pPr>
        <w:pStyle w:val="Heading3"/>
        <w:spacing w:before="0"/>
        <w:rPr>
          <w:rFonts w:ascii="Times New Roman" w:hAnsi="Times New Roman" w:cs="Times New Roman"/>
          <w:sz w:val="24"/>
          <w:szCs w:val="24"/>
        </w:rPr>
      </w:pPr>
      <w:r w:rsidRPr="00AF6D86">
        <w:rPr>
          <w:rFonts w:ascii="Times New Roman" w:hAnsi="Times New Roman" w:cs="Times New Roman"/>
          <w:sz w:val="24"/>
          <w:szCs w:val="24"/>
        </w:rPr>
        <w:t>OUTLINE</w:t>
      </w:r>
    </w:p>
    <w:p w:rsidR="00F512ED" w:rsidRPr="00AF6D86" w:rsidRDefault="00F512ED" w:rsidP="00F512ED">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sz w:val="24"/>
          <w:szCs w:val="24"/>
          <w:lang w:eastAsia="en-AU"/>
        </w:rPr>
        <w:t xml:space="preserve">The </w:t>
      </w:r>
      <w:r w:rsidRPr="00AF6D86">
        <w:rPr>
          <w:rFonts w:ascii="Times New Roman" w:eastAsia="Times New Roman" w:hAnsi="Times New Roman" w:cs="Times New Roman"/>
          <w:i/>
          <w:iCs/>
          <w:sz w:val="24"/>
          <w:szCs w:val="24"/>
          <w:lang w:eastAsia="en-AU"/>
        </w:rPr>
        <w:t>Therapeutic Goods Act 1989</w:t>
      </w:r>
      <w:r w:rsidRPr="00AF6D86">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Therapeutic Goods Administration (TGA), which is part of the Department of Health, is responsible for administering the Act.</w:t>
      </w:r>
    </w:p>
    <w:p w:rsidR="00F512ED" w:rsidRPr="00AF6D86" w:rsidRDefault="00F512ED" w:rsidP="00F512ED">
      <w:pPr>
        <w:autoSpaceDE w:val="0"/>
        <w:autoSpaceDN w:val="0"/>
        <w:adjustRightInd w:val="0"/>
        <w:spacing w:before="240" w:after="0" w:line="240" w:lineRule="auto"/>
        <w:rPr>
          <w:rFonts w:ascii="Times New Roman" w:eastAsia="Times New Roman" w:hAnsi="Times New Roman" w:cs="Times New Roman"/>
          <w:sz w:val="24"/>
          <w:szCs w:val="24"/>
          <w:lang w:eastAsia="en-AU"/>
        </w:rPr>
      </w:pPr>
      <w:r w:rsidRPr="00AF6D86">
        <w:rPr>
          <w:rFonts w:ascii="Times New Roman" w:eastAsia="Times New Roman" w:hAnsi="Times New Roman" w:cs="Times New Roman"/>
          <w:sz w:val="24"/>
          <w:szCs w:val="24"/>
          <w:lang w:eastAsia="en-AU"/>
        </w:rPr>
        <w:t xml:space="preserve">Under </w:t>
      </w:r>
      <w:r w:rsidR="00EB3225">
        <w:rPr>
          <w:rFonts w:ascii="Times New Roman" w:eastAsia="Times New Roman" w:hAnsi="Times New Roman" w:cs="Times New Roman"/>
          <w:sz w:val="24"/>
          <w:szCs w:val="24"/>
          <w:lang w:eastAsia="en-AU"/>
        </w:rPr>
        <w:t>sub</w:t>
      </w:r>
      <w:r w:rsidRPr="00AF6D86">
        <w:rPr>
          <w:rFonts w:ascii="Times New Roman" w:eastAsia="Times New Roman" w:hAnsi="Times New Roman" w:cs="Times New Roman"/>
          <w:sz w:val="24"/>
          <w:szCs w:val="24"/>
          <w:lang w:eastAsia="en-AU"/>
        </w:rPr>
        <w:t>section 10</w:t>
      </w:r>
      <w:r w:rsidR="005B528A">
        <w:rPr>
          <w:rFonts w:ascii="Times New Roman" w:eastAsia="Times New Roman" w:hAnsi="Times New Roman" w:cs="Times New Roman"/>
          <w:sz w:val="24"/>
          <w:szCs w:val="24"/>
          <w:lang w:eastAsia="en-AU"/>
        </w:rPr>
        <w:t>(1)</w:t>
      </w:r>
      <w:r w:rsidRPr="00AF6D86">
        <w:rPr>
          <w:rFonts w:ascii="Times New Roman" w:eastAsia="Times New Roman" w:hAnsi="Times New Roman" w:cs="Times New Roman"/>
          <w:sz w:val="24"/>
          <w:szCs w:val="24"/>
          <w:lang w:eastAsia="en-AU"/>
        </w:rPr>
        <w:t xml:space="preserve"> of the Act, the Minister may, by way of a legislative instrument, make an order determining that matters specified in the order constitute a standard for therapeutic goods. </w:t>
      </w:r>
      <w:r w:rsidR="005B528A">
        <w:rPr>
          <w:rFonts w:ascii="Times New Roman" w:eastAsia="Times New Roman" w:hAnsi="Times New Roman" w:cs="Times New Roman"/>
          <w:sz w:val="24"/>
          <w:szCs w:val="24"/>
          <w:lang w:eastAsia="en-AU"/>
        </w:rPr>
        <w:t xml:space="preserve">Under </w:t>
      </w:r>
      <w:r w:rsidR="00516377">
        <w:rPr>
          <w:rFonts w:ascii="Times New Roman" w:eastAsia="Times New Roman" w:hAnsi="Times New Roman" w:cs="Times New Roman"/>
          <w:sz w:val="24"/>
          <w:szCs w:val="24"/>
          <w:lang w:eastAsia="en-AU"/>
        </w:rPr>
        <w:t>sub</w:t>
      </w:r>
      <w:r w:rsidR="005B528A">
        <w:rPr>
          <w:rFonts w:ascii="Times New Roman" w:eastAsia="Times New Roman" w:hAnsi="Times New Roman" w:cs="Times New Roman"/>
          <w:sz w:val="24"/>
          <w:szCs w:val="24"/>
          <w:lang w:eastAsia="en-AU"/>
        </w:rPr>
        <w:t>section 10(2), an order establishing a standard for therapeutic goods may</w:t>
      </w:r>
      <w:r w:rsidR="00516377">
        <w:rPr>
          <w:rFonts w:ascii="Times New Roman" w:eastAsia="Times New Roman" w:hAnsi="Times New Roman" w:cs="Times New Roman"/>
          <w:sz w:val="24"/>
          <w:szCs w:val="24"/>
          <w:lang w:eastAsia="en-AU"/>
        </w:rPr>
        <w:t xml:space="preserve"> require</w:t>
      </w:r>
      <w:r w:rsidR="005B528A">
        <w:rPr>
          <w:rFonts w:ascii="Times New Roman" w:eastAsia="Times New Roman" w:hAnsi="Times New Roman" w:cs="Times New Roman"/>
          <w:sz w:val="24"/>
          <w:szCs w:val="24"/>
          <w:lang w:eastAsia="en-AU"/>
        </w:rPr>
        <w:t xml:space="preserve">, </w:t>
      </w:r>
      <w:r w:rsidR="005B528A">
        <w:rPr>
          <w:rFonts w:ascii="Times New Roman" w:eastAsia="Times New Roman" w:hAnsi="Times New Roman" w:cs="Times New Roman"/>
          <w:i/>
          <w:sz w:val="24"/>
          <w:szCs w:val="24"/>
          <w:lang w:eastAsia="en-AU"/>
        </w:rPr>
        <w:t>inter alia</w:t>
      </w:r>
      <w:r w:rsidR="005B528A">
        <w:rPr>
          <w:rFonts w:ascii="Times New Roman" w:eastAsia="Times New Roman" w:hAnsi="Times New Roman" w:cs="Times New Roman"/>
          <w:sz w:val="24"/>
          <w:szCs w:val="24"/>
          <w:lang w:eastAsia="en-AU"/>
        </w:rPr>
        <w:t xml:space="preserve">, that therapeutic goods or a class of therapeutic goods identified in the order be labelled or packaged in a manner specified in the order.  </w:t>
      </w:r>
      <w:r w:rsidR="004C34FF">
        <w:rPr>
          <w:rFonts w:ascii="Times New Roman" w:eastAsia="Times New Roman" w:hAnsi="Times New Roman" w:cs="Times New Roman"/>
          <w:sz w:val="24"/>
          <w:szCs w:val="24"/>
          <w:lang w:eastAsia="en-AU"/>
        </w:rPr>
        <w:t>Subsection 10(3A) of the Act makes it clear that the Minister may, by legislative instrument, vary or revoke an order made under subsection 10(1).</w:t>
      </w:r>
    </w:p>
    <w:p w:rsidR="004C34FF" w:rsidRDefault="00F512ED" w:rsidP="00C00025">
      <w:pPr>
        <w:autoSpaceDE w:val="0"/>
        <w:autoSpaceDN w:val="0"/>
        <w:adjustRightInd w:val="0"/>
        <w:spacing w:before="240" w:after="0" w:line="240" w:lineRule="auto"/>
        <w:rPr>
          <w:rStyle w:val="CommentReference"/>
          <w:rFonts w:ascii="Times New Roman" w:hAnsi="Times New Roman" w:cs="Times New Roman"/>
          <w:sz w:val="24"/>
          <w:szCs w:val="24"/>
        </w:rPr>
      </w:pPr>
      <w:r w:rsidRPr="00AF6D86">
        <w:rPr>
          <w:rStyle w:val="CommentReference"/>
          <w:rFonts w:ascii="Times New Roman" w:hAnsi="Times New Roman" w:cs="Times New Roman"/>
          <w:i/>
          <w:sz w:val="24"/>
          <w:szCs w:val="24"/>
        </w:rPr>
        <w:t>Therapeutic Goods Order No. 91 - Standard for labels of prescription and related medicines</w:t>
      </w:r>
      <w:r w:rsidR="00EA16BE" w:rsidRPr="00AF6D86">
        <w:rPr>
          <w:rStyle w:val="CommentReference"/>
          <w:rFonts w:ascii="Times New Roman" w:hAnsi="Times New Roman" w:cs="Times New Roman"/>
          <w:i/>
          <w:sz w:val="24"/>
          <w:szCs w:val="24"/>
        </w:rPr>
        <w:t xml:space="preserve"> </w:t>
      </w:r>
      <w:r w:rsidR="00EA16BE" w:rsidRPr="00AF6D86">
        <w:rPr>
          <w:rStyle w:val="CommentReference"/>
          <w:rFonts w:ascii="Times New Roman" w:hAnsi="Times New Roman" w:cs="Times New Roman"/>
          <w:sz w:val="24"/>
          <w:szCs w:val="24"/>
        </w:rPr>
        <w:t>(</w:t>
      </w:r>
      <w:r w:rsidR="00DA22F8" w:rsidRPr="00AF6D86">
        <w:rPr>
          <w:rStyle w:val="CommentReference"/>
          <w:rFonts w:ascii="Times New Roman" w:hAnsi="Times New Roman" w:cs="Times New Roman"/>
          <w:sz w:val="24"/>
          <w:szCs w:val="24"/>
        </w:rPr>
        <w:t>TGO 91</w:t>
      </w:r>
      <w:r w:rsidR="004C34FF">
        <w:rPr>
          <w:rStyle w:val="CommentReference"/>
          <w:rFonts w:ascii="Times New Roman" w:hAnsi="Times New Roman" w:cs="Times New Roman"/>
          <w:sz w:val="24"/>
          <w:szCs w:val="24"/>
        </w:rPr>
        <w:t xml:space="preserve">), which commenced on 31 August 2016, sets out a range of requirements relating to </w:t>
      </w:r>
      <w:r w:rsidR="00C46493">
        <w:rPr>
          <w:rStyle w:val="CommentReference"/>
          <w:rFonts w:ascii="Times New Roman" w:hAnsi="Times New Roman" w:cs="Times New Roman"/>
          <w:sz w:val="24"/>
          <w:szCs w:val="24"/>
        </w:rPr>
        <w:t>the kinds of information to be included on the labels and packaging of mostly prescription medicines, in order to support the quality use of medicines in relation to enabling health practitioners and patients to select health management options wisely, be aware of key information about medicines such as their contents, potency and storage requirements, and to be in a position to use such medicines safely and effectively.</w:t>
      </w:r>
    </w:p>
    <w:p w:rsidR="006D1F20" w:rsidRPr="00AF6D86" w:rsidRDefault="00D47758" w:rsidP="00C46493">
      <w:pPr>
        <w:autoSpaceDE w:val="0"/>
        <w:autoSpaceDN w:val="0"/>
        <w:adjustRightInd w:val="0"/>
        <w:spacing w:before="240" w:after="0" w:line="240" w:lineRule="auto"/>
        <w:rPr>
          <w:rStyle w:val="CommentReference"/>
          <w:rFonts w:ascii="Times New Roman" w:hAnsi="Times New Roman" w:cs="Times New Roman"/>
          <w:sz w:val="24"/>
          <w:szCs w:val="24"/>
        </w:rPr>
      </w:pPr>
      <w:r w:rsidRPr="00D47758">
        <w:rPr>
          <w:rFonts w:ascii="Times New Roman" w:eastAsia="Times New Roman" w:hAnsi="Times New Roman" w:cs="Times New Roman"/>
          <w:i/>
          <w:sz w:val="24"/>
          <w:szCs w:val="24"/>
          <w:lang w:eastAsia="en-AU"/>
        </w:rPr>
        <w:t>Therapeutic Goods Order No. 91B - Therapeutic Goods Order No. 91 (Standard for labels of prescription and related medicines) Amendment Order 2018</w:t>
      </w:r>
      <w:r w:rsidRPr="00D47758">
        <w:rPr>
          <w:rStyle w:val="CommentReference"/>
          <w:rFonts w:ascii="Times New Roman" w:eastAsia="Times New Roman" w:hAnsi="Times New Roman" w:cs="Times New Roman"/>
          <w:i/>
          <w:sz w:val="24"/>
          <w:szCs w:val="24"/>
          <w:lang w:eastAsia="en-AU"/>
        </w:rPr>
        <w:t xml:space="preserve"> </w:t>
      </w:r>
      <w:r w:rsidR="00EA6E76" w:rsidRPr="00AF6D86">
        <w:rPr>
          <w:rStyle w:val="CommentReference"/>
          <w:rFonts w:ascii="Times New Roman" w:hAnsi="Times New Roman" w:cs="Times New Roman"/>
          <w:sz w:val="24"/>
          <w:szCs w:val="24"/>
        </w:rPr>
        <w:t>(</w:t>
      </w:r>
      <w:r w:rsidR="00C427CD" w:rsidRPr="00AF6D86">
        <w:rPr>
          <w:rStyle w:val="CommentReference"/>
          <w:rFonts w:ascii="Times New Roman" w:hAnsi="Times New Roman" w:cs="Times New Roman"/>
          <w:sz w:val="24"/>
          <w:szCs w:val="24"/>
        </w:rPr>
        <w:t xml:space="preserve">this </w:t>
      </w:r>
      <w:r w:rsidR="00425071" w:rsidRPr="00AF6D86">
        <w:rPr>
          <w:rStyle w:val="CommentReference"/>
          <w:rFonts w:ascii="Times New Roman" w:hAnsi="Times New Roman" w:cs="Times New Roman"/>
          <w:sz w:val="24"/>
          <w:szCs w:val="24"/>
        </w:rPr>
        <w:t>Order</w:t>
      </w:r>
      <w:r w:rsidR="00EA6E76" w:rsidRPr="00AF6D86">
        <w:rPr>
          <w:rStyle w:val="CommentReference"/>
          <w:rFonts w:ascii="Times New Roman" w:hAnsi="Times New Roman" w:cs="Times New Roman"/>
          <w:sz w:val="24"/>
          <w:szCs w:val="24"/>
        </w:rPr>
        <w:t>)</w:t>
      </w:r>
      <w:r w:rsidR="00425071" w:rsidRPr="00AF6D86">
        <w:rPr>
          <w:rStyle w:val="CommentReference"/>
          <w:rFonts w:ascii="Times New Roman" w:hAnsi="Times New Roman" w:cs="Times New Roman"/>
          <w:sz w:val="24"/>
          <w:szCs w:val="24"/>
        </w:rPr>
        <w:t xml:space="preserve"> amend</w:t>
      </w:r>
      <w:r w:rsidR="00C427CD" w:rsidRPr="00AF6D86">
        <w:rPr>
          <w:rStyle w:val="CommentReference"/>
          <w:rFonts w:ascii="Times New Roman" w:hAnsi="Times New Roman" w:cs="Times New Roman"/>
          <w:sz w:val="24"/>
          <w:szCs w:val="24"/>
        </w:rPr>
        <w:t>s</w:t>
      </w:r>
      <w:r w:rsidR="00C658A1">
        <w:rPr>
          <w:rStyle w:val="CommentReference"/>
          <w:rFonts w:ascii="Times New Roman" w:hAnsi="Times New Roman" w:cs="Times New Roman"/>
          <w:sz w:val="24"/>
          <w:szCs w:val="24"/>
        </w:rPr>
        <w:t xml:space="preserve"> </w:t>
      </w:r>
      <w:r w:rsidR="0038555F">
        <w:rPr>
          <w:rStyle w:val="CommentReference"/>
          <w:rFonts w:ascii="Times New Roman" w:hAnsi="Times New Roman" w:cs="Times New Roman"/>
          <w:sz w:val="24"/>
          <w:szCs w:val="24"/>
        </w:rPr>
        <w:t>TGO 91</w:t>
      </w:r>
      <w:r w:rsidR="004C34FF">
        <w:rPr>
          <w:rStyle w:val="CommentReference"/>
          <w:rFonts w:ascii="Times New Roman" w:hAnsi="Times New Roman" w:cs="Times New Roman"/>
          <w:sz w:val="24"/>
          <w:szCs w:val="24"/>
        </w:rPr>
        <w:t xml:space="preserve">, principally </w:t>
      </w:r>
      <w:r w:rsidR="000179C1">
        <w:rPr>
          <w:rStyle w:val="CommentReference"/>
          <w:rFonts w:ascii="Times New Roman" w:hAnsi="Times New Roman" w:cs="Times New Roman"/>
          <w:sz w:val="24"/>
          <w:szCs w:val="24"/>
        </w:rPr>
        <w:t>to</w:t>
      </w:r>
      <w:r w:rsidR="00425071" w:rsidRPr="00AF6D86">
        <w:rPr>
          <w:rStyle w:val="CommentReference"/>
          <w:rFonts w:ascii="Times New Roman" w:hAnsi="Times New Roman" w:cs="Times New Roman"/>
          <w:sz w:val="24"/>
          <w:szCs w:val="24"/>
        </w:rPr>
        <w:t xml:space="preserve">: </w:t>
      </w:r>
    </w:p>
    <w:p w:rsidR="00FE02FB" w:rsidRPr="006D1F20" w:rsidRDefault="000179C1" w:rsidP="006D1F20">
      <w:pPr>
        <w:numPr>
          <w:ilvl w:val="0"/>
          <w:numId w:val="8"/>
        </w:numPr>
        <w:tabs>
          <w:tab w:val="left" w:pos="284"/>
        </w:tabs>
        <w:spacing w:after="120" w:line="240" w:lineRule="auto"/>
        <w:ind w:left="567" w:hanging="283"/>
        <w:rPr>
          <w:rFonts w:ascii="Times New Roman" w:eastAsia="Times New Roman" w:hAnsi="Times New Roman" w:cs="Times New Roman"/>
          <w:sz w:val="24"/>
          <w:szCs w:val="24"/>
        </w:rPr>
      </w:pPr>
      <w:r w:rsidRPr="006D1F20">
        <w:rPr>
          <w:rFonts w:ascii="Times New Roman" w:eastAsia="Times New Roman" w:hAnsi="Times New Roman" w:cs="Times New Roman"/>
          <w:sz w:val="24"/>
          <w:szCs w:val="24"/>
        </w:rPr>
        <w:t xml:space="preserve">introduce new mandatory warning statements on the labels of </w:t>
      </w:r>
      <w:r w:rsidR="00FE02FB" w:rsidRPr="006D1F20">
        <w:rPr>
          <w:rFonts w:ascii="Times New Roman" w:eastAsia="Times New Roman" w:hAnsi="Times New Roman" w:cs="Times New Roman"/>
          <w:sz w:val="24"/>
          <w:szCs w:val="24"/>
        </w:rPr>
        <w:t xml:space="preserve">medicines that </w:t>
      </w:r>
      <w:r w:rsidR="00C41E8B">
        <w:rPr>
          <w:rFonts w:ascii="Times New Roman" w:eastAsia="Times New Roman" w:hAnsi="Times New Roman" w:cs="Times New Roman"/>
          <w:sz w:val="24"/>
          <w:szCs w:val="24"/>
        </w:rPr>
        <w:t>contain</w:t>
      </w:r>
      <w:r w:rsidR="00FE02FB" w:rsidRPr="006D1F20">
        <w:rPr>
          <w:rFonts w:ascii="Times New Roman" w:eastAsia="Times New Roman" w:hAnsi="Times New Roman" w:cs="Times New Roman"/>
          <w:sz w:val="24"/>
          <w:szCs w:val="24"/>
        </w:rPr>
        <w:t xml:space="preserve"> neuromuscular blocking agents; and</w:t>
      </w:r>
    </w:p>
    <w:p w:rsidR="000179C1" w:rsidRDefault="00FE02FB" w:rsidP="006D1F20">
      <w:pPr>
        <w:numPr>
          <w:ilvl w:val="0"/>
          <w:numId w:val="8"/>
        </w:numPr>
        <w:tabs>
          <w:tab w:val="left" w:pos="284"/>
        </w:tabs>
        <w:spacing w:after="120" w:line="240" w:lineRule="auto"/>
        <w:ind w:left="567" w:hanging="283"/>
        <w:rPr>
          <w:rFonts w:ascii="Times New Roman" w:eastAsia="Times New Roman" w:hAnsi="Times New Roman" w:cs="Times New Roman"/>
          <w:sz w:val="24"/>
          <w:szCs w:val="24"/>
        </w:rPr>
      </w:pPr>
      <w:proofErr w:type="gramStart"/>
      <w:r w:rsidRPr="006D1F20">
        <w:rPr>
          <w:rFonts w:ascii="Times New Roman" w:eastAsia="Times New Roman" w:hAnsi="Times New Roman" w:cs="Times New Roman"/>
          <w:sz w:val="24"/>
          <w:szCs w:val="24"/>
        </w:rPr>
        <w:t>make</w:t>
      </w:r>
      <w:proofErr w:type="gramEnd"/>
      <w:r w:rsidRPr="006D1F20">
        <w:rPr>
          <w:rFonts w:ascii="Times New Roman" w:eastAsia="Times New Roman" w:hAnsi="Times New Roman" w:cs="Times New Roman"/>
          <w:sz w:val="24"/>
          <w:szCs w:val="24"/>
        </w:rPr>
        <w:t xml:space="preserve"> minor editorial </w:t>
      </w:r>
      <w:r w:rsidR="00E22E24">
        <w:rPr>
          <w:rFonts w:ascii="Times New Roman" w:eastAsia="Times New Roman" w:hAnsi="Times New Roman" w:cs="Times New Roman"/>
          <w:sz w:val="24"/>
          <w:szCs w:val="24"/>
        </w:rPr>
        <w:t>amendments</w:t>
      </w:r>
      <w:r w:rsidR="00484FE0">
        <w:rPr>
          <w:rFonts w:ascii="Times New Roman" w:eastAsia="Times New Roman" w:hAnsi="Times New Roman" w:cs="Times New Roman"/>
          <w:sz w:val="24"/>
          <w:szCs w:val="24"/>
        </w:rPr>
        <w:t>,</w:t>
      </w:r>
      <w:r w:rsidR="005318DA">
        <w:rPr>
          <w:rFonts w:ascii="Times New Roman" w:eastAsia="Times New Roman" w:hAnsi="Times New Roman" w:cs="Times New Roman"/>
          <w:sz w:val="24"/>
          <w:szCs w:val="24"/>
        </w:rPr>
        <w:t xml:space="preserve"> including </w:t>
      </w:r>
      <w:r w:rsidR="00484FE0">
        <w:rPr>
          <w:rFonts w:ascii="Times New Roman" w:eastAsia="Times New Roman" w:hAnsi="Times New Roman" w:cs="Times New Roman"/>
          <w:sz w:val="24"/>
          <w:szCs w:val="24"/>
        </w:rPr>
        <w:t xml:space="preserve">corrections </w:t>
      </w:r>
      <w:r w:rsidRPr="006D1F20">
        <w:rPr>
          <w:rFonts w:ascii="Times New Roman" w:eastAsia="Times New Roman" w:hAnsi="Times New Roman" w:cs="Times New Roman"/>
          <w:sz w:val="24"/>
          <w:szCs w:val="24"/>
        </w:rPr>
        <w:t xml:space="preserve">to </w:t>
      </w:r>
      <w:r w:rsidR="007239A0" w:rsidRPr="006D1F20">
        <w:rPr>
          <w:rFonts w:ascii="Times New Roman" w:eastAsia="Times New Roman" w:hAnsi="Times New Roman" w:cs="Times New Roman"/>
          <w:sz w:val="24"/>
          <w:szCs w:val="24"/>
        </w:rPr>
        <w:t>requirements for composite packs i</w:t>
      </w:r>
      <w:r w:rsidR="00B90440">
        <w:rPr>
          <w:rFonts w:ascii="Times New Roman" w:eastAsia="Times New Roman" w:hAnsi="Times New Roman" w:cs="Times New Roman"/>
          <w:sz w:val="24"/>
          <w:szCs w:val="24"/>
        </w:rPr>
        <w:t xml:space="preserve">n subsection 9(8) of </w:t>
      </w:r>
      <w:r w:rsidR="00E203F3">
        <w:rPr>
          <w:rFonts w:ascii="Times New Roman" w:eastAsia="Times New Roman" w:hAnsi="Times New Roman" w:cs="Times New Roman"/>
          <w:sz w:val="24"/>
          <w:szCs w:val="24"/>
        </w:rPr>
        <w:t>TGO 91</w:t>
      </w:r>
      <w:r w:rsidR="005318DA">
        <w:rPr>
          <w:rFonts w:ascii="Times New Roman" w:eastAsia="Times New Roman" w:hAnsi="Times New Roman" w:cs="Times New Roman"/>
          <w:sz w:val="24"/>
          <w:szCs w:val="24"/>
        </w:rPr>
        <w:t>.</w:t>
      </w:r>
      <w:r w:rsidR="00B90440">
        <w:rPr>
          <w:rFonts w:ascii="Times New Roman" w:eastAsia="Times New Roman" w:hAnsi="Times New Roman" w:cs="Times New Roman"/>
          <w:sz w:val="24"/>
          <w:szCs w:val="24"/>
        </w:rPr>
        <w:t xml:space="preserve"> </w:t>
      </w:r>
    </w:p>
    <w:p w:rsidR="00F21B4E" w:rsidRPr="00AF6D86" w:rsidRDefault="00A100F0" w:rsidP="00A100F0">
      <w:pPr>
        <w:shd w:val="clear" w:color="auto" w:fill="FFFFFF"/>
        <w:spacing w:before="100" w:beforeAutospacing="1" w:after="120" w:line="240" w:lineRule="auto"/>
        <w:rPr>
          <w:rFonts w:ascii="Times New Roman" w:hAnsi="Times New Roman" w:cs="Times New Roman"/>
          <w:sz w:val="24"/>
          <w:szCs w:val="24"/>
        </w:rPr>
      </w:pPr>
      <w:r w:rsidRPr="00AF6D86">
        <w:rPr>
          <w:rFonts w:ascii="Times New Roman" w:hAnsi="Times New Roman" w:cs="Times New Roman"/>
          <w:sz w:val="24"/>
          <w:szCs w:val="24"/>
        </w:rPr>
        <w:t>This Order</w:t>
      </w:r>
      <w:r w:rsidR="00EA16BE" w:rsidRPr="00AF6D86">
        <w:rPr>
          <w:rFonts w:ascii="Times New Roman" w:hAnsi="Times New Roman" w:cs="Times New Roman"/>
          <w:sz w:val="24"/>
          <w:szCs w:val="24"/>
        </w:rPr>
        <w:t xml:space="preserve"> </w:t>
      </w:r>
      <w:r w:rsidRPr="00AF6D86">
        <w:rPr>
          <w:rFonts w:ascii="Times New Roman" w:hAnsi="Times New Roman" w:cs="Times New Roman"/>
          <w:sz w:val="24"/>
          <w:szCs w:val="24"/>
        </w:rPr>
        <w:t>commence</w:t>
      </w:r>
      <w:r w:rsidR="00D23887">
        <w:rPr>
          <w:rFonts w:ascii="Times New Roman" w:hAnsi="Times New Roman" w:cs="Times New Roman"/>
          <w:sz w:val="24"/>
          <w:szCs w:val="24"/>
        </w:rPr>
        <w:t>d</w:t>
      </w:r>
      <w:r w:rsidR="005B528A">
        <w:rPr>
          <w:rFonts w:ascii="Times New Roman" w:hAnsi="Times New Roman" w:cs="Times New Roman"/>
          <w:sz w:val="24"/>
          <w:szCs w:val="24"/>
        </w:rPr>
        <w:t xml:space="preserve"> on </w:t>
      </w:r>
      <w:r w:rsidR="009E2B39">
        <w:rPr>
          <w:rFonts w:ascii="Times New Roman" w:hAnsi="Times New Roman" w:cs="Times New Roman"/>
          <w:sz w:val="24"/>
          <w:szCs w:val="24"/>
        </w:rPr>
        <w:t>2</w:t>
      </w:r>
      <w:r w:rsidR="005B528A">
        <w:rPr>
          <w:rFonts w:ascii="Times New Roman" w:hAnsi="Times New Roman" w:cs="Times New Roman"/>
          <w:sz w:val="24"/>
          <w:szCs w:val="24"/>
        </w:rPr>
        <w:t xml:space="preserve"> July 2018. </w:t>
      </w:r>
    </w:p>
    <w:p w:rsidR="00F84DB3" w:rsidRPr="009C58E7" w:rsidRDefault="005B528A" w:rsidP="009C58E7">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TGO 91</w:t>
      </w:r>
      <w:r w:rsidR="006A20B4">
        <w:rPr>
          <w:rFonts w:ascii="Times New Roman" w:eastAsia="Times New Roman" w:hAnsi="Times New Roman" w:cs="Times New Roman"/>
          <w:sz w:val="24"/>
          <w:szCs w:val="24"/>
          <w:lang w:eastAsia="en-AU"/>
        </w:rPr>
        <w:t xml:space="preserve"> </w:t>
      </w:r>
      <w:r w:rsidR="003E264C">
        <w:rPr>
          <w:rFonts w:ascii="Times New Roman" w:eastAsia="Times New Roman" w:hAnsi="Times New Roman" w:cs="Times New Roman"/>
          <w:sz w:val="24"/>
          <w:szCs w:val="24"/>
          <w:lang w:eastAsia="en-AU"/>
        </w:rPr>
        <w:t xml:space="preserve">is </w:t>
      </w:r>
      <w:r w:rsidR="00A42A58" w:rsidRPr="00AF6D86">
        <w:rPr>
          <w:rFonts w:ascii="Times New Roman" w:hAnsi="Times New Roman" w:cs="Times New Roman"/>
          <w:sz w:val="24"/>
          <w:szCs w:val="24"/>
        </w:rPr>
        <w:t xml:space="preserve">intended to replace </w:t>
      </w:r>
      <w:r w:rsidR="00D7225E" w:rsidRPr="00D7225E">
        <w:rPr>
          <w:rFonts w:ascii="Times New Roman" w:hAnsi="Times New Roman" w:cs="Times New Roman"/>
          <w:i/>
          <w:sz w:val="24"/>
          <w:szCs w:val="24"/>
        </w:rPr>
        <w:t>Therapeutic Goods Order No. 69 – General Requirements for Labels for Medicines 2017</w:t>
      </w:r>
      <w:r w:rsidR="00D7225E">
        <w:rPr>
          <w:rFonts w:ascii="Times New Roman" w:hAnsi="Times New Roman" w:cs="Times New Roman"/>
          <w:sz w:val="24"/>
          <w:szCs w:val="24"/>
        </w:rPr>
        <w:t xml:space="preserve"> (</w:t>
      </w:r>
      <w:r w:rsidR="00C331C2">
        <w:rPr>
          <w:rFonts w:ascii="Times New Roman" w:hAnsi="Times New Roman" w:cs="Times New Roman"/>
          <w:sz w:val="24"/>
          <w:szCs w:val="24"/>
        </w:rPr>
        <w:t>TGO 69</w:t>
      </w:r>
      <w:r w:rsidR="00D7225E">
        <w:rPr>
          <w:rFonts w:ascii="Times New Roman" w:hAnsi="Times New Roman" w:cs="Times New Roman"/>
          <w:sz w:val="24"/>
          <w:szCs w:val="24"/>
        </w:rPr>
        <w:t xml:space="preserve">, Register ID: </w:t>
      </w:r>
      <w:r w:rsidR="00D7225E" w:rsidRPr="00D7225E">
        <w:rPr>
          <w:rFonts w:ascii="Times New Roman" w:hAnsi="Times New Roman" w:cs="Times New Roman"/>
          <w:sz w:val="24"/>
          <w:szCs w:val="24"/>
        </w:rPr>
        <w:t>F2017L00865</w:t>
      </w:r>
      <w:r w:rsidR="00D7225E">
        <w:rPr>
          <w:rFonts w:ascii="Times New Roman" w:hAnsi="Times New Roman" w:cs="Times New Roman"/>
          <w:sz w:val="24"/>
          <w:szCs w:val="24"/>
        </w:rPr>
        <w:t>)</w:t>
      </w:r>
      <w:r w:rsidR="00EA16BE" w:rsidRPr="00AF6D86">
        <w:rPr>
          <w:rStyle w:val="CommentReference"/>
          <w:rFonts w:ascii="Times New Roman" w:hAnsi="Times New Roman" w:cs="Times New Roman"/>
          <w:sz w:val="24"/>
          <w:szCs w:val="24"/>
        </w:rPr>
        <w:t xml:space="preserve"> </w:t>
      </w:r>
      <w:r w:rsidR="00A42A58" w:rsidRPr="00AF6D86">
        <w:rPr>
          <w:rFonts w:ascii="Times New Roman" w:hAnsi="Times New Roman" w:cs="Times New Roman"/>
          <w:sz w:val="24"/>
          <w:szCs w:val="24"/>
        </w:rPr>
        <w:t xml:space="preserve">at the end of the transition </w:t>
      </w:r>
      <w:r w:rsidR="00FF6883" w:rsidRPr="00AF6D86">
        <w:rPr>
          <w:rFonts w:ascii="Times New Roman" w:hAnsi="Times New Roman" w:cs="Times New Roman"/>
          <w:sz w:val="24"/>
          <w:szCs w:val="24"/>
        </w:rPr>
        <w:t xml:space="preserve">period (1 September 2020) that was provided when </w:t>
      </w:r>
      <w:r w:rsidR="00E43E72">
        <w:rPr>
          <w:rFonts w:ascii="Times New Roman" w:hAnsi="Times New Roman" w:cs="Times New Roman"/>
          <w:sz w:val="24"/>
          <w:szCs w:val="24"/>
        </w:rPr>
        <w:t>TGO 91</w:t>
      </w:r>
      <w:r w:rsidR="003E264C">
        <w:rPr>
          <w:rFonts w:ascii="Times New Roman" w:hAnsi="Times New Roman" w:cs="Times New Roman"/>
          <w:sz w:val="24"/>
          <w:szCs w:val="24"/>
        </w:rPr>
        <w:t xml:space="preserve"> </w:t>
      </w:r>
      <w:r w:rsidR="00FF6883" w:rsidRPr="00AF6D86">
        <w:rPr>
          <w:rFonts w:ascii="Times New Roman" w:hAnsi="Times New Roman" w:cs="Times New Roman"/>
          <w:sz w:val="24"/>
          <w:szCs w:val="24"/>
        </w:rPr>
        <w:t>commenced.</w:t>
      </w:r>
      <w:r w:rsidR="00434F99" w:rsidRPr="00AF6D86">
        <w:rPr>
          <w:rFonts w:ascii="Times New Roman" w:hAnsi="Times New Roman" w:cs="Times New Roman"/>
          <w:sz w:val="24"/>
          <w:szCs w:val="24"/>
        </w:rPr>
        <w:t xml:space="preserve"> </w:t>
      </w:r>
      <w:r w:rsidR="00434F99" w:rsidRPr="00AF6D86">
        <w:rPr>
          <w:rFonts w:ascii="Times New Roman" w:eastAsia="Times New Roman" w:hAnsi="Times New Roman" w:cs="Times New Roman"/>
          <w:sz w:val="24"/>
          <w:szCs w:val="24"/>
          <w:lang w:eastAsia="en-AU"/>
        </w:rPr>
        <w:t>During th</w:t>
      </w:r>
      <w:r w:rsidR="0062483F" w:rsidRPr="00AF6D86">
        <w:rPr>
          <w:rFonts w:ascii="Times New Roman" w:eastAsia="Times New Roman" w:hAnsi="Times New Roman" w:cs="Times New Roman"/>
          <w:sz w:val="24"/>
          <w:szCs w:val="24"/>
          <w:lang w:eastAsia="en-AU"/>
        </w:rPr>
        <w:t>e transition period</w:t>
      </w:r>
      <w:r w:rsidR="00434F99" w:rsidRPr="00AF6D86">
        <w:rPr>
          <w:rFonts w:ascii="Times New Roman" w:eastAsia="Times New Roman" w:hAnsi="Times New Roman" w:cs="Times New Roman"/>
          <w:sz w:val="24"/>
          <w:szCs w:val="24"/>
          <w:lang w:eastAsia="en-AU"/>
        </w:rPr>
        <w:t xml:space="preserve">, sponsors </w:t>
      </w:r>
      <w:r w:rsidR="004C34FF">
        <w:rPr>
          <w:rFonts w:ascii="Times New Roman" w:eastAsia="Times New Roman" w:hAnsi="Times New Roman" w:cs="Times New Roman"/>
          <w:sz w:val="24"/>
          <w:szCs w:val="24"/>
          <w:lang w:eastAsia="en-AU"/>
        </w:rPr>
        <w:t>of medicines to which these two instruments apply</w:t>
      </w:r>
      <w:r w:rsidR="00434F99" w:rsidRPr="00AF6D86">
        <w:rPr>
          <w:rFonts w:ascii="Times New Roman" w:eastAsia="Times New Roman" w:hAnsi="Times New Roman" w:cs="Times New Roman"/>
          <w:sz w:val="24"/>
          <w:szCs w:val="24"/>
          <w:lang w:eastAsia="en-AU"/>
        </w:rPr>
        <w:t xml:space="preserve"> </w:t>
      </w:r>
      <w:r w:rsidR="004C34FF">
        <w:rPr>
          <w:rFonts w:ascii="Times New Roman" w:eastAsia="Times New Roman" w:hAnsi="Times New Roman" w:cs="Times New Roman"/>
          <w:sz w:val="24"/>
          <w:szCs w:val="24"/>
          <w:lang w:eastAsia="en-AU"/>
        </w:rPr>
        <w:t xml:space="preserve">are able to elect to </w:t>
      </w:r>
      <w:r w:rsidR="00434F99" w:rsidRPr="00AF6D86">
        <w:rPr>
          <w:rFonts w:ascii="Times New Roman" w:eastAsia="Times New Roman" w:hAnsi="Times New Roman" w:cs="Times New Roman"/>
          <w:sz w:val="24"/>
          <w:szCs w:val="24"/>
          <w:lang w:eastAsia="en-AU"/>
        </w:rPr>
        <w:t>choose between complying with th</w:t>
      </w:r>
      <w:r w:rsidR="003E264C">
        <w:rPr>
          <w:rFonts w:ascii="Times New Roman" w:eastAsia="Times New Roman" w:hAnsi="Times New Roman" w:cs="Times New Roman"/>
          <w:sz w:val="24"/>
          <w:szCs w:val="24"/>
          <w:lang w:eastAsia="en-AU"/>
        </w:rPr>
        <w:t xml:space="preserve">e requirements of </w:t>
      </w:r>
      <w:r w:rsidR="003D4FB7">
        <w:rPr>
          <w:rFonts w:ascii="Times New Roman" w:eastAsia="Times New Roman" w:hAnsi="Times New Roman" w:cs="Times New Roman"/>
          <w:sz w:val="24"/>
          <w:szCs w:val="24"/>
          <w:lang w:eastAsia="en-AU"/>
        </w:rPr>
        <w:t xml:space="preserve">either </w:t>
      </w:r>
      <w:r w:rsidR="00D7225E">
        <w:rPr>
          <w:rFonts w:ascii="Times New Roman" w:eastAsia="Times New Roman" w:hAnsi="Times New Roman" w:cs="Times New Roman"/>
          <w:sz w:val="24"/>
          <w:szCs w:val="24"/>
          <w:lang w:eastAsia="en-AU"/>
        </w:rPr>
        <w:t>TGO 69</w:t>
      </w:r>
      <w:r w:rsidR="00434F99" w:rsidRPr="00AF6D86">
        <w:rPr>
          <w:rFonts w:ascii="Times New Roman" w:eastAsia="Times New Roman" w:hAnsi="Times New Roman" w:cs="Times New Roman"/>
          <w:sz w:val="24"/>
          <w:szCs w:val="24"/>
          <w:lang w:eastAsia="en-AU"/>
        </w:rPr>
        <w:t xml:space="preserve"> or </w:t>
      </w:r>
      <w:r w:rsidR="00E43E72">
        <w:rPr>
          <w:rFonts w:ascii="Times New Roman" w:eastAsia="Times New Roman" w:hAnsi="Times New Roman" w:cs="Times New Roman"/>
          <w:sz w:val="24"/>
          <w:szCs w:val="24"/>
          <w:lang w:eastAsia="en-AU"/>
        </w:rPr>
        <w:t>TGO 91</w:t>
      </w:r>
      <w:r w:rsidR="00434F99" w:rsidRPr="00AF6D86">
        <w:rPr>
          <w:rFonts w:ascii="Times New Roman" w:eastAsia="Times New Roman" w:hAnsi="Times New Roman" w:cs="Times New Roman"/>
          <w:sz w:val="24"/>
          <w:szCs w:val="24"/>
          <w:lang w:eastAsia="en-AU"/>
        </w:rPr>
        <w:t>.</w:t>
      </w:r>
      <w:r w:rsidR="00A51B09">
        <w:rPr>
          <w:rFonts w:ascii="Times New Roman" w:eastAsia="Times New Roman" w:hAnsi="Times New Roman" w:cs="Times New Roman"/>
          <w:sz w:val="24"/>
          <w:szCs w:val="24"/>
          <w:lang w:eastAsia="en-AU"/>
        </w:rPr>
        <w:t xml:space="preserve"> </w:t>
      </w:r>
      <w:r w:rsidR="00E43E72">
        <w:rPr>
          <w:rFonts w:ascii="Times New Roman" w:eastAsia="Times New Roman" w:hAnsi="Times New Roman" w:cs="Times New Roman"/>
          <w:sz w:val="24"/>
          <w:szCs w:val="24"/>
          <w:lang w:eastAsia="en-AU"/>
        </w:rPr>
        <w:t xml:space="preserve">This </w:t>
      </w:r>
      <w:r w:rsidR="00E43E72">
        <w:rPr>
          <w:rFonts w:ascii="Times New Roman" w:eastAsia="Times New Roman" w:hAnsi="Times New Roman" w:cs="Times New Roman"/>
          <w:sz w:val="24"/>
          <w:szCs w:val="24"/>
          <w:lang w:eastAsia="en-AU"/>
        </w:rPr>
        <w:lastRenderedPageBreak/>
        <w:t xml:space="preserve">Order only amends TGO 91, not </w:t>
      </w:r>
      <w:r w:rsidR="001F1595">
        <w:rPr>
          <w:rFonts w:ascii="Times New Roman" w:eastAsia="Times New Roman" w:hAnsi="Times New Roman" w:cs="Times New Roman"/>
          <w:sz w:val="24"/>
          <w:szCs w:val="24"/>
          <w:lang w:eastAsia="en-AU"/>
        </w:rPr>
        <w:t>TGO </w:t>
      </w:r>
      <w:r w:rsidR="00A51B09">
        <w:rPr>
          <w:rFonts w:ascii="Times New Roman" w:eastAsia="Times New Roman" w:hAnsi="Times New Roman" w:cs="Times New Roman"/>
          <w:sz w:val="24"/>
          <w:szCs w:val="24"/>
          <w:lang w:eastAsia="en-AU"/>
        </w:rPr>
        <w:t>69</w:t>
      </w:r>
      <w:r w:rsidR="00D7225E">
        <w:rPr>
          <w:rFonts w:ascii="Times New Roman" w:eastAsia="Times New Roman" w:hAnsi="Times New Roman" w:cs="Times New Roman"/>
          <w:sz w:val="24"/>
          <w:szCs w:val="24"/>
          <w:lang w:eastAsia="en-AU"/>
        </w:rPr>
        <w:t xml:space="preserve">, </w:t>
      </w:r>
      <w:r w:rsidR="00D34919">
        <w:rPr>
          <w:rFonts w:ascii="Times New Roman" w:eastAsia="Times New Roman" w:hAnsi="Times New Roman" w:cs="Times New Roman"/>
          <w:sz w:val="24"/>
          <w:szCs w:val="24"/>
          <w:lang w:eastAsia="en-AU"/>
        </w:rPr>
        <w:t xml:space="preserve">therefore </w:t>
      </w:r>
      <w:r w:rsidR="00A51B09">
        <w:rPr>
          <w:rFonts w:ascii="Times New Roman" w:eastAsia="Times New Roman" w:hAnsi="Times New Roman" w:cs="Times New Roman"/>
          <w:sz w:val="24"/>
          <w:szCs w:val="24"/>
          <w:lang w:eastAsia="en-AU"/>
        </w:rPr>
        <w:t xml:space="preserve">providing </w:t>
      </w:r>
      <w:r w:rsidR="00067B07">
        <w:rPr>
          <w:rFonts w:ascii="Times New Roman" w:eastAsia="Times New Roman" w:hAnsi="Times New Roman" w:cs="Times New Roman"/>
          <w:sz w:val="24"/>
          <w:szCs w:val="24"/>
          <w:lang w:eastAsia="en-AU"/>
        </w:rPr>
        <w:t xml:space="preserve">a </w:t>
      </w:r>
      <w:r w:rsidR="009C58E7">
        <w:rPr>
          <w:rFonts w:ascii="Times New Roman" w:eastAsia="Times New Roman" w:hAnsi="Times New Roman" w:cs="Times New Roman"/>
          <w:sz w:val="24"/>
          <w:szCs w:val="24"/>
          <w:lang w:eastAsia="en-AU"/>
        </w:rPr>
        <w:t>26 month</w:t>
      </w:r>
      <w:r w:rsidR="00A51B09">
        <w:rPr>
          <w:rFonts w:ascii="Times New Roman" w:eastAsia="Times New Roman" w:hAnsi="Times New Roman" w:cs="Times New Roman"/>
          <w:sz w:val="24"/>
          <w:szCs w:val="24"/>
          <w:lang w:eastAsia="en-AU"/>
        </w:rPr>
        <w:t xml:space="preserve"> transition period for these new requirements</w:t>
      </w:r>
      <w:r w:rsidR="00E43E72">
        <w:rPr>
          <w:rFonts w:ascii="Times New Roman" w:eastAsia="Times New Roman" w:hAnsi="Times New Roman" w:cs="Times New Roman"/>
          <w:sz w:val="24"/>
          <w:szCs w:val="24"/>
          <w:lang w:eastAsia="en-AU"/>
        </w:rPr>
        <w:t xml:space="preserve"> relating to </w:t>
      </w:r>
      <w:r w:rsidR="004C34FF">
        <w:rPr>
          <w:rFonts w:ascii="Times New Roman" w:eastAsia="Times New Roman" w:hAnsi="Times New Roman" w:cs="Times New Roman"/>
          <w:sz w:val="24"/>
          <w:szCs w:val="24"/>
          <w:lang w:eastAsia="en-AU"/>
        </w:rPr>
        <w:t xml:space="preserve">medicines containing </w:t>
      </w:r>
      <w:r w:rsidR="00E43E72">
        <w:rPr>
          <w:rFonts w:ascii="Times New Roman" w:eastAsia="Times New Roman" w:hAnsi="Times New Roman" w:cs="Times New Roman"/>
          <w:sz w:val="24"/>
          <w:szCs w:val="24"/>
          <w:lang w:eastAsia="en-AU"/>
        </w:rPr>
        <w:t>neuromuscular blocking agents</w:t>
      </w:r>
      <w:r w:rsidR="00A51B09">
        <w:rPr>
          <w:rFonts w:ascii="Times New Roman" w:eastAsia="Times New Roman" w:hAnsi="Times New Roman" w:cs="Times New Roman"/>
          <w:sz w:val="24"/>
          <w:szCs w:val="24"/>
          <w:lang w:eastAsia="en-AU"/>
        </w:rPr>
        <w:t>.</w:t>
      </w:r>
      <w:r w:rsidR="009C58E7">
        <w:rPr>
          <w:rFonts w:ascii="Times New Roman" w:eastAsia="Times New Roman" w:hAnsi="Times New Roman" w:cs="Times New Roman"/>
          <w:sz w:val="24"/>
          <w:szCs w:val="24"/>
          <w:lang w:eastAsia="en-AU"/>
        </w:rPr>
        <w:br/>
      </w:r>
    </w:p>
    <w:p w:rsidR="006C4A3B" w:rsidRPr="00AF6D86" w:rsidRDefault="006C4A3B" w:rsidP="006C4A3B">
      <w:pPr>
        <w:pStyle w:val="Heading3"/>
        <w:spacing w:before="0"/>
        <w:rPr>
          <w:rFonts w:ascii="Times New Roman" w:hAnsi="Times New Roman" w:cs="Times New Roman"/>
          <w:sz w:val="24"/>
          <w:szCs w:val="24"/>
        </w:rPr>
      </w:pPr>
      <w:r w:rsidRPr="00AF6D86">
        <w:rPr>
          <w:rFonts w:ascii="Times New Roman" w:hAnsi="Times New Roman" w:cs="Times New Roman"/>
          <w:sz w:val="24"/>
          <w:szCs w:val="24"/>
        </w:rPr>
        <w:t>BACKGROUND</w:t>
      </w:r>
    </w:p>
    <w:p w:rsidR="00F84DB3" w:rsidRPr="00AF6D86" w:rsidRDefault="00F84DB3" w:rsidP="00F84DB3">
      <w:pPr>
        <w:autoSpaceDE w:val="0"/>
        <w:autoSpaceDN w:val="0"/>
        <w:adjustRightInd w:val="0"/>
        <w:spacing w:before="240" w:after="0" w:line="240" w:lineRule="auto"/>
        <w:rPr>
          <w:rFonts w:ascii="Times New Roman" w:hAnsi="Times New Roman" w:cs="Times New Roman"/>
          <w:sz w:val="24"/>
          <w:szCs w:val="24"/>
        </w:rPr>
      </w:pPr>
      <w:r w:rsidRPr="00AF6D86">
        <w:rPr>
          <w:rFonts w:ascii="Times New Roman" w:hAnsi="Times New Roman" w:cs="Times New Roman"/>
          <w:sz w:val="24"/>
          <w:szCs w:val="24"/>
        </w:rPr>
        <w:t xml:space="preserve">Standards made under section 10 of the Act may relate to any matter relevant to the quality, safety or efficacy of a medicine, and generally, a medicine must not be imported, exported or supplied if it does not conform to an applicable standard. </w:t>
      </w:r>
      <w:r w:rsidR="00C1399F" w:rsidRPr="00AF6D86">
        <w:rPr>
          <w:rFonts w:ascii="Times New Roman" w:hAnsi="Times New Roman" w:cs="Times New Roman"/>
          <w:sz w:val="24"/>
          <w:szCs w:val="24"/>
        </w:rPr>
        <w:t xml:space="preserve"> </w:t>
      </w:r>
      <w:r w:rsidRPr="00AF6D86">
        <w:rPr>
          <w:rFonts w:ascii="Times New Roman" w:hAnsi="Times New Roman" w:cs="Times New Roman"/>
          <w:sz w:val="24"/>
          <w:szCs w:val="24"/>
        </w:rPr>
        <w:t>Paragraph (c) of subsection 10(2) of the Act states that an Order establishing a standard for therapeutic goods may require that therapeutic goods, or a class of therapeutic goods identified in the Order, be labelled or packaged in a manner, or kept in containers that comply with requirements, specified in the Order.</w:t>
      </w:r>
    </w:p>
    <w:p w:rsidR="00E43E72" w:rsidRDefault="00F84DB3" w:rsidP="00F84DB3">
      <w:pPr>
        <w:autoSpaceDE w:val="0"/>
        <w:autoSpaceDN w:val="0"/>
        <w:adjustRightInd w:val="0"/>
        <w:spacing w:before="240" w:after="0" w:line="240" w:lineRule="auto"/>
        <w:rPr>
          <w:rFonts w:ascii="Times New Roman" w:eastAsia="Times New Roman" w:hAnsi="Times New Roman" w:cs="Times New Roman"/>
          <w:sz w:val="24"/>
          <w:szCs w:val="24"/>
          <w:lang w:eastAsia="en-AU"/>
        </w:rPr>
      </w:pPr>
      <w:r w:rsidRPr="00AF6D86">
        <w:rPr>
          <w:rFonts w:ascii="Times New Roman" w:eastAsia="Times New Roman" w:hAnsi="Times New Roman" w:cs="Times New Roman"/>
          <w:sz w:val="24"/>
          <w:szCs w:val="24"/>
          <w:lang w:eastAsia="en-AU"/>
        </w:rPr>
        <w:t xml:space="preserve">TGO 91 mandates information that must be on labels of prescription and related medicines and the format and placement in which it must be presented, to contribute to the quality use of medicines by Australian consumers and healthcare professionals. </w:t>
      </w:r>
      <w:r w:rsidRPr="00AF6D86">
        <w:rPr>
          <w:rFonts w:ascii="Times New Roman" w:eastAsia="Cambria" w:hAnsi="Times New Roman" w:cs="Times New Roman"/>
          <w:sz w:val="24"/>
          <w:szCs w:val="24"/>
        </w:rPr>
        <w:t xml:space="preserve"> </w:t>
      </w:r>
      <w:r w:rsidRPr="00AF6D86">
        <w:rPr>
          <w:rFonts w:ascii="Times New Roman" w:eastAsia="Times New Roman" w:hAnsi="Times New Roman" w:cs="Times New Roman"/>
          <w:sz w:val="24"/>
          <w:szCs w:val="24"/>
          <w:lang w:eastAsia="en-AU"/>
        </w:rPr>
        <w:t>Examples of information required by TGO</w:t>
      </w:r>
      <w:r w:rsidR="002C264E" w:rsidRPr="00AF6D86">
        <w:rPr>
          <w:rFonts w:ascii="Times New Roman" w:eastAsia="Times New Roman" w:hAnsi="Times New Roman" w:cs="Times New Roman"/>
          <w:sz w:val="24"/>
          <w:szCs w:val="24"/>
          <w:lang w:eastAsia="en-AU"/>
        </w:rPr>
        <w:t xml:space="preserve"> </w:t>
      </w:r>
      <w:r w:rsidRPr="00AF6D86">
        <w:rPr>
          <w:rFonts w:ascii="Times New Roman" w:eastAsia="Times New Roman" w:hAnsi="Times New Roman" w:cs="Times New Roman"/>
          <w:sz w:val="24"/>
          <w:szCs w:val="24"/>
          <w:lang w:eastAsia="en-AU"/>
        </w:rPr>
        <w:t xml:space="preserve">91 include the name of the medicine, the name of the active ingredient and its strength or quantity, storage requirements, expiry date and the declaration of certain inert or inactive substances in the medicine. </w:t>
      </w:r>
    </w:p>
    <w:p w:rsidR="00E43E72" w:rsidRPr="00360398" w:rsidRDefault="00E43E72" w:rsidP="00F84DB3">
      <w:pPr>
        <w:autoSpaceDE w:val="0"/>
        <w:autoSpaceDN w:val="0"/>
        <w:adjustRightInd w:val="0"/>
        <w:spacing w:before="240" w:after="0" w:line="240" w:lineRule="auto"/>
        <w:rPr>
          <w:rFonts w:ascii="Times New Roman" w:hAnsi="Times New Roman" w:cs="Times New Roman"/>
          <w:b/>
          <w:sz w:val="24"/>
          <w:szCs w:val="24"/>
        </w:rPr>
      </w:pPr>
      <w:r w:rsidRPr="00360398">
        <w:rPr>
          <w:rFonts w:ascii="Times New Roman" w:eastAsia="Times New Roman" w:hAnsi="Times New Roman" w:cs="Times New Roman"/>
          <w:b/>
          <w:sz w:val="24"/>
          <w:szCs w:val="24"/>
          <w:lang w:eastAsia="en-AU"/>
        </w:rPr>
        <w:t>AMENDMENTS</w:t>
      </w:r>
    </w:p>
    <w:p w:rsidR="00F84DB3" w:rsidRPr="00AF6D86" w:rsidRDefault="002D0B69" w:rsidP="00C51AD8">
      <w:pPr>
        <w:autoSpaceDE w:val="0"/>
        <w:autoSpaceDN w:val="0"/>
        <w:adjustRightInd w:val="0"/>
        <w:spacing w:before="240" w:after="0" w:line="240" w:lineRule="auto"/>
        <w:rPr>
          <w:rFonts w:ascii="Times New Roman" w:eastAsia="Times New Roman" w:hAnsi="Times New Roman" w:cs="Times New Roman"/>
          <w:sz w:val="24"/>
          <w:szCs w:val="24"/>
          <w:lang w:eastAsia="en-AU"/>
        </w:rPr>
      </w:pPr>
      <w:r w:rsidRPr="00AF6D86">
        <w:rPr>
          <w:rFonts w:ascii="Times New Roman" w:eastAsia="Times New Roman" w:hAnsi="Times New Roman" w:cs="Times New Roman"/>
          <w:sz w:val="24"/>
          <w:szCs w:val="24"/>
          <w:lang w:eastAsia="en-AU"/>
        </w:rPr>
        <w:t xml:space="preserve">The changes made </w:t>
      </w:r>
      <w:r w:rsidR="007E22AA">
        <w:rPr>
          <w:rFonts w:ascii="Times New Roman" w:eastAsia="Times New Roman" w:hAnsi="Times New Roman" w:cs="Times New Roman"/>
          <w:sz w:val="24"/>
          <w:szCs w:val="24"/>
          <w:lang w:eastAsia="en-AU"/>
        </w:rPr>
        <w:t xml:space="preserve">to TGO 91 </w:t>
      </w:r>
      <w:r w:rsidRPr="00AF6D86">
        <w:rPr>
          <w:rFonts w:ascii="Times New Roman" w:eastAsia="Times New Roman" w:hAnsi="Times New Roman" w:cs="Times New Roman"/>
          <w:sz w:val="24"/>
          <w:szCs w:val="24"/>
          <w:lang w:eastAsia="en-AU"/>
        </w:rPr>
        <w:t>by this Order:</w:t>
      </w:r>
      <w:r w:rsidRPr="00AF6D86" w:rsidDel="002D0B69">
        <w:rPr>
          <w:rFonts w:ascii="Times New Roman" w:eastAsia="Times New Roman" w:hAnsi="Times New Roman" w:cs="Times New Roman"/>
          <w:sz w:val="24"/>
          <w:szCs w:val="24"/>
          <w:lang w:eastAsia="en-AU"/>
        </w:rPr>
        <w:t xml:space="preserve"> </w:t>
      </w:r>
    </w:p>
    <w:p w:rsidR="00CC707F" w:rsidRDefault="00CC707F" w:rsidP="0037502F">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a definition </w:t>
      </w:r>
      <w:r w:rsidR="00D23887">
        <w:rPr>
          <w:rFonts w:ascii="Times New Roman" w:eastAsia="Times New Roman" w:hAnsi="Times New Roman" w:cs="Times New Roman"/>
          <w:sz w:val="24"/>
          <w:szCs w:val="24"/>
          <w:lang w:eastAsia="en-AU"/>
        </w:rPr>
        <w:t xml:space="preserve">of </w:t>
      </w:r>
      <w:r w:rsidR="007D0DD9">
        <w:rPr>
          <w:rFonts w:ascii="Times New Roman" w:eastAsia="Times New Roman" w:hAnsi="Times New Roman" w:cs="Times New Roman"/>
          <w:sz w:val="24"/>
          <w:szCs w:val="24"/>
          <w:lang w:eastAsia="en-AU"/>
        </w:rPr>
        <w:t>‘</w:t>
      </w:r>
      <w:r w:rsidR="00234B92">
        <w:rPr>
          <w:rFonts w:ascii="Times New Roman" w:eastAsia="Times New Roman" w:hAnsi="Times New Roman" w:cs="Times New Roman"/>
          <w:sz w:val="24"/>
          <w:szCs w:val="24"/>
          <w:lang w:eastAsia="en-AU"/>
        </w:rPr>
        <w:t>neuromuscular blocking agent</w:t>
      </w:r>
      <w:r w:rsidR="007D0DD9">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in section 6 of </w:t>
      </w:r>
      <w:r w:rsidR="00D23887">
        <w:rPr>
          <w:rFonts w:ascii="Times New Roman" w:eastAsia="Times New Roman" w:hAnsi="Times New Roman" w:cs="Times New Roman"/>
          <w:sz w:val="24"/>
          <w:szCs w:val="24"/>
          <w:lang w:eastAsia="en-AU"/>
        </w:rPr>
        <w:t>TGO</w:t>
      </w:r>
      <w:r w:rsidR="00E203F3">
        <w:rPr>
          <w:rFonts w:ascii="Times New Roman" w:eastAsia="Times New Roman" w:hAnsi="Times New Roman" w:cs="Times New Roman"/>
          <w:sz w:val="24"/>
          <w:szCs w:val="24"/>
          <w:lang w:eastAsia="en-AU"/>
        </w:rPr>
        <w:t xml:space="preserve"> </w:t>
      </w:r>
      <w:r w:rsidR="00D23887">
        <w:rPr>
          <w:rFonts w:ascii="Times New Roman" w:eastAsia="Times New Roman" w:hAnsi="Times New Roman" w:cs="Times New Roman"/>
          <w:sz w:val="24"/>
          <w:szCs w:val="24"/>
          <w:lang w:eastAsia="en-AU"/>
        </w:rPr>
        <w:t>91</w:t>
      </w:r>
      <w:r>
        <w:rPr>
          <w:rFonts w:ascii="Times New Roman" w:eastAsia="Times New Roman" w:hAnsi="Times New Roman" w:cs="Times New Roman"/>
          <w:sz w:val="24"/>
          <w:szCs w:val="24"/>
          <w:lang w:eastAsia="en-AU"/>
        </w:rPr>
        <w:t>;</w:t>
      </w:r>
    </w:p>
    <w:p w:rsidR="00340CC6" w:rsidRDefault="005F3551" w:rsidP="0037502F">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requirements for </w:t>
      </w:r>
      <w:r w:rsidR="00CC707F">
        <w:rPr>
          <w:rFonts w:ascii="Times New Roman" w:eastAsia="Times New Roman" w:hAnsi="Times New Roman" w:cs="Times New Roman"/>
          <w:sz w:val="24"/>
          <w:szCs w:val="24"/>
          <w:lang w:eastAsia="en-AU"/>
        </w:rPr>
        <w:t xml:space="preserve">neuromuscular blocking agent-containing </w:t>
      </w:r>
      <w:r>
        <w:rPr>
          <w:rFonts w:ascii="Times New Roman" w:eastAsia="Times New Roman" w:hAnsi="Times New Roman" w:cs="Times New Roman"/>
          <w:sz w:val="24"/>
          <w:szCs w:val="24"/>
          <w:lang w:eastAsia="en-AU"/>
        </w:rPr>
        <w:t xml:space="preserve">medicines to include </w:t>
      </w:r>
      <w:r w:rsidR="001A36FF" w:rsidRPr="001A36FF">
        <w:rPr>
          <w:rFonts w:ascii="Times New Roman" w:eastAsia="Times New Roman" w:hAnsi="Times New Roman" w:cs="Times New Roman"/>
          <w:sz w:val="24"/>
          <w:szCs w:val="24"/>
          <w:lang w:eastAsia="en-AU"/>
        </w:rPr>
        <w:t xml:space="preserve">the warning statement ‘Warning: Paralysing agent’ </w:t>
      </w:r>
      <w:r w:rsidR="001A36FF">
        <w:rPr>
          <w:rFonts w:ascii="Times New Roman" w:eastAsia="Times New Roman" w:hAnsi="Times New Roman" w:cs="Times New Roman"/>
          <w:sz w:val="24"/>
          <w:szCs w:val="24"/>
          <w:lang w:eastAsia="en-AU"/>
        </w:rPr>
        <w:t>on the</w:t>
      </w:r>
      <w:r w:rsidR="007E22AA">
        <w:rPr>
          <w:rFonts w:ascii="Times New Roman" w:eastAsia="Times New Roman" w:hAnsi="Times New Roman" w:cs="Times New Roman"/>
          <w:sz w:val="24"/>
          <w:szCs w:val="24"/>
          <w:lang w:eastAsia="en-AU"/>
        </w:rPr>
        <w:t xml:space="preserve"> labels of the</w:t>
      </w:r>
      <w:r w:rsidR="001A36FF">
        <w:rPr>
          <w:rFonts w:ascii="Times New Roman" w:eastAsia="Times New Roman" w:hAnsi="Times New Roman" w:cs="Times New Roman"/>
          <w:sz w:val="24"/>
          <w:szCs w:val="24"/>
          <w:lang w:eastAsia="en-AU"/>
        </w:rPr>
        <w:t xml:space="preserve"> </w:t>
      </w:r>
      <w:r w:rsidR="007E22AA">
        <w:rPr>
          <w:rFonts w:ascii="Times New Roman" w:eastAsia="Times New Roman" w:hAnsi="Times New Roman" w:cs="Times New Roman"/>
          <w:sz w:val="24"/>
          <w:szCs w:val="24"/>
          <w:lang w:eastAsia="en-AU"/>
        </w:rPr>
        <w:t xml:space="preserve">medicine </w:t>
      </w:r>
      <w:r w:rsidR="001A36FF">
        <w:rPr>
          <w:rFonts w:ascii="Times New Roman" w:eastAsia="Times New Roman" w:hAnsi="Times New Roman" w:cs="Times New Roman"/>
          <w:sz w:val="24"/>
          <w:szCs w:val="24"/>
          <w:lang w:eastAsia="en-AU"/>
        </w:rPr>
        <w:t>container and primary pack</w:t>
      </w:r>
      <w:r w:rsidR="00FE65BC">
        <w:rPr>
          <w:rFonts w:ascii="Times New Roman" w:eastAsia="Times New Roman" w:hAnsi="Times New Roman" w:cs="Times New Roman"/>
          <w:sz w:val="24"/>
          <w:szCs w:val="24"/>
          <w:lang w:eastAsia="en-AU"/>
        </w:rPr>
        <w:t>;</w:t>
      </w:r>
      <w:r w:rsidR="00340CC6">
        <w:rPr>
          <w:rFonts w:ascii="Times New Roman" w:eastAsia="Times New Roman" w:hAnsi="Times New Roman" w:cs="Times New Roman"/>
          <w:sz w:val="24"/>
          <w:szCs w:val="24"/>
          <w:lang w:eastAsia="en-AU"/>
        </w:rPr>
        <w:t xml:space="preserve">  </w:t>
      </w:r>
    </w:p>
    <w:p w:rsidR="001A36FF" w:rsidRDefault="00E22E24" w:rsidP="0037502F">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w:t>
      </w:r>
      <w:r w:rsidR="003511BB">
        <w:rPr>
          <w:rFonts w:ascii="Times New Roman" w:eastAsia="Times New Roman" w:hAnsi="Times New Roman" w:cs="Times New Roman"/>
          <w:sz w:val="24"/>
          <w:szCs w:val="24"/>
          <w:lang w:eastAsia="en-AU"/>
        </w:rPr>
        <w:t>specific</w:t>
      </w:r>
      <w:r w:rsidR="001A36FF">
        <w:rPr>
          <w:rFonts w:ascii="Times New Roman" w:eastAsia="Times New Roman" w:hAnsi="Times New Roman" w:cs="Times New Roman"/>
          <w:sz w:val="24"/>
          <w:szCs w:val="24"/>
          <w:lang w:eastAsia="en-AU"/>
        </w:rPr>
        <w:t xml:space="preserve"> requirements for very small containers and small plastic ampoules </w:t>
      </w:r>
      <w:r>
        <w:rPr>
          <w:rFonts w:ascii="Times New Roman" w:eastAsia="Times New Roman" w:hAnsi="Times New Roman" w:cs="Times New Roman"/>
          <w:sz w:val="24"/>
          <w:szCs w:val="24"/>
          <w:lang w:eastAsia="en-AU"/>
        </w:rPr>
        <w:t>which may include</w:t>
      </w:r>
      <w:r w:rsidR="001A36FF">
        <w:rPr>
          <w:rFonts w:ascii="Times New Roman" w:eastAsia="Times New Roman" w:hAnsi="Times New Roman" w:cs="Times New Roman"/>
          <w:sz w:val="24"/>
          <w:szCs w:val="24"/>
          <w:lang w:eastAsia="en-AU"/>
        </w:rPr>
        <w:t xml:space="preserve"> a shortened warning statement on the container label due to space limitations;</w:t>
      </w:r>
    </w:p>
    <w:p w:rsidR="005F3551" w:rsidRDefault="00340CC6" w:rsidP="0037502F">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introduce</w:t>
      </w:r>
      <w:proofErr w:type="gramEnd"/>
      <w:r>
        <w:rPr>
          <w:rFonts w:ascii="Times New Roman" w:eastAsia="Times New Roman" w:hAnsi="Times New Roman" w:cs="Times New Roman"/>
          <w:sz w:val="24"/>
          <w:szCs w:val="24"/>
          <w:lang w:eastAsia="en-AU"/>
        </w:rPr>
        <w:t xml:space="preserve"> specific colours for the warning statement</w:t>
      </w:r>
      <w:r w:rsidR="00FF401D">
        <w:rPr>
          <w:rFonts w:ascii="Times New Roman" w:eastAsia="Times New Roman" w:hAnsi="Times New Roman" w:cs="Times New Roman"/>
          <w:sz w:val="24"/>
          <w:szCs w:val="24"/>
          <w:lang w:eastAsia="en-AU"/>
        </w:rPr>
        <w:t>. The</w:t>
      </w:r>
      <w:r w:rsidR="009E3334">
        <w:rPr>
          <w:rFonts w:ascii="Times New Roman" w:eastAsia="Times New Roman" w:hAnsi="Times New Roman" w:cs="Times New Roman"/>
          <w:sz w:val="24"/>
          <w:szCs w:val="24"/>
          <w:lang w:eastAsia="en-AU"/>
        </w:rPr>
        <w:t xml:space="preserve"> specified </w:t>
      </w:r>
      <w:r w:rsidR="00FF401D" w:rsidRPr="00FF401D">
        <w:rPr>
          <w:rFonts w:ascii="Times New Roman" w:eastAsia="Times New Roman" w:hAnsi="Times New Roman" w:cs="Times New Roman"/>
          <w:sz w:val="24"/>
          <w:szCs w:val="24"/>
          <w:lang w:eastAsia="en-AU"/>
        </w:rPr>
        <w:t>colours are consistent with the colour</w:t>
      </w:r>
      <w:r w:rsidR="00396170">
        <w:rPr>
          <w:rFonts w:ascii="Times New Roman" w:eastAsia="Times New Roman" w:hAnsi="Times New Roman" w:cs="Times New Roman"/>
          <w:sz w:val="24"/>
          <w:szCs w:val="24"/>
          <w:lang w:eastAsia="en-AU"/>
        </w:rPr>
        <w:t>s</w:t>
      </w:r>
      <w:r w:rsidR="00FF401D" w:rsidRPr="00FF401D">
        <w:rPr>
          <w:rFonts w:ascii="Times New Roman" w:eastAsia="Times New Roman" w:hAnsi="Times New Roman" w:cs="Times New Roman"/>
          <w:sz w:val="24"/>
          <w:szCs w:val="24"/>
          <w:lang w:eastAsia="en-AU"/>
        </w:rPr>
        <w:t xml:space="preserve"> for neuromuscular blocking agents in the </w:t>
      </w:r>
      <w:r w:rsidR="00FF401D" w:rsidRPr="00360398">
        <w:rPr>
          <w:rFonts w:ascii="Times New Roman" w:eastAsia="Times New Roman" w:hAnsi="Times New Roman" w:cs="Times New Roman"/>
          <w:sz w:val="24"/>
          <w:szCs w:val="24"/>
          <w:lang w:eastAsia="en-AU"/>
        </w:rPr>
        <w:t>National Standard for User-Applied Labelling of Injectable Medicines, Fluids and Lines</w:t>
      </w:r>
      <w:r w:rsidR="00360398">
        <w:rPr>
          <w:rFonts w:ascii="Times New Roman" w:eastAsia="Times New Roman" w:hAnsi="Times New Roman" w:cs="Times New Roman"/>
          <w:sz w:val="24"/>
          <w:szCs w:val="24"/>
          <w:lang w:eastAsia="en-AU"/>
        </w:rPr>
        <w:t xml:space="preserve"> (</w:t>
      </w:r>
      <w:r w:rsidR="00360398" w:rsidRPr="00766617">
        <w:rPr>
          <w:rFonts w:ascii="Times New Roman" w:eastAsia="Times New Roman" w:hAnsi="Times New Roman" w:cs="Times New Roman"/>
          <w:sz w:val="24"/>
          <w:szCs w:val="24"/>
          <w:lang w:eastAsia="en-AU"/>
        </w:rPr>
        <w:t>www.safetyandquality.gov.au/publications/national-standard-for-user-applied-labelling/</w:t>
      </w:r>
      <w:r w:rsidR="00360398">
        <w:rPr>
          <w:rFonts w:ascii="Times New Roman" w:eastAsia="Times New Roman" w:hAnsi="Times New Roman" w:cs="Times New Roman"/>
          <w:sz w:val="24"/>
          <w:szCs w:val="24"/>
          <w:lang w:eastAsia="en-AU"/>
        </w:rPr>
        <w:t xml:space="preserve">) </w:t>
      </w:r>
      <w:r w:rsidR="007515E4">
        <w:rPr>
          <w:rFonts w:ascii="Times New Roman" w:eastAsia="Times New Roman" w:hAnsi="Times New Roman" w:cs="Times New Roman"/>
          <w:sz w:val="24"/>
          <w:szCs w:val="24"/>
          <w:lang w:eastAsia="en-AU"/>
        </w:rPr>
        <w:t>published by the Australian Commission on Safety and Qua</w:t>
      </w:r>
      <w:r w:rsidR="0064273B">
        <w:rPr>
          <w:rFonts w:ascii="Times New Roman" w:eastAsia="Times New Roman" w:hAnsi="Times New Roman" w:cs="Times New Roman"/>
          <w:sz w:val="24"/>
          <w:szCs w:val="24"/>
          <w:lang w:eastAsia="en-AU"/>
        </w:rPr>
        <w:t>lity in Health Care</w:t>
      </w:r>
      <w:r w:rsidR="00D15D5F">
        <w:rPr>
          <w:rFonts w:ascii="Times New Roman" w:eastAsia="Times New Roman" w:hAnsi="Times New Roman" w:cs="Times New Roman"/>
          <w:sz w:val="24"/>
          <w:szCs w:val="24"/>
          <w:lang w:eastAsia="en-AU"/>
        </w:rPr>
        <w:t>. The</w:t>
      </w:r>
      <w:r w:rsidR="00314461">
        <w:rPr>
          <w:rFonts w:ascii="Times New Roman" w:eastAsia="Times New Roman" w:hAnsi="Times New Roman" w:cs="Times New Roman"/>
          <w:sz w:val="24"/>
          <w:szCs w:val="24"/>
          <w:lang w:eastAsia="en-AU"/>
        </w:rPr>
        <w:t xml:space="preserve"> </w:t>
      </w:r>
      <w:r w:rsidR="00CC707F">
        <w:rPr>
          <w:rFonts w:ascii="Times New Roman" w:eastAsia="Times New Roman" w:hAnsi="Times New Roman" w:cs="Times New Roman"/>
          <w:sz w:val="24"/>
          <w:szCs w:val="24"/>
          <w:lang w:eastAsia="en-AU"/>
        </w:rPr>
        <w:t xml:space="preserve">specific </w:t>
      </w:r>
      <w:r w:rsidR="00314461">
        <w:rPr>
          <w:rFonts w:ascii="Times New Roman" w:eastAsia="Times New Roman" w:hAnsi="Times New Roman" w:cs="Times New Roman"/>
          <w:sz w:val="24"/>
          <w:szCs w:val="24"/>
          <w:lang w:eastAsia="en-AU"/>
        </w:rPr>
        <w:t>colour identifiers</w:t>
      </w:r>
      <w:r w:rsidR="00D15D5F">
        <w:rPr>
          <w:rFonts w:ascii="Times New Roman" w:eastAsia="Times New Roman" w:hAnsi="Times New Roman" w:cs="Times New Roman"/>
          <w:sz w:val="24"/>
          <w:szCs w:val="24"/>
          <w:lang w:eastAsia="en-AU"/>
        </w:rPr>
        <w:t xml:space="preserve"> are available </w:t>
      </w:r>
      <w:r w:rsidR="00036C4D">
        <w:rPr>
          <w:rFonts w:ascii="Times New Roman" w:eastAsia="Times New Roman" w:hAnsi="Times New Roman" w:cs="Times New Roman"/>
          <w:sz w:val="24"/>
          <w:szCs w:val="24"/>
          <w:lang w:eastAsia="en-AU"/>
        </w:rPr>
        <w:t xml:space="preserve">free of charge, </w:t>
      </w:r>
      <w:r w:rsidR="00D15D5F">
        <w:rPr>
          <w:rFonts w:ascii="Times New Roman" w:eastAsia="Times New Roman" w:hAnsi="Times New Roman" w:cs="Times New Roman"/>
          <w:sz w:val="24"/>
          <w:szCs w:val="24"/>
          <w:lang w:eastAsia="en-AU"/>
        </w:rPr>
        <w:t>in the</w:t>
      </w:r>
      <w:r w:rsidR="0064273B">
        <w:rPr>
          <w:rFonts w:ascii="Times New Roman" w:eastAsia="Times New Roman" w:hAnsi="Times New Roman" w:cs="Times New Roman"/>
          <w:sz w:val="24"/>
          <w:szCs w:val="24"/>
          <w:lang w:eastAsia="en-AU"/>
        </w:rPr>
        <w:t xml:space="preserve"> referenced document</w:t>
      </w:r>
      <w:r w:rsidR="002477C8">
        <w:rPr>
          <w:rFonts w:ascii="Times New Roman" w:eastAsia="Times New Roman" w:hAnsi="Times New Roman" w:cs="Times New Roman"/>
          <w:sz w:val="24"/>
          <w:szCs w:val="24"/>
          <w:lang w:eastAsia="en-AU"/>
        </w:rPr>
        <w:t xml:space="preserve"> and </w:t>
      </w:r>
      <w:r w:rsidR="00036C4D">
        <w:rPr>
          <w:rFonts w:ascii="Times New Roman" w:eastAsia="Times New Roman" w:hAnsi="Times New Roman" w:cs="Times New Roman"/>
          <w:sz w:val="24"/>
          <w:szCs w:val="24"/>
          <w:lang w:eastAsia="en-AU"/>
        </w:rPr>
        <w:t xml:space="preserve">on </w:t>
      </w:r>
      <w:r w:rsidR="002477C8">
        <w:rPr>
          <w:rFonts w:ascii="Times New Roman" w:eastAsia="Times New Roman" w:hAnsi="Times New Roman" w:cs="Times New Roman"/>
          <w:sz w:val="24"/>
          <w:szCs w:val="24"/>
          <w:lang w:eastAsia="en-AU"/>
        </w:rPr>
        <w:t xml:space="preserve">the </w:t>
      </w:r>
      <w:r w:rsidR="002477C8" w:rsidRPr="00360398">
        <w:rPr>
          <w:rFonts w:ascii="Times New Roman" w:eastAsia="Times New Roman" w:hAnsi="Times New Roman" w:cs="Times New Roman"/>
          <w:sz w:val="24"/>
          <w:szCs w:val="24"/>
          <w:lang w:eastAsia="en-AU"/>
        </w:rPr>
        <w:t>TGA website</w:t>
      </w:r>
      <w:r w:rsidR="00360398">
        <w:rPr>
          <w:rFonts w:ascii="Times New Roman" w:eastAsia="Times New Roman" w:hAnsi="Times New Roman" w:cs="Times New Roman"/>
          <w:sz w:val="24"/>
          <w:szCs w:val="24"/>
          <w:lang w:eastAsia="en-AU"/>
        </w:rPr>
        <w:t xml:space="preserve"> (</w:t>
      </w:r>
      <w:r w:rsidR="00360398" w:rsidRPr="00766617">
        <w:rPr>
          <w:rFonts w:ascii="Times New Roman" w:eastAsia="Times New Roman" w:hAnsi="Times New Roman" w:cs="Times New Roman"/>
          <w:sz w:val="24"/>
          <w:szCs w:val="24"/>
          <w:lang w:eastAsia="en-AU"/>
        </w:rPr>
        <w:t>www.tga.gov.au</w:t>
      </w:r>
      <w:r w:rsidR="00360398">
        <w:rPr>
          <w:rFonts w:ascii="Times New Roman" w:eastAsia="Times New Roman" w:hAnsi="Times New Roman" w:cs="Times New Roman"/>
          <w:sz w:val="24"/>
          <w:szCs w:val="24"/>
          <w:lang w:eastAsia="en-AU"/>
        </w:rPr>
        <w:t>).</w:t>
      </w:r>
      <w:r w:rsidR="00B43213">
        <w:rPr>
          <w:rFonts w:ascii="Times New Roman" w:eastAsia="Times New Roman" w:hAnsi="Times New Roman" w:cs="Times New Roman"/>
          <w:sz w:val="24"/>
          <w:szCs w:val="24"/>
          <w:lang w:eastAsia="en-AU"/>
        </w:rPr>
        <w:t xml:space="preserve"> Plastic </w:t>
      </w:r>
      <w:r w:rsidR="003511BB">
        <w:rPr>
          <w:rFonts w:ascii="Times New Roman" w:eastAsia="Times New Roman" w:hAnsi="Times New Roman" w:cs="Times New Roman"/>
          <w:sz w:val="24"/>
          <w:szCs w:val="24"/>
          <w:lang w:eastAsia="en-AU"/>
        </w:rPr>
        <w:t>ampoule</w:t>
      </w:r>
      <w:r w:rsidR="00B43213">
        <w:rPr>
          <w:rFonts w:ascii="Times New Roman" w:eastAsia="Times New Roman" w:hAnsi="Times New Roman" w:cs="Times New Roman"/>
          <w:sz w:val="24"/>
          <w:szCs w:val="24"/>
          <w:lang w:eastAsia="en-AU"/>
        </w:rPr>
        <w:t xml:space="preserve"> </w:t>
      </w:r>
      <w:r w:rsidR="003511BB">
        <w:rPr>
          <w:rFonts w:ascii="Times New Roman" w:eastAsia="Times New Roman" w:hAnsi="Times New Roman" w:cs="Times New Roman"/>
          <w:sz w:val="24"/>
          <w:szCs w:val="24"/>
          <w:lang w:eastAsia="en-AU"/>
        </w:rPr>
        <w:t xml:space="preserve">labels </w:t>
      </w:r>
      <w:r w:rsidR="00B43213">
        <w:rPr>
          <w:rFonts w:ascii="Times New Roman" w:eastAsia="Times New Roman" w:hAnsi="Times New Roman" w:cs="Times New Roman"/>
          <w:sz w:val="24"/>
          <w:szCs w:val="24"/>
          <w:lang w:eastAsia="en-AU"/>
        </w:rPr>
        <w:t xml:space="preserve">do not require specific colours </w:t>
      </w:r>
      <w:r w:rsidR="003511BB">
        <w:rPr>
          <w:rFonts w:ascii="Times New Roman" w:eastAsia="Times New Roman" w:hAnsi="Times New Roman" w:cs="Times New Roman"/>
          <w:sz w:val="24"/>
          <w:szCs w:val="24"/>
          <w:lang w:eastAsia="en-AU"/>
        </w:rPr>
        <w:t xml:space="preserve">for the warning statement </w:t>
      </w:r>
      <w:r w:rsidR="00B43213">
        <w:rPr>
          <w:rFonts w:ascii="Times New Roman" w:eastAsia="Times New Roman" w:hAnsi="Times New Roman" w:cs="Times New Roman"/>
          <w:sz w:val="24"/>
          <w:szCs w:val="24"/>
          <w:lang w:eastAsia="en-AU"/>
        </w:rPr>
        <w:t>due to manufacturing limitations;</w:t>
      </w:r>
      <w:r w:rsidR="005F3551">
        <w:rPr>
          <w:rFonts w:ascii="Times New Roman" w:eastAsia="Times New Roman" w:hAnsi="Times New Roman" w:cs="Times New Roman"/>
          <w:sz w:val="24"/>
          <w:szCs w:val="24"/>
          <w:lang w:eastAsia="en-AU"/>
        </w:rPr>
        <w:t xml:space="preserve"> </w:t>
      </w:r>
    </w:p>
    <w:p w:rsidR="003E70F7" w:rsidRDefault="003E70F7" w:rsidP="0037502F">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introduce</w:t>
      </w:r>
      <w:proofErr w:type="gramEnd"/>
      <w:r>
        <w:rPr>
          <w:rFonts w:ascii="Times New Roman" w:eastAsia="Times New Roman" w:hAnsi="Times New Roman" w:cs="Times New Roman"/>
          <w:sz w:val="24"/>
          <w:szCs w:val="24"/>
          <w:lang w:eastAsia="en-AU"/>
        </w:rPr>
        <w:t xml:space="preserve"> Schedule 3 to</w:t>
      </w:r>
      <w:r w:rsidR="000E2BA5">
        <w:rPr>
          <w:rFonts w:ascii="Times New Roman" w:eastAsia="Times New Roman" w:hAnsi="Times New Roman" w:cs="Times New Roman"/>
          <w:sz w:val="24"/>
          <w:szCs w:val="24"/>
          <w:lang w:eastAsia="en-AU"/>
        </w:rPr>
        <w:t xml:space="preserve"> identify ingredients </w:t>
      </w:r>
      <w:r>
        <w:rPr>
          <w:rFonts w:ascii="Times New Roman" w:eastAsia="Times New Roman" w:hAnsi="Times New Roman" w:cs="Times New Roman"/>
          <w:sz w:val="24"/>
          <w:szCs w:val="24"/>
          <w:lang w:eastAsia="en-AU"/>
        </w:rPr>
        <w:t xml:space="preserve">that are </w:t>
      </w:r>
      <w:r w:rsidRPr="003E70F7">
        <w:rPr>
          <w:rFonts w:ascii="Times New Roman" w:eastAsia="Times New Roman" w:hAnsi="Times New Roman" w:cs="Times New Roman"/>
          <w:sz w:val="24"/>
          <w:szCs w:val="24"/>
          <w:lang w:eastAsia="en-AU"/>
        </w:rPr>
        <w:t>neuromuscular blocking agents</w:t>
      </w:r>
      <w:r>
        <w:rPr>
          <w:rFonts w:ascii="Times New Roman" w:eastAsia="Times New Roman" w:hAnsi="Times New Roman" w:cs="Times New Roman"/>
          <w:sz w:val="24"/>
          <w:szCs w:val="24"/>
          <w:lang w:eastAsia="en-AU"/>
        </w:rPr>
        <w:t xml:space="preserve">. </w:t>
      </w:r>
      <w:r w:rsidR="00E36504">
        <w:rPr>
          <w:rFonts w:ascii="Times New Roman" w:eastAsia="Times New Roman" w:hAnsi="Times New Roman" w:cs="Times New Roman"/>
          <w:sz w:val="24"/>
          <w:szCs w:val="24"/>
          <w:lang w:eastAsia="en-AU"/>
        </w:rPr>
        <w:t>This list is based on the classification</w:t>
      </w:r>
      <w:r w:rsidR="00075E61">
        <w:rPr>
          <w:rFonts w:ascii="Times New Roman" w:eastAsia="Times New Roman" w:hAnsi="Times New Roman" w:cs="Times New Roman"/>
          <w:sz w:val="24"/>
          <w:szCs w:val="24"/>
          <w:lang w:eastAsia="en-AU"/>
        </w:rPr>
        <w:t xml:space="preserve"> of</w:t>
      </w:r>
      <w:r>
        <w:rPr>
          <w:rFonts w:ascii="Times New Roman" w:eastAsia="Times New Roman" w:hAnsi="Times New Roman" w:cs="Times New Roman"/>
          <w:sz w:val="24"/>
          <w:szCs w:val="24"/>
          <w:lang w:eastAsia="en-AU"/>
        </w:rPr>
        <w:t xml:space="preserve"> </w:t>
      </w:r>
      <w:r w:rsidR="0094099F">
        <w:rPr>
          <w:rFonts w:ascii="Times New Roman" w:eastAsia="Times New Roman" w:hAnsi="Times New Roman" w:cs="Times New Roman"/>
          <w:sz w:val="24"/>
          <w:szCs w:val="24"/>
          <w:lang w:eastAsia="en-AU"/>
        </w:rPr>
        <w:t xml:space="preserve">ingredients as </w:t>
      </w:r>
      <w:r>
        <w:rPr>
          <w:rFonts w:ascii="Times New Roman" w:eastAsia="Times New Roman" w:hAnsi="Times New Roman" w:cs="Times New Roman"/>
          <w:sz w:val="24"/>
          <w:szCs w:val="24"/>
          <w:lang w:eastAsia="en-AU"/>
        </w:rPr>
        <w:t xml:space="preserve">‘muscle relaxants, peripherally acting agents’ </w:t>
      </w:r>
      <w:r w:rsidR="00F04808">
        <w:rPr>
          <w:rFonts w:ascii="Times New Roman" w:eastAsia="Times New Roman" w:hAnsi="Times New Roman" w:cs="Times New Roman"/>
          <w:sz w:val="24"/>
          <w:szCs w:val="24"/>
          <w:lang w:eastAsia="en-AU"/>
        </w:rPr>
        <w:t>in the</w:t>
      </w:r>
      <w:r>
        <w:rPr>
          <w:rFonts w:ascii="Times New Roman" w:eastAsia="Times New Roman" w:hAnsi="Times New Roman" w:cs="Times New Roman"/>
          <w:sz w:val="24"/>
          <w:szCs w:val="24"/>
          <w:lang w:eastAsia="en-AU"/>
        </w:rPr>
        <w:t xml:space="preserve"> </w:t>
      </w:r>
      <w:r w:rsidRPr="00093C43">
        <w:rPr>
          <w:rFonts w:ascii="Times New Roman" w:eastAsia="Times New Roman" w:hAnsi="Times New Roman" w:cs="Times New Roman"/>
          <w:sz w:val="24"/>
          <w:szCs w:val="24"/>
          <w:lang w:eastAsia="en-AU"/>
        </w:rPr>
        <w:t>World Health Organization Anatomical Therapeutic Chemical </w:t>
      </w:r>
      <w:r w:rsidRPr="003E70F7">
        <w:rPr>
          <w:rFonts w:ascii="Times New Roman" w:eastAsia="Times New Roman" w:hAnsi="Times New Roman" w:cs="Times New Roman"/>
          <w:sz w:val="24"/>
          <w:szCs w:val="24"/>
          <w:lang w:eastAsia="en-AU"/>
        </w:rPr>
        <w:t>classification system</w:t>
      </w:r>
      <w:r w:rsidR="00156B21">
        <w:rPr>
          <w:rFonts w:ascii="Times New Roman" w:eastAsia="Times New Roman" w:hAnsi="Times New Roman" w:cs="Times New Roman"/>
          <w:sz w:val="24"/>
          <w:szCs w:val="24"/>
          <w:lang w:eastAsia="en-AU"/>
        </w:rPr>
        <w:t xml:space="preserve"> </w:t>
      </w:r>
      <w:r w:rsidR="00156B21" w:rsidRPr="003E70F7">
        <w:rPr>
          <w:rFonts w:ascii="Times New Roman" w:eastAsia="Times New Roman" w:hAnsi="Times New Roman" w:cs="Times New Roman"/>
          <w:sz w:val="24"/>
          <w:szCs w:val="24"/>
          <w:lang w:eastAsia="en-AU"/>
        </w:rPr>
        <w:t>(</w:t>
      </w:r>
      <w:r w:rsidR="00156B21" w:rsidRPr="00766617">
        <w:rPr>
          <w:rFonts w:ascii="Times New Roman" w:eastAsia="Times New Roman" w:hAnsi="Times New Roman" w:cs="Times New Roman"/>
          <w:sz w:val="24"/>
          <w:szCs w:val="24"/>
          <w:lang w:eastAsia="en-AU"/>
        </w:rPr>
        <w:t>www.whocc.no/atc_ddd_index</w:t>
      </w:r>
      <w:r w:rsidR="00156B21">
        <w:rPr>
          <w:rFonts w:ascii="Times New Roman" w:eastAsia="Times New Roman" w:hAnsi="Times New Roman" w:cs="Times New Roman"/>
          <w:sz w:val="24"/>
          <w:szCs w:val="24"/>
          <w:lang w:eastAsia="en-AU"/>
        </w:rPr>
        <w:t>)</w:t>
      </w:r>
      <w:r w:rsidR="00F04808">
        <w:rPr>
          <w:rFonts w:ascii="Times New Roman" w:eastAsia="Times New Roman" w:hAnsi="Times New Roman" w:cs="Times New Roman"/>
          <w:sz w:val="24"/>
          <w:szCs w:val="24"/>
          <w:lang w:eastAsia="en-AU"/>
        </w:rPr>
        <w:t xml:space="preserve">, except </w:t>
      </w:r>
      <w:r w:rsidR="00D23887">
        <w:rPr>
          <w:rFonts w:ascii="Times New Roman" w:eastAsia="Times New Roman" w:hAnsi="Times New Roman" w:cs="Times New Roman"/>
          <w:sz w:val="24"/>
          <w:szCs w:val="24"/>
          <w:lang w:eastAsia="en-AU"/>
        </w:rPr>
        <w:t xml:space="preserve">that </w:t>
      </w:r>
      <w:r w:rsidR="00F04808">
        <w:rPr>
          <w:rFonts w:ascii="Times New Roman" w:eastAsia="Times New Roman" w:hAnsi="Times New Roman" w:cs="Times New Roman"/>
          <w:sz w:val="24"/>
          <w:szCs w:val="24"/>
          <w:lang w:eastAsia="en-AU"/>
        </w:rPr>
        <w:t>botulinum toxin</w:t>
      </w:r>
      <w:r w:rsidR="00E43E72">
        <w:rPr>
          <w:rFonts w:ascii="Times New Roman" w:eastAsia="Times New Roman" w:hAnsi="Times New Roman" w:cs="Times New Roman"/>
          <w:sz w:val="24"/>
          <w:szCs w:val="24"/>
          <w:lang w:eastAsia="en-AU"/>
        </w:rPr>
        <w:t xml:space="preserve"> is not considered a neuromuscular blocking agent for the purposes of this Order</w:t>
      </w:r>
      <w:r w:rsidR="00F04808">
        <w:rPr>
          <w:rFonts w:ascii="Times New Roman" w:eastAsia="Times New Roman" w:hAnsi="Times New Roman" w:cs="Times New Roman"/>
          <w:sz w:val="24"/>
          <w:szCs w:val="24"/>
          <w:lang w:eastAsia="en-AU"/>
        </w:rPr>
        <w:t>;</w:t>
      </w:r>
      <w:r w:rsidRPr="003E70F7">
        <w:rPr>
          <w:rFonts w:ascii="Times New Roman" w:eastAsia="Times New Roman" w:hAnsi="Times New Roman" w:cs="Times New Roman"/>
          <w:sz w:val="24"/>
          <w:szCs w:val="24"/>
          <w:lang w:eastAsia="en-AU"/>
        </w:rPr>
        <w:t> </w:t>
      </w:r>
      <w:r w:rsidR="004C34FF">
        <w:rPr>
          <w:rFonts w:ascii="Times New Roman" w:eastAsia="Times New Roman" w:hAnsi="Times New Roman" w:cs="Times New Roman"/>
          <w:sz w:val="24"/>
          <w:szCs w:val="24"/>
          <w:lang w:eastAsia="en-AU"/>
        </w:rPr>
        <w:t>and</w:t>
      </w:r>
    </w:p>
    <w:p w:rsidR="00B43213" w:rsidRDefault="00B43213" w:rsidP="009E2B39">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make</w:t>
      </w:r>
      <w:r w:rsidR="00E21AFF">
        <w:rPr>
          <w:rFonts w:ascii="Times New Roman" w:eastAsia="Times New Roman" w:hAnsi="Times New Roman" w:cs="Times New Roman"/>
          <w:sz w:val="24"/>
          <w:szCs w:val="24"/>
          <w:lang w:eastAsia="en-AU"/>
        </w:rPr>
        <w:t xml:space="preserve"> minor editorial amendments, including amendment </w:t>
      </w:r>
      <w:r>
        <w:rPr>
          <w:rFonts w:ascii="Times New Roman" w:eastAsia="Times New Roman" w:hAnsi="Times New Roman" w:cs="Times New Roman"/>
          <w:sz w:val="24"/>
          <w:szCs w:val="24"/>
          <w:lang w:eastAsia="en-AU"/>
        </w:rPr>
        <w:t xml:space="preserve">to subsection 9(8) of </w:t>
      </w:r>
      <w:r w:rsidR="00E43E72">
        <w:rPr>
          <w:rFonts w:ascii="Times New Roman" w:eastAsia="Times New Roman" w:hAnsi="Times New Roman" w:cs="Times New Roman"/>
          <w:sz w:val="24"/>
          <w:szCs w:val="24"/>
          <w:lang w:eastAsia="en-AU"/>
        </w:rPr>
        <w:t>TGO 91</w:t>
      </w:r>
      <w:r w:rsidR="00D2388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to </w:t>
      </w:r>
      <w:r w:rsidR="00536007">
        <w:rPr>
          <w:rFonts w:ascii="Times New Roman" w:eastAsia="Times New Roman" w:hAnsi="Times New Roman" w:cs="Times New Roman"/>
          <w:sz w:val="24"/>
          <w:szCs w:val="24"/>
          <w:lang w:eastAsia="en-AU"/>
        </w:rPr>
        <w:t>correct</w:t>
      </w:r>
      <w:r>
        <w:rPr>
          <w:rFonts w:ascii="Times New Roman" w:eastAsia="Times New Roman" w:hAnsi="Times New Roman" w:cs="Times New Roman"/>
          <w:sz w:val="24"/>
          <w:szCs w:val="24"/>
          <w:lang w:eastAsia="en-AU"/>
        </w:rPr>
        <w:t xml:space="preserve"> typographical errors</w:t>
      </w:r>
      <w:r w:rsidR="00183522">
        <w:rPr>
          <w:rFonts w:ascii="Times New Roman" w:eastAsia="Times New Roman" w:hAnsi="Times New Roman" w:cs="Times New Roman"/>
          <w:sz w:val="24"/>
          <w:szCs w:val="24"/>
          <w:lang w:eastAsia="en-AU"/>
        </w:rPr>
        <w:t xml:space="preserve"> and</w:t>
      </w:r>
      <w:r w:rsidR="009E2B39">
        <w:rPr>
          <w:rFonts w:ascii="Times New Roman" w:eastAsia="Times New Roman" w:hAnsi="Times New Roman" w:cs="Times New Roman"/>
          <w:sz w:val="24"/>
          <w:szCs w:val="24"/>
          <w:lang w:eastAsia="en-AU"/>
        </w:rPr>
        <w:t xml:space="preserve"> </w:t>
      </w:r>
      <w:r w:rsidR="00183522">
        <w:rPr>
          <w:rFonts w:ascii="Times New Roman" w:eastAsia="Times New Roman" w:hAnsi="Times New Roman" w:cs="Times New Roman"/>
          <w:sz w:val="24"/>
          <w:szCs w:val="24"/>
          <w:lang w:eastAsia="en-AU"/>
        </w:rPr>
        <w:t>to align with</w:t>
      </w:r>
      <w:r w:rsidR="009E2B39">
        <w:rPr>
          <w:rFonts w:ascii="Times New Roman" w:eastAsia="Times New Roman" w:hAnsi="Times New Roman" w:cs="Times New Roman"/>
          <w:sz w:val="24"/>
          <w:szCs w:val="24"/>
          <w:lang w:eastAsia="en-AU"/>
        </w:rPr>
        <w:t xml:space="preserve"> the requirements for similar medicines subject to </w:t>
      </w:r>
      <w:r w:rsidR="00183522">
        <w:rPr>
          <w:rFonts w:ascii="Times New Roman" w:eastAsia="Times New Roman" w:hAnsi="Times New Roman" w:cs="Times New Roman"/>
          <w:sz w:val="24"/>
          <w:szCs w:val="24"/>
          <w:lang w:eastAsia="en-AU"/>
        </w:rPr>
        <w:t xml:space="preserve"> </w:t>
      </w:r>
      <w:r w:rsidR="00183522" w:rsidRPr="009E2B39">
        <w:rPr>
          <w:rFonts w:ascii="Times New Roman" w:eastAsia="Times New Roman" w:hAnsi="Times New Roman" w:cs="Times New Roman"/>
          <w:i/>
          <w:sz w:val="24"/>
          <w:szCs w:val="24"/>
          <w:lang w:eastAsia="en-AU"/>
        </w:rPr>
        <w:t>Therapeutic Goods Order No. 92 - Standard for labels of non-prescription medicines</w:t>
      </w:r>
      <w:r w:rsidR="00183522">
        <w:rPr>
          <w:rFonts w:ascii="Times New Roman" w:eastAsia="Times New Roman" w:hAnsi="Times New Roman" w:cs="Times New Roman"/>
          <w:i/>
          <w:sz w:val="24"/>
          <w:szCs w:val="24"/>
          <w:lang w:eastAsia="en-AU"/>
        </w:rPr>
        <w:t xml:space="preserve"> </w:t>
      </w:r>
      <w:r w:rsidR="00183522">
        <w:rPr>
          <w:rFonts w:ascii="Times New Roman" w:eastAsia="Times New Roman" w:hAnsi="Times New Roman" w:cs="Times New Roman"/>
          <w:sz w:val="24"/>
          <w:szCs w:val="24"/>
          <w:lang w:eastAsia="en-AU"/>
        </w:rPr>
        <w:t>(</w:t>
      </w:r>
      <w:r w:rsidR="00183522">
        <w:rPr>
          <w:rFonts w:ascii="Times New Roman" w:hAnsi="Times New Roman" w:cs="Times New Roman"/>
          <w:sz w:val="24"/>
          <w:szCs w:val="24"/>
        </w:rPr>
        <w:t xml:space="preserve">Register ID: </w:t>
      </w:r>
      <w:r w:rsidR="00183522" w:rsidRPr="009E2B39">
        <w:rPr>
          <w:rFonts w:ascii="Times New Roman" w:eastAsia="Times New Roman" w:hAnsi="Times New Roman" w:cs="Times New Roman"/>
          <w:bCs/>
          <w:sz w:val="24"/>
          <w:szCs w:val="24"/>
          <w:lang w:eastAsia="en-AU"/>
        </w:rPr>
        <w:t>F2017C00744</w:t>
      </w:r>
      <w:r w:rsidR="00183522">
        <w:rPr>
          <w:rFonts w:ascii="Times New Roman" w:eastAsia="Times New Roman" w:hAnsi="Times New Roman" w:cs="Times New Roman"/>
          <w:bCs/>
          <w:sz w:val="24"/>
          <w:szCs w:val="24"/>
          <w:lang w:eastAsia="en-AU"/>
        </w:rPr>
        <w:t>)</w:t>
      </w:r>
      <w:r w:rsidR="00E21AFF">
        <w:rPr>
          <w:rFonts w:ascii="Times New Roman" w:eastAsia="Times New Roman" w:hAnsi="Times New Roman" w:cs="Times New Roman"/>
          <w:sz w:val="24"/>
          <w:szCs w:val="24"/>
          <w:lang w:eastAsia="en-AU"/>
        </w:rPr>
        <w:t>.</w:t>
      </w:r>
    </w:p>
    <w:p w:rsidR="008C1204" w:rsidRDefault="008C1204" w:rsidP="00B13B42">
      <w:pPr>
        <w:tabs>
          <w:tab w:val="left" w:pos="284"/>
        </w:tabs>
        <w:spacing w:after="120" w:line="240" w:lineRule="auto"/>
        <w:rPr>
          <w:rFonts w:ascii="Times New Roman" w:eastAsia="Times New Roman" w:hAnsi="Times New Roman" w:cs="Times New Roman"/>
          <w:sz w:val="24"/>
          <w:szCs w:val="24"/>
          <w:lang w:eastAsia="en-AU"/>
        </w:rPr>
      </w:pPr>
      <w:r w:rsidRPr="008C1204">
        <w:rPr>
          <w:rFonts w:ascii="Times New Roman" w:eastAsia="Times New Roman" w:hAnsi="Times New Roman" w:cs="Times New Roman"/>
          <w:sz w:val="24"/>
          <w:szCs w:val="24"/>
          <w:lang w:eastAsia="en-AU"/>
        </w:rPr>
        <w:lastRenderedPageBreak/>
        <w:t>Neuromuscular blocking agents are used to cause paralysis during anaesthesia.</w:t>
      </w:r>
      <w:r w:rsidRPr="008C1204">
        <w:t xml:space="preserve"> </w:t>
      </w:r>
      <w:r w:rsidRPr="008C1204">
        <w:rPr>
          <w:rFonts w:ascii="Times New Roman" w:eastAsia="Times New Roman" w:hAnsi="Times New Roman" w:cs="Times New Roman"/>
          <w:sz w:val="24"/>
          <w:szCs w:val="24"/>
          <w:lang w:eastAsia="en-AU"/>
        </w:rPr>
        <w:t xml:space="preserve">Medicine administration errors involving neuromuscular blocking agents present significant risk to patient safety due to potential for unintended paralysis, respiratory arrest, severe permanent harm (including physical and psychological harm) or even death. Most </w:t>
      </w:r>
      <w:r w:rsidR="00D15414">
        <w:rPr>
          <w:rFonts w:ascii="Times New Roman" w:eastAsia="Times New Roman" w:hAnsi="Times New Roman" w:cs="Times New Roman"/>
          <w:sz w:val="24"/>
          <w:szCs w:val="24"/>
          <w:lang w:eastAsia="en-AU"/>
        </w:rPr>
        <w:t xml:space="preserve">reported </w:t>
      </w:r>
      <w:r w:rsidRPr="008C1204">
        <w:rPr>
          <w:rFonts w:ascii="Times New Roman" w:eastAsia="Times New Roman" w:hAnsi="Times New Roman" w:cs="Times New Roman"/>
          <w:sz w:val="24"/>
          <w:szCs w:val="24"/>
          <w:lang w:eastAsia="en-AU"/>
        </w:rPr>
        <w:t xml:space="preserve">administration errors involving neuromuscular blocking agents in Australia </w:t>
      </w:r>
      <w:r w:rsidR="003C3E4C">
        <w:rPr>
          <w:rFonts w:ascii="Times New Roman" w:eastAsia="Times New Roman" w:hAnsi="Times New Roman" w:cs="Times New Roman"/>
          <w:sz w:val="24"/>
          <w:szCs w:val="24"/>
          <w:lang w:eastAsia="en-AU"/>
        </w:rPr>
        <w:t>are</w:t>
      </w:r>
      <w:r w:rsidRPr="008C1204">
        <w:rPr>
          <w:rFonts w:ascii="Times New Roman" w:eastAsia="Times New Roman" w:hAnsi="Times New Roman" w:cs="Times New Roman"/>
          <w:sz w:val="24"/>
          <w:szCs w:val="24"/>
          <w:lang w:eastAsia="en-AU"/>
        </w:rPr>
        <w:t xml:space="preserve"> caused by look-alike selection errors, i.e. where two medicines are similar in appearance resulting in the wrong medicine being chosen and administered.</w:t>
      </w:r>
      <w:r>
        <w:rPr>
          <w:rFonts w:ascii="Times New Roman" w:eastAsia="Times New Roman" w:hAnsi="Times New Roman" w:cs="Times New Roman"/>
          <w:sz w:val="24"/>
          <w:szCs w:val="24"/>
          <w:lang w:eastAsia="en-AU"/>
        </w:rPr>
        <w:t xml:space="preserve"> </w:t>
      </w:r>
    </w:p>
    <w:p w:rsidR="003C3E4C" w:rsidRDefault="003C3E4C" w:rsidP="00B13B42">
      <w:pPr>
        <w:tabs>
          <w:tab w:val="left" w:pos="284"/>
        </w:tabs>
        <w:spacing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new requirements will help reduce administration errors by introducing a visually distinct warning statement on the</w:t>
      </w:r>
      <w:r w:rsidR="0075597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label</w:t>
      </w:r>
      <w:r w:rsidR="0075597C">
        <w:rPr>
          <w:rFonts w:ascii="Times New Roman" w:eastAsia="Times New Roman" w:hAnsi="Times New Roman" w:cs="Times New Roman"/>
          <w:sz w:val="24"/>
          <w:szCs w:val="24"/>
          <w:lang w:eastAsia="en-AU"/>
        </w:rPr>
        <w:t>s</w:t>
      </w:r>
      <w:r w:rsidR="00D15414">
        <w:rPr>
          <w:rFonts w:ascii="Times New Roman" w:eastAsia="Times New Roman" w:hAnsi="Times New Roman" w:cs="Times New Roman"/>
          <w:sz w:val="24"/>
          <w:szCs w:val="24"/>
          <w:lang w:eastAsia="en-AU"/>
        </w:rPr>
        <w:t xml:space="preserve"> of neuromuscular blocking agent-containing medicines</w:t>
      </w:r>
      <w:r>
        <w:rPr>
          <w:rFonts w:ascii="Times New Roman" w:eastAsia="Times New Roman" w:hAnsi="Times New Roman" w:cs="Times New Roman"/>
          <w:sz w:val="24"/>
          <w:szCs w:val="24"/>
          <w:lang w:eastAsia="en-AU"/>
        </w:rPr>
        <w:t xml:space="preserve">. </w:t>
      </w:r>
      <w:r w:rsidR="0085135A">
        <w:rPr>
          <w:rFonts w:ascii="Times New Roman" w:eastAsia="Times New Roman" w:hAnsi="Times New Roman" w:cs="Times New Roman"/>
          <w:sz w:val="24"/>
          <w:szCs w:val="24"/>
          <w:lang w:eastAsia="en-AU"/>
        </w:rPr>
        <w:t>These measures will</w:t>
      </w:r>
      <w:r w:rsidRPr="003C3E4C">
        <w:rPr>
          <w:rFonts w:ascii="Times New Roman" w:eastAsia="Times New Roman" w:hAnsi="Times New Roman" w:cs="Times New Roman"/>
          <w:sz w:val="24"/>
          <w:szCs w:val="24"/>
          <w:lang w:eastAsia="en-AU"/>
        </w:rPr>
        <w:t xml:space="preserve"> </w:t>
      </w:r>
      <w:r w:rsidR="0085135A">
        <w:rPr>
          <w:rFonts w:ascii="Times New Roman" w:eastAsia="Times New Roman" w:hAnsi="Times New Roman" w:cs="Times New Roman"/>
          <w:sz w:val="24"/>
          <w:szCs w:val="24"/>
          <w:lang w:eastAsia="en-AU"/>
        </w:rPr>
        <w:t xml:space="preserve">improve patient safety. </w:t>
      </w:r>
    </w:p>
    <w:p w:rsidR="006C4A3B" w:rsidRPr="00AF6D86" w:rsidRDefault="00BB3D26" w:rsidP="00B13B42">
      <w:pPr>
        <w:tabs>
          <w:tab w:val="left" w:pos="284"/>
        </w:tabs>
        <w:spacing w:after="12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sz w:val="24"/>
          <w:szCs w:val="24"/>
          <w:lang w:eastAsia="en-AU"/>
        </w:rPr>
        <w:t xml:space="preserve">The </w:t>
      </w:r>
      <w:r w:rsidR="00D23887">
        <w:rPr>
          <w:rFonts w:ascii="Times New Roman" w:eastAsia="Times New Roman" w:hAnsi="Times New Roman" w:cs="Times New Roman"/>
          <w:sz w:val="24"/>
          <w:szCs w:val="24"/>
          <w:lang w:eastAsia="en-AU"/>
        </w:rPr>
        <w:t xml:space="preserve">modified </w:t>
      </w:r>
      <w:r>
        <w:rPr>
          <w:rFonts w:ascii="Times New Roman" w:eastAsia="Times New Roman" w:hAnsi="Times New Roman" w:cs="Times New Roman"/>
          <w:sz w:val="24"/>
          <w:szCs w:val="24"/>
          <w:lang w:eastAsia="en-AU"/>
        </w:rPr>
        <w:t xml:space="preserve">requirements for neuromuscular blocking agents in very small containers </w:t>
      </w:r>
      <w:r>
        <w:rPr>
          <w:rFonts w:ascii="Times New Roman" w:eastAsia="Times New Roman" w:hAnsi="Times New Roman" w:cs="Times New Roman"/>
          <w:sz w:val="24"/>
          <w:szCs w:val="24"/>
        </w:rPr>
        <w:t xml:space="preserve">and </w:t>
      </w:r>
      <w:r w:rsidR="00053D5B">
        <w:rPr>
          <w:rFonts w:ascii="Times New Roman" w:eastAsia="Times New Roman" w:hAnsi="Times New Roman" w:cs="Times New Roman"/>
          <w:sz w:val="24"/>
          <w:szCs w:val="24"/>
        </w:rPr>
        <w:t xml:space="preserve">small </w:t>
      </w:r>
      <w:r>
        <w:rPr>
          <w:rFonts w:ascii="Times New Roman" w:eastAsia="Times New Roman" w:hAnsi="Times New Roman" w:cs="Times New Roman"/>
          <w:sz w:val="24"/>
          <w:szCs w:val="24"/>
        </w:rPr>
        <w:t xml:space="preserve">plastic ampoules were </w:t>
      </w:r>
      <w:r w:rsidR="00B13B42">
        <w:rPr>
          <w:rFonts w:ascii="Times New Roman" w:eastAsia="Times New Roman" w:hAnsi="Times New Roman" w:cs="Times New Roman"/>
          <w:sz w:val="24"/>
          <w:szCs w:val="24"/>
        </w:rPr>
        <w:t xml:space="preserve">introduced </w:t>
      </w:r>
      <w:r w:rsidR="00B13B42" w:rsidRPr="00B13B42">
        <w:rPr>
          <w:rFonts w:ascii="Times New Roman" w:eastAsia="Times New Roman" w:hAnsi="Times New Roman" w:cs="Times New Roman"/>
          <w:sz w:val="24"/>
          <w:szCs w:val="24"/>
        </w:rPr>
        <w:t>due to label space or manufacturing limitations</w:t>
      </w:r>
      <w:r w:rsidR="00B13B42">
        <w:rPr>
          <w:rFonts w:ascii="Times New Roman" w:eastAsia="Times New Roman" w:hAnsi="Times New Roman" w:cs="Times New Roman"/>
          <w:sz w:val="24"/>
          <w:szCs w:val="24"/>
        </w:rPr>
        <w:t xml:space="preserve"> which may prevent current medicine sponsors from complying with the new requirements. U</w:t>
      </w:r>
      <w:r w:rsidR="00B13B42" w:rsidRPr="00B13B42">
        <w:rPr>
          <w:rFonts w:ascii="Times New Roman" w:eastAsia="Times New Roman" w:hAnsi="Times New Roman" w:cs="Times New Roman"/>
          <w:sz w:val="24"/>
          <w:szCs w:val="24"/>
        </w:rPr>
        <w:t>nduly onerous labelling requirements may threaten supply of these essential medic</w:t>
      </w:r>
      <w:r w:rsidR="00B13B42">
        <w:rPr>
          <w:rFonts w:ascii="Times New Roman" w:eastAsia="Times New Roman" w:hAnsi="Times New Roman" w:cs="Times New Roman"/>
          <w:sz w:val="24"/>
          <w:szCs w:val="24"/>
        </w:rPr>
        <w:t>ations to the Australian market.</w:t>
      </w:r>
    </w:p>
    <w:p w:rsidR="007508C6" w:rsidRPr="00AF6D86" w:rsidRDefault="007508C6" w:rsidP="007508C6">
      <w:pPr>
        <w:pStyle w:val="Heading3"/>
        <w:spacing w:before="0"/>
        <w:rPr>
          <w:rFonts w:ascii="Times New Roman" w:hAnsi="Times New Roman" w:cs="Times New Roman"/>
          <w:sz w:val="24"/>
          <w:szCs w:val="24"/>
        </w:rPr>
      </w:pPr>
      <w:r w:rsidRPr="00AF6D86">
        <w:rPr>
          <w:rFonts w:ascii="Times New Roman" w:hAnsi="Times New Roman" w:cs="Times New Roman"/>
          <w:sz w:val="24"/>
          <w:szCs w:val="24"/>
        </w:rPr>
        <w:t>CONSULTATION</w:t>
      </w:r>
    </w:p>
    <w:p w:rsidR="002144EB" w:rsidRDefault="003330EE" w:rsidP="003330EE">
      <w:pPr>
        <w:spacing w:before="240" w:line="300" w:lineRule="exact"/>
        <w:rPr>
          <w:rFonts w:ascii="Times New Roman" w:hAnsi="Times New Roman" w:cs="Times New Roman"/>
          <w:color w:val="000000"/>
          <w:sz w:val="24"/>
          <w:szCs w:val="24"/>
        </w:rPr>
      </w:pPr>
      <w:r w:rsidRPr="003330EE">
        <w:rPr>
          <w:rFonts w:ascii="Times New Roman" w:hAnsi="Times New Roman" w:cs="Times New Roman"/>
          <w:bCs/>
          <w:color w:val="000000"/>
          <w:sz w:val="24"/>
          <w:szCs w:val="24"/>
        </w:rPr>
        <w:t xml:space="preserve">The TGA has collaborated with anaesthetists, healthcare groups </w:t>
      </w:r>
      <w:r w:rsidR="00C723B4">
        <w:rPr>
          <w:rFonts w:ascii="Times New Roman" w:hAnsi="Times New Roman" w:cs="Times New Roman"/>
          <w:bCs/>
          <w:color w:val="000000"/>
          <w:sz w:val="24"/>
          <w:szCs w:val="24"/>
        </w:rPr>
        <w:t xml:space="preserve">(including </w:t>
      </w:r>
      <w:r w:rsidR="00C723B4" w:rsidRPr="00C723B4">
        <w:rPr>
          <w:rFonts w:ascii="Times New Roman" w:hAnsi="Times New Roman" w:cs="Times New Roman"/>
          <w:bCs/>
          <w:color w:val="000000"/>
          <w:sz w:val="24"/>
          <w:szCs w:val="24"/>
        </w:rPr>
        <w:t>the Australian and New Zealand College of Anaesthetists (ANZCA), Victorian and New South Wales Therapeutic Advisory Groups (</w:t>
      </w:r>
      <w:proofErr w:type="spellStart"/>
      <w:r w:rsidR="00C723B4" w:rsidRPr="00C723B4">
        <w:rPr>
          <w:rFonts w:ascii="Times New Roman" w:hAnsi="Times New Roman" w:cs="Times New Roman"/>
          <w:bCs/>
          <w:color w:val="000000"/>
          <w:sz w:val="24"/>
          <w:szCs w:val="24"/>
        </w:rPr>
        <w:t>VicTAG</w:t>
      </w:r>
      <w:proofErr w:type="spellEnd"/>
      <w:r w:rsidR="00C723B4" w:rsidRPr="00C723B4">
        <w:rPr>
          <w:rFonts w:ascii="Times New Roman" w:hAnsi="Times New Roman" w:cs="Times New Roman"/>
          <w:bCs/>
          <w:color w:val="000000"/>
          <w:sz w:val="24"/>
          <w:szCs w:val="24"/>
        </w:rPr>
        <w:t>, NSWTAG), the Australian Commission on Safety and Quality in Health Care (ACSQHC) and the Society of Hospit</w:t>
      </w:r>
      <w:r w:rsidR="00C723B4">
        <w:rPr>
          <w:rFonts w:ascii="Times New Roman" w:hAnsi="Times New Roman" w:cs="Times New Roman"/>
          <w:bCs/>
          <w:color w:val="000000"/>
          <w:sz w:val="24"/>
          <w:szCs w:val="24"/>
        </w:rPr>
        <w:t xml:space="preserve">al Pharmacists Australia (SHPA)) </w:t>
      </w:r>
      <w:r w:rsidRPr="003330EE">
        <w:rPr>
          <w:rFonts w:ascii="Times New Roman" w:hAnsi="Times New Roman" w:cs="Times New Roman"/>
          <w:bCs/>
          <w:color w:val="000000"/>
          <w:sz w:val="24"/>
          <w:szCs w:val="24"/>
        </w:rPr>
        <w:t>and medicine sponsors to investigate possible strategies to minimise administration errors</w:t>
      </w:r>
      <w:r w:rsidR="003511BB">
        <w:rPr>
          <w:rFonts w:ascii="Times New Roman" w:hAnsi="Times New Roman" w:cs="Times New Roman"/>
          <w:bCs/>
          <w:color w:val="000000"/>
          <w:sz w:val="24"/>
          <w:szCs w:val="24"/>
        </w:rPr>
        <w:t xml:space="preserve"> of neuromuscular blocking agent-containing medicines</w:t>
      </w:r>
      <w:r w:rsidRPr="003330EE">
        <w:rPr>
          <w:rFonts w:ascii="Times New Roman" w:hAnsi="Times New Roman" w:cs="Times New Roman"/>
          <w:bCs/>
          <w:color w:val="000000"/>
          <w:sz w:val="24"/>
          <w:szCs w:val="24"/>
        </w:rPr>
        <w:t xml:space="preserve">. </w:t>
      </w:r>
      <w:r w:rsidR="00477581">
        <w:rPr>
          <w:rFonts w:ascii="Times New Roman" w:hAnsi="Times New Roman" w:cs="Times New Roman"/>
          <w:color w:val="000000"/>
          <w:sz w:val="24"/>
          <w:szCs w:val="24"/>
        </w:rPr>
        <w:t>This</w:t>
      </w:r>
      <w:r w:rsidR="00477581" w:rsidRPr="00477581">
        <w:rPr>
          <w:rFonts w:ascii="Times New Roman" w:hAnsi="Times New Roman" w:cs="Times New Roman"/>
          <w:color w:val="000000"/>
          <w:sz w:val="24"/>
          <w:szCs w:val="24"/>
        </w:rPr>
        <w:t xml:space="preserve"> included a round table meeting</w:t>
      </w:r>
      <w:r w:rsidR="00697B41">
        <w:rPr>
          <w:rFonts w:ascii="Times New Roman" w:hAnsi="Times New Roman" w:cs="Times New Roman"/>
          <w:color w:val="000000"/>
          <w:sz w:val="24"/>
          <w:szCs w:val="24"/>
        </w:rPr>
        <w:t>,</w:t>
      </w:r>
      <w:r w:rsidR="00477581" w:rsidRPr="00477581">
        <w:rPr>
          <w:rFonts w:ascii="Times New Roman" w:hAnsi="Times New Roman" w:cs="Times New Roman"/>
          <w:color w:val="000000"/>
          <w:sz w:val="24"/>
          <w:szCs w:val="24"/>
        </w:rPr>
        <w:t xml:space="preserve"> targeted consultation with all parties and a targeted costings survey of medicine sponsors on the proposed changes.</w:t>
      </w:r>
      <w:r w:rsidRPr="003330EE">
        <w:rPr>
          <w:rFonts w:ascii="Times New Roman" w:eastAsia="Calibri" w:hAnsi="Times New Roman" w:cs="Times New Roman"/>
          <w:sz w:val="24"/>
          <w:szCs w:val="24"/>
        </w:rPr>
        <w:t xml:space="preserve"> </w:t>
      </w:r>
      <w:r w:rsidR="00D15414">
        <w:rPr>
          <w:rFonts w:ascii="Times New Roman" w:eastAsia="Calibri" w:hAnsi="Times New Roman" w:cs="Times New Roman"/>
          <w:sz w:val="24"/>
          <w:szCs w:val="24"/>
        </w:rPr>
        <w:t xml:space="preserve">This consultation occurred between November 2017 and </w:t>
      </w:r>
      <w:r w:rsidR="00027934">
        <w:rPr>
          <w:rFonts w:ascii="Times New Roman" w:eastAsia="Calibri" w:hAnsi="Times New Roman" w:cs="Times New Roman"/>
          <w:sz w:val="24"/>
          <w:szCs w:val="24"/>
        </w:rPr>
        <w:t>May</w:t>
      </w:r>
      <w:r w:rsidR="00D15414">
        <w:rPr>
          <w:rFonts w:ascii="Times New Roman" w:eastAsia="Calibri" w:hAnsi="Times New Roman" w:cs="Times New Roman"/>
          <w:sz w:val="24"/>
          <w:szCs w:val="24"/>
        </w:rPr>
        <w:t xml:space="preserve"> 2018. </w:t>
      </w:r>
    </w:p>
    <w:p w:rsidR="00A2363A" w:rsidRPr="003330EE" w:rsidRDefault="00A2363A" w:rsidP="003330EE">
      <w:pPr>
        <w:spacing w:before="240" w:line="300" w:lineRule="exact"/>
        <w:rPr>
          <w:rFonts w:ascii="Times New Roman" w:hAnsi="Times New Roman" w:cs="Times New Roman"/>
          <w:bCs/>
          <w:color w:val="000000"/>
          <w:sz w:val="24"/>
          <w:szCs w:val="24"/>
        </w:rPr>
      </w:pPr>
      <w:r>
        <w:rPr>
          <w:rFonts w:ascii="Times New Roman" w:hAnsi="Times New Roman" w:cs="Times New Roman"/>
          <w:bCs/>
          <w:color w:val="000000"/>
          <w:sz w:val="24"/>
          <w:szCs w:val="24"/>
        </w:rPr>
        <w:t>Consumer groups have not been consulted because these medicine</w:t>
      </w:r>
      <w:r w:rsidR="003511BB">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are gene</w:t>
      </w:r>
      <w:r w:rsidR="003511BB">
        <w:rPr>
          <w:rFonts w:ascii="Times New Roman" w:hAnsi="Times New Roman" w:cs="Times New Roman"/>
          <w:bCs/>
          <w:color w:val="000000"/>
          <w:sz w:val="24"/>
          <w:szCs w:val="24"/>
        </w:rPr>
        <w:t xml:space="preserve">rally not visible to consumers, but </w:t>
      </w:r>
      <w:r>
        <w:rPr>
          <w:rFonts w:ascii="Times New Roman" w:hAnsi="Times New Roman" w:cs="Times New Roman"/>
          <w:bCs/>
          <w:color w:val="000000"/>
          <w:sz w:val="24"/>
          <w:szCs w:val="24"/>
        </w:rPr>
        <w:t xml:space="preserve">are only available in hospitals for administration by medical professionals. </w:t>
      </w:r>
    </w:p>
    <w:p w:rsidR="002144EB" w:rsidRDefault="002144EB" w:rsidP="002144EB">
      <w:pPr>
        <w:spacing w:before="240" w:line="300" w:lineRule="exact"/>
        <w:rPr>
          <w:rFonts w:ascii="Times New Roman" w:hAnsi="Times New Roman" w:cs="Times New Roman"/>
          <w:color w:val="000000"/>
          <w:sz w:val="24"/>
          <w:szCs w:val="24"/>
        </w:rPr>
      </w:pPr>
      <w:r w:rsidRPr="003330EE">
        <w:rPr>
          <w:rFonts w:ascii="Times New Roman" w:hAnsi="Times New Roman" w:cs="Times New Roman"/>
          <w:color w:val="000000"/>
          <w:sz w:val="24"/>
          <w:szCs w:val="24"/>
        </w:rPr>
        <w:t xml:space="preserve">The two year transition period for these changes has begun and will end on 1 September 2020. After this time, all </w:t>
      </w:r>
      <w:r w:rsidR="003511BB">
        <w:rPr>
          <w:rFonts w:ascii="Times New Roman" w:hAnsi="Times New Roman" w:cs="Times New Roman"/>
          <w:bCs/>
          <w:color w:val="000000"/>
          <w:sz w:val="24"/>
          <w:szCs w:val="24"/>
        </w:rPr>
        <w:t xml:space="preserve">neuromuscular blocking agent-containing medicine </w:t>
      </w:r>
      <w:r w:rsidRPr="003330EE">
        <w:rPr>
          <w:rFonts w:ascii="Times New Roman" w:hAnsi="Times New Roman" w:cs="Times New Roman"/>
          <w:color w:val="000000"/>
          <w:sz w:val="24"/>
          <w:szCs w:val="24"/>
        </w:rPr>
        <w:t xml:space="preserve">labels </w:t>
      </w:r>
      <w:r w:rsidR="007C01E8">
        <w:rPr>
          <w:rFonts w:ascii="Times New Roman" w:hAnsi="Times New Roman" w:cs="Times New Roman"/>
          <w:color w:val="000000"/>
          <w:sz w:val="24"/>
          <w:szCs w:val="24"/>
        </w:rPr>
        <w:t>must include the new requirements</w:t>
      </w:r>
      <w:r w:rsidRPr="003330EE">
        <w:rPr>
          <w:rFonts w:ascii="Times New Roman" w:hAnsi="Times New Roman" w:cs="Times New Roman"/>
          <w:color w:val="000000"/>
          <w:sz w:val="24"/>
          <w:szCs w:val="24"/>
        </w:rPr>
        <w:t xml:space="preserve">. </w:t>
      </w:r>
      <w:r w:rsidR="00477581">
        <w:rPr>
          <w:rFonts w:ascii="Times New Roman" w:hAnsi="Times New Roman" w:cs="Times New Roman"/>
          <w:color w:val="000000"/>
          <w:sz w:val="24"/>
          <w:szCs w:val="24"/>
        </w:rPr>
        <w:t>Medicine s</w:t>
      </w:r>
      <w:r>
        <w:rPr>
          <w:rFonts w:ascii="Times New Roman" w:hAnsi="Times New Roman" w:cs="Times New Roman"/>
          <w:color w:val="000000"/>
          <w:sz w:val="24"/>
          <w:szCs w:val="24"/>
        </w:rPr>
        <w:t xml:space="preserve">ponsors are aware of this transition period. </w:t>
      </w:r>
      <w:r w:rsidR="00D916B1">
        <w:rPr>
          <w:rFonts w:ascii="Times New Roman" w:hAnsi="Times New Roman" w:cs="Times New Roman"/>
          <w:color w:val="000000"/>
          <w:sz w:val="24"/>
          <w:szCs w:val="24"/>
        </w:rPr>
        <w:br/>
      </w:r>
    </w:p>
    <w:p w:rsidR="007508C6" w:rsidRPr="00AF6D86" w:rsidRDefault="007508C6" w:rsidP="007508C6">
      <w:pPr>
        <w:pStyle w:val="Heading3"/>
        <w:spacing w:before="0"/>
        <w:rPr>
          <w:rFonts w:ascii="Times New Roman" w:hAnsi="Times New Roman" w:cs="Times New Roman"/>
          <w:sz w:val="24"/>
          <w:szCs w:val="24"/>
        </w:rPr>
      </w:pPr>
      <w:r w:rsidRPr="00AF6D86">
        <w:rPr>
          <w:rFonts w:ascii="Times New Roman" w:hAnsi="Times New Roman" w:cs="Times New Roman"/>
          <w:sz w:val="24"/>
          <w:szCs w:val="24"/>
        </w:rPr>
        <w:t>REGULATION IMPACT</w:t>
      </w:r>
    </w:p>
    <w:p w:rsidR="00FC4C3D" w:rsidRDefault="00FC4C3D" w:rsidP="002A6CC1">
      <w:pPr>
        <w:spacing w:before="240" w:line="300" w:lineRule="exact"/>
        <w:rPr>
          <w:rFonts w:ascii="Times New Roman" w:hAnsi="Times New Roman" w:cs="Times New Roman"/>
          <w:sz w:val="24"/>
          <w:szCs w:val="24"/>
        </w:rPr>
      </w:pPr>
      <w:r w:rsidRPr="00FC4C3D">
        <w:rPr>
          <w:rFonts w:ascii="Times New Roman" w:hAnsi="Times New Roman" w:cs="Times New Roman"/>
          <w:sz w:val="24"/>
          <w:szCs w:val="24"/>
        </w:rPr>
        <w:t xml:space="preserve">A Regulation Impact Statement is not required for these </w:t>
      </w:r>
      <w:r>
        <w:rPr>
          <w:rFonts w:ascii="Times New Roman" w:hAnsi="Times New Roman" w:cs="Times New Roman"/>
          <w:sz w:val="24"/>
          <w:szCs w:val="24"/>
        </w:rPr>
        <w:t>new requirements</w:t>
      </w:r>
      <w:r w:rsidRPr="00FC4C3D">
        <w:rPr>
          <w:rFonts w:ascii="Times New Roman" w:hAnsi="Times New Roman" w:cs="Times New Roman"/>
          <w:sz w:val="24"/>
          <w:szCs w:val="24"/>
        </w:rPr>
        <w:t xml:space="preserve"> (OBPR reference 23719).</w:t>
      </w:r>
    </w:p>
    <w:p w:rsidR="00BC5C4B" w:rsidRPr="00AF6D86" w:rsidRDefault="006F0C14" w:rsidP="00140A3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sz w:val="24"/>
          <w:szCs w:val="24"/>
          <w:lang w:eastAsia="en-AU"/>
        </w:rPr>
        <w:t>This Order</w:t>
      </w:r>
      <w:r w:rsidR="002C264E" w:rsidRPr="00AF6D86">
        <w:rPr>
          <w:rFonts w:ascii="Times New Roman" w:eastAsia="Times New Roman" w:hAnsi="Times New Roman" w:cs="Times New Roman"/>
          <w:sz w:val="24"/>
          <w:szCs w:val="24"/>
          <w:lang w:eastAsia="en-AU"/>
        </w:rPr>
        <w:t xml:space="preserve"> </w:t>
      </w:r>
      <w:r w:rsidR="00BC5C4B" w:rsidRPr="00AF6D86">
        <w:rPr>
          <w:rFonts w:ascii="Times New Roman" w:eastAsia="Times New Roman" w:hAnsi="Times New Roman" w:cs="Times New Roman"/>
          <w:sz w:val="24"/>
          <w:szCs w:val="24"/>
          <w:lang w:eastAsia="en-AU"/>
        </w:rPr>
        <w:t xml:space="preserve">is a legislative instrument for the purposes of the </w:t>
      </w:r>
      <w:r w:rsidR="0082435D" w:rsidRPr="00AF6D86">
        <w:rPr>
          <w:rFonts w:ascii="Times New Roman" w:eastAsia="Times New Roman" w:hAnsi="Times New Roman" w:cs="Times New Roman"/>
          <w:i/>
          <w:sz w:val="24"/>
          <w:szCs w:val="24"/>
          <w:lang w:eastAsia="en-AU"/>
        </w:rPr>
        <w:t>Legislation Act 2003</w:t>
      </w:r>
      <w:r w:rsidR="0082435D" w:rsidRPr="00AF6D86">
        <w:rPr>
          <w:rFonts w:ascii="Times New Roman" w:eastAsia="Times New Roman" w:hAnsi="Times New Roman" w:cs="Times New Roman"/>
          <w:sz w:val="24"/>
          <w:szCs w:val="24"/>
          <w:lang w:eastAsia="en-AU"/>
        </w:rPr>
        <w:t xml:space="preserve">. </w:t>
      </w:r>
    </w:p>
    <w:p w:rsidR="006C4A3B" w:rsidRPr="00AF6D86" w:rsidRDefault="00BC5C4B" w:rsidP="009E2B39">
      <w:pPr>
        <w:shd w:val="clear" w:color="auto" w:fill="FFFFFF"/>
        <w:spacing w:before="100" w:beforeAutospacing="1" w:after="120" w:line="240" w:lineRule="auto"/>
        <w:rPr>
          <w:rFonts w:ascii="Times New Roman" w:eastAsia="Times New Roman" w:hAnsi="Times New Roman" w:cs="Times New Roman"/>
          <w:b/>
          <w:bCs/>
          <w:sz w:val="24"/>
          <w:szCs w:val="24"/>
          <w:lang w:eastAsia="en-AU"/>
        </w:rPr>
      </w:pPr>
      <w:r w:rsidRPr="00AF6D86">
        <w:rPr>
          <w:rFonts w:ascii="Times New Roman" w:eastAsia="Times New Roman" w:hAnsi="Times New Roman" w:cs="Times New Roman"/>
          <w:sz w:val="24"/>
          <w:szCs w:val="24"/>
          <w:lang w:eastAsia="en-AU"/>
        </w:rPr>
        <w:t xml:space="preserve">In relation to compatibility with human rights, it is considered that </w:t>
      </w:r>
      <w:r w:rsidR="006F0C14" w:rsidRPr="00AF6D86">
        <w:rPr>
          <w:rFonts w:ascii="Times New Roman" w:eastAsia="Times New Roman" w:hAnsi="Times New Roman" w:cs="Times New Roman"/>
          <w:sz w:val="24"/>
          <w:szCs w:val="24"/>
          <w:lang w:eastAsia="en-AU"/>
        </w:rPr>
        <w:t>this Order</w:t>
      </w:r>
      <w:r w:rsidRPr="00AF6D86">
        <w:rPr>
          <w:rFonts w:ascii="Times New Roman" w:eastAsia="Times New Roman" w:hAnsi="Times New Roman" w:cs="Times New Roman"/>
          <w:sz w:val="24"/>
          <w:szCs w:val="24"/>
          <w:lang w:eastAsia="en-AU"/>
        </w:rPr>
        <w:t xml:space="preserve"> is compatible with the human rights and freedoms recognised or declared in the international instruments listed in section 3 of the </w:t>
      </w:r>
      <w:r w:rsidRPr="00AF6D86">
        <w:rPr>
          <w:rFonts w:ascii="Times New Roman" w:eastAsia="Times New Roman" w:hAnsi="Times New Roman" w:cs="Times New Roman"/>
          <w:i/>
          <w:iCs/>
          <w:sz w:val="24"/>
          <w:szCs w:val="24"/>
          <w:lang w:eastAsia="en-AU"/>
        </w:rPr>
        <w:t>Human Rights (Parliamentary Scrutiny) Act 2011</w:t>
      </w:r>
      <w:r w:rsidRPr="00AF6D86">
        <w:rPr>
          <w:rFonts w:ascii="Times New Roman" w:eastAsia="Times New Roman" w:hAnsi="Times New Roman" w:cs="Times New Roman"/>
          <w:sz w:val="24"/>
          <w:szCs w:val="24"/>
          <w:lang w:eastAsia="en-AU"/>
        </w:rPr>
        <w:t>, and a Statement of Compatibility setting that out in furt</w:t>
      </w:r>
      <w:bookmarkStart w:id="0" w:name="_GoBack"/>
      <w:bookmarkEnd w:id="0"/>
      <w:r w:rsidRPr="00AF6D86">
        <w:rPr>
          <w:rFonts w:ascii="Times New Roman" w:eastAsia="Times New Roman" w:hAnsi="Times New Roman" w:cs="Times New Roman"/>
          <w:sz w:val="24"/>
          <w:szCs w:val="24"/>
          <w:lang w:eastAsia="en-AU"/>
        </w:rPr>
        <w:t>her detail is below.</w:t>
      </w:r>
    </w:p>
    <w:p w:rsidR="006C4A3B" w:rsidRPr="00AF6D86" w:rsidRDefault="006C4A3B" w:rsidP="004943B7">
      <w:pPr>
        <w:shd w:val="clear" w:color="auto" w:fill="FFFFFF"/>
        <w:spacing w:before="100" w:beforeAutospacing="1" w:after="120" w:line="240" w:lineRule="auto"/>
        <w:rPr>
          <w:rFonts w:ascii="Times New Roman" w:eastAsia="Times New Roman" w:hAnsi="Times New Roman" w:cs="Times New Roman"/>
          <w:b/>
          <w:bCs/>
          <w:sz w:val="24"/>
          <w:szCs w:val="24"/>
          <w:lang w:eastAsia="en-AU"/>
        </w:rPr>
        <w:sectPr w:rsidR="006C4A3B" w:rsidRPr="00AF6D86">
          <w:footerReference w:type="default" r:id="rId9"/>
          <w:pgSz w:w="11906" w:h="16838"/>
          <w:pgMar w:top="1440" w:right="1440" w:bottom="1440" w:left="1440" w:header="708" w:footer="708" w:gutter="0"/>
          <w:cols w:space="708"/>
          <w:docGrid w:linePitch="360"/>
        </w:sectPr>
      </w:pPr>
    </w:p>
    <w:p w:rsidR="004943B7" w:rsidRPr="00AF6D86" w:rsidRDefault="004943B7" w:rsidP="00B64219">
      <w:pPr>
        <w:shd w:val="clear" w:color="auto" w:fill="FFFFFF"/>
        <w:spacing w:before="100" w:beforeAutospacing="1" w:after="120" w:line="240" w:lineRule="auto"/>
        <w:jc w:val="center"/>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b/>
          <w:bCs/>
          <w:sz w:val="24"/>
          <w:szCs w:val="24"/>
          <w:lang w:eastAsia="en-AU"/>
        </w:rPr>
        <w:t>Statement of Compatibility with Human Rights</w:t>
      </w:r>
    </w:p>
    <w:p w:rsidR="004943B7" w:rsidRPr="00AF6D86" w:rsidRDefault="004943B7" w:rsidP="00B64219">
      <w:pPr>
        <w:shd w:val="clear" w:color="auto" w:fill="FFFFFF"/>
        <w:spacing w:before="100" w:beforeAutospacing="1" w:after="120" w:line="240" w:lineRule="auto"/>
        <w:jc w:val="center"/>
        <w:rPr>
          <w:rFonts w:ascii="Times New Roman" w:eastAsia="Times New Roman" w:hAnsi="Times New Roman" w:cs="Times New Roman"/>
          <w:sz w:val="24"/>
          <w:szCs w:val="24"/>
          <w:lang w:val="en-US" w:eastAsia="en-AU"/>
        </w:rPr>
      </w:pPr>
      <w:proofErr w:type="gramStart"/>
      <w:r w:rsidRPr="00AF6D86">
        <w:rPr>
          <w:rFonts w:ascii="Times New Roman" w:eastAsia="Times New Roman" w:hAnsi="Times New Roman" w:cs="Times New Roman"/>
          <w:sz w:val="24"/>
          <w:szCs w:val="24"/>
          <w:lang w:eastAsia="en-AU"/>
        </w:rPr>
        <w:t>Prepared in accordance with Part 3 of the</w:t>
      </w:r>
      <w:r w:rsidRPr="00AF6D86">
        <w:rPr>
          <w:rFonts w:ascii="Times New Roman" w:eastAsia="Times New Roman" w:hAnsi="Times New Roman" w:cs="Times New Roman"/>
          <w:i/>
          <w:iCs/>
          <w:sz w:val="24"/>
          <w:szCs w:val="24"/>
          <w:lang w:eastAsia="en-AU"/>
        </w:rPr>
        <w:t xml:space="preserve"> Human Rights (Parliamentary Scrutiny) Act 2011</w:t>
      </w:r>
      <w:r w:rsidRPr="00AF6D86">
        <w:rPr>
          <w:rFonts w:ascii="Times New Roman" w:eastAsia="Times New Roman" w:hAnsi="Times New Roman" w:cs="Times New Roman"/>
          <w:sz w:val="24"/>
          <w:szCs w:val="24"/>
          <w:lang w:eastAsia="en-AU"/>
        </w:rPr>
        <w:t>.</w:t>
      </w:r>
      <w:proofErr w:type="gramEnd"/>
    </w:p>
    <w:p w:rsidR="003978CB" w:rsidRPr="004E0D9D" w:rsidRDefault="003978CB" w:rsidP="00B6421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E0D9D">
        <w:rPr>
          <w:rFonts w:ascii="Times New Roman" w:eastAsia="Times New Roman" w:hAnsi="Times New Roman" w:cs="Times New Roman"/>
          <w:b/>
          <w:bCs/>
          <w:sz w:val="24"/>
          <w:szCs w:val="24"/>
          <w:lang w:eastAsia="en-AU"/>
        </w:rPr>
        <w:t>Therapeutic Goods Order No. 91B - Therapeutic Goods Order No. 91 (Standard for labels of prescription and related medicines) Amendment Order 2018</w:t>
      </w:r>
    </w:p>
    <w:p w:rsidR="004943B7"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AF6D86">
        <w:rPr>
          <w:rFonts w:ascii="Times New Roman" w:eastAsia="Times New Roman" w:hAnsi="Times New Roman" w:cs="Times New Roman"/>
          <w:i/>
          <w:iCs/>
          <w:sz w:val="24"/>
          <w:szCs w:val="24"/>
          <w:lang w:eastAsia="en-AU"/>
        </w:rPr>
        <w:t>Human Rights (Parliamentary Scrutiny) Act 2011</w:t>
      </w:r>
      <w:r w:rsidRPr="00AF6D86">
        <w:rPr>
          <w:rFonts w:ascii="Times New Roman" w:eastAsia="Times New Roman" w:hAnsi="Times New Roman" w:cs="Times New Roman"/>
          <w:sz w:val="24"/>
          <w:szCs w:val="24"/>
          <w:lang w:eastAsia="en-AU"/>
        </w:rPr>
        <w:t>.</w:t>
      </w:r>
    </w:p>
    <w:p w:rsidR="004943B7"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b/>
          <w:bCs/>
          <w:sz w:val="24"/>
          <w:szCs w:val="24"/>
          <w:lang w:eastAsia="en-AU"/>
        </w:rPr>
        <w:t>Overview of the Legislative Instrument</w:t>
      </w:r>
    </w:p>
    <w:p w:rsidR="001E0BBC" w:rsidRPr="00AF6D86" w:rsidRDefault="001E0BBC" w:rsidP="001E0BBC">
      <w:pPr>
        <w:autoSpaceDE w:val="0"/>
        <w:autoSpaceDN w:val="0"/>
        <w:adjustRightInd w:val="0"/>
        <w:spacing w:before="240" w:after="0" w:line="240" w:lineRule="auto"/>
        <w:rPr>
          <w:rStyle w:val="CommentReference"/>
          <w:rFonts w:ascii="Times New Roman" w:hAnsi="Times New Roman" w:cs="Times New Roman"/>
          <w:sz w:val="24"/>
          <w:szCs w:val="24"/>
        </w:rPr>
      </w:pPr>
      <w:r w:rsidRPr="00AF6D86">
        <w:rPr>
          <w:rStyle w:val="CommentReference"/>
          <w:rFonts w:ascii="Times New Roman" w:hAnsi="Times New Roman" w:cs="Times New Roman"/>
          <w:i/>
          <w:sz w:val="24"/>
          <w:szCs w:val="24"/>
        </w:rPr>
        <w:t xml:space="preserve">Therapeutic Goods Order No. 91 - Standard for labels of prescription and related medicines </w:t>
      </w:r>
      <w:r w:rsidRPr="00AF6D86">
        <w:rPr>
          <w:rStyle w:val="CommentReference"/>
          <w:rFonts w:ascii="Times New Roman" w:hAnsi="Times New Roman" w:cs="Times New Roman"/>
          <w:sz w:val="24"/>
          <w:szCs w:val="24"/>
        </w:rPr>
        <w:t>(TGO 91</w:t>
      </w:r>
      <w:r>
        <w:rPr>
          <w:rStyle w:val="CommentReference"/>
          <w:rFonts w:ascii="Times New Roman" w:hAnsi="Times New Roman" w:cs="Times New Roman"/>
          <w:sz w:val="24"/>
          <w:szCs w:val="24"/>
        </w:rPr>
        <w:t xml:space="preserve">, Register ID: </w:t>
      </w:r>
      <w:r w:rsidRPr="00C658A1">
        <w:rPr>
          <w:rStyle w:val="CommentReference"/>
          <w:rFonts w:ascii="Times New Roman" w:hAnsi="Times New Roman" w:cs="Times New Roman"/>
          <w:sz w:val="24"/>
          <w:szCs w:val="24"/>
        </w:rPr>
        <w:t>F2017C00743</w:t>
      </w:r>
      <w:r w:rsidRPr="00AF6D86">
        <w:rPr>
          <w:rStyle w:val="CommentReference"/>
          <w:rFonts w:ascii="Times New Roman" w:hAnsi="Times New Roman" w:cs="Times New Roman"/>
          <w:sz w:val="24"/>
          <w:szCs w:val="24"/>
        </w:rPr>
        <w:t xml:space="preserve">) </w:t>
      </w:r>
      <w:r w:rsidR="00E43E72">
        <w:rPr>
          <w:rStyle w:val="CommentReference"/>
          <w:rFonts w:ascii="Times New Roman" w:hAnsi="Times New Roman" w:cs="Times New Roman"/>
          <w:sz w:val="24"/>
          <w:szCs w:val="24"/>
        </w:rPr>
        <w:t>commenced</w:t>
      </w:r>
      <w:r w:rsidRPr="00AF6D86">
        <w:rPr>
          <w:rStyle w:val="CommentReference"/>
          <w:rFonts w:ascii="Times New Roman" w:hAnsi="Times New Roman" w:cs="Times New Roman"/>
          <w:sz w:val="24"/>
          <w:szCs w:val="24"/>
        </w:rPr>
        <w:t xml:space="preserve"> on </w:t>
      </w:r>
      <w:r w:rsidR="00E43E72">
        <w:rPr>
          <w:rStyle w:val="CommentReference"/>
          <w:rFonts w:ascii="Times New Roman" w:hAnsi="Times New Roman" w:cs="Times New Roman"/>
          <w:sz w:val="24"/>
          <w:szCs w:val="24"/>
        </w:rPr>
        <w:t>31</w:t>
      </w:r>
      <w:r w:rsidR="00E43E72" w:rsidRPr="00AF6D86">
        <w:rPr>
          <w:rStyle w:val="CommentReference"/>
          <w:rFonts w:ascii="Times New Roman" w:hAnsi="Times New Roman" w:cs="Times New Roman"/>
          <w:sz w:val="24"/>
          <w:szCs w:val="24"/>
        </w:rPr>
        <w:t xml:space="preserve"> </w:t>
      </w:r>
      <w:r w:rsidRPr="00AF6D86">
        <w:rPr>
          <w:rStyle w:val="CommentReference"/>
          <w:rFonts w:ascii="Times New Roman" w:hAnsi="Times New Roman" w:cs="Times New Roman"/>
          <w:sz w:val="24"/>
          <w:szCs w:val="24"/>
        </w:rPr>
        <w:t xml:space="preserve">August </w:t>
      </w:r>
      <w:r w:rsidR="00E43E72" w:rsidRPr="00AF6D86">
        <w:rPr>
          <w:rStyle w:val="CommentReference"/>
          <w:rFonts w:ascii="Times New Roman" w:hAnsi="Times New Roman" w:cs="Times New Roman"/>
          <w:sz w:val="24"/>
          <w:szCs w:val="24"/>
        </w:rPr>
        <w:t>201</w:t>
      </w:r>
      <w:r w:rsidR="00E43E72">
        <w:rPr>
          <w:rStyle w:val="CommentReference"/>
          <w:rFonts w:ascii="Times New Roman" w:hAnsi="Times New Roman" w:cs="Times New Roman"/>
          <w:sz w:val="24"/>
          <w:szCs w:val="24"/>
        </w:rPr>
        <w:t>6</w:t>
      </w:r>
      <w:r w:rsidR="002C4E26">
        <w:rPr>
          <w:rStyle w:val="CommentReference"/>
          <w:rFonts w:ascii="Times New Roman" w:hAnsi="Times New Roman" w:cs="Times New Roman"/>
          <w:sz w:val="24"/>
          <w:szCs w:val="24"/>
        </w:rPr>
        <w:t>. It was made</w:t>
      </w:r>
      <w:r w:rsidR="00E43E72">
        <w:rPr>
          <w:rStyle w:val="CommentReference"/>
          <w:rFonts w:ascii="Times New Roman" w:hAnsi="Times New Roman" w:cs="Times New Roman"/>
          <w:sz w:val="24"/>
          <w:szCs w:val="24"/>
        </w:rPr>
        <w:t xml:space="preserve"> </w:t>
      </w:r>
      <w:r w:rsidRPr="00AF6D86">
        <w:rPr>
          <w:rStyle w:val="CommentReference"/>
          <w:rFonts w:ascii="Times New Roman" w:hAnsi="Times New Roman" w:cs="Times New Roman"/>
          <w:sz w:val="24"/>
          <w:szCs w:val="24"/>
        </w:rPr>
        <w:t xml:space="preserve">by the delegate of the then Minister for Health under section 10 of the Act. </w:t>
      </w:r>
      <w:r w:rsidRPr="00D47758">
        <w:rPr>
          <w:rFonts w:ascii="Times New Roman" w:eastAsia="Times New Roman" w:hAnsi="Times New Roman" w:cs="Times New Roman"/>
          <w:i/>
          <w:sz w:val="24"/>
          <w:szCs w:val="24"/>
          <w:lang w:eastAsia="en-AU"/>
        </w:rPr>
        <w:t>Therapeutic Goods Order No. 91B - Therapeutic Goods Order No. 91 (Standard for labels of prescription and related medicines) Amendment Order 2018</w:t>
      </w:r>
      <w:r w:rsidRPr="00D47758">
        <w:rPr>
          <w:rStyle w:val="CommentReference"/>
          <w:rFonts w:ascii="Times New Roman" w:eastAsia="Times New Roman" w:hAnsi="Times New Roman" w:cs="Times New Roman"/>
          <w:i/>
          <w:sz w:val="24"/>
          <w:szCs w:val="24"/>
          <w:lang w:eastAsia="en-AU"/>
        </w:rPr>
        <w:t xml:space="preserve"> </w:t>
      </w:r>
      <w:r w:rsidRPr="00AF6D86">
        <w:rPr>
          <w:rStyle w:val="CommentReference"/>
          <w:rFonts w:ascii="Times New Roman" w:hAnsi="Times New Roman" w:cs="Times New Roman"/>
          <w:sz w:val="24"/>
          <w:szCs w:val="24"/>
        </w:rPr>
        <w:t>(this Order) amends</w:t>
      </w:r>
      <w:r>
        <w:rPr>
          <w:rStyle w:val="CommentReference"/>
          <w:rFonts w:ascii="Times New Roman" w:hAnsi="Times New Roman" w:cs="Times New Roman"/>
          <w:sz w:val="24"/>
          <w:szCs w:val="24"/>
        </w:rPr>
        <w:t xml:space="preserve"> TGO 91</w:t>
      </w:r>
      <w:r w:rsidRPr="00AF6D86">
        <w:rPr>
          <w:rStyle w:val="CommentReference"/>
          <w:rFonts w:ascii="Times New Roman" w:hAnsi="Times New Roman" w:cs="Times New Roman"/>
          <w:sz w:val="24"/>
          <w:szCs w:val="24"/>
        </w:rPr>
        <w:t xml:space="preserve">. </w:t>
      </w:r>
    </w:p>
    <w:p w:rsidR="00291533" w:rsidRDefault="002C4E26" w:rsidP="00291533">
      <w:pPr>
        <w:autoSpaceDE w:val="0"/>
        <w:autoSpaceDN w:val="0"/>
        <w:adjustRightInd w:val="0"/>
        <w:spacing w:before="240" w:after="0" w:line="24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C</w:t>
      </w:r>
      <w:r w:rsidR="00696859" w:rsidRPr="00AF6D86">
        <w:rPr>
          <w:rFonts w:ascii="Times New Roman" w:eastAsia="Times New Roman" w:hAnsi="Times New Roman" w:cs="Times New Roman"/>
          <w:sz w:val="24"/>
          <w:szCs w:val="24"/>
          <w:lang w:eastAsia="en-AU"/>
        </w:rPr>
        <w:t>hanges made by this Order</w:t>
      </w:r>
      <w:r w:rsidR="00291533" w:rsidRPr="00AF6D86">
        <w:rPr>
          <w:rStyle w:val="CommentReference"/>
          <w:rFonts w:ascii="Times New Roman" w:hAnsi="Times New Roman" w:cs="Times New Roman"/>
          <w:sz w:val="24"/>
          <w:szCs w:val="24"/>
        </w:rPr>
        <w:t xml:space="preserve">: </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a definition </w:t>
      </w:r>
      <w:r w:rsidR="007423F3">
        <w:rPr>
          <w:rFonts w:ascii="Times New Roman" w:eastAsia="Times New Roman" w:hAnsi="Times New Roman" w:cs="Times New Roman"/>
          <w:sz w:val="24"/>
          <w:szCs w:val="24"/>
          <w:lang w:eastAsia="en-AU"/>
        </w:rPr>
        <w:t xml:space="preserve">of </w:t>
      </w:r>
      <w:r>
        <w:rPr>
          <w:rFonts w:ascii="Times New Roman" w:eastAsia="Times New Roman" w:hAnsi="Times New Roman" w:cs="Times New Roman"/>
          <w:sz w:val="24"/>
          <w:szCs w:val="24"/>
          <w:lang w:eastAsia="en-AU"/>
        </w:rPr>
        <w:t xml:space="preserve">‘neuromuscular blocking agent’ in section 6 of </w:t>
      </w:r>
      <w:r w:rsidR="007423F3">
        <w:rPr>
          <w:rFonts w:ascii="Times New Roman" w:eastAsia="Times New Roman" w:hAnsi="Times New Roman" w:cs="Times New Roman"/>
          <w:sz w:val="24"/>
          <w:szCs w:val="24"/>
          <w:lang w:eastAsia="en-AU"/>
        </w:rPr>
        <w:t>TGO 91</w:t>
      </w:r>
      <w:r>
        <w:rPr>
          <w:rFonts w:ascii="Times New Roman" w:eastAsia="Times New Roman" w:hAnsi="Times New Roman" w:cs="Times New Roman"/>
          <w:sz w:val="24"/>
          <w:szCs w:val="24"/>
          <w:lang w:eastAsia="en-AU"/>
        </w:rPr>
        <w:t>;</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requirements for neuromuscular blocking agent-containing medicines to include </w:t>
      </w:r>
      <w:r w:rsidRPr="001A36FF">
        <w:rPr>
          <w:rFonts w:ascii="Times New Roman" w:eastAsia="Times New Roman" w:hAnsi="Times New Roman" w:cs="Times New Roman"/>
          <w:sz w:val="24"/>
          <w:szCs w:val="24"/>
          <w:lang w:eastAsia="en-AU"/>
        </w:rPr>
        <w:t xml:space="preserve">the warning statement ‘Warning: Paralysing agent’ </w:t>
      </w:r>
      <w:r>
        <w:rPr>
          <w:rFonts w:ascii="Times New Roman" w:eastAsia="Times New Roman" w:hAnsi="Times New Roman" w:cs="Times New Roman"/>
          <w:sz w:val="24"/>
          <w:szCs w:val="24"/>
          <w:lang w:eastAsia="en-AU"/>
        </w:rPr>
        <w:t xml:space="preserve">on the labels of the medicine container and primary pack;  </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introduce specific requirements for very small containers and small plastic ampoules which may include a shortened warning statement on the container label due to space limitations;</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introduce</w:t>
      </w:r>
      <w:proofErr w:type="gramEnd"/>
      <w:r>
        <w:rPr>
          <w:rFonts w:ascii="Times New Roman" w:eastAsia="Times New Roman" w:hAnsi="Times New Roman" w:cs="Times New Roman"/>
          <w:sz w:val="24"/>
          <w:szCs w:val="24"/>
          <w:lang w:eastAsia="en-AU"/>
        </w:rPr>
        <w:t xml:space="preserve"> specific colours for the warning statement. Plastic ampoule labels do not require specific colours for the warning statement due to manufacturing limitations; </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introduce</w:t>
      </w:r>
      <w:proofErr w:type="gramEnd"/>
      <w:r>
        <w:rPr>
          <w:rFonts w:ascii="Times New Roman" w:eastAsia="Times New Roman" w:hAnsi="Times New Roman" w:cs="Times New Roman"/>
          <w:sz w:val="24"/>
          <w:szCs w:val="24"/>
          <w:lang w:eastAsia="en-AU"/>
        </w:rPr>
        <w:t xml:space="preserve"> Schedule 3 to identify ingredients that are </w:t>
      </w:r>
      <w:r w:rsidRPr="003E70F7">
        <w:rPr>
          <w:rFonts w:ascii="Times New Roman" w:eastAsia="Times New Roman" w:hAnsi="Times New Roman" w:cs="Times New Roman"/>
          <w:sz w:val="24"/>
          <w:szCs w:val="24"/>
          <w:lang w:eastAsia="en-AU"/>
        </w:rPr>
        <w:t>neuromuscular blocking agents</w:t>
      </w:r>
      <w:r>
        <w:rPr>
          <w:rFonts w:ascii="Times New Roman" w:eastAsia="Times New Roman" w:hAnsi="Times New Roman" w:cs="Times New Roman"/>
          <w:sz w:val="24"/>
          <w:szCs w:val="24"/>
          <w:lang w:eastAsia="en-AU"/>
        </w:rPr>
        <w:t>. This list is</w:t>
      </w:r>
      <w:r w:rsidR="002C4E26">
        <w:rPr>
          <w:rFonts w:ascii="Times New Roman" w:eastAsia="Times New Roman" w:hAnsi="Times New Roman" w:cs="Times New Roman"/>
          <w:sz w:val="24"/>
          <w:szCs w:val="24"/>
          <w:lang w:eastAsia="en-AU"/>
        </w:rPr>
        <w:t>, generally,</w:t>
      </w:r>
      <w:r>
        <w:rPr>
          <w:rFonts w:ascii="Times New Roman" w:eastAsia="Times New Roman" w:hAnsi="Times New Roman" w:cs="Times New Roman"/>
          <w:sz w:val="24"/>
          <w:szCs w:val="24"/>
          <w:lang w:eastAsia="en-AU"/>
        </w:rPr>
        <w:t xml:space="preserve"> based on the classification of ingredients as ‘muscle relaxants, peripherally acting agents’ in the </w:t>
      </w:r>
      <w:r w:rsidR="00B64219" w:rsidRPr="00093C43">
        <w:rPr>
          <w:rFonts w:ascii="Times New Roman" w:eastAsia="Times New Roman" w:hAnsi="Times New Roman" w:cs="Times New Roman"/>
          <w:sz w:val="24"/>
          <w:szCs w:val="24"/>
          <w:lang w:eastAsia="en-AU"/>
        </w:rPr>
        <w:t>World Health Organization Anatomical Therapeutic Chemical </w:t>
      </w:r>
      <w:r w:rsidR="00B64219" w:rsidRPr="003E70F7">
        <w:rPr>
          <w:rFonts w:ascii="Times New Roman" w:eastAsia="Times New Roman" w:hAnsi="Times New Roman" w:cs="Times New Roman"/>
          <w:sz w:val="24"/>
          <w:szCs w:val="24"/>
          <w:lang w:eastAsia="en-AU"/>
        </w:rPr>
        <w:t>(</w:t>
      </w:r>
      <w:r w:rsidR="00B64219" w:rsidRPr="00766617">
        <w:rPr>
          <w:rFonts w:ascii="Times New Roman" w:eastAsia="Times New Roman" w:hAnsi="Times New Roman" w:cs="Times New Roman"/>
          <w:sz w:val="24"/>
          <w:szCs w:val="24"/>
          <w:lang w:eastAsia="en-AU"/>
        </w:rPr>
        <w:t>www.whocc.no/atc_ddd_index</w:t>
      </w:r>
      <w:r w:rsidR="00B64219" w:rsidRPr="003E70F7">
        <w:rPr>
          <w:rFonts w:ascii="Times New Roman" w:eastAsia="Times New Roman" w:hAnsi="Times New Roman" w:cs="Times New Roman"/>
          <w:sz w:val="24"/>
          <w:szCs w:val="24"/>
          <w:lang w:eastAsia="en-AU"/>
        </w:rPr>
        <w:t>) </w:t>
      </w:r>
      <w:r w:rsidRPr="003E70F7">
        <w:rPr>
          <w:rFonts w:ascii="Times New Roman" w:eastAsia="Times New Roman" w:hAnsi="Times New Roman" w:cs="Times New Roman"/>
          <w:sz w:val="24"/>
          <w:szCs w:val="24"/>
          <w:lang w:eastAsia="en-AU"/>
        </w:rPr>
        <w:t>classification system</w:t>
      </w:r>
      <w:r w:rsidR="007423F3">
        <w:rPr>
          <w:rFonts w:ascii="Times New Roman" w:eastAsia="Times New Roman" w:hAnsi="Times New Roman" w:cs="Times New Roman"/>
          <w:sz w:val="24"/>
          <w:szCs w:val="24"/>
          <w:lang w:eastAsia="en-AU"/>
        </w:rPr>
        <w:t>; and</w:t>
      </w:r>
      <w:r w:rsidR="002C4E26">
        <w:rPr>
          <w:rFonts w:ascii="Times New Roman" w:eastAsia="Times New Roman" w:hAnsi="Times New Roman" w:cs="Times New Roman"/>
          <w:sz w:val="24"/>
          <w:szCs w:val="24"/>
          <w:lang w:eastAsia="en-AU"/>
        </w:rPr>
        <w:t xml:space="preserve"> </w:t>
      </w:r>
    </w:p>
    <w:p w:rsidR="003511BB" w:rsidRDefault="003511BB" w:rsidP="003511BB">
      <w:pPr>
        <w:numPr>
          <w:ilvl w:val="0"/>
          <w:numId w:val="8"/>
        </w:numPr>
        <w:tabs>
          <w:tab w:val="left" w:pos="284"/>
        </w:tabs>
        <w:spacing w:after="120" w:line="240" w:lineRule="auto"/>
        <w:ind w:left="567" w:hanging="283"/>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make</w:t>
      </w:r>
      <w:proofErr w:type="gramEnd"/>
      <w:r>
        <w:rPr>
          <w:rFonts w:ascii="Times New Roman" w:eastAsia="Times New Roman" w:hAnsi="Times New Roman" w:cs="Times New Roman"/>
          <w:sz w:val="24"/>
          <w:szCs w:val="24"/>
          <w:lang w:eastAsia="en-AU"/>
        </w:rPr>
        <w:t xml:space="preserve"> minor editorial amendments</w:t>
      </w:r>
      <w:r w:rsidR="002C4E26">
        <w:rPr>
          <w:rFonts w:ascii="Times New Roman" w:eastAsia="Times New Roman" w:hAnsi="Times New Roman" w:cs="Times New Roman"/>
          <w:sz w:val="24"/>
          <w:szCs w:val="24"/>
          <w:lang w:eastAsia="en-AU"/>
        </w:rPr>
        <w:t xml:space="preserve">. </w:t>
      </w:r>
    </w:p>
    <w:p w:rsidR="00B64219" w:rsidRPr="00B64219" w:rsidRDefault="00B64219" w:rsidP="00B64219">
      <w:pPr>
        <w:shd w:val="clear" w:color="auto" w:fill="FFFFFF"/>
        <w:spacing w:before="100" w:beforeAutospacing="1" w:after="120" w:line="240" w:lineRule="auto"/>
        <w:rPr>
          <w:rFonts w:ascii="Times New Roman" w:hAnsi="Times New Roman" w:cs="Times New Roman"/>
          <w:sz w:val="24"/>
          <w:szCs w:val="24"/>
        </w:rPr>
      </w:pPr>
      <w:r w:rsidRPr="00B64219">
        <w:rPr>
          <w:rFonts w:ascii="Times New Roman" w:hAnsi="Times New Roman" w:cs="Times New Roman"/>
          <w:sz w:val="24"/>
          <w:szCs w:val="24"/>
        </w:rPr>
        <w:t xml:space="preserve">Neuromuscular blocking agents are medicines used to cause paralysis during anaesthesia. Medicine administration errors involving neuromuscular blocking agents present significant risk to patient safety due to potential for unintended paralysis, respiratory arrest, severe permanent harm (including physical and psychological harm) or even death. Most reported administration errors involving neuromuscular blocking agents in Australia are caused by look-alike selection errors, i.e. where two medicines are similar in appearance resulting in the wrong medicine being chosen and administered. </w:t>
      </w:r>
    </w:p>
    <w:p w:rsidR="00B64219" w:rsidRDefault="00B64219" w:rsidP="00B64219">
      <w:pPr>
        <w:shd w:val="clear" w:color="auto" w:fill="FFFFFF"/>
        <w:spacing w:before="100" w:beforeAutospacing="1" w:after="120" w:line="240" w:lineRule="auto"/>
        <w:rPr>
          <w:rFonts w:ascii="Times New Roman" w:hAnsi="Times New Roman" w:cs="Times New Roman"/>
          <w:sz w:val="24"/>
          <w:szCs w:val="24"/>
        </w:rPr>
      </w:pPr>
      <w:r w:rsidRPr="00B64219">
        <w:rPr>
          <w:rFonts w:ascii="Times New Roman" w:hAnsi="Times New Roman" w:cs="Times New Roman"/>
          <w:sz w:val="24"/>
          <w:szCs w:val="24"/>
        </w:rPr>
        <w:t>The new requirements will help reduce administration errors by introducing a visually distinct warning statement on the labels of neuromuscular blocking agent-containing medicines. These measures will improve patient safety.</w:t>
      </w:r>
    </w:p>
    <w:p w:rsidR="00E829F9" w:rsidRPr="00AF6D86" w:rsidRDefault="00E829F9" w:rsidP="00E829F9">
      <w:pPr>
        <w:shd w:val="clear" w:color="auto" w:fill="FFFFFF"/>
        <w:spacing w:before="100" w:beforeAutospacing="1" w:after="120" w:line="240" w:lineRule="auto"/>
        <w:rPr>
          <w:rFonts w:ascii="Times New Roman" w:hAnsi="Times New Roman" w:cs="Times New Roman"/>
          <w:sz w:val="24"/>
          <w:szCs w:val="24"/>
        </w:rPr>
      </w:pPr>
      <w:r w:rsidRPr="00AF6D86">
        <w:rPr>
          <w:rFonts w:ascii="Times New Roman" w:hAnsi="Times New Roman" w:cs="Times New Roman"/>
          <w:sz w:val="24"/>
          <w:szCs w:val="24"/>
        </w:rPr>
        <w:t>This Order commence</w:t>
      </w:r>
      <w:r w:rsidR="00D4238A" w:rsidRPr="00AF6D86">
        <w:rPr>
          <w:rFonts w:ascii="Times New Roman" w:hAnsi="Times New Roman" w:cs="Times New Roman"/>
          <w:sz w:val="24"/>
          <w:szCs w:val="24"/>
        </w:rPr>
        <w:t>d</w:t>
      </w:r>
      <w:r w:rsidRPr="00AF6D86">
        <w:rPr>
          <w:rFonts w:ascii="Times New Roman" w:hAnsi="Times New Roman" w:cs="Times New Roman"/>
          <w:sz w:val="24"/>
          <w:szCs w:val="24"/>
        </w:rPr>
        <w:t xml:space="preserve"> </w:t>
      </w:r>
      <w:r w:rsidR="009E2B39">
        <w:rPr>
          <w:rFonts w:ascii="Times New Roman" w:hAnsi="Times New Roman" w:cs="Times New Roman"/>
          <w:sz w:val="24"/>
          <w:szCs w:val="24"/>
        </w:rPr>
        <w:t>on 2</w:t>
      </w:r>
      <w:r w:rsidR="007423F3">
        <w:rPr>
          <w:rFonts w:ascii="Times New Roman" w:hAnsi="Times New Roman" w:cs="Times New Roman"/>
          <w:sz w:val="24"/>
          <w:szCs w:val="24"/>
        </w:rPr>
        <w:t xml:space="preserve"> July 2018.</w:t>
      </w:r>
    </w:p>
    <w:p w:rsidR="004943B7"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b/>
          <w:bCs/>
          <w:sz w:val="24"/>
          <w:szCs w:val="24"/>
          <w:lang w:eastAsia="en-AU"/>
        </w:rPr>
        <w:t>Human rights implications</w:t>
      </w:r>
    </w:p>
    <w:p w:rsidR="004943B7"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F6D86">
        <w:rPr>
          <w:rFonts w:ascii="Times New Roman" w:eastAsia="Times New Roman" w:hAnsi="Times New Roman" w:cs="Times New Roman"/>
          <w:sz w:val="24"/>
          <w:szCs w:val="24"/>
          <w:lang w:eastAsia="en-AU"/>
        </w:rPr>
        <w:t>This legislative instrument does not engage any of the applicable rights or freedoms.</w:t>
      </w:r>
    </w:p>
    <w:p w:rsidR="004943B7"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b/>
          <w:bCs/>
          <w:sz w:val="24"/>
          <w:szCs w:val="24"/>
          <w:lang w:eastAsia="en-AU"/>
        </w:rPr>
        <w:t>Conclusion</w:t>
      </w:r>
    </w:p>
    <w:p w:rsidR="00DE0F33" w:rsidRPr="00AF6D86"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AF6D86">
        <w:rPr>
          <w:rFonts w:ascii="Times New Roman" w:eastAsia="Times New Roman" w:hAnsi="Times New Roman" w:cs="Times New Roman"/>
          <w:sz w:val="24"/>
          <w:szCs w:val="24"/>
          <w:lang w:eastAsia="en-AU"/>
        </w:rPr>
        <w:t>This legislative instrument is compatible with human rights as it does not raise any human rights issues.</w:t>
      </w:r>
    </w:p>
    <w:p w:rsidR="009733D5" w:rsidRPr="00AF6D86" w:rsidRDefault="005C5523" w:rsidP="00B64219">
      <w:pPr>
        <w:shd w:val="clear" w:color="auto" w:fill="FFFFFF"/>
        <w:spacing w:before="100" w:beforeAutospacing="1" w:after="120" w:line="240" w:lineRule="auto"/>
        <w:jc w:val="center"/>
        <w:rPr>
          <w:rFonts w:ascii="Times New Roman" w:hAnsi="Times New Roman" w:cs="Times New Roman"/>
        </w:rPr>
      </w:pPr>
      <w:r>
        <w:rPr>
          <w:rFonts w:ascii="Times New Roman" w:eastAsia="Times New Roman" w:hAnsi="Times New Roman" w:cs="Times New Roman"/>
          <w:b/>
          <w:bCs/>
          <w:sz w:val="24"/>
          <w:szCs w:val="24"/>
          <w:lang w:eastAsia="en-AU"/>
        </w:rPr>
        <w:t xml:space="preserve">Larry Kelly, </w:t>
      </w:r>
      <w:r w:rsidR="004943B7" w:rsidRPr="00AF6D86">
        <w:rPr>
          <w:rFonts w:ascii="Times New Roman" w:eastAsia="Times New Roman" w:hAnsi="Times New Roman" w:cs="Times New Roman"/>
          <w:b/>
          <w:bCs/>
          <w:sz w:val="24"/>
          <w:szCs w:val="24"/>
          <w:lang w:eastAsia="en-AU"/>
        </w:rPr>
        <w:t>delegate of the Minister for Health</w:t>
      </w:r>
    </w:p>
    <w:sectPr w:rsidR="009733D5" w:rsidRPr="00AF6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A7" w:rsidRDefault="007B61A7" w:rsidP="008F58E7">
      <w:pPr>
        <w:spacing w:after="0" w:line="240" w:lineRule="auto"/>
      </w:pPr>
      <w:r>
        <w:separator/>
      </w:r>
    </w:p>
  </w:endnote>
  <w:endnote w:type="continuationSeparator" w:id="0">
    <w:p w:rsidR="007B61A7" w:rsidRDefault="007B61A7"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71397927"/>
      <w:docPartObj>
        <w:docPartGallery w:val="Page Numbers (Bottom of Page)"/>
        <w:docPartUnique/>
      </w:docPartObj>
    </w:sdtPr>
    <w:sdtEndPr>
      <w:rPr>
        <w:noProof/>
      </w:rPr>
    </w:sdtEndPr>
    <w:sdtContent>
      <w:p w:rsidR="00AF6D86" w:rsidRPr="00AF6D86" w:rsidRDefault="00AF6D86">
        <w:pPr>
          <w:pStyle w:val="Footer"/>
          <w:jc w:val="right"/>
          <w:rPr>
            <w:rFonts w:ascii="Times New Roman" w:hAnsi="Times New Roman" w:cs="Times New Roman"/>
          </w:rPr>
        </w:pPr>
        <w:r w:rsidRPr="00AF6D86">
          <w:rPr>
            <w:rFonts w:ascii="Times New Roman" w:hAnsi="Times New Roman" w:cs="Times New Roman"/>
          </w:rPr>
          <w:fldChar w:fldCharType="begin"/>
        </w:r>
        <w:r w:rsidRPr="00AF6D86">
          <w:rPr>
            <w:rFonts w:ascii="Times New Roman" w:hAnsi="Times New Roman" w:cs="Times New Roman"/>
          </w:rPr>
          <w:instrText xml:space="preserve"> PAGE   \* MERGEFORMAT </w:instrText>
        </w:r>
        <w:r w:rsidRPr="00AF6D86">
          <w:rPr>
            <w:rFonts w:ascii="Times New Roman" w:hAnsi="Times New Roman" w:cs="Times New Roman"/>
          </w:rPr>
          <w:fldChar w:fldCharType="separate"/>
        </w:r>
        <w:r w:rsidR="009E2B39">
          <w:rPr>
            <w:rFonts w:ascii="Times New Roman" w:hAnsi="Times New Roman" w:cs="Times New Roman"/>
            <w:noProof/>
          </w:rPr>
          <w:t>5</w:t>
        </w:r>
        <w:r w:rsidRPr="00AF6D86">
          <w:rPr>
            <w:rFonts w:ascii="Times New Roman" w:hAnsi="Times New Roman" w:cs="Times New Roman"/>
            <w:noProof/>
          </w:rPr>
          <w:fldChar w:fldCharType="end"/>
        </w:r>
      </w:p>
    </w:sdtContent>
  </w:sdt>
  <w:p w:rsidR="00BE150F" w:rsidRPr="00AF6D86" w:rsidRDefault="00BE150F" w:rsidP="00AF6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A7" w:rsidRDefault="007B61A7" w:rsidP="008F58E7">
      <w:pPr>
        <w:spacing w:after="0" w:line="240" w:lineRule="auto"/>
      </w:pPr>
      <w:r>
        <w:separator/>
      </w:r>
    </w:p>
  </w:footnote>
  <w:footnote w:type="continuationSeparator" w:id="0">
    <w:p w:rsidR="007B61A7" w:rsidRDefault="007B61A7" w:rsidP="008F5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1B967193"/>
    <w:multiLevelType w:val="hybridMultilevel"/>
    <w:tmpl w:val="AB403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681541"/>
    <w:multiLevelType w:val="hybridMultilevel"/>
    <w:tmpl w:val="0D0C03D2"/>
    <w:lvl w:ilvl="0" w:tplc="079E9AF2">
      <w:start w:val="1"/>
      <w:numFmt w:val="decimal"/>
      <w:pStyle w:val="Heading2"/>
      <w:lvlText w:val="(%1)"/>
      <w:lvlJc w:val="left"/>
      <w:pPr>
        <w:ind w:left="1455" w:hanging="360"/>
      </w:pPr>
      <w:rPr>
        <w:rFonts w:hint="default"/>
        <w:b/>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4">
    <w:nsid w:val="5F603051"/>
    <w:multiLevelType w:val="hybridMultilevel"/>
    <w:tmpl w:val="902C8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27"/>
    <w:rsid w:val="00003035"/>
    <w:rsid w:val="00006A2A"/>
    <w:rsid w:val="000179C1"/>
    <w:rsid w:val="00022578"/>
    <w:rsid w:val="00027934"/>
    <w:rsid w:val="00030B30"/>
    <w:rsid w:val="0003695D"/>
    <w:rsid w:val="00036C4D"/>
    <w:rsid w:val="00040827"/>
    <w:rsid w:val="00043196"/>
    <w:rsid w:val="00053D5B"/>
    <w:rsid w:val="00065999"/>
    <w:rsid w:val="00067B07"/>
    <w:rsid w:val="000731E4"/>
    <w:rsid w:val="00075E61"/>
    <w:rsid w:val="00084BAC"/>
    <w:rsid w:val="00087384"/>
    <w:rsid w:val="00093C43"/>
    <w:rsid w:val="000A3C61"/>
    <w:rsid w:val="000C473D"/>
    <w:rsid w:val="000D273C"/>
    <w:rsid w:val="000E07FF"/>
    <w:rsid w:val="000E13DF"/>
    <w:rsid w:val="000E1EA6"/>
    <w:rsid w:val="000E2BA5"/>
    <w:rsid w:val="00105598"/>
    <w:rsid w:val="001104A3"/>
    <w:rsid w:val="0013104E"/>
    <w:rsid w:val="00133C76"/>
    <w:rsid w:val="00140A37"/>
    <w:rsid w:val="00150E15"/>
    <w:rsid w:val="001567D7"/>
    <w:rsid w:val="00156B21"/>
    <w:rsid w:val="00181566"/>
    <w:rsid w:val="00183176"/>
    <w:rsid w:val="00183522"/>
    <w:rsid w:val="00184203"/>
    <w:rsid w:val="001A36FF"/>
    <w:rsid w:val="001A7AE4"/>
    <w:rsid w:val="001C3E57"/>
    <w:rsid w:val="001C63BC"/>
    <w:rsid w:val="001D31AB"/>
    <w:rsid w:val="001E0BBC"/>
    <w:rsid w:val="001E15C1"/>
    <w:rsid w:val="001E66DE"/>
    <w:rsid w:val="001F0015"/>
    <w:rsid w:val="001F1595"/>
    <w:rsid w:val="001F58C1"/>
    <w:rsid w:val="002144EB"/>
    <w:rsid w:val="00215F20"/>
    <w:rsid w:val="00231E3B"/>
    <w:rsid w:val="0023465C"/>
    <w:rsid w:val="00234B92"/>
    <w:rsid w:val="002376D9"/>
    <w:rsid w:val="002477C8"/>
    <w:rsid w:val="0025259B"/>
    <w:rsid w:val="00257233"/>
    <w:rsid w:val="00285E91"/>
    <w:rsid w:val="00291533"/>
    <w:rsid w:val="002933E4"/>
    <w:rsid w:val="002939DA"/>
    <w:rsid w:val="00294CAA"/>
    <w:rsid w:val="0029749E"/>
    <w:rsid w:val="002A6CC1"/>
    <w:rsid w:val="002B27E5"/>
    <w:rsid w:val="002C264E"/>
    <w:rsid w:val="002C32D3"/>
    <w:rsid w:val="002C48CA"/>
    <w:rsid w:val="002C4E26"/>
    <w:rsid w:val="002D08DA"/>
    <w:rsid w:val="002D0B69"/>
    <w:rsid w:val="002E0E03"/>
    <w:rsid w:val="002E2E6A"/>
    <w:rsid w:val="002F2A73"/>
    <w:rsid w:val="00304C4C"/>
    <w:rsid w:val="00304FA9"/>
    <w:rsid w:val="00310E2A"/>
    <w:rsid w:val="00314461"/>
    <w:rsid w:val="00330B6D"/>
    <w:rsid w:val="003330EE"/>
    <w:rsid w:val="00333DD8"/>
    <w:rsid w:val="00340CC6"/>
    <w:rsid w:val="0034243B"/>
    <w:rsid w:val="003475EA"/>
    <w:rsid w:val="003511BB"/>
    <w:rsid w:val="00351C5E"/>
    <w:rsid w:val="00360398"/>
    <w:rsid w:val="0036614B"/>
    <w:rsid w:val="0037502F"/>
    <w:rsid w:val="00376BB9"/>
    <w:rsid w:val="00383BAC"/>
    <w:rsid w:val="0038555F"/>
    <w:rsid w:val="00396170"/>
    <w:rsid w:val="003978CB"/>
    <w:rsid w:val="003B024B"/>
    <w:rsid w:val="003B2C13"/>
    <w:rsid w:val="003C3E4C"/>
    <w:rsid w:val="003C795B"/>
    <w:rsid w:val="003D2E63"/>
    <w:rsid w:val="003D361B"/>
    <w:rsid w:val="003D384B"/>
    <w:rsid w:val="003D4FB7"/>
    <w:rsid w:val="003E0C6D"/>
    <w:rsid w:val="003E264C"/>
    <w:rsid w:val="003E70F7"/>
    <w:rsid w:val="003E7727"/>
    <w:rsid w:val="00415AEA"/>
    <w:rsid w:val="00415C6F"/>
    <w:rsid w:val="00416346"/>
    <w:rsid w:val="0042258A"/>
    <w:rsid w:val="00425071"/>
    <w:rsid w:val="00434F99"/>
    <w:rsid w:val="00436DC6"/>
    <w:rsid w:val="004439C7"/>
    <w:rsid w:val="00450232"/>
    <w:rsid w:val="00470227"/>
    <w:rsid w:val="00471F2A"/>
    <w:rsid w:val="00476E56"/>
    <w:rsid w:val="00477581"/>
    <w:rsid w:val="0048010E"/>
    <w:rsid w:val="00484FE0"/>
    <w:rsid w:val="00485E55"/>
    <w:rsid w:val="004943B7"/>
    <w:rsid w:val="004B75D0"/>
    <w:rsid w:val="004C0DA3"/>
    <w:rsid w:val="004C34FF"/>
    <w:rsid w:val="004E0D9D"/>
    <w:rsid w:val="004E20A3"/>
    <w:rsid w:val="004E6126"/>
    <w:rsid w:val="004E6D4F"/>
    <w:rsid w:val="004F78CF"/>
    <w:rsid w:val="005039B4"/>
    <w:rsid w:val="005071C7"/>
    <w:rsid w:val="00516377"/>
    <w:rsid w:val="005211FB"/>
    <w:rsid w:val="005308A6"/>
    <w:rsid w:val="005318DA"/>
    <w:rsid w:val="00536007"/>
    <w:rsid w:val="005408B4"/>
    <w:rsid w:val="00555FE7"/>
    <w:rsid w:val="005736DC"/>
    <w:rsid w:val="00573F07"/>
    <w:rsid w:val="005A4B27"/>
    <w:rsid w:val="005B1BA8"/>
    <w:rsid w:val="005B2E7B"/>
    <w:rsid w:val="005B528A"/>
    <w:rsid w:val="005C5523"/>
    <w:rsid w:val="005E2798"/>
    <w:rsid w:val="005F2DA8"/>
    <w:rsid w:val="005F3551"/>
    <w:rsid w:val="005F6F85"/>
    <w:rsid w:val="0062483F"/>
    <w:rsid w:val="00625BE5"/>
    <w:rsid w:val="0064273B"/>
    <w:rsid w:val="006452F6"/>
    <w:rsid w:val="00646E69"/>
    <w:rsid w:val="00651310"/>
    <w:rsid w:val="0065452A"/>
    <w:rsid w:val="006619CF"/>
    <w:rsid w:val="006778B6"/>
    <w:rsid w:val="00680103"/>
    <w:rsid w:val="00681667"/>
    <w:rsid w:val="00685DC1"/>
    <w:rsid w:val="00687415"/>
    <w:rsid w:val="00696859"/>
    <w:rsid w:val="00697B41"/>
    <w:rsid w:val="006A20B4"/>
    <w:rsid w:val="006A5BD7"/>
    <w:rsid w:val="006A6C3F"/>
    <w:rsid w:val="006C4A3B"/>
    <w:rsid w:val="006C5245"/>
    <w:rsid w:val="006D1F20"/>
    <w:rsid w:val="006E106E"/>
    <w:rsid w:val="006E5620"/>
    <w:rsid w:val="006F0C14"/>
    <w:rsid w:val="006F5A68"/>
    <w:rsid w:val="007239A0"/>
    <w:rsid w:val="007266D7"/>
    <w:rsid w:val="00731AFA"/>
    <w:rsid w:val="00734BC3"/>
    <w:rsid w:val="007423F3"/>
    <w:rsid w:val="00745BC0"/>
    <w:rsid w:val="007508C6"/>
    <w:rsid w:val="007515E4"/>
    <w:rsid w:val="0075597C"/>
    <w:rsid w:val="00756A29"/>
    <w:rsid w:val="00766592"/>
    <w:rsid w:val="00766617"/>
    <w:rsid w:val="0078055F"/>
    <w:rsid w:val="00785D53"/>
    <w:rsid w:val="00785ED6"/>
    <w:rsid w:val="00787EC5"/>
    <w:rsid w:val="00793CC5"/>
    <w:rsid w:val="007A0068"/>
    <w:rsid w:val="007A282F"/>
    <w:rsid w:val="007A363D"/>
    <w:rsid w:val="007B61A7"/>
    <w:rsid w:val="007C01E8"/>
    <w:rsid w:val="007D07C7"/>
    <w:rsid w:val="007D0DD9"/>
    <w:rsid w:val="007D30FD"/>
    <w:rsid w:val="007D7260"/>
    <w:rsid w:val="007E22AA"/>
    <w:rsid w:val="00801DC4"/>
    <w:rsid w:val="00804326"/>
    <w:rsid w:val="008169B1"/>
    <w:rsid w:val="0082435D"/>
    <w:rsid w:val="00846B5D"/>
    <w:rsid w:val="0085135A"/>
    <w:rsid w:val="00863B5D"/>
    <w:rsid w:val="008713DF"/>
    <w:rsid w:val="00875D95"/>
    <w:rsid w:val="00877D9C"/>
    <w:rsid w:val="00883928"/>
    <w:rsid w:val="008913D5"/>
    <w:rsid w:val="008A4A88"/>
    <w:rsid w:val="008B07D7"/>
    <w:rsid w:val="008B17A0"/>
    <w:rsid w:val="008B781E"/>
    <w:rsid w:val="008C1204"/>
    <w:rsid w:val="008E18E1"/>
    <w:rsid w:val="008E3A94"/>
    <w:rsid w:val="008F58E7"/>
    <w:rsid w:val="008F60C3"/>
    <w:rsid w:val="009038F6"/>
    <w:rsid w:val="009231D5"/>
    <w:rsid w:val="00923563"/>
    <w:rsid w:val="0094099F"/>
    <w:rsid w:val="00952013"/>
    <w:rsid w:val="00952B6D"/>
    <w:rsid w:val="009538CC"/>
    <w:rsid w:val="0096702D"/>
    <w:rsid w:val="009733D5"/>
    <w:rsid w:val="00982992"/>
    <w:rsid w:val="00985CE7"/>
    <w:rsid w:val="009967AB"/>
    <w:rsid w:val="009B23D6"/>
    <w:rsid w:val="009B611E"/>
    <w:rsid w:val="009C58E7"/>
    <w:rsid w:val="009C6000"/>
    <w:rsid w:val="009D05CD"/>
    <w:rsid w:val="009E2B39"/>
    <w:rsid w:val="009E3334"/>
    <w:rsid w:val="009E35FF"/>
    <w:rsid w:val="00A056FD"/>
    <w:rsid w:val="00A100F0"/>
    <w:rsid w:val="00A14FF6"/>
    <w:rsid w:val="00A2363A"/>
    <w:rsid w:val="00A311CF"/>
    <w:rsid w:val="00A34B27"/>
    <w:rsid w:val="00A37484"/>
    <w:rsid w:val="00A42A58"/>
    <w:rsid w:val="00A472B3"/>
    <w:rsid w:val="00A51B09"/>
    <w:rsid w:val="00A5206F"/>
    <w:rsid w:val="00A566BA"/>
    <w:rsid w:val="00A603FE"/>
    <w:rsid w:val="00A676D9"/>
    <w:rsid w:val="00A84AA6"/>
    <w:rsid w:val="00A90031"/>
    <w:rsid w:val="00A90E75"/>
    <w:rsid w:val="00AA49A7"/>
    <w:rsid w:val="00AB0E7F"/>
    <w:rsid w:val="00AB38CB"/>
    <w:rsid w:val="00AD469D"/>
    <w:rsid w:val="00AF6D86"/>
    <w:rsid w:val="00B023CE"/>
    <w:rsid w:val="00B04E3A"/>
    <w:rsid w:val="00B13B42"/>
    <w:rsid w:val="00B2458F"/>
    <w:rsid w:val="00B255A3"/>
    <w:rsid w:val="00B273DF"/>
    <w:rsid w:val="00B315DD"/>
    <w:rsid w:val="00B376BB"/>
    <w:rsid w:val="00B42661"/>
    <w:rsid w:val="00B43213"/>
    <w:rsid w:val="00B569CA"/>
    <w:rsid w:val="00B61B43"/>
    <w:rsid w:val="00B64219"/>
    <w:rsid w:val="00B87EAD"/>
    <w:rsid w:val="00B90440"/>
    <w:rsid w:val="00B93834"/>
    <w:rsid w:val="00BA3DF2"/>
    <w:rsid w:val="00BB1202"/>
    <w:rsid w:val="00BB3D26"/>
    <w:rsid w:val="00BB51FE"/>
    <w:rsid w:val="00BC200F"/>
    <w:rsid w:val="00BC490F"/>
    <w:rsid w:val="00BC5C4B"/>
    <w:rsid w:val="00BE0C6C"/>
    <w:rsid w:val="00BE150F"/>
    <w:rsid w:val="00BF1270"/>
    <w:rsid w:val="00BF1C90"/>
    <w:rsid w:val="00BF6908"/>
    <w:rsid w:val="00C00025"/>
    <w:rsid w:val="00C04346"/>
    <w:rsid w:val="00C067EC"/>
    <w:rsid w:val="00C1399F"/>
    <w:rsid w:val="00C178B7"/>
    <w:rsid w:val="00C226B6"/>
    <w:rsid w:val="00C331C2"/>
    <w:rsid w:val="00C35594"/>
    <w:rsid w:val="00C41E8B"/>
    <w:rsid w:val="00C427CD"/>
    <w:rsid w:val="00C4382B"/>
    <w:rsid w:val="00C46493"/>
    <w:rsid w:val="00C51AD8"/>
    <w:rsid w:val="00C56AB0"/>
    <w:rsid w:val="00C60800"/>
    <w:rsid w:val="00C658A1"/>
    <w:rsid w:val="00C723B4"/>
    <w:rsid w:val="00C91491"/>
    <w:rsid w:val="00C941E0"/>
    <w:rsid w:val="00CA0883"/>
    <w:rsid w:val="00CA747D"/>
    <w:rsid w:val="00CC707F"/>
    <w:rsid w:val="00CD63A3"/>
    <w:rsid w:val="00CE33B6"/>
    <w:rsid w:val="00CE505F"/>
    <w:rsid w:val="00CE708C"/>
    <w:rsid w:val="00D15414"/>
    <w:rsid w:val="00D15C93"/>
    <w:rsid w:val="00D15D5F"/>
    <w:rsid w:val="00D23887"/>
    <w:rsid w:val="00D27E54"/>
    <w:rsid w:val="00D34919"/>
    <w:rsid w:val="00D4238A"/>
    <w:rsid w:val="00D44D37"/>
    <w:rsid w:val="00D457CC"/>
    <w:rsid w:val="00D47758"/>
    <w:rsid w:val="00D70B17"/>
    <w:rsid w:val="00D7225E"/>
    <w:rsid w:val="00D76D27"/>
    <w:rsid w:val="00D84F66"/>
    <w:rsid w:val="00D85AF2"/>
    <w:rsid w:val="00D916B1"/>
    <w:rsid w:val="00D93333"/>
    <w:rsid w:val="00D94F03"/>
    <w:rsid w:val="00DA080E"/>
    <w:rsid w:val="00DA22F8"/>
    <w:rsid w:val="00DA280D"/>
    <w:rsid w:val="00DA30B0"/>
    <w:rsid w:val="00DA5FF4"/>
    <w:rsid w:val="00DB1025"/>
    <w:rsid w:val="00DC7C74"/>
    <w:rsid w:val="00DE0F33"/>
    <w:rsid w:val="00DE2E44"/>
    <w:rsid w:val="00DE500F"/>
    <w:rsid w:val="00DE7B15"/>
    <w:rsid w:val="00DF02E2"/>
    <w:rsid w:val="00E009D1"/>
    <w:rsid w:val="00E128F2"/>
    <w:rsid w:val="00E203F3"/>
    <w:rsid w:val="00E21AFF"/>
    <w:rsid w:val="00E22E24"/>
    <w:rsid w:val="00E261C8"/>
    <w:rsid w:val="00E33093"/>
    <w:rsid w:val="00E36504"/>
    <w:rsid w:val="00E43E72"/>
    <w:rsid w:val="00E44A27"/>
    <w:rsid w:val="00E45F70"/>
    <w:rsid w:val="00E57079"/>
    <w:rsid w:val="00E7442D"/>
    <w:rsid w:val="00E829F9"/>
    <w:rsid w:val="00E87BC0"/>
    <w:rsid w:val="00E919EB"/>
    <w:rsid w:val="00EA16BE"/>
    <w:rsid w:val="00EA6E76"/>
    <w:rsid w:val="00EB3225"/>
    <w:rsid w:val="00EC56A6"/>
    <w:rsid w:val="00ED012D"/>
    <w:rsid w:val="00ED36E4"/>
    <w:rsid w:val="00EE2B19"/>
    <w:rsid w:val="00EE5296"/>
    <w:rsid w:val="00EF6290"/>
    <w:rsid w:val="00F04808"/>
    <w:rsid w:val="00F13A66"/>
    <w:rsid w:val="00F21930"/>
    <w:rsid w:val="00F21B4E"/>
    <w:rsid w:val="00F36FD7"/>
    <w:rsid w:val="00F37B97"/>
    <w:rsid w:val="00F4372C"/>
    <w:rsid w:val="00F45D0A"/>
    <w:rsid w:val="00F512ED"/>
    <w:rsid w:val="00F72A29"/>
    <w:rsid w:val="00F83831"/>
    <w:rsid w:val="00F84DB3"/>
    <w:rsid w:val="00FC4C3D"/>
    <w:rsid w:val="00FC6691"/>
    <w:rsid w:val="00FC688E"/>
    <w:rsid w:val="00FE02FB"/>
    <w:rsid w:val="00FE0976"/>
    <w:rsid w:val="00FE1161"/>
    <w:rsid w:val="00FE65BC"/>
    <w:rsid w:val="00FF401D"/>
    <w:rsid w:val="00FF6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5F3551"/>
    <w:pPr>
      <w:keepNext/>
      <w:numPr>
        <w:numId w:val="7"/>
      </w:numPr>
      <w:tabs>
        <w:tab w:val="left" w:pos="567"/>
        <w:tab w:val="left" w:pos="1134"/>
        <w:tab w:val="left" w:pos="1701"/>
        <w:tab w:val="left" w:pos="2268"/>
      </w:tabs>
      <w:spacing w:before="120" w:after="120" w:line="240" w:lineRule="auto"/>
      <w:outlineLvl w:val="1"/>
    </w:pPr>
    <w:rPr>
      <w:rFonts w:ascii="Arial" w:hAnsi="Arial" w:cs="Arial"/>
      <w:b/>
      <w:bCs/>
      <w:color w:val="000000"/>
      <w:sz w:val="24"/>
      <w:szCs w:val="24"/>
      <w:lang w:eastAsia="en-AU"/>
    </w:rPr>
  </w:style>
  <w:style w:type="paragraph" w:styleId="Heading3">
    <w:name w:val="heading 3"/>
    <w:basedOn w:val="Normal"/>
    <w:next w:val="Normal"/>
    <w:link w:val="Heading3Char"/>
    <w:qFormat/>
    <w:rsid w:val="00C00025"/>
    <w:pPr>
      <w:keepNext/>
      <w:spacing w:before="240" w:after="60" w:line="240" w:lineRule="auto"/>
      <w:outlineLvl w:val="2"/>
    </w:pPr>
    <w:rPr>
      <w:rFonts w:ascii="Arial" w:eastAsia="Times New Roman" w:hAnsi="Arial" w:cs="Arial"/>
      <w:b/>
      <w:bCs/>
      <w:sz w:val="26"/>
      <w:szCs w:val="26"/>
      <w:lang w:eastAsia="en-AU"/>
    </w:rPr>
  </w:style>
  <w:style w:type="paragraph" w:styleId="Heading4">
    <w:name w:val="heading 4"/>
    <w:basedOn w:val="Normal"/>
    <w:next w:val="Normal"/>
    <w:link w:val="Heading4Char"/>
    <w:uiPriority w:val="9"/>
    <w:semiHidden/>
    <w:unhideWhenUsed/>
    <w:qFormat/>
    <w:rsid w:val="005F35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3Char">
    <w:name w:val="Heading 3 Char"/>
    <w:basedOn w:val="DefaultParagraphFont"/>
    <w:link w:val="Heading3"/>
    <w:rsid w:val="00C00025"/>
    <w:rPr>
      <w:rFonts w:ascii="Arial" w:eastAsia="Times New Roman" w:hAnsi="Arial" w:cs="Arial"/>
      <w:b/>
      <w:bCs/>
      <w:sz w:val="26"/>
      <w:szCs w:val="26"/>
      <w:lang w:eastAsia="en-AU"/>
    </w:rPr>
  </w:style>
  <w:style w:type="character" w:styleId="FollowedHyperlink">
    <w:name w:val="FollowedHyperlink"/>
    <w:basedOn w:val="DefaultParagraphFont"/>
    <w:uiPriority w:val="99"/>
    <w:semiHidden/>
    <w:unhideWhenUsed/>
    <w:rsid w:val="006C4A3B"/>
    <w:rPr>
      <w:color w:val="800080" w:themeColor="followedHyperlink"/>
      <w:u w:val="single"/>
    </w:rPr>
  </w:style>
  <w:style w:type="paragraph" w:styleId="Header">
    <w:name w:val="header"/>
    <w:basedOn w:val="Normal"/>
    <w:link w:val="HeaderChar"/>
    <w:uiPriority w:val="99"/>
    <w:unhideWhenUsed/>
    <w:rsid w:val="00D15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C93"/>
  </w:style>
  <w:style w:type="paragraph" w:styleId="Footer">
    <w:name w:val="footer"/>
    <w:basedOn w:val="Normal"/>
    <w:link w:val="FooterChar"/>
    <w:uiPriority w:val="99"/>
    <w:unhideWhenUsed/>
    <w:rsid w:val="00D15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C93"/>
  </w:style>
  <w:style w:type="table" w:styleId="TableGrid">
    <w:name w:val="Table Grid"/>
    <w:basedOn w:val="TableNormal"/>
    <w:uiPriority w:val="59"/>
    <w:rsid w:val="00BE150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F3551"/>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5F3551"/>
    <w:rPr>
      <w:rFonts w:ascii="Arial" w:hAnsi="Arial" w:cs="Arial"/>
      <w:b/>
      <w:bCs/>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qFormat/>
    <w:rsid w:val="005F3551"/>
    <w:pPr>
      <w:keepNext/>
      <w:numPr>
        <w:numId w:val="7"/>
      </w:numPr>
      <w:tabs>
        <w:tab w:val="left" w:pos="567"/>
        <w:tab w:val="left" w:pos="1134"/>
        <w:tab w:val="left" w:pos="1701"/>
        <w:tab w:val="left" w:pos="2268"/>
      </w:tabs>
      <w:spacing w:before="120" w:after="120" w:line="240" w:lineRule="auto"/>
      <w:outlineLvl w:val="1"/>
    </w:pPr>
    <w:rPr>
      <w:rFonts w:ascii="Arial" w:hAnsi="Arial" w:cs="Arial"/>
      <w:b/>
      <w:bCs/>
      <w:color w:val="000000"/>
      <w:sz w:val="24"/>
      <w:szCs w:val="24"/>
      <w:lang w:eastAsia="en-AU"/>
    </w:rPr>
  </w:style>
  <w:style w:type="paragraph" w:styleId="Heading3">
    <w:name w:val="heading 3"/>
    <w:basedOn w:val="Normal"/>
    <w:next w:val="Normal"/>
    <w:link w:val="Heading3Char"/>
    <w:qFormat/>
    <w:rsid w:val="00C00025"/>
    <w:pPr>
      <w:keepNext/>
      <w:spacing w:before="240" w:after="60" w:line="240" w:lineRule="auto"/>
      <w:outlineLvl w:val="2"/>
    </w:pPr>
    <w:rPr>
      <w:rFonts w:ascii="Arial" w:eastAsia="Times New Roman" w:hAnsi="Arial" w:cs="Arial"/>
      <w:b/>
      <w:bCs/>
      <w:sz w:val="26"/>
      <w:szCs w:val="26"/>
      <w:lang w:eastAsia="en-AU"/>
    </w:rPr>
  </w:style>
  <w:style w:type="paragraph" w:styleId="Heading4">
    <w:name w:val="heading 4"/>
    <w:basedOn w:val="Normal"/>
    <w:next w:val="Normal"/>
    <w:link w:val="Heading4Char"/>
    <w:uiPriority w:val="9"/>
    <w:semiHidden/>
    <w:unhideWhenUsed/>
    <w:qFormat/>
    <w:rsid w:val="005F35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3Char">
    <w:name w:val="Heading 3 Char"/>
    <w:basedOn w:val="DefaultParagraphFont"/>
    <w:link w:val="Heading3"/>
    <w:rsid w:val="00C00025"/>
    <w:rPr>
      <w:rFonts w:ascii="Arial" w:eastAsia="Times New Roman" w:hAnsi="Arial" w:cs="Arial"/>
      <w:b/>
      <w:bCs/>
      <w:sz w:val="26"/>
      <w:szCs w:val="26"/>
      <w:lang w:eastAsia="en-AU"/>
    </w:rPr>
  </w:style>
  <w:style w:type="character" w:styleId="FollowedHyperlink">
    <w:name w:val="FollowedHyperlink"/>
    <w:basedOn w:val="DefaultParagraphFont"/>
    <w:uiPriority w:val="99"/>
    <w:semiHidden/>
    <w:unhideWhenUsed/>
    <w:rsid w:val="006C4A3B"/>
    <w:rPr>
      <w:color w:val="800080" w:themeColor="followedHyperlink"/>
      <w:u w:val="single"/>
    </w:rPr>
  </w:style>
  <w:style w:type="paragraph" w:styleId="Header">
    <w:name w:val="header"/>
    <w:basedOn w:val="Normal"/>
    <w:link w:val="HeaderChar"/>
    <w:uiPriority w:val="99"/>
    <w:unhideWhenUsed/>
    <w:rsid w:val="00D15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C93"/>
  </w:style>
  <w:style w:type="paragraph" w:styleId="Footer">
    <w:name w:val="footer"/>
    <w:basedOn w:val="Normal"/>
    <w:link w:val="FooterChar"/>
    <w:uiPriority w:val="99"/>
    <w:unhideWhenUsed/>
    <w:rsid w:val="00D15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C93"/>
  </w:style>
  <w:style w:type="table" w:styleId="TableGrid">
    <w:name w:val="Table Grid"/>
    <w:basedOn w:val="TableNormal"/>
    <w:uiPriority w:val="59"/>
    <w:rsid w:val="00BE150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F3551"/>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5F3551"/>
    <w:rPr>
      <w:rFonts w:ascii="Arial" w:hAnsi="Arial" w:cs="Arial"/>
      <w:b/>
      <w:bCs/>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9958">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291149">
      <w:bodyDiv w:val="1"/>
      <w:marLeft w:val="0"/>
      <w:marRight w:val="0"/>
      <w:marTop w:val="0"/>
      <w:marBottom w:val="0"/>
      <w:divBdr>
        <w:top w:val="none" w:sz="0" w:space="0" w:color="auto"/>
        <w:left w:val="none" w:sz="0" w:space="0" w:color="auto"/>
        <w:bottom w:val="none" w:sz="0" w:space="0" w:color="auto"/>
        <w:right w:val="none" w:sz="0" w:space="0" w:color="auto"/>
      </w:divBdr>
    </w:div>
    <w:div w:id="746457178">
      <w:bodyDiv w:val="1"/>
      <w:marLeft w:val="0"/>
      <w:marRight w:val="0"/>
      <w:marTop w:val="0"/>
      <w:marBottom w:val="0"/>
      <w:divBdr>
        <w:top w:val="none" w:sz="0" w:space="0" w:color="auto"/>
        <w:left w:val="none" w:sz="0" w:space="0" w:color="auto"/>
        <w:bottom w:val="none" w:sz="0" w:space="0" w:color="auto"/>
        <w:right w:val="none" w:sz="0" w:space="0" w:color="auto"/>
      </w:divBdr>
    </w:div>
    <w:div w:id="1001615205">
      <w:bodyDiv w:val="1"/>
      <w:marLeft w:val="0"/>
      <w:marRight w:val="0"/>
      <w:marTop w:val="0"/>
      <w:marBottom w:val="0"/>
      <w:divBdr>
        <w:top w:val="none" w:sz="0" w:space="0" w:color="auto"/>
        <w:left w:val="none" w:sz="0" w:space="0" w:color="auto"/>
        <w:bottom w:val="none" w:sz="0" w:space="0" w:color="auto"/>
        <w:right w:val="none" w:sz="0" w:space="0" w:color="auto"/>
      </w:divBdr>
    </w:div>
    <w:div w:id="1179273510">
      <w:bodyDiv w:val="1"/>
      <w:marLeft w:val="0"/>
      <w:marRight w:val="0"/>
      <w:marTop w:val="0"/>
      <w:marBottom w:val="0"/>
      <w:divBdr>
        <w:top w:val="none" w:sz="0" w:space="0" w:color="auto"/>
        <w:left w:val="none" w:sz="0" w:space="0" w:color="auto"/>
        <w:bottom w:val="none" w:sz="0" w:space="0" w:color="auto"/>
        <w:right w:val="none" w:sz="0" w:space="0" w:color="auto"/>
      </w:divBdr>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9288759">
      <w:bodyDiv w:val="1"/>
      <w:marLeft w:val="0"/>
      <w:marRight w:val="0"/>
      <w:marTop w:val="0"/>
      <w:marBottom w:val="0"/>
      <w:divBdr>
        <w:top w:val="none" w:sz="0" w:space="0" w:color="auto"/>
        <w:left w:val="none" w:sz="0" w:space="0" w:color="auto"/>
        <w:bottom w:val="none" w:sz="0" w:space="0" w:color="auto"/>
        <w:right w:val="none" w:sz="0" w:space="0" w:color="auto"/>
      </w:divBdr>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044844">
      <w:bodyDiv w:val="1"/>
      <w:marLeft w:val="0"/>
      <w:marRight w:val="0"/>
      <w:marTop w:val="0"/>
      <w:marBottom w:val="0"/>
      <w:divBdr>
        <w:top w:val="none" w:sz="0" w:space="0" w:color="auto"/>
        <w:left w:val="none" w:sz="0" w:space="0" w:color="auto"/>
        <w:bottom w:val="none" w:sz="0" w:space="0" w:color="auto"/>
        <w:right w:val="none" w:sz="0" w:space="0" w:color="auto"/>
      </w:divBdr>
    </w:div>
    <w:div w:id="20826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D336-B69A-4487-AA81-1C364C78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Goodenough, Rosemary</dc:creator>
  <cp:lastModifiedBy>BURNETT, Jennifer</cp:lastModifiedBy>
  <cp:revision>22</cp:revision>
  <cp:lastPrinted>2017-08-02T07:17:00Z</cp:lastPrinted>
  <dcterms:created xsi:type="dcterms:W3CDTF">2018-06-12T01:28:00Z</dcterms:created>
  <dcterms:modified xsi:type="dcterms:W3CDTF">2018-06-14T00:07:00Z</dcterms:modified>
</cp:coreProperties>
</file>