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68B" w:rsidRDefault="002E568B" w:rsidP="00A43858">
      <w:pPr>
        <w:pStyle w:val="Title"/>
        <w:rPr>
          <w:szCs w:val="24"/>
        </w:rPr>
      </w:pPr>
      <w:r w:rsidRPr="00BA306B">
        <w:rPr>
          <w:szCs w:val="24"/>
        </w:rPr>
        <w:t xml:space="preserve">EXPLANATORY </w:t>
      </w:r>
      <w:r w:rsidR="00EA5894">
        <w:rPr>
          <w:szCs w:val="24"/>
        </w:rPr>
        <w:t>STATEMENT</w:t>
      </w:r>
    </w:p>
    <w:p w:rsidR="00103DB8" w:rsidRDefault="00103DB8" w:rsidP="00103DB8">
      <w:pPr>
        <w:rPr>
          <w:i/>
          <w:szCs w:val="24"/>
        </w:rPr>
      </w:pPr>
    </w:p>
    <w:p w:rsidR="000D32F0" w:rsidRDefault="000D32F0" w:rsidP="00EA5894">
      <w:pPr>
        <w:jc w:val="center"/>
        <w:rPr>
          <w:i/>
          <w:szCs w:val="24"/>
        </w:rPr>
      </w:pPr>
      <w:r w:rsidRPr="00BA306B">
        <w:rPr>
          <w:i/>
          <w:szCs w:val="24"/>
        </w:rPr>
        <w:t>Therapeutic Goods Act 1989</w:t>
      </w:r>
    </w:p>
    <w:p w:rsidR="000D32F0" w:rsidRDefault="000D32F0" w:rsidP="000D32F0">
      <w:pPr>
        <w:ind w:firstLine="1134"/>
        <w:rPr>
          <w:i/>
          <w:szCs w:val="24"/>
        </w:rPr>
      </w:pPr>
      <w:r>
        <w:rPr>
          <w:i/>
          <w:szCs w:val="24"/>
        </w:rPr>
        <w:t xml:space="preserve">      </w:t>
      </w:r>
    </w:p>
    <w:p w:rsidR="000D32F0" w:rsidRDefault="000D32F0" w:rsidP="00604F9E">
      <w:pPr>
        <w:jc w:val="center"/>
        <w:rPr>
          <w:i/>
          <w:szCs w:val="24"/>
        </w:rPr>
      </w:pPr>
      <w:r w:rsidRPr="00BA306B">
        <w:rPr>
          <w:i/>
          <w:szCs w:val="24"/>
        </w:rPr>
        <w:t xml:space="preserve">Therapeutic Goods </w:t>
      </w:r>
      <w:r w:rsidR="00EA5894">
        <w:rPr>
          <w:i/>
          <w:szCs w:val="24"/>
        </w:rPr>
        <w:t>(Human Cells</w:t>
      </w:r>
      <w:r w:rsidR="00BE7469">
        <w:rPr>
          <w:i/>
          <w:szCs w:val="24"/>
        </w:rPr>
        <w:t xml:space="preserve">, </w:t>
      </w:r>
      <w:r w:rsidR="00EA5894">
        <w:rPr>
          <w:i/>
          <w:szCs w:val="24"/>
        </w:rPr>
        <w:t>Tissues</w:t>
      </w:r>
      <w:r w:rsidR="00BE7469">
        <w:rPr>
          <w:i/>
          <w:szCs w:val="24"/>
        </w:rPr>
        <w:t xml:space="preserve"> and Organs</w:t>
      </w:r>
      <w:r w:rsidR="00EA5894">
        <w:rPr>
          <w:i/>
          <w:szCs w:val="24"/>
        </w:rPr>
        <w:t>) Determination 2018</w:t>
      </w:r>
    </w:p>
    <w:p w:rsidR="000D32F0" w:rsidRPr="00704057" w:rsidRDefault="000D32F0" w:rsidP="000D32F0">
      <w:pPr>
        <w:rPr>
          <w:szCs w:val="24"/>
          <w:highlight w:val="yellow"/>
        </w:rPr>
      </w:pPr>
    </w:p>
    <w:p w:rsidR="000D32F0" w:rsidRDefault="000D32F0" w:rsidP="000D32F0">
      <w:pPr>
        <w:rPr>
          <w:szCs w:val="24"/>
        </w:rPr>
      </w:pPr>
      <w:r>
        <w:rPr>
          <w:szCs w:val="24"/>
        </w:rPr>
        <w:t xml:space="preserve">The object of the </w:t>
      </w:r>
      <w:r w:rsidRPr="00FD7B79">
        <w:rPr>
          <w:i/>
          <w:szCs w:val="24"/>
        </w:rPr>
        <w:t>Therapeutic Goods Act 1989</w:t>
      </w:r>
      <w:r>
        <w:rPr>
          <w:szCs w:val="24"/>
        </w:rPr>
        <w:t xml:space="preserve"> (the Act) is to establish and maintain a national system of controls for the quality, safety, efficacy/performance and timely availability of therapeutic goods that are used in Australia or exported from Australia. </w:t>
      </w:r>
      <w:proofErr w:type="gramStart"/>
      <w:r>
        <w:rPr>
          <w:szCs w:val="24"/>
        </w:rPr>
        <w:t>The Therapeutic Goods Administration (the TGA), which is part of the Department of Health (the Department), is responsible for administering the Act.</w:t>
      </w:r>
      <w:proofErr w:type="gramEnd"/>
      <w:r>
        <w:rPr>
          <w:szCs w:val="24"/>
        </w:rPr>
        <w:t xml:space="preserve"> </w:t>
      </w:r>
    </w:p>
    <w:p w:rsidR="000D32F0" w:rsidRDefault="000D32F0" w:rsidP="000D32F0">
      <w:pPr>
        <w:rPr>
          <w:szCs w:val="24"/>
        </w:rPr>
      </w:pPr>
    </w:p>
    <w:p w:rsidR="0047743E" w:rsidRDefault="000D32F0" w:rsidP="000D32F0">
      <w:pPr>
        <w:rPr>
          <w:szCs w:val="24"/>
        </w:rPr>
      </w:pPr>
      <w:r>
        <w:rPr>
          <w:szCs w:val="24"/>
        </w:rPr>
        <w:t xml:space="preserve">Subsection </w:t>
      </w:r>
      <w:r w:rsidR="00EA5894">
        <w:rPr>
          <w:szCs w:val="24"/>
        </w:rPr>
        <w:t>7AA(</w:t>
      </w:r>
      <w:r w:rsidR="00E420A8">
        <w:rPr>
          <w:szCs w:val="24"/>
        </w:rPr>
        <w:t>2</w:t>
      </w:r>
      <w:r w:rsidR="00EA5894">
        <w:rPr>
          <w:szCs w:val="24"/>
        </w:rPr>
        <w:t>)</w:t>
      </w:r>
      <w:r>
        <w:rPr>
          <w:szCs w:val="24"/>
        </w:rPr>
        <w:t xml:space="preserve"> of the Act provides </w:t>
      </w:r>
      <w:r w:rsidR="0047743E">
        <w:rPr>
          <w:szCs w:val="24"/>
        </w:rPr>
        <w:t xml:space="preserve">that the Minister may, by legislative instrument, determine that specified goods (other than goods declared to be therapeutic goods under an order in force under section 7) when used, advertised or presented for supply in a way specified in the determination, are excluded goods for the purposes of this Act. </w:t>
      </w:r>
      <w:r w:rsidR="00B3198F">
        <w:rPr>
          <w:szCs w:val="24"/>
        </w:rPr>
        <w:t xml:space="preserve">Before making such a determination, the Minister must have regard to the matters listed in subsection </w:t>
      </w:r>
      <w:proofErr w:type="gramStart"/>
      <w:r w:rsidR="00B3198F">
        <w:rPr>
          <w:szCs w:val="24"/>
        </w:rPr>
        <w:t>7AA(</w:t>
      </w:r>
      <w:proofErr w:type="gramEnd"/>
      <w:r w:rsidR="00B3198F">
        <w:rPr>
          <w:szCs w:val="24"/>
        </w:rPr>
        <w:t>3)</w:t>
      </w:r>
      <w:r w:rsidR="008C75E7">
        <w:rPr>
          <w:szCs w:val="24"/>
        </w:rPr>
        <w:t>,</w:t>
      </w:r>
      <w:r w:rsidR="00B3198F">
        <w:rPr>
          <w:szCs w:val="24"/>
        </w:rPr>
        <w:t xml:space="preserve"> and any other matter the Minister considers relevant</w:t>
      </w:r>
      <w:r w:rsidR="008C75E7">
        <w:rPr>
          <w:szCs w:val="24"/>
        </w:rPr>
        <w:t xml:space="preserve"> (subsection 7AA(4) refers)</w:t>
      </w:r>
      <w:r w:rsidR="00B3198F">
        <w:rPr>
          <w:szCs w:val="24"/>
        </w:rPr>
        <w:t xml:space="preserve">. </w:t>
      </w:r>
    </w:p>
    <w:p w:rsidR="0047743E" w:rsidRDefault="0047743E" w:rsidP="000D32F0">
      <w:pPr>
        <w:rPr>
          <w:szCs w:val="24"/>
        </w:rPr>
      </w:pPr>
    </w:p>
    <w:p w:rsidR="00AB43D4" w:rsidRDefault="000D32F0" w:rsidP="000D32F0">
      <w:r>
        <w:t xml:space="preserve">Section 4 of the </w:t>
      </w:r>
      <w:r w:rsidRPr="00B66259">
        <w:rPr>
          <w:i/>
        </w:rPr>
        <w:t>Therapeutic Goods (Excluded Goods) Order No. 1 of 2011</w:t>
      </w:r>
      <w:r w:rsidR="004E62D3">
        <w:t xml:space="preserve"> (the EGO)</w:t>
      </w:r>
      <w:r>
        <w:t xml:space="preserve">, made under subsection 7(1) of the Act, declares a number of goods for use in humans not </w:t>
      </w:r>
      <w:r w:rsidR="004C5984">
        <w:t xml:space="preserve">to be </w:t>
      </w:r>
      <w:r>
        <w:t>therapeutic goods</w:t>
      </w:r>
      <w:r w:rsidR="00D12C73">
        <w:t xml:space="preserve"> for the purposes of the Act</w:t>
      </w:r>
      <w:r>
        <w:t xml:space="preserve">. </w:t>
      </w:r>
      <w:r w:rsidR="004E62D3">
        <w:t>Paragraph 4</w:t>
      </w:r>
      <w:r w:rsidR="001104EB">
        <w:t>(</w:t>
      </w:r>
      <w:r w:rsidR="004E62D3">
        <w:t>q</w:t>
      </w:r>
      <w:r w:rsidR="001104EB">
        <w:t>)</w:t>
      </w:r>
      <w:r w:rsidR="004E62D3">
        <w:t xml:space="preserve"> of the </w:t>
      </w:r>
      <w:r w:rsidR="00EB49FE">
        <w:t xml:space="preserve">EGO refers </w:t>
      </w:r>
      <w:r w:rsidR="00AB24E3">
        <w:t xml:space="preserve">to this end </w:t>
      </w:r>
      <w:r w:rsidR="00EB49FE">
        <w:t>to human tissue</w:t>
      </w:r>
      <w:r w:rsidR="00685120">
        <w:t>s and cells</w:t>
      </w:r>
      <w:r w:rsidR="00EB49FE">
        <w:t xml:space="preserve"> collected from a patient under the clinical care of a </w:t>
      </w:r>
      <w:r w:rsidR="00D12C73">
        <w:t xml:space="preserve">registered </w:t>
      </w:r>
      <w:r w:rsidR="00EB49FE">
        <w:t>medical practitioner</w:t>
      </w:r>
      <w:r w:rsidR="00AB24E3">
        <w:t xml:space="preserve">, </w:t>
      </w:r>
      <w:r w:rsidR="00EB49FE">
        <w:t>that are manufactured by th</w:t>
      </w:r>
      <w:r w:rsidR="00AB24E3">
        <w:t>e</w:t>
      </w:r>
      <w:r w:rsidR="00EB49FE">
        <w:t xml:space="preserve"> practitioner </w:t>
      </w:r>
      <w:r w:rsidR="004C5984">
        <w:t>(</w:t>
      </w:r>
      <w:r w:rsidR="00EB49FE">
        <w:t>or a person under the</w:t>
      </w:r>
      <w:r w:rsidR="00AB24E3">
        <w:t>ir</w:t>
      </w:r>
      <w:r w:rsidR="00EB49FE">
        <w:t xml:space="preserve"> professional supervision</w:t>
      </w:r>
      <w:r w:rsidR="004C5984">
        <w:t>)</w:t>
      </w:r>
      <w:r w:rsidR="00EB49FE">
        <w:t xml:space="preserve"> for </w:t>
      </w:r>
      <w:r w:rsidR="00AB24E3">
        <w:t>use</w:t>
      </w:r>
      <w:r w:rsidR="00EB49FE">
        <w:t xml:space="preserve"> in the treatment of </w:t>
      </w:r>
      <w:r w:rsidR="00AB24E3">
        <w:t>the same person from whom they were collected (</w:t>
      </w:r>
      <w:r w:rsidR="00777A87" w:rsidRPr="00AF727E">
        <w:t xml:space="preserve">autologous </w:t>
      </w:r>
      <w:r w:rsidR="00685120">
        <w:t>human cell</w:t>
      </w:r>
      <w:r w:rsidR="00453186">
        <w:t xml:space="preserve"> and tissue</w:t>
      </w:r>
      <w:r w:rsidR="00852D51">
        <w:t xml:space="preserve"> </w:t>
      </w:r>
      <w:r w:rsidR="00685120">
        <w:t>(</w:t>
      </w:r>
      <w:r w:rsidR="00453186">
        <w:t>HCT</w:t>
      </w:r>
      <w:r w:rsidR="00685120">
        <w:t>)</w:t>
      </w:r>
      <w:r w:rsidR="004C63CD" w:rsidRPr="00AF727E">
        <w:t xml:space="preserve"> products</w:t>
      </w:r>
      <w:r w:rsidR="00AB24E3">
        <w:t>)</w:t>
      </w:r>
      <w:r w:rsidR="00777A87">
        <w:t xml:space="preserve">. </w:t>
      </w:r>
      <w:r w:rsidR="00685120">
        <w:t xml:space="preserve">Examples of autologous </w:t>
      </w:r>
      <w:r w:rsidR="00453186">
        <w:t>HCT</w:t>
      </w:r>
      <w:r w:rsidR="00685120">
        <w:t xml:space="preserve"> products include skin grafts for the treatment of burns, bone grafts and bone marrow transplants.</w:t>
      </w:r>
    </w:p>
    <w:p w:rsidR="00EB49FE" w:rsidRDefault="00EB49FE" w:rsidP="000D32F0"/>
    <w:p w:rsidR="00FA5F30" w:rsidRPr="00AB43D4" w:rsidRDefault="00B66259" w:rsidP="000D32F0">
      <w:pPr>
        <w:rPr>
          <w:szCs w:val="24"/>
        </w:rPr>
      </w:pPr>
      <w:r w:rsidRPr="00D46CD3">
        <w:rPr>
          <w:szCs w:val="24"/>
        </w:rPr>
        <w:t>However,</w:t>
      </w:r>
      <w:r>
        <w:rPr>
          <w:szCs w:val="24"/>
        </w:rPr>
        <w:t xml:space="preserve"> t</w:t>
      </w:r>
      <w:r w:rsidRPr="00D46CD3">
        <w:rPr>
          <w:szCs w:val="24"/>
        </w:rPr>
        <w:t xml:space="preserve">here is growing global </w:t>
      </w:r>
      <w:r>
        <w:rPr>
          <w:szCs w:val="24"/>
        </w:rPr>
        <w:t xml:space="preserve">concern </w:t>
      </w:r>
      <w:r w:rsidR="004C5984">
        <w:rPr>
          <w:szCs w:val="24"/>
        </w:rPr>
        <w:t>in relation to</w:t>
      </w:r>
      <w:r w:rsidRPr="00D46CD3">
        <w:rPr>
          <w:szCs w:val="24"/>
        </w:rPr>
        <w:t xml:space="preserve"> </w:t>
      </w:r>
      <w:r w:rsidR="004C5984">
        <w:rPr>
          <w:szCs w:val="24"/>
        </w:rPr>
        <w:t xml:space="preserve">the </w:t>
      </w:r>
      <w:r w:rsidR="00FA5F30">
        <w:rPr>
          <w:szCs w:val="24"/>
        </w:rPr>
        <w:t xml:space="preserve">risks that such products and related treatments may pose to patient </w:t>
      </w:r>
      <w:proofErr w:type="gramStart"/>
      <w:r w:rsidR="00FA5F30">
        <w:rPr>
          <w:szCs w:val="24"/>
        </w:rPr>
        <w:t>safety</w:t>
      </w:r>
      <w:r w:rsidR="004F5C32">
        <w:rPr>
          <w:szCs w:val="24"/>
        </w:rPr>
        <w:t>,</w:t>
      </w:r>
      <w:proofErr w:type="gramEnd"/>
      <w:r w:rsidR="004F5C32">
        <w:rPr>
          <w:szCs w:val="24"/>
        </w:rPr>
        <w:t xml:space="preserve"> </w:t>
      </w:r>
      <w:r w:rsidR="00FA5F30">
        <w:rPr>
          <w:szCs w:val="24"/>
        </w:rPr>
        <w:t xml:space="preserve">and in relation to the </w:t>
      </w:r>
      <w:r w:rsidRPr="00D46CD3">
        <w:rPr>
          <w:szCs w:val="24"/>
        </w:rPr>
        <w:t xml:space="preserve">advertising of </w:t>
      </w:r>
      <w:r w:rsidR="004C5984">
        <w:rPr>
          <w:szCs w:val="24"/>
        </w:rPr>
        <w:t>such products directly to consumers</w:t>
      </w:r>
      <w:r>
        <w:rPr>
          <w:szCs w:val="24"/>
        </w:rPr>
        <w:t>.</w:t>
      </w:r>
      <w:r w:rsidR="00AB43D4">
        <w:rPr>
          <w:szCs w:val="24"/>
        </w:rPr>
        <w:t xml:space="preserve"> </w:t>
      </w:r>
      <w:r>
        <w:t xml:space="preserve">The </w:t>
      </w:r>
      <w:r w:rsidRPr="00B66259">
        <w:rPr>
          <w:i/>
        </w:rPr>
        <w:t>Therapeutic Goods Legislation Amendment (2018 Measures No. 2) Regulations 2018</w:t>
      </w:r>
      <w:r>
        <w:t xml:space="preserve"> (the Regulations) </w:t>
      </w:r>
      <w:r w:rsidR="00FA5F30">
        <w:t>amend</w:t>
      </w:r>
      <w:r w:rsidR="008C75E7">
        <w:t>ed</w:t>
      </w:r>
      <w:r w:rsidR="00FA5F30">
        <w:t xml:space="preserve"> the </w:t>
      </w:r>
      <w:r w:rsidR="00FA5F30" w:rsidRPr="00AF727E">
        <w:rPr>
          <w:i/>
        </w:rPr>
        <w:t>Therapeutic Goods Regulations 1990</w:t>
      </w:r>
      <w:r w:rsidR="00FA5F30">
        <w:t xml:space="preserve"> to </w:t>
      </w:r>
      <w:r w:rsidR="003F006F">
        <w:t>address th</w:t>
      </w:r>
      <w:r w:rsidR="00FA5F30">
        <w:t>ese</w:t>
      </w:r>
      <w:r w:rsidR="003F006F">
        <w:t xml:space="preserve"> concern</w:t>
      </w:r>
      <w:r w:rsidR="00FA5F30">
        <w:t>s</w:t>
      </w:r>
      <w:r w:rsidR="003F006F">
        <w:t xml:space="preserve"> by introducing </w:t>
      </w:r>
      <w:r w:rsidR="00FA5F30">
        <w:t xml:space="preserve">an </w:t>
      </w:r>
      <w:r w:rsidR="004C63CD">
        <w:t xml:space="preserve">appropriate </w:t>
      </w:r>
      <w:r w:rsidR="00FA5F30">
        <w:t xml:space="preserve">level of </w:t>
      </w:r>
      <w:r w:rsidR="004C63CD">
        <w:t xml:space="preserve">regulatory oversight </w:t>
      </w:r>
      <w:r w:rsidR="00FA5F30">
        <w:t xml:space="preserve">for autologous </w:t>
      </w:r>
      <w:r w:rsidR="00453186">
        <w:t>HCT</w:t>
      </w:r>
      <w:r w:rsidR="00FA5F30">
        <w:t xml:space="preserve"> products, </w:t>
      </w:r>
      <w:r w:rsidR="004C63CD">
        <w:t xml:space="preserve">commensurate with the safety risks to patients. </w:t>
      </w:r>
    </w:p>
    <w:p w:rsidR="00FA5F30" w:rsidRDefault="00FA5F30" w:rsidP="000D32F0"/>
    <w:p w:rsidR="001A7188" w:rsidRDefault="00DE2C4E" w:rsidP="000D32F0">
      <w:r>
        <w:t xml:space="preserve">Only autologous </w:t>
      </w:r>
      <w:r w:rsidR="00453186">
        <w:t>HCT</w:t>
      </w:r>
      <w:r>
        <w:t xml:space="preserve"> products that are collected, and manufactured, by a registered medical or dental practitioner in a hospital would continue to be excluded from the regulatory scheme</w:t>
      </w:r>
      <w:r w:rsidR="008C75E7">
        <w:t xml:space="preserve">. The principal </w:t>
      </w:r>
      <w:r w:rsidR="00AB43D4">
        <w:t>purpose of the</w:t>
      </w:r>
      <w:r>
        <w:t xml:space="preserve"> </w:t>
      </w:r>
      <w:r w:rsidR="00AB43D4" w:rsidRPr="00BA306B">
        <w:rPr>
          <w:i/>
          <w:szCs w:val="24"/>
        </w:rPr>
        <w:t xml:space="preserve">Therapeutic Goods </w:t>
      </w:r>
      <w:r w:rsidR="00AB43D4">
        <w:rPr>
          <w:i/>
          <w:szCs w:val="24"/>
        </w:rPr>
        <w:t>(Human Cells</w:t>
      </w:r>
      <w:r w:rsidR="0065462F">
        <w:rPr>
          <w:i/>
          <w:szCs w:val="24"/>
        </w:rPr>
        <w:t xml:space="preserve">, </w:t>
      </w:r>
      <w:r w:rsidR="00AB43D4">
        <w:rPr>
          <w:i/>
          <w:szCs w:val="24"/>
        </w:rPr>
        <w:t>Tissues</w:t>
      </w:r>
      <w:r w:rsidR="0065462F">
        <w:rPr>
          <w:i/>
          <w:szCs w:val="24"/>
        </w:rPr>
        <w:t xml:space="preserve"> and Organs</w:t>
      </w:r>
      <w:r w:rsidR="00AB43D4">
        <w:rPr>
          <w:i/>
          <w:szCs w:val="24"/>
        </w:rPr>
        <w:t xml:space="preserve">) Determination 2018 </w:t>
      </w:r>
      <w:r w:rsidR="00AB43D4" w:rsidRPr="00AB43D4">
        <w:rPr>
          <w:szCs w:val="24"/>
        </w:rPr>
        <w:t>(the Determination)</w:t>
      </w:r>
      <w:r w:rsidR="00AB43D4">
        <w:rPr>
          <w:szCs w:val="24"/>
        </w:rPr>
        <w:t xml:space="preserve"> </w:t>
      </w:r>
      <w:r w:rsidR="008C75E7">
        <w:rPr>
          <w:szCs w:val="24"/>
        </w:rPr>
        <w:t>is to reflect this</w:t>
      </w:r>
      <w:r w:rsidR="00AB43D4">
        <w:t xml:space="preserve">. </w:t>
      </w:r>
      <w:r w:rsidR="004F5C32">
        <w:t>A</w:t>
      </w:r>
      <w:r w:rsidR="001A7188">
        <w:t xml:space="preserve">mendments </w:t>
      </w:r>
      <w:r w:rsidR="004F5C32">
        <w:t>to</w:t>
      </w:r>
      <w:r w:rsidR="001A7188">
        <w:t xml:space="preserve"> remo</w:t>
      </w:r>
      <w:r w:rsidR="004F5C32">
        <w:t>ve</w:t>
      </w:r>
      <w:r w:rsidR="0095409B">
        <w:t xml:space="preserve"> paragraph 4</w:t>
      </w:r>
      <w:r w:rsidR="00E420A8">
        <w:t>(</w:t>
      </w:r>
      <w:r w:rsidR="0095409B">
        <w:t>q</w:t>
      </w:r>
      <w:r w:rsidR="00E420A8">
        <w:t>)</w:t>
      </w:r>
      <w:r w:rsidR="0095409B">
        <w:t xml:space="preserve"> from the EGO have</w:t>
      </w:r>
      <w:r w:rsidR="001A7188">
        <w:t xml:space="preserve"> </w:t>
      </w:r>
      <w:r w:rsidR="004F5C32">
        <w:t>also</w:t>
      </w:r>
      <w:r w:rsidR="0095409B">
        <w:t xml:space="preserve"> separately</w:t>
      </w:r>
      <w:r w:rsidR="004F5C32">
        <w:t xml:space="preserve"> be</w:t>
      </w:r>
      <w:r w:rsidR="0095409B">
        <w:t>en</w:t>
      </w:r>
      <w:r w:rsidR="004F5C32">
        <w:t xml:space="preserve"> made to </w:t>
      </w:r>
      <w:r w:rsidR="001A7188">
        <w:t>ensur</w:t>
      </w:r>
      <w:r w:rsidR="008C75E7">
        <w:t xml:space="preserve">e consistency with the </w:t>
      </w:r>
      <w:r w:rsidR="001A7188">
        <w:t>Regulations.</w:t>
      </w:r>
    </w:p>
    <w:p w:rsidR="001A7188" w:rsidRDefault="001A7188" w:rsidP="000D32F0"/>
    <w:p w:rsidR="00631162" w:rsidRPr="001104EB" w:rsidRDefault="008C75E7" w:rsidP="000D32F0">
      <w:r>
        <w:t>In ad</w:t>
      </w:r>
      <w:r w:rsidR="0095409B">
        <w:t xml:space="preserve">dition, the Determination </w:t>
      </w:r>
      <w:r>
        <w:t>also exclude</w:t>
      </w:r>
      <w:r w:rsidR="0095409B">
        <w:t>s</w:t>
      </w:r>
      <w:r>
        <w:t xml:space="preserve"> from the regulatory scheme the products mentioned in p</w:t>
      </w:r>
      <w:r w:rsidR="003F20C9">
        <w:t>aragraphs 4</w:t>
      </w:r>
      <w:r w:rsidR="001104EB">
        <w:t>(</w:t>
      </w:r>
      <w:r w:rsidR="003F20C9">
        <w:t>o</w:t>
      </w:r>
      <w:r w:rsidR="001104EB">
        <w:t>)</w:t>
      </w:r>
      <w:r w:rsidR="00352CB2">
        <w:t>,</w:t>
      </w:r>
      <w:r w:rsidR="003F20C9">
        <w:t xml:space="preserve"> 4</w:t>
      </w:r>
      <w:r w:rsidR="001104EB">
        <w:t>(p)</w:t>
      </w:r>
      <w:r w:rsidR="003F20C9">
        <w:t xml:space="preserve"> and 4</w:t>
      </w:r>
      <w:r w:rsidR="001104EB">
        <w:t>(r)</w:t>
      </w:r>
      <w:r w:rsidR="003F20C9">
        <w:t xml:space="preserve"> of the EGO</w:t>
      </w:r>
      <w:r>
        <w:t>, which</w:t>
      </w:r>
      <w:r w:rsidR="003F20C9">
        <w:t xml:space="preserve"> relate to: </w:t>
      </w:r>
      <w:r w:rsidR="003F20C9" w:rsidRPr="003F20C9">
        <w:rPr>
          <w:szCs w:val="24"/>
          <w:lang w:val="en"/>
        </w:rPr>
        <w:t xml:space="preserve">fresh viable human organs, or parts of human organs, for direct donor-to- host transplantation and used in accordance with applicable laws and standards; fresh viable human </w:t>
      </w:r>
      <w:proofErr w:type="spellStart"/>
      <w:r w:rsidR="003F20C9" w:rsidRPr="003F20C9">
        <w:rPr>
          <w:szCs w:val="24"/>
          <w:lang w:val="en"/>
        </w:rPr>
        <w:t>haematopoietic</w:t>
      </w:r>
      <w:proofErr w:type="spellEnd"/>
      <w:r w:rsidR="003F20C9" w:rsidRPr="003F20C9">
        <w:rPr>
          <w:szCs w:val="24"/>
          <w:lang w:val="en"/>
        </w:rPr>
        <w:t xml:space="preserve"> </w:t>
      </w:r>
      <w:r w:rsidR="003F20C9" w:rsidRPr="003F20C9">
        <w:rPr>
          <w:szCs w:val="24"/>
          <w:lang w:val="en"/>
        </w:rPr>
        <w:lastRenderedPageBreak/>
        <w:t xml:space="preserve">progenitor cells for direct donor-to-host transplantation for the purpose of </w:t>
      </w:r>
      <w:proofErr w:type="spellStart"/>
      <w:r w:rsidR="003F20C9" w:rsidRPr="003F20C9">
        <w:rPr>
          <w:szCs w:val="24"/>
          <w:lang w:val="en"/>
        </w:rPr>
        <w:t>haematopoietic</w:t>
      </w:r>
      <w:proofErr w:type="spellEnd"/>
      <w:r w:rsidR="003F20C9" w:rsidRPr="003F20C9">
        <w:rPr>
          <w:szCs w:val="24"/>
          <w:lang w:val="en"/>
        </w:rPr>
        <w:t xml:space="preserve"> reconstitution; </w:t>
      </w:r>
      <w:r w:rsidR="003F20C9">
        <w:rPr>
          <w:szCs w:val="24"/>
          <w:lang w:val="en"/>
        </w:rPr>
        <w:t xml:space="preserve">and </w:t>
      </w:r>
      <w:r w:rsidR="003F20C9">
        <w:rPr>
          <w:lang w:val="en"/>
        </w:rPr>
        <w:t xml:space="preserve">reproductive tissue for use in assisted reproductive therapy. </w:t>
      </w:r>
    </w:p>
    <w:p w:rsidR="0095409B" w:rsidRDefault="00631162" w:rsidP="000D32F0">
      <w:pPr>
        <w:rPr>
          <w:lang w:val="en"/>
        </w:rPr>
      </w:pPr>
      <w:r>
        <w:rPr>
          <w:lang w:val="en"/>
        </w:rPr>
        <w:t>It is considered t</w:t>
      </w:r>
      <w:r w:rsidR="008C75E7">
        <w:rPr>
          <w:lang w:val="en"/>
        </w:rPr>
        <w:t>hat these goods would be</w:t>
      </w:r>
      <w:r>
        <w:rPr>
          <w:lang w:val="en"/>
        </w:rPr>
        <w:t xml:space="preserve"> more appropriately covered by a determination under section </w:t>
      </w:r>
      <w:proofErr w:type="gramStart"/>
      <w:r>
        <w:rPr>
          <w:lang w:val="en"/>
        </w:rPr>
        <w:t>7AA</w:t>
      </w:r>
      <w:r w:rsidR="00E420A8">
        <w:rPr>
          <w:lang w:val="en"/>
        </w:rPr>
        <w:t>(</w:t>
      </w:r>
      <w:proofErr w:type="gramEnd"/>
      <w:r w:rsidR="00E420A8">
        <w:rPr>
          <w:lang w:val="en"/>
        </w:rPr>
        <w:t>1)</w:t>
      </w:r>
      <w:r>
        <w:rPr>
          <w:lang w:val="en"/>
        </w:rPr>
        <w:t xml:space="preserve"> because these goods are, in most circumstances, likely to be therapeutic goods. </w:t>
      </w:r>
    </w:p>
    <w:p w:rsidR="0095409B" w:rsidRDefault="0095409B" w:rsidP="000D32F0">
      <w:pPr>
        <w:rPr>
          <w:lang w:val="en"/>
        </w:rPr>
      </w:pPr>
    </w:p>
    <w:p w:rsidR="0095409B" w:rsidRDefault="0095409B" w:rsidP="000D32F0">
      <w:pPr>
        <w:rPr>
          <w:lang w:val="en"/>
        </w:rPr>
      </w:pPr>
      <w:r>
        <w:rPr>
          <w:lang w:val="en"/>
        </w:rPr>
        <w:t>In relation to these goods, and in relation to the autologous HCT products that are excluded from the regulatory scheme by the Determination</w:t>
      </w:r>
      <w:r w:rsidR="00E9531D">
        <w:rPr>
          <w:lang w:val="en"/>
        </w:rPr>
        <w:t xml:space="preserve"> (i.e. </w:t>
      </w:r>
      <w:r w:rsidR="00E9531D">
        <w:t>collected, and manufactured, by a registered medical or dental practitioner in a hospital)</w:t>
      </w:r>
      <w:r>
        <w:rPr>
          <w:lang w:val="en"/>
        </w:rPr>
        <w:t xml:space="preserve">, </w:t>
      </w:r>
      <w:r w:rsidR="001F4190">
        <w:rPr>
          <w:lang w:val="en"/>
        </w:rPr>
        <w:t xml:space="preserve">the matters mentioned in subsection </w:t>
      </w:r>
      <w:proofErr w:type="gramStart"/>
      <w:r w:rsidR="001F4190">
        <w:rPr>
          <w:lang w:val="en"/>
        </w:rPr>
        <w:t>7AA(</w:t>
      </w:r>
      <w:proofErr w:type="gramEnd"/>
      <w:r w:rsidR="001F4190">
        <w:rPr>
          <w:lang w:val="en"/>
        </w:rPr>
        <w:t>3) of the Act have been carefully considered.</w:t>
      </w:r>
      <w:r w:rsidR="00E9531D">
        <w:rPr>
          <w:lang w:val="en"/>
        </w:rPr>
        <w:t xml:space="preserve"> In particular, it is noted that:</w:t>
      </w:r>
    </w:p>
    <w:p w:rsidR="00762C8A" w:rsidRDefault="00E9531D" w:rsidP="00352CB2">
      <w:pPr>
        <w:pStyle w:val="ListParagraph"/>
        <w:numPr>
          <w:ilvl w:val="0"/>
          <w:numId w:val="32"/>
        </w:numPr>
        <w:ind w:left="567" w:hanging="567"/>
        <w:rPr>
          <w:lang w:val="en"/>
        </w:rPr>
      </w:pPr>
      <w:r>
        <w:rPr>
          <w:lang w:val="en"/>
        </w:rPr>
        <w:t>as these products</w:t>
      </w:r>
      <w:r w:rsidR="00762C8A">
        <w:rPr>
          <w:lang w:val="en"/>
        </w:rPr>
        <w:t>, by their nature, are principally likely to be supplied and used in a hospital setting, and as they have been treated under the EGO</w:t>
      </w:r>
      <w:r>
        <w:rPr>
          <w:lang w:val="en"/>
        </w:rPr>
        <w:t xml:space="preserve"> as not being therapeutic goods for some time, </w:t>
      </w:r>
      <w:r w:rsidR="00762C8A">
        <w:rPr>
          <w:lang w:val="en"/>
        </w:rPr>
        <w:t>it is not considered likely that they would harm the health of members of the public if the</w:t>
      </w:r>
      <w:r w:rsidR="00352CB2">
        <w:rPr>
          <w:lang w:val="en"/>
        </w:rPr>
        <w:t>y</w:t>
      </w:r>
      <w:r w:rsidR="00762C8A">
        <w:rPr>
          <w:lang w:val="en"/>
        </w:rPr>
        <w:t xml:space="preserve"> were not regulated under the Act, for the purposes of paragraph 7AA</w:t>
      </w:r>
      <w:r w:rsidR="0065462F">
        <w:rPr>
          <w:lang w:val="en"/>
        </w:rPr>
        <w:t>(</w:t>
      </w:r>
      <w:r w:rsidR="00762C8A">
        <w:rPr>
          <w:lang w:val="en"/>
        </w:rPr>
        <w:t>3)(a) of the Act;</w:t>
      </w:r>
    </w:p>
    <w:p w:rsidR="003F20C9" w:rsidRPr="00BB1BB1" w:rsidRDefault="00713127" w:rsidP="00BB1BB1">
      <w:pPr>
        <w:pStyle w:val="ListParagraph"/>
        <w:numPr>
          <w:ilvl w:val="0"/>
          <w:numId w:val="32"/>
        </w:numPr>
        <w:spacing w:before="120"/>
        <w:ind w:left="567" w:hanging="567"/>
        <w:rPr>
          <w:lang w:val="en"/>
        </w:rPr>
      </w:pPr>
      <w:r w:rsidRPr="00BB1BB1">
        <w:rPr>
          <w:lang w:val="en"/>
        </w:rPr>
        <w:t xml:space="preserve">as the supply and use of these products would principally be controlled by medical practitioners and be the subject of consultation between practitioner and patient, it is not </w:t>
      </w:r>
      <w:r w:rsidR="00604F9E" w:rsidRPr="00BB1BB1">
        <w:rPr>
          <w:lang w:val="en"/>
        </w:rPr>
        <w:t>considered appropriate in all the circumstances to apply the national system of controls relating to the quality, safety and efficacy and performance of therapeutic goods established by t</w:t>
      </w:r>
      <w:r w:rsidRPr="00BB1BB1">
        <w:rPr>
          <w:lang w:val="en"/>
        </w:rPr>
        <w:t>he Act to regulate them under the Act, for the purposes of paragraph 7AA(3)(b) of the Act</w:t>
      </w:r>
      <w:r w:rsidR="00E85180" w:rsidRPr="00BB1BB1">
        <w:rPr>
          <w:lang w:val="en"/>
        </w:rPr>
        <w:t>;</w:t>
      </w:r>
    </w:p>
    <w:p w:rsidR="00E85180" w:rsidRPr="00713127" w:rsidRDefault="00E85180" w:rsidP="000D32F0">
      <w:pPr>
        <w:pStyle w:val="ListParagraph"/>
        <w:numPr>
          <w:ilvl w:val="0"/>
          <w:numId w:val="32"/>
        </w:numPr>
        <w:spacing w:before="120"/>
        <w:ind w:left="567" w:hanging="567"/>
        <w:rPr>
          <w:lang w:val="en"/>
        </w:rPr>
      </w:pPr>
      <w:r>
        <w:rPr>
          <w:lang w:val="en"/>
        </w:rPr>
        <w:t>as such, the kinds of risks that these products may pose would be best managed by the medical</w:t>
      </w:r>
      <w:r w:rsidR="006B0C76">
        <w:rPr>
          <w:lang w:val="en"/>
        </w:rPr>
        <w:t xml:space="preserve"> or dental</w:t>
      </w:r>
      <w:r>
        <w:rPr>
          <w:lang w:val="en"/>
        </w:rPr>
        <w:t xml:space="preserve"> practitioners, including specialists, who would be involved in the transplantation or use of these products in the relevant hospital setting, for the purposes of paragraph </w:t>
      </w:r>
      <w:proofErr w:type="gramStart"/>
      <w:r>
        <w:rPr>
          <w:lang w:val="en"/>
        </w:rPr>
        <w:t>7AA(</w:t>
      </w:r>
      <w:proofErr w:type="gramEnd"/>
      <w:r>
        <w:rPr>
          <w:lang w:val="en"/>
        </w:rPr>
        <w:t>3)(c) of the Act</w:t>
      </w:r>
      <w:r w:rsidR="0065462F">
        <w:rPr>
          <w:lang w:val="en"/>
        </w:rPr>
        <w:t xml:space="preserve"> (in addition, the medical and dental practitioners would be subject to regulation by the Australian Health Practitioner Regulation Agency (APHRA))</w:t>
      </w:r>
      <w:r>
        <w:rPr>
          <w:lang w:val="en"/>
        </w:rPr>
        <w:t xml:space="preserve">.  </w:t>
      </w:r>
    </w:p>
    <w:p w:rsidR="003F20C9" w:rsidRDefault="003F20C9" w:rsidP="000D32F0"/>
    <w:p w:rsidR="00604F9E" w:rsidRPr="003856A4" w:rsidRDefault="00604F9E" w:rsidP="00604F9E">
      <w:pPr>
        <w:rPr>
          <w:szCs w:val="24"/>
        </w:rPr>
      </w:pPr>
      <w:r w:rsidRPr="003856A4">
        <w:rPr>
          <w:szCs w:val="24"/>
        </w:rPr>
        <w:t xml:space="preserve">Details of the </w:t>
      </w:r>
      <w:r>
        <w:rPr>
          <w:szCs w:val="24"/>
        </w:rPr>
        <w:t>Determination</w:t>
      </w:r>
      <w:r w:rsidRPr="003856A4">
        <w:rPr>
          <w:szCs w:val="24"/>
        </w:rPr>
        <w:t xml:space="preserve"> are set out in the </w:t>
      </w:r>
      <w:r w:rsidRPr="003856A4">
        <w:rPr>
          <w:szCs w:val="24"/>
          <w:u w:val="single"/>
        </w:rPr>
        <w:t>Attachment</w:t>
      </w:r>
      <w:r w:rsidRPr="003856A4">
        <w:rPr>
          <w:szCs w:val="24"/>
        </w:rPr>
        <w:t>.</w:t>
      </w:r>
    </w:p>
    <w:p w:rsidR="00604F9E" w:rsidRDefault="00604F9E" w:rsidP="00604F9E">
      <w:pPr>
        <w:rPr>
          <w:szCs w:val="24"/>
        </w:rPr>
      </w:pPr>
    </w:p>
    <w:p w:rsidR="00604F9E" w:rsidRDefault="00604F9E" w:rsidP="00604F9E">
      <w:pPr>
        <w:rPr>
          <w:szCs w:val="24"/>
        </w:rPr>
      </w:pPr>
      <w:r>
        <w:rPr>
          <w:szCs w:val="24"/>
        </w:rPr>
        <w:t>T</w:t>
      </w:r>
      <w:r w:rsidRPr="003856A4">
        <w:rPr>
          <w:szCs w:val="24"/>
        </w:rPr>
        <w:t xml:space="preserve">he Act </w:t>
      </w:r>
      <w:r>
        <w:rPr>
          <w:szCs w:val="24"/>
        </w:rPr>
        <w:t xml:space="preserve">specifies a number of matters that the Minister must have regard to before making a determination under section 7AA (subsections </w:t>
      </w:r>
      <w:proofErr w:type="gramStart"/>
      <w:r>
        <w:rPr>
          <w:szCs w:val="24"/>
        </w:rPr>
        <w:t>7AA(</w:t>
      </w:r>
      <w:proofErr w:type="gramEnd"/>
      <w:r>
        <w:rPr>
          <w:szCs w:val="24"/>
        </w:rPr>
        <w:t xml:space="preserve">3) and (4) refer). These matters have been taken into consideration in the making of this Determination. </w:t>
      </w:r>
    </w:p>
    <w:p w:rsidR="00604F9E" w:rsidRDefault="00604F9E" w:rsidP="00604F9E">
      <w:pPr>
        <w:rPr>
          <w:szCs w:val="24"/>
        </w:rPr>
      </w:pPr>
    </w:p>
    <w:p w:rsidR="00604F9E" w:rsidRPr="003856A4" w:rsidRDefault="00604F9E" w:rsidP="00604F9E">
      <w:pPr>
        <w:rPr>
          <w:szCs w:val="24"/>
        </w:rPr>
      </w:pPr>
      <w:r w:rsidRPr="003856A4">
        <w:rPr>
          <w:szCs w:val="24"/>
        </w:rPr>
        <w:t xml:space="preserve">The </w:t>
      </w:r>
      <w:r>
        <w:rPr>
          <w:szCs w:val="24"/>
        </w:rPr>
        <w:t>Determination</w:t>
      </w:r>
      <w:r w:rsidRPr="003856A4">
        <w:rPr>
          <w:szCs w:val="24"/>
        </w:rPr>
        <w:t xml:space="preserve"> </w:t>
      </w:r>
      <w:r w:rsidR="00352CB2">
        <w:rPr>
          <w:szCs w:val="24"/>
        </w:rPr>
        <w:t>is</w:t>
      </w:r>
      <w:r w:rsidRPr="003856A4">
        <w:rPr>
          <w:szCs w:val="24"/>
        </w:rPr>
        <w:t xml:space="preserve"> a legislative instrument for the purposes of the </w:t>
      </w:r>
      <w:r w:rsidRPr="00C403D4">
        <w:rPr>
          <w:i/>
          <w:szCs w:val="24"/>
        </w:rPr>
        <w:t>Legislation</w:t>
      </w:r>
      <w:r>
        <w:rPr>
          <w:szCs w:val="24"/>
        </w:rPr>
        <w:t xml:space="preserve"> </w:t>
      </w:r>
      <w:r w:rsidRPr="003856A4">
        <w:rPr>
          <w:i/>
          <w:szCs w:val="24"/>
        </w:rPr>
        <w:t>Act 2003</w:t>
      </w:r>
      <w:r w:rsidRPr="003856A4">
        <w:rPr>
          <w:szCs w:val="24"/>
        </w:rPr>
        <w:t>.</w:t>
      </w:r>
    </w:p>
    <w:p w:rsidR="00604F9E" w:rsidRPr="003856A4" w:rsidRDefault="00604F9E" w:rsidP="00604F9E">
      <w:pPr>
        <w:rPr>
          <w:szCs w:val="24"/>
        </w:rPr>
      </w:pPr>
    </w:p>
    <w:p w:rsidR="00604F9E" w:rsidRDefault="00604F9E" w:rsidP="00604F9E">
      <w:pPr>
        <w:rPr>
          <w:szCs w:val="24"/>
        </w:rPr>
      </w:pPr>
      <w:r w:rsidRPr="00140B25">
        <w:rPr>
          <w:szCs w:val="24"/>
        </w:rPr>
        <w:t xml:space="preserve">The </w:t>
      </w:r>
      <w:r>
        <w:rPr>
          <w:szCs w:val="24"/>
        </w:rPr>
        <w:t>Determination</w:t>
      </w:r>
      <w:r w:rsidRPr="00140B25">
        <w:rPr>
          <w:szCs w:val="24"/>
        </w:rPr>
        <w:t xml:space="preserve"> commence</w:t>
      </w:r>
      <w:r w:rsidR="00352CB2">
        <w:rPr>
          <w:szCs w:val="24"/>
        </w:rPr>
        <w:t>s</w:t>
      </w:r>
      <w:r w:rsidRPr="00140B25">
        <w:rPr>
          <w:szCs w:val="24"/>
        </w:rPr>
        <w:t xml:space="preserve"> on 1 July 2018. </w:t>
      </w:r>
    </w:p>
    <w:p w:rsidR="00604F9E" w:rsidRDefault="00604F9E" w:rsidP="000D32F0"/>
    <w:p w:rsidR="00604F9E" w:rsidRPr="00352CB2" w:rsidRDefault="00604F9E" w:rsidP="000D32F0">
      <w:pPr>
        <w:rPr>
          <w:b/>
        </w:rPr>
      </w:pPr>
      <w:r w:rsidRPr="00604F9E">
        <w:rPr>
          <w:b/>
        </w:rPr>
        <w:t>Consultation</w:t>
      </w:r>
    </w:p>
    <w:p w:rsidR="000D32F0" w:rsidRPr="003856A4" w:rsidRDefault="003F006F" w:rsidP="000D32F0">
      <w:pPr>
        <w:rPr>
          <w:szCs w:val="24"/>
        </w:rPr>
      </w:pPr>
      <w:r w:rsidRPr="003F006F">
        <w:rPr>
          <w:szCs w:val="24"/>
        </w:rPr>
        <w:t xml:space="preserve">Public consultations on </w:t>
      </w:r>
      <w:r w:rsidR="00075971">
        <w:rPr>
          <w:szCs w:val="24"/>
        </w:rPr>
        <w:t xml:space="preserve">proposed </w:t>
      </w:r>
      <w:r w:rsidRPr="003F006F">
        <w:rPr>
          <w:szCs w:val="24"/>
        </w:rPr>
        <w:t xml:space="preserve">changes to the regulation of autologous </w:t>
      </w:r>
      <w:r w:rsidR="00453186">
        <w:rPr>
          <w:szCs w:val="24"/>
        </w:rPr>
        <w:t>HCT</w:t>
      </w:r>
      <w:r w:rsidR="00075971">
        <w:rPr>
          <w:szCs w:val="24"/>
        </w:rPr>
        <w:t xml:space="preserve"> products</w:t>
      </w:r>
      <w:r w:rsidRPr="003F006F">
        <w:rPr>
          <w:szCs w:val="24"/>
        </w:rPr>
        <w:t xml:space="preserve"> were undertaken in January 2015 and August 2016. In all, the TGA received 141 submissions from groups or individuals. It was a common view </w:t>
      </w:r>
      <w:r w:rsidR="001C3587">
        <w:rPr>
          <w:szCs w:val="24"/>
        </w:rPr>
        <w:t xml:space="preserve">among those making submissions </w:t>
      </w:r>
      <w:r w:rsidRPr="003F006F">
        <w:rPr>
          <w:szCs w:val="24"/>
        </w:rPr>
        <w:t>that</w:t>
      </w:r>
      <w:r w:rsidR="001C3587">
        <w:rPr>
          <w:szCs w:val="24"/>
        </w:rPr>
        <w:t xml:space="preserve"> the current level of</w:t>
      </w:r>
      <w:r w:rsidRPr="003F006F">
        <w:rPr>
          <w:szCs w:val="24"/>
        </w:rPr>
        <w:t xml:space="preserve"> regulatory oversight </w:t>
      </w:r>
      <w:r w:rsidR="001C3587">
        <w:rPr>
          <w:szCs w:val="24"/>
        </w:rPr>
        <w:t>for</w:t>
      </w:r>
      <w:r w:rsidRPr="003F006F">
        <w:rPr>
          <w:szCs w:val="24"/>
        </w:rPr>
        <w:t xml:space="preserve"> autologous HCT products was </w:t>
      </w:r>
      <w:r w:rsidR="001C3587">
        <w:rPr>
          <w:szCs w:val="24"/>
        </w:rPr>
        <w:t xml:space="preserve">not </w:t>
      </w:r>
      <w:r w:rsidRPr="003F006F">
        <w:rPr>
          <w:szCs w:val="24"/>
        </w:rPr>
        <w:t xml:space="preserve">adequate, and there was almost unanimous support for strengthening the therapeutic goods regulatory framework for HCT products for autologous use. The responses predominantly supported options that would </w:t>
      </w:r>
      <w:r w:rsidR="001C3587">
        <w:rPr>
          <w:szCs w:val="24"/>
        </w:rPr>
        <w:t>reduce</w:t>
      </w:r>
      <w:r w:rsidRPr="003F006F">
        <w:rPr>
          <w:szCs w:val="24"/>
        </w:rPr>
        <w:t xml:space="preserve"> the </w:t>
      </w:r>
      <w:r w:rsidR="001C3587">
        <w:rPr>
          <w:szCs w:val="24"/>
        </w:rPr>
        <w:t>amount</w:t>
      </w:r>
      <w:r w:rsidRPr="003F006F">
        <w:rPr>
          <w:szCs w:val="24"/>
        </w:rPr>
        <w:t xml:space="preserve"> of </w:t>
      </w:r>
      <w:r w:rsidR="001C3587">
        <w:rPr>
          <w:szCs w:val="24"/>
        </w:rPr>
        <w:t xml:space="preserve">autologous </w:t>
      </w:r>
      <w:r w:rsidR="00453186">
        <w:rPr>
          <w:szCs w:val="24"/>
        </w:rPr>
        <w:t>HCT</w:t>
      </w:r>
      <w:r w:rsidR="001C3587">
        <w:rPr>
          <w:szCs w:val="24"/>
        </w:rPr>
        <w:t xml:space="preserve"> </w:t>
      </w:r>
      <w:r w:rsidRPr="003F006F">
        <w:rPr>
          <w:szCs w:val="24"/>
        </w:rPr>
        <w:t xml:space="preserve">products </w:t>
      </w:r>
      <w:r w:rsidR="001C3587">
        <w:rPr>
          <w:szCs w:val="24"/>
        </w:rPr>
        <w:t>that are not covered by</w:t>
      </w:r>
      <w:r w:rsidRPr="003F006F">
        <w:rPr>
          <w:szCs w:val="24"/>
        </w:rPr>
        <w:t xml:space="preserve"> </w:t>
      </w:r>
      <w:r w:rsidRPr="003F006F">
        <w:rPr>
          <w:szCs w:val="24"/>
        </w:rPr>
        <w:lastRenderedPageBreak/>
        <w:t xml:space="preserve">regulation </w:t>
      </w:r>
      <w:r w:rsidR="001C3587">
        <w:rPr>
          <w:szCs w:val="24"/>
        </w:rPr>
        <w:t>under the Act, and support for</w:t>
      </w:r>
      <w:r w:rsidRPr="003F006F">
        <w:rPr>
          <w:szCs w:val="24"/>
        </w:rPr>
        <w:t xml:space="preserve"> prohibit</w:t>
      </w:r>
      <w:r w:rsidR="001C3587">
        <w:rPr>
          <w:szCs w:val="24"/>
        </w:rPr>
        <w:t>ing</w:t>
      </w:r>
      <w:r w:rsidRPr="003F006F">
        <w:rPr>
          <w:szCs w:val="24"/>
        </w:rPr>
        <w:t xml:space="preserve"> direct to consumer advertising. However, some organisations expressed concern that regulatory change may hinder their business operations. The feedback from these consultations was carefully considered in the design of the proposed amendments.</w:t>
      </w:r>
      <w:r w:rsidR="006B0C76" w:rsidRPr="006B0C76">
        <w:t xml:space="preserve"> </w:t>
      </w:r>
    </w:p>
    <w:p w:rsidR="000D32F0" w:rsidRDefault="000D32F0" w:rsidP="000D32F0">
      <w:pPr>
        <w:ind w:left="5670" w:hanging="1134"/>
        <w:rPr>
          <w:i/>
          <w:szCs w:val="24"/>
        </w:rPr>
      </w:pPr>
      <w:r w:rsidRPr="003856A4">
        <w:rPr>
          <w:szCs w:val="24"/>
          <w:u w:val="single"/>
        </w:rPr>
        <w:t>Authority:</w:t>
      </w:r>
      <w:r w:rsidRPr="003856A4">
        <w:rPr>
          <w:szCs w:val="24"/>
        </w:rPr>
        <w:t xml:space="preserve"> </w:t>
      </w:r>
      <w:r w:rsidRPr="003856A4">
        <w:rPr>
          <w:szCs w:val="24"/>
        </w:rPr>
        <w:tab/>
      </w:r>
      <w:r>
        <w:rPr>
          <w:szCs w:val="24"/>
        </w:rPr>
        <w:t xml:space="preserve">Subsection </w:t>
      </w:r>
      <w:proofErr w:type="gramStart"/>
      <w:r w:rsidR="00604F9E">
        <w:rPr>
          <w:szCs w:val="24"/>
        </w:rPr>
        <w:t>7AA(</w:t>
      </w:r>
      <w:proofErr w:type="gramEnd"/>
      <w:r w:rsidR="00604F9E">
        <w:rPr>
          <w:szCs w:val="24"/>
        </w:rPr>
        <w:t>2)</w:t>
      </w:r>
      <w:r>
        <w:rPr>
          <w:szCs w:val="24"/>
        </w:rPr>
        <w:t xml:space="preserve"> of the </w:t>
      </w:r>
      <w:r w:rsidRPr="00BA167E">
        <w:rPr>
          <w:i/>
          <w:szCs w:val="24"/>
        </w:rPr>
        <w:t>Therapeutic Goods Act 1989</w:t>
      </w:r>
    </w:p>
    <w:p w:rsidR="008503E3" w:rsidRPr="00701516" w:rsidRDefault="008503E3" w:rsidP="000D32F0">
      <w:pPr>
        <w:ind w:left="5670" w:hanging="1134"/>
        <w:rPr>
          <w:szCs w:val="24"/>
        </w:rPr>
      </w:pPr>
    </w:p>
    <w:p w:rsidR="000D32F0" w:rsidRPr="00AC42A1" w:rsidRDefault="000D32F0" w:rsidP="000D32F0">
      <w:pPr>
        <w:ind w:left="6237" w:firstLine="3"/>
        <w:jc w:val="right"/>
        <w:rPr>
          <w:b/>
          <w:szCs w:val="24"/>
          <w:u w:val="single"/>
        </w:rPr>
      </w:pPr>
      <w:r w:rsidRPr="00AC42A1">
        <w:rPr>
          <w:b/>
          <w:szCs w:val="24"/>
          <w:u w:val="single"/>
        </w:rPr>
        <w:t>ATTACHMENT</w:t>
      </w:r>
    </w:p>
    <w:p w:rsidR="000D32F0" w:rsidRPr="00684780" w:rsidRDefault="000D32F0" w:rsidP="000D32F0">
      <w:pPr>
        <w:ind w:firstLine="3"/>
        <w:rPr>
          <w:b/>
          <w:szCs w:val="24"/>
        </w:rPr>
      </w:pPr>
    </w:p>
    <w:p w:rsidR="00604F9E" w:rsidRPr="00604F9E" w:rsidRDefault="000D32F0" w:rsidP="00604F9E">
      <w:pPr>
        <w:ind w:firstLine="3"/>
        <w:rPr>
          <w:b/>
          <w:i/>
          <w:caps/>
          <w:szCs w:val="24"/>
          <w:u w:val="single"/>
        </w:rPr>
      </w:pPr>
      <w:r w:rsidRPr="00613321">
        <w:rPr>
          <w:b/>
          <w:szCs w:val="24"/>
          <w:u w:val="single"/>
        </w:rPr>
        <w:t xml:space="preserve">Details of the </w:t>
      </w:r>
      <w:r w:rsidR="00604F9E" w:rsidRPr="00604F9E">
        <w:rPr>
          <w:b/>
          <w:i/>
          <w:szCs w:val="24"/>
          <w:u w:val="single"/>
        </w:rPr>
        <w:t>Therapeutic Goods (Human Cells</w:t>
      </w:r>
      <w:r w:rsidR="009B2C3F">
        <w:rPr>
          <w:b/>
          <w:i/>
          <w:szCs w:val="24"/>
          <w:u w:val="single"/>
        </w:rPr>
        <w:t>,</w:t>
      </w:r>
      <w:r w:rsidR="00604F9E" w:rsidRPr="00604F9E">
        <w:rPr>
          <w:b/>
          <w:i/>
          <w:szCs w:val="24"/>
          <w:u w:val="single"/>
        </w:rPr>
        <w:t xml:space="preserve"> Tissues</w:t>
      </w:r>
      <w:r w:rsidR="009B2C3F">
        <w:rPr>
          <w:b/>
          <w:i/>
          <w:szCs w:val="24"/>
          <w:u w:val="single"/>
        </w:rPr>
        <w:t xml:space="preserve"> and Organs</w:t>
      </w:r>
      <w:r w:rsidR="00604F9E" w:rsidRPr="00604F9E">
        <w:rPr>
          <w:b/>
          <w:i/>
          <w:szCs w:val="24"/>
          <w:u w:val="single"/>
        </w:rPr>
        <w:t>) Determination 2018</w:t>
      </w:r>
    </w:p>
    <w:p w:rsidR="00604F9E" w:rsidRPr="00684780" w:rsidRDefault="00604F9E" w:rsidP="000D32F0">
      <w:pPr>
        <w:ind w:firstLine="3"/>
        <w:rPr>
          <w:b/>
          <w:szCs w:val="24"/>
          <w:highlight w:val="yellow"/>
        </w:rPr>
      </w:pPr>
    </w:p>
    <w:p w:rsidR="000D32F0" w:rsidRPr="00684780" w:rsidRDefault="000D32F0" w:rsidP="000D32F0">
      <w:pPr>
        <w:ind w:firstLine="3"/>
        <w:rPr>
          <w:szCs w:val="24"/>
        </w:rPr>
      </w:pPr>
      <w:r>
        <w:rPr>
          <w:szCs w:val="24"/>
          <w:u w:val="single"/>
        </w:rPr>
        <w:t>Sec</w:t>
      </w:r>
      <w:r w:rsidRPr="00684780">
        <w:rPr>
          <w:szCs w:val="24"/>
          <w:u w:val="single"/>
        </w:rPr>
        <w:t>tion 1 – Name</w:t>
      </w:r>
    </w:p>
    <w:p w:rsidR="00604F9E" w:rsidRPr="00352CB2" w:rsidRDefault="000D32F0" w:rsidP="00604F9E">
      <w:pPr>
        <w:ind w:firstLine="3"/>
        <w:rPr>
          <w:szCs w:val="24"/>
        </w:rPr>
      </w:pPr>
      <w:r w:rsidRPr="00684780">
        <w:rPr>
          <w:szCs w:val="24"/>
        </w:rPr>
        <w:t xml:space="preserve">This </w:t>
      </w:r>
      <w:r>
        <w:rPr>
          <w:szCs w:val="24"/>
        </w:rPr>
        <w:t>section</w:t>
      </w:r>
      <w:r w:rsidRPr="00684780">
        <w:rPr>
          <w:szCs w:val="24"/>
        </w:rPr>
        <w:t xml:space="preserve"> provide</w:t>
      </w:r>
      <w:r w:rsidR="00DA60C0">
        <w:rPr>
          <w:szCs w:val="24"/>
        </w:rPr>
        <w:t>s</w:t>
      </w:r>
      <w:r w:rsidRPr="00684780">
        <w:rPr>
          <w:szCs w:val="24"/>
        </w:rPr>
        <w:t xml:space="preserve"> for the </w:t>
      </w:r>
      <w:r w:rsidR="00604F9E">
        <w:rPr>
          <w:szCs w:val="24"/>
        </w:rPr>
        <w:t>Determination</w:t>
      </w:r>
      <w:r w:rsidRPr="00684780">
        <w:rPr>
          <w:szCs w:val="24"/>
        </w:rPr>
        <w:t xml:space="preserve"> to be referred to as the </w:t>
      </w:r>
      <w:r w:rsidR="00604F9E" w:rsidRPr="00BA306B">
        <w:rPr>
          <w:i/>
          <w:szCs w:val="24"/>
        </w:rPr>
        <w:t xml:space="preserve">Therapeutic Goods </w:t>
      </w:r>
      <w:r w:rsidR="00604F9E">
        <w:rPr>
          <w:i/>
          <w:szCs w:val="24"/>
        </w:rPr>
        <w:t>(Human Cells</w:t>
      </w:r>
      <w:r w:rsidR="009B2C3F">
        <w:rPr>
          <w:i/>
          <w:szCs w:val="24"/>
        </w:rPr>
        <w:t>,</w:t>
      </w:r>
      <w:r w:rsidR="00604F9E">
        <w:rPr>
          <w:i/>
          <w:szCs w:val="24"/>
        </w:rPr>
        <w:t xml:space="preserve"> Tissues</w:t>
      </w:r>
      <w:r w:rsidR="009B2C3F">
        <w:rPr>
          <w:i/>
          <w:szCs w:val="24"/>
        </w:rPr>
        <w:t xml:space="preserve"> and Organs</w:t>
      </w:r>
      <w:r w:rsidR="00604F9E">
        <w:rPr>
          <w:i/>
          <w:szCs w:val="24"/>
        </w:rPr>
        <w:t>) Determination 2018</w:t>
      </w:r>
      <w:r w:rsidR="00352CB2">
        <w:rPr>
          <w:szCs w:val="24"/>
        </w:rPr>
        <w:t>.</w:t>
      </w:r>
    </w:p>
    <w:p w:rsidR="000D32F0" w:rsidRPr="00154185" w:rsidRDefault="000D32F0" w:rsidP="000D32F0">
      <w:pPr>
        <w:ind w:firstLine="3"/>
        <w:rPr>
          <w:szCs w:val="24"/>
        </w:rPr>
      </w:pPr>
    </w:p>
    <w:p w:rsidR="000D32F0" w:rsidRPr="00353403" w:rsidRDefault="000D32F0" w:rsidP="000D32F0">
      <w:pPr>
        <w:ind w:firstLine="3"/>
        <w:rPr>
          <w:b/>
          <w:szCs w:val="24"/>
        </w:rPr>
      </w:pPr>
      <w:r w:rsidRPr="00353403">
        <w:rPr>
          <w:szCs w:val="24"/>
          <w:u w:val="single"/>
        </w:rPr>
        <w:t>Section 2 – Commencement</w:t>
      </w:r>
    </w:p>
    <w:p w:rsidR="000D32F0" w:rsidRPr="00883CC0" w:rsidRDefault="000D32F0" w:rsidP="000D32F0">
      <w:pPr>
        <w:ind w:firstLine="3"/>
        <w:rPr>
          <w:szCs w:val="24"/>
        </w:rPr>
      </w:pPr>
      <w:r w:rsidRPr="00353403">
        <w:rPr>
          <w:szCs w:val="24"/>
        </w:rPr>
        <w:t>This section provide</w:t>
      </w:r>
      <w:r w:rsidR="00DA60C0">
        <w:rPr>
          <w:szCs w:val="24"/>
        </w:rPr>
        <w:t>s</w:t>
      </w:r>
      <w:r w:rsidRPr="00353403">
        <w:rPr>
          <w:szCs w:val="24"/>
        </w:rPr>
        <w:t xml:space="preserve"> for the commencement of the </w:t>
      </w:r>
      <w:r w:rsidR="00604F9E">
        <w:rPr>
          <w:szCs w:val="24"/>
        </w:rPr>
        <w:t>Determination</w:t>
      </w:r>
      <w:r w:rsidRPr="00353403">
        <w:rPr>
          <w:szCs w:val="24"/>
        </w:rPr>
        <w:t xml:space="preserve"> </w:t>
      </w:r>
      <w:r>
        <w:rPr>
          <w:szCs w:val="24"/>
        </w:rPr>
        <w:t xml:space="preserve">on </w:t>
      </w:r>
      <w:r w:rsidR="001D6693">
        <w:rPr>
          <w:szCs w:val="24"/>
        </w:rPr>
        <w:t>1 July 2018</w:t>
      </w:r>
      <w:r w:rsidRPr="00883CC0">
        <w:rPr>
          <w:szCs w:val="24"/>
        </w:rPr>
        <w:t>.</w:t>
      </w:r>
      <w:r w:rsidR="007C4D4E">
        <w:rPr>
          <w:szCs w:val="24"/>
        </w:rPr>
        <w:t xml:space="preserve"> </w:t>
      </w:r>
    </w:p>
    <w:p w:rsidR="000D32F0" w:rsidRPr="00154185" w:rsidRDefault="000D32F0" w:rsidP="000D32F0">
      <w:pPr>
        <w:ind w:firstLine="3"/>
        <w:rPr>
          <w:szCs w:val="24"/>
        </w:rPr>
      </w:pPr>
    </w:p>
    <w:p w:rsidR="000D32F0" w:rsidRDefault="000D32F0" w:rsidP="000D32F0">
      <w:pPr>
        <w:ind w:firstLine="3"/>
        <w:rPr>
          <w:szCs w:val="24"/>
          <w:u w:val="single"/>
        </w:rPr>
      </w:pPr>
      <w:r>
        <w:rPr>
          <w:szCs w:val="24"/>
          <w:u w:val="single"/>
        </w:rPr>
        <w:t>Sec</w:t>
      </w:r>
      <w:r w:rsidRPr="00684780">
        <w:rPr>
          <w:szCs w:val="24"/>
          <w:u w:val="single"/>
        </w:rPr>
        <w:t xml:space="preserve">tion 3 – </w:t>
      </w:r>
      <w:r>
        <w:rPr>
          <w:szCs w:val="24"/>
          <w:u w:val="single"/>
        </w:rPr>
        <w:t xml:space="preserve">Authority </w:t>
      </w:r>
    </w:p>
    <w:p w:rsidR="000D32F0" w:rsidRPr="00900C44" w:rsidRDefault="000D32F0" w:rsidP="000D32F0">
      <w:pPr>
        <w:ind w:firstLine="3"/>
        <w:rPr>
          <w:szCs w:val="24"/>
        </w:rPr>
      </w:pPr>
      <w:r>
        <w:rPr>
          <w:szCs w:val="24"/>
        </w:rPr>
        <w:t>This section provide</w:t>
      </w:r>
      <w:r w:rsidR="00DA60C0">
        <w:rPr>
          <w:szCs w:val="24"/>
        </w:rPr>
        <w:t>s</w:t>
      </w:r>
      <w:r>
        <w:rPr>
          <w:szCs w:val="24"/>
        </w:rPr>
        <w:t xml:space="preserve"> that the </w:t>
      </w:r>
      <w:r w:rsidR="00604F9E">
        <w:rPr>
          <w:szCs w:val="24"/>
        </w:rPr>
        <w:t>Determination</w:t>
      </w:r>
      <w:r>
        <w:rPr>
          <w:szCs w:val="24"/>
        </w:rPr>
        <w:t xml:space="preserve"> </w:t>
      </w:r>
      <w:r w:rsidR="00604F9E">
        <w:rPr>
          <w:szCs w:val="24"/>
        </w:rPr>
        <w:t>is</w:t>
      </w:r>
      <w:r>
        <w:rPr>
          <w:szCs w:val="24"/>
        </w:rPr>
        <w:t xml:space="preserve"> made under </w:t>
      </w:r>
      <w:r w:rsidR="00604F9E">
        <w:rPr>
          <w:szCs w:val="24"/>
        </w:rPr>
        <w:t xml:space="preserve">subsection </w:t>
      </w:r>
      <w:proofErr w:type="gramStart"/>
      <w:r w:rsidR="00604F9E">
        <w:rPr>
          <w:szCs w:val="24"/>
        </w:rPr>
        <w:t>7AA(</w:t>
      </w:r>
      <w:proofErr w:type="gramEnd"/>
      <w:r w:rsidR="00604F9E">
        <w:rPr>
          <w:szCs w:val="24"/>
        </w:rPr>
        <w:t xml:space="preserve">2) of </w:t>
      </w:r>
      <w:r>
        <w:rPr>
          <w:szCs w:val="24"/>
        </w:rPr>
        <w:t xml:space="preserve">the </w:t>
      </w:r>
      <w:r w:rsidRPr="00C326E4">
        <w:rPr>
          <w:i/>
          <w:szCs w:val="24"/>
        </w:rPr>
        <w:t>Therapeutic Goods Act 1989</w:t>
      </w:r>
      <w:r>
        <w:rPr>
          <w:i/>
          <w:szCs w:val="24"/>
        </w:rPr>
        <w:t xml:space="preserve"> </w:t>
      </w:r>
      <w:r>
        <w:rPr>
          <w:szCs w:val="24"/>
        </w:rPr>
        <w:t xml:space="preserve">(the </w:t>
      </w:r>
      <w:r w:rsidRPr="0042269B">
        <w:rPr>
          <w:szCs w:val="24"/>
        </w:rPr>
        <w:t>Act)</w:t>
      </w:r>
      <w:r>
        <w:rPr>
          <w:szCs w:val="24"/>
        </w:rPr>
        <w:t>.</w:t>
      </w:r>
    </w:p>
    <w:p w:rsidR="000D32F0" w:rsidRDefault="000D32F0" w:rsidP="000D32F0">
      <w:pPr>
        <w:ind w:firstLine="3"/>
        <w:rPr>
          <w:szCs w:val="24"/>
          <w:u w:val="single"/>
        </w:rPr>
      </w:pPr>
    </w:p>
    <w:p w:rsidR="000D32F0" w:rsidRDefault="000D32F0" w:rsidP="000D32F0">
      <w:pPr>
        <w:pStyle w:val="Heading1"/>
        <w:rPr>
          <w:b w:val="0"/>
          <w:szCs w:val="24"/>
          <w:u w:val="single"/>
        </w:rPr>
      </w:pPr>
      <w:r>
        <w:rPr>
          <w:b w:val="0"/>
          <w:szCs w:val="24"/>
          <w:u w:val="single"/>
        </w:rPr>
        <w:t xml:space="preserve">Section 4 – </w:t>
      </w:r>
      <w:r w:rsidR="00604F9E">
        <w:rPr>
          <w:b w:val="0"/>
          <w:szCs w:val="24"/>
          <w:u w:val="single"/>
        </w:rPr>
        <w:t>Goods that are excluded</w:t>
      </w:r>
    </w:p>
    <w:p w:rsidR="00604F9E" w:rsidRDefault="00604F9E" w:rsidP="000D32F0">
      <w:pPr>
        <w:pStyle w:val="Heading1"/>
        <w:rPr>
          <w:b w:val="0"/>
          <w:szCs w:val="24"/>
        </w:rPr>
      </w:pPr>
      <w:r>
        <w:rPr>
          <w:b w:val="0"/>
          <w:szCs w:val="24"/>
        </w:rPr>
        <w:t>This section provide</w:t>
      </w:r>
      <w:r w:rsidR="00DA60C0">
        <w:rPr>
          <w:b w:val="0"/>
          <w:szCs w:val="24"/>
        </w:rPr>
        <w:t>s</w:t>
      </w:r>
      <w:r>
        <w:rPr>
          <w:b w:val="0"/>
          <w:szCs w:val="24"/>
        </w:rPr>
        <w:t xml:space="preserve"> that the listed goods, being goods intended for use in humans, are excluded goods for the purposes of the Act. </w:t>
      </w:r>
    </w:p>
    <w:p w:rsidR="00604F9E" w:rsidRDefault="00604F9E" w:rsidP="000D32F0">
      <w:pPr>
        <w:pStyle w:val="Heading1"/>
        <w:rPr>
          <w:b w:val="0"/>
          <w:szCs w:val="24"/>
        </w:rPr>
      </w:pPr>
    </w:p>
    <w:p w:rsidR="000D32F0" w:rsidRDefault="001104EB" w:rsidP="000D32F0">
      <w:pPr>
        <w:pStyle w:val="Heading1"/>
        <w:rPr>
          <w:b w:val="0"/>
          <w:szCs w:val="24"/>
        </w:rPr>
      </w:pPr>
      <w:r>
        <w:rPr>
          <w:b w:val="0"/>
          <w:szCs w:val="24"/>
        </w:rPr>
        <w:t>Paragraph</w:t>
      </w:r>
      <w:r w:rsidR="00604F9E">
        <w:rPr>
          <w:b w:val="0"/>
          <w:szCs w:val="24"/>
        </w:rPr>
        <w:t xml:space="preserve"> 4(a) </w:t>
      </w:r>
      <w:r w:rsidR="00DA60C0">
        <w:rPr>
          <w:b w:val="0"/>
          <w:szCs w:val="24"/>
        </w:rPr>
        <w:t>excludes goods that comprise, contain or are derived from human cells and t</w:t>
      </w:r>
      <w:r w:rsidR="00AE3281">
        <w:rPr>
          <w:b w:val="0"/>
          <w:szCs w:val="24"/>
        </w:rPr>
        <w:t>issues where the collection, manufacture and use occur in the hospital setting</w:t>
      </w:r>
      <w:r w:rsidR="00E85180">
        <w:rPr>
          <w:b w:val="0"/>
          <w:szCs w:val="24"/>
        </w:rPr>
        <w:t xml:space="preserve">, </w:t>
      </w:r>
      <w:r w:rsidR="00AE3281">
        <w:rPr>
          <w:b w:val="0"/>
          <w:szCs w:val="24"/>
        </w:rPr>
        <w:t>regardless of the level of manipulation and process</w:t>
      </w:r>
      <w:r w:rsidR="00CC466D">
        <w:rPr>
          <w:b w:val="0"/>
          <w:szCs w:val="24"/>
        </w:rPr>
        <w:t>ing</w:t>
      </w:r>
      <w:r w:rsidR="00AE3281">
        <w:rPr>
          <w:b w:val="0"/>
          <w:szCs w:val="24"/>
        </w:rPr>
        <w:t xml:space="preserve"> of the human cells and tissues, provided it occurs in a hospital. This exclusion only applies in the following circumstances: (1) the patient must be </w:t>
      </w:r>
      <w:r w:rsidR="00DA60C0">
        <w:rPr>
          <w:b w:val="0"/>
          <w:szCs w:val="24"/>
        </w:rPr>
        <w:t>under the clinical care of a medical or dental practitioner</w:t>
      </w:r>
      <w:r w:rsidR="00AE3281">
        <w:rPr>
          <w:b w:val="0"/>
          <w:szCs w:val="24"/>
        </w:rPr>
        <w:t xml:space="preserve">; (2) </w:t>
      </w:r>
      <w:r w:rsidR="00DA60C0">
        <w:rPr>
          <w:b w:val="0"/>
          <w:szCs w:val="24"/>
        </w:rPr>
        <w:t>the goods must have been manufactured by or under the professional supervision of the practitioner in a hospital in a State or internal Territory for that patient who must be a patient of that hospital</w:t>
      </w:r>
      <w:r w:rsidR="00AE3281">
        <w:rPr>
          <w:b w:val="0"/>
          <w:szCs w:val="24"/>
        </w:rPr>
        <w:t>; (3) t</w:t>
      </w:r>
      <w:r w:rsidR="00F11C44">
        <w:rPr>
          <w:b w:val="0"/>
          <w:szCs w:val="24"/>
        </w:rPr>
        <w:t>he practitioner must be registered in a State or internal Territory</w:t>
      </w:r>
      <w:r w:rsidR="00AE3281">
        <w:rPr>
          <w:b w:val="0"/>
          <w:szCs w:val="24"/>
        </w:rPr>
        <w:t>; and (</w:t>
      </w:r>
      <w:r w:rsidR="00CC466D">
        <w:rPr>
          <w:b w:val="0"/>
          <w:szCs w:val="24"/>
        </w:rPr>
        <w:t>4</w:t>
      </w:r>
      <w:r w:rsidR="00AE3281">
        <w:rPr>
          <w:b w:val="0"/>
          <w:szCs w:val="24"/>
        </w:rPr>
        <w:t xml:space="preserve">) </w:t>
      </w:r>
      <w:r w:rsidR="00DA60C0">
        <w:rPr>
          <w:b w:val="0"/>
          <w:szCs w:val="24"/>
        </w:rPr>
        <w:t xml:space="preserve">the goods must not be advertised directly to consumers. </w:t>
      </w:r>
    </w:p>
    <w:p w:rsidR="00DA60C0" w:rsidRDefault="00DA60C0" w:rsidP="00DA60C0"/>
    <w:p w:rsidR="00DA60C0" w:rsidRDefault="001104EB" w:rsidP="00DA60C0">
      <w:pPr>
        <w:tabs>
          <w:tab w:val="left" w:pos="3465"/>
        </w:tabs>
        <w:rPr>
          <w:lang w:val="en"/>
        </w:rPr>
      </w:pPr>
      <w:r>
        <w:t>Paragraph</w:t>
      </w:r>
      <w:r w:rsidR="00DA60C0">
        <w:t xml:space="preserve"> 4(b) excludes fresh </w:t>
      </w:r>
      <w:r w:rsidR="00DA60C0">
        <w:rPr>
          <w:lang w:val="en"/>
        </w:rPr>
        <w:t xml:space="preserve">viable human organs, or parts of human organs, for direct donor-to- host transplantation and used in accordance with applicable laws and standards. </w:t>
      </w:r>
    </w:p>
    <w:p w:rsidR="00DA60C0" w:rsidRDefault="00DA60C0" w:rsidP="00DA60C0">
      <w:pPr>
        <w:tabs>
          <w:tab w:val="left" w:pos="3465"/>
        </w:tabs>
        <w:rPr>
          <w:lang w:val="en"/>
        </w:rPr>
      </w:pPr>
    </w:p>
    <w:p w:rsidR="00DA60C0" w:rsidRDefault="001104EB" w:rsidP="00DA60C0">
      <w:pPr>
        <w:tabs>
          <w:tab w:val="left" w:pos="3465"/>
        </w:tabs>
        <w:rPr>
          <w:lang w:val="en"/>
        </w:rPr>
      </w:pPr>
      <w:r>
        <w:rPr>
          <w:lang w:val="en"/>
        </w:rPr>
        <w:t>Paragraph</w:t>
      </w:r>
      <w:r w:rsidR="00DA60C0">
        <w:rPr>
          <w:lang w:val="en"/>
        </w:rPr>
        <w:t xml:space="preserve"> 4(c) excludes fresh viable human </w:t>
      </w:r>
      <w:proofErr w:type="spellStart"/>
      <w:r w:rsidR="00DA60C0">
        <w:rPr>
          <w:lang w:val="en"/>
        </w:rPr>
        <w:t>haematopoietic</w:t>
      </w:r>
      <w:proofErr w:type="spellEnd"/>
      <w:r w:rsidR="00DA60C0">
        <w:rPr>
          <w:lang w:val="en"/>
        </w:rPr>
        <w:t xml:space="preserve"> progenitor cells for direct donor-to-host transplantation for the purpose of </w:t>
      </w:r>
      <w:proofErr w:type="spellStart"/>
      <w:r w:rsidR="00DA60C0">
        <w:rPr>
          <w:lang w:val="en"/>
        </w:rPr>
        <w:t>haematopoietic</w:t>
      </w:r>
      <w:proofErr w:type="spellEnd"/>
      <w:r w:rsidR="00DA60C0">
        <w:rPr>
          <w:lang w:val="en"/>
        </w:rPr>
        <w:t xml:space="preserve"> reconstitution. </w:t>
      </w:r>
    </w:p>
    <w:p w:rsidR="00DA60C0" w:rsidRDefault="00DA60C0" w:rsidP="00DA60C0">
      <w:pPr>
        <w:tabs>
          <w:tab w:val="left" w:pos="3465"/>
        </w:tabs>
        <w:rPr>
          <w:lang w:val="en"/>
        </w:rPr>
      </w:pPr>
    </w:p>
    <w:p w:rsidR="00DA60C0" w:rsidRDefault="001104EB" w:rsidP="00DA60C0">
      <w:pPr>
        <w:tabs>
          <w:tab w:val="left" w:pos="3465"/>
        </w:tabs>
      </w:pPr>
      <w:r>
        <w:rPr>
          <w:lang w:val="en"/>
        </w:rPr>
        <w:t>Paragraph</w:t>
      </w:r>
      <w:r w:rsidR="00DA60C0">
        <w:rPr>
          <w:lang w:val="en"/>
        </w:rPr>
        <w:t xml:space="preserve"> 4(d) excludes reproductive tissue for use in assisted reproductive therapy</w:t>
      </w:r>
      <w:r w:rsidR="00E85180">
        <w:rPr>
          <w:lang w:val="en"/>
        </w:rPr>
        <w:t>.</w:t>
      </w:r>
    </w:p>
    <w:p w:rsidR="00DA60C0" w:rsidRDefault="00DA60C0" w:rsidP="00DA60C0"/>
    <w:p w:rsidR="00DA60C0" w:rsidRDefault="00DA60C0" w:rsidP="00DA60C0"/>
    <w:p w:rsidR="00DA60C0" w:rsidRDefault="00DA60C0">
      <w:r>
        <w:br w:type="page"/>
      </w:r>
    </w:p>
    <w:p w:rsidR="00DA60C0" w:rsidRDefault="00DA60C0" w:rsidP="00DA60C0">
      <w:pPr>
        <w:jc w:val="center"/>
        <w:rPr>
          <w:b/>
        </w:rPr>
      </w:pPr>
      <w:r>
        <w:rPr>
          <w:b/>
        </w:rPr>
        <w:t>Statement of Compatibility with Human Rights</w:t>
      </w:r>
    </w:p>
    <w:p w:rsidR="00DA60C0" w:rsidRDefault="00DA60C0" w:rsidP="00DA60C0">
      <w:pPr>
        <w:jc w:val="center"/>
      </w:pPr>
    </w:p>
    <w:p w:rsidR="00DA60C0" w:rsidRDefault="00DA60C0" w:rsidP="00DA60C0">
      <w:proofErr w:type="gramStart"/>
      <w:r>
        <w:t xml:space="preserve">Prepared in accordance with Part 3 of the </w:t>
      </w:r>
      <w:r>
        <w:rPr>
          <w:i/>
        </w:rPr>
        <w:t>Human Rights (Parliamentary Scrutiny) Act 2011</w:t>
      </w:r>
      <w:r>
        <w:t>.</w:t>
      </w:r>
      <w:proofErr w:type="gramEnd"/>
    </w:p>
    <w:p w:rsidR="00DA60C0" w:rsidRDefault="00DA60C0" w:rsidP="00DA60C0"/>
    <w:p w:rsidR="007D4FA3" w:rsidRPr="007D4FA3" w:rsidRDefault="007D4FA3" w:rsidP="007D4FA3">
      <w:pPr>
        <w:jc w:val="center"/>
        <w:rPr>
          <w:b/>
          <w:szCs w:val="24"/>
        </w:rPr>
      </w:pPr>
      <w:r w:rsidRPr="007D4FA3">
        <w:rPr>
          <w:b/>
          <w:szCs w:val="24"/>
        </w:rPr>
        <w:t>Therapeutic Goods (Human Cells</w:t>
      </w:r>
      <w:r w:rsidR="009B2C3F">
        <w:rPr>
          <w:b/>
          <w:szCs w:val="24"/>
        </w:rPr>
        <w:t xml:space="preserve">, </w:t>
      </w:r>
      <w:r w:rsidRPr="007D4FA3">
        <w:rPr>
          <w:b/>
          <w:szCs w:val="24"/>
        </w:rPr>
        <w:t>Tissues</w:t>
      </w:r>
      <w:r w:rsidR="009B2C3F">
        <w:rPr>
          <w:b/>
          <w:szCs w:val="24"/>
        </w:rPr>
        <w:t xml:space="preserve"> and Organs</w:t>
      </w:r>
      <w:r w:rsidRPr="007D4FA3">
        <w:rPr>
          <w:b/>
          <w:szCs w:val="24"/>
        </w:rPr>
        <w:t>) Determination 2018</w:t>
      </w:r>
    </w:p>
    <w:p w:rsidR="007D4FA3" w:rsidRDefault="007D4FA3" w:rsidP="00DA60C0"/>
    <w:p w:rsidR="007D4FA3" w:rsidRDefault="007D4FA3" w:rsidP="007D4FA3">
      <w:pPr>
        <w:rPr>
          <w:b/>
          <w:szCs w:val="24"/>
        </w:rPr>
      </w:pPr>
      <w:r>
        <w:rPr>
          <w:szCs w:val="24"/>
        </w:rPr>
        <w:t xml:space="preserve">The </w:t>
      </w:r>
      <w:r w:rsidRPr="00BA306B">
        <w:rPr>
          <w:i/>
          <w:szCs w:val="24"/>
        </w:rPr>
        <w:t xml:space="preserve">Therapeutic Goods </w:t>
      </w:r>
      <w:r>
        <w:rPr>
          <w:i/>
          <w:szCs w:val="24"/>
        </w:rPr>
        <w:t xml:space="preserve">(Human </w:t>
      </w:r>
      <w:proofErr w:type="spellStart"/>
      <w:r>
        <w:rPr>
          <w:i/>
          <w:szCs w:val="24"/>
        </w:rPr>
        <w:t>Cells</w:t>
      </w:r>
      <w:proofErr w:type="gramStart"/>
      <w:r w:rsidR="009B2C3F">
        <w:rPr>
          <w:i/>
          <w:szCs w:val="24"/>
        </w:rPr>
        <w:t>,</w:t>
      </w:r>
      <w:r>
        <w:rPr>
          <w:i/>
          <w:szCs w:val="24"/>
        </w:rPr>
        <w:t>Tissues</w:t>
      </w:r>
      <w:proofErr w:type="spellEnd"/>
      <w:proofErr w:type="gramEnd"/>
      <w:r w:rsidR="009B2C3F">
        <w:rPr>
          <w:i/>
          <w:szCs w:val="24"/>
        </w:rPr>
        <w:t xml:space="preserve"> and Organs</w:t>
      </w:r>
      <w:r>
        <w:rPr>
          <w:i/>
          <w:szCs w:val="24"/>
        </w:rPr>
        <w:t>) Determination 2018</w:t>
      </w:r>
      <w:r>
        <w:rPr>
          <w:szCs w:val="24"/>
        </w:rPr>
        <w:t xml:space="preserve"> (the Determination) is compatible with the human rights and freedoms recognised or declared in the international instruments listed in section 3 of the </w:t>
      </w:r>
      <w:r>
        <w:rPr>
          <w:i/>
          <w:szCs w:val="24"/>
        </w:rPr>
        <w:t>Human Rights (Parliamentary Scrutiny) Act 2011</w:t>
      </w:r>
      <w:r>
        <w:rPr>
          <w:szCs w:val="24"/>
        </w:rPr>
        <w:t>.</w:t>
      </w:r>
    </w:p>
    <w:p w:rsidR="007D4FA3" w:rsidRDefault="007D4FA3" w:rsidP="00DA60C0"/>
    <w:p w:rsidR="007D4FA3" w:rsidRPr="007D4FA3" w:rsidRDefault="007D4FA3" w:rsidP="00DA60C0">
      <w:pPr>
        <w:rPr>
          <w:b/>
        </w:rPr>
      </w:pPr>
      <w:r w:rsidRPr="007D4FA3">
        <w:rPr>
          <w:b/>
        </w:rPr>
        <w:t xml:space="preserve">Overview </w:t>
      </w:r>
      <w:r>
        <w:rPr>
          <w:b/>
        </w:rPr>
        <w:t xml:space="preserve">of the Legislative Instrument </w:t>
      </w:r>
    </w:p>
    <w:p w:rsidR="00EE253D" w:rsidRDefault="00EE253D" w:rsidP="00EE253D">
      <w:pPr>
        <w:rPr>
          <w:szCs w:val="24"/>
        </w:rPr>
      </w:pPr>
      <w:r>
        <w:rPr>
          <w:szCs w:val="24"/>
        </w:rPr>
        <w:t xml:space="preserve">The object of the </w:t>
      </w:r>
      <w:r w:rsidRPr="00FD7B79">
        <w:rPr>
          <w:i/>
          <w:szCs w:val="24"/>
        </w:rPr>
        <w:t>Therapeutic Goods Act 1989</w:t>
      </w:r>
      <w:r>
        <w:rPr>
          <w:szCs w:val="24"/>
        </w:rPr>
        <w:t xml:space="preserve"> (the Act) is to establish and maintain a national system of controls for the quality, safety, efficacy/performance and timely availability of therapeutic goods that are used in Austra</w:t>
      </w:r>
      <w:r w:rsidR="00423FF0">
        <w:rPr>
          <w:szCs w:val="24"/>
        </w:rPr>
        <w:t xml:space="preserve">lia or exported from Australia. </w:t>
      </w:r>
      <w:r>
        <w:rPr>
          <w:szCs w:val="24"/>
        </w:rPr>
        <w:t>Subsection 7AA(2) of the Act provides that the Minister may, by legislative instrument, determine that specified goods (other than goods declared to be therapeutic goods under an order in force under section 7) are excluded goods for the purposes of the Act when used, advertised or presented for supply in a way specified in the determination</w:t>
      </w:r>
      <w:r w:rsidR="007D4FA3">
        <w:rPr>
          <w:szCs w:val="24"/>
        </w:rPr>
        <w:t>. T</w:t>
      </w:r>
      <w:r>
        <w:rPr>
          <w:szCs w:val="24"/>
        </w:rPr>
        <w:t>he Minister must</w:t>
      </w:r>
      <w:r w:rsidR="007D4FA3">
        <w:rPr>
          <w:szCs w:val="24"/>
        </w:rPr>
        <w:t>, however,</w:t>
      </w:r>
      <w:r>
        <w:rPr>
          <w:szCs w:val="24"/>
        </w:rPr>
        <w:t xml:space="preserve"> have regard to the matters listed in subsection </w:t>
      </w:r>
      <w:proofErr w:type="gramStart"/>
      <w:r>
        <w:rPr>
          <w:szCs w:val="24"/>
        </w:rPr>
        <w:t>7AA(</w:t>
      </w:r>
      <w:proofErr w:type="gramEnd"/>
      <w:r>
        <w:rPr>
          <w:szCs w:val="24"/>
        </w:rPr>
        <w:t xml:space="preserve">3) and any other matter the Minister considers relevant. </w:t>
      </w:r>
    </w:p>
    <w:p w:rsidR="00EE253D" w:rsidRDefault="00EE253D" w:rsidP="00EE253D">
      <w:pPr>
        <w:rPr>
          <w:szCs w:val="24"/>
        </w:rPr>
      </w:pPr>
    </w:p>
    <w:p w:rsidR="00423FF0" w:rsidRDefault="00423FF0" w:rsidP="00EE253D">
      <w:r>
        <w:t xml:space="preserve">The </w:t>
      </w:r>
      <w:r w:rsidRPr="00B66259">
        <w:rPr>
          <w:i/>
        </w:rPr>
        <w:t>Therapeutic Goods (Excluded Goods) Order No. 1 of 2011</w:t>
      </w:r>
      <w:r>
        <w:t xml:space="preserve"> (the EGO), made under subsection 7(1) of the Act, excludes a</w:t>
      </w:r>
      <w:r w:rsidR="00EE253D">
        <w:t xml:space="preserve">utologous human cells and tissues (HCT) products </w:t>
      </w:r>
      <w:r>
        <w:t xml:space="preserve">where the HCT </w:t>
      </w:r>
      <w:r w:rsidR="00EE253D">
        <w:t xml:space="preserve">are removed from, and applied to, the same person (with or without processing the cells and tissues). Examples include skin grafts for the treatment of burns and bone marrow transplants. </w:t>
      </w:r>
      <w:r>
        <w:rPr>
          <w:szCs w:val="24"/>
        </w:rPr>
        <w:t>However, d</w:t>
      </w:r>
      <w:r w:rsidR="00EE253D">
        <w:rPr>
          <w:szCs w:val="24"/>
        </w:rPr>
        <w:t xml:space="preserve">ue to </w:t>
      </w:r>
      <w:r w:rsidR="00EE253D" w:rsidRPr="00D46CD3">
        <w:rPr>
          <w:szCs w:val="24"/>
        </w:rPr>
        <w:t xml:space="preserve">growing global </w:t>
      </w:r>
      <w:r w:rsidR="00EE253D">
        <w:rPr>
          <w:szCs w:val="24"/>
        </w:rPr>
        <w:t xml:space="preserve">concern </w:t>
      </w:r>
      <w:r w:rsidR="007D4FA3">
        <w:rPr>
          <w:szCs w:val="24"/>
        </w:rPr>
        <w:t>about</w:t>
      </w:r>
      <w:r w:rsidR="00EE253D" w:rsidRPr="00D46CD3">
        <w:rPr>
          <w:szCs w:val="24"/>
        </w:rPr>
        <w:t xml:space="preserve"> </w:t>
      </w:r>
      <w:r w:rsidR="00EE253D">
        <w:rPr>
          <w:szCs w:val="24"/>
        </w:rPr>
        <w:t xml:space="preserve">the risks that such products </w:t>
      </w:r>
      <w:r w:rsidR="00AE3281">
        <w:rPr>
          <w:szCs w:val="24"/>
        </w:rPr>
        <w:t>may pose to patient safety</w:t>
      </w:r>
      <w:r w:rsidR="00EE253D">
        <w:rPr>
          <w:szCs w:val="24"/>
        </w:rPr>
        <w:t xml:space="preserve">, the </w:t>
      </w:r>
      <w:r w:rsidR="00EE253D" w:rsidRPr="00B66259">
        <w:rPr>
          <w:i/>
        </w:rPr>
        <w:t>Therapeutic Goods Legislation Amendment (2018 Measures No. 2) Regulations 2018</w:t>
      </w:r>
      <w:r w:rsidR="007D4FA3">
        <w:t xml:space="preserve"> introduced an appropriate level of regulatory oversight for </w:t>
      </w:r>
      <w:r>
        <w:t>most of these products</w:t>
      </w:r>
      <w:r w:rsidR="007D4FA3">
        <w:t xml:space="preserve">. </w:t>
      </w:r>
    </w:p>
    <w:p w:rsidR="00423FF0" w:rsidRDefault="00423FF0" w:rsidP="00EE253D"/>
    <w:p w:rsidR="00EE253D" w:rsidRDefault="00423FF0" w:rsidP="00EE253D">
      <w:pPr>
        <w:rPr>
          <w:lang w:val="en"/>
        </w:rPr>
      </w:pPr>
      <w:r>
        <w:t>The purpose of the Determination is to exclude from the regulatory scheme o</w:t>
      </w:r>
      <w:r w:rsidR="00EE253D">
        <w:t>nly autologous HCT products that are collected, and manufactured, by a registered medical or dental practitioner in a hospital</w:t>
      </w:r>
      <w:r>
        <w:t>. C</w:t>
      </w:r>
      <w:r w:rsidR="00EE253D">
        <w:t xml:space="preserve">onsequential amendments </w:t>
      </w:r>
      <w:r>
        <w:t xml:space="preserve">will be </w:t>
      </w:r>
      <w:r w:rsidR="00EE253D">
        <w:t>made to the EGO.</w:t>
      </w:r>
      <w:r>
        <w:t xml:space="preserve"> </w:t>
      </w:r>
      <w:r w:rsidR="00EE253D">
        <w:t xml:space="preserve">A number of other products are also included in the Determination and will be removed from the EGO. These are: </w:t>
      </w:r>
      <w:r w:rsidR="00EE253D" w:rsidRPr="003F20C9">
        <w:rPr>
          <w:szCs w:val="24"/>
          <w:lang w:val="en"/>
        </w:rPr>
        <w:t xml:space="preserve">fresh viable human organs, or parts of human organs, for direct donor-to- host transplantation and used in accordance with applicable laws and standards; fresh viable human </w:t>
      </w:r>
      <w:proofErr w:type="spellStart"/>
      <w:r w:rsidR="00EE253D" w:rsidRPr="003F20C9">
        <w:rPr>
          <w:szCs w:val="24"/>
          <w:lang w:val="en"/>
        </w:rPr>
        <w:t>haematopoietic</w:t>
      </w:r>
      <w:proofErr w:type="spellEnd"/>
      <w:r w:rsidR="00EE253D" w:rsidRPr="003F20C9">
        <w:rPr>
          <w:szCs w:val="24"/>
          <w:lang w:val="en"/>
        </w:rPr>
        <w:t xml:space="preserve"> progenitor cells for direct donor-to-host transplantation for the purpose of </w:t>
      </w:r>
      <w:proofErr w:type="spellStart"/>
      <w:r w:rsidR="00EE253D" w:rsidRPr="003F20C9">
        <w:rPr>
          <w:szCs w:val="24"/>
          <w:lang w:val="en"/>
        </w:rPr>
        <w:t>haematopoietic</w:t>
      </w:r>
      <w:proofErr w:type="spellEnd"/>
      <w:r w:rsidR="00EE253D" w:rsidRPr="003F20C9">
        <w:rPr>
          <w:szCs w:val="24"/>
          <w:lang w:val="en"/>
        </w:rPr>
        <w:t xml:space="preserve"> reconstitution; </w:t>
      </w:r>
      <w:r w:rsidR="00EE253D">
        <w:rPr>
          <w:szCs w:val="24"/>
          <w:lang w:val="en"/>
        </w:rPr>
        <w:t xml:space="preserve">and </w:t>
      </w:r>
      <w:r w:rsidR="00EE253D">
        <w:rPr>
          <w:lang w:val="en"/>
        </w:rPr>
        <w:t xml:space="preserve">reproductive tissue for use in assisted reproductive therapy. </w:t>
      </w:r>
    </w:p>
    <w:p w:rsidR="00EE253D" w:rsidRDefault="00EE253D" w:rsidP="00DA60C0">
      <w:pPr>
        <w:rPr>
          <w:b/>
        </w:rPr>
      </w:pPr>
    </w:p>
    <w:p w:rsidR="00DA60C0" w:rsidRDefault="00DA60C0" w:rsidP="00DA60C0">
      <w:pPr>
        <w:rPr>
          <w:b/>
        </w:rPr>
      </w:pPr>
      <w:r>
        <w:rPr>
          <w:b/>
        </w:rPr>
        <w:t>Human rights implications</w:t>
      </w:r>
    </w:p>
    <w:p w:rsidR="00DA60C0" w:rsidRDefault="00DA60C0" w:rsidP="00DA60C0">
      <w:r>
        <w:t xml:space="preserve">As the </w:t>
      </w:r>
      <w:r w:rsidR="00EE253D">
        <w:t>Determination does</w:t>
      </w:r>
      <w:r>
        <w:t xml:space="preserve"> not introduce any changes </w:t>
      </w:r>
      <w:r w:rsidR="007D4FA3">
        <w:t>regulations</w:t>
      </w:r>
      <w:r>
        <w:t xml:space="preserve"> other than to implement the changes outlined above, they do not appear to engage any of the applicable rights or freedoms.</w:t>
      </w:r>
    </w:p>
    <w:p w:rsidR="00DA60C0" w:rsidRDefault="00DA60C0" w:rsidP="00DA60C0"/>
    <w:p w:rsidR="00DA60C0" w:rsidRDefault="00DA60C0" w:rsidP="00DA60C0">
      <w:pPr>
        <w:rPr>
          <w:b/>
        </w:rPr>
      </w:pPr>
      <w:r>
        <w:rPr>
          <w:b/>
        </w:rPr>
        <w:t>Conclusion</w:t>
      </w:r>
    </w:p>
    <w:p w:rsidR="00DA60C0" w:rsidRDefault="00DA60C0" w:rsidP="00DA60C0">
      <w:r>
        <w:t>This legislative instrument is compatible with human rights as it does not raise any human rights issues.</w:t>
      </w:r>
    </w:p>
    <w:p w:rsidR="00DA60C0" w:rsidRPr="00DA60C0" w:rsidRDefault="009B2C3F" w:rsidP="00423FF0">
      <w:pPr>
        <w:jc w:val="center"/>
      </w:pPr>
      <w:bookmarkStart w:id="0" w:name="_GoBack"/>
      <w:bookmarkEnd w:id="0"/>
      <w:r>
        <w:rPr>
          <w:b/>
        </w:rPr>
        <w:t>Larry Kelly</w:t>
      </w:r>
      <w:r w:rsidR="00DA60C0">
        <w:rPr>
          <w:b/>
        </w:rPr>
        <w:t xml:space="preserve">, </w:t>
      </w:r>
      <w:r>
        <w:rPr>
          <w:b/>
        </w:rPr>
        <w:t xml:space="preserve">Delegate of the </w:t>
      </w:r>
      <w:r w:rsidR="00DA60C0">
        <w:rPr>
          <w:b/>
        </w:rPr>
        <w:t>Minister for Health</w:t>
      </w:r>
    </w:p>
    <w:sectPr w:rsidR="00DA60C0" w:rsidRPr="00DA60C0" w:rsidSect="004906E3">
      <w:head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EAB" w:rsidRDefault="00203EAB" w:rsidP="00A2299B">
      <w:r>
        <w:separator/>
      </w:r>
    </w:p>
  </w:endnote>
  <w:endnote w:type="continuationSeparator" w:id="0">
    <w:p w:rsidR="00203EAB" w:rsidRDefault="00203EAB" w:rsidP="00A2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EAB" w:rsidRDefault="00203EAB" w:rsidP="00A2299B">
      <w:r>
        <w:separator/>
      </w:r>
    </w:p>
  </w:footnote>
  <w:footnote w:type="continuationSeparator" w:id="0">
    <w:p w:rsidR="00203EAB" w:rsidRDefault="00203EAB" w:rsidP="00A229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60B" w:rsidRDefault="0031060B">
    <w:pPr>
      <w:pStyle w:val="Header"/>
      <w:jc w:val="center"/>
    </w:pPr>
    <w:r>
      <w:fldChar w:fldCharType="begin"/>
    </w:r>
    <w:r>
      <w:instrText xml:space="preserve"> PAGE   \* MERGEFORMAT </w:instrText>
    </w:r>
    <w:r>
      <w:fldChar w:fldCharType="separate"/>
    </w:r>
    <w:r w:rsidR="00CC466D">
      <w:rPr>
        <w:noProof/>
      </w:rPr>
      <w:t>2</w:t>
    </w:r>
    <w:r>
      <w:rPr>
        <w:noProof/>
      </w:rPr>
      <w:fldChar w:fldCharType="end"/>
    </w:r>
  </w:p>
  <w:p w:rsidR="0031060B" w:rsidRDefault="003106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84F7C"/>
    <w:multiLevelType w:val="hybridMultilevel"/>
    <w:tmpl w:val="1CD0C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F746A9"/>
    <w:multiLevelType w:val="hybridMultilevel"/>
    <w:tmpl w:val="27D6A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C4777D8"/>
    <w:multiLevelType w:val="hybridMultilevel"/>
    <w:tmpl w:val="F1981E8C"/>
    <w:lvl w:ilvl="0" w:tplc="99E2E46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CAD6209"/>
    <w:multiLevelType w:val="hybridMultilevel"/>
    <w:tmpl w:val="9E08065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nsid w:val="1CE773AF"/>
    <w:multiLevelType w:val="hybridMultilevel"/>
    <w:tmpl w:val="BD2E0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F680D7B"/>
    <w:multiLevelType w:val="hybridMultilevel"/>
    <w:tmpl w:val="3D6EFC94"/>
    <w:lvl w:ilvl="0" w:tplc="0C090001">
      <w:start w:val="1"/>
      <w:numFmt w:val="bullet"/>
      <w:lvlText w:val=""/>
      <w:lvlJc w:val="left"/>
      <w:pPr>
        <w:ind w:left="1080" w:hanging="72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FB47989"/>
    <w:multiLevelType w:val="hybridMultilevel"/>
    <w:tmpl w:val="7EB8F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8823FAD"/>
    <w:multiLevelType w:val="hybridMultilevel"/>
    <w:tmpl w:val="3AEE321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8D3553F"/>
    <w:multiLevelType w:val="hybridMultilevel"/>
    <w:tmpl w:val="48D0A3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2F6B4530"/>
    <w:multiLevelType w:val="hybridMultilevel"/>
    <w:tmpl w:val="AD2A9B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01B2C08"/>
    <w:multiLevelType w:val="hybridMultilevel"/>
    <w:tmpl w:val="F97827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31CE7BD9"/>
    <w:multiLevelType w:val="hybridMultilevel"/>
    <w:tmpl w:val="028E453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37364D1D"/>
    <w:multiLevelType w:val="hybridMultilevel"/>
    <w:tmpl w:val="4B72CFEE"/>
    <w:lvl w:ilvl="0" w:tplc="15AA6F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85E1D24"/>
    <w:multiLevelType w:val="multilevel"/>
    <w:tmpl w:val="42D8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AB3B8E"/>
    <w:multiLevelType w:val="hybridMultilevel"/>
    <w:tmpl w:val="CB76E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43322D9"/>
    <w:multiLevelType w:val="hybridMultilevel"/>
    <w:tmpl w:val="4E582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5F507DA"/>
    <w:multiLevelType w:val="hybridMultilevel"/>
    <w:tmpl w:val="C87CF9F4"/>
    <w:lvl w:ilvl="0" w:tplc="D21859A8">
      <w:start w:val="1"/>
      <w:numFmt w:val="lowerRoman"/>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91B5A46"/>
    <w:multiLevelType w:val="hybridMultilevel"/>
    <w:tmpl w:val="0BEC9F24"/>
    <w:lvl w:ilvl="0" w:tplc="1FCEA266">
      <w:start w:val="2"/>
      <w:numFmt w:val="bullet"/>
      <w:lvlText w:val=""/>
      <w:lvlJc w:val="left"/>
      <w:pPr>
        <w:ind w:left="1080" w:hanging="72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C4D7883"/>
    <w:multiLevelType w:val="hybridMultilevel"/>
    <w:tmpl w:val="21702D6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nsid w:val="506C0C6E"/>
    <w:multiLevelType w:val="hybridMultilevel"/>
    <w:tmpl w:val="35B83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135319C"/>
    <w:multiLevelType w:val="hybridMultilevel"/>
    <w:tmpl w:val="92A6829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6280D4A"/>
    <w:multiLevelType w:val="hybridMultilevel"/>
    <w:tmpl w:val="E16A1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AB7677F"/>
    <w:multiLevelType w:val="hybridMultilevel"/>
    <w:tmpl w:val="672A228E"/>
    <w:lvl w:ilvl="0" w:tplc="2C80B504">
      <w:start w:val="1"/>
      <w:numFmt w:val="lowerLetter"/>
      <w:lvlText w:val="(%1)"/>
      <w:lvlJc w:val="left"/>
      <w:pPr>
        <w:ind w:left="765" w:hanging="360"/>
      </w:pPr>
      <w:rPr>
        <w:rFonts w:ascii="Times New Roman" w:eastAsia="Times New Roman" w:hAnsi="Times New Roman" w:cs="Times New Roman"/>
      </w:rPr>
    </w:lvl>
    <w:lvl w:ilvl="1" w:tplc="0C090019" w:tentative="1">
      <w:start w:val="1"/>
      <w:numFmt w:val="lowerLetter"/>
      <w:lvlText w:val="%2."/>
      <w:lvlJc w:val="left"/>
      <w:pPr>
        <w:ind w:left="1485" w:hanging="360"/>
      </w:pPr>
      <w:rPr>
        <w:rFonts w:cs="Times New Roman"/>
      </w:rPr>
    </w:lvl>
    <w:lvl w:ilvl="2" w:tplc="0C09001B" w:tentative="1">
      <w:start w:val="1"/>
      <w:numFmt w:val="lowerRoman"/>
      <w:lvlText w:val="%3."/>
      <w:lvlJc w:val="right"/>
      <w:pPr>
        <w:ind w:left="2205" w:hanging="180"/>
      </w:pPr>
      <w:rPr>
        <w:rFonts w:cs="Times New Roman"/>
      </w:rPr>
    </w:lvl>
    <w:lvl w:ilvl="3" w:tplc="0C09000F" w:tentative="1">
      <w:start w:val="1"/>
      <w:numFmt w:val="decimal"/>
      <w:lvlText w:val="%4."/>
      <w:lvlJc w:val="left"/>
      <w:pPr>
        <w:ind w:left="2925" w:hanging="360"/>
      </w:pPr>
      <w:rPr>
        <w:rFonts w:cs="Times New Roman"/>
      </w:rPr>
    </w:lvl>
    <w:lvl w:ilvl="4" w:tplc="0C090019" w:tentative="1">
      <w:start w:val="1"/>
      <w:numFmt w:val="lowerLetter"/>
      <w:lvlText w:val="%5."/>
      <w:lvlJc w:val="left"/>
      <w:pPr>
        <w:ind w:left="3645" w:hanging="360"/>
      </w:pPr>
      <w:rPr>
        <w:rFonts w:cs="Times New Roman"/>
      </w:rPr>
    </w:lvl>
    <w:lvl w:ilvl="5" w:tplc="0C09001B" w:tentative="1">
      <w:start w:val="1"/>
      <w:numFmt w:val="lowerRoman"/>
      <w:lvlText w:val="%6."/>
      <w:lvlJc w:val="right"/>
      <w:pPr>
        <w:ind w:left="4365" w:hanging="180"/>
      </w:pPr>
      <w:rPr>
        <w:rFonts w:cs="Times New Roman"/>
      </w:rPr>
    </w:lvl>
    <w:lvl w:ilvl="6" w:tplc="0C09000F" w:tentative="1">
      <w:start w:val="1"/>
      <w:numFmt w:val="decimal"/>
      <w:lvlText w:val="%7."/>
      <w:lvlJc w:val="left"/>
      <w:pPr>
        <w:ind w:left="5085" w:hanging="360"/>
      </w:pPr>
      <w:rPr>
        <w:rFonts w:cs="Times New Roman"/>
      </w:rPr>
    </w:lvl>
    <w:lvl w:ilvl="7" w:tplc="0C090019" w:tentative="1">
      <w:start w:val="1"/>
      <w:numFmt w:val="lowerLetter"/>
      <w:lvlText w:val="%8."/>
      <w:lvlJc w:val="left"/>
      <w:pPr>
        <w:ind w:left="5805" w:hanging="360"/>
      </w:pPr>
      <w:rPr>
        <w:rFonts w:cs="Times New Roman"/>
      </w:rPr>
    </w:lvl>
    <w:lvl w:ilvl="8" w:tplc="0C09001B" w:tentative="1">
      <w:start w:val="1"/>
      <w:numFmt w:val="lowerRoman"/>
      <w:lvlText w:val="%9."/>
      <w:lvlJc w:val="right"/>
      <w:pPr>
        <w:ind w:left="6525" w:hanging="180"/>
      </w:pPr>
      <w:rPr>
        <w:rFonts w:cs="Times New Roman"/>
      </w:rPr>
    </w:lvl>
  </w:abstractNum>
  <w:abstractNum w:abstractNumId="23">
    <w:nsid w:val="65456429"/>
    <w:multiLevelType w:val="multilevel"/>
    <w:tmpl w:val="7A907316"/>
    <w:lvl w:ilvl="0">
      <w:start w:val="1"/>
      <w:numFmt w:val="decimal"/>
      <w:pStyle w:val="ListNumber"/>
      <w:lvlText w:val="%1."/>
      <w:lvlJc w:val="left"/>
      <w:pPr>
        <w:ind w:left="369" w:hanging="369"/>
      </w:pPr>
      <w:rPr>
        <w:rFonts w:ascii="Times New Roman" w:hAnsi="Times New Roman" w:cs="Times New Roman" w:hint="default"/>
        <w:b w:val="0"/>
        <w:color w:val="auto"/>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4">
    <w:nsid w:val="6A627351"/>
    <w:multiLevelType w:val="hybridMultilevel"/>
    <w:tmpl w:val="51628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B445B6E"/>
    <w:multiLevelType w:val="hybridMultilevel"/>
    <w:tmpl w:val="98A2029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B520165"/>
    <w:multiLevelType w:val="hybridMultilevel"/>
    <w:tmpl w:val="AD4A8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03D1BD3"/>
    <w:multiLevelType w:val="hybridMultilevel"/>
    <w:tmpl w:val="5BB0F96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0734AF8"/>
    <w:multiLevelType w:val="hybridMultilevel"/>
    <w:tmpl w:val="BA08687C"/>
    <w:lvl w:ilvl="0" w:tplc="0C090001">
      <w:start w:val="1"/>
      <w:numFmt w:val="bullet"/>
      <w:lvlText w:val=""/>
      <w:lvlJc w:val="left"/>
      <w:pPr>
        <w:ind w:left="765" w:hanging="360"/>
      </w:pPr>
      <w:rPr>
        <w:rFonts w:ascii="Symbol" w:hAnsi="Symbol" w:hint="default"/>
      </w:rPr>
    </w:lvl>
    <w:lvl w:ilvl="1" w:tplc="0C090019" w:tentative="1">
      <w:start w:val="1"/>
      <w:numFmt w:val="lowerLetter"/>
      <w:lvlText w:val="%2."/>
      <w:lvlJc w:val="left"/>
      <w:pPr>
        <w:ind w:left="1485" w:hanging="360"/>
      </w:pPr>
      <w:rPr>
        <w:rFonts w:cs="Times New Roman"/>
      </w:rPr>
    </w:lvl>
    <w:lvl w:ilvl="2" w:tplc="0C09001B" w:tentative="1">
      <w:start w:val="1"/>
      <w:numFmt w:val="lowerRoman"/>
      <w:lvlText w:val="%3."/>
      <w:lvlJc w:val="right"/>
      <w:pPr>
        <w:ind w:left="2205" w:hanging="180"/>
      </w:pPr>
      <w:rPr>
        <w:rFonts w:cs="Times New Roman"/>
      </w:rPr>
    </w:lvl>
    <w:lvl w:ilvl="3" w:tplc="0C09000F" w:tentative="1">
      <w:start w:val="1"/>
      <w:numFmt w:val="decimal"/>
      <w:lvlText w:val="%4."/>
      <w:lvlJc w:val="left"/>
      <w:pPr>
        <w:ind w:left="2925" w:hanging="360"/>
      </w:pPr>
      <w:rPr>
        <w:rFonts w:cs="Times New Roman"/>
      </w:rPr>
    </w:lvl>
    <w:lvl w:ilvl="4" w:tplc="0C090019" w:tentative="1">
      <w:start w:val="1"/>
      <w:numFmt w:val="lowerLetter"/>
      <w:lvlText w:val="%5."/>
      <w:lvlJc w:val="left"/>
      <w:pPr>
        <w:ind w:left="3645" w:hanging="360"/>
      </w:pPr>
      <w:rPr>
        <w:rFonts w:cs="Times New Roman"/>
      </w:rPr>
    </w:lvl>
    <w:lvl w:ilvl="5" w:tplc="0C09001B" w:tentative="1">
      <w:start w:val="1"/>
      <w:numFmt w:val="lowerRoman"/>
      <w:lvlText w:val="%6."/>
      <w:lvlJc w:val="right"/>
      <w:pPr>
        <w:ind w:left="4365" w:hanging="180"/>
      </w:pPr>
      <w:rPr>
        <w:rFonts w:cs="Times New Roman"/>
      </w:rPr>
    </w:lvl>
    <w:lvl w:ilvl="6" w:tplc="0C09000F" w:tentative="1">
      <w:start w:val="1"/>
      <w:numFmt w:val="decimal"/>
      <w:lvlText w:val="%7."/>
      <w:lvlJc w:val="left"/>
      <w:pPr>
        <w:ind w:left="5085" w:hanging="360"/>
      </w:pPr>
      <w:rPr>
        <w:rFonts w:cs="Times New Roman"/>
      </w:rPr>
    </w:lvl>
    <w:lvl w:ilvl="7" w:tplc="0C090019" w:tentative="1">
      <w:start w:val="1"/>
      <w:numFmt w:val="lowerLetter"/>
      <w:lvlText w:val="%8."/>
      <w:lvlJc w:val="left"/>
      <w:pPr>
        <w:ind w:left="5805" w:hanging="360"/>
      </w:pPr>
      <w:rPr>
        <w:rFonts w:cs="Times New Roman"/>
      </w:rPr>
    </w:lvl>
    <w:lvl w:ilvl="8" w:tplc="0C09001B" w:tentative="1">
      <w:start w:val="1"/>
      <w:numFmt w:val="lowerRoman"/>
      <w:lvlText w:val="%9."/>
      <w:lvlJc w:val="right"/>
      <w:pPr>
        <w:ind w:left="6525" w:hanging="180"/>
      </w:pPr>
      <w:rPr>
        <w:rFonts w:cs="Times New Roman"/>
      </w:rPr>
    </w:lvl>
  </w:abstractNum>
  <w:abstractNum w:abstractNumId="29">
    <w:nsid w:val="70A65BD4"/>
    <w:multiLevelType w:val="hybridMultilevel"/>
    <w:tmpl w:val="2FA63EC0"/>
    <w:lvl w:ilvl="0" w:tplc="BED0E5C2">
      <w:start w:val="4"/>
      <w:numFmt w:val="bullet"/>
      <w:lvlText w:val="•"/>
      <w:lvlJc w:val="left"/>
      <w:pPr>
        <w:ind w:left="144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12C6ED5"/>
    <w:multiLevelType w:val="hybridMultilevel"/>
    <w:tmpl w:val="6994B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44F4BDC"/>
    <w:multiLevelType w:val="multilevel"/>
    <w:tmpl w:val="F092C5E4"/>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80D54A4"/>
    <w:multiLevelType w:val="hybridMultilevel"/>
    <w:tmpl w:val="D570B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13"/>
  </w:num>
  <w:num w:numId="4">
    <w:abstractNumId w:val="19"/>
  </w:num>
  <w:num w:numId="5">
    <w:abstractNumId w:val="28"/>
  </w:num>
  <w:num w:numId="6">
    <w:abstractNumId w:val="6"/>
  </w:num>
  <w:num w:numId="7">
    <w:abstractNumId w:val="9"/>
  </w:num>
  <w:num w:numId="8">
    <w:abstractNumId w:val="10"/>
  </w:num>
  <w:num w:numId="9">
    <w:abstractNumId w:val="14"/>
  </w:num>
  <w:num w:numId="10">
    <w:abstractNumId w:val="21"/>
  </w:num>
  <w:num w:numId="11">
    <w:abstractNumId w:val="30"/>
  </w:num>
  <w:num w:numId="12">
    <w:abstractNumId w:val="20"/>
  </w:num>
  <w:num w:numId="13">
    <w:abstractNumId w:val="25"/>
  </w:num>
  <w:num w:numId="14">
    <w:abstractNumId w:val="3"/>
  </w:num>
  <w:num w:numId="15">
    <w:abstractNumId w:val="24"/>
  </w:num>
  <w:num w:numId="16">
    <w:abstractNumId w:val="26"/>
  </w:num>
  <w:num w:numId="17">
    <w:abstractNumId w:val="23"/>
  </w:num>
  <w:num w:numId="18">
    <w:abstractNumId w:val="0"/>
  </w:num>
  <w:num w:numId="19">
    <w:abstractNumId w:val="16"/>
  </w:num>
  <w:num w:numId="20">
    <w:abstractNumId w:val="17"/>
  </w:num>
  <w:num w:numId="21">
    <w:abstractNumId w:val="18"/>
  </w:num>
  <w:num w:numId="22">
    <w:abstractNumId w:val="7"/>
  </w:num>
  <w:num w:numId="23">
    <w:abstractNumId w:val="12"/>
  </w:num>
  <w:num w:numId="24">
    <w:abstractNumId w:val="5"/>
  </w:num>
  <w:num w:numId="25">
    <w:abstractNumId w:val="29"/>
  </w:num>
  <w:num w:numId="26">
    <w:abstractNumId w:val="1"/>
  </w:num>
  <w:num w:numId="27">
    <w:abstractNumId w:val="4"/>
  </w:num>
  <w:num w:numId="28">
    <w:abstractNumId w:val="15"/>
  </w:num>
  <w:num w:numId="29">
    <w:abstractNumId w:val="27"/>
  </w:num>
  <w:num w:numId="30">
    <w:abstractNumId w:val="31"/>
  </w:num>
  <w:num w:numId="31">
    <w:abstractNumId w:val="8"/>
  </w:num>
  <w:num w:numId="32">
    <w:abstractNumId w:val="32"/>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6A4"/>
    <w:rsid w:val="00001091"/>
    <w:rsid w:val="00006EED"/>
    <w:rsid w:val="0001421B"/>
    <w:rsid w:val="00016AB0"/>
    <w:rsid w:val="00020E96"/>
    <w:rsid w:val="00022A12"/>
    <w:rsid w:val="00025FF0"/>
    <w:rsid w:val="00027757"/>
    <w:rsid w:val="00030D81"/>
    <w:rsid w:val="00034254"/>
    <w:rsid w:val="00035E27"/>
    <w:rsid w:val="00036251"/>
    <w:rsid w:val="00041D0B"/>
    <w:rsid w:val="0004282E"/>
    <w:rsid w:val="000518CE"/>
    <w:rsid w:val="00051C02"/>
    <w:rsid w:val="00051CE8"/>
    <w:rsid w:val="00057527"/>
    <w:rsid w:val="00061854"/>
    <w:rsid w:val="000650D2"/>
    <w:rsid w:val="00072DA1"/>
    <w:rsid w:val="000734F6"/>
    <w:rsid w:val="00075971"/>
    <w:rsid w:val="0007636B"/>
    <w:rsid w:val="00080088"/>
    <w:rsid w:val="000831FA"/>
    <w:rsid w:val="00083309"/>
    <w:rsid w:val="00084325"/>
    <w:rsid w:val="0008436F"/>
    <w:rsid w:val="000854E9"/>
    <w:rsid w:val="00094F1F"/>
    <w:rsid w:val="00095AC7"/>
    <w:rsid w:val="00096594"/>
    <w:rsid w:val="00096F11"/>
    <w:rsid w:val="000A02A1"/>
    <w:rsid w:val="000A4B49"/>
    <w:rsid w:val="000A7148"/>
    <w:rsid w:val="000B1535"/>
    <w:rsid w:val="000B380F"/>
    <w:rsid w:val="000B3C18"/>
    <w:rsid w:val="000B4A73"/>
    <w:rsid w:val="000B5C93"/>
    <w:rsid w:val="000B6643"/>
    <w:rsid w:val="000B75D3"/>
    <w:rsid w:val="000B7607"/>
    <w:rsid w:val="000C0697"/>
    <w:rsid w:val="000C6B8D"/>
    <w:rsid w:val="000D046B"/>
    <w:rsid w:val="000D32F0"/>
    <w:rsid w:val="000D5BFD"/>
    <w:rsid w:val="000E16C0"/>
    <w:rsid w:val="000E4581"/>
    <w:rsid w:val="001007CD"/>
    <w:rsid w:val="00103DB8"/>
    <w:rsid w:val="00107BC7"/>
    <w:rsid w:val="001104EB"/>
    <w:rsid w:val="0011466F"/>
    <w:rsid w:val="001163EC"/>
    <w:rsid w:val="00117C9D"/>
    <w:rsid w:val="0012141E"/>
    <w:rsid w:val="00127D76"/>
    <w:rsid w:val="00134B8E"/>
    <w:rsid w:val="00140B25"/>
    <w:rsid w:val="001431DE"/>
    <w:rsid w:val="001448A1"/>
    <w:rsid w:val="00147C7E"/>
    <w:rsid w:val="00153A0A"/>
    <w:rsid w:val="00154185"/>
    <w:rsid w:val="00156491"/>
    <w:rsid w:val="00162C7C"/>
    <w:rsid w:val="0016321A"/>
    <w:rsid w:val="0016345A"/>
    <w:rsid w:val="00163597"/>
    <w:rsid w:val="0016389C"/>
    <w:rsid w:val="001766E6"/>
    <w:rsid w:val="00184D0B"/>
    <w:rsid w:val="00185234"/>
    <w:rsid w:val="00194102"/>
    <w:rsid w:val="001943AE"/>
    <w:rsid w:val="0019494E"/>
    <w:rsid w:val="00195AF9"/>
    <w:rsid w:val="001968EA"/>
    <w:rsid w:val="00196CD4"/>
    <w:rsid w:val="00196D6C"/>
    <w:rsid w:val="00197CC0"/>
    <w:rsid w:val="001A4B09"/>
    <w:rsid w:val="001A7188"/>
    <w:rsid w:val="001B38E8"/>
    <w:rsid w:val="001C3587"/>
    <w:rsid w:val="001C5822"/>
    <w:rsid w:val="001D2E82"/>
    <w:rsid w:val="001D6693"/>
    <w:rsid w:val="001E5D95"/>
    <w:rsid w:val="001F0783"/>
    <w:rsid w:val="001F39A3"/>
    <w:rsid w:val="001F4190"/>
    <w:rsid w:val="00202085"/>
    <w:rsid w:val="00202E18"/>
    <w:rsid w:val="00203EAB"/>
    <w:rsid w:val="00204B3E"/>
    <w:rsid w:val="00216ED0"/>
    <w:rsid w:val="002215C0"/>
    <w:rsid w:val="00221737"/>
    <w:rsid w:val="00227FD8"/>
    <w:rsid w:val="00230DE1"/>
    <w:rsid w:val="00235126"/>
    <w:rsid w:val="00241672"/>
    <w:rsid w:val="0024495C"/>
    <w:rsid w:val="00247FA8"/>
    <w:rsid w:val="00260FD5"/>
    <w:rsid w:val="00270C51"/>
    <w:rsid w:val="002747DD"/>
    <w:rsid w:val="00275B3E"/>
    <w:rsid w:val="0027681F"/>
    <w:rsid w:val="00280D0F"/>
    <w:rsid w:val="00283A2F"/>
    <w:rsid w:val="00295A1D"/>
    <w:rsid w:val="0029692A"/>
    <w:rsid w:val="00296D18"/>
    <w:rsid w:val="00297937"/>
    <w:rsid w:val="002A0D6C"/>
    <w:rsid w:val="002A351A"/>
    <w:rsid w:val="002C1A9B"/>
    <w:rsid w:val="002C2A34"/>
    <w:rsid w:val="002C4298"/>
    <w:rsid w:val="002C5C61"/>
    <w:rsid w:val="002C5DE2"/>
    <w:rsid w:val="002C74DB"/>
    <w:rsid w:val="002D24BB"/>
    <w:rsid w:val="002D5938"/>
    <w:rsid w:val="002D5CE5"/>
    <w:rsid w:val="002D64B4"/>
    <w:rsid w:val="002E0B8C"/>
    <w:rsid w:val="002E199E"/>
    <w:rsid w:val="002E302A"/>
    <w:rsid w:val="002E568B"/>
    <w:rsid w:val="002F2512"/>
    <w:rsid w:val="002F3E9E"/>
    <w:rsid w:val="002F413F"/>
    <w:rsid w:val="00305F61"/>
    <w:rsid w:val="0031060B"/>
    <w:rsid w:val="0031303D"/>
    <w:rsid w:val="00314CEC"/>
    <w:rsid w:val="00314ED3"/>
    <w:rsid w:val="00315EA3"/>
    <w:rsid w:val="0032089B"/>
    <w:rsid w:val="0032141A"/>
    <w:rsid w:val="0032168C"/>
    <w:rsid w:val="00322D3A"/>
    <w:rsid w:val="00323171"/>
    <w:rsid w:val="003261E6"/>
    <w:rsid w:val="00326F4A"/>
    <w:rsid w:val="0032774F"/>
    <w:rsid w:val="0033433B"/>
    <w:rsid w:val="0033580D"/>
    <w:rsid w:val="00337CDA"/>
    <w:rsid w:val="003411ED"/>
    <w:rsid w:val="00352CB2"/>
    <w:rsid w:val="003603B7"/>
    <w:rsid w:val="003662B3"/>
    <w:rsid w:val="00376B26"/>
    <w:rsid w:val="00380326"/>
    <w:rsid w:val="00381280"/>
    <w:rsid w:val="003856A4"/>
    <w:rsid w:val="0039169F"/>
    <w:rsid w:val="00391BA8"/>
    <w:rsid w:val="00392C09"/>
    <w:rsid w:val="003936E1"/>
    <w:rsid w:val="003A26DD"/>
    <w:rsid w:val="003A4BB8"/>
    <w:rsid w:val="003A5C6B"/>
    <w:rsid w:val="003B0699"/>
    <w:rsid w:val="003C3D95"/>
    <w:rsid w:val="003C4F3A"/>
    <w:rsid w:val="003D3F2F"/>
    <w:rsid w:val="003D6B48"/>
    <w:rsid w:val="003E33C4"/>
    <w:rsid w:val="003E55FB"/>
    <w:rsid w:val="003F006F"/>
    <w:rsid w:val="003F20C9"/>
    <w:rsid w:val="003F61B9"/>
    <w:rsid w:val="003F74DA"/>
    <w:rsid w:val="003F7635"/>
    <w:rsid w:val="004157BC"/>
    <w:rsid w:val="0041758D"/>
    <w:rsid w:val="004214FB"/>
    <w:rsid w:val="0042269B"/>
    <w:rsid w:val="00423FF0"/>
    <w:rsid w:val="0042497B"/>
    <w:rsid w:val="00434D72"/>
    <w:rsid w:val="0044252B"/>
    <w:rsid w:val="00442C44"/>
    <w:rsid w:val="00451E1F"/>
    <w:rsid w:val="00453186"/>
    <w:rsid w:val="004545DC"/>
    <w:rsid w:val="00462276"/>
    <w:rsid w:val="00462C24"/>
    <w:rsid w:val="00470A7B"/>
    <w:rsid w:val="004728EB"/>
    <w:rsid w:val="0047327D"/>
    <w:rsid w:val="0047743E"/>
    <w:rsid w:val="0048068F"/>
    <w:rsid w:val="0048522A"/>
    <w:rsid w:val="00490065"/>
    <w:rsid w:val="004906E3"/>
    <w:rsid w:val="00491B8A"/>
    <w:rsid w:val="004947F7"/>
    <w:rsid w:val="004A2C9B"/>
    <w:rsid w:val="004A2ED7"/>
    <w:rsid w:val="004B1A78"/>
    <w:rsid w:val="004B1EFD"/>
    <w:rsid w:val="004C03A4"/>
    <w:rsid w:val="004C5984"/>
    <w:rsid w:val="004C63CD"/>
    <w:rsid w:val="004D2AEF"/>
    <w:rsid w:val="004D7038"/>
    <w:rsid w:val="004E0A87"/>
    <w:rsid w:val="004E2513"/>
    <w:rsid w:val="004E4456"/>
    <w:rsid w:val="004E62D3"/>
    <w:rsid w:val="004E7D96"/>
    <w:rsid w:val="004F11D2"/>
    <w:rsid w:val="004F49DB"/>
    <w:rsid w:val="004F5C32"/>
    <w:rsid w:val="004F7A6C"/>
    <w:rsid w:val="00500F1D"/>
    <w:rsid w:val="00506C06"/>
    <w:rsid w:val="00507967"/>
    <w:rsid w:val="0051176E"/>
    <w:rsid w:val="00512983"/>
    <w:rsid w:val="00512E0E"/>
    <w:rsid w:val="00515857"/>
    <w:rsid w:val="00517846"/>
    <w:rsid w:val="00526B6D"/>
    <w:rsid w:val="005309EA"/>
    <w:rsid w:val="005329D6"/>
    <w:rsid w:val="00542F8E"/>
    <w:rsid w:val="00565A39"/>
    <w:rsid w:val="005748E3"/>
    <w:rsid w:val="00574D01"/>
    <w:rsid w:val="00575363"/>
    <w:rsid w:val="00575D61"/>
    <w:rsid w:val="00592F93"/>
    <w:rsid w:val="0059381E"/>
    <w:rsid w:val="005A0AF9"/>
    <w:rsid w:val="005A3278"/>
    <w:rsid w:val="005A4FA2"/>
    <w:rsid w:val="005B72FD"/>
    <w:rsid w:val="005C1FA3"/>
    <w:rsid w:val="005C3A1D"/>
    <w:rsid w:val="005C56C2"/>
    <w:rsid w:val="005C68EB"/>
    <w:rsid w:val="005D14E1"/>
    <w:rsid w:val="005E7B97"/>
    <w:rsid w:val="005F305B"/>
    <w:rsid w:val="005F3B1E"/>
    <w:rsid w:val="00600CB8"/>
    <w:rsid w:val="00604F9E"/>
    <w:rsid w:val="00623AC5"/>
    <w:rsid w:val="00623B27"/>
    <w:rsid w:val="0062448D"/>
    <w:rsid w:val="00624609"/>
    <w:rsid w:val="00624716"/>
    <w:rsid w:val="00631162"/>
    <w:rsid w:val="006311D3"/>
    <w:rsid w:val="00634DF1"/>
    <w:rsid w:val="00641252"/>
    <w:rsid w:val="00642FD4"/>
    <w:rsid w:val="00643564"/>
    <w:rsid w:val="00645B7F"/>
    <w:rsid w:val="00646264"/>
    <w:rsid w:val="006510CB"/>
    <w:rsid w:val="006535B6"/>
    <w:rsid w:val="0065462F"/>
    <w:rsid w:val="00655A97"/>
    <w:rsid w:val="00664FF5"/>
    <w:rsid w:val="006668C3"/>
    <w:rsid w:val="00671C55"/>
    <w:rsid w:val="0067242A"/>
    <w:rsid w:val="006740D4"/>
    <w:rsid w:val="00675505"/>
    <w:rsid w:val="00680A6E"/>
    <w:rsid w:val="00682316"/>
    <w:rsid w:val="00683C0D"/>
    <w:rsid w:val="00684780"/>
    <w:rsid w:val="00684E91"/>
    <w:rsid w:val="00685068"/>
    <w:rsid w:val="00685120"/>
    <w:rsid w:val="0068537E"/>
    <w:rsid w:val="00686072"/>
    <w:rsid w:val="00696BF8"/>
    <w:rsid w:val="006A3167"/>
    <w:rsid w:val="006A3766"/>
    <w:rsid w:val="006A397D"/>
    <w:rsid w:val="006A57AE"/>
    <w:rsid w:val="006A7534"/>
    <w:rsid w:val="006B07BF"/>
    <w:rsid w:val="006B0C76"/>
    <w:rsid w:val="006C13C1"/>
    <w:rsid w:val="006D16AD"/>
    <w:rsid w:val="006D22C0"/>
    <w:rsid w:val="006D2BD7"/>
    <w:rsid w:val="006D75A9"/>
    <w:rsid w:val="006E0AA8"/>
    <w:rsid w:val="006E2878"/>
    <w:rsid w:val="006E288D"/>
    <w:rsid w:val="006E4C3D"/>
    <w:rsid w:val="006F575B"/>
    <w:rsid w:val="007018F2"/>
    <w:rsid w:val="00704057"/>
    <w:rsid w:val="007116EE"/>
    <w:rsid w:val="00713127"/>
    <w:rsid w:val="00713DD8"/>
    <w:rsid w:val="007140A6"/>
    <w:rsid w:val="007146E9"/>
    <w:rsid w:val="00714D86"/>
    <w:rsid w:val="0072242C"/>
    <w:rsid w:val="0072588E"/>
    <w:rsid w:val="00730734"/>
    <w:rsid w:val="00733108"/>
    <w:rsid w:val="00737DF8"/>
    <w:rsid w:val="00743A70"/>
    <w:rsid w:val="00747579"/>
    <w:rsid w:val="00752098"/>
    <w:rsid w:val="00752B96"/>
    <w:rsid w:val="00762C8A"/>
    <w:rsid w:val="00763436"/>
    <w:rsid w:val="0077263E"/>
    <w:rsid w:val="007761E4"/>
    <w:rsid w:val="00777A87"/>
    <w:rsid w:val="00780860"/>
    <w:rsid w:val="00780FCF"/>
    <w:rsid w:val="007837EB"/>
    <w:rsid w:val="00784BB7"/>
    <w:rsid w:val="00784DCD"/>
    <w:rsid w:val="007940A5"/>
    <w:rsid w:val="00795062"/>
    <w:rsid w:val="00796DB0"/>
    <w:rsid w:val="007A1A21"/>
    <w:rsid w:val="007A2D51"/>
    <w:rsid w:val="007A7623"/>
    <w:rsid w:val="007B086B"/>
    <w:rsid w:val="007B0D40"/>
    <w:rsid w:val="007B1C30"/>
    <w:rsid w:val="007B6541"/>
    <w:rsid w:val="007B6FE8"/>
    <w:rsid w:val="007C08F3"/>
    <w:rsid w:val="007C0E54"/>
    <w:rsid w:val="007C210C"/>
    <w:rsid w:val="007C2B94"/>
    <w:rsid w:val="007C3174"/>
    <w:rsid w:val="007C4D4E"/>
    <w:rsid w:val="007D4FA3"/>
    <w:rsid w:val="007D68BC"/>
    <w:rsid w:val="007E1806"/>
    <w:rsid w:val="007F51A0"/>
    <w:rsid w:val="00800C44"/>
    <w:rsid w:val="00802B83"/>
    <w:rsid w:val="00803B36"/>
    <w:rsid w:val="00810717"/>
    <w:rsid w:val="008134B6"/>
    <w:rsid w:val="00831EF9"/>
    <w:rsid w:val="00842912"/>
    <w:rsid w:val="0084641C"/>
    <w:rsid w:val="008503E3"/>
    <w:rsid w:val="0085040E"/>
    <w:rsid w:val="00850F73"/>
    <w:rsid w:val="00852AF3"/>
    <w:rsid w:val="00852D51"/>
    <w:rsid w:val="008531F9"/>
    <w:rsid w:val="0088376B"/>
    <w:rsid w:val="008842F1"/>
    <w:rsid w:val="0088720A"/>
    <w:rsid w:val="00887C43"/>
    <w:rsid w:val="0089192E"/>
    <w:rsid w:val="00891E2E"/>
    <w:rsid w:val="008A0AD6"/>
    <w:rsid w:val="008A0FDA"/>
    <w:rsid w:val="008A4B48"/>
    <w:rsid w:val="008A7DFC"/>
    <w:rsid w:val="008B1642"/>
    <w:rsid w:val="008B32B7"/>
    <w:rsid w:val="008C7363"/>
    <w:rsid w:val="008C75E7"/>
    <w:rsid w:val="008D2BE1"/>
    <w:rsid w:val="008D78BC"/>
    <w:rsid w:val="008E30B6"/>
    <w:rsid w:val="008E7167"/>
    <w:rsid w:val="008F5F09"/>
    <w:rsid w:val="00900C44"/>
    <w:rsid w:val="00901A68"/>
    <w:rsid w:val="00903DEC"/>
    <w:rsid w:val="0090593D"/>
    <w:rsid w:val="009067A7"/>
    <w:rsid w:val="009161C8"/>
    <w:rsid w:val="00920D23"/>
    <w:rsid w:val="00922B98"/>
    <w:rsid w:val="00924968"/>
    <w:rsid w:val="00933DE3"/>
    <w:rsid w:val="0093638A"/>
    <w:rsid w:val="00941170"/>
    <w:rsid w:val="00945A69"/>
    <w:rsid w:val="00951650"/>
    <w:rsid w:val="0095409B"/>
    <w:rsid w:val="00954163"/>
    <w:rsid w:val="00955B3E"/>
    <w:rsid w:val="00956B5A"/>
    <w:rsid w:val="00961C3E"/>
    <w:rsid w:val="00961F07"/>
    <w:rsid w:val="00963BE5"/>
    <w:rsid w:val="00965C19"/>
    <w:rsid w:val="00967DE7"/>
    <w:rsid w:val="00980228"/>
    <w:rsid w:val="009929EA"/>
    <w:rsid w:val="00996541"/>
    <w:rsid w:val="009A23EC"/>
    <w:rsid w:val="009B2C3F"/>
    <w:rsid w:val="009B3848"/>
    <w:rsid w:val="009B70C0"/>
    <w:rsid w:val="009C010D"/>
    <w:rsid w:val="009C3E35"/>
    <w:rsid w:val="009C416B"/>
    <w:rsid w:val="009C5E9F"/>
    <w:rsid w:val="009D0F95"/>
    <w:rsid w:val="009E0F1E"/>
    <w:rsid w:val="009F0F57"/>
    <w:rsid w:val="009F22D2"/>
    <w:rsid w:val="009F26C4"/>
    <w:rsid w:val="00A148E9"/>
    <w:rsid w:val="00A2085C"/>
    <w:rsid w:val="00A2096C"/>
    <w:rsid w:val="00A2299B"/>
    <w:rsid w:val="00A22CDC"/>
    <w:rsid w:val="00A251B0"/>
    <w:rsid w:val="00A30F1A"/>
    <w:rsid w:val="00A34D1C"/>
    <w:rsid w:val="00A354CA"/>
    <w:rsid w:val="00A43858"/>
    <w:rsid w:val="00A47D9B"/>
    <w:rsid w:val="00A7143D"/>
    <w:rsid w:val="00A72554"/>
    <w:rsid w:val="00A75822"/>
    <w:rsid w:val="00A81397"/>
    <w:rsid w:val="00A83D33"/>
    <w:rsid w:val="00A85600"/>
    <w:rsid w:val="00A8610F"/>
    <w:rsid w:val="00A8653F"/>
    <w:rsid w:val="00A91AE5"/>
    <w:rsid w:val="00A93C4E"/>
    <w:rsid w:val="00A954E4"/>
    <w:rsid w:val="00A96C1C"/>
    <w:rsid w:val="00AA097C"/>
    <w:rsid w:val="00AA3401"/>
    <w:rsid w:val="00AA4029"/>
    <w:rsid w:val="00AB195A"/>
    <w:rsid w:val="00AB24E3"/>
    <w:rsid w:val="00AB43D4"/>
    <w:rsid w:val="00AB4C10"/>
    <w:rsid w:val="00AB56AD"/>
    <w:rsid w:val="00AC11C8"/>
    <w:rsid w:val="00AC2E5B"/>
    <w:rsid w:val="00AC4263"/>
    <w:rsid w:val="00AC42A1"/>
    <w:rsid w:val="00AD14E2"/>
    <w:rsid w:val="00AD390C"/>
    <w:rsid w:val="00AD4F3B"/>
    <w:rsid w:val="00AD5446"/>
    <w:rsid w:val="00AD7222"/>
    <w:rsid w:val="00AE3281"/>
    <w:rsid w:val="00AE5795"/>
    <w:rsid w:val="00AF14FF"/>
    <w:rsid w:val="00AF727E"/>
    <w:rsid w:val="00B0417C"/>
    <w:rsid w:val="00B12B73"/>
    <w:rsid w:val="00B13045"/>
    <w:rsid w:val="00B13E8E"/>
    <w:rsid w:val="00B15BAC"/>
    <w:rsid w:val="00B163A7"/>
    <w:rsid w:val="00B16AEF"/>
    <w:rsid w:val="00B24498"/>
    <w:rsid w:val="00B25BA1"/>
    <w:rsid w:val="00B25E6A"/>
    <w:rsid w:val="00B3198F"/>
    <w:rsid w:val="00B34411"/>
    <w:rsid w:val="00B350FF"/>
    <w:rsid w:val="00B35A6C"/>
    <w:rsid w:val="00B42634"/>
    <w:rsid w:val="00B43D28"/>
    <w:rsid w:val="00B43E6A"/>
    <w:rsid w:val="00B446E4"/>
    <w:rsid w:val="00B4622C"/>
    <w:rsid w:val="00B46646"/>
    <w:rsid w:val="00B47CC5"/>
    <w:rsid w:val="00B50B81"/>
    <w:rsid w:val="00B50EB2"/>
    <w:rsid w:val="00B56BA6"/>
    <w:rsid w:val="00B66259"/>
    <w:rsid w:val="00B70663"/>
    <w:rsid w:val="00B77AB9"/>
    <w:rsid w:val="00B82E41"/>
    <w:rsid w:val="00B878D3"/>
    <w:rsid w:val="00B90FA6"/>
    <w:rsid w:val="00B93A28"/>
    <w:rsid w:val="00B97F7D"/>
    <w:rsid w:val="00BA08DD"/>
    <w:rsid w:val="00BA167E"/>
    <w:rsid w:val="00BA1715"/>
    <w:rsid w:val="00BA306B"/>
    <w:rsid w:val="00BA6970"/>
    <w:rsid w:val="00BB1BB1"/>
    <w:rsid w:val="00BB7B51"/>
    <w:rsid w:val="00BC2E4A"/>
    <w:rsid w:val="00BC3C90"/>
    <w:rsid w:val="00BC499A"/>
    <w:rsid w:val="00BC68D2"/>
    <w:rsid w:val="00BE4ABA"/>
    <w:rsid w:val="00BE7469"/>
    <w:rsid w:val="00BF2BFE"/>
    <w:rsid w:val="00BF41B6"/>
    <w:rsid w:val="00BF6DCC"/>
    <w:rsid w:val="00BF6E56"/>
    <w:rsid w:val="00C001FC"/>
    <w:rsid w:val="00C168DB"/>
    <w:rsid w:val="00C20D4C"/>
    <w:rsid w:val="00C25803"/>
    <w:rsid w:val="00C26B06"/>
    <w:rsid w:val="00C3139C"/>
    <w:rsid w:val="00C326E4"/>
    <w:rsid w:val="00C44B5B"/>
    <w:rsid w:val="00C47D97"/>
    <w:rsid w:val="00C513B4"/>
    <w:rsid w:val="00C54C17"/>
    <w:rsid w:val="00C57FA9"/>
    <w:rsid w:val="00C616A1"/>
    <w:rsid w:val="00C61C10"/>
    <w:rsid w:val="00C67319"/>
    <w:rsid w:val="00C6778C"/>
    <w:rsid w:val="00C72AAA"/>
    <w:rsid w:val="00C72ED0"/>
    <w:rsid w:val="00C73432"/>
    <w:rsid w:val="00C75178"/>
    <w:rsid w:val="00C80C87"/>
    <w:rsid w:val="00C81E54"/>
    <w:rsid w:val="00C82782"/>
    <w:rsid w:val="00C83867"/>
    <w:rsid w:val="00C863BC"/>
    <w:rsid w:val="00C873FA"/>
    <w:rsid w:val="00C90901"/>
    <w:rsid w:val="00C93586"/>
    <w:rsid w:val="00C96E92"/>
    <w:rsid w:val="00C97781"/>
    <w:rsid w:val="00CA1B88"/>
    <w:rsid w:val="00CA2337"/>
    <w:rsid w:val="00CA5993"/>
    <w:rsid w:val="00CA63E5"/>
    <w:rsid w:val="00CA7D07"/>
    <w:rsid w:val="00CB7620"/>
    <w:rsid w:val="00CC466D"/>
    <w:rsid w:val="00CC7B5B"/>
    <w:rsid w:val="00CD6FDC"/>
    <w:rsid w:val="00CD7CD9"/>
    <w:rsid w:val="00CE3034"/>
    <w:rsid w:val="00CF2F33"/>
    <w:rsid w:val="00CF71DD"/>
    <w:rsid w:val="00D11CD6"/>
    <w:rsid w:val="00D12C73"/>
    <w:rsid w:val="00D15347"/>
    <w:rsid w:val="00D17848"/>
    <w:rsid w:val="00D2672A"/>
    <w:rsid w:val="00D27D4C"/>
    <w:rsid w:val="00D30DEE"/>
    <w:rsid w:val="00D32EA9"/>
    <w:rsid w:val="00D36BB2"/>
    <w:rsid w:val="00D37053"/>
    <w:rsid w:val="00D4024D"/>
    <w:rsid w:val="00D408E3"/>
    <w:rsid w:val="00D443FC"/>
    <w:rsid w:val="00D470B5"/>
    <w:rsid w:val="00D4730B"/>
    <w:rsid w:val="00D54EDE"/>
    <w:rsid w:val="00D6356B"/>
    <w:rsid w:val="00D66A30"/>
    <w:rsid w:val="00D74719"/>
    <w:rsid w:val="00D84927"/>
    <w:rsid w:val="00D86EC1"/>
    <w:rsid w:val="00D9238E"/>
    <w:rsid w:val="00DA2792"/>
    <w:rsid w:val="00DA60C0"/>
    <w:rsid w:val="00DA7E05"/>
    <w:rsid w:val="00DB4931"/>
    <w:rsid w:val="00DB6F99"/>
    <w:rsid w:val="00DC53E7"/>
    <w:rsid w:val="00DC7474"/>
    <w:rsid w:val="00DD0F6E"/>
    <w:rsid w:val="00DD5EB3"/>
    <w:rsid w:val="00DE1949"/>
    <w:rsid w:val="00DE2571"/>
    <w:rsid w:val="00DE2C4E"/>
    <w:rsid w:val="00DE2D23"/>
    <w:rsid w:val="00E2429C"/>
    <w:rsid w:val="00E2509F"/>
    <w:rsid w:val="00E35A94"/>
    <w:rsid w:val="00E36BFE"/>
    <w:rsid w:val="00E3700D"/>
    <w:rsid w:val="00E409DC"/>
    <w:rsid w:val="00E415A9"/>
    <w:rsid w:val="00E4199F"/>
    <w:rsid w:val="00E41F02"/>
    <w:rsid w:val="00E420A8"/>
    <w:rsid w:val="00E42D2E"/>
    <w:rsid w:val="00E44E65"/>
    <w:rsid w:val="00E6022A"/>
    <w:rsid w:val="00E60488"/>
    <w:rsid w:val="00E6405D"/>
    <w:rsid w:val="00E6758E"/>
    <w:rsid w:val="00E81EAD"/>
    <w:rsid w:val="00E82F11"/>
    <w:rsid w:val="00E85180"/>
    <w:rsid w:val="00E85D3B"/>
    <w:rsid w:val="00E861CC"/>
    <w:rsid w:val="00E8773D"/>
    <w:rsid w:val="00E90849"/>
    <w:rsid w:val="00E90EC6"/>
    <w:rsid w:val="00E93A0F"/>
    <w:rsid w:val="00E9531D"/>
    <w:rsid w:val="00EA1D03"/>
    <w:rsid w:val="00EA3BFF"/>
    <w:rsid w:val="00EA5894"/>
    <w:rsid w:val="00EA71B0"/>
    <w:rsid w:val="00EB2323"/>
    <w:rsid w:val="00EB25DE"/>
    <w:rsid w:val="00EB441B"/>
    <w:rsid w:val="00EB45AA"/>
    <w:rsid w:val="00EB49FE"/>
    <w:rsid w:val="00EB66C8"/>
    <w:rsid w:val="00EB6F85"/>
    <w:rsid w:val="00EC0460"/>
    <w:rsid w:val="00EC579B"/>
    <w:rsid w:val="00EC5E3C"/>
    <w:rsid w:val="00EC6980"/>
    <w:rsid w:val="00EC6BC2"/>
    <w:rsid w:val="00ED19AA"/>
    <w:rsid w:val="00ED3AE4"/>
    <w:rsid w:val="00EE1450"/>
    <w:rsid w:val="00EE253D"/>
    <w:rsid w:val="00EE7CFE"/>
    <w:rsid w:val="00EF0A05"/>
    <w:rsid w:val="00EF1F76"/>
    <w:rsid w:val="00EF6410"/>
    <w:rsid w:val="00EF65A5"/>
    <w:rsid w:val="00F02405"/>
    <w:rsid w:val="00F04454"/>
    <w:rsid w:val="00F11C44"/>
    <w:rsid w:val="00F14E91"/>
    <w:rsid w:val="00F209CE"/>
    <w:rsid w:val="00F235B3"/>
    <w:rsid w:val="00F25B4C"/>
    <w:rsid w:val="00F321E3"/>
    <w:rsid w:val="00F33B23"/>
    <w:rsid w:val="00F35DC6"/>
    <w:rsid w:val="00F42A9C"/>
    <w:rsid w:val="00F4417E"/>
    <w:rsid w:val="00F52483"/>
    <w:rsid w:val="00F52CBD"/>
    <w:rsid w:val="00F53C1D"/>
    <w:rsid w:val="00F55438"/>
    <w:rsid w:val="00F57A4A"/>
    <w:rsid w:val="00F61134"/>
    <w:rsid w:val="00F61297"/>
    <w:rsid w:val="00F61524"/>
    <w:rsid w:val="00F650A3"/>
    <w:rsid w:val="00F66E67"/>
    <w:rsid w:val="00F67D92"/>
    <w:rsid w:val="00F70F06"/>
    <w:rsid w:val="00F903DD"/>
    <w:rsid w:val="00F920FB"/>
    <w:rsid w:val="00F93BB8"/>
    <w:rsid w:val="00F96D87"/>
    <w:rsid w:val="00FA422A"/>
    <w:rsid w:val="00FA5F30"/>
    <w:rsid w:val="00FA6381"/>
    <w:rsid w:val="00FA7030"/>
    <w:rsid w:val="00FB10B1"/>
    <w:rsid w:val="00FB1315"/>
    <w:rsid w:val="00FB7657"/>
    <w:rsid w:val="00FD263F"/>
    <w:rsid w:val="00FD43CD"/>
    <w:rsid w:val="00FD466C"/>
    <w:rsid w:val="00FD7B79"/>
    <w:rsid w:val="00FE13A9"/>
    <w:rsid w:val="00FF1F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List Number"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6A4"/>
    <w:rPr>
      <w:rFonts w:ascii="Times New Roman" w:eastAsia="Times New Roman" w:hAnsi="Times New Roman"/>
      <w:sz w:val="24"/>
      <w:szCs w:val="20"/>
      <w:lang w:val="en-AU" w:eastAsia="en-AU"/>
    </w:rPr>
  </w:style>
  <w:style w:type="paragraph" w:styleId="Heading1">
    <w:name w:val="heading 1"/>
    <w:basedOn w:val="Normal"/>
    <w:next w:val="Normal"/>
    <w:link w:val="Heading1Char"/>
    <w:uiPriority w:val="99"/>
    <w:qFormat/>
    <w:rsid w:val="003856A4"/>
    <w:pPr>
      <w:keepNext/>
      <w:ind w:firstLine="3"/>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56A4"/>
    <w:rPr>
      <w:rFonts w:ascii="Times New Roman" w:hAnsi="Times New Roman" w:cs="Times New Roman"/>
      <w:b/>
      <w:sz w:val="20"/>
      <w:szCs w:val="20"/>
      <w:lang w:eastAsia="en-AU"/>
    </w:rPr>
  </w:style>
  <w:style w:type="paragraph" w:styleId="Title">
    <w:name w:val="Title"/>
    <w:basedOn w:val="Normal"/>
    <w:link w:val="TitleChar"/>
    <w:uiPriority w:val="99"/>
    <w:qFormat/>
    <w:rsid w:val="003856A4"/>
    <w:pPr>
      <w:jc w:val="center"/>
    </w:pPr>
    <w:rPr>
      <w:b/>
      <w:u w:val="single"/>
    </w:rPr>
  </w:style>
  <w:style w:type="character" w:customStyle="1" w:styleId="TitleChar">
    <w:name w:val="Title Char"/>
    <w:basedOn w:val="DefaultParagraphFont"/>
    <w:link w:val="Title"/>
    <w:uiPriority w:val="99"/>
    <w:locked/>
    <w:rsid w:val="003856A4"/>
    <w:rPr>
      <w:rFonts w:ascii="Times New Roman" w:hAnsi="Times New Roman" w:cs="Times New Roman"/>
      <w:b/>
      <w:sz w:val="20"/>
      <w:szCs w:val="20"/>
      <w:u w:val="single"/>
      <w:lang w:eastAsia="en-AU"/>
    </w:rPr>
  </w:style>
  <w:style w:type="character" w:styleId="CommentReference">
    <w:name w:val="annotation reference"/>
    <w:basedOn w:val="DefaultParagraphFont"/>
    <w:uiPriority w:val="99"/>
    <w:semiHidden/>
    <w:rsid w:val="003856A4"/>
    <w:rPr>
      <w:rFonts w:cs="Times New Roman"/>
      <w:sz w:val="16"/>
    </w:rPr>
  </w:style>
  <w:style w:type="paragraph" w:styleId="CommentText">
    <w:name w:val="annotation text"/>
    <w:basedOn w:val="Normal"/>
    <w:link w:val="CommentTextChar"/>
    <w:uiPriority w:val="99"/>
    <w:semiHidden/>
    <w:rsid w:val="003856A4"/>
    <w:rPr>
      <w:sz w:val="20"/>
    </w:rPr>
  </w:style>
  <w:style w:type="character" w:customStyle="1" w:styleId="CommentTextChar">
    <w:name w:val="Comment Text Char"/>
    <w:basedOn w:val="DefaultParagraphFont"/>
    <w:link w:val="CommentText"/>
    <w:uiPriority w:val="99"/>
    <w:semiHidden/>
    <w:locked/>
    <w:rsid w:val="003856A4"/>
    <w:rPr>
      <w:rFonts w:ascii="Times New Roman" w:hAnsi="Times New Roman" w:cs="Times New Roman"/>
      <w:sz w:val="20"/>
      <w:szCs w:val="20"/>
      <w:lang w:eastAsia="en-AU"/>
    </w:rPr>
  </w:style>
  <w:style w:type="paragraph" w:styleId="BodyText2">
    <w:name w:val="Body Text 2"/>
    <w:basedOn w:val="Normal"/>
    <w:link w:val="BodyText2Char"/>
    <w:uiPriority w:val="99"/>
    <w:rsid w:val="003856A4"/>
    <w:rPr>
      <w:color w:val="0000FF"/>
    </w:rPr>
  </w:style>
  <w:style w:type="character" w:customStyle="1" w:styleId="BodyText2Char">
    <w:name w:val="Body Text 2 Char"/>
    <w:basedOn w:val="DefaultParagraphFont"/>
    <w:link w:val="BodyText2"/>
    <w:uiPriority w:val="99"/>
    <w:locked/>
    <w:rsid w:val="003856A4"/>
    <w:rPr>
      <w:rFonts w:ascii="Times New Roman" w:hAnsi="Times New Roman" w:cs="Times New Roman"/>
      <w:color w:val="0000FF"/>
      <w:sz w:val="20"/>
      <w:szCs w:val="20"/>
      <w:lang w:eastAsia="en-AU"/>
    </w:rPr>
  </w:style>
  <w:style w:type="paragraph" w:styleId="BalloonText">
    <w:name w:val="Balloon Text"/>
    <w:basedOn w:val="Normal"/>
    <w:link w:val="BalloonTextChar"/>
    <w:uiPriority w:val="99"/>
    <w:semiHidden/>
    <w:rsid w:val="003856A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56A4"/>
    <w:rPr>
      <w:rFonts w:ascii="Tahoma" w:hAnsi="Tahoma" w:cs="Tahoma"/>
      <w:sz w:val="16"/>
      <w:szCs w:val="16"/>
      <w:lang w:eastAsia="en-AU"/>
    </w:rPr>
  </w:style>
  <w:style w:type="paragraph" w:styleId="CommentSubject">
    <w:name w:val="annotation subject"/>
    <w:basedOn w:val="CommentText"/>
    <w:next w:val="CommentText"/>
    <w:link w:val="CommentSubjectChar"/>
    <w:uiPriority w:val="99"/>
    <w:semiHidden/>
    <w:rsid w:val="002F3E9E"/>
    <w:rPr>
      <w:b/>
      <w:bCs/>
    </w:rPr>
  </w:style>
  <w:style w:type="character" w:customStyle="1" w:styleId="CommentSubjectChar">
    <w:name w:val="Comment Subject Char"/>
    <w:basedOn w:val="CommentTextChar"/>
    <w:link w:val="CommentSubject"/>
    <w:uiPriority w:val="99"/>
    <w:semiHidden/>
    <w:locked/>
    <w:rsid w:val="002F3E9E"/>
    <w:rPr>
      <w:rFonts w:ascii="Times New Roman" w:hAnsi="Times New Roman" w:cs="Times New Roman"/>
      <w:b/>
      <w:bCs/>
      <w:sz w:val="20"/>
      <w:szCs w:val="20"/>
      <w:lang w:eastAsia="en-AU"/>
    </w:rPr>
  </w:style>
  <w:style w:type="paragraph" w:styleId="Header">
    <w:name w:val="header"/>
    <w:basedOn w:val="Normal"/>
    <w:link w:val="HeaderChar"/>
    <w:uiPriority w:val="99"/>
    <w:rsid w:val="00A2299B"/>
    <w:pPr>
      <w:tabs>
        <w:tab w:val="center" w:pos="4513"/>
        <w:tab w:val="right" w:pos="9026"/>
      </w:tabs>
    </w:pPr>
  </w:style>
  <w:style w:type="character" w:customStyle="1" w:styleId="HeaderChar">
    <w:name w:val="Header Char"/>
    <w:basedOn w:val="DefaultParagraphFont"/>
    <w:link w:val="Header"/>
    <w:uiPriority w:val="99"/>
    <w:locked/>
    <w:rsid w:val="00A2299B"/>
    <w:rPr>
      <w:rFonts w:ascii="Times New Roman" w:hAnsi="Times New Roman" w:cs="Times New Roman"/>
      <w:sz w:val="20"/>
      <w:szCs w:val="20"/>
      <w:lang w:eastAsia="en-AU"/>
    </w:rPr>
  </w:style>
  <w:style w:type="paragraph" w:styleId="Footer">
    <w:name w:val="footer"/>
    <w:basedOn w:val="Normal"/>
    <w:link w:val="FooterChar"/>
    <w:uiPriority w:val="99"/>
    <w:rsid w:val="00A2299B"/>
    <w:pPr>
      <w:tabs>
        <w:tab w:val="center" w:pos="4513"/>
        <w:tab w:val="right" w:pos="9026"/>
      </w:tabs>
    </w:pPr>
  </w:style>
  <w:style w:type="character" w:customStyle="1" w:styleId="FooterChar">
    <w:name w:val="Footer Char"/>
    <w:basedOn w:val="DefaultParagraphFont"/>
    <w:link w:val="Footer"/>
    <w:uiPriority w:val="99"/>
    <w:locked/>
    <w:rsid w:val="00A2299B"/>
    <w:rPr>
      <w:rFonts w:ascii="Times New Roman" w:hAnsi="Times New Roman" w:cs="Times New Roman"/>
      <w:sz w:val="20"/>
      <w:szCs w:val="20"/>
      <w:lang w:eastAsia="en-AU"/>
    </w:rPr>
  </w:style>
  <w:style w:type="character" w:styleId="Hyperlink">
    <w:name w:val="Hyperlink"/>
    <w:basedOn w:val="DefaultParagraphFont"/>
    <w:uiPriority w:val="99"/>
    <w:semiHidden/>
    <w:rsid w:val="008A0AD6"/>
    <w:rPr>
      <w:rFonts w:cs="Times New Roman"/>
      <w:color w:val="0000FF"/>
      <w:u w:val="single"/>
    </w:rPr>
  </w:style>
  <w:style w:type="paragraph" w:styleId="ListParagraph">
    <w:name w:val="List Paragraph"/>
    <w:aliases w:val="Bullet point,List Paragraph1,List Paragraph11,Recommendation,Bullet 1,CV text,Dot pt,F5 List Paragraph,Indicator Text,L,List Paragraph Char Char Char,List Paragraph111,List Paragraph2,MAIN CONTENT,Normal numbered,Numbered Para 1,Body text"/>
    <w:basedOn w:val="Normal"/>
    <w:link w:val="ListParagraphChar"/>
    <w:uiPriority w:val="34"/>
    <w:qFormat/>
    <w:rsid w:val="00EF1F76"/>
    <w:pPr>
      <w:ind w:left="720"/>
      <w:contextualSpacing/>
    </w:pPr>
  </w:style>
  <w:style w:type="paragraph" w:styleId="NormalWeb">
    <w:name w:val="Normal (Web)"/>
    <w:basedOn w:val="Normal"/>
    <w:uiPriority w:val="99"/>
    <w:semiHidden/>
    <w:unhideWhenUsed/>
    <w:rsid w:val="0042497B"/>
    <w:pPr>
      <w:spacing w:before="240" w:after="240"/>
    </w:pPr>
    <w:rPr>
      <w:szCs w:val="24"/>
    </w:rPr>
  </w:style>
  <w:style w:type="character" w:styleId="FollowedHyperlink">
    <w:name w:val="FollowedHyperlink"/>
    <w:basedOn w:val="DefaultParagraphFont"/>
    <w:uiPriority w:val="99"/>
    <w:semiHidden/>
    <w:unhideWhenUsed/>
    <w:rsid w:val="00680A6E"/>
    <w:rPr>
      <w:color w:val="800080" w:themeColor="followedHyperlink"/>
      <w:u w:val="single"/>
    </w:rPr>
  </w:style>
  <w:style w:type="paragraph" w:customStyle="1" w:styleId="paragraph">
    <w:name w:val="paragraph"/>
    <w:aliases w:val="a"/>
    <w:basedOn w:val="Normal"/>
    <w:rsid w:val="00B56BA6"/>
    <w:pPr>
      <w:tabs>
        <w:tab w:val="right" w:pos="1531"/>
      </w:tabs>
      <w:spacing w:before="40"/>
      <w:ind w:left="1644" w:hanging="1644"/>
    </w:pPr>
    <w:rPr>
      <w:sz w:val="22"/>
    </w:rPr>
  </w:style>
  <w:style w:type="paragraph" w:styleId="Revision">
    <w:name w:val="Revision"/>
    <w:hidden/>
    <w:uiPriority w:val="99"/>
    <w:semiHidden/>
    <w:rsid w:val="00DA2792"/>
    <w:rPr>
      <w:rFonts w:ascii="Times New Roman" w:eastAsia="Times New Roman" w:hAnsi="Times New Roman"/>
      <w:sz w:val="24"/>
      <w:szCs w:val="20"/>
      <w:lang w:val="en-AU" w:eastAsia="en-AU"/>
    </w:rPr>
  </w:style>
  <w:style w:type="paragraph" w:styleId="FootnoteText">
    <w:name w:val="footnote text"/>
    <w:basedOn w:val="Normal"/>
    <w:link w:val="FootnoteTextChar"/>
    <w:uiPriority w:val="99"/>
    <w:semiHidden/>
    <w:unhideWhenUsed/>
    <w:rsid w:val="003603B7"/>
    <w:rPr>
      <w:sz w:val="20"/>
    </w:rPr>
  </w:style>
  <w:style w:type="character" w:customStyle="1" w:styleId="FootnoteTextChar">
    <w:name w:val="Footnote Text Char"/>
    <w:basedOn w:val="DefaultParagraphFont"/>
    <w:link w:val="FootnoteText"/>
    <w:uiPriority w:val="99"/>
    <w:semiHidden/>
    <w:rsid w:val="003603B7"/>
    <w:rPr>
      <w:rFonts w:ascii="Times New Roman" w:eastAsia="Times New Roman" w:hAnsi="Times New Roman"/>
      <w:sz w:val="20"/>
      <w:szCs w:val="20"/>
      <w:lang w:val="en-AU" w:eastAsia="en-AU"/>
    </w:rPr>
  </w:style>
  <w:style w:type="character" w:styleId="FootnoteReference">
    <w:name w:val="footnote reference"/>
    <w:basedOn w:val="DefaultParagraphFont"/>
    <w:uiPriority w:val="99"/>
    <w:semiHidden/>
    <w:unhideWhenUsed/>
    <w:rsid w:val="003603B7"/>
    <w:rPr>
      <w:vertAlign w:val="superscript"/>
    </w:rPr>
  </w:style>
  <w:style w:type="paragraph" w:styleId="ListNumber">
    <w:name w:val="List Number"/>
    <w:basedOn w:val="Normal"/>
    <w:uiPriority w:val="99"/>
    <w:qFormat/>
    <w:rsid w:val="00B66259"/>
    <w:pPr>
      <w:numPr>
        <w:numId w:val="17"/>
      </w:numPr>
      <w:spacing w:after="200" w:line="276" w:lineRule="auto"/>
    </w:pPr>
    <w:rPr>
      <w:rFonts w:ascii="Arial" w:eastAsia="Calibri" w:hAnsi="Arial"/>
      <w:sz w:val="22"/>
      <w:szCs w:val="22"/>
      <w:lang w:eastAsia="en-US"/>
    </w:rPr>
  </w:style>
  <w:style w:type="paragraph" w:styleId="ListNumber2">
    <w:name w:val="List Number 2"/>
    <w:basedOn w:val="Normal"/>
    <w:uiPriority w:val="99"/>
    <w:rsid w:val="00B66259"/>
    <w:pPr>
      <w:numPr>
        <w:ilvl w:val="1"/>
        <w:numId w:val="17"/>
      </w:numPr>
      <w:spacing w:after="200" w:line="276" w:lineRule="auto"/>
    </w:pPr>
    <w:rPr>
      <w:rFonts w:ascii="Arial" w:eastAsia="Calibri" w:hAnsi="Arial"/>
      <w:sz w:val="22"/>
      <w:szCs w:val="22"/>
      <w:lang w:eastAsia="en-US"/>
    </w:rPr>
  </w:style>
  <w:style w:type="paragraph" w:styleId="ListNumber3">
    <w:name w:val="List Number 3"/>
    <w:basedOn w:val="Normal"/>
    <w:uiPriority w:val="99"/>
    <w:rsid w:val="00B66259"/>
    <w:pPr>
      <w:numPr>
        <w:ilvl w:val="2"/>
        <w:numId w:val="17"/>
      </w:numPr>
      <w:spacing w:after="200" w:line="276" w:lineRule="auto"/>
    </w:pPr>
    <w:rPr>
      <w:rFonts w:ascii="Arial" w:eastAsia="Calibri" w:hAnsi="Arial"/>
      <w:sz w:val="22"/>
      <w:szCs w:val="22"/>
      <w:lang w:eastAsia="en-US"/>
    </w:rPr>
  </w:style>
  <w:style w:type="paragraph" w:styleId="ListNumber4">
    <w:name w:val="List Number 4"/>
    <w:basedOn w:val="Normal"/>
    <w:uiPriority w:val="99"/>
    <w:rsid w:val="00B66259"/>
    <w:pPr>
      <w:numPr>
        <w:ilvl w:val="3"/>
        <w:numId w:val="17"/>
      </w:numPr>
      <w:spacing w:after="200" w:line="276" w:lineRule="auto"/>
    </w:pPr>
    <w:rPr>
      <w:rFonts w:ascii="Arial" w:eastAsia="Calibri" w:hAnsi="Arial"/>
      <w:sz w:val="22"/>
      <w:szCs w:val="22"/>
      <w:lang w:eastAsia="en-US"/>
    </w:rPr>
  </w:style>
  <w:style w:type="paragraph" w:styleId="ListNumber5">
    <w:name w:val="List Number 5"/>
    <w:basedOn w:val="Normal"/>
    <w:uiPriority w:val="99"/>
    <w:rsid w:val="00B66259"/>
    <w:pPr>
      <w:numPr>
        <w:ilvl w:val="4"/>
        <w:numId w:val="17"/>
      </w:numPr>
      <w:spacing w:after="200" w:line="276" w:lineRule="auto"/>
    </w:pPr>
    <w:rPr>
      <w:rFonts w:ascii="Arial" w:eastAsia="Calibri" w:hAnsi="Arial"/>
      <w:sz w:val="22"/>
      <w:szCs w:val="22"/>
      <w:lang w:eastAsia="en-US"/>
    </w:rPr>
  </w:style>
  <w:style w:type="character" w:customStyle="1" w:styleId="ListParagraphChar">
    <w:name w:val="List Paragraph Char"/>
    <w:aliases w:val="Bullet point Char,List Paragraph1 Char,List Paragraph11 Char,Recommendation Char,Bullet 1 Char,CV text Char,Dot pt Char,F5 List Paragraph Char,Indicator Text Char,L Char,List Paragraph Char Char Char Char,List Paragraph111 Char"/>
    <w:link w:val="ListParagraph"/>
    <w:uiPriority w:val="34"/>
    <w:qFormat/>
    <w:locked/>
    <w:rsid w:val="00685068"/>
    <w:rPr>
      <w:rFonts w:ascii="Times New Roman" w:eastAsia="Times New Roman" w:hAnsi="Times New Roman"/>
      <w:sz w:val="24"/>
      <w:szCs w:val="20"/>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List Number"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6A4"/>
    <w:rPr>
      <w:rFonts w:ascii="Times New Roman" w:eastAsia="Times New Roman" w:hAnsi="Times New Roman"/>
      <w:sz w:val="24"/>
      <w:szCs w:val="20"/>
      <w:lang w:val="en-AU" w:eastAsia="en-AU"/>
    </w:rPr>
  </w:style>
  <w:style w:type="paragraph" w:styleId="Heading1">
    <w:name w:val="heading 1"/>
    <w:basedOn w:val="Normal"/>
    <w:next w:val="Normal"/>
    <w:link w:val="Heading1Char"/>
    <w:uiPriority w:val="99"/>
    <w:qFormat/>
    <w:rsid w:val="003856A4"/>
    <w:pPr>
      <w:keepNext/>
      <w:ind w:firstLine="3"/>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56A4"/>
    <w:rPr>
      <w:rFonts w:ascii="Times New Roman" w:hAnsi="Times New Roman" w:cs="Times New Roman"/>
      <w:b/>
      <w:sz w:val="20"/>
      <w:szCs w:val="20"/>
      <w:lang w:eastAsia="en-AU"/>
    </w:rPr>
  </w:style>
  <w:style w:type="paragraph" w:styleId="Title">
    <w:name w:val="Title"/>
    <w:basedOn w:val="Normal"/>
    <w:link w:val="TitleChar"/>
    <w:uiPriority w:val="99"/>
    <w:qFormat/>
    <w:rsid w:val="003856A4"/>
    <w:pPr>
      <w:jc w:val="center"/>
    </w:pPr>
    <w:rPr>
      <w:b/>
      <w:u w:val="single"/>
    </w:rPr>
  </w:style>
  <w:style w:type="character" w:customStyle="1" w:styleId="TitleChar">
    <w:name w:val="Title Char"/>
    <w:basedOn w:val="DefaultParagraphFont"/>
    <w:link w:val="Title"/>
    <w:uiPriority w:val="99"/>
    <w:locked/>
    <w:rsid w:val="003856A4"/>
    <w:rPr>
      <w:rFonts w:ascii="Times New Roman" w:hAnsi="Times New Roman" w:cs="Times New Roman"/>
      <w:b/>
      <w:sz w:val="20"/>
      <w:szCs w:val="20"/>
      <w:u w:val="single"/>
      <w:lang w:eastAsia="en-AU"/>
    </w:rPr>
  </w:style>
  <w:style w:type="character" w:styleId="CommentReference">
    <w:name w:val="annotation reference"/>
    <w:basedOn w:val="DefaultParagraphFont"/>
    <w:uiPriority w:val="99"/>
    <w:semiHidden/>
    <w:rsid w:val="003856A4"/>
    <w:rPr>
      <w:rFonts w:cs="Times New Roman"/>
      <w:sz w:val="16"/>
    </w:rPr>
  </w:style>
  <w:style w:type="paragraph" w:styleId="CommentText">
    <w:name w:val="annotation text"/>
    <w:basedOn w:val="Normal"/>
    <w:link w:val="CommentTextChar"/>
    <w:uiPriority w:val="99"/>
    <w:semiHidden/>
    <w:rsid w:val="003856A4"/>
    <w:rPr>
      <w:sz w:val="20"/>
    </w:rPr>
  </w:style>
  <w:style w:type="character" w:customStyle="1" w:styleId="CommentTextChar">
    <w:name w:val="Comment Text Char"/>
    <w:basedOn w:val="DefaultParagraphFont"/>
    <w:link w:val="CommentText"/>
    <w:uiPriority w:val="99"/>
    <w:semiHidden/>
    <w:locked/>
    <w:rsid w:val="003856A4"/>
    <w:rPr>
      <w:rFonts w:ascii="Times New Roman" w:hAnsi="Times New Roman" w:cs="Times New Roman"/>
      <w:sz w:val="20"/>
      <w:szCs w:val="20"/>
      <w:lang w:eastAsia="en-AU"/>
    </w:rPr>
  </w:style>
  <w:style w:type="paragraph" w:styleId="BodyText2">
    <w:name w:val="Body Text 2"/>
    <w:basedOn w:val="Normal"/>
    <w:link w:val="BodyText2Char"/>
    <w:uiPriority w:val="99"/>
    <w:rsid w:val="003856A4"/>
    <w:rPr>
      <w:color w:val="0000FF"/>
    </w:rPr>
  </w:style>
  <w:style w:type="character" w:customStyle="1" w:styleId="BodyText2Char">
    <w:name w:val="Body Text 2 Char"/>
    <w:basedOn w:val="DefaultParagraphFont"/>
    <w:link w:val="BodyText2"/>
    <w:uiPriority w:val="99"/>
    <w:locked/>
    <w:rsid w:val="003856A4"/>
    <w:rPr>
      <w:rFonts w:ascii="Times New Roman" w:hAnsi="Times New Roman" w:cs="Times New Roman"/>
      <w:color w:val="0000FF"/>
      <w:sz w:val="20"/>
      <w:szCs w:val="20"/>
      <w:lang w:eastAsia="en-AU"/>
    </w:rPr>
  </w:style>
  <w:style w:type="paragraph" w:styleId="BalloonText">
    <w:name w:val="Balloon Text"/>
    <w:basedOn w:val="Normal"/>
    <w:link w:val="BalloonTextChar"/>
    <w:uiPriority w:val="99"/>
    <w:semiHidden/>
    <w:rsid w:val="003856A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56A4"/>
    <w:rPr>
      <w:rFonts w:ascii="Tahoma" w:hAnsi="Tahoma" w:cs="Tahoma"/>
      <w:sz w:val="16"/>
      <w:szCs w:val="16"/>
      <w:lang w:eastAsia="en-AU"/>
    </w:rPr>
  </w:style>
  <w:style w:type="paragraph" w:styleId="CommentSubject">
    <w:name w:val="annotation subject"/>
    <w:basedOn w:val="CommentText"/>
    <w:next w:val="CommentText"/>
    <w:link w:val="CommentSubjectChar"/>
    <w:uiPriority w:val="99"/>
    <w:semiHidden/>
    <w:rsid w:val="002F3E9E"/>
    <w:rPr>
      <w:b/>
      <w:bCs/>
    </w:rPr>
  </w:style>
  <w:style w:type="character" w:customStyle="1" w:styleId="CommentSubjectChar">
    <w:name w:val="Comment Subject Char"/>
    <w:basedOn w:val="CommentTextChar"/>
    <w:link w:val="CommentSubject"/>
    <w:uiPriority w:val="99"/>
    <w:semiHidden/>
    <w:locked/>
    <w:rsid w:val="002F3E9E"/>
    <w:rPr>
      <w:rFonts w:ascii="Times New Roman" w:hAnsi="Times New Roman" w:cs="Times New Roman"/>
      <w:b/>
      <w:bCs/>
      <w:sz w:val="20"/>
      <w:szCs w:val="20"/>
      <w:lang w:eastAsia="en-AU"/>
    </w:rPr>
  </w:style>
  <w:style w:type="paragraph" w:styleId="Header">
    <w:name w:val="header"/>
    <w:basedOn w:val="Normal"/>
    <w:link w:val="HeaderChar"/>
    <w:uiPriority w:val="99"/>
    <w:rsid w:val="00A2299B"/>
    <w:pPr>
      <w:tabs>
        <w:tab w:val="center" w:pos="4513"/>
        <w:tab w:val="right" w:pos="9026"/>
      </w:tabs>
    </w:pPr>
  </w:style>
  <w:style w:type="character" w:customStyle="1" w:styleId="HeaderChar">
    <w:name w:val="Header Char"/>
    <w:basedOn w:val="DefaultParagraphFont"/>
    <w:link w:val="Header"/>
    <w:uiPriority w:val="99"/>
    <w:locked/>
    <w:rsid w:val="00A2299B"/>
    <w:rPr>
      <w:rFonts w:ascii="Times New Roman" w:hAnsi="Times New Roman" w:cs="Times New Roman"/>
      <w:sz w:val="20"/>
      <w:szCs w:val="20"/>
      <w:lang w:eastAsia="en-AU"/>
    </w:rPr>
  </w:style>
  <w:style w:type="paragraph" w:styleId="Footer">
    <w:name w:val="footer"/>
    <w:basedOn w:val="Normal"/>
    <w:link w:val="FooterChar"/>
    <w:uiPriority w:val="99"/>
    <w:rsid w:val="00A2299B"/>
    <w:pPr>
      <w:tabs>
        <w:tab w:val="center" w:pos="4513"/>
        <w:tab w:val="right" w:pos="9026"/>
      </w:tabs>
    </w:pPr>
  </w:style>
  <w:style w:type="character" w:customStyle="1" w:styleId="FooterChar">
    <w:name w:val="Footer Char"/>
    <w:basedOn w:val="DefaultParagraphFont"/>
    <w:link w:val="Footer"/>
    <w:uiPriority w:val="99"/>
    <w:locked/>
    <w:rsid w:val="00A2299B"/>
    <w:rPr>
      <w:rFonts w:ascii="Times New Roman" w:hAnsi="Times New Roman" w:cs="Times New Roman"/>
      <w:sz w:val="20"/>
      <w:szCs w:val="20"/>
      <w:lang w:eastAsia="en-AU"/>
    </w:rPr>
  </w:style>
  <w:style w:type="character" w:styleId="Hyperlink">
    <w:name w:val="Hyperlink"/>
    <w:basedOn w:val="DefaultParagraphFont"/>
    <w:uiPriority w:val="99"/>
    <w:semiHidden/>
    <w:rsid w:val="008A0AD6"/>
    <w:rPr>
      <w:rFonts w:cs="Times New Roman"/>
      <w:color w:val="0000FF"/>
      <w:u w:val="single"/>
    </w:rPr>
  </w:style>
  <w:style w:type="paragraph" w:styleId="ListParagraph">
    <w:name w:val="List Paragraph"/>
    <w:aliases w:val="Bullet point,List Paragraph1,List Paragraph11,Recommendation,Bullet 1,CV text,Dot pt,F5 List Paragraph,Indicator Text,L,List Paragraph Char Char Char,List Paragraph111,List Paragraph2,MAIN CONTENT,Normal numbered,Numbered Para 1,Body text"/>
    <w:basedOn w:val="Normal"/>
    <w:link w:val="ListParagraphChar"/>
    <w:uiPriority w:val="34"/>
    <w:qFormat/>
    <w:rsid w:val="00EF1F76"/>
    <w:pPr>
      <w:ind w:left="720"/>
      <w:contextualSpacing/>
    </w:pPr>
  </w:style>
  <w:style w:type="paragraph" w:styleId="NormalWeb">
    <w:name w:val="Normal (Web)"/>
    <w:basedOn w:val="Normal"/>
    <w:uiPriority w:val="99"/>
    <w:semiHidden/>
    <w:unhideWhenUsed/>
    <w:rsid w:val="0042497B"/>
    <w:pPr>
      <w:spacing w:before="240" w:after="240"/>
    </w:pPr>
    <w:rPr>
      <w:szCs w:val="24"/>
    </w:rPr>
  </w:style>
  <w:style w:type="character" w:styleId="FollowedHyperlink">
    <w:name w:val="FollowedHyperlink"/>
    <w:basedOn w:val="DefaultParagraphFont"/>
    <w:uiPriority w:val="99"/>
    <w:semiHidden/>
    <w:unhideWhenUsed/>
    <w:rsid w:val="00680A6E"/>
    <w:rPr>
      <w:color w:val="800080" w:themeColor="followedHyperlink"/>
      <w:u w:val="single"/>
    </w:rPr>
  </w:style>
  <w:style w:type="paragraph" w:customStyle="1" w:styleId="paragraph">
    <w:name w:val="paragraph"/>
    <w:aliases w:val="a"/>
    <w:basedOn w:val="Normal"/>
    <w:rsid w:val="00B56BA6"/>
    <w:pPr>
      <w:tabs>
        <w:tab w:val="right" w:pos="1531"/>
      </w:tabs>
      <w:spacing w:before="40"/>
      <w:ind w:left="1644" w:hanging="1644"/>
    </w:pPr>
    <w:rPr>
      <w:sz w:val="22"/>
    </w:rPr>
  </w:style>
  <w:style w:type="paragraph" w:styleId="Revision">
    <w:name w:val="Revision"/>
    <w:hidden/>
    <w:uiPriority w:val="99"/>
    <w:semiHidden/>
    <w:rsid w:val="00DA2792"/>
    <w:rPr>
      <w:rFonts w:ascii="Times New Roman" w:eastAsia="Times New Roman" w:hAnsi="Times New Roman"/>
      <w:sz w:val="24"/>
      <w:szCs w:val="20"/>
      <w:lang w:val="en-AU" w:eastAsia="en-AU"/>
    </w:rPr>
  </w:style>
  <w:style w:type="paragraph" w:styleId="FootnoteText">
    <w:name w:val="footnote text"/>
    <w:basedOn w:val="Normal"/>
    <w:link w:val="FootnoteTextChar"/>
    <w:uiPriority w:val="99"/>
    <w:semiHidden/>
    <w:unhideWhenUsed/>
    <w:rsid w:val="003603B7"/>
    <w:rPr>
      <w:sz w:val="20"/>
    </w:rPr>
  </w:style>
  <w:style w:type="character" w:customStyle="1" w:styleId="FootnoteTextChar">
    <w:name w:val="Footnote Text Char"/>
    <w:basedOn w:val="DefaultParagraphFont"/>
    <w:link w:val="FootnoteText"/>
    <w:uiPriority w:val="99"/>
    <w:semiHidden/>
    <w:rsid w:val="003603B7"/>
    <w:rPr>
      <w:rFonts w:ascii="Times New Roman" w:eastAsia="Times New Roman" w:hAnsi="Times New Roman"/>
      <w:sz w:val="20"/>
      <w:szCs w:val="20"/>
      <w:lang w:val="en-AU" w:eastAsia="en-AU"/>
    </w:rPr>
  </w:style>
  <w:style w:type="character" w:styleId="FootnoteReference">
    <w:name w:val="footnote reference"/>
    <w:basedOn w:val="DefaultParagraphFont"/>
    <w:uiPriority w:val="99"/>
    <w:semiHidden/>
    <w:unhideWhenUsed/>
    <w:rsid w:val="003603B7"/>
    <w:rPr>
      <w:vertAlign w:val="superscript"/>
    </w:rPr>
  </w:style>
  <w:style w:type="paragraph" w:styleId="ListNumber">
    <w:name w:val="List Number"/>
    <w:basedOn w:val="Normal"/>
    <w:uiPriority w:val="99"/>
    <w:qFormat/>
    <w:rsid w:val="00B66259"/>
    <w:pPr>
      <w:numPr>
        <w:numId w:val="17"/>
      </w:numPr>
      <w:spacing w:after="200" w:line="276" w:lineRule="auto"/>
    </w:pPr>
    <w:rPr>
      <w:rFonts w:ascii="Arial" w:eastAsia="Calibri" w:hAnsi="Arial"/>
      <w:sz w:val="22"/>
      <w:szCs w:val="22"/>
      <w:lang w:eastAsia="en-US"/>
    </w:rPr>
  </w:style>
  <w:style w:type="paragraph" w:styleId="ListNumber2">
    <w:name w:val="List Number 2"/>
    <w:basedOn w:val="Normal"/>
    <w:uiPriority w:val="99"/>
    <w:rsid w:val="00B66259"/>
    <w:pPr>
      <w:numPr>
        <w:ilvl w:val="1"/>
        <w:numId w:val="17"/>
      </w:numPr>
      <w:spacing w:after="200" w:line="276" w:lineRule="auto"/>
    </w:pPr>
    <w:rPr>
      <w:rFonts w:ascii="Arial" w:eastAsia="Calibri" w:hAnsi="Arial"/>
      <w:sz w:val="22"/>
      <w:szCs w:val="22"/>
      <w:lang w:eastAsia="en-US"/>
    </w:rPr>
  </w:style>
  <w:style w:type="paragraph" w:styleId="ListNumber3">
    <w:name w:val="List Number 3"/>
    <w:basedOn w:val="Normal"/>
    <w:uiPriority w:val="99"/>
    <w:rsid w:val="00B66259"/>
    <w:pPr>
      <w:numPr>
        <w:ilvl w:val="2"/>
        <w:numId w:val="17"/>
      </w:numPr>
      <w:spacing w:after="200" w:line="276" w:lineRule="auto"/>
    </w:pPr>
    <w:rPr>
      <w:rFonts w:ascii="Arial" w:eastAsia="Calibri" w:hAnsi="Arial"/>
      <w:sz w:val="22"/>
      <w:szCs w:val="22"/>
      <w:lang w:eastAsia="en-US"/>
    </w:rPr>
  </w:style>
  <w:style w:type="paragraph" w:styleId="ListNumber4">
    <w:name w:val="List Number 4"/>
    <w:basedOn w:val="Normal"/>
    <w:uiPriority w:val="99"/>
    <w:rsid w:val="00B66259"/>
    <w:pPr>
      <w:numPr>
        <w:ilvl w:val="3"/>
        <w:numId w:val="17"/>
      </w:numPr>
      <w:spacing w:after="200" w:line="276" w:lineRule="auto"/>
    </w:pPr>
    <w:rPr>
      <w:rFonts w:ascii="Arial" w:eastAsia="Calibri" w:hAnsi="Arial"/>
      <w:sz w:val="22"/>
      <w:szCs w:val="22"/>
      <w:lang w:eastAsia="en-US"/>
    </w:rPr>
  </w:style>
  <w:style w:type="paragraph" w:styleId="ListNumber5">
    <w:name w:val="List Number 5"/>
    <w:basedOn w:val="Normal"/>
    <w:uiPriority w:val="99"/>
    <w:rsid w:val="00B66259"/>
    <w:pPr>
      <w:numPr>
        <w:ilvl w:val="4"/>
        <w:numId w:val="17"/>
      </w:numPr>
      <w:spacing w:after="200" w:line="276" w:lineRule="auto"/>
    </w:pPr>
    <w:rPr>
      <w:rFonts w:ascii="Arial" w:eastAsia="Calibri" w:hAnsi="Arial"/>
      <w:sz w:val="22"/>
      <w:szCs w:val="22"/>
      <w:lang w:eastAsia="en-US"/>
    </w:rPr>
  </w:style>
  <w:style w:type="character" w:customStyle="1" w:styleId="ListParagraphChar">
    <w:name w:val="List Paragraph Char"/>
    <w:aliases w:val="Bullet point Char,List Paragraph1 Char,List Paragraph11 Char,Recommendation Char,Bullet 1 Char,CV text Char,Dot pt Char,F5 List Paragraph Char,Indicator Text Char,L Char,List Paragraph Char Char Char Char,List Paragraph111 Char"/>
    <w:link w:val="ListParagraph"/>
    <w:uiPriority w:val="34"/>
    <w:qFormat/>
    <w:locked/>
    <w:rsid w:val="00685068"/>
    <w:rPr>
      <w:rFonts w:ascii="Times New Roman" w:eastAsia="Times New Roman" w:hAnsi="Times New Roman"/>
      <w:sz w:val="24"/>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253472">
      <w:bodyDiv w:val="1"/>
      <w:marLeft w:val="0"/>
      <w:marRight w:val="0"/>
      <w:marTop w:val="0"/>
      <w:marBottom w:val="0"/>
      <w:divBdr>
        <w:top w:val="none" w:sz="0" w:space="0" w:color="auto"/>
        <w:left w:val="none" w:sz="0" w:space="0" w:color="auto"/>
        <w:bottom w:val="none" w:sz="0" w:space="0" w:color="auto"/>
        <w:right w:val="none" w:sz="0" w:space="0" w:color="auto"/>
      </w:divBdr>
      <w:divsChild>
        <w:div w:id="2087144193">
          <w:marLeft w:val="0"/>
          <w:marRight w:val="0"/>
          <w:marTop w:val="0"/>
          <w:marBottom w:val="0"/>
          <w:divBdr>
            <w:top w:val="none" w:sz="0" w:space="0" w:color="auto"/>
            <w:left w:val="none" w:sz="0" w:space="0" w:color="auto"/>
            <w:bottom w:val="none" w:sz="0" w:space="0" w:color="auto"/>
            <w:right w:val="none" w:sz="0" w:space="0" w:color="auto"/>
          </w:divBdr>
          <w:divsChild>
            <w:div w:id="886602550">
              <w:marLeft w:val="0"/>
              <w:marRight w:val="0"/>
              <w:marTop w:val="0"/>
              <w:marBottom w:val="0"/>
              <w:divBdr>
                <w:top w:val="none" w:sz="0" w:space="0" w:color="auto"/>
                <w:left w:val="none" w:sz="0" w:space="0" w:color="auto"/>
                <w:bottom w:val="none" w:sz="0" w:space="0" w:color="auto"/>
                <w:right w:val="none" w:sz="0" w:space="0" w:color="auto"/>
              </w:divBdr>
              <w:divsChild>
                <w:div w:id="66265252">
                  <w:marLeft w:val="0"/>
                  <w:marRight w:val="0"/>
                  <w:marTop w:val="0"/>
                  <w:marBottom w:val="0"/>
                  <w:divBdr>
                    <w:top w:val="none" w:sz="0" w:space="0" w:color="auto"/>
                    <w:left w:val="none" w:sz="0" w:space="0" w:color="auto"/>
                    <w:bottom w:val="none" w:sz="0" w:space="0" w:color="auto"/>
                    <w:right w:val="none" w:sz="0" w:space="0" w:color="auto"/>
                  </w:divBdr>
                  <w:divsChild>
                    <w:div w:id="1574730994">
                      <w:marLeft w:val="0"/>
                      <w:marRight w:val="0"/>
                      <w:marTop w:val="0"/>
                      <w:marBottom w:val="0"/>
                      <w:divBdr>
                        <w:top w:val="none" w:sz="0" w:space="0" w:color="auto"/>
                        <w:left w:val="none" w:sz="0" w:space="0" w:color="auto"/>
                        <w:bottom w:val="none" w:sz="0" w:space="0" w:color="auto"/>
                        <w:right w:val="none" w:sz="0" w:space="0" w:color="auto"/>
                      </w:divBdr>
                      <w:divsChild>
                        <w:div w:id="305479246">
                          <w:marLeft w:val="0"/>
                          <w:marRight w:val="0"/>
                          <w:marTop w:val="0"/>
                          <w:marBottom w:val="0"/>
                          <w:divBdr>
                            <w:top w:val="none" w:sz="0" w:space="0" w:color="auto"/>
                            <w:left w:val="none" w:sz="0" w:space="0" w:color="auto"/>
                            <w:bottom w:val="none" w:sz="0" w:space="0" w:color="auto"/>
                            <w:right w:val="none" w:sz="0" w:space="0" w:color="auto"/>
                          </w:divBdr>
                          <w:divsChild>
                            <w:div w:id="122623788">
                              <w:marLeft w:val="0"/>
                              <w:marRight w:val="0"/>
                              <w:marTop w:val="0"/>
                              <w:marBottom w:val="0"/>
                              <w:divBdr>
                                <w:top w:val="none" w:sz="0" w:space="0" w:color="auto"/>
                                <w:left w:val="none" w:sz="0" w:space="0" w:color="auto"/>
                                <w:bottom w:val="none" w:sz="0" w:space="0" w:color="auto"/>
                                <w:right w:val="none" w:sz="0" w:space="0" w:color="auto"/>
                              </w:divBdr>
                              <w:divsChild>
                                <w:div w:id="1585530652">
                                  <w:marLeft w:val="0"/>
                                  <w:marRight w:val="0"/>
                                  <w:marTop w:val="0"/>
                                  <w:marBottom w:val="0"/>
                                  <w:divBdr>
                                    <w:top w:val="none" w:sz="0" w:space="0" w:color="auto"/>
                                    <w:left w:val="none" w:sz="0" w:space="0" w:color="auto"/>
                                    <w:bottom w:val="none" w:sz="0" w:space="0" w:color="auto"/>
                                    <w:right w:val="none" w:sz="0" w:space="0" w:color="auto"/>
                                  </w:divBdr>
                                  <w:divsChild>
                                    <w:div w:id="200479711">
                                      <w:marLeft w:val="0"/>
                                      <w:marRight w:val="0"/>
                                      <w:marTop w:val="0"/>
                                      <w:marBottom w:val="0"/>
                                      <w:divBdr>
                                        <w:top w:val="none" w:sz="0" w:space="0" w:color="auto"/>
                                        <w:left w:val="none" w:sz="0" w:space="0" w:color="auto"/>
                                        <w:bottom w:val="none" w:sz="0" w:space="0" w:color="auto"/>
                                        <w:right w:val="none" w:sz="0" w:space="0" w:color="auto"/>
                                      </w:divBdr>
                                      <w:divsChild>
                                        <w:div w:id="49299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5939019">
      <w:bodyDiv w:val="1"/>
      <w:marLeft w:val="0"/>
      <w:marRight w:val="0"/>
      <w:marTop w:val="0"/>
      <w:marBottom w:val="0"/>
      <w:divBdr>
        <w:top w:val="none" w:sz="0" w:space="0" w:color="auto"/>
        <w:left w:val="none" w:sz="0" w:space="0" w:color="auto"/>
        <w:bottom w:val="none" w:sz="0" w:space="0" w:color="auto"/>
        <w:right w:val="none" w:sz="0" w:space="0" w:color="auto"/>
      </w:divBdr>
    </w:div>
    <w:div w:id="376973195">
      <w:bodyDiv w:val="1"/>
      <w:marLeft w:val="0"/>
      <w:marRight w:val="0"/>
      <w:marTop w:val="0"/>
      <w:marBottom w:val="0"/>
      <w:divBdr>
        <w:top w:val="none" w:sz="0" w:space="0" w:color="auto"/>
        <w:left w:val="none" w:sz="0" w:space="0" w:color="auto"/>
        <w:bottom w:val="none" w:sz="0" w:space="0" w:color="auto"/>
        <w:right w:val="none" w:sz="0" w:space="0" w:color="auto"/>
      </w:divBdr>
    </w:div>
    <w:div w:id="559706639">
      <w:bodyDiv w:val="1"/>
      <w:marLeft w:val="0"/>
      <w:marRight w:val="0"/>
      <w:marTop w:val="0"/>
      <w:marBottom w:val="0"/>
      <w:divBdr>
        <w:top w:val="none" w:sz="0" w:space="0" w:color="auto"/>
        <w:left w:val="none" w:sz="0" w:space="0" w:color="auto"/>
        <w:bottom w:val="none" w:sz="0" w:space="0" w:color="auto"/>
        <w:right w:val="none" w:sz="0" w:space="0" w:color="auto"/>
      </w:divBdr>
      <w:divsChild>
        <w:div w:id="1949923287">
          <w:marLeft w:val="0"/>
          <w:marRight w:val="0"/>
          <w:marTop w:val="0"/>
          <w:marBottom w:val="0"/>
          <w:divBdr>
            <w:top w:val="none" w:sz="0" w:space="0" w:color="auto"/>
            <w:left w:val="none" w:sz="0" w:space="0" w:color="auto"/>
            <w:bottom w:val="none" w:sz="0" w:space="0" w:color="auto"/>
            <w:right w:val="none" w:sz="0" w:space="0" w:color="auto"/>
          </w:divBdr>
          <w:divsChild>
            <w:div w:id="1443301570">
              <w:marLeft w:val="0"/>
              <w:marRight w:val="0"/>
              <w:marTop w:val="0"/>
              <w:marBottom w:val="0"/>
              <w:divBdr>
                <w:top w:val="none" w:sz="0" w:space="0" w:color="auto"/>
                <w:left w:val="none" w:sz="0" w:space="0" w:color="auto"/>
                <w:bottom w:val="none" w:sz="0" w:space="0" w:color="auto"/>
                <w:right w:val="none" w:sz="0" w:space="0" w:color="auto"/>
              </w:divBdr>
              <w:divsChild>
                <w:div w:id="1302491883">
                  <w:marLeft w:val="0"/>
                  <w:marRight w:val="0"/>
                  <w:marTop w:val="0"/>
                  <w:marBottom w:val="0"/>
                  <w:divBdr>
                    <w:top w:val="none" w:sz="0" w:space="0" w:color="auto"/>
                    <w:left w:val="none" w:sz="0" w:space="0" w:color="auto"/>
                    <w:bottom w:val="none" w:sz="0" w:space="0" w:color="auto"/>
                    <w:right w:val="none" w:sz="0" w:space="0" w:color="auto"/>
                  </w:divBdr>
                  <w:divsChild>
                    <w:div w:id="1155217137">
                      <w:marLeft w:val="0"/>
                      <w:marRight w:val="0"/>
                      <w:marTop w:val="0"/>
                      <w:marBottom w:val="0"/>
                      <w:divBdr>
                        <w:top w:val="none" w:sz="0" w:space="0" w:color="auto"/>
                        <w:left w:val="none" w:sz="0" w:space="0" w:color="auto"/>
                        <w:bottom w:val="none" w:sz="0" w:space="0" w:color="auto"/>
                        <w:right w:val="none" w:sz="0" w:space="0" w:color="auto"/>
                      </w:divBdr>
                      <w:divsChild>
                        <w:div w:id="1782534792">
                          <w:marLeft w:val="0"/>
                          <w:marRight w:val="0"/>
                          <w:marTop w:val="0"/>
                          <w:marBottom w:val="0"/>
                          <w:divBdr>
                            <w:top w:val="none" w:sz="0" w:space="0" w:color="auto"/>
                            <w:left w:val="none" w:sz="0" w:space="0" w:color="auto"/>
                            <w:bottom w:val="none" w:sz="0" w:space="0" w:color="auto"/>
                            <w:right w:val="none" w:sz="0" w:space="0" w:color="auto"/>
                          </w:divBdr>
                          <w:divsChild>
                            <w:div w:id="750271041">
                              <w:marLeft w:val="0"/>
                              <w:marRight w:val="0"/>
                              <w:marTop w:val="0"/>
                              <w:marBottom w:val="0"/>
                              <w:divBdr>
                                <w:top w:val="none" w:sz="0" w:space="0" w:color="auto"/>
                                <w:left w:val="none" w:sz="0" w:space="0" w:color="auto"/>
                                <w:bottom w:val="none" w:sz="0" w:space="0" w:color="auto"/>
                                <w:right w:val="none" w:sz="0" w:space="0" w:color="auto"/>
                              </w:divBdr>
                              <w:divsChild>
                                <w:div w:id="102117454">
                                  <w:marLeft w:val="0"/>
                                  <w:marRight w:val="0"/>
                                  <w:marTop w:val="0"/>
                                  <w:marBottom w:val="0"/>
                                  <w:divBdr>
                                    <w:top w:val="none" w:sz="0" w:space="0" w:color="auto"/>
                                    <w:left w:val="none" w:sz="0" w:space="0" w:color="auto"/>
                                    <w:bottom w:val="none" w:sz="0" w:space="0" w:color="auto"/>
                                    <w:right w:val="none" w:sz="0" w:space="0" w:color="auto"/>
                                  </w:divBdr>
                                  <w:divsChild>
                                    <w:div w:id="1880121087">
                                      <w:marLeft w:val="0"/>
                                      <w:marRight w:val="0"/>
                                      <w:marTop w:val="0"/>
                                      <w:marBottom w:val="0"/>
                                      <w:divBdr>
                                        <w:top w:val="none" w:sz="0" w:space="0" w:color="auto"/>
                                        <w:left w:val="none" w:sz="0" w:space="0" w:color="auto"/>
                                        <w:bottom w:val="none" w:sz="0" w:space="0" w:color="auto"/>
                                        <w:right w:val="none" w:sz="0" w:space="0" w:color="auto"/>
                                      </w:divBdr>
                                      <w:divsChild>
                                        <w:div w:id="115063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6999709">
      <w:bodyDiv w:val="1"/>
      <w:marLeft w:val="0"/>
      <w:marRight w:val="0"/>
      <w:marTop w:val="0"/>
      <w:marBottom w:val="0"/>
      <w:divBdr>
        <w:top w:val="none" w:sz="0" w:space="0" w:color="auto"/>
        <w:left w:val="none" w:sz="0" w:space="0" w:color="auto"/>
        <w:bottom w:val="none" w:sz="0" w:space="0" w:color="auto"/>
        <w:right w:val="none" w:sz="0" w:space="0" w:color="auto"/>
      </w:divBdr>
    </w:div>
    <w:div w:id="191077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93E0E-64CE-4EA1-AD40-29AE005DC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1748</Words>
  <Characters>9739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TGA</Company>
  <LinksUpToDate>false</LinksUpToDate>
  <CharactersWithSpaces>11465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banchj</dc:creator>
  <cp:lastModifiedBy>KULAR, Navreen</cp:lastModifiedBy>
  <cp:revision>11</cp:revision>
  <cp:lastPrinted>2017-04-11T08:13:00Z</cp:lastPrinted>
  <dcterms:created xsi:type="dcterms:W3CDTF">2018-05-31T04:30:00Z</dcterms:created>
  <dcterms:modified xsi:type="dcterms:W3CDTF">2018-06-12T08:13:00Z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