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D6A08" w14:textId="77777777" w:rsidR="00407795" w:rsidRPr="00460E66" w:rsidRDefault="00407795" w:rsidP="0007731A">
      <w:pPr>
        <w:pStyle w:val="Title"/>
        <w:spacing w:before="0"/>
        <w:jc w:val="center"/>
        <w:outlineLvl w:val="0"/>
        <w:rPr>
          <w:sz w:val="24"/>
          <w:szCs w:val="24"/>
          <w:u w:val="single"/>
        </w:rPr>
      </w:pPr>
      <w:bookmarkStart w:id="0" w:name="_GoBack"/>
      <w:bookmarkEnd w:id="0"/>
      <w:r w:rsidRPr="00460E66">
        <w:rPr>
          <w:sz w:val="24"/>
          <w:szCs w:val="24"/>
          <w:u w:val="single"/>
        </w:rPr>
        <w:t>EXPLANATORY STATEMENT</w:t>
      </w:r>
    </w:p>
    <w:p w14:paraId="2589A946" w14:textId="77777777" w:rsidR="00F60F4B" w:rsidRPr="00460E66" w:rsidRDefault="00F60F4B" w:rsidP="006D1768">
      <w:pPr>
        <w:pStyle w:val="Title"/>
        <w:spacing w:before="0"/>
        <w:outlineLvl w:val="0"/>
        <w:rPr>
          <w:sz w:val="24"/>
          <w:szCs w:val="24"/>
          <w:u w:val="single"/>
        </w:rPr>
      </w:pPr>
    </w:p>
    <w:p w14:paraId="2D2F9947" w14:textId="2D995CB2" w:rsidR="00272520" w:rsidRPr="00460E66" w:rsidRDefault="00407795" w:rsidP="0007731A">
      <w:pPr>
        <w:pStyle w:val="BodyText"/>
        <w:spacing w:before="0" w:after="240"/>
        <w:rPr>
          <w:rFonts w:cs="Arial"/>
          <w:i/>
          <w:szCs w:val="24"/>
        </w:rPr>
      </w:pPr>
      <w:r w:rsidRPr="00460E66">
        <w:rPr>
          <w:rFonts w:cs="Arial"/>
          <w:i/>
          <w:szCs w:val="24"/>
        </w:rPr>
        <w:t>Social Security (</w:t>
      </w:r>
      <w:r w:rsidR="00F66111" w:rsidRPr="00460E66">
        <w:rPr>
          <w:rFonts w:cs="Arial"/>
          <w:i/>
          <w:szCs w:val="24"/>
        </w:rPr>
        <w:t>Administration) Legislation Amendment and Repeal (Reasonable Excuse</w:t>
      </w:r>
      <w:r w:rsidR="001B0792">
        <w:rPr>
          <w:rFonts w:cs="Arial"/>
          <w:i/>
          <w:szCs w:val="24"/>
        </w:rPr>
        <w:t xml:space="preserve"> - </w:t>
      </w:r>
      <w:r w:rsidR="008A7389">
        <w:rPr>
          <w:rFonts w:cs="Arial"/>
          <w:i/>
          <w:szCs w:val="24"/>
        </w:rPr>
        <w:t>Participation Payments</w:t>
      </w:r>
      <w:r w:rsidR="00F66111" w:rsidRPr="00460E66">
        <w:rPr>
          <w:rFonts w:cs="Arial"/>
          <w:i/>
          <w:szCs w:val="24"/>
        </w:rPr>
        <w:t>)</w:t>
      </w:r>
      <w:r w:rsidR="00221923" w:rsidRPr="00460E66">
        <w:rPr>
          <w:rFonts w:cs="Arial"/>
          <w:i/>
          <w:szCs w:val="24"/>
        </w:rPr>
        <w:t xml:space="preserve"> Determin</w:t>
      </w:r>
      <w:r w:rsidR="00733036" w:rsidRPr="00460E66">
        <w:rPr>
          <w:rFonts w:cs="Arial"/>
          <w:i/>
          <w:szCs w:val="24"/>
        </w:rPr>
        <w:t>ation</w:t>
      </w:r>
      <w:r w:rsidR="00221923" w:rsidRPr="00460E66">
        <w:rPr>
          <w:rFonts w:cs="Arial"/>
          <w:i/>
          <w:szCs w:val="24"/>
        </w:rPr>
        <w:t xml:space="preserve"> 201</w:t>
      </w:r>
      <w:r w:rsidR="008A7389">
        <w:rPr>
          <w:rFonts w:cs="Arial"/>
          <w:i/>
          <w:szCs w:val="24"/>
        </w:rPr>
        <w:t>8</w:t>
      </w:r>
    </w:p>
    <w:p w14:paraId="16181123" w14:textId="77777777" w:rsidR="00407795" w:rsidRPr="00460E66" w:rsidRDefault="00407795" w:rsidP="006D1768">
      <w:pPr>
        <w:spacing w:before="0" w:after="0"/>
        <w:outlineLvl w:val="0"/>
        <w:rPr>
          <w:rFonts w:cs="Arial"/>
          <w:b/>
          <w:szCs w:val="24"/>
        </w:rPr>
      </w:pPr>
      <w:r w:rsidRPr="00460E66">
        <w:rPr>
          <w:rFonts w:cs="Arial"/>
          <w:b/>
          <w:szCs w:val="24"/>
        </w:rPr>
        <w:t>Summary</w:t>
      </w:r>
    </w:p>
    <w:p w14:paraId="3456251C" w14:textId="77777777" w:rsidR="005B2B98" w:rsidRDefault="005B2B98" w:rsidP="006D1768">
      <w:pPr>
        <w:spacing w:before="0" w:after="0"/>
        <w:outlineLvl w:val="0"/>
        <w:rPr>
          <w:rFonts w:cs="Arial"/>
          <w:szCs w:val="24"/>
        </w:rPr>
      </w:pPr>
    </w:p>
    <w:p w14:paraId="67DA8241" w14:textId="0578D5FE" w:rsidR="00DA2022" w:rsidRDefault="00407795" w:rsidP="006D1768">
      <w:pPr>
        <w:spacing w:before="0" w:after="0"/>
        <w:outlineLvl w:val="0"/>
        <w:rPr>
          <w:rFonts w:cs="Arial"/>
          <w:szCs w:val="24"/>
        </w:rPr>
      </w:pPr>
      <w:r w:rsidRPr="00460E66">
        <w:rPr>
          <w:rFonts w:cs="Arial"/>
          <w:szCs w:val="24"/>
        </w:rPr>
        <w:t>Th</w:t>
      </w:r>
      <w:r w:rsidR="003D6136" w:rsidRPr="00460E66">
        <w:rPr>
          <w:rFonts w:cs="Arial"/>
          <w:szCs w:val="24"/>
        </w:rPr>
        <w:t xml:space="preserve">e </w:t>
      </w:r>
      <w:r w:rsidR="003D6136" w:rsidRPr="00460E66">
        <w:rPr>
          <w:rFonts w:cs="Arial"/>
          <w:i/>
          <w:szCs w:val="24"/>
        </w:rPr>
        <w:t>Social Security (Administration) Legislation Amendment and Repeal (Reasonable Excuse</w:t>
      </w:r>
      <w:r w:rsidR="001B0792">
        <w:rPr>
          <w:rFonts w:cs="Arial"/>
          <w:i/>
          <w:szCs w:val="24"/>
        </w:rPr>
        <w:t xml:space="preserve"> - </w:t>
      </w:r>
      <w:r w:rsidR="00554E94">
        <w:rPr>
          <w:rFonts w:cs="Arial"/>
          <w:i/>
          <w:szCs w:val="24"/>
        </w:rPr>
        <w:t>Participation Payments</w:t>
      </w:r>
      <w:r w:rsidR="003D6136" w:rsidRPr="00460E66">
        <w:rPr>
          <w:rFonts w:cs="Arial"/>
          <w:i/>
          <w:szCs w:val="24"/>
        </w:rPr>
        <w:t>) Determination 201</w:t>
      </w:r>
      <w:r w:rsidR="00554E94">
        <w:rPr>
          <w:rFonts w:cs="Arial"/>
          <w:i/>
          <w:szCs w:val="24"/>
        </w:rPr>
        <w:t>8</w:t>
      </w:r>
      <w:r w:rsidR="004F66DB" w:rsidRPr="00460E66">
        <w:rPr>
          <w:rFonts w:cs="Arial"/>
          <w:szCs w:val="24"/>
        </w:rPr>
        <w:t xml:space="preserve"> (</w:t>
      </w:r>
      <w:r w:rsidR="004F66DB" w:rsidRPr="009374EF">
        <w:rPr>
          <w:rFonts w:cs="Arial"/>
          <w:szCs w:val="24"/>
        </w:rPr>
        <w:t>th</w:t>
      </w:r>
      <w:r w:rsidR="00556622">
        <w:rPr>
          <w:rFonts w:cs="Arial"/>
          <w:szCs w:val="24"/>
        </w:rPr>
        <w:t>e</w:t>
      </w:r>
      <w:r w:rsidR="003D6136" w:rsidRPr="009374EF">
        <w:rPr>
          <w:rFonts w:cs="Arial"/>
          <w:szCs w:val="24"/>
        </w:rPr>
        <w:t xml:space="preserve"> </w:t>
      </w:r>
      <w:r w:rsidR="00221923" w:rsidRPr="009374EF">
        <w:rPr>
          <w:rFonts w:cs="Arial"/>
          <w:szCs w:val="24"/>
        </w:rPr>
        <w:t>Determination</w:t>
      </w:r>
      <w:r w:rsidR="003D6136" w:rsidRPr="00460E66">
        <w:rPr>
          <w:rFonts w:cs="Arial"/>
          <w:szCs w:val="24"/>
        </w:rPr>
        <w:t>)</w:t>
      </w:r>
      <w:r w:rsidR="00221923" w:rsidRPr="00460E66">
        <w:rPr>
          <w:rFonts w:cs="Arial"/>
          <w:szCs w:val="24"/>
        </w:rPr>
        <w:t xml:space="preserve"> is made </w:t>
      </w:r>
      <w:r w:rsidR="003D6136" w:rsidRPr="00460E66">
        <w:rPr>
          <w:rFonts w:cs="Arial"/>
          <w:szCs w:val="24"/>
        </w:rPr>
        <w:t xml:space="preserve">by the Secretary of the Department of </w:t>
      </w:r>
      <w:r w:rsidR="00554E94">
        <w:rPr>
          <w:rFonts w:cs="Arial"/>
          <w:szCs w:val="24"/>
        </w:rPr>
        <w:t xml:space="preserve">Jobs and Small Business </w:t>
      </w:r>
      <w:r w:rsidR="003D6136" w:rsidRPr="00460E66">
        <w:rPr>
          <w:rFonts w:cs="Arial"/>
          <w:szCs w:val="24"/>
        </w:rPr>
        <w:t xml:space="preserve">(the Secretary) </w:t>
      </w:r>
      <w:r w:rsidR="00221923" w:rsidRPr="00460E66">
        <w:rPr>
          <w:rFonts w:cs="Arial"/>
          <w:szCs w:val="24"/>
        </w:rPr>
        <w:t xml:space="preserve">under subsection </w:t>
      </w:r>
      <w:r w:rsidR="00F66111" w:rsidRPr="00460E66">
        <w:rPr>
          <w:rFonts w:cs="Arial"/>
          <w:szCs w:val="24"/>
        </w:rPr>
        <w:t>42U(1)</w:t>
      </w:r>
      <w:r w:rsidR="00221923" w:rsidRPr="00460E66">
        <w:rPr>
          <w:rFonts w:cs="Arial"/>
          <w:szCs w:val="24"/>
        </w:rPr>
        <w:t xml:space="preserve"> </w:t>
      </w:r>
      <w:r w:rsidRPr="00460E66">
        <w:rPr>
          <w:rFonts w:cs="Arial"/>
          <w:szCs w:val="24"/>
        </w:rPr>
        <w:t xml:space="preserve">of the </w:t>
      </w:r>
      <w:r w:rsidRPr="00460E66">
        <w:rPr>
          <w:rFonts w:cs="Arial"/>
          <w:i/>
          <w:szCs w:val="24"/>
        </w:rPr>
        <w:t>Social Security</w:t>
      </w:r>
      <w:r w:rsidR="00F66111" w:rsidRPr="00460E66">
        <w:rPr>
          <w:rFonts w:cs="Arial"/>
          <w:i/>
          <w:szCs w:val="24"/>
        </w:rPr>
        <w:t xml:space="preserve"> (Administration)</w:t>
      </w:r>
      <w:r w:rsidRPr="00460E66">
        <w:rPr>
          <w:rFonts w:cs="Arial"/>
          <w:i/>
          <w:szCs w:val="24"/>
        </w:rPr>
        <w:t xml:space="preserve"> Act 199</w:t>
      </w:r>
      <w:r w:rsidR="00F66111" w:rsidRPr="00460E66">
        <w:rPr>
          <w:rFonts w:cs="Arial"/>
          <w:i/>
          <w:szCs w:val="24"/>
        </w:rPr>
        <w:t>9</w:t>
      </w:r>
      <w:r w:rsidRPr="00460E66">
        <w:rPr>
          <w:rFonts w:cs="Arial"/>
          <w:szCs w:val="24"/>
        </w:rPr>
        <w:t xml:space="preserve"> (the Act).</w:t>
      </w:r>
      <w:r w:rsidR="00FA08DF" w:rsidRPr="00460E66">
        <w:rPr>
          <w:rFonts w:cs="Arial"/>
          <w:szCs w:val="24"/>
        </w:rPr>
        <w:t xml:space="preserve"> </w:t>
      </w:r>
    </w:p>
    <w:p w14:paraId="44C3E4B5" w14:textId="77777777" w:rsidR="00A82791" w:rsidRDefault="00A82791" w:rsidP="006D1768">
      <w:pPr>
        <w:spacing w:before="0" w:after="0"/>
        <w:outlineLvl w:val="0"/>
        <w:rPr>
          <w:rFonts w:cs="Arial"/>
          <w:szCs w:val="24"/>
        </w:rPr>
      </w:pPr>
    </w:p>
    <w:p w14:paraId="2A29DF94" w14:textId="7AD64C45" w:rsidR="00BE28E0" w:rsidRDefault="00BE28E0" w:rsidP="006D1768">
      <w:pPr>
        <w:spacing w:before="0" w:after="0"/>
        <w:outlineLvl w:val="0"/>
        <w:rPr>
          <w:rFonts w:cs="Arial"/>
          <w:szCs w:val="24"/>
        </w:rPr>
      </w:pPr>
      <w:r>
        <w:rPr>
          <w:rFonts w:cs="Arial"/>
          <w:szCs w:val="24"/>
        </w:rPr>
        <w:t>From</w:t>
      </w:r>
      <w:r w:rsidR="00A82791">
        <w:rPr>
          <w:rFonts w:cs="Arial"/>
          <w:szCs w:val="24"/>
        </w:rPr>
        <w:t xml:space="preserve"> </w:t>
      </w:r>
      <w:r w:rsidR="00A82791" w:rsidRPr="006D1768">
        <w:rPr>
          <w:rFonts w:cs="Arial"/>
          <w:szCs w:val="24"/>
        </w:rPr>
        <w:t>1</w:t>
      </w:r>
      <w:r w:rsidR="00C56116" w:rsidRPr="006D1768">
        <w:rPr>
          <w:rFonts w:cs="Arial"/>
          <w:szCs w:val="24"/>
        </w:rPr>
        <w:t xml:space="preserve"> July </w:t>
      </w:r>
      <w:r w:rsidR="00A82791" w:rsidRPr="006D1768">
        <w:rPr>
          <w:rFonts w:cs="Arial"/>
          <w:szCs w:val="24"/>
        </w:rPr>
        <w:t>2018</w:t>
      </w:r>
      <w:r w:rsidR="00A82791">
        <w:rPr>
          <w:rFonts w:cs="Arial"/>
          <w:szCs w:val="24"/>
        </w:rPr>
        <w:t xml:space="preserve">, </w:t>
      </w:r>
      <w:r>
        <w:rPr>
          <w:rFonts w:cs="Arial"/>
          <w:szCs w:val="24"/>
        </w:rPr>
        <w:t xml:space="preserve">a new instrument, </w:t>
      </w:r>
      <w:r w:rsidR="00A82791">
        <w:rPr>
          <w:rFonts w:cs="Arial"/>
          <w:szCs w:val="24"/>
        </w:rPr>
        <w:t xml:space="preserve">the </w:t>
      </w:r>
      <w:r w:rsidR="00A82791" w:rsidRPr="00460E66">
        <w:rPr>
          <w:rFonts w:cs="Arial"/>
          <w:i/>
          <w:szCs w:val="24"/>
        </w:rPr>
        <w:t>Social Security (Administration) (Reasonable Excuse – Participati</w:t>
      </w:r>
      <w:r>
        <w:rPr>
          <w:rFonts w:cs="Arial"/>
          <w:i/>
          <w:szCs w:val="24"/>
        </w:rPr>
        <w:t>on Payments) Determination 201</w:t>
      </w:r>
      <w:r w:rsidR="00554E94">
        <w:rPr>
          <w:rFonts w:cs="Arial"/>
          <w:i/>
          <w:szCs w:val="24"/>
        </w:rPr>
        <w:t>8</w:t>
      </w:r>
      <w:r>
        <w:rPr>
          <w:rFonts w:cs="Arial"/>
          <w:i/>
          <w:szCs w:val="24"/>
        </w:rPr>
        <w:t xml:space="preserve"> </w:t>
      </w:r>
      <w:r>
        <w:rPr>
          <w:rFonts w:cs="Arial"/>
          <w:szCs w:val="24"/>
        </w:rPr>
        <w:t>(</w:t>
      </w:r>
      <w:r w:rsidRPr="009374EF">
        <w:rPr>
          <w:rFonts w:cs="Arial"/>
          <w:szCs w:val="24"/>
        </w:rPr>
        <w:t>the</w:t>
      </w:r>
      <w:r w:rsidR="00556622">
        <w:rPr>
          <w:rFonts w:cs="Arial"/>
          <w:szCs w:val="24"/>
        </w:rPr>
        <w:t xml:space="preserve"> Reasonable Excuse</w:t>
      </w:r>
      <w:r w:rsidRPr="009374EF">
        <w:rPr>
          <w:rFonts w:cs="Arial"/>
          <w:szCs w:val="24"/>
        </w:rPr>
        <w:t xml:space="preserve"> Determination</w:t>
      </w:r>
      <w:r>
        <w:rPr>
          <w:rFonts w:cs="Arial"/>
          <w:szCs w:val="24"/>
        </w:rPr>
        <w:t xml:space="preserve">) </w:t>
      </w:r>
      <w:r w:rsidR="00556622">
        <w:rPr>
          <w:rFonts w:cs="Arial"/>
          <w:szCs w:val="24"/>
        </w:rPr>
        <w:t xml:space="preserve">will </w:t>
      </w:r>
      <w:r>
        <w:rPr>
          <w:rFonts w:cs="Arial"/>
          <w:szCs w:val="24"/>
        </w:rPr>
        <w:t>set out the matters that the Secretary must, and must not</w:t>
      </w:r>
      <w:r w:rsidR="007C5FB9">
        <w:rPr>
          <w:rFonts w:cs="Arial"/>
          <w:szCs w:val="24"/>
        </w:rPr>
        <w:t>,</w:t>
      </w:r>
      <w:r>
        <w:rPr>
          <w:rFonts w:cs="Arial"/>
          <w:szCs w:val="24"/>
        </w:rPr>
        <w:t xml:space="preserve"> take into account in deciding whether a person has a reasonable excuse for committing a failure to comply with their obligation in relation to a participation payment for the purposes of subsections </w:t>
      </w:r>
      <w:r w:rsidR="00C56116">
        <w:rPr>
          <w:rFonts w:cs="Arial"/>
          <w:szCs w:val="24"/>
        </w:rPr>
        <w:t>4</w:t>
      </w:r>
      <w:r w:rsidR="0075779E">
        <w:rPr>
          <w:rFonts w:cs="Arial"/>
          <w:szCs w:val="24"/>
        </w:rPr>
        <w:t>2</w:t>
      </w:r>
      <w:r w:rsidR="00C56116">
        <w:rPr>
          <w:rFonts w:cs="Arial"/>
          <w:szCs w:val="24"/>
        </w:rPr>
        <w:t>AI(1), 4</w:t>
      </w:r>
      <w:r w:rsidR="0075779E">
        <w:rPr>
          <w:rFonts w:cs="Arial"/>
          <w:szCs w:val="24"/>
        </w:rPr>
        <w:t>2</w:t>
      </w:r>
      <w:r w:rsidR="00C56116">
        <w:rPr>
          <w:rFonts w:cs="Arial"/>
          <w:szCs w:val="24"/>
        </w:rPr>
        <w:t xml:space="preserve">AI(3), </w:t>
      </w:r>
      <w:r>
        <w:rPr>
          <w:rFonts w:cs="Arial"/>
          <w:szCs w:val="24"/>
        </w:rPr>
        <w:t xml:space="preserve">42U(1) and </w:t>
      </w:r>
      <w:r w:rsidR="0007731A">
        <w:rPr>
          <w:rFonts w:cs="Arial"/>
          <w:szCs w:val="24"/>
        </w:rPr>
        <w:t>42U</w:t>
      </w:r>
      <w:r>
        <w:rPr>
          <w:rFonts w:cs="Arial"/>
          <w:szCs w:val="24"/>
        </w:rPr>
        <w:t>(3)</w:t>
      </w:r>
      <w:r w:rsidR="008C7F72">
        <w:rPr>
          <w:rFonts w:cs="Arial"/>
          <w:szCs w:val="24"/>
        </w:rPr>
        <w:t xml:space="preserve"> of the Act</w:t>
      </w:r>
      <w:r>
        <w:rPr>
          <w:rFonts w:cs="Arial"/>
          <w:szCs w:val="24"/>
        </w:rPr>
        <w:t>.</w:t>
      </w:r>
    </w:p>
    <w:p w14:paraId="2372F2DB" w14:textId="77777777" w:rsidR="00A82791" w:rsidRDefault="00A82791" w:rsidP="006D1768">
      <w:pPr>
        <w:spacing w:before="0" w:after="0"/>
        <w:outlineLvl w:val="0"/>
        <w:rPr>
          <w:rFonts w:cs="Arial"/>
          <w:szCs w:val="24"/>
        </w:rPr>
      </w:pPr>
    </w:p>
    <w:p w14:paraId="0BDB76FB" w14:textId="39670C5A" w:rsidR="00DA2022" w:rsidRDefault="00022B1C" w:rsidP="006D1768">
      <w:pPr>
        <w:spacing w:before="0" w:after="0"/>
        <w:outlineLvl w:val="0"/>
        <w:rPr>
          <w:rFonts w:cs="Arial"/>
          <w:szCs w:val="24"/>
        </w:rPr>
      </w:pPr>
      <w:r>
        <w:rPr>
          <w:rFonts w:cs="Arial"/>
          <w:szCs w:val="24"/>
        </w:rPr>
        <w:t xml:space="preserve">The </w:t>
      </w:r>
      <w:r w:rsidR="008C7F72">
        <w:rPr>
          <w:rFonts w:cs="Arial"/>
          <w:szCs w:val="24"/>
        </w:rPr>
        <w:t>purpose of</w:t>
      </w:r>
      <w:r w:rsidR="00556622">
        <w:rPr>
          <w:rFonts w:cs="Arial"/>
          <w:szCs w:val="24"/>
        </w:rPr>
        <w:t xml:space="preserve"> the</w:t>
      </w:r>
      <w:r w:rsidR="00DA2022">
        <w:rPr>
          <w:rFonts w:cs="Arial"/>
          <w:szCs w:val="24"/>
        </w:rPr>
        <w:t xml:space="preserve"> Determination</w:t>
      </w:r>
      <w:r w:rsidR="008C7F72">
        <w:rPr>
          <w:rFonts w:cs="Arial"/>
          <w:szCs w:val="24"/>
        </w:rPr>
        <w:t xml:space="preserve"> is to ensure </w:t>
      </w:r>
      <w:r w:rsidR="00556622">
        <w:rPr>
          <w:rFonts w:cs="Arial"/>
          <w:szCs w:val="24"/>
        </w:rPr>
        <w:t xml:space="preserve">that </w:t>
      </w:r>
      <w:r w:rsidR="008C7F72">
        <w:rPr>
          <w:rFonts w:cs="Arial"/>
          <w:szCs w:val="24"/>
        </w:rPr>
        <w:t xml:space="preserve">the </w:t>
      </w:r>
      <w:r w:rsidR="00556622">
        <w:rPr>
          <w:rFonts w:cs="Arial"/>
          <w:szCs w:val="24"/>
        </w:rPr>
        <w:t xml:space="preserve">Reasonable Excuse </w:t>
      </w:r>
      <w:r w:rsidR="008C7F72">
        <w:rPr>
          <w:rFonts w:cs="Arial"/>
          <w:szCs w:val="24"/>
        </w:rPr>
        <w:t>Determination is the sole instrument governing reasonable excuse matters relevant to participation payments.</w:t>
      </w:r>
      <w:r>
        <w:rPr>
          <w:rFonts w:cs="Arial"/>
          <w:szCs w:val="24"/>
        </w:rPr>
        <w:t xml:space="preserve"> </w:t>
      </w:r>
      <w:r w:rsidR="002E6571">
        <w:rPr>
          <w:rFonts w:cs="Arial"/>
          <w:szCs w:val="24"/>
        </w:rPr>
        <w:t>As such</w:t>
      </w:r>
      <w:r w:rsidR="00556622">
        <w:rPr>
          <w:rFonts w:cs="Arial"/>
          <w:szCs w:val="24"/>
        </w:rPr>
        <w:t xml:space="preserve">, </w:t>
      </w:r>
      <w:r>
        <w:rPr>
          <w:rFonts w:cs="Arial"/>
          <w:szCs w:val="24"/>
        </w:rPr>
        <w:t>t</w:t>
      </w:r>
      <w:r w:rsidR="008C7F72">
        <w:rPr>
          <w:rFonts w:cs="Arial"/>
          <w:szCs w:val="24"/>
        </w:rPr>
        <w:t>h</w:t>
      </w:r>
      <w:r w:rsidR="00556622">
        <w:rPr>
          <w:rFonts w:cs="Arial"/>
          <w:szCs w:val="24"/>
        </w:rPr>
        <w:t>e</w:t>
      </w:r>
      <w:r w:rsidR="008C7F72">
        <w:rPr>
          <w:rFonts w:cs="Arial"/>
          <w:szCs w:val="24"/>
        </w:rPr>
        <w:t xml:space="preserve"> Determination</w:t>
      </w:r>
      <w:r w:rsidR="00DA2022">
        <w:rPr>
          <w:rFonts w:cs="Arial"/>
          <w:szCs w:val="24"/>
        </w:rPr>
        <w:t>:</w:t>
      </w:r>
    </w:p>
    <w:p w14:paraId="7D70303B" w14:textId="77777777" w:rsidR="00DA2022" w:rsidRDefault="00DA2022" w:rsidP="006D1768">
      <w:pPr>
        <w:spacing w:before="0" w:after="0"/>
        <w:outlineLvl w:val="0"/>
        <w:rPr>
          <w:rFonts w:cs="Arial"/>
          <w:szCs w:val="24"/>
        </w:rPr>
      </w:pPr>
    </w:p>
    <w:p w14:paraId="53F7385A" w14:textId="2EBA3542" w:rsidR="00DA2022" w:rsidRDefault="00DA2022" w:rsidP="006D1768">
      <w:pPr>
        <w:pStyle w:val="ListParagraph"/>
        <w:numPr>
          <w:ilvl w:val="0"/>
          <w:numId w:val="10"/>
        </w:numPr>
        <w:spacing w:before="0" w:after="0"/>
        <w:outlineLvl w:val="0"/>
        <w:rPr>
          <w:rFonts w:ascii="Arial" w:hAnsi="Arial" w:cs="Arial"/>
          <w:szCs w:val="24"/>
        </w:rPr>
      </w:pPr>
      <w:r w:rsidRPr="00460E66">
        <w:rPr>
          <w:rFonts w:ascii="Arial" w:hAnsi="Arial" w:cs="Arial"/>
          <w:szCs w:val="24"/>
        </w:rPr>
        <w:t>amend</w:t>
      </w:r>
      <w:r w:rsidR="00022B1C">
        <w:rPr>
          <w:rFonts w:ascii="Arial" w:hAnsi="Arial" w:cs="Arial"/>
          <w:szCs w:val="24"/>
        </w:rPr>
        <w:t>s</w:t>
      </w:r>
      <w:r w:rsidRPr="00460E66">
        <w:rPr>
          <w:rFonts w:ascii="Arial" w:hAnsi="Arial" w:cs="Arial"/>
          <w:szCs w:val="24"/>
        </w:rPr>
        <w:t xml:space="preserve"> the </w:t>
      </w:r>
      <w:r w:rsidRPr="00460E66">
        <w:rPr>
          <w:rFonts w:ascii="Arial" w:hAnsi="Arial" w:cs="Arial"/>
          <w:i/>
          <w:szCs w:val="24"/>
        </w:rPr>
        <w:t xml:space="preserve">Social Security (Reasonable Excuse – Participation Payment Obligations) (DEEWR) Determination 2009 (No. 1) </w:t>
      </w:r>
      <w:r w:rsidRPr="00460E66">
        <w:rPr>
          <w:rFonts w:ascii="Arial" w:hAnsi="Arial" w:cs="Arial"/>
          <w:szCs w:val="24"/>
        </w:rPr>
        <w:t>(</w:t>
      </w:r>
      <w:r w:rsidRPr="009374EF">
        <w:rPr>
          <w:rFonts w:ascii="Arial" w:hAnsi="Arial" w:cs="Arial"/>
          <w:szCs w:val="24"/>
        </w:rPr>
        <w:t>the DEEWR Determination</w:t>
      </w:r>
      <w:r w:rsidRPr="00460E66">
        <w:rPr>
          <w:rFonts w:ascii="Arial" w:hAnsi="Arial" w:cs="Arial"/>
          <w:szCs w:val="24"/>
        </w:rPr>
        <w:t xml:space="preserve">) </w:t>
      </w:r>
      <w:r>
        <w:rPr>
          <w:rFonts w:ascii="Arial" w:hAnsi="Arial" w:cs="Arial"/>
          <w:szCs w:val="24"/>
        </w:rPr>
        <w:t xml:space="preserve">so that, from </w:t>
      </w:r>
      <w:r w:rsidRPr="006E7768">
        <w:rPr>
          <w:rFonts w:ascii="Arial" w:hAnsi="Arial" w:cs="Arial"/>
          <w:szCs w:val="24"/>
        </w:rPr>
        <w:t xml:space="preserve">1 </w:t>
      </w:r>
      <w:r w:rsidR="00C56116" w:rsidRPr="006E7768">
        <w:rPr>
          <w:rFonts w:ascii="Arial" w:hAnsi="Arial" w:cs="Arial"/>
          <w:szCs w:val="24"/>
        </w:rPr>
        <w:t>July</w:t>
      </w:r>
      <w:r w:rsidRPr="006E7768">
        <w:rPr>
          <w:rFonts w:ascii="Arial" w:hAnsi="Arial" w:cs="Arial"/>
          <w:szCs w:val="24"/>
        </w:rPr>
        <w:t xml:space="preserve"> 2018</w:t>
      </w:r>
      <w:r>
        <w:rPr>
          <w:rFonts w:ascii="Arial" w:hAnsi="Arial" w:cs="Arial"/>
          <w:szCs w:val="24"/>
        </w:rPr>
        <w:t xml:space="preserve">, the DEEWR Determination </w:t>
      </w:r>
      <w:r w:rsidR="00556622">
        <w:rPr>
          <w:rFonts w:ascii="Arial" w:hAnsi="Arial" w:cs="Arial"/>
          <w:szCs w:val="24"/>
        </w:rPr>
        <w:t xml:space="preserve">will </w:t>
      </w:r>
      <w:r>
        <w:rPr>
          <w:rFonts w:ascii="Arial" w:hAnsi="Arial" w:cs="Arial"/>
          <w:szCs w:val="24"/>
        </w:rPr>
        <w:t xml:space="preserve">no longer </w:t>
      </w:r>
      <w:r w:rsidR="00094741">
        <w:rPr>
          <w:rFonts w:ascii="Arial" w:hAnsi="Arial" w:cs="Arial"/>
          <w:szCs w:val="24"/>
        </w:rPr>
        <w:t>appl</w:t>
      </w:r>
      <w:r w:rsidR="00556622">
        <w:rPr>
          <w:rFonts w:ascii="Arial" w:hAnsi="Arial" w:cs="Arial"/>
          <w:szCs w:val="24"/>
        </w:rPr>
        <w:t>y</w:t>
      </w:r>
      <w:r w:rsidR="00094741">
        <w:rPr>
          <w:rFonts w:ascii="Arial" w:hAnsi="Arial" w:cs="Arial"/>
          <w:szCs w:val="24"/>
        </w:rPr>
        <w:t>,</w:t>
      </w:r>
      <w:r>
        <w:rPr>
          <w:rFonts w:ascii="Arial" w:hAnsi="Arial" w:cs="Arial"/>
          <w:szCs w:val="24"/>
        </w:rPr>
        <w:t xml:space="preserve"> for the purposes of s</w:t>
      </w:r>
      <w:r w:rsidR="00D97EE5">
        <w:rPr>
          <w:rFonts w:ascii="Arial" w:hAnsi="Arial" w:cs="Arial"/>
          <w:szCs w:val="24"/>
        </w:rPr>
        <w:t>ubs</w:t>
      </w:r>
      <w:r>
        <w:rPr>
          <w:rFonts w:ascii="Arial" w:hAnsi="Arial" w:cs="Arial"/>
          <w:szCs w:val="24"/>
        </w:rPr>
        <w:t>ection 42U</w:t>
      </w:r>
      <w:r w:rsidR="00D97EE5">
        <w:rPr>
          <w:rFonts w:ascii="Arial" w:hAnsi="Arial" w:cs="Arial"/>
          <w:szCs w:val="24"/>
        </w:rPr>
        <w:t>(1)</w:t>
      </w:r>
      <w:r>
        <w:rPr>
          <w:rFonts w:ascii="Arial" w:hAnsi="Arial" w:cs="Arial"/>
          <w:szCs w:val="24"/>
        </w:rPr>
        <w:t xml:space="preserve"> of the Act</w:t>
      </w:r>
      <w:r w:rsidR="00F547A9">
        <w:rPr>
          <w:rFonts w:ascii="Arial" w:hAnsi="Arial" w:cs="Arial"/>
          <w:szCs w:val="24"/>
        </w:rPr>
        <w:t>,</w:t>
      </w:r>
      <w:r w:rsidR="00B5701E">
        <w:rPr>
          <w:rFonts w:ascii="Arial" w:hAnsi="Arial" w:cs="Arial"/>
          <w:szCs w:val="24"/>
        </w:rPr>
        <w:t xml:space="preserve"> to </w:t>
      </w:r>
      <w:r w:rsidR="0007731A">
        <w:rPr>
          <w:rFonts w:ascii="Arial" w:hAnsi="Arial" w:cs="Arial"/>
          <w:szCs w:val="24"/>
        </w:rPr>
        <w:t xml:space="preserve">recipients of </w:t>
      </w:r>
      <w:r>
        <w:rPr>
          <w:rFonts w:ascii="Arial" w:hAnsi="Arial" w:cs="Arial"/>
          <w:szCs w:val="24"/>
        </w:rPr>
        <w:t xml:space="preserve">the following participation payments: newstart allowance, youth </w:t>
      </w:r>
      <w:r w:rsidRPr="00460E66">
        <w:rPr>
          <w:rFonts w:ascii="Arial" w:hAnsi="Arial" w:cs="Arial"/>
          <w:szCs w:val="24"/>
        </w:rPr>
        <w:t xml:space="preserve">allowance (if the recipient is </w:t>
      </w:r>
      <w:r w:rsidRPr="0018017D">
        <w:rPr>
          <w:rFonts w:ascii="Arial" w:hAnsi="Arial" w:cs="Arial"/>
          <w:szCs w:val="24"/>
        </w:rPr>
        <w:t xml:space="preserve">not </w:t>
      </w:r>
      <w:r w:rsidRPr="00460E66">
        <w:rPr>
          <w:rFonts w:ascii="Arial" w:hAnsi="Arial" w:cs="Arial"/>
          <w:szCs w:val="24"/>
        </w:rPr>
        <w:t xml:space="preserve">a new apprentice or </w:t>
      </w:r>
      <w:r>
        <w:rPr>
          <w:rFonts w:ascii="Arial" w:hAnsi="Arial" w:cs="Arial"/>
          <w:szCs w:val="24"/>
        </w:rPr>
        <w:t xml:space="preserve">a </w:t>
      </w:r>
      <w:r w:rsidRPr="00460E66">
        <w:rPr>
          <w:rFonts w:ascii="Arial" w:hAnsi="Arial" w:cs="Arial"/>
          <w:szCs w:val="24"/>
        </w:rPr>
        <w:t>full-time student)</w:t>
      </w:r>
      <w:r>
        <w:rPr>
          <w:rFonts w:ascii="Arial" w:hAnsi="Arial" w:cs="Arial"/>
          <w:szCs w:val="24"/>
        </w:rPr>
        <w:t xml:space="preserve">, and </w:t>
      </w:r>
      <w:r w:rsidRPr="00460E66">
        <w:rPr>
          <w:rFonts w:ascii="Arial" w:hAnsi="Arial" w:cs="Arial"/>
          <w:szCs w:val="24"/>
        </w:rPr>
        <w:t>parenting payment (if the recipient is s</w:t>
      </w:r>
      <w:r>
        <w:rPr>
          <w:rFonts w:ascii="Arial" w:hAnsi="Arial" w:cs="Arial"/>
          <w:szCs w:val="24"/>
        </w:rPr>
        <w:t>ubject to participation requirements</w:t>
      </w:r>
      <w:r w:rsidRPr="00460E66">
        <w:rPr>
          <w:rFonts w:ascii="Arial" w:hAnsi="Arial" w:cs="Arial"/>
          <w:szCs w:val="24"/>
        </w:rPr>
        <w:t>)</w:t>
      </w:r>
      <w:r w:rsidR="00071AF9">
        <w:rPr>
          <w:rFonts w:ascii="Arial" w:hAnsi="Arial" w:cs="Arial"/>
          <w:szCs w:val="24"/>
        </w:rPr>
        <w:t>.</w:t>
      </w:r>
      <w:r w:rsidR="00556622">
        <w:rPr>
          <w:rFonts w:ascii="Arial" w:hAnsi="Arial" w:cs="Arial"/>
          <w:szCs w:val="24"/>
        </w:rPr>
        <w:t xml:space="preserve"> The DEEWR Determination will continue to apply </w:t>
      </w:r>
      <w:r w:rsidR="007C4F2A">
        <w:rPr>
          <w:rFonts w:ascii="Arial" w:hAnsi="Arial" w:cs="Arial"/>
          <w:szCs w:val="24"/>
        </w:rPr>
        <w:t xml:space="preserve">for the purposes of sections 550(2A), 550B(2A), 576(2A) and 576A(2A) of the </w:t>
      </w:r>
      <w:r w:rsidR="007C4F2A" w:rsidRPr="007C4F2A">
        <w:rPr>
          <w:rFonts w:ascii="Arial" w:hAnsi="Arial" w:cs="Arial"/>
          <w:i/>
          <w:szCs w:val="24"/>
        </w:rPr>
        <w:t>Social Security Act 1991</w:t>
      </w:r>
      <w:r w:rsidR="00B5701E" w:rsidRPr="00B5701E">
        <w:rPr>
          <w:rFonts w:ascii="Arial" w:hAnsi="Arial" w:cs="Arial"/>
          <w:szCs w:val="24"/>
        </w:rPr>
        <w:t>,</w:t>
      </w:r>
      <w:r w:rsidR="00B5701E">
        <w:rPr>
          <w:rFonts w:ascii="Arial" w:hAnsi="Arial" w:cs="Arial"/>
          <w:szCs w:val="24"/>
        </w:rPr>
        <w:t xml:space="preserve"> to recipients of youth allowance for full-time students and Austudy</w:t>
      </w:r>
      <w:r w:rsidR="0075779E">
        <w:rPr>
          <w:rFonts w:ascii="Arial" w:hAnsi="Arial" w:cs="Arial"/>
          <w:szCs w:val="24"/>
        </w:rPr>
        <w:t>; and</w:t>
      </w:r>
      <w:r w:rsidR="00B5701E">
        <w:rPr>
          <w:rFonts w:ascii="Arial" w:hAnsi="Arial" w:cs="Arial"/>
          <w:szCs w:val="24"/>
        </w:rPr>
        <w:t xml:space="preserve"> </w:t>
      </w:r>
    </w:p>
    <w:p w14:paraId="4E39A458" w14:textId="77777777" w:rsidR="00DA2022" w:rsidRPr="008F7E4F" w:rsidRDefault="00DA2022" w:rsidP="006D1768">
      <w:pPr>
        <w:spacing w:before="0" w:after="0"/>
        <w:ind w:left="360"/>
        <w:outlineLvl w:val="0"/>
        <w:rPr>
          <w:rFonts w:cs="Arial"/>
          <w:szCs w:val="24"/>
        </w:rPr>
      </w:pPr>
    </w:p>
    <w:p w14:paraId="740910B2" w14:textId="3E6EAC30" w:rsidR="00DA2022" w:rsidRPr="00DA2022" w:rsidRDefault="00DA2022" w:rsidP="006D1768">
      <w:pPr>
        <w:pStyle w:val="ListParagraph"/>
        <w:numPr>
          <w:ilvl w:val="0"/>
          <w:numId w:val="10"/>
        </w:numPr>
        <w:spacing w:before="0" w:after="0"/>
        <w:outlineLvl w:val="0"/>
        <w:rPr>
          <w:rFonts w:ascii="Arial" w:hAnsi="Arial" w:cs="Arial"/>
          <w:szCs w:val="24"/>
        </w:rPr>
      </w:pPr>
      <w:r w:rsidRPr="003D2CEB">
        <w:rPr>
          <w:rFonts w:ascii="Arial" w:hAnsi="Arial" w:cs="Arial"/>
          <w:szCs w:val="24"/>
        </w:rPr>
        <w:t>repeal</w:t>
      </w:r>
      <w:r w:rsidR="00022B1C" w:rsidRPr="003D2CEB">
        <w:rPr>
          <w:rFonts w:ascii="Arial" w:hAnsi="Arial" w:cs="Arial"/>
          <w:szCs w:val="24"/>
        </w:rPr>
        <w:t>s</w:t>
      </w:r>
      <w:r w:rsidRPr="003D2CEB">
        <w:rPr>
          <w:rFonts w:ascii="Arial" w:hAnsi="Arial" w:cs="Arial"/>
          <w:szCs w:val="24"/>
        </w:rPr>
        <w:t xml:space="preserve"> the </w:t>
      </w:r>
      <w:r w:rsidRPr="003D2CEB">
        <w:rPr>
          <w:rFonts w:ascii="Arial" w:hAnsi="Arial" w:cs="Arial"/>
          <w:i/>
          <w:szCs w:val="24"/>
        </w:rPr>
        <w:t>Social Security (Reasonable Excuse – Participation Payment Obligations) (FaHCSIA) Determination 2009 (No. 1)</w:t>
      </w:r>
      <w:r w:rsidRPr="003D2CEB">
        <w:rPr>
          <w:rFonts w:ascii="Arial" w:hAnsi="Arial" w:cs="Arial"/>
          <w:szCs w:val="24"/>
        </w:rPr>
        <w:t xml:space="preserve"> (</w:t>
      </w:r>
      <w:r w:rsidRPr="009374EF">
        <w:rPr>
          <w:rFonts w:ascii="Arial" w:hAnsi="Arial" w:cs="Arial"/>
          <w:szCs w:val="24"/>
        </w:rPr>
        <w:t>the FaHCSIA Determination</w:t>
      </w:r>
      <w:r w:rsidRPr="003D2CEB">
        <w:rPr>
          <w:rFonts w:ascii="Arial" w:hAnsi="Arial" w:cs="Arial"/>
          <w:szCs w:val="24"/>
        </w:rPr>
        <w:t>) so that</w:t>
      </w:r>
      <w:r w:rsidR="00094741" w:rsidRPr="003D2CEB">
        <w:rPr>
          <w:rFonts w:ascii="Arial" w:hAnsi="Arial" w:cs="Arial"/>
          <w:szCs w:val="24"/>
        </w:rPr>
        <w:t xml:space="preserve"> from </w:t>
      </w:r>
      <w:r w:rsidR="00094741" w:rsidRPr="006E7768">
        <w:rPr>
          <w:rFonts w:ascii="Arial" w:hAnsi="Arial" w:cs="Arial"/>
          <w:szCs w:val="24"/>
        </w:rPr>
        <w:t xml:space="preserve">1 </w:t>
      </w:r>
      <w:r w:rsidR="00C56116" w:rsidRPr="006E7768">
        <w:rPr>
          <w:rFonts w:ascii="Arial" w:hAnsi="Arial" w:cs="Arial"/>
          <w:szCs w:val="24"/>
        </w:rPr>
        <w:t xml:space="preserve">July </w:t>
      </w:r>
      <w:r w:rsidR="00094741" w:rsidRPr="006E7768">
        <w:rPr>
          <w:rFonts w:ascii="Arial" w:hAnsi="Arial" w:cs="Arial"/>
          <w:szCs w:val="24"/>
        </w:rPr>
        <w:t>2018</w:t>
      </w:r>
      <w:r w:rsidR="00094741" w:rsidRPr="003D2CEB">
        <w:rPr>
          <w:rFonts w:ascii="Arial" w:hAnsi="Arial" w:cs="Arial"/>
          <w:szCs w:val="24"/>
        </w:rPr>
        <w:t xml:space="preserve">, the FaHCSIA Determination no longer applies, for the purposes of subsection 42U(1) of the Act, to </w:t>
      </w:r>
      <w:r w:rsidRPr="003D2CEB">
        <w:rPr>
          <w:rFonts w:ascii="Arial" w:hAnsi="Arial" w:cs="Arial"/>
          <w:szCs w:val="24"/>
        </w:rPr>
        <w:t xml:space="preserve">special benefit </w:t>
      </w:r>
      <w:r w:rsidR="00F547A9">
        <w:rPr>
          <w:rFonts w:ascii="Arial" w:hAnsi="Arial" w:cs="Arial"/>
          <w:szCs w:val="24"/>
        </w:rPr>
        <w:t xml:space="preserve">(if the recipient is a </w:t>
      </w:r>
      <w:r w:rsidRPr="003D2CEB">
        <w:rPr>
          <w:rFonts w:ascii="Arial" w:hAnsi="Arial" w:cs="Arial"/>
          <w:szCs w:val="24"/>
        </w:rPr>
        <w:t>nominated visa holder</w:t>
      </w:r>
      <w:r w:rsidR="00F547A9">
        <w:rPr>
          <w:rFonts w:ascii="Arial" w:hAnsi="Arial" w:cs="Arial"/>
          <w:szCs w:val="24"/>
        </w:rPr>
        <w:t>)</w:t>
      </w:r>
      <w:r w:rsidRPr="003D2CEB">
        <w:rPr>
          <w:rFonts w:ascii="Arial" w:hAnsi="Arial" w:cs="Arial"/>
          <w:szCs w:val="24"/>
        </w:rPr>
        <w:t xml:space="preserve"> (which is also a participation payment).</w:t>
      </w:r>
    </w:p>
    <w:p w14:paraId="1AD2815D" w14:textId="77777777" w:rsidR="005B2B98" w:rsidRDefault="005B2B98" w:rsidP="006D1768">
      <w:pPr>
        <w:spacing w:before="0" w:after="0"/>
        <w:outlineLvl w:val="0"/>
        <w:rPr>
          <w:rFonts w:cs="Arial"/>
          <w:b/>
          <w:szCs w:val="24"/>
        </w:rPr>
      </w:pPr>
    </w:p>
    <w:p w14:paraId="18B99AA3" w14:textId="77777777" w:rsidR="00556622" w:rsidRDefault="008E2D19" w:rsidP="006D1768">
      <w:pPr>
        <w:spacing w:before="0" w:after="0"/>
        <w:outlineLvl w:val="0"/>
        <w:rPr>
          <w:rFonts w:cs="Arial"/>
          <w:b/>
          <w:szCs w:val="24"/>
        </w:rPr>
      </w:pPr>
      <w:r w:rsidRPr="00460E66">
        <w:rPr>
          <w:rFonts w:cs="Arial"/>
          <w:b/>
          <w:szCs w:val="24"/>
        </w:rPr>
        <w:t>Background</w:t>
      </w:r>
    </w:p>
    <w:p w14:paraId="236E2E7E" w14:textId="77777777" w:rsidR="00407795" w:rsidRPr="00460E66" w:rsidRDefault="00407795" w:rsidP="006D1768">
      <w:pPr>
        <w:spacing w:before="0" w:after="0"/>
        <w:outlineLvl w:val="0"/>
        <w:rPr>
          <w:rFonts w:cs="Arial"/>
          <w:b/>
          <w:szCs w:val="24"/>
        </w:rPr>
      </w:pPr>
      <w:r w:rsidRPr="00460E66">
        <w:rPr>
          <w:rFonts w:cs="Arial"/>
          <w:b/>
          <w:szCs w:val="24"/>
        </w:rPr>
        <w:tab/>
      </w:r>
    </w:p>
    <w:p w14:paraId="22285C49" w14:textId="073DAFD2" w:rsidR="009A3855" w:rsidRDefault="00556622" w:rsidP="006D1768">
      <w:pPr>
        <w:spacing w:before="0" w:after="0"/>
        <w:outlineLvl w:val="0"/>
        <w:rPr>
          <w:rFonts w:cs="Arial"/>
          <w:szCs w:val="24"/>
        </w:rPr>
      </w:pPr>
      <w:r>
        <w:rPr>
          <w:rFonts w:cs="Arial"/>
          <w:i/>
          <w:szCs w:val="24"/>
        </w:rPr>
        <w:t xml:space="preserve">The DEEWR Determination </w:t>
      </w:r>
    </w:p>
    <w:p w14:paraId="01691C4A" w14:textId="77777777" w:rsidR="00556622" w:rsidRDefault="00556622" w:rsidP="006D1768">
      <w:pPr>
        <w:spacing w:before="0" w:after="0"/>
        <w:outlineLvl w:val="0"/>
        <w:rPr>
          <w:rFonts w:cs="Arial"/>
          <w:szCs w:val="24"/>
        </w:rPr>
      </w:pPr>
    </w:p>
    <w:p w14:paraId="386EE61A" w14:textId="0F98FD28" w:rsidR="007C4F2A" w:rsidRDefault="00DE0C34" w:rsidP="006D1768">
      <w:pPr>
        <w:spacing w:before="0" w:after="0"/>
        <w:outlineLvl w:val="0"/>
        <w:rPr>
          <w:rFonts w:cs="Arial"/>
          <w:szCs w:val="24"/>
        </w:rPr>
      </w:pPr>
      <w:r>
        <w:rPr>
          <w:rFonts w:cs="Arial"/>
          <w:szCs w:val="24"/>
        </w:rPr>
        <w:t>T</w:t>
      </w:r>
      <w:r w:rsidR="009A3855" w:rsidRPr="00460E66">
        <w:rPr>
          <w:rFonts w:cs="Arial"/>
          <w:szCs w:val="24"/>
        </w:rPr>
        <w:t xml:space="preserve">he DEEWR Determination </w:t>
      </w:r>
      <w:r w:rsidR="007C4F2A">
        <w:rPr>
          <w:rFonts w:cs="Arial"/>
          <w:szCs w:val="24"/>
        </w:rPr>
        <w:t>applies to recipients of the following participation payments:</w:t>
      </w:r>
    </w:p>
    <w:p w14:paraId="117E3529" w14:textId="77777777" w:rsidR="007C4F2A" w:rsidRPr="00460E66" w:rsidRDefault="007C4F2A" w:rsidP="006D1768">
      <w:pPr>
        <w:pStyle w:val="ListParagraph"/>
        <w:numPr>
          <w:ilvl w:val="0"/>
          <w:numId w:val="11"/>
        </w:numPr>
        <w:spacing w:before="0" w:after="0"/>
        <w:outlineLvl w:val="0"/>
        <w:rPr>
          <w:rFonts w:ascii="Arial" w:hAnsi="Arial" w:cs="Arial"/>
          <w:szCs w:val="24"/>
        </w:rPr>
      </w:pPr>
      <w:r w:rsidRPr="00460E66">
        <w:rPr>
          <w:rFonts w:ascii="Arial" w:hAnsi="Arial" w:cs="Arial"/>
          <w:szCs w:val="24"/>
        </w:rPr>
        <w:t>newstart allowance;</w:t>
      </w:r>
    </w:p>
    <w:p w14:paraId="31CA304D" w14:textId="77777777" w:rsidR="007C4F2A" w:rsidRPr="00460E66" w:rsidRDefault="007C4F2A" w:rsidP="006D1768">
      <w:pPr>
        <w:pStyle w:val="ListParagraph"/>
        <w:numPr>
          <w:ilvl w:val="0"/>
          <w:numId w:val="11"/>
        </w:numPr>
        <w:spacing w:before="0" w:after="0"/>
        <w:outlineLvl w:val="0"/>
        <w:rPr>
          <w:rFonts w:ascii="Arial" w:hAnsi="Arial" w:cs="Arial"/>
          <w:szCs w:val="24"/>
        </w:rPr>
      </w:pPr>
      <w:r w:rsidRPr="00460E66">
        <w:rPr>
          <w:rFonts w:ascii="Arial" w:hAnsi="Arial" w:cs="Arial"/>
          <w:szCs w:val="24"/>
        </w:rPr>
        <w:t xml:space="preserve">youth allowance (if the recipient is </w:t>
      </w:r>
      <w:r w:rsidRPr="006D1768">
        <w:rPr>
          <w:rFonts w:ascii="Arial" w:hAnsi="Arial" w:cs="Arial"/>
          <w:szCs w:val="24"/>
        </w:rPr>
        <w:t>not</w:t>
      </w:r>
      <w:r w:rsidRPr="00460E66">
        <w:rPr>
          <w:rFonts w:ascii="Arial" w:hAnsi="Arial" w:cs="Arial"/>
          <w:szCs w:val="24"/>
        </w:rPr>
        <w:t xml:space="preserve"> a new apprentice or </w:t>
      </w:r>
      <w:r>
        <w:rPr>
          <w:rFonts w:ascii="Arial" w:hAnsi="Arial" w:cs="Arial"/>
          <w:szCs w:val="24"/>
        </w:rPr>
        <w:t xml:space="preserve">a </w:t>
      </w:r>
      <w:r w:rsidRPr="00460E66">
        <w:rPr>
          <w:rFonts w:ascii="Arial" w:hAnsi="Arial" w:cs="Arial"/>
          <w:szCs w:val="24"/>
        </w:rPr>
        <w:t>full-time student);</w:t>
      </w:r>
      <w:r>
        <w:rPr>
          <w:rFonts w:ascii="Arial" w:hAnsi="Arial" w:cs="Arial"/>
          <w:szCs w:val="24"/>
        </w:rPr>
        <w:t xml:space="preserve"> and</w:t>
      </w:r>
    </w:p>
    <w:p w14:paraId="34ABBB9C" w14:textId="77777777" w:rsidR="007C4F2A" w:rsidRPr="00460E66" w:rsidRDefault="007C4F2A" w:rsidP="006D1768">
      <w:pPr>
        <w:pStyle w:val="ListParagraph"/>
        <w:numPr>
          <w:ilvl w:val="0"/>
          <w:numId w:val="11"/>
        </w:numPr>
        <w:spacing w:before="0" w:after="0"/>
        <w:outlineLvl w:val="0"/>
        <w:rPr>
          <w:rFonts w:ascii="Arial" w:hAnsi="Arial" w:cs="Arial"/>
          <w:szCs w:val="24"/>
        </w:rPr>
      </w:pPr>
      <w:r w:rsidRPr="00460E66">
        <w:rPr>
          <w:rFonts w:ascii="Arial" w:hAnsi="Arial" w:cs="Arial"/>
          <w:szCs w:val="24"/>
        </w:rPr>
        <w:t>parenting payment (if the recipient is s</w:t>
      </w:r>
      <w:r>
        <w:rPr>
          <w:rFonts w:ascii="Arial" w:hAnsi="Arial" w:cs="Arial"/>
          <w:szCs w:val="24"/>
        </w:rPr>
        <w:t>ubject to participation requirements).</w:t>
      </w:r>
    </w:p>
    <w:p w14:paraId="3B492E02" w14:textId="77777777" w:rsidR="007C4F2A" w:rsidRDefault="007C4F2A" w:rsidP="006D1768">
      <w:pPr>
        <w:spacing w:before="0" w:after="0"/>
        <w:outlineLvl w:val="0"/>
        <w:rPr>
          <w:rFonts w:cs="Arial"/>
          <w:szCs w:val="24"/>
        </w:rPr>
      </w:pPr>
    </w:p>
    <w:p w14:paraId="0176D082" w14:textId="41B87508" w:rsidR="009A3855" w:rsidRDefault="007C4F2A" w:rsidP="006D1768">
      <w:pPr>
        <w:spacing w:before="0" w:after="0"/>
        <w:outlineLvl w:val="0"/>
        <w:rPr>
          <w:rFonts w:cs="Arial"/>
          <w:szCs w:val="24"/>
        </w:rPr>
      </w:pPr>
      <w:r>
        <w:rPr>
          <w:rFonts w:cs="Arial"/>
          <w:szCs w:val="24"/>
        </w:rPr>
        <w:lastRenderedPageBreak/>
        <w:t>It sets out the matters</w:t>
      </w:r>
      <w:r w:rsidR="009A3855" w:rsidRPr="00460E66">
        <w:rPr>
          <w:rFonts w:cs="Arial"/>
          <w:szCs w:val="24"/>
        </w:rPr>
        <w:t xml:space="preserve"> that the Secretary must take into account in deciding whether a person has a reasonable excuse for committing a failure to comply with their obligations in relation to </w:t>
      </w:r>
      <w:r w:rsidR="00F547A9">
        <w:rPr>
          <w:rFonts w:cs="Arial"/>
          <w:szCs w:val="24"/>
        </w:rPr>
        <w:t xml:space="preserve">those </w:t>
      </w:r>
      <w:r w:rsidR="009A3855" w:rsidRPr="00460E66">
        <w:rPr>
          <w:rFonts w:cs="Arial"/>
          <w:szCs w:val="24"/>
        </w:rPr>
        <w:t>participation payment</w:t>
      </w:r>
      <w:r w:rsidR="00F547A9">
        <w:rPr>
          <w:rFonts w:cs="Arial"/>
          <w:szCs w:val="24"/>
        </w:rPr>
        <w:t>s</w:t>
      </w:r>
      <w:r w:rsidR="009A3855" w:rsidRPr="00460E66">
        <w:rPr>
          <w:rFonts w:cs="Arial"/>
          <w:szCs w:val="24"/>
        </w:rPr>
        <w:t xml:space="preserve"> for the purposes of subsection 42U(1) of the Act.</w:t>
      </w:r>
    </w:p>
    <w:p w14:paraId="4629AD2B" w14:textId="77777777" w:rsidR="007C4F2A" w:rsidRDefault="007C4F2A" w:rsidP="006D1768">
      <w:pPr>
        <w:spacing w:before="0" w:after="0"/>
        <w:outlineLvl w:val="0"/>
        <w:rPr>
          <w:rFonts w:cs="Arial"/>
          <w:szCs w:val="24"/>
        </w:rPr>
      </w:pPr>
    </w:p>
    <w:p w14:paraId="47E52F53" w14:textId="77777777" w:rsidR="00B5701E" w:rsidRDefault="007C4F2A" w:rsidP="006D1768">
      <w:pPr>
        <w:spacing w:before="0" w:after="0"/>
        <w:outlineLvl w:val="0"/>
        <w:rPr>
          <w:rFonts w:cs="Arial"/>
          <w:szCs w:val="24"/>
        </w:rPr>
      </w:pPr>
      <w:r>
        <w:rPr>
          <w:rFonts w:cs="Arial"/>
          <w:szCs w:val="24"/>
        </w:rPr>
        <w:t xml:space="preserve">It also sets out the matters </w:t>
      </w:r>
      <w:r w:rsidRPr="00673006">
        <w:rPr>
          <w:rFonts w:cs="Arial"/>
          <w:szCs w:val="24"/>
        </w:rPr>
        <w:t xml:space="preserve">that the Secretary must take into account in deciding whether a person has a reasonable excuse for committing a participation failure in </w:t>
      </w:r>
      <w:r>
        <w:rPr>
          <w:rFonts w:cs="Arial"/>
          <w:szCs w:val="24"/>
        </w:rPr>
        <w:t>relation</w:t>
      </w:r>
      <w:r w:rsidRPr="00673006">
        <w:rPr>
          <w:rFonts w:cs="Arial"/>
          <w:szCs w:val="24"/>
        </w:rPr>
        <w:t xml:space="preserve"> to youth allowance (if the person is </w:t>
      </w:r>
      <w:r>
        <w:rPr>
          <w:rFonts w:cs="Arial"/>
          <w:szCs w:val="24"/>
        </w:rPr>
        <w:t xml:space="preserve">a full-time student) or Austudy, </w:t>
      </w:r>
      <w:r w:rsidRPr="00673006">
        <w:rPr>
          <w:rFonts w:cs="Arial"/>
          <w:szCs w:val="24"/>
        </w:rPr>
        <w:t xml:space="preserve">for the purposes of sections 550(2A), 550B(2A), 576(2A) and 576A(2A) of the </w:t>
      </w:r>
      <w:r w:rsidR="00B5701E">
        <w:rPr>
          <w:rFonts w:cs="Arial"/>
          <w:i/>
          <w:szCs w:val="24"/>
        </w:rPr>
        <w:t>Social Security Act 1991</w:t>
      </w:r>
      <w:r w:rsidR="00B5701E">
        <w:rPr>
          <w:rFonts w:cs="Arial"/>
          <w:szCs w:val="24"/>
        </w:rPr>
        <w:t>.</w:t>
      </w:r>
    </w:p>
    <w:p w14:paraId="3E556D40" w14:textId="77777777" w:rsidR="00B5701E" w:rsidRDefault="00B5701E" w:rsidP="006D1768">
      <w:pPr>
        <w:spacing w:before="0" w:after="0"/>
        <w:outlineLvl w:val="0"/>
        <w:rPr>
          <w:rFonts w:cs="Arial"/>
          <w:szCs w:val="24"/>
        </w:rPr>
      </w:pPr>
    </w:p>
    <w:p w14:paraId="6E4D11E1" w14:textId="77777777" w:rsidR="00B5701E" w:rsidRPr="006D1768" w:rsidRDefault="00B5701E" w:rsidP="006D1768">
      <w:pPr>
        <w:spacing w:before="0" w:after="0"/>
        <w:outlineLvl w:val="0"/>
        <w:rPr>
          <w:rFonts w:cs="Arial"/>
          <w:i/>
          <w:szCs w:val="24"/>
        </w:rPr>
      </w:pPr>
      <w:r>
        <w:rPr>
          <w:rFonts w:cs="Arial"/>
          <w:i/>
          <w:szCs w:val="24"/>
        </w:rPr>
        <w:t>The FaHCSIA Determination</w:t>
      </w:r>
    </w:p>
    <w:p w14:paraId="1DB3D894" w14:textId="77777777" w:rsidR="006D3DD2" w:rsidRDefault="006D3DD2" w:rsidP="006D1768">
      <w:pPr>
        <w:spacing w:before="0" w:after="0"/>
        <w:outlineLvl w:val="0"/>
        <w:rPr>
          <w:rFonts w:cs="Arial"/>
          <w:szCs w:val="24"/>
        </w:rPr>
      </w:pPr>
    </w:p>
    <w:p w14:paraId="178878B7" w14:textId="77777777" w:rsidR="006D3DD2" w:rsidRDefault="006D3DD2" w:rsidP="006D1768">
      <w:pPr>
        <w:spacing w:before="0" w:after="0"/>
        <w:outlineLvl w:val="0"/>
        <w:rPr>
          <w:rFonts w:cs="Arial"/>
          <w:szCs w:val="24"/>
        </w:rPr>
      </w:pPr>
      <w:r>
        <w:rPr>
          <w:rFonts w:cs="Arial"/>
          <w:szCs w:val="24"/>
        </w:rPr>
        <w:t xml:space="preserve">The FaHCSIA Determination applies to recipients of </w:t>
      </w:r>
      <w:r w:rsidRPr="00460E66">
        <w:rPr>
          <w:rFonts w:cs="Arial"/>
          <w:szCs w:val="24"/>
        </w:rPr>
        <w:t>special benefit</w:t>
      </w:r>
      <w:r w:rsidR="00F547A9">
        <w:rPr>
          <w:rFonts w:cs="Arial"/>
          <w:szCs w:val="24"/>
        </w:rPr>
        <w:t xml:space="preserve"> (nominated visa holders)</w:t>
      </w:r>
      <w:r>
        <w:rPr>
          <w:rFonts w:cs="Arial"/>
          <w:szCs w:val="24"/>
        </w:rPr>
        <w:t>, which is a</w:t>
      </w:r>
      <w:r w:rsidR="00D842F2">
        <w:rPr>
          <w:rFonts w:cs="Arial"/>
          <w:szCs w:val="24"/>
        </w:rPr>
        <w:t>lso a</w:t>
      </w:r>
      <w:r>
        <w:rPr>
          <w:rFonts w:cs="Arial"/>
          <w:szCs w:val="24"/>
        </w:rPr>
        <w:t xml:space="preserve"> participation payment.</w:t>
      </w:r>
    </w:p>
    <w:p w14:paraId="698BBAE0" w14:textId="77777777" w:rsidR="006D3DD2" w:rsidRDefault="006D3DD2" w:rsidP="006D1768">
      <w:pPr>
        <w:spacing w:before="0" w:after="0"/>
        <w:outlineLvl w:val="0"/>
        <w:rPr>
          <w:rFonts w:cs="Arial"/>
          <w:szCs w:val="24"/>
        </w:rPr>
      </w:pPr>
    </w:p>
    <w:p w14:paraId="308D1EA2" w14:textId="77777777" w:rsidR="006D3DD2" w:rsidRDefault="006D3DD2" w:rsidP="006D1768">
      <w:pPr>
        <w:spacing w:before="0" w:after="0"/>
        <w:outlineLvl w:val="0"/>
        <w:rPr>
          <w:rFonts w:cs="Arial"/>
          <w:szCs w:val="24"/>
        </w:rPr>
      </w:pPr>
      <w:r>
        <w:rPr>
          <w:rFonts w:cs="Arial"/>
          <w:szCs w:val="24"/>
        </w:rPr>
        <w:t xml:space="preserve">It </w:t>
      </w:r>
      <w:r w:rsidR="00A860D0">
        <w:rPr>
          <w:rFonts w:cs="Arial"/>
          <w:szCs w:val="24"/>
        </w:rPr>
        <w:t>sets out the matters</w:t>
      </w:r>
      <w:r w:rsidR="00A860D0" w:rsidRPr="00460E66">
        <w:rPr>
          <w:rFonts w:cs="Arial"/>
          <w:szCs w:val="24"/>
        </w:rPr>
        <w:t xml:space="preserve"> that the Secretary must take into account in deciding whether a person has a reasonable excuse for committing a failure to comply with their obligations in relation to </w:t>
      </w:r>
      <w:r>
        <w:rPr>
          <w:rFonts w:cs="Arial"/>
          <w:szCs w:val="24"/>
        </w:rPr>
        <w:t>that</w:t>
      </w:r>
      <w:r w:rsidR="00A860D0" w:rsidRPr="00460E66">
        <w:rPr>
          <w:rFonts w:cs="Arial"/>
          <w:szCs w:val="24"/>
        </w:rPr>
        <w:t xml:space="preserve"> participation payment for the purposes of subsection 42U(1) of the Act.</w:t>
      </w:r>
    </w:p>
    <w:p w14:paraId="30DCFEF9" w14:textId="77777777" w:rsidR="00A860D0" w:rsidRDefault="00A860D0" w:rsidP="006D1768">
      <w:pPr>
        <w:spacing w:before="0" w:after="0"/>
        <w:outlineLvl w:val="0"/>
        <w:rPr>
          <w:rFonts w:cs="Arial"/>
          <w:szCs w:val="24"/>
        </w:rPr>
      </w:pPr>
    </w:p>
    <w:p w14:paraId="292E734B" w14:textId="77777777" w:rsidR="00A860D0" w:rsidRDefault="00A860D0" w:rsidP="006D1768">
      <w:pPr>
        <w:spacing w:before="0" w:after="0"/>
        <w:outlineLvl w:val="0"/>
        <w:rPr>
          <w:rFonts w:cs="Arial"/>
          <w:szCs w:val="24"/>
        </w:rPr>
      </w:pPr>
      <w:r>
        <w:rPr>
          <w:rFonts w:cs="Arial"/>
          <w:szCs w:val="24"/>
        </w:rPr>
        <w:t xml:space="preserve">It also sets out the matters that the Secretary must take into account in deciding whether a person had a reasonable excuse for committing certain special benefit failures that were previously set out in the </w:t>
      </w:r>
      <w:r w:rsidRPr="00071AF9">
        <w:rPr>
          <w:rFonts w:cs="Arial"/>
          <w:i/>
          <w:szCs w:val="24"/>
        </w:rPr>
        <w:t>Social Security Act 1991</w:t>
      </w:r>
      <w:r>
        <w:rPr>
          <w:rFonts w:cs="Arial"/>
          <w:szCs w:val="24"/>
        </w:rPr>
        <w:t xml:space="preserve"> </w:t>
      </w:r>
      <w:r w:rsidRPr="00460E66">
        <w:rPr>
          <w:rFonts w:cs="Arial"/>
          <w:szCs w:val="24"/>
        </w:rPr>
        <w:t xml:space="preserve">(the </w:t>
      </w:r>
      <w:r w:rsidR="00F547A9">
        <w:rPr>
          <w:rFonts w:cs="Arial"/>
          <w:szCs w:val="24"/>
        </w:rPr>
        <w:t>1991</w:t>
      </w:r>
      <w:r w:rsidRPr="009374EF">
        <w:rPr>
          <w:rFonts w:cs="Arial"/>
          <w:szCs w:val="24"/>
        </w:rPr>
        <w:t xml:space="preserve"> Act special benefit failures</w:t>
      </w:r>
      <w:r w:rsidRPr="00460E66">
        <w:rPr>
          <w:rFonts w:cs="Arial"/>
          <w:szCs w:val="24"/>
        </w:rPr>
        <w:t>).</w:t>
      </w:r>
      <w:r w:rsidR="0007731A">
        <w:rPr>
          <w:rFonts w:cs="Arial"/>
          <w:szCs w:val="24"/>
        </w:rPr>
        <w:t xml:space="preserve"> </w:t>
      </w:r>
      <w:r w:rsidRPr="00460E66">
        <w:rPr>
          <w:rFonts w:cs="Arial"/>
          <w:szCs w:val="24"/>
        </w:rPr>
        <w:t xml:space="preserve">However, </w:t>
      </w:r>
      <w:r w:rsidRPr="00CC4CBB">
        <w:rPr>
          <w:rFonts w:cs="Arial"/>
          <w:szCs w:val="24"/>
        </w:rPr>
        <w:t>the</w:t>
      </w:r>
      <w:r>
        <w:rPr>
          <w:rFonts w:cs="Arial"/>
          <w:szCs w:val="24"/>
        </w:rPr>
        <w:t>se</w:t>
      </w:r>
      <w:r w:rsidRPr="00CC4CBB">
        <w:rPr>
          <w:rFonts w:cs="Arial"/>
          <w:szCs w:val="24"/>
        </w:rPr>
        <w:t xml:space="preserve"> </w:t>
      </w:r>
      <w:r w:rsidR="00F547A9">
        <w:rPr>
          <w:rFonts w:cs="Arial"/>
          <w:szCs w:val="24"/>
        </w:rPr>
        <w:t>1991</w:t>
      </w:r>
      <w:r w:rsidRPr="00CC4CBB">
        <w:rPr>
          <w:rFonts w:cs="Arial"/>
          <w:szCs w:val="24"/>
        </w:rPr>
        <w:t xml:space="preserve"> Act special benefit failures</w:t>
      </w:r>
      <w:r>
        <w:rPr>
          <w:rFonts w:cs="Arial"/>
          <w:szCs w:val="24"/>
        </w:rPr>
        <w:t xml:space="preserve"> and applicable compliance provisions </w:t>
      </w:r>
      <w:r w:rsidRPr="00CC4CBB">
        <w:rPr>
          <w:rFonts w:cs="Arial"/>
          <w:szCs w:val="24"/>
        </w:rPr>
        <w:t xml:space="preserve">(including the sections providing for the Secretary to determine, by legislative instrument, the matters to be taken into account in deciding whether a person had a reasonable excuse for committing the </w:t>
      </w:r>
      <w:r w:rsidR="00F547A9">
        <w:rPr>
          <w:rFonts w:cs="Arial"/>
          <w:szCs w:val="24"/>
        </w:rPr>
        <w:t>1991</w:t>
      </w:r>
      <w:r w:rsidRPr="00CC4CBB">
        <w:rPr>
          <w:rFonts w:cs="Arial"/>
          <w:szCs w:val="24"/>
        </w:rPr>
        <w:t xml:space="preserve"> Act special benefit failures) were repealed on 1 July 2009</w:t>
      </w:r>
      <w:r w:rsidRPr="00460E66">
        <w:rPr>
          <w:rFonts w:cs="Arial"/>
          <w:szCs w:val="24"/>
        </w:rPr>
        <w:t xml:space="preserve"> (see the </w:t>
      </w:r>
      <w:r w:rsidRPr="00460E66">
        <w:rPr>
          <w:rFonts w:cs="Arial"/>
          <w:i/>
          <w:szCs w:val="24"/>
        </w:rPr>
        <w:t>Social Security Legislation Amendment (Employment Services Reform) Act 2009</w:t>
      </w:r>
      <w:r w:rsidRPr="00460E66">
        <w:rPr>
          <w:rFonts w:cs="Arial"/>
          <w:szCs w:val="24"/>
        </w:rPr>
        <w:t xml:space="preserve"> (No. 7, 2009))</w:t>
      </w:r>
      <w:r>
        <w:rPr>
          <w:rFonts w:cs="Arial"/>
          <w:szCs w:val="24"/>
        </w:rPr>
        <w:t>.</w:t>
      </w:r>
      <w:r w:rsidR="009D5CD9">
        <w:rPr>
          <w:rFonts w:cs="Arial"/>
          <w:szCs w:val="24"/>
        </w:rPr>
        <w:t xml:space="preserve"> </w:t>
      </w:r>
      <w:r w:rsidR="008246F7">
        <w:rPr>
          <w:rFonts w:cs="Arial"/>
          <w:szCs w:val="24"/>
        </w:rPr>
        <w:t>The effect of this is that the FaHCSIA Determination is now largely redundant.</w:t>
      </w:r>
    </w:p>
    <w:p w14:paraId="7609E01B" w14:textId="77777777" w:rsidR="00A860D0" w:rsidRDefault="00A860D0" w:rsidP="006D1768">
      <w:pPr>
        <w:spacing w:before="0" w:after="0"/>
        <w:outlineLvl w:val="0"/>
        <w:rPr>
          <w:rFonts w:cs="Arial"/>
          <w:szCs w:val="24"/>
        </w:rPr>
      </w:pPr>
    </w:p>
    <w:p w14:paraId="73E7602B" w14:textId="77777777" w:rsidR="00A860D0" w:rsidRPr="006D1768" w:rsidRDefault="00DE1657" w:rsidP="006D1768">
      <w:pPr>
        <w:spacing w:before="0" w:after="0"/>
        <w:outlineLvl w:val="0"/>
        <w:rPr>
          <w:rFonts w:cs="Arial"/>
          <w:i/>
          <w:szCs w:val="24"/>
        </w:rPr>
      </w:pPr>
      <w:r>
        <w:rPr>
          <w:rFonts w:cs="Arial"/>
          <w:i/>
          <w:szCs w:val="24"/>
        </w:rPr>
        <w:t>R</w:t>
      </w:r>
      <w:r w:rsidR="0007731A">
        <w:rPr>
          <w:rFonts w:cs="Arial"/>
          <w:i/>
          <w:szCs w:val="24"/>
        </w:rPr>
        <w:t>eason for amending</w:t>
      </w:r>
      <w:r w:rsidR="00C60FCB">
        <w:rPr>
          <w:rFonts w:cs="Arial"/>
          <w:i/>
          <w:szCs w:val="24"/>
        </w:rPr>
        <w:t xml:space="preserve"> and </w:t>
      </w:r>
      <w:r w:rsidR="0007731A">
        <w:rPr>
          <w:rFonts w:cs="Arial"/>
          <w:i/>
          <w:szCs w:val="24"/>
        </w:rPr>
        <w:t xml:space="preserve">repealing the </w:t>
      </w:r>
      <w:r w:rsidR="006D3DD2" w:rsidRPr="006D1768">
        <w:rPr>
          <w:rFonts w:cs="Arial"/>
          <w:i/>
          <w:szCs w:val="24"/>
        </w:rPr>
        <w:t xml:space="preserve">DEEWR </w:t>
      </w:r>
      <w:r w:rsidR="00DE0C34">
        <w:rPr>
          <w:rFonts w:cs="Arial"/>
          <w:i/>
          <w:szCs w:val="24"/>
        </w:rPr>
        <w:t xml:space="preserve">and FaHCSIA </w:t>
      </w:r>
      <w:r w:rsidR="006D3DD2" w:rsidRPr="006D1768">
        <w:rPr>
          <w:rFonts w:cs="Arial"/>
          <w:i/>
          <w:szCs w:val="24"/>
        </w:rPr>
        <w:t>Determination</w:t>
      </w:r>
      <w:r w:rsidR="00DE0C34">
        <w:rPr>
          <w:rFonts w:cs="Arial"/>
          <w:i/>
          <w:szCs w:val="24"/>
        </w:rPr>
        <w:t>s</w:t>
      </w:r>
      <w:r w:rsidR="006D3DD2" w:rsidRPr="006D1768">
        <w:rPr>
          <w:rFonts w:cs="Arial"/>
          <w:i/>
          <w:szCs w:val="24"/>
        </w:rPr>
        <w:t xml:space="preserve"> </w:t>
      </w:r>
      <w:r w:rsidR="0007731A">
        <w:rPr>
          <w:rFonts w:cs="Arial"/>
          <w:i/>
          <w:szCs w:val="24"/>
        </w:rPr>
        <w:t>– the Reasonable Excuse Determination</w:t>
      </w:r>
    </w:p>
    <w:p w14:paraId="0E615546" w14:textId="77777777" w:rsidR="006D3DD2" w:rsidRDefault="006D3DD2" w:rsidP="006D1768">
      <w:pPr>
        <w:spacing w:before="0" w:after="0"/>
        <w:outlineLvl w:val="0"/>
        <w:rPr>
          <w:rFonts w:cs="Arial"/>
          <w:szCs w:val="24"/>
        </w:rPr>
      </w:pPr>
    </w:p>
    <w:p w14:paraId="47111773" w14:textId="77777777" w:rsidR="006D3DD2" w:rsidRDefault="006D3DD2" w:rsidP="006D1768">
      <w:pPr>
        <w:spacing w:before="0" w:after="0"/>
        <w:outlineLvl w:val="0"/>
        <w:rPr>
          <w:rFonts w:cs="Arial"/>
          <w:szCs w:val="24"/>
        </w:rPr>
      </w:pPr>
      <w:r>
        <w:rPr>
          <w:rFonts w:cs="Arial"/>
          <w:szCs w:val="24"/>
        </w:rPr>
        <w:t xml:space="preserve">From 1 July 2018, a new single instrument, the Reasonable Excuse Determination, will set out the </w:t>
      </w:r>
      <w:r w:rsidRPr="00C56116">
        <w:rPr>
          <w:rFonts w:cs="Arial"/>
          <w:szCs w:val="24"/>
        </w:rPr>
        <w:t>matters that the Secretary must, and must not, take into account in deciding whether a person has a reasonable excuse for committing a failure to comply with their obligations in relation to a</w:t>
      </w:r>
      <w:r>
        <w:rPr>
          <w:rFonts w:cs="Arial"/>
          <w:szCs w:val="24"/>
        </w:rPr>
        <w:t>ll</w:t>
      </w:r>
      <w:r w:rsidRPr="00C56116">
        <w:rPr>
          <w:rFonts w:cs="Arial"/>
          <w:szCs w:val="24"/>
        </w:rPr>
        <w:t xml:space="preserve"> participation payment</w:t>
      </w:r>
      <w:r>
        <w:rPr>
          <w:rFonts w:cs="Arial"/>
          <w:szCs w:val="24"/>
        </w:rPr>
        <w:t>s.</w:t>
      </w:r>
    </w:p>
    <w:p w14:paraId="75BD7961" w14:textId="77777777" w:rsidR="0013101E" w:rsidRDefault="0013101E" w:rsidP="006D1768">
      <w:pPr>
        <w:spacing w:before="0" w:after="0"/>
        <w:outlineLvl w:val="0"/>
        <w:rPr>
          <w:rFonts w:cs="Arial"/>
          <w:szCs w:val="24"/>
        </w:rPr>
      </w:pPr>
    </w:p>
    <w:p w14:paraId="00E67FF1" w14:textId="77777777" w:rsidR="0013101E" w:rsidRDefault="0013101E" w:rsidP="006D1768">
      <w:pPr>
        <w:spacing w:before="0" w:after="0"/>
        <w:outlineLvl w:val="0"/>
        <w:rPr>
          <w:rFonts w:cs="Arial"/>
          <w:szCs w:val="24"/>
        </w:rPr>
      </w:pPr>
      <w:r>
        <w:rPr>
          <w:rFonts w:cs="Arial"/>
          <w:szCs w:val="24"/>
        </w:rPr>
        <w:t>The Reasonable Excuse Determination</w:t>
      </w:r>
      <w:r w:rsidR="007E2CB3">
        <w:rPr>
          <w:rFonts w:cs="Arial"/>
          <w:szCs w:val="24"/>
        </w:rPr>
        <w:t xml:space="preserve"> </w:t>
      </w:r>
      <w:r>
        <w:rPr>
          <w:rFonts w:cs="Arial"/>
          <w:szCs w:val="24"/>
        </w:rPr>
        <w:t>effectively consolidate</w:t>
      </w:r>
      <w:r w:rsidR="004006B1">
        <w:rPr>
          <w:rFonts w:cs="Arial"/>
          <w:szCs w:val="24"/>
        </w:rPr>
        <w:t>s</w:t>
      </w:r>
      <w:r>
        <w:rPr>
          <w:rFonts w:cs="Arial"/>
          <w:szCs w:val="24"/>
        </w:rPr>
        <w:t xml:space="preserve"> the reasonable excuse considerations for participation payment recipients into one instrument</w:t>
      </w:r>
      <w:r w:rsidR="0007731A">
        <w:rPr>
          <w:rFonts w:cs="Arial"/>
          <w:szCs w:val="24"/>
        </w:rPr>
        <w:t>. It does this</w:t>
      </w:r>
      <w:r>
        <w:rPr>
          <w:rFonts w:cs="Arial"/>
          <w:szCs w:val="24"/>
        </w:rPr>
        <w:t xml:space="preserve"> by</w:t>
      </w:r>
      <w:r w:rsidRPr="0013101E">
        <w:rPr>
          <w:rFonts w:cs="Arial"/>
          <w:szCs w:val="24"/>
        </w:rPr>
        <w:t>:</w:t>
      </w:r>
    </w:p>
    <w:p w14:paraId="25C70437" w14:textId="77777777" w:rsidR="004006B1" w:rsidRPr="0013101E" w:rsidRDefault="004006B1" w:rsidP="006D1768">
      <w:pPr>
        <w:spacing w:before="0" w:after="0"/>
        <w:outlineLvl w:val="0"/>
        <w:rPr>
          <w:rFonts w:cs="Arial"/>
          <w:szCs w:val="24"/>
        </w:rPr>
      </w:pPr>
    </w:p>
    <w:p w14:paraId="5EF96648" w14:textId="77777777" w:rsidR="008246F7" w:rsidRPr="008246F7" w:rsidRDefault="008246F7" w:rsidP="006D1768">
      <w:pPr>
        <w:pStyle w:val="ListParagraph"/>
        <w:numPr>
          <w:ilvl w:val="0"/>
          <w:numId w:val="17"/>
        </w:numPr>
        <w:spacing w:before="0" w:after="0"/>
        <w:outlineLvl w:val="0"/>
        <w:rPr>
          <w:rFonts w:cs="Arial"/>
          <w:szCs w:val="24"/>
        </w:rPr>
      </w:pPr>
      <w:r w:rsidRPr="0013101E">
        <w:rPr>
          <w:rFonts w:ascii="Arial" w:hAnsi="Arial" w:cs="Arial"/>
          <w:szCs w:val="24"/>
        </w:rPr>
        <w:t>replicat</w:t>
      </w:r>
      <w:r>
        <w:rPr>
          <w:rFonts w:ascii="Arial" w:hAnsi="Arial" w:cs="Arial"/>
          <w:szCs w:val="24"/>
        </w:rPr>
        <w:t>ing</w:t>
      </w:r>
      <w:r w:rsidRPr="0013101E">
        <w:rPr>
          <w:rFonts w:ascii="Arial" w:hAnsi="Arial" w:cs="Arial"/>
          <w:szCs w:val="24"/>
        </w:rPr>
        <w:t xml:space="preserve">, with some modifications, most of the matters that the Secretary must currently take into account in deciding if a participation payment recipient has a reasonable excuse for a failure </w:t>
      </w:r>
      <w:r w:rsidRPr="0013101E">
        <w:rPr>
          <w:rFonts w:ascii="Arial" w:hAnsi="Arial" w:cs="Arial"/>
        </w:rPr>
        <w:t>for the purposes of subsection 42U(1) of the Act</w:t>
      </w:r>
      <w:r w:rsidRPr="0013101E">
        <w:rPr>
          <w:rFonts w:ascii="Arial" w:hAnsi="Arial" w:cs="Arial"/>
          <w:szCs w:val="24"/>
        </w:rPr>
        <w:t xml:space="preserve">, as set out in the DEEWR Determination </w:t>
      </w:r>
      <w:r w:rsidRPr="0013101E">
        <w:rPr>
          <w:rFonts w:ascii="Arial" w:hAnsi="Arial" w:cs="Arial"/>
        </w:rPr>
        <w:t>and the FaHCSIA Determination</w:t>
      </w:r>
      <w:r>
        <w:rPr>
          <w:rFonts w:ascii="Arial" w:hAnsi="Arial" w:cs="Arial"/>
        </w:rPr>
        <w:t>; and</w:t>
      </w:r>
    </w:p>
    <w:p w14:paraId="20D5B542" w14:textId="77777777" w:rsidR="008246F7" w:rsidRPr="008246F7" w:rsidRDefault="008246F7" w:rsidP="006D1768">
      <w:pPr>
        <w:spacing w:before="0" w:after="0"/>
        <w:ind w:left="360"/>
        <w:outlineLvl w:val="0"/>
        <w:rPr>
          <w:rFonts w:cs="Arial"/>
          <w:szCs w:val="24"/>
        </w:rPr>
      </w:pPr>
    </w:p>
    <w:p w14:paraId="41975FB8" w14:textId="77777777" w:rsidR="009B6AA0" w:rsidRPr="008246F7" w:rsidRDefault="009B6AA0" w:rsidP="006D1768">
      <w:pPr>
        <w:pStyle w:val="ListParagraph"/>
        <w:numPr>
          <w:ilvl w:val="0"/>
          <w:numId w:val="17"/>
        </w:numPr>
        <w:spacing w:before="0" w:after="0"/>
        <w:outlineLvl w:val="0"/>
        <w:rPr>
          <w:rFonts w:cs="Arial"/>
          <w:szCs w:val="24"/>
        </w:rPr>
      </w:pPr>
      <w:r w:rsidRPr="006D1768">
        <w:rPr>
          <w:rFonts w:ascii="Arial" w:hAnsi="Arial" w:cs="Arial"/>
          <w:szCs w:val="24"/>
        </w:rPr>
        <w:t>implement</w:t>
      </w:r>
      <w:r w:rsidR="0013101E" w:rsidRPr="0013101E">
        <w:rPr>
          <w:rFonts w:ascii="Arial" w:hAnsi="Arial" w:cs="Arial"/>
          <w:szCs w:val="24"/>
        </w:rPr>
        <w:t>ing</w:t>
      </w:r>
      <w:r w:rsidRPr="006D1768">
        <w:rPr>
          <w:rFonts w:ascii="Arial" w:hAnsi="Arial" w:cs="Arial"/>
          <w:szCs w:val="24"/>
        </w:rPr>
        <w:t xml:space="preserve"> the 2017-18 Budget measure to prevent the Secretary from taking certain matters into account when deciding whether a participation payment recipient has a reasonable excuse for not meeting their obligations (new subsections 42AI(3) and 42U(3) of the </w:t>
      </w:r>
      <w:r w:rsidR="0013101E" w:rsidRPr="0013101E">
        <w:rPr>
          <w:rFonts w:ascii="Arial" w:hAnsi="Arial" w:cs="Arial"/>
          <w:szCs w:val="24"/>
        </w:rPr>
        <w:t>Act)</w:t>
      </w:r>
      <w:r w:rsidRPr="006D1768">
        <w:rPr>
          <w:rFonts w:ascii="Arial" w:hAnsi="Arial" w:cs="Arial"/>
        </w:rPr>
        <w:t>.</w:t>
      </w:r>
    </w:p>
    <w:p w14:paraId="673FFF44" w14:textId="77777777" w:rsidR="0023690E" w:rsidRPr="0023690E" w:rsidRDefault="0023690E" w:rsidP="006D1768">
      <w:pPr>
        <w:spacing w:before="0" w:after="0"/>
        <w:outlineLvl w:val="0"/>
        <w:rPr>
          <w:rFonts w:cs="Arial"/>
          <w:szCs w:val="24"/>
        </w:rPr>
      </w:pPr>
    </w:p>
    <w:p w14:paraId="1D30C359" w14:textId="77777777" w:rsidR="0013101E" w:rsidRDefault="0013101E" w:rsidP="006D1768">
      <w:pPr>
        <w:spacing w:before="0" w:after="0"/>
        <w:outlineLvl w:val="0"/>
        <w:rPr>
          <w:rFonts w:cs="Arial"/>
          <w:szCs w:val="24"/>
        </w:rPr>
      </w:pPr>
      <w:r w:rsidRPr="0023690E">
        <w:rPr>
          <w:rFonts w:cs="Arial"/>
          <w:szCs w:val="24"/>
        </w:rPr>
        <w:lastRenderedPageBreak/>
        <w:t>The Determination, therefore, amends the DEEWR Determination and repeals the FaHCSIA</w:t>
      </w:r>
      <w:r>
        <w:rPr>
          <w:rFonts w:cs="Arial"/>
          <w:szCs w:val="24"/>
        </w:rPr>
        <w:t xml:space="preserve"> Determination </w:t>
      </w:r>
      <w:r w:rsidR="008246F7">
        <w:rPr>
          <w:rFonts w:cs="Arial"/>
          <w:szCs w:val="24"/>
        </w:rPr>
        <w:t xml:space="preserve">(which is largely redundant) </w:t>
      </w:r>
      <w:r>
        <w:rPr>
          <w:rFonts w:cs="Arial"/>
          <w:szCs w:val="24"/>
        </w:rPr>
        <w:t>so that</w:t>
      </w:r>
      <w:r w:rsidR="00DE1657">
        <w:rPr>
          <w:rFonts w:cs="Arial"/>
          <w:szCs w:val="24"/>
        </w:rPr>
        <w:t>,</w:t>
      </w:r>
      <w:r>
        <w:rPr>
          <w:rFonts w:cs="Arial"/>
          <w:szCs w:val="24"/>
        </w:rPr>
        <w:t xml:space="preserve"> from 1 July 2018</w:t>
      </w:r>
      <w:r w:rsidR="00DE1657">
        <w:rPr>
          <w:rFonts w:cs="Arial"/>
          <w:szCs w:val="24"/>
        </w:rPr>
        <w:t>,</w:t>
      </w:r>
      <w:r>
        <w:rPr>
          <w:rFonts w:cs="Arial"/>
          <w:szCs w:val="24"/>
        </w:rPr>
        <w:t xml:space="preserve"> these two Determinations no longer apply to participation payment recipients. This ensures the Reasonable Excuse Determination </w:t>
      </w:r>
      <w:r w:rsidR="007E2CB3">
        <w:rPr>
          <w:rFonts w:cs="Arial"/>
          <w:szCs w:val="24"/>
        </w:rPr>
        <w:t>is</w:t>
      </w:r>
      <w:r>
        <w:rPr>
          <w:rFonts w:cs="Arial"/>
          <w:szCs w:val="24"/>
        </w:rPr>
        <w:t xml:space="preserve"> the sole instrument governing reasonable excuse matters relevant to participation payment</w:t>
      </w:r>
      <w:r w:rsidR="00DE0C34">
        <w:rPr>
          <w:rFonts w:cs="Arial"/>
          <w:szCs w:val="24"/>
        </w:rPr>
        <w:t>s</w:t>
      </w:r>
      <w:r>
        <w:rPr>
          <w:rFonts w:cs="Arial"/>
          <w:szCs w:val="24"/>
        </w:rPr>
        <w:t>.</w:t>
      </w:r>
    </w:p>
    <w:p w14:paraId="72C2F988" w14:textId="77777777" w:rsidR="007E2CB3" w:rsidRDefault="007E2CB3" w:rsidP="006D1768">
      <w:pPr>
        <w:spacing w:before="0" w:after="0"/>
        <w:outlineLvl w:val="0"/>
        <w:rPr>
          <w:rFonts w:cs="Arial"/>
          <w:szCs w:val="24"/>
        </w:rPr>
      </w:pPr>
    </w:p>
    <w:p w14:paraId="3CEBCC32" w14:textId="77777777" w:rsidR="007E2CB3" w:rsidRDefault="0007731A" w:rsidP="006D1768">
      <w:pPr>
        <w:spacing w:before="0" w:after="0"/>
        <w:outlineLvl w:val="0"/>
        <w:rPr>
          <w:rFonts w:cs="Arial"/>
          <w:szCs w:val="24"/>
        </w:rPr>
      </w:pPr>
      <w:r>
        <w:rPr>
          <w:rFonts w:cs="Arial"/>
          <w:szCs w:val="24"/>
        </w:rPr>
        <w:t xml:space="preserve">As youth allowance for full-time students and Austudy </w:t>
      </w:r>
      <w:r w:rsidR="00896A23">
        <w:rPr>
          <w:rFonts w:cs="Arial"/>
          <w:szCs w:val="24"/>
        </w:rPr>
        <w:t>are not participation payments</w:t>
      </w:r>
      <w:r w:rsidR="00DE1657">
        <w:rPr>
          <w:rFonts w:cs="Arial"/>
          <w:szCs w:val="24"/>
        </w:rPr>
        <w:t>, t</w:t>
      </w:r>
      <w:r w:rsidR="00896A23">
        <w:rPr>
          <w:rFonts w:cs="Arial"/>
          <w:szCs w:val="24"/>
        </w:rPr>
        <w:t xml:space="preserve">he </w:t>
      </w:r>
      <w:r w:rsidR="0023690E">
        <w:rPr>
          <w:rFonts w:cs="Arial"/>
          <w:szCs w:val="24"/>
        </w:rPr>
        <w:t xml:space="preserve">amendments made by the </w:t>
      </w:r>
      <w:r w:rsidR="00896A23">
        <w:rPr>
          <w:rFonts w:cs="Arial"/>
          <w:szCs w:val="24"/>
        </w:rPr>
        <w:t>Determination</w:t>
      </w:r>
      <w:r w:rsidR="00DE1657">
        <w:rPr>
          <w:rFonts w:cs="Arial"/>
          <w:szCs w:val="24"/>
        </w:rPr>
        <w:t xml:space="preserve"> </w:t>
      </w:r>
      <w:r w:rsidR="0023690E">
        <w:rPr>
          <w:rFonts w:cs="Arial"/>
          <w:szCs w:val="24"/>
        </w:rPr>
        <w:t xml:space="preserve">ensure the DEEWR Determination </w:t>
      </w:r>
      <w:r w:rsidR="007E2CB3" w:rsidRPr="00460E66">
        <w:rPr>
          <w:rFonts w:cs="Arial"/>
          <w:szCs w:val="24"/>
        </w:rPr>
        <w:t xml:space="preserve">continues to apply to recipients of </w:t>
      </w:r>
      <w:r w:rsidR="007E2CB3">
        <w:rPr>
          <w:rFonts w:cs="Arial"/>
          <w:szCs w:val="24"/>
        </w:rPr>
        <w:t>youth allowance f</w:t>
      </w:r>
      <w:r w:rsidR="007E2CB3" w:rsidRPr="00460E66">
        <w:rPr>
          <w:rFonts w:cs="Arial"/>
          <w:szCs w:val="24"/>
        </w:rPr>
        <w:t xml:space="preserve">or full-time students and Austudy for the purposes of sections 550(2A), 550B(2A), 576(2A) and 576A(2A) of the </w:t>
      </w:r>
      <w:r w:rsidR="007E2CB3" w:rsidRPr="00460E66">
        <w:rPr>
          <w:rFonts w:cs="Arial"/>
          <w:i/>
          <w:szCs w:val="24"/>
        </w:rPr>
        <w:t>Social Security Act 1991</w:t>
      </w:r>
      <w:r w:rsidR="00896A23">
        <w:rPr>
          <w:rFonts w:cs="Arial"/>
          <w:szCs w:val="24"/>
        </w:rPr>
        <w:t>.</w:t>
      </w:r>
    </w:p>
    <w:p w14:paraId="53AA69B4" w14:textId="0598EB23" w:rsidR="005B2B98" w:rsidRDefault="005B2B98" w:rsidP="006D1768">
      <w:pPr>
        <w:spacing w:before="0" w:after="0"/>
        <w:outlineLvl w:val="0"/>
        <w:rPr>
          <w:rFonts w:cs="Arial"/>
          <w:b/>
          <w:szCs w:val="24"/>
        </w:rPr>
      </w:pPr>
    </w:p>
    <w:p w14:paraId="4BA5FE4C" w14:textId="77777777" w:rsidR="00407795" w:rsidRPr="00460E66" w:rsidRDefault="00407795" w:rsidP="006D1768">
      <w:pPr>
        <w:pStyle w:val="numberlist"/>
        <w:tabs>
          <w:tab w:val="center" w:pos="4677"/>
        </w:tabs>
        <w:spacing w:after="0"/>
        <w:rPr>
          <w:rFonts w:cs="Arial"/>
          <w:b/>
          <w:szCs w:val="24"/>
        </w:rPr>
      </w:pPr>
      <w:r w:rsidRPr="00460E66">
        <w:rPr>
          <w:rFonts w:cs="Arial"/>
          <w:b/>
          <w:szCs w:val="24"/>
        </w:rPr>
        <w:t>Operation of the provisions</w:t>
      </w:r>
    </w:p>
    <w:p w14:paraId="3A1996A1" w14:textId="77777777" w:rsidR="005B2B98" w:rsidRDefault="005B2B98" w:rsidP="006D1768">
      <w:pPr>
        <w:pStyle w:val="Letter2Text"/>
        <w:rPr>
          <w:rFonts w:cs="Arial"/>
          <w:b/>
          <w:szCs w:val="24"/>
        </w:rPr>
      </w:pPr>
    </w:p>
    <w:p w14:paraId="02B48359" w14:textId="77777777" w:rsidR="004006B1" w:rsidRPr="008246F7" w:rsidRDefault="00407795" w:rsidP="006D1768">
      <w:pPr>
        <w:pStyle w:val="Letter2Text"/>
        <w:rPr>
          <w:rFonts w:cs="Arial"/>
          <w:b/>
          <w:szCs w:val="24"/>
        </w:rPr>
      </w:pPr>
      <w:r w:rsidRPr="004006B1">
        <w:rPr>
          <w:rFonts w:cs="Arial"/>
          <w:b/>
          <w:szCs w:val="24"/>
        </w:rPr>
        <w:t>Section 1</w:t>
      </w:r>
      <w:r w:rsidR="00FD36C8" w:rsidRPr="006D1768">
        <w:rPr>
          <w:rFonts w:cs="Arial"/>
          <w:b/>
          <w:szCs w:val="24"/>
        </w:rPr>
        <w:t xml:space="preserve"> </w:t>
      </w:r>
      <w:r w:rsidR="008246F7" w:rsidRPr="008246F7">
        <w:rPr>
          <w:rFonts w:cs="Arial"/>
          <w:b/>
          <w:szCs w:val="24"/>
        </w:rPr>
        <w:t>– Name</w:t>
      </w:r>
    </w:p>
    <w:p w14:paraId="621F8D2D" w14:textId="77777777" w:rsidR="008246F7" w:rsidRPr="006D1768" w:rsidRDefault="008246F7" w:rsidP="006D1768">
      <w:pPr>
        <w:pStyle w:val="Letter2Text"/>
        <w:rPr>
          <w:rFonts w:cs="Arial"/>
          <w:b/>
          <w:szCs w:val="24"/>
        </w:rPr>
      </w:pPr>
    </w:p>
    <w:p w14:paraId="6F77D8C1" w14:textId="52E19308" w:rsidR="000D1307" w:rsidRPr="00460E66" w:rsidRDefault="004006B1" w:rsidP="006D1768">
      <w:pPr>
        <w:pStyle w:val="Letter2Text"/>
        <w:rPr>
          <w:rFonts w:cs="Arial"/>
          <w:szCs w:val="24"/>
        </w:rPr>
      </w:pPr>
      <w:r>
        <w:rPr>
          <w:rFonts w:cs="Arial"/>
          <w:szCs w:val="24"/>
        </w:rPr>
        <w:t xml:space="preserve">Section 1 provides that the name of the Determination is the </w:t>
      </w:r>
      <w:r w:rsidRPr="00460E66">
        <w:rPr>
          <w:rFonts w:cs="Arial"/>
          <w:i/>
          <w:szCs w:val="24"/>
        </w:rPr>
        <w:t>Social Security (Administration) Legislation Amendment and Repeal (Reasonable Excuse</w:t>
      </w:r>
      <w:r>
        <w:rPr>
          <w:rFonts w:cs="Arial"/>
          <w:i/>
          <w:szCs w:val="24"/>
        </w:rPr>
        <w:t xml:space="preserve"> - Participation Payments</w:t>
      </w:r>
      <w:r w:rsidRPr="00460E66">
        <w:rPr>
          <w:rFonts w:cs="Arial"/>
          <w:i/>
          <w:szCs w:val="24"/>
        </w:rPr>
        <w:t>) Determination 201</w:t>
      </w:r>
      <w:r>
        <w:rPr>
          <w:rFonts w:cs="Arial"/>
          <w:i/>
          <w:szCs w:val="24"/>
        </w:rPr>
        <w:t>8</w:t>
      </w:r>
      <w:r w:rsidR="000D1307" w:rsidRPr="00460E66">
        <w:rPr>
          <w:rFonts w:cs="Arial"/>
          <w:szCs w:val="24"/>
        </w:rPr>
        <w:t>.</w:t>
      </w:r>
    </w:p>
    <w:p w14:paraId="63C35A0C" w14:textId="77777777" w:rsidR="005B2B98" w:rsidRDefault="005B2B98" w:rsidP="006D1768">
      <w:pPr>
        <w:pStyle w:val="Letter2Text"/>
        <w:rPr>
          <w:rFonts w:cs="Arial"/>
          <w:b/>
          <w:szCs w:val="24"/>
        </w:rPr>
      </w:pPr>
    </w:p>
    <w:p w14:paraId="58627AF7" w14:textId="32D27698" w:rsidR="00001072" w:rsidRDefault="00407795" w:rsidP="006D1768">
      <w:pPr>
        <w:pStyle w:val="Letter2Text"/>
        <w:rPr>
          <w:rFonts w:cs="Arial"/>
          <w:b/>
          <w:szCs w:val="24"/>
        </w:rPr>
      </w:pPr>
      <w:r w:rsidRPr="00460E66">
        <w:rPr>
          <w:rFonts w:cs="Arial"/>
          <w:b/>
          <w:szCs w:val="24"/>
        </w:rPr>
        <w:t>Section 2</w:t>
      </w:r>
      <w:r w:rsidR="004006B1">
        <w:rPr>
          <w:rFonts w:cs="Arial"/>
          <w:b/>
          <w:szCs w:val="24"/>
        </w:rPr>
        <w:t xml:space="preserve"> </w:t>
      </w:r>
      <w:r w:rsidR="00001072">
        <w:rPr>
          <w:rFonts w:cs="Arial"/>
          <w:b/>
          <w:szCs w:val="24"/>
        </w:rPr>
        <w:t>– Commencement</w:t>
      </w:r>
    </w:p>
    <w:p w14:paraId="55143231" w14:textId="77777777" w:rsidR="008246F7" w:rsidRPr="006D1768" w:rsidRDefault="008246F7" w:rsidP="006D1768">
      <w:pPr>
        <w:pStyle w:val="Letter2Text"/>
        <w:rPr>
          <w:rFonts w:cs="Arial"/>
          <w:b/>
          <w:szCs w:val="24"/>
        </w:rPr>
      </w:pPr>
    </w:p>
    <w:p w14:paraId="02D66130" w14:textId="117A28B0" w:rsidR="000D1307" w:rsidRPr="00460E66" w:rsidRDefault="00001072" w:rsidP="006D1768">
      <w:pPr>
        <w:pStyle w:val="Letter2Text"/>
        <w:rPr>
          <w:rFonts w:cs="Arial"/>
          <w:szCs w:val="24"/>
        </w:rPr>
      </w:pPr>
      <w:r>
        <w:rPr>
          <w:rFonts w:cs="Arial"/>
          <w:szCs w:val="24"/>
        </w:rPr>
        <w:t xml:space="preserve">Section 2 </w:t>
      </w:r>
      <w:r w:rsidR="008008C2" w:rsidRPr="00460E66">
        <w:rPr>
          <w:rFonts w:cs="Arial"/>
          <w:szCs w:val="24"/>
        </w:rPr>
        <w:t xml:space="preserve">provides a table setting out the </w:t>
      </w:r>
      <w:r w:rsidR="00407795" w:rsidRPr="00460E66">
        <w:rPr>
          <w:rFonts w:cs="Arial"/>
          <w:szCs w:val="24"/>
        </w:rPr>
        <w:t>commencement date</w:t>
      </w:r>
      <w:r w:rsidR="00DE172D">
        <w:rPr>
          <w:rFonts w:cs="Arial"/>
          <w:szCs w:val="24"/>
        </w:rPr>
        <w:t xml:space="preserve"> for the whole of </w:t>
      </w:r>
      <w:r w:rsidR="008008C2" w:rsidRPr="00460E66">
        <w:rPr>
          <w:rFonts w:cs="Arial"/>
          <w:szCs w:val="24"/>
        </w:rPr>
        <w:t>th</w:t>
      </w:r>
      <w:r>
        <w:rPr>
          <w:rFonts w:cs="Arial"/>
          <w:szCs w:val="24"/>
        </w:rPr>
        <w:t>e</w:t>
      </w:r>
      <w:r w:rsidR="00407795" w:rsidRPr="00460E66">
        <w:rPr>
          <w:rFonts w:cs="Arial"/>
          <w:szCs w:val="24"/>
        </w:rPr>
        <w:t xml:space="preserve"> </w:t>
      </w:r>
      <w:r w:rsidR="00221923" w:rsidRPr="00460E66">
        <w:rPr>
          <w:rFonts w:cs="Arial"/>
          <w:szCs w:val="24"/>
        </w:rPr>
        <w:t>Determination</w:t>
      </w:r>
      <w:r w:rsidR="00DE172D">
        <w:rPr>
          <w:rFonts w:cs="Arial"/>
          <w:szCs w:val="24"/>
        </w:rPr>
        <w:t>.</w:t>
      </w:r>
      <w:r>
        <w:rPr>
          <w:rFonts w:cs="Arial"/>
          <w:szCs w:val="24"/>
        </w:rPr>
        <w:t xml:space="preserve"> The Determination commences on </w:t>
      </w:r>
      <w:r w:rsidRPr="008246F7">
        <w:rPr>
          <w:rFonts w:cs="Arial"/>
          <w:szCs w:val="24"/>
        </w:rPr>
        <w:t>1 July 2018</w:t>
      </w:r>
      <w:r>
        <w:rPr>
          <w:rFonts w:cs="Arial"/>
          <w:szCs w:val="24"/>
        </w:rPr>
        <w:t>.</w:t>
      </w:r>
    </w:p>
    <w:p w14:paraId="755B2AAD" w14:textId="77777777" w:rsidR="005B2B98" w:rsidRDefault="005B2B98" w:rsidP="006D1768">
      <w:pPr>
        <w:pStyle w:val="Letter2Text"/>
        <w:rPr>
          <w:rFonts w:cs="Arial"/>
          <w:b/>
          <w:szCs w:val="24"/>
        </w:rPr>
      </w:pPr>
    </w:p>
    <w:p w14:paraId="4581308D" w14:textId="77777777" w:rsidR="00001072" w:rsidRDefault="007C00C5" w:rsidP="006D1768">
      <w:pPr>
        <w:pStyle w:val="Letter2Text"/>
        <w:rPr>
          <w:rFonts w:cs="Arial"/>
          <w:b/>
          <w:szCs w:val="24"/>
        </w:rPr>
      </w:pPr>
      <w:r w:rsidRPr="00460E66">
        <w:rPr>
          <w:rFonts w:cs="Arial"/>
          <w:b/>
          <w:szCs w:val="24"/>
        </w:rPr>
        <w:t>Section 3</w:t>
      </w:r>
      <w:r w:rsidR="00001072">
        <w:rPr>
          <w:rFonts w:cs="Arial"/>
          <w:b/>
          <w:szCs w:val="24"/>
        </w:rPr>
        <w:t xml:space="preserve"> – Authority</w:t>
      </w:r>
    </w:p>
    <w:p w14:paraId="08306BD1" w14:textId="77777777" w:rsidR="008246F7" w:rsidRDefault="008246F7" w:rsidP="006D1768">
      <w:pPr>
        <w:pStyle w:val="Letter2Text"/>
        <w:rPr>
          <w:rFonts w:cs="Arial"/>
          <w:szCs w:val="24"/>
        </w:rPr>
      </w:pPr>
    </w:p>
    <w:p w14:paraId="71EEF4F0" w14:textId="5FEF121A" w:rsidR="007C00C5" w:rsidRPr="00460E66" w:rsidRDefault="00001072" w:rsidP="006D1768">
      <w:pPr>
        <w:pStyle w:val="Letter2Text"/>
        <w:rPr>
          <w:rFonts w:cs="Arial"/>
          <w:szCs w:val="24"/>
        </w:rPr>
      </w:pPr>
      <w:r>
        <w:rPr>
          <w:rFonts w:cs="Arial"/>
          <w:szCs w:val="24"/>
        </w:rPr>
        <w:t xml:space="preserve">Section 3 </w:t>
      </w:r>
      <w:r w:rsidR="00FD36C8" w:rsidRPr="00001072">
        <w:rPr>
          <w:rFonts w:cs="Arial"/>
          <w:szCs w:val="24"/>
        </w:rPr>
        <w:t>provides</w:t>
      </w:r>
      <w:r w:rsidR="00FD36C8" w:rsidRPr="00460E66">
        <w:rPr>
          <w:rFonts w:cs="Arial"/>
          <w:szCs w:val="24"/>
        </w:rPr>
        <w:t xml:space="preserve"> that th</w:t>
      </w:r>
      <w:r>
        <w:rPr>
          <w:rFonts w:cs="Arial"/>
          <w:szCs w:val="24"/>
        </w:rPr>
        <w:t>e</w:t>
      </w:r>
      <w:r w:rsidR="007C00C5" w:rsidRPr="00460E66">
        <w:rPr>
          <w:rFonts w:cs="Arial"/>
          <w:szCs w:val="24"/>
        </w:rPr>
        <w:t xml:space="preserve"> Determination is made under subsection </w:t>
      </w:r>
      <w:r w:rsidR="00555CF0" w:rsidRPr="00460E66">
        <w:rPr>
          <w:rFonts w:cs="Arial"/>
          <w:szCs w:val="24"/>
        </w:rPr>
        <w:t>42U(1)</w:t>
      </w:r>
      <w:r w:rsidR="007C00C5" w:rsidRPr="00460E66">
        <w:rPr>
          <w:rFonts w:cs="Arial"/>
          <w:szCs w:val="24"/>
        </w:rPr>
        <w:t xml:space="preserve"> of the</w:t>
      </w:r>
      <w:r w:rsidR="006E5395">
        <w:rPr>
          <w:rFonts w:cs="Arial"/>
          <w:szCs w:val="24"/>
        </w:rPr>
        <w:t xml:space="preserve"> </w:t>
      </w:r>
      <w:r w:rsidR="007C00C5" w:rsidRPr="00460E66">
        <w:rPr>
          <w:rFonts w:cs="Arial"/>
          <w:szCs w:val="24"/>
        </w:rPr>
        <w:t>Act.</w:t>
      </w:r>
      <w:r w:rsidR="00D6023B" w:rsidRPr="00460E66">
        <w:rPr>
          <w:rFonts w:cs="Arial"/>
          <w:szCs w:val="24"/>
        </w:rPr>
        <w:t xml:space="preserve"> </w:t>
      </w:r>
      <w:r w:rsidR="00425DE5" w:rsidRPr="00460E66">
        <w:rPr>
          <w:rFonts w:cs="Arial"/>
          <w:szCs w:val="24"/>
        </w:rPr>
        <w:t>Th</w:t>
      </w:r>
      <w:r>
        <w:rPr>
          <w:rFonts w:cs="Arial"/>
          <w:szCs w:val="24"/>
        </w:rPr>
        <w:t xml:space="preserve">e </w:t>
      </w:r>
      <w:r w:rsidR="00425DE5" w:rsidRPr="00460E66">
        <w:rPr>
          <w:rFonts w:cs="Arial"/>
          <w:szCs w:val="24"/>
        </w:rPr>
        <w:t>Determination is</w:t>
      </w:r>
      <w:r w:rsidR="00D6023B" w:rsidRPr="00460E66">
        <w:rPr>
          <w:rFonts w:cs="Arial"/>
          <w:szCs w:val="24"/>
        </w:rPr>
        <w:t xml:space="preserve"> made under subsection</w:t>
      </w:r>
      <w:r w:rsidR="009872DD">
        <w:rPr>
          <w:rFonts w:cs="Arial"/>
          <w:szCs w:val="24"/>
        </w:rPr>
        <w:t xml:space="preserve"> 42U(1)</w:t>
      </w:r>
      <w:r w:rsidR="00D6023B" w:rsidRPr="00460E66">
        <w:rPr>
          <w:rFonts w:cs="Arial"/>
          <w:szCs w:val="24"/>
        </w:rPr>
        <w:t xml:space="preserve"> in reliance on subsection 33(3) of the </w:t>
      </w:r>
      <w:r w:rsidR="00D6023B" w:rsidRPr="00460E66">
        <w:rPr>
          <w:rFonts w:cs="Arial"/>
          <w:i/>
          <w:szCs w:val="24"/>
        </w:rPr>
        <w:t>Acts Interpretation Act 1901</w:t>
      </w:r>
      <w:r w:rsidR="00425DE5" w:rsidRPr="00460E66">
        <w:rPr>
          <w:rFonts w:cs="Arial"/>
          <w:szCs w:val="24"/>
        </w:rPr>
        <w:t xml:space="preserve"> </w:t>
      </w:r>
      <w:r>
        <w:rPr>
          <w:rFonts w:cs="Arial"/>
          <w:szCs w:val="24"/>
        </w:rPr>
        <w:t>because it</w:t>
      </w:r>
      <w:r w:rsidR="00425DE5" w:rsidRPr="00460E66">
        <w:rPr>
          <w:rFonts w:cs="Arial"/>
          <w:szCs w:val="24"/>
        </w:rPr>
        <w:t xml:space="preserve"> amends and repeals other instruments.</w:t>
      </w:r>
      <w:r w:rsidR="00D53174" w:rsidRPr="00460E66">
        <w:rPr>
          <w:rFonts w:cs="Arial"/>
          <w:szCs w:val="24"/>
        </w:rPr>
        <w:t xml:space="preserve"> </w:t>
      </w:r>
    </w:p>
    <w:p w14:paraId="77379073" w14:textId="77777777" w:rsidR="005B2B98" w:rsidRDefault="005B2B98" w:rsidP="006D1768">
      <w:pPr>
        <w:pStyle w:val="Letter2Text"/>
        <w:rPr>
          <w:rFonts w:cs="Arial"/>
          <w:b/>
          <w:szCs w:val="24"/>
        </w:rPr>
      </w:pPr>
    </w:p>
    <w:p w14:paraId="29AD86E3" w14:textId="77777777" w:rsidR="00001072" w:rsidRDefault="00F25A72" w:rsidP="006D1768">
      <w:pPr>
        <w:pStyle w:val="Letter2Text"/>
        <w:rPr>
          <w:rFonts w:cs="Arial"/>
          <w:b/>
          <w:szCs w:val="24"/>
        </w:rPr>
      </w:pPr>
      <w:r w:rsidRPr="00460E66">
        <w:rPr>
          <w:rFonts w:cs="Arial"/>
          <w:b/>
          <w:szCs w:val="24"/>
        </w:rPr>
        <w:t xml:space="preserve">Section </w:t>
      </w:r>
      <w:r w:rsidR="007C00C5" w:rsidRPr="00460E66">
        <w:rPr>
          <w:rFonts w:cs="Arial"/>
          <w:b/>
          <w:szCs w:val="24"/>
        </w:rPr>
        <w:t>4</w:t>
      </w:r>
      <w:r w:rsidR="00001072">
        <w:rPr>
          <w:rFonts w:cs="Arial"/>
          <w:b/>
          <w:szCs w:val="24"/>
        </w:rPr>
        <w:t xml:space="preserve"> – Schedules</w:t>
      </w:r>
    </w:p>
    <w:p w14:paraId="011C76BB" w14:textId="77777777" w:rsidR="008246F7" w:rsidRDefault="008246F7" w:rsidP="006D1768">
      <w:pPr>
        <w:pStyle w:val="Letter2Text"/>
        <w:rPr>
          <w:rFonts w:cs="Arial"/>
          <w:szCs w:val="24"/>
        </w:rPr>
      </w:pPr>
    </w:p>
    <w:p w14:paraId="3C038341" w14:textId="31859927" w:rsidR="00555CF0" w:rsidRPr="00460E66" w:rsidRDefault="00001072" w:rsidP="006D1768">
      <w:pPr>
        <w:pStyle w:val="Letter2Text"/>
        <w:rPr>
          <w:rFonts w:cs="Arial"/>
          <w:szCs w:val="24"/>
        </w:rPr>
      </w:pPr>
      <w:r>
        <w:rPr>
          <w:rFonts w:cs="Arial"/>
          <w:szCs w:val="24"/>
        </w:rPr>
        <w:t xml:space="preserve">Section 4 </w:t>
      </w:r>
      <w:r w:rsidR="008008C2" w:rsidRPr="00001072">
        <w:rPr>
          <w:rFonts w:cs="Arial"/>
          <w:szCs w:val="24"/>
        </w:rPr>
        <w:t>provides</w:t>
      </w:r>
      <w:r w:rsidR="008008C2" w:rsidRPr="00460E66">
        <w:rPr>
          <w:rFonts w:cs="Arial"/>
          <w:szCs w:val="24"/>
        </w:rPr>
        <w:t xml:space="preserve"> that each instrument that is</w:t>
      </w:r>
      <w:r w:rsidR="007C480F">
        <w:rPr>
          <w:rFonts w:cs="Arial"/>
          <w:szCs w:val="24"/>
        </w:rPr>
        <w:t xml:space="preserve"> </w:t>
      </w:r>
      <w:r w:rsidR="008008C2" w:rsidRPr="00460E66">
        <w:rPr>
          <w:rFonts w:cs="Arial"/>
          <w:szCs w:val="24"/>
        </w:rPr>
        <w:t>specified in a Schedule is amended or repealed as set out in that Schedule.</w:t>
      </w:r>
    </w:p>
    <w:p w14:paraId="6DCF2B9B" w14:textId="77777777" w:rsidR="005B2B98" w:rsidRDefault="005B2B98" w:rsidP="006D1768">
      <w:pPr>
        <w:pStyle w:val="Letter2Text"/>
        <w:rPr>
          <w:rFonts w:cs="Arial"/>
          <w:b/>
          <w:szCs w:val="24"/>
        </w:rPr>
      </w:pPr>
    </w:p>
    <w:p w14:paraId="129BBE66" w14:textId="30A239E2" w:rsidR="005B2B98" w:rsidRDefault="00B23CCA" w:rsidP="006D1768">
      <w:pPr>
        <w:pStyle w:val="Letter2Text"/>
        <w:rPr>
          <w:rFonts w:cs="Arial"/>
          <w:b/>
          <w:szCs w:val="24"/>
        </w:rPr>
      </w:pPr>
      <w:r w:rsidRPr="005B2B98">
        <w:rPr>
          <w:rFonts w:cs="Arial"/>
          <w:b/>
          <w:i/>
          <w:szCs w:val="24"/>
        </w:rPr>
        <w:t>Schedule 1 – A</w:t>
      </w:r>
      <w:r w:rsidR="00555CF0" w:rsidRPr="005B2B98">
        <w:rPr>
          <w:rFonts w:cs="Arial"/>
          <w:b/>
          <w:i/>
          <w:szCs w:val="24"/>
        </w:rPr>
        <w:t>mendments</w:t>
      </w:r>
    </w:p>
    <w:p w14:paraId="7BE4054D" w14:textId="77777777" w:rsidR="008246F7" w:rsidRDefault="008246F7" w:rsidP="006D1768">
      <w:pPr>
        <w:pStyle w:val="Letter2Text"/>
        <w:rPr>
          <w:rFonts w:cs="Arial"/>
          <w:b/>
          <w:szCs w:val="24"/>
        </w:rPr>
      </w:pPr>
    </w:p>
    <w:p w14:paraId="75AC484A" w14:textId="5003DE72" w:rsidR="00B1149D" w:rsidRPr="00460E66" w:rsidRDefault="00001072" w:rsidP="006D1768">
      <w:pPr>
        <w:pStyle w:val="numberlist"/>
        <w:spacing w:after="0"/>
        <w:rPr>
          <w:rFonts w:cs="Arial"/>
          <w:szCs w:val="24"/>
        </w:rPr>
      </w:pPr>
      <w:r w:rsidRPr="006D1768">
        <w:rPr>
          <w:rFonts w:cs="Arial"/>
          <w:szCs w:val="24"/>
        </w:rPr>
        <w:t>Schedule 1</w:t>
      </w:r>
      <w:r w:rsidR="003F74AF" w:rsidRPr="00460E66">
        <w:rPr>
          <w:rFonts w:cs="Arial"/>
          <w:szCs w:val="24"/>
        </w:rPr>
        <w:t xml:space="preserve"> amend</w:t>
      </w:r>
      <w:r w:rsidR="008246F7">
        <w:rPr>
          <w:rFonts w:cs="Arial"/>
          <w:szCs w:val="24"/>
        </w:rPr>
        <w:t>s</w:t>
      </w:r>
      <w:r w:rsidR="003F74AF" w:rsidRPr="00460E66">
        <w:rPr>
          <w:rFonts w:cs="Arial"/>
          <w:szCs w:val="24"/>
        </w:rPr>
        <w:t xml:space="preserve"> the DEEWR Determination so that it no longer applies to participation payments for the purposes of s</w:t>
      </w:r>
      <w:r w:rsidR="007C5FB9">
        <w:rPr>
          <w:rFonts w:cs="Arial"/>
          <w:szCs w:val="24"/>
        </w:rPr>
        <w:t>ubs</w:t>
      </w:r>
      <w:r w:rsidR="003F74AF" w:rsidRPr="00460E66">
        <w:rPr>
          <w:rFonts w:cs="Arial"/>
          <w:szCs w:val="24"/>
        </w:rPr>
        <w:t>ection 42U</w:t>
      </w:r>
      <w:r w:rsidR="007C5FB9">
        <w:rPr>
          <w:rFonts w:cs="Arial"/>
          <w:szCs w:val="24"/>
        </w:rPr>
        <w:t>(1)</w:t>
      </w:r>
      <w:r w:rsidR="003F74AF" w:rsidRPr="00460E66">
        <w:rPr>
          <w:rFonts w:cs="Arial"/>
          <w:szCs w:val="24"/>
        </w:rPr>
        <w:t xml:space="preserve"> of the</w:t>
      </w:r>
      <w:r w:rsidR="006E5395">
        <w:rPr>
          <w:rFonts w:cs="Arial"/>
          <w:szCs w:val="24"/>
        </w:rPr>
        <w:t xml:space="preserve"> </w:t>
      </w:r>
      <w:r w:rsidR="003F74AF" w:rsidRPr="00460E66">
        <w:rPr>
          <w:rFonts w:cs="Arial"/>
          <w:szCs w:val="24"/>
        </w:rPr>
        <w:t xml:space="preserve">Act but continues to apply to </w:t>
      </w:r>
      <w:r w:rsidR="00B1149D" w:rsidRPr="00460E66">
        <w:rPr>
          <w:rFonts w:cs="Arial"/>
          <w:szCs w:val="24"/>
        </w:rPr>
        <w:t xml:space="preserve">youth allowance </w:t>
      </w:r>
      <w:r w:rsidR="00D07FED">
        <w:rPr>
          <w:rFonts w:cs="Arial"/>
          <w:szCs w:val="24"/>
        </w:rPr>
        <w:t xml:space="preserve">for </w:t>
      </w:r>
      <w:r w:rsidR="00B1149D" w:rsidRPr="00460E66">
        <w:rPr>
          <w:rFonts w:cs="Arial"/>
          <w:szCs w:val="24"/>
        </w:rPr>
        <w:t>full-time student</w:t>
      </w:r>
      <w:r w:rsidR="00D07FED">
        <w:rPr>
          <w:rFonts w:cs="Arial"/>
          <w:szCs w:val="24"/>
        </w:rPr>
        <w:t>s</w:t>
      </w:r>
      <w:r w:rsidR="00B1149D" w:rsidRPr="00460E66">
        <w:rPr>
          <w:rFonts w:cs="Arial"/>
          <w:szCs w:val="24"/>
        </w:rPr>
        <w:t xml:space="preserve"> </w:t>
      </w:r>
      <w:r w:rsidR="00BE58BD">
        <w:rPr>
          <w:rFonts w:cs="Arial"/>
          <w:szCs w:val="24"/>
        </w:rPr>
        <w:t>and</w:t>
      </w:r>
      <w:r w:rsidR="00B1149D" w:rsidRPr="00460E66">
        <w:rPr>
          <w:rFonts w:cs="Arial"/>
          <w:szCs w:val="24"/>
        </w:rPr>
        <w:t xml:space="preserve"> Austudy for the purposes of sections 550(2A), 550B(2A), 576(2A) and 576A(2A) of the </w:t>
      </w:r>
      <w:r w:rsidR="00B1149D" w:rsidRPr="00460E66">
        <w:rPr>
          <w:rFonts w:cs="Arial"/>
          <w:i/>
          <w:szCs w:val="24"/>
        </w:rPr>
        <w:t>Social Security Act 1991.</w:t>
      </w:r>
    </w:p>
    <w:p w14:paraId="6D5E3FAF" w14:textId="77777777" w:rsidR="005B2B98" w:rsidRDefault="005B2B98" w:rsidP="006D1768">
      <w:pPr>
        <w:pStyle w:val="numberlist"/>
        <w:spacing w:after="0"/>
        <w:rPr>
          <w:rFonts w:cs="Arial"/>
          <w:b/>
          <w:szCs w:val="24"/>
        </w:rPr>
      </w:pPr>
    </w:p>
    <w:p w14:paraId="53BDFFB4" w14:textId="39EEE74A" w:rsidR="00BD7585" w:rsidRPr="00460E66" w:rsidRDefault="00BD7585" w:rsidP="006D1768">
      <w:pPr>
        <w:pStyle w:val="numberlist"/>
        <w:spacing w:after="0"/>
        <w:rPr>
          <w:rFonts w:cs="Arial"/>
          <w:szCs w:val="24"/>
        </w:rPr>
      </w:pPr>
      <w:r w:rsidRPr="00460E66">
        <w:rPr>
          <w:rFonts w:cs="Arial"/>
          <w:b/>
          <w:szCs w:val="24"/>
        </w:rPr>
        <w:t>Items 1, 2,</w:t>
      </w:r>
      <w:r w:rsidR="001414B0" w:rsidRPr="00460E66">
        <w:rPr>
          <w:rFonts w:cs="Arial"/>
          <w:b/>
          <w:szCs w:val="24"/>
        </w:rPr>
        <w:t xml:space="preserve"> and</w:t>
      </w:r>
      <w:r w:rsidRPr="00460E66">
        <w:rPr>
          <w:rFonts w:cs="Arial"/>
          <w:b/>
          <w:szCs w:val="24"/>
        </w:rPr>
        <w:t xml:space="preserve"> </w:t>
      </w:r>
      <w:r w:rsidR="001C58A4" w:rsidRPr="00460E66">
        <w:rPr>
          <w:rFonts w:cs="Arial"/>
          <w:b/>
          <w:szCs w:val="24"/>
        </w:rPr>
        <w:t>5</w:t>
      </w:r>
      <w:r w:rsidRPr="00460E66">
        <w:rPr>
          <w:rFonts w:cs="Arial"/>
          <w:b/>
          <w:szCs w:val="24"/>
        </w:rPr>
        <w:t xml:space="preserve"> </w:t>
      </w:r>
      <w:r w:rsidR="00001072">
        <w:rPr>
          <w:rFonts w:cs="Arial"/>
          <w:b/>
          <w:szCs w:val="24"/>
        </w:rPr>
        <w:t xml:space="preserve">of Schedule 1 </w:t>
      </w:r>
      <w:r w:rsidR="00FC1A02" w:rsidRPr="00460E66">
        <w:rPr>
          <w:rFonts w:cs="Arial"/>
          <w:szCs w:val="24"/>
        </w:rPr>
        <w:t>amend</w:t>
      </w:r>
      <w:r w:rsidRPr="00460E66">
        <w:rPr>
          <w:rFonts w:cs="Arial"/>
          <w:szCs w:val="24"/>
        </w:rPr>
        <w:t xml:space="preserve"> the DEEWR Determination so that it no longer </w:t>
      </w:r>
      <w:r w:rsidR="00CA3FC2" w:rsidRPr="00460E66">
        <w:rPr>
          <w:rFonts w:cs="Arial"/>
          <w:szCs w:val="24"/>
        </w:rPr>
        <w:t xml:space="preserve">contains references to </w:t>
      </w:r>
      <w:r w:rsidRPr="00460E66">
        <w:rPr>
          <w:rFonts w:cs="Arial"/>
          <w:szCs w:val="24"/>
        </w:rPr>
        <w:t>section 42U of the</w:t>
      </w:r>
      <w:r w:rsidR="006E5395">
        <w:rPr>
          <w:rFonts w:cs="Arial"/>
          <w:szCs w:val="24"/>
        </w:rPr>
        <w:t xml:space="preserve"> </w:t>
      </w:r>
      <w:r w:rsidRPr="00460E66">
        <w:rPr>
          <w:rFonts w:cs="Arial"/>
          <w:szCs w:val="24"/>
        </w:rPr>
        <w:t>Act</w:t>
      </w:r>
      <w:r w:rsidR="00772AE7" w:rsidRPr="00460E66">
        <w:rPr>
          <w:rFonts w:cs="Arial"/>
          <w:szCs w:val="24"/>
        </w:rPr>
        <w:t>.</w:t>
      </w:r>
    </w:p>
    <w:p w14:paraId="3B078238" w14:textId="77777777" w:rsidR="005B2B98" w:rsidRDefault="005B2B98" w:rsidP="006D1768">
      <w:pPr>
        <w:pStyle w:val="numberlist"/>
        <w:spacing w:after="0"/>
        <w:rPr>
          <w:rFonts w:cs="Arial"/>
          <w:b/>
          <w:szCs w:val="24"/>
        </w:rPr>
      </w:pPr>
    </w:p>
    <w:p w14:paraId="2A1B726A" w14:textId="0455B787" w:rsidR="001C58A4" w:rsidRPr="00460E66" w:rsidRDefault="001C58A4" w:rsidP="006D1768">
      <w:pPr>
        <w:pStyle w:val="numberlist"/>
        <w:spacing w:after="0"/>
        <w:rPr>
          <w:rFonts w:cs="Arial"/>
          <w:szCs w:val="24"/>
        </w:rPr>
      </w:pPr>
      <w:r w:rsidRPr="00460E66">
        <w:rPr>
          <w:rFonts w:cs="Arial"/>
          <w:b/>
          <w:szCs w:val="24"/>
        </w:rPr>
        <w:t>Item 3</w:t>
      </w:r>
      <w:r w:rsidR="00001072">
        <w:rPr>
          <w:rFonts w:cs="Arial"/>
          <w:b/>
          <w:szCs w:val="24"/>
        </w:rPr>
        <w:t xml:space="preserve"> of Schedule 1</w:t>
      </w:r>
      <w:r w:rsidRPr="00460E66">
        <w:rPr>
          <w:rFonts w:cs="Arial"/>
          <w:b/>
          <w:szCs w:val="24"/>
        </w:rPr>
        <w:t xml:space="preserve"> </w:t>
      </w:r>
      <w:r w:rsidRPr="00460E66">
        <w:rPr>
          <w:rFonts w:cs="Arial"/>
          <w:szCs w:val="24"/>
        </w:rPr>
        <w:t xml:space="preserve">makes a minor </w:t>
      </w:r>
      <w:r w:rsidR="0047192A" w:rsidRPr="00460E66">
        <w:rPr>
          <w:rFonts w:cs="Arial"/>
          <w:szCs w:val="24"/>
        </w:rPr>
        <w:t xml:space="preserve">technical </w:t>
      </w:r>
      <w:r w:rsidRPr="00460E66">
        <w:rPr>
          <w:rFonts w:cs="Arial"/>
          <w:szCs w:val="24"/>
        </w:rPr>
        <w:t>amendment to the heading of section 5 of the DEEWR Determination by replacing the word</w:t>
      </w:r>
      <w:r w:rsidR="00C43DAA">
        <w:rPr>
          <w:rFonts w:cs="Arial"/>
          <w:szCs w:val="24"/>
        </w:rPr>
        <w:t>s</w:t>
      </w:r>
      <w:r w:rsidRPr="00460E66">
        <w:rPr>
          <w:rFonts w:cs="Arial"/>
          <w:szCs w:val="24"/>
        </w:rPr>
        <w:t xml:space="preserve"> “determining</w:t>
      </w:r>
      <w:r w:rsidR="00C43DAA">
        <w:rPr>
          <w:rFonts w:cs="Arial"/>
          <w:szCs w:val="24"/>
        </w:rPr>
        <w:t xml:space="preserve"> if</w:t>
      </w:r>
      <w:r w:rsidRPr="00460E66">
        <w:rPr>
          <w:rFonts w:cs="Arial"/>
          <w:szCs w:val="24"/>
        </w:rPr>
        <w:t>” with “deciding</w:t>
      </w:r>
      <w:r w:rsidR="00C43DAA">
        <w:rPr>
          <w:rFonts w:cs="Arial"/>
          <w:szCs w:val="24"/>
        </w:rPr>
        <w:t xml:space="preserve"> whether</w:t>
      </w:r>
      <w:r w:rsidRPr="00460E66">
        <w:rPr>
          <w:rFonts w:cs="Arial"/>
          <w:szCs w:val="24"/>
        </w:rPr>
        <w:t>”</w:t>
      </w:r>
      <w:r w:rsidR="0047192A" w:rsidRPr="00460E66">
        <w:rPr>
          <w:rFonts w:cs="Arial"/>
          <w:szCs w:val="24"/>
        </w:rPr>
        <w:t xml:space="preserve">. The relevant heading should be “Matters to be taken into account in deciding </w:t>
      </w:r>
      <w:r w:rsidR="00C43DAA">
        <w:rPr>
          <w:rFonts w:cs="Arial"/>
          <w:szCs w:val="24"/>
        </w:rPr>
        <w:t>whether</w:t>
      </w:r>
      <w:r w:rsidR="0047192A" w:rsidRPr="00460E66">
        <w:rPr>
          <w:rFonts w:cs="Arial"/>
          <w:szCs w:val="24"/>
        </w:rPr>
        <w:t xml:space="preserve"> a person had </w:t>
      </w:r>
      <w:r w:rsidR="00D07FED">
        <w:rPr>
          <w:rFonts w:cs="Arial"/>
          <w:szCs w:val="24"/>
        </w:rPr>
        <w:t xml:space="preserve">a </w:t>
      </w:r>
      <w:r w:rsidR="0047192A" w:rsidRPr="00460E66">
        <w:rPr>
          <w:rFonts w:cs="Arial"/>
          <w:szCs w:val="24"/>
        </w:rPr>
        <w:t>reasonable excuse”</w:t>
      </w:r>
      <w:r w:rsidR="00001072">
        <w:rPr>
          <w:rFonts w:cs="Arial"/>
          <w:szCs w:val="24"/>
        </w:rPr>
        <w:t xml:space="preserve"> </w:t>
      </w:r>
      <w:r w:rsidR="0047192A" w:rsidRPr="00460E66">
        <w:rPr>
          <w:rFonts w:cs="Arial"/>
          <w:szCs w:val="24"/>
        </w:rPr>
        <w:t xml:space="preserve">to </w:t>
      </w:r>
      <w:r w:rsidRPr="00460E66">
        <w:rPr>
          <w:rFonts w:cs="Arial"/>
          <w:szCs w:val="24"/>
        </w:rPr>
        <w:t>reflect the word</w:t>
      </w:r>
      <w:r w:rsidR="0047192A" w:rsidRPr="00460E66">
        <w:rPr>
          <w:rFonts w:cs="Arial"/>
          <w:szCs w:val="24"/>
        </w:rPr>
        <w:t>ing</w:t>
      </w:r>
      <w:r w:rsidRPr="00460E66">
        <w:rPr>
          <w:rFonts w:cs="Arial"/>
          <w:szCs w:val="24"/>
        </w:rPr>
        <w:t xml:space="preserve"> used in subsections 550(2A), 550B(2A), 576(2A) and 576A(2A) of the </w:t>
      </w:r>
      <w:r w:rsidRPr="00460E66">
        <w:rPr>
          <w:rFonts w:cs="Arial"/>
          <w:i/>
          <w:szCs w:val="24"/>
        </w:rPr>
        <w:t>Social Security Act 1991.</w:t>
      </w:r>
    </w:p>
    <w:p w14:paraId="7A011EB3" w14:textId="77777777" w:rsidR="005B2B98" w:rsidRDefault="005B2B98" w:rsidP="006D1768">
      <w:pPr>
        <w:pStyle w:val="numberlist"/>
        <w:spacing w:after="0"/>
        <w:rPr>
          <w:rFonts w:cs="Arial"/>
          <w:b/>
          <w:szCs w:val="24"/>
        </w:rPr>
      </w:pPr>
    </w:p>
    <w:p w14:paraId="1803C333" w14:textId="098C714A" w:rsidR="008B1867" w:rsidRPr="00460E66" w:rsidRDefault="00BD7585" w:rsidP="006D1768">
      <w:pPr>
        <w:pStyle w:val="numberlist"/>
        <w:spacing w:after="0"/>
        <w:rPr>
          <w:rFonts w:cs="Arial"/>
          <w:szCs w:val="24"/>
        </w:rPr>
      </w:pPr>
      <w:r w:rsidRPr="00460E66">
        <w:rPr>
          <w:rFonts w:cs="Arial"/>
          <w:b/>
          <w:szCs w:val="24"/>
        </w:rPr>
        <w:lastRenderedPageBreak/>
        <w:t xml:space="preserve">Item </w:t>
      </w:r>
      <w:r w:rsidR="001C58A4" w:rsidRPr="00460E66">
        <w:rPr>
          <w:rFonts w:cs="Arial"/>
          <w:b/>
          <w:szCs w:val="24"/>
        </w:rPr>
        <w:t>4</w:t>
      </w:r>
      <w:r w:rsidR="00001072">
        <w:rPr>
          <w:rFonts w:cs="Arial"/>
          <w:b/>
          <w:szCs w:val="24"/>
        </w:rPr>
        <w:t xml:space="preserve"> of Schedule 1</w:t>
      </w:r>
      <w:r w:rsidRPr="00460E66">
        <w:rPr>
          <w:rFonts w:cs="Arial"/>
          <w:szCs w:val="24"/>
        </w:rPr>
        <w:t xml:space="preserve"> </w:t>
      </w:r>
      <w:r w:rsidR="00772AE7" w:rsidRPr="00460E66">
        <w:rPr>
          <w:rFonts w:cs="Arial"/>
          <w:szCs w:val="24"/>
        </w:rPr>
        <w:t>amends</w:t>
      </w:r>
      <w:r w:rsidRPr="00460E66">
        <w:rPr>
          <w:rFonts w:cs="Arial"/>
          <w:szCs w:val="24"/>
        </w:rPr>
        <w:t xml:space="preserve"> subsection 5(1) of the DEEWR Determination </w:t>
      </w:r>
      <w:r w:rsidR="00DD4969">
        <w:rPr>
          <w:rFonts w:cs="Arial"/>
          <w:szCs w:val="24"/>
        </w:rPr>
        <w:t>by removing the reference to subsection 42U(1) of the Act from</w:t>
      </w:r>
      <w:r w:rsidR="009E4CA0">
        <w:rPr>
          <w:rFonts w:cs="Arial"/>
          <w:szCs w:val="24"/>
        </w:rPr>
        <w:t xml:space="preserve"> that subsection. It repeals subsection 5(1) of the DEEWR Determination, which contains a reference to subsection 42U(1) of the Act</w:t>
      </w:r>
      <w:r w:rsidR="007D78E9">
        <w:rPr>
          <w:rFonts w:cs="Arial"/>
          <w:szCs w:val="24"/>
        </w:rPr>
        <w:t>,</w:t>
      </w:r>
      <w:r w:rsidR="009E4CA0">
        <w:rPr>
          <w:rFonts w:cs="Arial"/>
          <w:szCs w:val="24"/>
        </w:rPr>
        <w:t xml:space="preserve"> and replaces it with a subsection that does not refer to subsection 42U(1) of the Act</w:t>
      </w:r>
      <w:r w:rsidR="00745863" w:rsidRPr="00460E66">
        <w:rPr>
          <w:rFonts w:cs="Arial"/>
          <w:i/>
          <w:szCs w:val="24"/>
        </w:rPr>
        <w:t>.</w:t>
      </w:r>
    </w:p>
    <w:p w14:paraId="63642CE7" w14:textId="77777777" w:rsidR="005B2B98" w:rsidRDefault="005B2B98" w:rsidP="006D1768">
      <w:pPr>
        <w:pStyle w:val="numberlist"/>
        <w:spacing w:after="0"/>
        <w:rPr>
          <w:rFonts w:cs="Arial"/>
          <w:szCs w:val="24"/>
        </w:rPr>
      </w:pPr>
    </w:p>
    <w:p w14:paraId="795528F0" w14:textId="106098B1" w:rsidR="0047192A" w:rsidRPr="00460E66" w:rsidRDefault="00CA3FC2" w:rsidP="006D1768">
      <w:pPr>
        <w:pStyle w:val="numberlist"/>
        <w:spacing w:after="0"/>
        <w:rPr>
          <w:rFonts w:cs="Arial"/>
          <w:szCs w:val="24"/>
        </w:rPr>
      </w:pPr>
      <w:r w:rsidRPr="00460E66">
        <w:rPr>
          <w:rFonts w:cs="Arial"/>
          <w:szCs w:val="24"/>
        </w:rPr>
        <w:t xml:space="preserve">The effect </w:t>
      </w:r>
      <w:r w:rsidR="001F4417" w:rsidRPr="00460E66">
        <w:rPr>
          <w:rFonts w:cs="Arial"/>
          <w:szCs w:val="24"/>
        </w:rPr>
        <w:t xml:space="preserve">of this amendment </w:t>
      </w:r>
      <w:r w:rsidRPr="00460E66">
        <w:rPr>
          <w:rFonts w:cs="Arial"/>
          <w:szCs w:val="24"/>
        </w:rPr>
        <w:t>is that s</w:t>
      </w:r>
      <w:r w:rsidR="00FF178E" w:rsidRPr="00460E66">
        <w:rPr>
          <w:rFonts w:cs="Arial"/>
          <w:szCs w:val="24"/>
        </w:rPr>
        <w:t>ection</w:t>
      </w:r>
      <w:r w:rsidR="00745863" w:rsidRPr="00460E66">
        <w:rPr>
          <w:rFonts w:cs="Arial"/>
          <w:szCs w:val="24"/>
        </w:rPr>
        <w:t xml:space="preserve"> 5 of the DEEWR Determination </w:t>
      </w:r>
      <w:r w:rsidR="00775D43" w:rsidRPr="00460E66">
        <w:rPr>
          <w:rFonts w:cs="Arial"/>
          <w:szCs w:val="24"/>
        </w:rPr>
        <w:t xml:space="preserve">will </w:t>
      </w:r>
      <w:r w:rsidR="001F4417" w:rsidRPr="00460E66">
        <w:rPr>
          <w:rFonts w:cs="Arial"/>
          <w:szCs w:val="24"/>
        </w:rPr>
        <w:t xml:space="preserve">continue to </w:t>
      </w:r>
      <w:r w:rsidR="00FF178E" w:rsidRPr="00460E66">
        <w:rPr>
          <w:rFonts w:cs="Arial"/>
          <w:szCs w:val="24"/>
        </w:rPr>
        <w:t>set</w:t>
      </w:r>
      <w:r w:rsidR="00745863" w:rsidRPr="00460E66">
        <w:rPr>
          <w:rFonts w:cs="Arial"/>
          <w:szCs w:val="24"/>
        </w:rPr>
        <w:t xml:space="preserve"> out the matters that the Secretary must take into account in deciding whether a person has a reasonable excuse for committing a participation failure in regard to youth allowance (if the person is a full-time student) or Austudy for the purposes of s</w:t>
      </w:r>
      <w:r w:rsidRPr="00460E66">
        <w:rPr>
          <w:rFonts w:cs="Arial"/>
          <w:szCs w:val="24"/>
        </w:rPr>
        <w:t>ubs</w:t>
      </w:r>
      <w:r w:rsidR="00745863" w:rsidRPr="00460E66">
        <w:rPr>
          <w:rFonts w:cs="Arial"/>
          <w:szCs w:val="24"/>
        </w:rPr>
        <w:t xml:space="preserve">ections 550(2A), 550B(2A), 576(2A) and 576A(2A) of the </w:t>
      </w:r>
      <w:r w:rsidR="00745863" w:rsidRPr="00460E66">
        <w:rPr>
          <w:rFonts w:cs="Arial"/>
          <w:i/>
          <w:szCs w:val="24"/>
        </w:rPr>
        <w:t>Social Security Act 1991</w:t>
      </w:r>
      <w:r w:rsidR="00FF178E" w:rsidRPr="00460E66">
        <w:rPr>
          <w:rFonts w:cs="Arial"/>
          <w:i/>
          <w:szCs w:val="24"/>
        </w:rPr>
        <w:t>.</w:t>
      </w:r>
      <w:r w:rsidR="008B1867" w:rsidRPr="00460E66">
        <w:rPr>
          <w:rFonts w:cs="Arial"/>
          <w:szCs w:val="24"/>
        </w:rPr>
        <w:t xml:space="preserve"> </w:t>
      </w:r>
      <w:r w:rsidR="001F4417" w:rsidRPr="00460E66">
        <w:rPr>
          <w:rFonts w:cs="Arial"/>
          <w:szCs w:val="24"/>
        </w:rPr>
        <w:t>However, t</w:t>
      </w:r>
      <w:r w:rsidR="00775D43" w:rsidRPr="00460E66">
        <w:rPr>
          <w:rFonts w:cs="Arial"/>
          <w:szCs w:val="24"/>
        </w:rPr>
        <w:t xml:space="preserve">he matters that the Secretary must take into account in deciding whether a person has a reasonable excuse for committing a failure to comply with obligations in relation to a participation payment for the purposes </w:t>
      </w:r>
      <w:r w:rsidR="001F4417" w:rsidRPr="00460E66">
        <w:rPr>
          <w:rFonts w:cs="Arial"/>
          <w:szCs w:val="24"/>
        </w:rPr>
        <w:t>of subsection 42U(1) of the Act will no</w:t>
      </w:r>
      <w:r w:rsidR="009E4CA0">
        <w:rPr>
          <w:rFonts w:cs="Arial"/>
          <w:szCs w:val="24"/>
        </w:rPr>
        <w:t xml:space="preserve"> longer </w:t>
      </w:r>
      <w:r w:rsidR="001F4417" w:rsidRPr="00460E66">
        <w:rPr>
          <w:rFonts w:cs="Arial"/>
          <w:szCs w:val="24"/>
        </w:rPr>
        <w:t>be set out in section 5 of the DEEWR Determination</w:t>
      </w:r>
      <w:r w:rsidR="009E4CA0">
        <w:rPr>
          <w:rFonts w:cs="Arial"/>
          <w:szCs w:val="24"/>
        </w:rPr>
        <w:t>.</w:t>
      </w:r>
    </w:p>
    <w:p w14:paraId="1B8BE5E2" w14:textId="77777777" w:rsidR="005B2B98" w:rsidRDefault="005B2B98" w:rsidP="006D1768">
      <w:pPr>
        <w:pStyle w:val="numberlist"/>
        <w:spacing w:after="0"/>
        <w:rPr>
          <w:rFonts w:cs="Arial"/>
          <w:b/>
          <w:szCs w:val="24"/>
        </w:rPr>
      </w:pPr>
    </w:p>
    <w:p w14:paraId="60FED0AA" w14:textId="53584CDC" w:rsidR="00DB0894" w:rsidRPr="005B2B98" w:rsidRDefault="00DB0894" w:rsidP="006D1768">
      <w:pPr>
        <w:pStyle w:val="numberlist"/>
        <w:spacing w:after="0"/>
        <w:rPr>
          <w:rFonts w:cs="Arial"/>
          <w:b/>
          <w:i/>
          <w:szCs w:val="24"/>
        </w:rPr>
      </w:pPr>
      <w:r w:rsidRPr="005B2B98">
        <w:rPr>
          <w:rFonts w:cs="Arial"/>
          <w:b/>
          <w:i/>
          <w:szCs w:val="24"/>
        </w:rPr>
        <w:t xml:space="preserve">Schedule </w:t>
      </w:r>
      <w:r w:rsidR="00D76FB8">
        <w:rPr>
          <w:rFonts w:cs="Arial"/>
          <w:b/>
          <w:i/>
          <w:szCs w:val="24"/>
        </w:rPr>
        <w:t>2</w:t>
      </w:r>
      <w:r w:rsidRPr="005B2B98">
        <w:rPr>
          <w:rFonts w:cs="Arial"/>
          <w:b/>
          <w:i/>
          <w:szCs w:val="24"/>
        </w:rPr>
        <w:t xml:space="preserve"> – </w:t>
      </w:r>
      <w:r w:rsidR="00B23CCA" w:rsidRPr="005B2B98">
        <w:rPr>
          <w:rFonts w:cs="Arial"/>
          <w:b/>
          <w:i/>
          <w:szCs w:val="24"/>
        </w:rPr>
        <w:t>Repeals</w:t>
      </w:r>
    </w:p>
    <w:p w14:paraId="2A97E120" w14:textId="77777777" w:rsidR="005B2B98" w:rsidRDefault="005B2B98" w:rsidP="006D1768">
      <w:pPr>
        <w:pStyle w:val="numberlist"/>
        <w:spacing w:after="0"/>
        <w:rPr>
          <w:rFonts w:cs="Arial"/>
          <w:b/>
          <w:szCs w:val="24"/>
        </w:rPr>
      </w:pPr>
    </w:p>
    <w:p w14:paraId="1FA45A86" w14:textId="4BA6A7BF" w:rsidR="0004285D" w:rsidRPr="00460E66" w:rsidRDefault="00E05C14" w:rsidP="006D1768">
      <w:pPr>
        <w:pStyle w:val="numberlist"/>
        <w:spacing w:after="0"/>
        <w:rPr>
          <w:rFonts w:cs="Arial"/>
          <w:szCs w:val="24"/>
        </w:rPr>
      </w:pPr>
      <w:r w:rsidRPr="00460E66">
        <w:rPr>
          <w:rFonts w:cs="Arial"/>
          <w:b/>
          <w:szCs w:val="24"/>
        </w:rPr>
        <w:t>Item 1</w:t>
      </w:r>
      <w:r w:rsidR="009E4CA0">
        <w:rPr>
          <w:rFonts w:cs="Arial"/>
          <w:b/>
          <w:szCs w:val="24"/>
        </w:rPr>
        <w:t xml:space="preserve"> of Schedule 2</w:t>
      </w:r>
      <w:r w:rsidRPr="00460E66">
        <w:rPr>
          <w:rFonts w:cs="Arial"/>
          <w:szCs w:val="24"/>
        </w:rPr>
        <w:t xml:space="preserve"> repeals the whole of the FaHCSIA Determination. </w:t>
      </w:r>
      <w:r w:rsidR="008E375A" w:rsidRPr="00460E66">
        <w:rPr>
          <w:rFonts w:cs="Arial"/>
          <w:szCs w:val="24"/>
        </w:rPr>
        <w:t xml:space="preserve">As </w:t>
      </w:r>
      <w:r w:rsidR="007E0CE4" w:rsidRPr="00460E66">
        <w:rPr>
          <w:rFonts w:cs="Arial"/>
          <w:szCs w:val="24"/>
        </w:rPr>
        <w:t>the FaHCSIA Determination is no longer required for the purposes of s</w:t>
      </w:r>
      <w:r w:rsidR="004A2491">
        <w:rPr>
          <w:rFonts w:cs="Arial"/>
          <w:szCs w:val="24"/>
        </w:rPr>
        <w:t>ubs</w:t>
      </w:r>
      <w:r w:rsidR="007E0CE4" w:rsidRPr="00460E66">
        <w:rPr>
          <w:rFonts w:cs="Arial"/>
          <w:szCs w:val="24"/>
        </w:rPr>
        <w:t>ection 42U</w:t>
      </w:r>
      <w:r w:rsidR="004A2491">
        <w:rPr>
          <w:rFonts w:cs="Arial"/>
          <w:szCs w:val="24"/>
        </w:rPr>
        <w:t>(1)</w:t>
      </w:r>
      <w:r w:rsidR="007E0CE4" w:rsidRPr="00460E66">
        <w:rPr>
          <w:rFonts w:cs="Arial"/>
          <w:szCs w:val="24"/>
        </w:rPr>
        <w:t xml:space="preserve"> of the</w:t>
      </w:r>
      <w:r w:rsidR="006E5395">
        <w:rPr>
          <w:rFonts w:cs="Arial"/>
          <w:szCs w:val="24"/>
        </w:rPr>
        <w:t xml:space="preserve"> </w:t>
      </w:r>
      <w:r w:rsidR="007E0CE4" w:rsidRPr="00460E66">
        <w:rPr>
          <w:rFonts w:cs="Arial"/>
          <w:szCs w:val="24"/>
        </w:rPr>
        <w:t xml:space="preserve">Act </w:t>
      </w:r>
      <w:r w:rsidR="0004285D" w:rsidRPr="00460E66">
        <w:rPr>
          <w:rFonts w:cs="Arial"/>
          <w:szCs w:val="24"/>
        </w:rPr>
        <w:t xml:space="preserve">(given the intention is for the </w:t>
      </w:r>
      <w:r w:rsidR="009E4CA0">
        <w:rPr>
          <w:rFonts w:cs="Arial"/>
          <w:szCs w:val="24"/>
        </w:rPr>
        <w:t>Reasonable Excuse</w:t>
      </w:r>
      <w:r w:rsidR="009E4CA0" w:rsidRPr="00460E66">
        <w:rPr>
          <w:rFonts w:cs="Arial"/>
          <w:szCs w:val="24"/>
        </w:rPr>
        <w:t xml:space="preserve"> </w:t>
      </w:r>
      <w:r w:rsidR="0004285D" w:rsidRPr="00460E66">
        <w:rPr>
          <w:rFonts w:cs="Arial"/>
          <w:szCs w:val="24"/>
        </w:rPr>
        <w:t>Determination to be the sole instrument governing reasonable excuse matters relevant to participation payments)</w:t>
      </w:r>
      <w:r w:rsidR="007C480F">
        <w:rPr>
          <w:rFonts w:cs="Arial"/>
          <w:szCs w:val="24"/>
        </w:rPr>
        <w:t>,</w:t>
      </w:r>
      <w:r w:rsidR="0004285D" w:rsidRPr="00460E66">
        <w:rPr>
          <w:rFonts w:cs="Arial"/>
          <w:szCs w:val="24"/>
        </w:rPr>
        <w:t xml:space="preserve"> and </w:t>
      </w:r>
      <w:r w:rsidR="005442C9" w:rsidRPr="00460E66">
        <w:rPr>
          <w:rFonts w:cs="Arial"/>
          <w:szCs w:val="24"/>
        </w:rPr>
        <w:t xml:space="preserve">the </w:t>
      </w:r>
      <w:r w:rsidR="00CC4CBB">
        <w:rPr>
          <w:rFonts w:cs="Arial"/>
          <w:szCs w:val="24"/>
        </w:rPr>
        <w:t>compliance provisions</w:t>
      </w:r>
      <w:r w:rsidR="005442C9" w:rsidRPr="00460E66">
        <w:rPr>
          <w:rFonts w:cs="Arial"/>
          <w:szCs w:val="24"/>
        </w:rPr>
        <w:t xml:space="preserve"> of the </w:t>
      </w:r>
      <w:r w:rsidR="005442C9" w:rsidRPr="00460E66">
        <w:rPr>
          <w:rFonts w:cs="Arial"/>
          <w:i/>
          <w:szCs w:val="24"/>
        </w:rPr>
        <w:t xml:space="preserve">Social Security Act 1991 </w:t>
      </w:r>
      <w:r w:rsidR="00CC4CBB">
        <w:rPr>
          <w:rFonts w:cs="Arial"/>
          <w:szCs w:val="24"/>
        </w:rPr>
        <w:t>applicable to the</w:t>
      </w:r>
      <w:r w:rsidR="005442C9" w:rsidRPr="00460E66">
        <w:rPr>
          <w:rFonts w:cs="Arial"/>
          <w:szCs w:val="24"/>
        </w:rPr>
        <w:t xml:space="preserve"> </w:t>
      </w:r>
      <w:r w:rsidR="00F547A9">
        <w:rPr>
          <w:rFonts w:cs="Arial"/>
          <w:szCs w:val="24"/>
        </w:rPr>
        <w:t>1991</w:t>
      </w:r>
      <w:r w:rsidR="00F547A9" w:rsidRPr="00460E66">
        <w:rPr>
          <w:rFonts w:cs="Arial"/>
          <w:szCs w:val="24"/>
        </w:rPr>
        <w:t xml:space="preserve"> </w:t>
      </w:r>
      <w:r w:rsidR="005442C9" w:rsidRPr="00460E66">
        <w:rPr>
          <w:rFonts w:cs="Arial"/>
          <w:szCs w:val="24"/>
        </w:rPr>
        <w:t xml:space="preserve">Act special benefit failures were repealed on 1 July 2009, </w:t>
      </w:r>
      <w:r w:rsidR="0004285D" w:rsidRPr="00460E66">
        <w:rPr>
          <w:rFonts w:cs="Arial"/>
          <w:szCs w:val="24"/>
        </w:rPr>
        <w:t xml:space="preserve">the FaHCSIA Determination is </w:t>
      </w:r>
      <w:r w:rsidR="007D78E9">
        <w:rPr>
          <w:rFonts w:cs="Arial"/>
          <w:szCs w:val="24"/>
        </w:rPr>
        <w:t xml:space="preserve">now </w:t>
      </w:r>
      <w:r w:rsidR="0004285D" w:rsidRPr="00460E66">
        <w:rPr>
          <w:rFonts w:cs="Arial"/>
          <w:szCs w:val="24"/>
        </w:rPr>
        <w:t>redundant.</w:t>
      </w:r>
    </w:p>
    <w:p w14:paraId="7F318E9B" w14:textId="77777777" w:rsidR="005B2B98" w:rsidRDefault="005B2B98" w:rsidP="006D1768">
      <w:pPr>
        <w:pStyle w:val="numberlist"/>
        <w:spacing w:after="0"/>
        <w:rPr>
          <w:rFonts w:cs="Arial"/>
          <w:b/>
          <w:szCs w:val="24"/>
        </w:rPr>
      </w:pPr>
    </w:p>
    <w:p w14:paraId="2B38DEE6" w14:textId="77777777" w:rsidR="004F51CA" w:rsidRDefault="00407795" w:rsidP="006D1768">
      <w:pPr>
        <w:pStyle w:val="numberlist"/>
        <w:spacing w:after="0"/>
        <w:rPr>
          <w:rFonts w:cs="Arial"/>
          <w:b/>
          <w:szCs w:val="24"/>
        </w:rPr>
      </w:pPr>
      <w:r w:rsidRPr="00460E66">
        <w:rPr>
          <w:rFonts w:cs="Arial"/>
          <w:b/>
          <w:szCs w:val="24"/>
        </w:rPr>
        <w:t>Consultation</w:t>
      </w:r>
    </w:p>
    <w:p w14:paraId="3FCBEA82" w14:textId="537E1C48" w:rsidR="00407795" w:rsidRDefault="00407795" w:rsidP="004F51CA">
      <w:pPr>
        <w:pStyle w:val="numberlist"/>
        <w:spacing w:after="0"/>
        <w:rPr>
          <w:rFonts w:cs="Arial"/>
          <w:b/>
          <w:szCs w:val="24"/>
        </w:rPr>
      </w:pPr>
    </w:p>
    <w:p w14:paraId="78AB36FA" w14:textId="608A0AEF" w:rsidR="00893D44" w:rsidRDefault="00893D44" w:rsidP="006D1768">
      <w:pPr>
        <w:spacing w:before="0" w:after="0"/>
      </w:pPr>
      <w:r>
        <w:t>The Department of Jobs and Small Business</w:t>
      </w:r>
      <w:r w:rsidR="00893E93">
        <w:t xml:space="preserve"> consulted with affected Government departments and also </w:t>
      </w:r>
      <w:r>
        <w:t>provided an electronic copy of the draft determination and invited comment from</w:t>
      </w:r>
      <w:r w:rsidR="007D78E9">
        <w:t>:</w:t>
      </w:r>
      <w:r>
        <w:t xml:space="preserve"> Jobs Australia</w:t>
      </w:r>
      <w:r w:rsidR="007D78E9">
        <w:t>;</w:t>
      </w:r>
      <w:r>
        <w:t xml:space="preserve"> the Australian Council of Social Service</w:t>
      </w:r>
      <w:r w:rsidR="007D78E9">
        <w:t>;</w:t>
      </w:r>
      <w:r>
        <w:t xml:space="preserve"> the Australian National Advisory Council on Alcohol and Drugs</w:t>
      </w:r>
      <w:r w:rsidR="007D78E9">
        <w:t>;</w:t>
      </w:r>
      <w:r>
        <w:t xml:space="preserve"> the Administrative Appeals Tribunal</w:t>
      </w:r>
      <w:r w:rsidR="007D78E9">
        <w:t>;</w:t>
      </w:r>
      <w:r>
        <w:t xml:space="preserve"> the National Employment Services Association</w:t>
      </w:r>
      <w:r w:rsidR="007D78E9">
        <w:t>;</w:t>
      </w:r>
      <w:r>
        <w:t xml:space="preserve"> and the National Social Security Rights Network. </w:t>
      </w:r>
    </w:p>
    <w:p w14:paraId="5B6915B2" w14:textId="77777777" w:rsidR="005B2B98" w:rsidRPr="00460E66" w:rsidRDefault="005B2B98" w:rsidP="006D1768">
      <w:pPr>
        <w:spacing w:before="0" w:after="0"/>
        <w:rPr>
          <w:rFonts w:eastAsiaTheme="minorHAnsi" w:cs="Arial"/>
          <w:szCs w:val="24"/>
        </w:rPr>
      </w:pPr>
    </w:p>
    <w:p w14:paraId="697237AF" w14:textId="77777777" w:rsidR="00BE3CFF" w:rsidRDefault="00BE3CFF" w:rsidP="006D1768">
      <w:pPr>
        <w:spacing w:before="0" w:after="0"/>
        <w:rPr>
          <w:rFonts w:cs="Arial"/>
          <w:b/>
          <w:szCs w:val="24"/>
        </w:rPr>
      </w:pPr>
      <w:r w:rsidRPr="00460E66">
        <w:rPr>
          <w:rFonts w:cs="Arial"/>
          <w:b/>
          <w:szCs w:val="24"/>
        </w:rPr>
        <w:t>Regulatory Impact Analysis</w:t>
      </w:r>
    </w:p>
    <w:p w14:paraId="7148268A" w14:textId="77777777" w:rsidR="005B2B98" w:rsidRDefault="005B2B98" w:rsidP="006D1768">
      <w:pPr>
        <w:spacing w:before="0" w:after="0"/>
        <w:rPr>
          <w:rFonts w:cs="Arial"/>
          <w:szCs w:val="24"/>
        </w:rPr>
      </w:pPr>
    </w:p>
    <w:p w14:paraId="77FB74EA" w14:textId="77777777" w:rsidR="00BE3CFF" w:rsidRPr="00460E66" w:rsidRDefault="00BE3CFF" w:rsidP="006D1768">
      <w:pPr>
        <w:spacing w:before="0" w:after="0"/>
        <w:rPr>
          <w:rFonts w:cs="Arial"/>
          <w:szCs w:val="24"/>
        </w:rPr>
      </w:pPr>
      <w:r w:rsidRPr="00460E66">
        <w:rPr>
          <w:rFonts w:cs="Arial"/>
          <w:szCs w:val="24"/>
        </w:rPr>
        <w:t xml:space="preserve">The Determination is not regulatory in nature, will not impact on business activity and will have no, or minimal, compliance costs or competition impact. </w:t>
      </w:r>
    </w:p>
    <w:p w14:paraId="04C12DB9" w14:textId="77777777" w:rsidR="00BE3CFF" w:rsidRPr="00460E66" w:rsidRDefault="00407795" w:rsidP="0007731A">
      <w:pPr>
        <w:spacing w:before="0" w:after="200" w:line="276" w:lineRule="auto"/>
        <w:rPr>
          <w:rFonts w:cs="Arial"/>
          <w:b/>
          <w:szCs w:val="24"/>
        </w:rPr>
      </w:pPr>
      <w:r w:rsidRPr="00460E66">
        <w:rPr>
          <w:rFonts w:cs="Arial"/>
          <w:b/>
          <w:szCs w:val="24"/>
        </w:rPr>
        <w:br w:type="page"/>
      </w:r>
    </w:p>
    <w:p w14:paraId="0203B74D" w14:textId="77777777" w:rsidR="00C96139" w:rsidRPr="00460E66" w:rsidRDefault="00407795" w:rsidP="0007731A">
      <w:pPr>
        <w:pStyle w:val="numberlist"/>
        <w:spacing w:after="240"/>
        <w:jc w:val="center"/>
        <w:rPr>
          <w:rFonts w:cs="Arial"/>
          <w:b/>
          <w:szCs w:val="24"/>
        </w:rPr>
      </w:pPr>
      <w:r w:rsidRPr="00460E66">
        <w:rPr>
          <w:rFonts w:cs="Arial"/>
          <w:b/>
          <w:szCs w:val="24"/>
        </w:rPr>
        <w:lastRenderedPageBreak/>
        <w:t>Statement of Compatibility with Human Rights</w:t>
      </w:r>
    </w:p>
    <w:p w14:paraId="639BB513" w14:textId="2AD2629E" w:rsidR="00407795" w:rsidRPr="00460E66" w:rsidRDefault="00407795" w:rsidP="0007731A">
      <w:pPr>
        <w:jc w:val="center"/>
        <w:rPr>
          <w:rFonts w:cs="Arial"/>
          <w:i/>
          <w:szCs w:val="24"/>
        </w:rPr>
      </w:pPr>
      <w:r w:rsidRPr="00460E66">
        <w:rPr>
          <w:rFonts w:cs="Arial"/>
          <w:i/>
          <w:szCs w:val="24"/>
        </w:rPr>
        <w:t>Prepared in accordance with Part 3 of the Human Rights (Parliamentary Scrutiny) Act</w:t>
      </w:r>
      <w:r w:rsidR="00167F12">
        <w:rPr>
          <w:rFonts w:cs="Arial"/>
          <w:i/>
          <w:szCs w:val="24"/>
        </w:rPr>
        <w:t xml:space="preserve"> </w:t>
      </w:r>
      <w:r w:rsidRPr="00460E66">
        <w:rPr>
          <w:rFonts w:cs="Arial"/>
          <w:i/>
          <w:szCs w:val="24"/>
        </w:rPr>
        <w:t>2011</w:t>
      </w:r>
    </w:p>
    <w:p w14:paraId="677E8B45" w14:textId="77777777" w:rsidR="00C96139" w:rsidRPr="00460E66" w:rsidRDefault="00C96139" w:rsidP="0007731A">
      <w:pPr>
        <w:jc w:val="center"/>
        <w:rPr>
          <w:rFonts w:cs="Arial"/>
          <w:i/>
          <w:szCs w:val="24"/>
        </w:rPr>
      </w:pPr>
    </w:p>
    <w:p w14:paraId="7CB1C016" w14:textId="66A35654" w:rsidR="00407795" w:rsidRPr="00460E66" w:rsidRDefault="00407795" w:rsidP="0007731A">
      <w:pPr>
        <w:jc w:val="center"/>
        <w:rPr>
          <w:rFonts w:cs="Arial"/>
          <w:b/>
          <w:i/>
          <w:szCs w:val="24"/>
          <w:highlight w:val="yellow"/>
        </w:rPr>
      </w:pPr>
      <w:r w:rsidRPr="00460E66">
        <w:rPr>
          <w:rFonts w:cs="Arial"/>
          <w:b/>
          <w:i/>
          <w:szCs w:val="24"/>
        </w:rPr>
        <w:t>Social Security</w:t>
      </w:r>
      <w:r w:rsidR="00221923" w:rsidRPr="00460E66">
        <w:rPr>
          <w:rFonts w:cs="Arial"/>
          <w:b/>
          <w:i/>
          <w:szCs w:val="24"/>
        </w:rPr>
        <w:t xml:space="preserve"> (</w:t>
      </w:r>
      <w:r w:rsidR="00C615D8" w:rsidRPr="00460E66">
        <w:rPr>
          <w:rFonts w:cs="Arial"/>
          <w:b/>
          <w:i/>
          <w:szCs w:val="24"/>
        </w:rPr>
        <w:t>Administration</w:t>
      </w:r>
      <w:r w:rsidRPr="00460E66">
        <w:rPr>
          <w:rFonts w:cs="Arial"/>
          <w:b/>
          <w:i/>
          <w:szCs w:val="24"/>
        </w:rPr>
        <w:t>)</w:t>
      </w:r>
      <w:r w:rsidR="00C615D8" w:rsidRPr="00460E66">
        <w:rPr>
          <w:rFonts w:cs="Arial"/>
          <w:b/>
          <w:i/>
          <w:szCs w:val="24"/>
        </w:rPr>
        <w:t xml:space="preserve"> Legislation Amendment &amp; Repeal (Reasonable Excuse</w:t>
      </w:r>
      <w:r w:rsidR="00C43DAA">
        <w:rPr>
          <w:rFonts w:cs="Arial"/>
          <w:b/>
          <w:i/>
          <w:szCs w:val="24"/>
        </w:rPr>
        <w:t xml:space="preserve"> - </w:t>
      </w:r>
      <w:r w:rsidR="00971CDE">
        <w:rPr>
          <w:rFonts w:cs="Arial"/>
          <w:b/>
          <w:i/>
          <w:szCs w:val="24"/>
        </w:rPr>
        <w:t>Participation Payments</w:t>
      </w:r>
      <w:r w:rsidR="00C615D8" w:rsidRPr="00460E66">
        <w:rPr>
          <w:rFonts w:cs="Arial"/>
          <w:b/>
          <w:i/>
          <w:szCs w:val="24"/>
        </w:rPr>
        <w:t>)</w:t>
      </w:r>
      <w:r w:rsidRPr="00460E66">
        <w:rPr>
          <w:rFonts w:cs="Arial"/>
          <w:b/>
          <w:i/>
          <w:szCs w:val="24"/>
        </w:rPr>
        <w:t xml:space="preserve"> </w:t>
      </w:r>
      <w:r w:rsidR="00221923" w:rsidRPr="00460E66">
        <w:rPr>
          <w:rFonts w:cs="Arial"/>
          <w:b/>
          <w:i/>
          <w:szCs w:val="24"/>
        </w:rPr>
        <w:t>Determination 201</w:t>
      </w:r>
      <w:r w:rsidR="00971CDE">
        <w:rPr>
          <w:rFonts w:cs="Arial"/>
          <w:b/>
          <w:i/>
          <w:szCs w:val="24"/>
        </w:rPr>
        <w:t>8</w:t>
      </w:r>
    </w:p>
    <w:p w14:paraId="4A230D05" w14:textId="77777777" w:rsidR="00407795" w:rsidRPr="00460E66" w:rsidRDefault="00407795" w:rsidP="0007731A">
      <w:pPr>
        <w:spacing w:before="0" w:after="0"/>
        <w:rPr>
          <w:rFonts w:cs="Arial"/>
          <w:szCs w:val="24"/>
          <w:highlight w:val="yellow"/>
        </w:rPr>
      </w:pPr>
    </w:p>
    <w:p w14:paraId="3DB74A90" w14:textId="14F339D9" w:rsidR="00407795" w:rsidRPr="00460E66" w:rsidRDefault="007D78E9" w:rsidP="006D1768">
      <w:pPr>
        <w:spacing w:before="0" w:after="0"/>
        <w:rPr>
          <w:rFonts w:cs="Arial"/>
          <w:szCs w:val="24"/>
        </w:rPr>
      </w:pPr>
      <w:r>
        <w:rPr>
          <w:rFonts w:cs="Arial"/>
          <w:szCs w:val="24"/>
        </w:rPr>
        <w:t>Th</w:t>
      </w:r>
      <w:r w:rsidR="008246F7">
        <w:rPr>
          <w:rFonts w:cs="Arial"/>
          <w:szCs w:val="24"/>
        </w:rPr>
        <w:t>is</w:t>
      </w:r>
      <w:r w:rsidR="00572BED">
        <w:rPr>
          <w:rFonts w:cs="Arial"/>
          <w:szCs w:val="24"/>
        </w:rPr>
        <w:t xml:space="preserve"> </w:t>
      </w:r>
      <w:r w:rsidR="00221923" w:rsidRPr="00460E66">
        <w:rPr>
          <w:rFonts w:cs="Arial"/>
          <w:szCs w:val="24"/>
        </w:rPr>
        <w:t>Determination</w:t>
      </w:r>
      <w:r w:rsidR="00407795" w:rsidRPr="00460E66">
        <w:rPr>
          <w:rFonts w:cs="Arial"/>
          <w:szCs w:val="24"/>
        </w:rPr>
        <w:t xml:space="preserve"> is compatible with the human rights and freedoms recognised or declared in the international instruments listed in section 3 of the </w:t>
      </w:r>
      <w:r w:rsidR="00407795" w:rsidRPr="00460E66">
        <w:rPr>
          <w:rFonts w:cs="Arial"/>
          <w:i/>
          <w:szCs w:val="24"/>
        </w:rPr>
        <w:t>Human Rights (Parliamentary Scrutiny) Act 2011</w:t>
      </w:r>
      <w:r w:rsidR="00407795" w:rsidRPr="00460E66">
        <w:rPr>
          <w:rFonts w:cs="Arial"/>
          <w:szCs w:val="24"/>
        </w:rPr>
        <w:t>.</w:t>
      </w:r>
    </w:p>
    <w:p w14:paraId="3BB456AC" w14:textId="77777777" w:rsidR="00407795" w:rsidRPr="00460E66" w:rsidRDefault="00407795" w:rsidP="0007731A">
      <w:pPr>
        <w:spacing w:before="0" w:after="0"/>
        <w:rPr>
          <w:rFonts w:cs="Arial"/>
          <w:szCs w:val="24"/>
        </w:rPr>
      </w:pPr>
    </w:p>
    <w:p w14:paraId="106DCE97" w14:textId="77777777" w:rsidR="00407795" w:rsidRPr="00460E66" w:rsidRDefault="00407795" w:rsidP="006D1768">
      <w:pPr>
        <w:pStyle w:val="numberlist"/>
        <w:spacing w:after="0"/>
        <w:rPr>
          <w:rFonts w:cs="Arial"/>
          <w:b/>
          <w:szCs w:val="24"/>
          <w:highlight w:val="yellow"/>
        </w:rPr>
      </w:pPr>
      <w:r w:rsidRPr="00460E66">
        <w:rPr>
          <w:rFonts w:cs="Arial"/>
          <w:b/>
          <w:szCs w:val="24"/>
        </w:rPr>
        <w:t xml:space="preserve">Overview of the </w:t>
      </w:r>
      <w:r w:rsidR="00221923" w:rsidRPr="00460E66">
        <w:rPr>
          <w:rFonts w:cs="Arial"/>
          <w:b/>
          <w:szCs w:val="24"/>
        </w:rPr>
        <w:t>Determination</w:t>
      </w:r>
    </w:p>
    <w:p w14:paraId="5F9B42FB" w14:textId="77777777" w:rsidR="00246399" w:rsidRDefault="00246399" w:rsidP="006D1768">
      <w:pPr>
        <w:spacing w:before="0" w:after="0"/>
        <w:outlineLvl w:val="0"/>
        <w:rPr>
          <w:rFonts w:cs="Arial"/>
          <w:szCs w:val="24"/>
        </w:rPr>
      </w:pPr>
    </w:p>
    <w:p w14:paraId="62658600" w14:textId="41C25593" w:rsidR="00225933" w:rsidRDefault="00225933" w:rsidP="006D1768">
      <w:pPr>
        <w:spacing w:before="0" w:after="0"/>
        <w:outlineLvl w:val="0"/>
        <w:rPr>
          <w:rFonts w:cs="Arial"/>
          <w:szCs w:val="24"/>
        </w:rPr>
      </w:pPr>
      <w:r w:rsidRPr="00460E66">
        <w:rPr>
          <w:rFonts w:cs="Arial"/>
          <w:szCs w:val="24"/>
        </w:rPr>
        <w:t xml:space="preserve">The </w:t>
      </w:r>
      <w:r w:rsidRPr="00460E66">
        <w:rPr>
          <w:rFonts w:cs="Arial"/>
          <w:i/>
          <w:szCs w:val="24"/>
        </w:rPr>
        <w:t>Social Security (Administration) Legislation Amendment and Repeal (Reasonable Excuse</w:t>
      </w:r>
      <w:r>
        <w:rPr>
          <w:rFonts w:cs="Arial"/>
          <w:i/>
          <w:szCs w:val="24"/>
        </w:rPr>
        <w:t xml:space="preserve"> - Participation Payments</w:t>
      </w:r>
      <w:r w:rsidRPr="00460E66">
        <w:rPr>
          <w:rFonts w:cs="Arial"/>
          <w:i/>
          <w:szCs w:val="24"/>
        </w:rPr>
        <w:t>) Determination 201</w:t>
      </w:r>
      <w:r>
        <w:rPr>
          <w:rFonts w:cs="Arial"/>
          <w:i/>
          <w:szCs w:val="24"/>
        </w:rPr>
        <w:t>8</w:t>
      </w:r>
      <w:r w:rsidRPr="00460E66">
        <w:rPr>
          <w:rFonts w:cs="Arial"/>
          <w:szCs w:val="24"/>
        </w:rPr>
        <w:t xml:space="preserve"> (</w:t>
      </w:r>
      <w:r w:rsidRPr="009374EF">
        <w:rPr>
          <w:rFonts w:cs="Arial"/>
          <w:szCs w:val="24"/>
        </w:rPr>
        <w:t>th</w:t>
      </w:r>
      <w:r>
        <w:rPr>
          <w:rFonts w:cs="Arial"/>
          <w:szCs w:val="24"/>
        </w:rPr>
        <w:t>e</w:t>
      </w:r>
      <w:r w:rsidRPr="009374EF">
        <w:rPr>
          <w:rFonts w:cs="Arial"/>
          <w:szCs w:val="24"/>
        </w:rPr>
        <w:t xml:space="preserve"> Determination</w:t>
      </w:r>
      <w:r w:rsidRPr="00460E66">
        <w:rPr>
          <w:rFonts w:cs="Arial"/>
          <w:szCs w:val="24"/>
        </w:rPr>
        <w:t xml:space="preserve">) is made by the Secretary of the Department of </w:t>
      </w:r>
      <w:r>
        <w:rPr>
          <w:rFonts w:cs="Arial"/>
          <w:szCs w:val="24"/>
        </w:rPr>
        <w:t xml:space="preserve">Jobs and Small Business </w:t>
      </w:r>
      <w:r w:rsidRPr="00460E66">
        <w:rPr>
          <w:rFonts w:cs="Arial"/>
          <w:szCs w:val="24"/>
        </w:rPr>
        <w:t xml:space="preserve">(the Secretary) under subsection 42U(1) of the </w:t>
      </w:r>
      <w:r w:rsidRPr="00460E66">
        <w:rPr>
          <w:rFonts w:cs="Arial"/>
          <w:i/>
          <w:szCs w:val="24"/>
        </w:rPr>
        <w:t>Social Security (Administration) Act 1999</w:t>
      </w:r>
      <w:r w:rsidRPr="00460E66">
        <w:rPr>
          <w:rFonts w:cs="Arial"/>
          <w:szCs w:val="24"/>
        </w:rPr>
        <w:t xml:space="preserve"> (the Act). </w:t>
      </w:r>
    </w:p>
    <w:p w14:paraId="6BD2A0A3" w14:textId="77777777" w:rsidR="00225933" w:rsidRDefault="00225933" w:rsidP="006D1768">
      <w:pPr>
        <w:spacing w:before="0" w:after="0"/>
        <w:outlineLvl w:val="0"/>
        <w:rPr>
          <w:rFonts w:cs="Arial"/>
          <w:szCs w:val="24"/>
        </w:rPr>
      </w:pPr>
    </w:p>
    <w:p w14:paraId="0A6989F9" w14:textId="53668A96" w:rsidR="00225933" w:rsidRDefault="00225933" w:rsidP="006D1768">
      <w:pPr>
        <w:spacing w:before="0" w:after="0"/>
        <w:outlineLvl w:val="0"/>
        <w:rPr>
          <w:rFonts w:cs="Arial"/>
          <w:szCs w:val="24"/>
        </w:rPr>
      </w:pPr>
      <w:r>
        <w:rPr>
          <w:rFonts w:cs="Arial"/>
          <w:szCs w:val="24"/>
        </w:rPr>
        <w:t xml:space="preserve">From </w:t>
      </w:r>
      <w:r w:rsidRPr="006D1768">
        <w:rPr>
          <w:rFonts w:cs="Arial"/>
          <w:szCs w:val="24"/>
        </w:rPr>
        <w:t>1 July 2018</w:t>
      </w:r>
      <w:r>
        <w:rPr>
          <w:rFonts w:cs="Arial"/>
          <w:szCs w:val="24"/>
        </w:rPr>
        <w:t xml:space="preserve">, a new instrument, the </w:t>
      </w:r>
      <w:r w:rsidRPr="00460E66">
        <w:rPr>
          <w:rFonts w:cs="Arial"/>
          <w:i/>
          <w:szCs w:val="24"/>
        </w:rPr>
        <w:t>Social Security (Administration) (Reasonable Excuse – Participati</w:t>
      </w:r>
      <w:r>
        <w:rPr>
          <w:rFonts w:cs="Arial"/>
          <w:i/>
          <w:szCs w:val="24"/>
        </w:rPr>
        <w:t xml:space="preserve">on Payments) Determination 2018 </w:t>
      </w:r>
      <w:r>
        <w:rPr>
          <w:rFonts w:cs="Arial"/>
          <w:szCs w:val="24"/>
        </w:rPr>
        <w:t>(</w:t>
      </w:r>
      <w:r w:rsidRPr="009374EF">
        <w:rPr>
          <w:rFonts w:cs="Arial"/>
          <w:szCs w:val="24"/>
        </w:rPr>
        <w:t>the</w:t>
      </w:r>
      <w:r>
        <w:rPr>
          <w:rFonts w:cs="Arial"/>
          <w:szCs w:val="24"/>
        </w:rPr>
        <w:t xml:space="preserve"> Reasonable Excuse</w:t>
      </w:r>
      <w:r w:rsidRPr="009374EF">
        <w:rPr>
          <w:rFonts w:cs="Arial"/>
          <w:szCs w:val="24"/>
        </w:rPr>
        <w:t xml:space="preserve"> Determination</w:t>
      </w:r>
      <w:r>
        <w:rPr>
          <w:rFonts w:cs="Arial"/>
          <w:szCs w:val="24"/>
        </w:rPr>
        <w:t>) will set out the matters that the Secretary must, and must not, take into account in deciding whether a person has a reasonable excuse for committing a failure to comply with their obligation in relation to a participation payment for the purposes of subsections 4</w:t>
      </w:r>
      <w:r w:rsidR="0075779E">
        <w:rPr>
          <w:rFonts w:cs="Arial"/>
          <w:szCs w:val="24"/>
        </w:rPr>
        <w:t>2</w:t>
      </w:r>
      <w:r>
        <w:rPr>
          <w:rFonts w:cs="Arial"/>
          <w:szCs w:val="24"/>
        </w:rPr>
        <w:t>AI(1), 4</w:t>
      </w:r>
      <w:r w:rsidR="0075779E">
        <w:rPr>
          <w:rFonts w:cs="Arial"/>
          <w:szCs w:val="24"/>
        </w:rPr>
        <w:t>2</w:t>
      </w:r>
      <w:r>
        <w:rPr>
          <w:rFonts w:cs="Arial"/>
          <w:szCs w:val="24"/>
        </w:rPr>
        <w:t>AI(3), 42U(1) and 42U(3) of the Act.</w:t>
      </w:r>
    </w:p>
    <w:p w14:paraId="0DDED992" w14:textId="77777777" w:rsidR="00225933" w:rsidRDefault="00225933" w:rsidP="006D1768">
      <w:pPr>
        <w:spacing w:before="0" w:after="0"/>
        <w:outlineLvl w:val="0"/>
        <w:rPr>
          <w:rFonts w:cs="Arial"/>
          <w:szCs w:val="24"/>
        </w:rPr>
      </w:pPr>
    </w:p>
    <w:p w14:paraId="394D6DC9" w14:textId="5C5BA77B" w:rsidR="00225933" w:rsidRDefault="00225933" w:rsidP="006D1768">
      <w:pPr>
        <w:spacing w:before="0" w:after="0"/>
        <w:outlineLvl w:val="0"/>
        <w:rPr>
          <w:rFonts w:cs="Arial"/>
          <w:szCs w:val="24"/>
        </w:rPr>
      </w:pPr>
      <w:r>
        <w:rPr>
          <w:rFonts w:cs="Arial"/>
          <w:szCs w:val="24"/>
        </w:rPr>
        <w:t>The purpose of the Determination is to ensure that the Reasonable Excuse Determination is the sole instrument governing reasonable excuse matters relevant to participation payments. As such, the Determination:</w:t>
      </w:r>
    </w:p>
    <w:p w14:paraId="6A799740" w14:textId="77777777" w:rsidR="00846BEB" w:rsidRDefault="00846BEB" w:rsidP="00846BEB">
      <w:pPr>
        <w:spacing w:before="0" w:after="0"/>
        <w:outlineLvl w:val="0"/>
        <w:rPr>
          <w:rFonts w:cs="Arial"/>
          <w:szCs w:val="24"/>
        </w:rPr>
      </w:pPr>
    </w:p>
    <w:p w14:paraId="55AC6D48" w14:textId="5460E961" w:rsidR="00846BEB" w:rsidRDefault="00225933" w:rsidP="006D1768">
      <w:pPr>
        <w:pStyle w:val="ListParagraph"/>
        <w:numPr>
          <w:ilvl w:val="0"/>
          <w:numId w:val="10"/>
        </w:numPr>
        <w:spacing w:before="0" w:after="0"/>
        <w:outlineLvl w:val="0"/>
        <w:rPr>
          <w:rFonts w:cs="Arial"/>
          <w:szCs w:val="24"/>
        </w:rPr>
      </w:pPr>
      <w:r w:rsidRPr="00225933">
        <w:rPr>
          <w:rFonts w:ascii="Arial" w:hAnsi="Arial" w:cs="Arial"/>
          <w:szCs w:val="24"/>
        </w:rPr>
        <w:t xml:space="preserve">amends the </w:t>
      </w:r>
      <w:r w:rsidRPr="00846BEB">
        <w:rPr>
          <w:rFonts w:ascii="Arial" w:hAnsi="Arial" w:cs="Arial"/>
          <w:szCs w:val="24"/>
        </w:rPr>
        <w:t xml:space="preserve">Social Security (Reasonable Excuse – Participation Payment Obligations) (DEEWR) Determination 2009 (No. 1) </w:t>
      </w:r>
      <w:r w:rsidRPr="00225933">
        <w:rPr>
          <w:rFonts w:ascii="Arial" w:hAnsi="Arial" w:cs="Arial"/>
          <w:szCs w:val="24"/>
        </w:rPr>
        <w:t xml:space="preserve">(the DEEWR Determination) so that, from </w:t>
      </w:r>
      <w:r w:rsidRPr="00846BEB">
        <w:rPr>
          <w:rFonts w:ascii="Arial" w:hAnsi="Arial" w:cs="Arial"/>
          <w:szCs w:val="24"/>
        </w:rPr>
        <w:t>1 July 2018</w:t>
      </w:r>
      <w:r w:rsidRPr="00225933">
        <w:rPr>
          <w:rFonts w:ascii="Arial" w:hAnsi="Arial" w:cs="Arial"/>
          <w:szCs w:val="24"/>
        </w:rPr>
        <w:t xml:space="preserve">, the DEEWR Determination will no longer apply, for the purposes of subsection 42U(1) of the Act, to recipients of the following participation payments: newstart allowance, youth allowance (if the recipient is not a new apprentice or a full-time student), and parenting payment (if the recipient is subject to participation requirements). The DEEWR Determination will continue to apply for the purposes of sections 550(2A), 550B(2A), 576(2A) and 576A(2A) of the </w:t>
      </w:r>
      <w:r w:rsidRPr="00846BEB">
        <w:rPr>
          <w:rFonts w:ascii="Arial" w:hAnsi="Arial" w:cs="Arial"/>
          <w:szCs w:val="24"/>
        </w:rPr>
        <w:t>Social Security Act 1991</w:t>
      </w:r>
      <w:r w:rsidRPr="00225933">
        <w:rPr>
          <w:rFonts w:ascii="Arial" w:hAnsi="Arial" w:cs="Arial"/>
          <w:szCs w:val="24"/>
        </w:rPr>
        <w:t>, to recipients of youth allowance for full-time students and Austudy</w:t>
      </w:r>
      <w:r w:rsidR="000E0246">
        <w:rPr>
          <w:rFonts w:ascii="Arial" w:hAnsi="Arial" w:cs="Arial"/>
          <w:szCs w:val="24"/>
        </w:rPr>
        <w:t>; and</w:t>
      </w:r>
    </w:p>
    <w:p w14:paraId="52E946BC" w14:textId="77777777" w:rsidR="00846BEB" w:rsidRPr="00846BEB" w:rsidRDefault="00846BEB" w:rsidP="00846BEB">
      <w:pPr>
        <w:spacing w:before="0" w:after="0"/>
        <w:ind w:left="360"/>
        <w:outlineLvl w:val="0"/>
        <w:rPr>
          <w:rFonts w:cs="Arial"/>
          <w:szCs w:val="24"/>
        </w:rPr>
      </w:pPr>
    </w:p>
    <w:p w14:paraId="5A4B837F" w14:textId="0A8614A2" w:rsidR="00225933" w:rsidRDefault="00225933" w:rsidP="006D1768">
      <w:pPr>
        <w:pStyle w:val="ListParagraph"/>
        <w:numPr>
          <w:ilvl w:val="0"/>
          <w:numId w:val="10"/>
        </w:numPr>
        <w:spacing w:before="0" w:after="0"/>
        <w:outlineLvl w:val="0"/>
        <w:rPr>
          <w:rFonts w:cs="Arial"/>
          <w:szCs w:val="24"/>
        </w:rPr>
      </w:pPr>
      <w:r w:rsidRPr="00225933">
        <w:rPr>
          <w:rFonts w:ascii="Arial" w:hAnsi="Arial" w:cs="Arial"/>
          <w:szCs w:val="24"/>
        </w:rPr>
        <w:t xml:space="preserve">repeals the </w:t>
      </w:r>
      <w:r w:rsidRPr="00846BEB">
        <w:rPr>
          <w:rFonts w:ascii="Arial" w:hAnsi="Arial" w:cs="Arial"/>
          <w:szCs w:val="24"/>
        </w:rPr>
        <w:t>Social Security (Reasonable Excuse – Participation Payment Obligations) (FaHCSIA) Determination 2009 (No. 1)</w:t>
      </w:r>
      <w:r w:rsidRPr="00225933">
        <w:rPr>
          <w:rFonts w:ascii="Arial" w:hAnsi="Arial" w:cs="Arial"/>
          <w:szCs w:val="24"/>
        </w:rPr>
        <w:t xml:space="preserve"> (the FaHCSIA Determination) so that from </w:t>
      </w:r>
      <w:r w:rsidRPr="00846BEB">
        <w:rPr>
          <w:rFonts w:ascii="Arial" w:hAnsi="Arial" w:cs="Arial"/>
          <w:szCs w:val="24"/>
        </w:rPr>
        <w:t>1 July 2018</w:t>
      </w:r>
      <w:r w:rsidRPr="00225933">
        <w:rPr>
          <w:rFonts w:ascii="Arial" w:hAnsi="Arial" w:cs="Arial"/>
          <w:szCs w:val="24"/>
        </w:rPr>
        <w:t>, the FaHCSIA Determination no longer applies, for the purposes of subsection 42U(1) of the Act, to special benefit (if the recipient is a nominated visa holder) (which is also a participation payment).</w:t>
      </w:r>
    </w:p>
    <w:p w14:paraId="1E0079E1" w14:textId="24E6103F" w:rsidR="000E0246" w:rsidRDefault="000E0246">
      <w:pPr>
        <w:spacing w:before="0" w:after="200" w:line="276" w:lineRule="auto"/>
        <w:rPr>
          <w:rFonts w:cs="Arial"/>
          <w:szCs w:val="24"/>
        </w:rPr>
      </w:pPr>
      <w:r>
        <w:rPr>
          <w:rFonts w:cs="Arial"/>
          <w:szCs w:val="24"/>
        </w:rPr>
        <w:br w:type="page"/>
      </w:r>
    </w:p>
    <w:p w14:paraId="0D5711DB" w14:textId="4E6B365F" w:rsidR="00846BEB" w:rsidRDefault="00846BEB" w:rsidP="006D1768">
      <w:pPr>
        <w:spacing w:before="0" w:after="0"/>
        <w:outlineLvl w:val="0"/>
        <w:rPr>
          <w:rFonts w:cs="Arial"/>
          <w:szCs w:val="24"/>
        </w:rPr>
      </w:pPr>
      <w:r>
        <w:rPr>
          <w:rFonts w:cs="Arial"/>
          <w:i/>
          <w:szCs w:val="24"/>
        </w:rPr>
        <w:lastRenderedPageBreak/>
        <w:t xml:space="preserve">The DEEWR Determination </w:t>
      </w:r>
    </w:p>
    <w:p w14:paraId="6054AAEA" w14:textId="77777777" w:rsidR="00846BEB" w:rsidRDefault="00846BEB" w:rsidP="006D1768">
      <w:pPr>
        <w:spacing w:before="0" w:after="0"/>
        <w:outlineLvl w:val="0"/>
        <w:rPr>
          <w:rFonts w:cs="Arial"/>
          <w:szCs w:val="24"/>
        </w:rPr>
      </w:pPr>
    </w:p>
    <w:p w14:paraId="2B2DC13B" w14:textId="114D3AFF" w:rsidR="00846BEB" w:rsidRDefault="00846BEB" w:rsidP="006D1768">
      <w:pPr>
        <w:spacing w:before="0" w:after="0"/>
        <w:outlineLvl w:val="0"/>
        <w:rPr>
          <w:rFonts w:cs="Arial"/>
          <w:szCs w:val="24"/>
        </w:rPr>
      </w:pPr>
      <w:r>
        <w:rPr>
          <w:rFonts w:cs="Arial"/>
          <w:szCs w:val="24"/>
        </w:rPr>
        <w:t>T</w:t>
      </w:r>
      <w:r w:rsidRPr="00460E66">
        <w:rPr>
          <w:rFonts w:cs="Arial"/>
          <w:szCs w:val="24"/>
        </w:rPr>
        <w:t xml:space="preserve">he DEEWR Determination </w:t>
      </w:r>
      <w:r>
        <w:rPr>
          <w:rFonts w:cs="Arial"/>
          <w:szCs w:val="24"/>
        </w:rPr>
        <w:t>applies to recipients of the following participation payments:</w:t>
      </w:r>
    </w:p>
    <w:p w14:paraId="155AAF55" w14:textId="77777777" w:rsidR="00846BEB" w:rsidRPr="00460E66" w:rsidRDefault="00846BEB" w:rsidP="006D1768">
      <w:pPr>
        <w:pStyle w:val="ListParagraph"/>
        <w:numPr>
          <w:ilvl w:val="0"/>
          <w:numId w:val="11"/>
        </w:numPr>
        <w:spacing w:before="0" w:after="0"/>
        <w:outlineLvl w:val="0"/>
        <w:rPr>
          <w:rFonts w:ascii="Arial" w:hAnsi="Arial" w:cs="Arial"/>
          <w:szCs w:val="24"/>
        </w:rPr>
      </w:pPr>
      <w:r w:rsidRPr="00460E66">
        <w:rPr>
          <w:rFonts w:ascii="Arial" w:hAnsi="Arial" w:cs="Arial"/>
          <w:szCs w:val="24"/>
        </w:rPr>
        <w:t>newstart allowance;</w:t>
      </w:r>
    </w:p>
    <w:p w14:paraId="5304FA83" w14:textId="77777777" w:rsidR="00846BEB" w:rsidRPr="00460E66" w:rsidRDefault="00846BEB" w:rsidP="006D1768">
      <w:pPr>
        <w:pStyle w:val="ListParagraph"/>
        <w:numPr>
          <w:ilvl w:val="0"/>
          <w:numId w:val="11"/>
        </w:numPr>
        <w:spacing w:before="0" w:after="0"/>
        <w:outlineLvl w:val="0"/>
        <w:rPr>
          <w:rFonts w:ascii="Arial" w:hAnsi="Arial" w:cs="Arial"/>
          <w:szCs w:val="24"/>
        </w:rPr>
      </w:pPr>
      <w:r w:rsidRPr="00460E66">
        <w:rPr>
          <w:rFonts w:ascii="Arial" w:hAnsi="Arial" w:cs="Arial"/>
          <w:szCs w:val="24"/>
        </w:rPr>
        <w:t xml:space="preserve">youth allowance (if the recipient is </w:t>
      </w:r>
      <w:r w:rsidRPr="006D1768">
        <w:rPr>
          <w:rFonts w:ascii="Arial" w:hAnsi="Arial" w:cs="Arial"/>
          <w:szCs w:val="24"/>
        </w:rPr>
        <w:t>not</w:t>
      </w:r>
      <w:r w:rsidRPr="00460E66">
        <w:rPr>
          <w:rFonts w:ascii="Arial" w:hAnsi="Arial" w:cs="Arial"/>
          <w:szCs w:val="24"/>
        </w:rPr>
        <w:t xml:space="preserve"> a new apprentice or </w:t>
      </w:r>
      <w:r>
        <w:rPr>
          <w:rFonts w:ascii="Arial" w:hAnsi="Arial" w:cs="Arial"/>
          <w:szCs w:val="24"/>
        </w:rPr>
        <w:t xml:space="preserve">a </w:t>
      </w:r>
      <w:r w:rsidRPr="00460E66">
        <w:rPr>
          <w:rFonts w:ascii="Arial" w:hAnsi="Arial" w:cs="Arial"/>
          <w:szCs w:val="24"/>
        </w:rPr>
        <w:t>full-time student);</w:t>
      </w:r>
      <w:r>
        <w:rPr>
          <w:rFonts w:ascii="Arial" w:hAnsi="Arial" w:cs="Arial"/>
          <w:szCs w:val="24"/>
        </w:rPr>
        <w:t xml:space="preserve"> and</w:t>
      </w:r>
    </w:p>
    <w:p w14:paraId="010B5AFF" w14:textId="77777777" w:rsidR="00846BEB" w:rsidRPr="00460E66" w:rsidRDefault="00846BEB" w:rsidP="006D1768">
      <w:pPr>
        <w:pStyle w:val="ListParagraph"/>
        <w:numPr>
          <w:ilvl w:val="0"/>
          <w:numId w:val="11"/>
        </w:numPr>
        <w:spacing w:before="0" w:after="0"/>
        <w:outlineLvl w:val="0"/>
        <w:rPr>
          <w:rFonts w:ascii="Arial" w:hAnsi="Arial" w:cs="Arial"/>
          <w:szCs w:val="24"/>
        </w:rPr>
      </w:pPr>
      <w:r w:rsidRPr="00460E66">
        <w:rPr>
          <w:rFonts w:ascii="Arial" w:hAnsi="Arial" w:cs="Arial"/>
          <w:szCs w:val="24"/>
        </w:rPr>
        <w:t>parenting payment (if the recipient is s</w:t>
      </w:r>
      <w:r>
        <w:rPr>
          <w:rFonts w:ascii="Arial" w:hAnsi="Arial" w:cs="Arial"/>
          <w:szCs w:val="24"/>
        </w:rPr>
        <w:t>ubject to participation requirements).</w:t>
      </w:r>
    </w:p>
    <w:p w14:paraId="2BAE8F3A" w14:textId="77777777" w:rsidR="00846BEB" w:rsidRDefault="00846BEB" w:rsidP="006D1768">
      <w:pPr>
        <w:spacing w:before="0" w:after="0"/>
        <w:outlineLvl w:val="0"/>
        <w:rPr>
          <w:rFonts w:cs="Arial"/>
          <w:szCs w:val="24"/>
        </w:rPr>
      </w:pPr>
    </w:p>
    <w:p w14:paraId="62B96C73" w14:textId="434DB765" w:rsidR="00846BEB" w:rsidRDefault="00846BEB" w:rsidP="006D1768">
      <w:pPr>
        <w:spacing w:before="0" w:after="0"/>
        <w:outlineLvl w:val="0"/>
        <w:rPr>
          <w:rFonts w:cs="Arial"/>
          <w:szCs w:val="24"/>
        </w:rPr>
      </w:pPr>
      <w:r>
        <w:rPr>
          <w:rFonts w:cs="Arial"/>
          <w:szCs w:val="24"/>
        </w:rPr>
        <w:t>It sets out the matters</w:t>
      </w:r>
      <w:r w:rsidRPr="00460E66">
        <w:rPr>
          <w:rFonts w:cs="Arial"/>
          <w:szCs w:val="24"/>
        </w:rPr>
        <w:t xml:space="preserve"> that the Secretary must take into account in deciding whether a person has a reasonable excuse for committing a failure to comply with their obligations in relation to </w:t>
      </w:r>
      <w:r>
        <w:rPr>
          <w:rFonts w:cs="Arial"/>
          <w:szCs w:val="24"/>
        </w:rPr>
        <w:t xml:space="preserve">those </w:t>
      </w:r>
      <w:r w:rsidRPr="00460E66">
        <w:rPr>
          <w:rFonts w:cs="Arial"/>
          <w:szCs w:val="24"/>
        </w:rPr>
        <w:t>participation payment</w:t>
      </w:r>
      <w:r>
        <w:rPr>
          <w:rFonts w:cs="Arial"/>
          <w:szCs w:val="24"/>
        </w:rPr>
        <w:t>s</w:t>
      </w:r>
      <w:r w:rsidRPr="00460E66">
        <w:rPr>
          <w:rFonts w:cs="Arial"/>
          <w:szCs w:val="24"/>
        </w:rPr>
        <w:t xml:space="preserve"> for the purposes of subsection 42U(1) of the Act.</w:t>
      </w:r>
    </w:p>
    <w:p w14:paraId="7E826EF3" w14:textId="77777777" w:rsidR="00846BEB" w:rsidRDefault="00846BEB" w:rsidP="006D1768">
      <w:pPr>
        <w:spacing w:before="0" w:after="0"/>
        <w:outlineLvl w:val="0"/>
        <w:rPr>
          <w:rFonts w:cs="Arial"/>
          <w:szCs w:val="24"/>
        </w:rPr>
      </w:pPr>
    </w:p>
    <w:p w14:paraId="6CE74979" w14:textId="77777777" w:rsidR="00846BEB" w:rsidRDefault="00846BEB" w:rsidP="006D1768">
      <w:pPr>
        <w:spacing w:before="0" w:after="0"/>
        <w:outlineLvl w:val="0"/>
        <w:rPr>
          <w:rFonts w:cs="Arial"/>
          <w:szCs w:val="24"/>
        </w:rPr>
      </w:pPr>
      <w:r>
        <w:rPr>
          <w:rFonts w:cs="Arial"/>
          <w:szCs w:val="24"/>
        </w:rPr>
        <w:t xml:space="preserve">It also sets out the matters </w:t>
      </w:r>
      <w:r w:rsidRPr="00673006">
        <w:rPr>
          <w:rFonts w:cs="Arial"/>
          <w:szCs w:val="24"/>
        </w:rPr>
        <w:t xml:space="preserve">that the Secretary must take into account in deciding whether a person has a reasonable excuse for committing a participation failure in </w:t>
      </w:r>
      <w:r>
        <w:rPr>
          <w:rFonts w:cs="Arial"/>
          <w:szCs w:val="24"/>
        </w:rPr>
        <w:t>relation</w:t>
      </w:r>
      <w:r w:rsidRPr="00673006">
        <w:rPr>
          <w:rFonts w:cs="Arial"/>
          <w:szCs w:val="24"/>
        </w:rPr>
        <w:t xml:space="preserve"> to youth allowance (if the person is </w:t>
      </w:r>
      <w:r>
        <w:rPr>
          <w:rFonts w:cs="Arial"/>
          <w:szCs w:val="24"/>
        </w:rPr>
        <w:t xml:space="preserve">a full-time student) or Austudy, </w:t>
      </w:r>
      <w:r w:rsidRPr="00673006">
        <w:rPr>
          <w:rFonts w:cs="Arial"/>
          <w:szCs w:val="24"/>
        </w:rPr>
        <w:t xml:space="preserve">for the purposes of sections 550(2A), 550B(2A), 576(2A) and 576A(2A) of the </w:t>
      </w:r>
      <w:r>
        <w:rPr>
          <w:rFonts w:cs="Arial"/>
          <w:i/>
          <w:szCs w:val="24"/>
        </w:rPr>
        <w:t>Social Security Act 1991</w:t>
      </w:r>
      <w:r>
        <w:rPr>
          <w:rFonts w:cs="Arial"/>
          <w:szCs w:val="24"/>
        </w:rPr>
        <w:t>.</w:t>
      </w:r>
    </w:p>
    <w:p w14:paraId="7FFAA80E" w14:textId="77777777" w:rsidR="00846BEB" w:rsidRDefault="00846BEB" w:rsidP="006D1768">
      <w:pPr>
        <w:spacing w:before="0" w:after="0"/>
        <w:outlineLvl w:val="0"/>
        <w:rPr>
          <w:rFonts w:cs="Arial"/>
          <w:szCs w:val="24"/>
        </w:rPr>
      </w:pPr>
    </w:p>
    <w:p w14:paraId="4E0E2017" w14:textId="77777777" w:rsidR="00846BEB" w:rsidRPr="006D1768" w:rsidRDefault="00846BEB" w:rsidP="006D1768">
      <w:pPr>
        <w:spacing w:before="0" w:after="0"/>
        <w:outlineLvl w:val="0"/>
        <w:rPr>
          <w:rFonts w:cs="Arial"/>
          <w:i/>
          <w:szCs w:val="24"/>
        </w:rPr>
      </w:pPr>
      <w:r>
        <w:rPr>
          <w:rFonts w:cs="Arial"/>
          <w:i/>
          <w:szCs w:val="24"/>
        </w:rPr>
        <w:t>The FaHCSIA Determination</w:t>
      </w:r>
    </w:p>
    <w:p w14:paraId="0EF1E7B4" w14:textId="77777777" w:rsidR="00846BEB" w:rsidRDefault="00846BEB" w:rsidP="006D1768">
      <w:pPr>
        <w:spacing w:before="0" w:after="0"/>
        <w:outlineLvl w:val="0"/>
        <w:rPr>
          <w:rFonts w:cs="Arial"/>
          <w:szCs w:val="24"/>
        </w:rPr>
      </w:pPr>
    </w:p>
    <w:p w14:paraId="71529398" w14:textId="77777777" w:rsidR="00846BEB" w:rsidRDefault="00846BEB" w:rsidP="006D1768">
      <w:pPr>
        <w:spacing w:before="0" w:after="0"/>
        <w:outlineLvl w:val="0"/>
        <w:rPr>
          <w:rFonts w:cs="Arial"/>
          <w:szCs w:val="24"/>
        </w:rPr>
      </w:pPr>
      <w:r>
        <w:rPr>
          <w:rFonts w:cs="Arial"/>
          <w:szCs w:val="24"/>
        </w:rPr>
        <w:t xml:space="preserve">The FaHCSIA Determination applies to recipients of </w:t>
      </w:r>
      <w:r w:rsidRPr="00460E66">
        <w:rPr>
          <w:rFonts w:cs="Arial"/>
          <w:szCs w:val="24"/>
        </w:rPr>
        <w:t>special benefit</w:t>
      </w:r>
      <w:r>
        <w:rPr>
          <w:rFonts w:cs="Arial"/>
          <w:szCs w:val="24"/>
        </w:rPr>
        <w:t xml:space="preserve"> (nominated visa holders), which is also a participation payment.</w:t>
      </w:r>
    </w:p>
    <w:p w14:paraId="07F518B2" w14:textId="77777777" w:rsidR="00846BEB" w:rsidRDefault="00846BEB" w:rsidP="006D1768">
      <w:pPr>
        <w:spacing w:before="0" w:after="0"/>
        <w:outlineLvl w:val="0"/>
        <w:rPr>
          <w:rFonts w:cs="Arial"/>
          <w:szCs w:val="24"/>
        </w:rPr>
      </w:pPr>
    </w:p>
    <w:p w14:paraId="60C11C7C" w14:textId="77777777" w:rsidR="00846BEB" w:rsidRDefault="00846BEB" w:rsidP="006D1768">
      <w:pPr>
        <w:spacing w:before="0" w:after="0"/>
        <w:outlineLvl w:val="0"/>
        <w:rPr>
          <w:rFonts w:cs="Arial"/>
          <w:szCs w:val="24"/>
        </w:rPr>
      </w:pPr>
      <w:r>
        <w:rPr>
          <w:rFonts w:cs="Arial"/>
          <w:szCs w:val="24"/>
        </w:rPr>
        <w:t>It sets out the matters</w:t>
      </w:r>
      <w:r w:rsidRPr="00460E66">
        <w:rPr>
          <w:rFonts w:cs="Arial"/>
          <w:szCs w:val="24"/>
        </w:rPr>
        <w:t xml:space="preserve"> that the Secretary must take into account in deciding whether a person has a reasonable excuse for committing a failure to comply with their obligations in relation to </w:t>
      </w:r>
      <w:r>
        <w:rPr>
          <w:rFonts w:cs="Arial"/>
          <w:szCs w:val="24"/>
        </w:rPr>
        <w:t>that</w:t>
      </w:r>
      <w:r w:rsidRPr="00460E66">
        <w:rPr>
          <w:rFonts w:cs="Arial"/>
          <w:szCs w:val="24"/>
        </w:rPr>
        <w:t xml:space="preserve"> participation payment for the purposes of subsection 42U(1) of the Act.</w:t>
      </w:r>
    </w:p>
    <w:p w14:paraId="6B6EA73F" w14:textId="77777777" w:rsidR="00846BEB" w:rsidRDefault="00846BEB" w:rsidP="006D1768">
      <w:pPr>
        <w:spacing w:before="0" w:after="0"/>
        <w:outlineLvl w:val="0"/>
        <w:rPr>
          <w:rFonts w:cs="Arial"/>
          <w:szCs w:val="24"/>
        </w:rPr>
      </w:pPr>
    </w:p>
    <w:p w14:paraId="0F1312CD" w14:textId="77777777" w:rsidR="00846BEB" w:rsidRDefault="00846BEB" w:rsidP="006D1768">
      <w:pPr>
        <w:spacing w:before="0" w:after="0"/>
        <w:outlineLvl w:val="0"/>
        <w:rPr>
          <w:rFonts w:cs="Arial"/>
          <w:szCs w:val="24"/>
        </w:rPr>
      </w:pPr>
      <w:r>
        <w:rPr>
          <w:rFonts w:cs="Arial"/>
          <w:szCs w:val="24"/>
        </w:rPr>
        <w:t xml:space="preserve">It also sets out the matters that the Secretary must take into account in deciding whether a person had a reasonable excuse for committing certain special benefit failures that were previously set out in the </w:t>
      </w:r>
      <w:r w:rsidRPr="00071AF9">
        <w:rPr>
          <w:rFonts w:cs="Arial"/>
          <w:i/>
          <w:szCs w:val="24"/>
        </w:rPr>
        <w:t>Social Security Act 1991</w:t>
      </w:r>
      <w:r>
        <w:rPr>
          <w:rFonts w:cs="Arial"/>
          <w:szCs w:val="24"/>
        </w:rPr>
        <w:t xml:space="preserve"> </w:t>
      </w:r>
      <w:r w:rsidRPr="00460E66">
        <w:rPr>
          <w:rFonts w:cs="Arial"/>
          <w:szCs w:val="24"/>
        </w:rPr>
        <w:t xml:space="preserve">(the </w:t>
      </w:r>
      <w:r>
        <w:rPr>
          <w:rFonts w:cs="Arial"/>
          <w:szCs w:val="24"/>
        </w:rPr>
        <w:t>1991</w:t>
      </w:r>
      <w:r w:rsidRPr="009374EF">
        <w:rPr>
          <w:rFonts w:cs="Arial"/>
          <w:szCs w:val="24"/>
        </w:rPr>
        <w:t xml:space="preserve"> Act special benefit failures</w:t>
      </w:r>
      <w:r w:rsidRPr="00460E66">
        <w:rPr>
          <w:rFonts w:cs="Arial"/>
          <w:szCs w:val="24"/>
        </w:rPr>
        <w:t>).</w:t>
      </w:r>
      <w:r>
        <w:rPr>
          <w:rFonts w:cs="Arial"/>
          <w:szCs w:val="24"/>
        </w:rPr>
        <w:t xml:space="preserve"> </w:t>
      </w:r>
      <w:r w:rsidRPr="00460E66">
        <w:rPr>
          <w:rFonts w:cs="Arial"/>
          <w:szCs w:val="24"/>
        </w:rPr>
        <w:t xml:space="preserve">However, </w:t>
      </w:r>
      <w:r w:rsidRPr="00CC4CBB">
        <w:rPr>
          <w:rFonts w:cs="Arial"/>
          <w:szCs w:val="24"/>
        </w:rPr>
        <w:t>the</w:t>
      </w:r>
      <w:r>
        <w:rPr>
          <w:rFonts w:cs="Arial"/>
          <w:szCs w:val="24"/>
        </w:rPr>
        <w:t>se</w:t>
      </w:r>
      <w:r w:rsidRPr="00CC4CBB">
        <w:rPr>
          <w:rFonts w:cs="Arial"/>
          <w:szCs w:val="24"/>
        </w:rPr>
        <w:t xml:space="preserve"> </w:t>
      </w:r>
      <w:r>
        <w:rPr>
          <w:rFonts w:cs="Arial"/>
          <w:szCs w:val="24"/>
        </w:rPr>
        <w:t>1991</w:t>
      </w:r>
      <w:r w:rsidRPr="00CC4CBB">
        <w:rPr>
          <w:rFonts w:cs="Arial"/>
          <w:szCs w:val="24"/>
        </w:rPr>
        <w:t xml:space="preserve"> Act special benefit failures</w:t>
      </w:r>
      <w:r>
        <w:rPr>
          <w:rFonts w:cs="Arial"/>
          <w:szCs w:val="24"/>
        </w:rPr>
        <w:t xml:space="preserve"> and applicable compliance provisions </w:t>
      </w:r>
      <w:r w:rsidRPr="00CC4CBB">
        <w:rPr>
          <w:rFonts w:cs="Arial"/>
          <w:szCs w:val="24"/>
        </w:rPr>
        <w:t xml:space="preserve">(including the sections providing for the Secretary to determine, by legislative instrument, the matters to be taken into account in deciding whether a person had a reasonable excuse for committing the </w:t>
      </w:r>
      <w:r>
        <w:rPr>
          <w:rFonts w:cs="Arial"/>
          <w:szCs w:val="24"/>
        </w:rPr>
        <w:t>1991</w:t>
      </w:r>
      <w:r w:rsidRPr="00CC4CBB">
        <w:rPr>
          <w:rFonts w:cs="Arial"/>
          <w:szCs w:val="24"/>
        </w:rPr>
        <w:t xml:space="preserve"> Act special benefit failures) were repealed on 1 July 2009</w:t>
      </w:r>
      <w:r w:rsidRPr="00460E66">
        <w:rPr>
          <w:rFonts w:cs="Arial"/>
          <w:szCs w:val="24"/>
        </w:rPr>
        <w:t xml:space="preserve"> (see the </w:t>
      </w:r>
      <w:r w:rsidRPr="00460E66">
        <w:rPr>
          <w:rFonts w:cs="Arial"/>
          <w:i/>
          <w:szCs w:val="24"/>
        </w:rPr>
        <w:t>Social Security Legislation Amendment (Employment Services Reform) Act 2009</w:t>
      </w:r>
      <w:r w:rsidRPr="00460E66">
        <w:rPr>
          <w:rFonts w:cs="Arial"/>
          <w:szCs w:val="24"/>
        </w:rPr>
        <w:t xml:space="preserve"> (No. 7, 2009))</w:t>
      </w:r>
      <w:r>
        <w:rPr>
          <w:rFonts w:cs="Arial"/>
          <w:szCs w:val="24"/>
        </w:rPr>
        <w:t>. The effect of this is that the FaHCSIA Determination is now largely redundant.</w:t>
      </w:r>
    </w:p>
    <w:p w14:paraId="69C50023" w14:textId="77777777" w:rsidR="00846BEB" w:rsidRDefault="00846BEB" w:rsidP="006D1768">
      <w:pPr>
        <w:spacing w:before="0" w:after="0"/>
        <w:outlineLvl w:val="0"/>
        <w:rPr>
          <w:rFonts w:cs="Arial"/>
          <w:szCs w:val="24"/>
        </w:rPr>
      </w:pPr>
    </w:p>
    <w:p w14:paraId="45A32B5C" w14:textId="77777777" w:rsidR="00846BEB" w:rsidRPr="006D1768" w:rsidRDefault="00846BEB" w:rsidP="006D1768">
      <w:pPr>
        <w:spacing w:before="0" w:after="0"/>
        <w:outlineLvl w:val="0"/>
        <w:rPr>
          <w:rFonts w:cs="Arial"/>
          <w:i/>
          <w:szCs w:val="24"/>
        </w:rPr>
      </w:pPr>
      <w:r>
        <w:rPr>
          <w:rFonts w:cs="Arial"/>
          <w:i/>
          <w:szCs w:val="24"/>
        </w:rPr>
        <w:t xml:space="preserve">Reason for amending and repealing the </w:t>
      </w:r>
      <w:r w:rsidRPr="006D1768">
        <w:rPr>
          <w:rFonts w:cs="Arial"/>
          <w:i/>
          <w:szCs w:val="24"/>
        </w:rPr>
        <w:t xml:space="preserve">DEEWR </w:t>
      </w:r>
      <w:r>
        <w:rPr>
          <w:rFonts w:cs="Arial"/>
          <w:i/>
          <w:szCs w:val="24"/>
        </w:rPr>
        <w:t xml:space="preserve">and FaHCSIA </w:t>
      </w:r>
      <w:r w:rsidRPr="006D1768">
        <w:rPr>
          <w:rFonts w:cs="Arial"/>
          <w:i/>
          <w:szCs w:val="24"/>
        </w:rPr>
        <w:t>Determination</w:t>
      </w:r>
      <w:r>
        <w:rPr>
          <w:rFonts w:cs="Arial"/>
          <w:i/>
          <w:szCs w:val="24"/>
        </w:rPr>
        <w:t>s</w:t>
      </w:r>
      <w:r w:rsidRPr="006D1768">
        <w:rPr>
          <w:rFonts w:cs="Arial"/>
          <w:i/>
          <w:szCs w:val="24"/>
        </w:rPr>
        <w:t xml:space="preserve"> </w:t>
      </w:r>
      <w:r>
        <w:rPr>
          <w:rFonts w:cs="Arial"/>
          <w:i/>
          <w:szCs w:val="24"/>
        </w:rPr>
        <w:t>– the Reasonable Excuse Determination</w:t>
      </w:r>
    </w:p>
    <w:p w14:paraId="1FC350CD" w14:textId="77777777" w:rsidR="00846BEB" w:rsidRDefault="00846BEB" w:rsidP="006D1768">
      <w:pPr>
        <w:spacing w:before="0" w:after="0"/>
        <w:outlineLvl w:val="0"/>
        <w:rPr>
          <w:rFonts w:cs="Arial"/>
          <w:szCs w:val="24"/>
        </w:rPr>
      </w:pPr>
    </w:p>
    <w:p w14:paraId="22FF7CED" w14:textId="77777777" w:rsidR="00846BEB" w:rsidRDefault="00846BEB" w:rsidP="006D1768">
      <w:pPr>
        <w:spacing w:before="0" w:after="0"/>
        <w:outlineLvl w:val="0"/>
        <w:rPr>
          <w:rFonts w:cs="Arial"/>
          <w:szCs w:val="24"/>
        </w:rPr>
      </w:pPr>
      <w:r>
        <w:rPr>
          <w:rFonts w:cs="Arial"/>
          <w:szCs w:val="24"/>
        </w:rPr>
        <w:t xml:space="preserve">From 1 July 2018, a new single instrument, the Reasonable Excuse Determination, will set out the </w:t>
      </w:r>
      <w:r w:rsidRPr="00C56116">
        <w:rPr>
          <w:rFonts w:cs="Arial"/>
          <w:szCs w:val="24"/>
        </w:rPr>
        <w:t>matters that the Secretary must, and must not, take into account in deciding whether a person has a reasonable excuse for committing a failure to comply with their obligations in relation to a</w:t>
      </w:r>
      <w:r>
        <w:rPr>
          <w:rFonts w:cs="Arial"/>
          <w:szCs w:val="24"/>
        </w:rPr>
        <w:t>ll</w:t>
      </w:r>
      <w:r w:rsidRPr="00C56116">
        <w:rPr>
          <w:rFonts w:cs="Arial"/>
          <w:szCs w:val="24"/>
        </w:rPr>
        <w:t xml:space="preserve"> participation payment</w:t>
      </w:r>
      <w:r>
        <w:rPr>
          <w:rFonts w:cs="Arial"/>
          <w:szCs w:val="24"/>
        </w:rPr>
        <w:t>s.</w:t>
      </w:r>
    </w:p>
    <w:p w14:paraId="3E684945" w14:textId="77777777" w:rsidR="00846BEB" w:rsidRDefault="00846BEB" w:rsidP="006D1768">
      <w:pPr>
        <w:spacing w:before="0" w:after="0"/>
        <w:outlineLvl w:val="0"/>
        <w:rPr>
          <w:rFonts w:cs="Arial"/>
          <w:szCs w:val="24"/>
        </w:rPr>
      </w:pPr>
    </w:p>
    <w:p w14:paraId="41CFA63F" w14:textId="77777777" w:rsidR="00846BEB" w:rsidRDefault="00846BEB" w:rsidP="006D1768">
      <w:pPr>
        <w:spacing w:before="0" w:after="0"/>
        <w:outlineLvl w:val="0"/>
        <w:rPr>
          <w:rFonts w:cs="Arial"/>
          <w:szCs w:val="24"/>
        </w:rPr>
      </w:pPr>
      <w:r>
        <w:rPr>
          <w:rFonts w:cs="Arial"/>
          <w:szCs w:val="24"/>
        </w:rPr>
        <w:t>The Reasonable Excuse Determination effectively consolidates the reasonable excuse considerations for participation payment recipients into one instrument. It does this by</w:t>
      </w:r>
      <w:r w:rsidRPr="0013101E">
        <w:rPr>
          <w:rFonts w:cs="Arial"/>
          <w:szCs w:val="24"/>
        </w:rPr>
        <w:t>:</w:t>
      </w:r>
    </w:p>
    <w:p w14:paraId="562991FB" w14:textId="77777777" w:rsidR="00846BEB" w:rsidRPr="0013101E" w:rsidRDefault="00846BEB" w:rsidP="006D1768">
      <w:pPr>
        <w:spacing w:before="0" w:after="0"/>
        <w:outlineLvl w:val="0"/>
        <w:rPr>
          <w:rFonts w:cs="Arial"/>
          <w:szCs w:val="24"/>
        </w:rPr>
      </w:pPr>
    </w:p>
    <w:p w14:paraId="13D234E2" w14:textId="77777777" w:rsidR="00846BEB" w:rsidRPr="008246F7" w:rsidRDefault="00846BEB" w:rsidP="006D1768">
      <w:pPr>
        <w:pStyle w:val="ListParagraph"/>
        <w:numPr>
          <w:ilvl w:val="0"/>
          <w:numId w:val="17"/>
        </w:numPr>
        <w:spacing w:before="0" w:after="0"/>
        <w:outlineLvl w:val="0"/>
        <w:rPr>
          <w:rFonts w:cs="Arial"/>
          <w:szCs w:val="24"/>
        </w:rPr>
      </w:pPr>
      <w:r w:rsidRPr="0013101E">
        <w:rPr>
          <w:rFonts w:ascii="Arial" w:hAnsi="Arial" w:cs="Arial"/>
          <w:szCs w:val="24"/>
        </w:rPr>
        <w:t>replicat</w:t>
      </w:r>
      <w:r>
        <w:rPr>
          <w:rFonts w:ascii="Arial" w:hAnsi="Arial" w:cs="Arial"/>
          <w:szCs w:val="24"/>
        </w:rPr>
        <w:t>ing</w:t>
      </w:r>
      <w:r w:rsidRPr="0013101E">
        <w:rPr>
          <w:rFonts w:ascii="Arial" w:hAnsi="Arial" w:cs="Arial"/>
          <w:szCs w:val="24"/>
        </w:rPr>
        <w:t xml:space="preserve">, with some modifications, most of the matters that the Secretary must currently take into account in deciding if a participation payment recipient has a reasonable excuse for a failure </w:t>
      </w:r>
      <w:r w:rsidRPr="0013101E">
        <w:rPr>
          <w:rFonts w:ascii="Arial" w:hAnsi="Arial" w:cs="Arial"/>
        </w:rPr>
        <w:t>for the purposes of subsection 42U(1) of the Act</w:t>
      </w:r>
      <w:r w:rsidRPr="0013101E">
        <w:rPr>
          <w:rFonts w:ascii="Arial" w:hAnsi="Arial" w:cs="Arial"/>
          <w:szCs w:val="24"/>
        </w:rPr>
        <w:t xml:space="preserve">, as set out in the DEEWR Determination </w:t>
      </w:r>
      <w:r w:rsidRPr="0013101E">
        <w:rPr>
          <w:rFonts w:ascii="Arial" w:hAnsi="Arial" w:cs="Arial"/>
        </w:rPr>
        <w:t>and the FaHCSIA Determination</w:t>
      </w:r>
      <w:r>
        <w:rPr>
          <w:rFonts w:ascii="Arial" w:hAnsi="Arial" w:cs="Arial"/>
        </w:rPr>
        <w:t>; and</w:t>
      </w:r>
    </w:p>
    <w:p w14:paraId="02438EC2" w14:textId="77777777" w:rsidR="00846BEB" w:rsidRPr="008246F7" w:rsidRDefault="00846BEB" w:rsidP="006D1768">
      <w:pPr>
        <w:spacing w:before="0" w:after="0"/>
        <w:ind w:left="360"/>
        <w:outlineLvl w:val="0"/>
        <w:rPr>
          <w:rFonts w:cs="Arial"/>
          <w:szCs w:val="24"/>
        </w:rPr>
      </w:pPr>
    </w:p>
    <w:p w14:paraId="74C854FB" w14:textId="77777777" w:rsidR="00846BEB" w:rsidRPr="008246F7" w:rsidRDefault="00846BEB" w:rsidP="006D1768">
      <w:pPr>
        <w:pStyle w:val="ListParagraph"/>
        <w:numPr>
          <w:ilvl w:val="0"/>
          <w:numId w:val="17"/>
        </w:numPr>
        <w:spacing w:before="0" w:after="0"/>
        <w:outlineLvl w:val="0"/>
        <w:rPr>
          <w:rFonts w:cs="Arial"/>
          <w:szCs w:val="24"/>
        </w:rPr>
      </w:pPr>
      <w:r w:rsidRPr="006D1768">
        <w:rPr>
          <w:rFonts w:ascii="Arial" w:hAnsi="Arial" w:cs="Arial"/>
          <w:szCs w:val="24"/>
        </w:rPr>
        <w:t>implement</w:t>
      </w:r>
      <w:r w:rsidRPr="0013101E">
        <w:rPr>
          <w:rFonts w:ascii="Arial" w:hAnsi="Arial" w:cs="Arial"/>
          <w:szCs w:val="24"/>
        </w:rPr>
        <w:t>ing</w:t>
      </w:r>
      <w:r w:rsidRPr="006D1768">
        <w:rPr>
          <w:rFonts w:ascii="Arial" w:hAnsi="Arial" w:cs="Arial"/>
          <w:szCs w:val="24"/>
        </w:rPr>
        <w:t xml:space="preserve"> the 2017-18 Budget measure to prevent the Secretary from taking certain matters into account when deciding whether a participation payment recipient has a reasonable excuse for not meeting their obligations (new subsections 42AI(3) and 42U(3) of the </w:t>
      </w:r>
      <w:r w:rsidRPr="0013101E">
        <w:rPr>
          <w:rFonts w:ascii="Arial" w:hAnsi="Arial" w:cs="Arial"/>
          <w:szCs w:val="24"/>
        </w:rPr>
        <w:t>Act)</w:t>
      </w:r>
      <w:r w:rsidRPr="006D1768">
        <w:rPr>
          <w:rFonts w:ascii="Arial" w:hAnsi="Arial" w:cs="Arial"/>
        </w:rPr>
        <w:t>.</w:t>
      </w:r>
    </w:p>
    <w:p w14:paraId="44711D58" w14:textId="77777777" w:rsidR="00846BEB" w:rsidRPr="0023690E" w:rsidRDefault="00846BEB" w:rsidP="006D1768">
      <w:pPr>
        <w:spacing w:before="0" w:after="0"/>
        <w:outlineLvl w:val="0"/>
        <w:rPr>
          <w:rFonts w:cs="Arial"/>
          <w:szCs w:val="24"/>
        </w:rPr>
      </w:pPr>
    </w:p>
    <w:p w14:paraId="427F82A0" w14:textId="77777777" w:rsidR="00846BEB" w:rsidRDefault="00846BEB" w:rsidP="006D1768">
      <w:pPr>
        <w:spacing w:before="0" w:after="0"/>
        <w:outlineLvl w:val="0"/>
        <w:rPr>
          <w:rFonts w:cs="Arial"/>
          <w:szCs w:val="24"/>
        </w:rPr>
      </w:pPr>
      <w:r w:rsidRPr="0023690E">
        <w:rPr>
          <w:rFonts w:cs="Arial"/>
          <w:szCs w:val="24"/>
        </w:rPr>
        <w:t>The Determination, therefore, amends the DEEWR Determination and repeals the FaHCSIA</w:t>
      </w:r>
      <w:r>
        <w:rPr>
          <w:rFonts w:cs="Arial"/>
          <w:szCs w:val="24"/>
        </w:rPr>
        <w:t xml:space="preserve"> Determination (which is largely redundant) so that, from 1 July 2018, these two Determinations no longer apply to participation payment recipients. This ensures the Reasonable Excuse Determination is the sole instrument governing reasonable excuse matters relevant to participation payments.</w:t>
      </w:r>
    </w:p>
    <w:p w14:paraId="30C2FCCF" w14:textId="77777777" w:rsidR="00846BEB" w:rsidRDefault="00846BEB" w:rsidP="006D1768">
      <w:pPr>
        <w:spacing w:before="0" w:after="0"/>
        <w:outlineLvl w:val="0"/>
        <w:rPr>
          <w:rFonts w:cs="Arial"/>
          <w:szCs w:val="24"/>
        </w:rPr>
      </w:pPr>
    </w:p>
    <w:p w14:paraId="43694C05" w14:textId="77777777" w:rsidR="00846BEB" w:rsidRDefault="00846BEB" w:rsidP="00846BEB">
      <w:pPr>
        <w:rPr>
          <w:rFonts w:cs="Arial"/>
          <w:szCs w:val="24"/>
        </w:rPr>
      </w:pPr>
      <w:r>
        <w:rPr>
          <w:rFonts w:cs="Arial"/>
          <w:szCs w:val="24"/>
        </w:rPr>
        <w:t xml:space="preserve">As youth allowance for full-time students and Austudy are not participation payments, the amendments made by the Determination ensure the DEEWR Determination </w:t>
      </w:r>
      <w:r w:rsidRPr="00460E66">
        <w:rPr>
          <w:rFonts w:cs="Arial"/>
          <w:szCs w:val="24"/>
        </w:rPr>
        <w:t xml:space="preserve">continues to apply to recipients of </w:t>
      </w:r>
      <w:r>
        <w:rPr>
          <w:rFonts w:cs="Arial"/>
          <w:szCs w:val="24"/>
        </w:rPr>
        <w:t>youth allowance f</w:t>
      </w:r>
      <w:r w:rsidRPr="00460E66">
        <w:rPr>
          <w:rFonts w:cs="Arial"/>
          <w:szCs w:val="24"/>
        </w:rPr>
        <w:t xml:space="preserve">or full-time students and Austudy for the purposes of sections 550(2A), 550B(2A), 576(2A) and 576A(2A) of the </w:t>
      </w:r>
      <w:r w:rsidRPr="00460E66">
        <w:rPr>
          <w:rFonts w:cs="Arial"/>
          <w:i/>
          <w:szCs w:val="24"/>
        </w:rPr>
        <w:t>Social Security Act 1991</w:t>
      </w:r>
      <w:r>
        <w:rPr>
          <w:rFonts w:cs="Arial"/>
          <w:szCs w:val="24"/>
        </w:rPr>
        <w:t>.</w:t>
      </w:r>
    </w:p>
    <w:p w14:paraId="5036BAFD" w14:textId="77777777" w:rsidR="00440D1D" w:rsidRPr="00846BEB" w:rsidRDefault="00440D1D" w:rsidP="006D1768"/>
    <w:p w14:paraId="5EB06ED9" w14:textId="77777777" w:rsidR="00817F6B" w:rsidRPr="00460E66" w:rsidRDefault="00407795" w:rsidP="006D1768">
      <w:pPr>
        <w:pStyle w:val="numberlist"/>
        <w:spacing w:after="0"/>
        <w:rPr>
          <w:rFonts w:cs="Arial"/>
          <w:b/>
          <w:szCs w:val="24"/>
        </w:rPr>
      </w:pPr>
      <w:r w:rsidRPr="00460E66">
        <w:rPr>
          <w:rFonts w:cs="Arial"/>
          <w:b/>
          <w:szCs w:val="24"/>
        </w:rPr>
        <w:t>Human rights implications</w:t>
      </w:r>
    </w:p>
    <w:p w14:paraId="31996D19" w14:textId="77777777" w:rsidR="00C96139" w:rsidRPr="00460E66" w:rsidRDefault="00C96139" w:rsidP="006D1768">
      <w:pPr>
        <w:pStyle w:val="numberlist"/>
        <w:spacing w:after="0"/>
        <w:rPr>
          <w:rFonts w:cs="Arial"/>
          <w:b/>
          <w:szCs w:val="24"/>
        </w:rPr>
      </w:pPr>
    </w:p>
    <w:p w14:paraId="65FB31FE" w14:textId="08E2E6A8" w:rsidR="002737AC" w:rsidRPr="00C50C0C" w:rsidRDefault="007D78E9" w:rsidP="00B41E9F">
      <w:pPr>
        <w:spacing w:before="0" w:after="0"/>
        <w:rPr>
          <w:rFonts w:cs="Arial"/>
          <w:szCs w:val="24"/>
        </w:rPr>
      </w:pPr>
      <w:r>
        <w:rPr>
          <w:rFonts w:cs="Arial"/>
          <w:szCs w:val="24"/>
        </w:rPr>
        <w:t>The</w:t>
      </w:r>
      <w:r w:rsidR="00572BED">
        <w:rPr>
          <w:rFonts w:cs="Arial"/>
          <w:szCs w:val="24"/>
        </w:rPr>
        <w:t xml:space="preserve"> </w:t>
      </w:r>
      <w:r w:rsidR="002737AC" w:rsidRPr="00460E66">
        <w:rPr>
          <w:rFonts w:cs="Arial"/>
          <w:szCs w:val="24"/>
        </w:rPr>
        <w:t>Determination does not engage any of the applicable rights or freedoms.</w:t>
      </w:r>
      <w:r w:rsidR="00FD4BC2" w:rsidRPr="00460E66">
        <w:rPr>
          <w:rFonts w:cs="Arial"/>
          <w:szCs w:val="24"/>
        </w:rPr>
        <w:t xml:space="preserve"> The amendments to the DEEWR Determination and the repeal of the FaCHSIA Determination </w:t>
      </w:r>
      <w:r>
        <w:rPr>
          <w:rFonts w:cs="Arial"/>
          <w:szCs w:val="24"/>
        </w:rPr>
        <w:t>simply</w:t>
      </w:r>
      <w:r w:rsidR="002737AC" w:rsidRPr="00460E66">
        <w:rPr>
          <w:rFonts w:cs="Arial"/>
          <w:szCs w:val="24"/>
        </w:rPr>
        <w:t xml:space="preserve"> consolidate in</w:t>
      </w:r>
      <w:r>
        <w:rPr>
          <w:rFonts w:cs="Arial"/>
          <w:szCs w:val="24"/>
        </w:rPr>
        <w:t>to</w:t>
      </w:r>
      <w:r w:rsidR="002737AC" w:rsidRPr="00460E66">
        <w:rPr>
          <w:rFonts w:cs="Arial"/>
          <w:szCs w:val="24"/>
        </w:rPr>
        <w:t xml:space="preserve"> one instrument</w:t>
      </w:r>
      <w:r>
        <w:rPr>
          <w:rFonts w:cs="Arial"/>
          <w:szCs w:val="24"/>
        </w:rPr>
        <w:t xml:space="preserve"> (</w:t>
      </w:r>
      <w:r w:rsidR="002737AC" w:rsidRPr="00460E66">
        <w:rPr>
          <w:rFonts w:cs="Arial"/>
          <w:szCs w:val="24"/>
        </w:rPr>
        <w:t xml:space="preserve">the </w:t>
      </w:r>
      <w:r w:rsidRPr="00460E66">
        <w:rPr>
          <w:rFonts w:cs="Arial"/>
          <w:i/>
          <w:szCs w:val="24"/>
        </w:rPr>
        <w:t>Social Security (Administration) (Reasonable Excuse – Participati</w:t>
      </w:r>
      <w:r>
        <w:rPr>
          <w:rFonts w:cs="Arial"/>
          <w:i/>
          <w:szCs w:val="24"/>
        </w:rPr>
        <w:t>on Payments) Determination 2018</w:t>
      </w:r>
      <w:r>
        <w:rPr>
          <w:rFonts w:cs="Arial"/>
          <w:szCs w:val="24"/>
        </w:rPr>
        <w:t>)</w:t>
      </w:r>
      <w:r w:rsidR="002737AC" w:rsidRPr="00460E66">
        <w:rPr>
          <w:rFonts w:cs="Arial"/>
          <w:szCs w:val="24"/>
        </w:rPr>
        <w:t xml:space="preserve"> the reasonable excuse matters relevant to participation payment</w:t>
      </w:r>
      <w:r>
        <w:rPr>
          <w:rFonts w:cs="Arial"/>
          <w:szCs w:val="24"/>
        </w:rPr>
        <w:t xml:space="preserve"> recipients</w:t>
      </w:r>
      <w:r w:rsidR="00C50C0C">
        <w:rPr>
          <w:rFonts w:cs="Arial"/>
          <w:szCs w:val="24"/>
        </w:rPr>
        <w:t xml:space="preserve">. The </w:t>
      </w:r>
      <w:r w:rsidR="00B41E9F" w:rsidRPr="00460E66">
        <w:rPr>
          <w:rFonts w:cs="Arial"/>
          <w:szCs w:val="24"/>
        </w:rPr>
        <w:t>Statement of Compat</w:t>
      </w:r>
      <w:r w:rsidR="00B41E9F">
        <w:rPr>
          <w:rFonts w:cs="Arial"/>
          <w:szCs w:val="24"/>
        </w:rPr>
        <w:t xml:space="preserve">ibility with Human Rights to the </w:t>
      </w:r>
      <w:r w:rsidR="00B41E9F" w:rsidRPr="00460E66">
        <w:rPr>
          <w:rFonts w:cs="Arial"/>
          <w:i/>
          <w:szCs w:val="24"/>
        </w:rPr>
        <w:t>Social Security (Administration) (Reasonable Excuse – Participati</w:t>
      </w:r>
      <w:r w:rsidR="00B41E9F">
        <w:rPr>
          <w:rFonts w:cs="Arial"/>
          <w:i/>
          <w:szCs w:val="24"/>
        </w:rPr>
        <w:t xml:space="preserve">on Payments) Determination </w:t>
      </w:r>
      <w:r w:rsidR="00B41E9F" w:rsidRPr="00C50C0C">
        <w:rPr>
          <w:rFonts w:cs="Arial"/>
          <w:i/>
          <w:szCs w:val="24"/>
        </w:rPr>
        <w:t>2018</w:t>
      </w:r>
      <w:r w:rsidR="00B41E9F">
        <w:rPr>
          <w:rFonts w:cs="Arial"/>
          <w:szCs w:val="24"/>
        </w:rPr>
        <w:t xml:space="preserve"> addresses the human rights implications of that instrument.</w:t>
      </w:r>
    </w:p>
    <w:p w14:paraId="4BE5E590" w14:textId="77777777" w:rsidR="00467642" w:rsidRDefault="00467642" w:rsidP="006D1768">
      <w:pPr>
        <w:rPr>
          <w:rFonts w:cs="Arial"/>
          <w:b/>
          <w:szCs w:val="24"/>
        </w:rPr>
      </w:pPr>
    </w:p>
    <w:p w14:paraId="4DA49B7B" w14:textId="77777777" w:rsidR="009602E3" w:rsidRPr="00460E66" w:rsidRDefault="009602E3" w:rsidP="006D1768">
      <w:pPr>
        <w:pStyle w:val="numberlist"/>
        <w:spacing w:after="0"/>
        <w:rPr>
          <w:rFonts w:cs="Arial"/>
          <w:b/>
          <w:szCs w:val="24"/>
        </w:rPr>
      </w:pPr>
      <w:r w:rsidRPr="00460E66">
        <w:rPr>
          <w:rFonts w:cs="Arial"/>
          <w:b/>
          <w:szCs w:val="24"/>
        </w:rPr>
        <w:t xml:space="preserve">Conclusion </w:t>
      </w:r>
    </w:p>
    <w:p w14:paraId="3EED932D" w14:textId="77777777" w:rsidR="009602E3" w:rsidRPr="00460E66" w:rsidRDefault="009602E3" w:rsidP="006D1768">
      <w:pPr>
        <w:pStyle w:val="numberlist"/>
        <w:spacing w:after="0"/>
        <w:rPr>
          <w:rFonts w:cs="Arial"/>
          <w:b/>
          <w:szCs w:val="24"/>
        </w:rPr>
      </w:pPr>
    </w:p>
    <w:p w14:paraId="3B3408DA" w14:textId="221EF82F" w:rsidR="00FD4BC2" w:rsidRPr="00460E66" w:rsidRDefault="007D78E9" w:rsidP="0007731A">
      <w:pPr>
        <w:spacing w:before="0" w:after="0"/>
        <w:rPr>
          <w:rFonts w:cs="Arial"/>
          <w:szCs w:val="24"/>
        </w:rPr>
      </w:pPr>
      <w:r>
        <w:rPr>
          <w:rFonts w:cs="Arial"/>
          <w:szCs w:val="24"/>
        </w:rPr>
        <w:t>The</w:t>
      </w:r>
      <w:r w:rsidR="00572BED">
        <w:rPr>
          <w:rFonts w:cs="Arial"/>
          <w:szCs w:val="24"/>
        </w:rPr>
        <w:t xml:space="preserve"> </w:t>
      </w:r>
      <w:r w:rsidR="009602E3" w:rsidRPr="00460E66">
        <w:rPr>
          <w:rFonts w:cs="Arial"/>
          <w:szCs w:val="24"/>
        </w:rPr>
        <w:t xml:space="preserve">Determination is compatible with human rights </w:t>
      </w:r>
      <w:r w:rsidR="00FD4BC2" w:rsidRPr="00460E66">
        <w:rPr>
          <w:rFonts w:cs="Arial"/>
          <w:szCs w:val="24"/>
        </w:rPr>
        <w:t>as it does not raise any human rights issues.</w:t>
      </w:r>
    </w:p>
    <w:p w14:paraId="5644756D" w14:textId="77777777" w:rsidR="00407795" w:rsidRPr="00460E66" w:rsidRDefault="00407795" w:rsidP="00817F6B">
      <w:pPr>
        <w:spacing w:before="0" w:after="0"/>
        <w:rPr>
          <w:rFonts w:cs="Arial"/>
          <w:szCs w:val="24"/>
        </w:rPr>
      </w:pPr>
    </w:p>
    <w:sectPr w:rsidR="00407795" w:rsidRPr="00460E66" w:rsidSect="00407795">
      <w:pgSz w:w="11906" w:h="16838"/>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6BE1E0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8A5ECDE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0C3229E"/>
    <w:multiLevelType w:val="hybridMultilevel"/>
    <w:tmpl w:val="5A641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241F54"/>
    <w:multiLevelType w:val="hybridMultilevel"/>
    <w:tmpl w:val="B9C2DD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31501314"/>
    <w:multiLevelType w:val="hybridMultilevel"/>
    <w:tmpl w:val="1AFA6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6B2EDE"/>
    <w:multiLevelType w:val="hybridMultilevel"/>
    <w:tmpl w:val="7444E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14E0611"/>
    <w:multiLevelType w:val="singleLevel"/>
    <w:tmpl w:val="DD162334"/>
    <w:lvl w:ilvl="0">
      <w:start w:val="2"/>
      <w:numFmt w:val="decimal"/>
      <w:lvlText w:val="%1."/>
      <w:lvlJc w:val="left"/>
      <w:pPr>
        <w:tabs>
          <w:tab w:val="num" w:pos="360"/>
        </w:tabs>
        <w:ind w:left="360" w:hanging="360"/>
      </w:pPr>
      <w:rPr>
        <w:b w:val="0"/>
      </w:rPr>
    </w:lvl>
  </w:abstractNum>
  <w:abstractNum w:abstractNumId="7" w15:restartNumberingAfterBreak="0">
    <w:nsid w:val="43374707"/>
    <w:multiLevelType w:val="hybridMultilevel"/>
    <w:tmpl w:val="34B69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AD6766"/>
    <w:multiLevelType w:val="hybridMultilevel"/>
    <w:tmpl w:val="F5F2D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CE68A1"/>
    <w:multiLevelType w:val="hybridMultilevel"/>
    <w:tmpl w:val="7CFA2A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9534BD5"/>
    <w:multiLevelType w:val="hybridMultilevel"/>
    <w:tmpl w:val="C82A95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54087635"/>
    <w:multiLevelType w:val="hybridMultilevel"/>
    <w:tmpl w:val="3DBCC5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E3B59F6"/>
    <w:multiLevelType w:val="hybridMultilevel"/>
    <w:tmpl w:val="F4D8C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2F04A5E"/>
    <w:multiLevelType w:val="hybridMultilevel"/>
    <w:tmpl w:val="8AE88E2C"/>
    <w:lvl w:ilvl="0" w:tplc="50FA0D4E">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65F374E0"/>
    <w:multiLevelType w:val="hybridMultilevel"/>
    <w:tmpl w:val="F508C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0E5A2A"/>
    <w:multiLevelType w:val="hybridMultilevel"/>
    <w:tmpl w:val="ADFC52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AB96938"/>
    <w:multiLevelType w:val="hybridMultilevel"/>
    <w:tmpl w:val="434AD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C3C4FA1"/>
    <w:multiLevelType w:val="hybridMultilevel"/>
    <w:tmpl w:val="5958D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1"/>
  </w:num>
  <w:num w:numId="5">
    <w:abstractNumId w:val="6"/>
  </w:num>
  <w:num w:numId="6">
    <w:abstractNumId w:val="3"/>
  </w:num>
  <w:num w:numId="7">
    <w:abstractNumId w:val="14"/>
  </w:num>
  <w:num w:numId="8">
    <w:abstractNumId w:val="13"/>
  </w:num>
  <w:num w:numId="9">
    <w:abstractNumId w:val="8"/>
  </w:num>
  <w:num w:numId="10">
    <w:abstractNumId w:val="15"/>
  </w:num>
  <w:num w:numId="11">
    <w:abstractNumId w:val="4"/>
  </w:num>
  <w:num w:numId="12">
    <w:abstractNumId w:val="12"/>
  </w:num>
  <w:num w:numId="13">
    <w:abstractNumId w:val="2"/>
  </w:num>
  <w:num w:numId="14">
    <w:abstractNumId w:val="17"/>
  </w:num>
  <w:num w:numId="15">
    <w:abstractNumId w:val="5"/>
  </w:num>
  <w:num w:numId="16">
    <w:abstractNumId w:val="9"/>
  </w:num>
  <w:num w:numId="17">
    <w:abstractNumId w:val="16"/>
  </w:num>
  <w:num w:numId="18">
    <w:abstractNumId w:val="7"/>
  </w:num>
  <w:num w:numId="19">
    <w:abstractNumId w:val="10"/>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UniqueIdentifier" w:val="Empty"/>
  </w:docVars>
  <w:rsids>
    <w:rsidRoot w:val="00407795"/>
    <w:rsid w:val="00001072"/>
    <w:rsid w:val="000017DD"/>
    <w:rsid w:val="00001B16"/>
    <w:rsid w:val="000037AB"/>
    <w:rsid w:val="0001513C"/>
    <w:rsid w:val="000205BD"/>
    <w:rsid w:val="00022B1C"/>
    <w:rsid w:val="00034780"/>
    <w:rsid w:val="0003681A"/>
    <w:rsid w:val="0004285D"/>
    <w:rsid w:val="00052A0F"/>
    <w:rsid w:val="00052B43"/>
    <w:rsid w:val="000659C5"/>
    <w:rsid w:val="00071AF9"/>
    <w:rsid w:val="0007731A"/>
    <w:rsid w:val="000773D4"/>
    <w:rsid w:val="0008269F"/>
    <w:rsid w:val="000854EA"/>
    <w:rsid w:val="00092219"/>
    <w:rsid w:val="00094741"/>
    <w:rsid w:val="000950B4"/>
    <w:rsid w:val="000963C6"/>
    <w:rsid w:val="000A0F99"/>
    <w:rsid w:val="000A579B"/>
    <w:rsid w:val="000A664B"/>
    <w:rsid w:val="000B0629"/>
    <w:rsid w:val="000B0690"/>
    <w:rsid w:val="000C082F"/>
    <w:rsid w:val="000C583F"/>
    <w:rsid w:val="000D1307"/>
    <w:rsid w:val="000D491C"/>
    <w:rsid w:val="000E0246"/>
    <w:rsid w:val="000E29CA"/>
    <w:rsid w:val="000F27D8"/>
    <w:rsid w:val="000F53DC"/>
    <w:rsid w:val="00107528"/>
    <w:rsid w:val="00113B7A"/>
    <w:rsid w:val="00123867"/>
    <w:rsid w:val="00126CD6"/>
    <w:rsid w:val="0013101E"/>
    <w:rsid w:val="0013549C"/>
    <w:rsid w:val="00140CC6"/>
    <w:rsid w:val="001414B0"/>
    <w:rsid w:val="001521FD"/>
    <w:rsid w:val="001548CD"/>
    <w:rsid w:val="00157FDF"/>
    <w:rsid w:val="00160FC3"/>
    <w:rsid w:val="00161928"/>
    <w:rsid w:val="00167F12"/>
    <w:rsid w:val="0018017D"/>
    <w:rsid w:val="001822C4"/>
    <w:rsid w:val="00182481"/>
    <w:rsid w:val="0019276A"/>
    <w:rsid w:val="001927A7"/>
    <w:rsid w:val="0019598F"/>
    <w:rsid w:val="001964F9"/>
    <w:rsid w:val="001A0565"/>
    <w:rsid w:val="001A271C"/>
    <w:rsid w:val="001A6B1F"/>
    <w:rsid w:val="001B0792"/>
    <w:rsid w:val="001B796F"/>
    <w:rsid w:val="001C4EB1"/>
    <w:rsid w:val="001C58A4"/>
    <w:rsid w:val="001C591D"/>
    <w:rsid w:val="001C7197"/>
    <w:rsid w:val="001E2896"/>
    <w:rsid w:val="001E3CA3"/>
    <w:rsid w:val="001F4417"/>
    <w:rsid w:val="00200FA1"/>
    <w:rsid w:val="00201479"/>
    <w:rsid w:val="002115CF"/>
    <w:rsid w:val="00221923"/>
    <w:rsid w:val="00224C25"/>
    <w:rsid w:val="00225933"/>
    <w:rsid w:val="002261BB"/>
    <w:rsid w:val="0023690E"/>
    <w:rsid w:val="0024027B"/>
    <w:rsid w:val="00244885"/>
    <w:rsid w:val="002455A3"/>
    <w:rsid w:val="00246399"/>
    <w:rsid w:val="00251F2D"/>
    <w:rsid w:val="00262031"/>
    <w:rsid w:val="00262DF2"/>
    <w:rsid w:val="00266EC7"/>
    <w:rsid w:val="00272520"/>
    <w:rsid w:val="002737AC"/>
    <w:rsid w:val="00277456"/>
    <w:rsid w:val="002A6CE1"/>
    <w:rsid w:val="002B51E9"/>
    <w:rsid w:val="002B753D"/>
    <w:rsid w:val="002B7C59"/>
    <w:rsid w:val="002C3AE8"/>
    <w:rsid w:val="002D1787"/>
    <w:rsid w:val="002D1F2A"/>
    <w:rsid w:val="002D3A92"/>
    <w:rsid w:val="002D58FE"/>
    <w:rsid w:val="002E05F0"/>
    <w:rsid w:val="002E530E"/>
    <w:rsid w:val="002E6571"/>
    <w:rsid w:val="002F2489"/>
    <w:rsid w:val="002F6A78"/>
    <w:rsid w:val="0030084A"/>
    <w:rsid w:val="003104F0"/>
    <w:rsid w:val="003161F5"/>
    <w:rsid w:val="00316D13"/>
    <w:rsid w:val="003250E0"/>
    <w:rsid w:val="00325DCE"/>
    <w:rsid w:val="00335799"/>
    <w:rsid w:val="00346C8E"/>
    <w:rsid w:val="003520B3"/>
    <w:rsid w:val="0035501A"/>
    <w:rsid w:val="0036491A"/>
    <w:rsid w:val="00364DE7"/>
    <w:rsid w:val="003714B2"/>
    <w:rsid w:val="00372D83"/>
    <w:rsid w:val="00383D56"/>
    <w:rsid w:val="00384C28"/>
    <w:rsid w:val="00391A00"/>
    <w:rsid w:val="003B17BF"/>
    <w:rsid w:val="003B21ED"/>
    <w:rsid w:val="003B2A49"/>
    <w:rsid w:val="003B46D1"/>
    <w:rsid w:val="003B7E17"/>
    <w:rsid w:val="003D2CEB"/>
    <w:rsid w:val="003D6136"/>
    <w:rsid w:val="003E4DFC"/>
    <w:rsid w:val="003E7E47"/>
    <w:rsid w:val="003F05B8"/>
    <w:rsid w:val="003F74AF"/>
    <w:rsid w:val="004006B1"/>
    <w:rsid w:val="00401884"/>
    <w:rsid w:val="00402144"/>
    <w:rsid w:val="00407795"/>
    <w:rsid w:val="00410162"/>
    <w:rsid w:val="0041307F"/>
    <w:rsid w:val="004170A4"/>
    <w:rsid w:val="004208C5"/>
    <w:rsid w:val="00420C52"/>
    <w:rsid w:val="00422FAC"/>
    <w:rsid w:val="00425DE5"/>
    <w:rsid w:val="00431959"/>
    <w:rsid w:val="00437EEB"/>
    <w:rsid w:val="00440B31"/>
    <w:rsid w:val="00440D1D"/>
    <w:rsid w:val="00442D88"/>
    <w:rsid w:val="00460E66"/>
    <w:rsid w:val="00461171"/>
    <w:rsid w:val="00461F5D"/>
    <w:rsid w:val="004630EC"/>
    <w:rsid w:val="004658FD"/>
    <w:rsid w:val="00467642"/>
    <w:rsid w:val="0047192A"/>
    <w:rsid w:val="00491AE3"/>
    <w:rsid w:val="004A0700"/>
    <w:rsid w:val="004A1C93"/>
    <w:rsid w:val="004A2491"/>
    <w:rsid w:val="004B2578"/>
    <w:rsid w:val="004B6766"/>
    <w:rsid w:val="004C69A7"/>
    <w:rsid w:val="004D3096"/>
    <w:rsid w:val="004D79B5"/>
    <w:rsid w:val="004E03F3"/>
    <w:rsid w:val="004E2EBC"/>
    <w:rsid w:val="004E6A16"/>
    <w:rsid w:val="004F0EAB"/>
    <w:rsid w:val="004F503D"/>
    <w:rsid w:val="004F51CA"/>
    <w:rsid w:val="004F66DB"/>
    <w:rsid w:val="004F7359"/>
    <w:rsid w:val="00500C00"/>
    <w:rsid w:val="00520A90"/>
    <w:rsid w:val="00531056"/>
    <w:rsid w:val="005332BF"/>
    <w:rsid w:val="00534E6E"/>
    <w:rsid w:val="0053518A"/>
    <w:rsid w:val="005363F7"/>
    <w:rsid w:val="0054335A"/>
    <w:rsid w:val="005442C9"/>
    <w:rsid w:val="0054699A"/>
    <w:rsid w:val="00552E95"/>
    <w:rsid w:val="00554E94"/>
    <w:rsid w:val="00555CF0"/>
    <w:rsid w:val="00555F78"/>
    <w:rsid w:val="00556622"/>
    <w:rsid w:val="0056500D"/>
    <w:rsid w:val="005665F6"/>
    <w:rsid w:val="00570A68"/>
    <w:rsid w:val="005717E4"/>
    <w:rsid w:val="00572BED"/>
    <w:rsid w:val="00586329"/>
    <w:rsid w:val="005961D8"/>
    <w:rsid w:val="005A7AAD"/>
    <w:rsid w:val="005B2B98"/>
    <w:rsid w:val="005B69B8"/>
    <w:rsid w:val="005C3604"/>
    <w:rsid w:val="005C5304"/>
    <w:rsid w:val="005D5E20"/>
    <w:rsid w:val="005D6472"/>
    <w:rsid w:val="005E33E3"/>
    <w:rsid w:val="005E7F70"/>
    <w:rsid w:val="005F26B3"/>
    <w:rsid w:val="00615F68"/>
    <w:rsid w:val="00621E0D"/>
    <w:rsid w:val="00623CB6"/>
    <w:rsid w:val="00626DC8"/>
    <w:rsid w:val="00640B10"/>
    <w:rsid w:val="006522AD"/>
    <w:rsid w:val="00653C9E"/>
    <w:rsid w:val="006644D4"/>
    <w:rsid w:val="006647A3"/>
    <w:rsid w:val="0066672E"/>
    <w:rsid w:val="006714CD"/>
    <w:rsid w:val="00673006"/>
    <w:rsid w:val="006756AE"/>
    <w:rsid w:val="00677B24"/>
    <w:rsid w:val="00692A76"/>
    <w:rsid w:val="00694E78"/>
    <w:rsid w:val="006A06A9"/>
    <w:rsid w:val="006A1DFA"/>
    <w:rsid w:val="006A46F4"/>
    <w:rsid w:val="006A4A3A"/>
    <w:rsid w:val="006B4135"/>
    <w:rsid w:val="006C7D46"/>
    <w:rsid w:val="006D0B21"/>
    <w:rsid w:val="006D1768"/>
    <w:rsid w:val="006D3DD2"/>
    <w:rsid w:val="006E2FB9"/>
    <w:rsid w:val="006E5395"/>
    <w:rsid w:val="006E7768"/>
    <w:rsid w:val="006F3A62"/>
    <w:rsid w:val="006F3BFD"/>
    <w:rsid w:val="00707ABD"/>
    <w:rsid w:val="00707C52"/>
    <w:rsid w:val="00712255"/>
    <w:rsid w:val="00713862"/>
    <w:rsid w:val="00713C56"/>
    <w:rsid w:val="007322F1"/>
    <w:rsid w:val="00732C48"/>
    <w:rsid w:val="00733036"/>
    <w:rsid w:val="00736B6C"/>
    <w:rsid w:val="00745863"/>
    <w:rsid w:val="007475A3"/>
    <w:rsid w:val="0075333E"/>
    <w:rsid w:val="0075779E"/>
    <w:rsid w:val="0076450F"/>
    <w:rsid w:val="0077032F"/>
    <w:rsid w:val="00772AE7"/>
    <w:rsid w:val="00775D43"/>
    <w:rsid w:val="00785392"/>
    <w:rsid w:val="00794B9A"/>
    <w:rsid w:val="007B0778"/>
    <w:rsid w:val="007C00C5"/>
    <w:rsid w:val="007C480F"/>
    <w:rsid w:val="007C4B43"/>
    <w:rsid w:val="007C4F2A"/>
    <w:rsid w:val="007C5FB9"/>
    <w:rsid w:val="007D0EAE"/>
    <w:rsid w:val="007D3A27"/>
    <w:rsid w:val="007D3CFB"/>
    <w:rsid w:val="007D4ACE"/>
    <w:rsid w:val="007D78E9"/>
    <w:rsid w:val="007E0CE4"/>
    <w:rsid w:val="007E0D1A"/>
    <w:rsid w:val="007E0F1A"/>
    <w:rsid w:val="007E2993"/>
    <w:rsid w:val="007E2CB3"/>
    <w:rsid w:val="007F0BB5"/>
    <w:rsid w:val="007F4378"/>
    <w:rsid w:val="008008C2"/>
    <w:rsid w:val="00806C98"/>
    <w:rsid w:val="0080783F"/>
    <w:rsid w:val="00817F6B"/>
    <w:rsid w:val="008202DF"/>
    <w:rsid w:val="008209BB"/>
    <w:rsid w:val="008246F7"/>
    <w:rsid w:val="008346C0"/>
    <w:rsid w:val="00836CA3"/>
    <w:rsid w:val="0084657A"/>
    <w:rsid w:val="00846BEB"/>
    <w:rsid w:val="00850BF6"/>
    <w:rsid w:val="008512A8"/>
    <w:rsid w:val="00855A61"/>
    <w:rsid w:val="00866B0D"/>
    <w:rsid w:val="00867438"/>
    <w:rsid w:val="00870DBC"/>
    <w:rsid w:val="00871A10"/>
    <w:rsid w:val="00884612"/>
    <w:rsid w:val="0089291D"/>
    <w:rsid w:val="00893D44"/>
    <w:rsid w:val="00893E93"/>
    <w:rsid w:val="00896A23"/>
    <w:rsid w:val="00896C0C"/>
    <w:rsid w:val="008A525C"/>
    <w:rsid w:val="008A672A"/>
    <w:rsid w:val="008A7389"/>
    <w:rsid w:val="008B1867"/>
    <w:rsid w:val="008B4AA6"/>
    <w:rsid w:val="008C7F72"/>
    <w:rsid w:val="008D62BD"/>
    <w:rsid w:val="008E17D3"/>
    <w:rsid w:val="008E2D19"/>
    <w:rsid w:val="008E307A"/>
    <w:rsid w:val="008E375A"/>
    <w:rsid w:val="008E401A"/>
    <w:rsid w:val="008F35B1"/>
    <w:rsid w:val="008F5CE0"/>
    <w:rsid w:val="008F7480"/>
    <w:rsid w:val="008F7E4F"/>
    <w:rsid w:val="009010AB"/>
    <w:rsid w:val="009128AE"/>
    <w:rsid w:val="009332EE"/>
    <w:rsid w:val="009368EB"/>
    <w:rsid w:val="009374EF"/>
    <w:rsid w:val="00937966"/>
    <w:rsid w:val="00941AFB"/>
    <w:rsid w:val="00943E66"/>
    <w:rsid w:val="00946579"/>
    <w:rsid w:val="00955E0E"/>
    <w:rsid w:val="00957045"/>
    <w:rsid w:val="00957570"/>
    <w:rsid w:val="00957CDB"/>
    <w:rsid w:val="009602E3"/>
    <w:rsid w:val="009633ED"/>
    <w:rsid w:val="009664F5"/>
    <w:rsid w:val="00971CDE"/>
    <w:rsid w:val="009721E2"/>
    <w:rsid w:val="00976400"/>
    <w:rsid w:val="009872DD"/>
    <w:rsid w:val="00987D92"/>
    <w:rsid w:val="00991929"/>
    <w:rsid w:val="00995F0C"/>
    <w:rsid w:val="009A2F83"/>
    <w:rsid w:val="009A3855"/>
    <w:rsid w:val="009A68B8"/>
    <w:rsid w:val="009B3068"/>
    <w:rsid w:val="009B6AA0"/>
    <w:rsid w:val="009B746F"/>
    <w:rsid w:val="009D5CD9"/>
    <w:rsid w:val="009E2CDD"/>
    <w:rsid w:val="009E3ED1"/>
    <w:rsid w:val="009E4CA0"/>
    <w:rsid w:val="00A05A95"/>
    <w:rsid w:val="00A11BA0"/>
    <w:rsid w:val="00A154F1"/>
    <w:rsid w:val="00A15AD7"/>
    <w:rsid w:val="00A20268"/>
    <w:rsid w:val="00A206C3"/>
    <w:rsid w:val="00A4559C"/>
    <w:rsid w:val="00A7629B"/>
    <w:rsid w:val="00A82791"/>
    <w:rsid w:val="00A827CC"/>
    <w:rsid w:val="00A84028"/>
    <w:rsid w:val="00A84F0C"/>
    <w:rsid w:val="00A860D0"/>
    <w:rsid w:val="00A90864"/>
    <w:rsid w:val="00A919E3"/>
    <w:rsid w:val="00A93FE4"/>
    <w:rsid w:val="00A94FA1"/>
    <w:rsid w:val="00AA5EB1"/>
    <w:rsid w:val="00AB099C"/>
    <w:rsid w:val="00AB3E28"/>
    <w:rsid w:val="00AC4584"/>
    <w:rsid w:val="00AC633A"/>
    <w:rsid w:val="00AD333F"/>
    <w:rsid w:val="00AD66A0"/>
    <w:rsid w:val="00AD75B8"/>
    <w:rsid w:val="00AE3A46"/>
    <w:rsid w:val="00AE5C3F"/>
    <w:rsid w:val="00AE6A6C"/>
    <w:rsid w:val="00AE76DB"/>
    <w:rsid w:val="00AF284B"/>
    <w:rsid w:val="00AF5FA4"/>
    <w:rsid w:val="00B06DEF"/>
    <w:rsid w:val="00B103A7"/>
    <w:rsid w:val="00B1149D"/>
    <w:rsid w:val="00B114E5"/>
    <w:rsid w:val="00B173C9"/>
    <w:rsid w:val="00B175EB"/>
    <w:rsid w:val="00B17B99"/>
    <w:rsid w:val="00B23CCA"/>
    <w:rsid w:val="00B40DE9"/>
    <w:rsid w:val="00B41E9F"/>
    <w:rsid w:val="00B538D9"/>
    <w:rsid w:val="00B55FBF"/>
    <w:rsid w:val="00B5701E"/>
    <w:rsid w:val="00B70FDE"/>
    <w:rsid w:val="00B756DF"/>
    <w:rsid w:val="00B8315D"/>
    <w:rsid w:val="00B91097"/>
    <w:rsid w:val="00B953A2"/>
    <w:rsid w:val="00BA05AA"/>
    <w:rsid w:val="00BA1EEC"/>
    <w:rsid w:val="00BA2215"/>
    <w:rsid w:val="00BA5841"/>
    <w:rsid w:val="00BB1DC2"/>
    <w:rsid w:val="00BB1E91"/>
    <w:rsid w:val="00BB6908"/>
    <w:rsid w:val="00BC4B95"/>
    <w:rsid w:val="00BD06A1"/>
    <w:rsid w:val="00BD3BA7"/>
    <w:rsid w:val="00BD4016"/>
    <w:rsid w:val="00BD5DCC"/>
    <w:rsid w:val="00BD7585"/>
    <w:rsid w:val="00BE1C0E"/>
    <w:rsid w:val="00BE28E0"/>
    <w:rsid w:val="00BE3CFF"/>
    <w:rsid w:val="00BE58BD"/>
    <w:rsid w:val="00C030CE"/>
    <w:rsid w:val="00C04D74"/>
    <w:rsid w:val="00C13C4E"/>
    <w:rsid w:val="00C16C61"/>
    <w:rsid w:val="00C21438"/>
    <w:rsid w:val="00C231A5"/>
    <w:rsid w:val="00C23F04"/>
    <w:rsid w:val="00C2404F"/>
    <w:rsid w:val="00C27455"/>
    <w:rsid w:val="00C32783"/>
    <w:rsid w:val="00C34F4B"/>
    <w:rsid w:val="00C43DAA"/>
    <w:rsid w:val="00C444C2"/>
    <w:rsid w:val="00C44781"/>
    <w:rsid w:val="00C50C0C"/>
    <w:rsid w:val="00C56116"/>
    <w:rsid w:val="00C60FCB"/>
    <w:rsid w:val="00C615D8"/>
    <w:rsid w:val="00C81BD4"/>
    <w:rsid w:val="00C8799E"/>
    <w:rsid w:val="00C879EB"/>
    <w:rsid w:val="00C95D6F"/>
    <w:rsid w:val="00C96139"/>
    <w:rsid w:val="00C974CE"/>
    <w:rsid w:val="00CA0EAF"/>
    <w:rsid w:val="00CA0F5D"/>
    <w:rsid w:val="00CA3FC2"/>
    <w:rsid w:val="00CA5B29"/>
    <w:rsid w:val="00CA5F7D"/>
    <w:rsid w:val="00CA64FC"/>
    <w:rsid w:val="00CA7DD8"/>
    <w:rsid w:val="00CB1998"/>
    <w:rsid w:val="00CC2A2A"/>
    <w:rsid w:val="00CC4CBB"/>
    <w:rsid w:val="00CD7A31"/>
    <w:rsid w:val="00CE0E53"/>
    <w:rsid w:val="00CE1464"/>
    <w:rsid w:val="00CE47EC"/>
    <w:rsid w:val="00CF243E"/>
    <w:rsid w:val="00CF460A"/>
    <w:rsid w:val="00CF6D63"/>
    <w:rsid w:val="00D03E0C"/>
    <w:rsid w:val="00D0760B"/>
    <w:rsid w:val="00D07FED"/>
    <w:rsid w:val="00D1334A"/>
    <w:rsid w:val="00D16E7D"/>
    <w:rsid w:val="00D36BA1"/>
    <w:rsid w:val="00D41639"/>
    <w:rsid w:val="00D43450"/>
    <w:rsid w:val="00D53174"/>
    <w:rsid w:val="00D54906"/>
    <w:rsid w:val="00D57424"/>
    <w:rsid w:val="00D6023B"/>
    <w:rsid w:val="00D65547"/>
    <w:rsid w:val="00D76FB8"/>
    <w:rsid w:val="00D842F2"/>
    <w:rsid w:val="00D923BC"/>
    <w:rsid w:val="00D97EE5"/>
    <w:rsid w:val="00DA0BDC"/>
    <w:rsid w:val="00DA2022"/>
    <w:rsid w:val="00DA21C3"/>
    <w:rsid w:val="00DA6296"/>
    <w:rsid w:val="00DB0894"/>
    <w:rsid w:val="00DB66FD"/>
    <w:rsid w:val="00DC1A5D"/>
    <w:rsid w:val="00DC42A0"/>
    <w:rsid w:val="00DD3DEE"/>
    <w:rsid w:val="00DD4969"/>
    <w:rsid w:val="00DD5526"/>
    <w:rsid w:val="00DE0C34"/>
    <w:rsid w:val="00DE1055"/>
    <w:rsid w:val="00DE1368"/>
    <w:rsid w:val="00DE1657"/>
    <w:rsid w:val="00DE172D"/>
    <w:rsid w:val="00DE4BC6"/>
    <w:rsid w:val="00DF0F79"/>
    <w:rsid w:val="00DF36E1"/>
    <w:rsid w:val="00DF66A2"/>
    <w:rsid w:val="00E057F5"/>
    <w:rsid w:val="00E05C14"/>
    <w:rsid w:val="00E16A0C"/>
    <w:rsid w:val="00E25A20"/>
    <w:rsid w:val="00E44579"/>
    <w:rsid w:val="00E52126"/>
    <w:rsid w:val="00E60292"/>
    <w:rsid w:val="00E67D10"/>
    <w:rsid w:val="00E71EB0"/>
    <w:rsid w:val="00E759C4"/>
    <w:rsid w:val="00E75EE7"/>
    <w:rsid w:val="00E83223"/>
    <w:rsid w:val="00E87050"/>
    <w:rsid w:val="00E90B6F"/>
    <w:rsid w:val="00E9701E"/>
    <w:rsid w:val="00EA54D8"/>
    <w:rsid w:val="00EB382B"/>
    <w:rsid w:val="00EB6276"/>
    <w:rsid w:val="00EB62AC"/>
    <w:rsid w:val="00EE12CF"/>
    <w:rsid w:val="00EF5CDB"/>
    <w:rsid w:val="00EF72E6"/>
    <w:rsid w:val="00F20E93"/>
    <w:rsid w:val="00F25A72"/>
    <w:rsid w:val="00F3248E"/>
    <w:rsid w:val="00F336B0"/>
    <w:rsid w:val="00F547A9"/>
    <w:rsid w:val="00F54B58"/>
    <w:rsid w:val="00F57AC1"/>
    <w:rsid w:val="00F60F4B"/>
    <w:rsid w:val="00F62480"/>
    <w:rsid w:val="00F66111"/>
    <w:rsid w:val="00F67800"/>
    <w:rsid w:val="00F717C7"/>
    <w:rsid w:val="00F752F9"/>
    <w:rsid w:val="00F90FC5"/>
    <w:rsid w:val="00FA0454"/>
    <w:rsid w:val="00FA08DF"/>
    <w:rsid w:val="00FC1A02"/>
    <w:rsid w:val="00FC3371"/>
    <w:rsid w:val="00FD36C8"/>
    <w:rsid w:val="00FD3B45"/>
    <w:rsid w:val="00FD4BC2"/>
    <w:rsid w:val="00FD7D2A"/>
    <w:rsid w:val="00FE5965"/>
    <w:rsid w:val="00FE5AA4"/>
    <w:rsid w:val="00FF0206"/>
    <w:rsid w:val="00FF178E"/>
    <w:rsid w:val="00FF471A"/>
    <w:rsid w:val="00FF7D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54C38"/>
  <w15:docId w15:val="{7B7454B8-03A0-4CDB-BE7B-79F52455C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795"/>
    <w:pPr>
      <w:spacing w:before="60" w:after="6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rsid w:val="00A919E3"/>
    <w:pPr>
      <w:numPr>
        <w:numId w:val="2"/>
      </w:numPr>
      <w:contextualSpacing/>
    </w:pPr>
    <w:rPr>
      <w:color w:val="00B050"/>
    </w:rPr>
  </w:style>
  <w:style w:type="paragraph" w:styleId="ListBullet">
    <w:name w:val="List Bullet"/>
    <w:basedOn w:val="Normal"/>
    <w:uiPriority w:val="99"/>
    <w:rsid w:val="00A919E3"/>
    <w:pPr>
      <w:numPr>
        <w:numId w:val="4"/>
      </w:numPr>
      <w:contextualSpacing/>
    </w:pPr>
    <w:rPr>
      <w:color w:val="FF0000"/>
    </w:rPr>
  </w:style>
  <w:style w:type="paragraph" w:customStyle="1" w:styleId="numberlist">
    <w:name w:val="number_list"/>
    <w:basedOn w:val="Normal"/>
    <w:rsid w:val="00407795"/>
    <w:pPr>
      <w:spacing w:before="0" w:after="120"/>
    </w:pPr>
  </w:style>
  <w:style w:type="paragraph" w:styleId="Title">
    <w:name w:val="Title"/>
    <w:basedOn w:val="Normal"/>
    <w:link w:val="TitleChar"/>
    <w:qFormat/>
    <w:rsid w:val="00407795"/>
    <w:pPr>
      <w:keepNext/>
    </w:pPr>
    <w:rPr>
      <w:rFonts w:cs="Arial"/>
      <w:b/>
      <w:bCs/>
      <w:sz w:val="28"/>
      <w:szCs w:val="32"/>
    </w:rPr>
  </w:style>
  <w:style w:type="character" w:customStyle="1" w:styleId="TitleChar">
    <w:name w:val="Title Char"/>
    <w:basedOn w:val="DefaultParagraphFont"/>
    <w:link w:val="Title"/>
    <w:rsid w:val="00407795"/>
    <w:rPr>
      <w:rFonts w:ascii="Times New Roman" w:eastAsia="Times New Roman" w:hAnsi="Times New Roman" w:cs="Arial"/>
      <w:b/>
      <w:bCs/>
      <w:sz w:val="28"/>
      <w:szCs w:val="32"/>
    </w:rPr>
  </w:style>
  <w:style w:type="paragraph" w:styleId="BodyText">
    <w:name w:val="Body Text"/>
    <w:basedOn w:val="Normal"/>
    <w:link w:val="BodyTextChar"/>
    <w:rsid w:val="00407795"/>
    <w:pPr>
      <w:jc w:val="center"/>
    </w:pPr>
    <w:rPr>
      <w:b/>
    </w:rPr>
  </w:style>
  <w:style w:type="character" w:customStyle="1" w:styleId="BodyTextChar">
    <w:name w:val="Body Text Char"/>
    <w:basedOn w:val="DefaultParagraphFont"/>
    <w:link w:val="BodyText"/>
    <w:rsid w:val="00407795"/>
    <w:rPr>
      <w:rFonts w:ascii="Times New Roman" w:eastAsia="Times New Roman" w:hAnsi="Times New Roman" w:cs="Times New Roman"/>
      <w:b/>
      <w:sz w:val="24"/>
      <w:szCs w:val="20"/>
    </w:rPr>
  </w:style>
  <w:style w:type="paragraph" w:customStyle="1" w:styleId="Letter2Text">
    <w:name w:val="Letter 2 Text"/>
    <w:basedOn w:val="Normal"/>
    <w:rsid w:val="00407795"/>
    <w:pPr>
      <w:spacing w:before="0" w:after="0"/>
    </w:pPr>
  </w:style>
  <w:style w:type="paragraph" w:styleId="ListParagraph">
    <w:name w:val="List Paragraph"/>
    <w:basedOn w:val="Normal"/>
    <w:uiPriority w:val="34"/>
    <w:rsid w:val="00E759C4"/>
    <w:pPr>
      <w:ind w:left="720"/>
      <w:contextualSpacing/>
    </w:pPr>
    <w:rPr>
      <w:rFonts w:ascii="Times New Roman" w:hAnsi="Times New Roman"/>
    </w:rPr>
  </w:style>
  <w:style w:type="paragraph" w:styleId="BalloonText">
    <w:name w:val="Balloon Text"/>
    <w:basedOn w:val="Normal"/>
    <w:link w:val="BalloonTextChar"/>
    <w:uiPriority w:val="99"/>
    <w:semiHidden/>
    <w:unhideWhenUsed/>
    <w:rsid w:val="000A664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64B"/>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548CD"/>
    <w:rPr>
      <w:sz w:val="16"/>
      <w:szCs w:val="16"/>
    </w:rPr>
  </w:style>
  <w:style w:type="paragraph" w:styleId="CommentText">
    <w:name w:val="annotation text"/>
    <w:basedOn w:val="Normal"/>
    <w:link w:val="CommentTextChar"/>
    <w:uiPriority w:val="99"/>
    <w:semiHidden/>
    <w:unhideWhenUsed/>
    <w:rsid w:val="001548CD"/>
    <w:rPr>
      <w:sz w:val="20"/>
    </w:rPr>
  </w:style>
  <w:style w:type="character" w:customStyle="1" w:styleId="CommentTextChar">
    <w:name w:val="Comment Text Char"/>
    <w:basedOn w:val="DefaultParagraphFont"/>
    <w:link w:val="CommentText"/>
    <w:uiPriority w:val="99"/>
    <w:semiHidden/>
    <w:rsid w:val="001548C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548CD"/>
    <w:rPr>
      <w:b/>
      <w:bCs/>
    </w:rPr>
  </w:style>
  <w:style w:type="character" w:customStyle="1" w:styleId="CommentSubjectChar">
    <w:name w:val="Comment Subject Char"/>
    <w:basedOn w:val="CommentTextChar"/>
    <w:link w:val="CommentSubject"/>
    <w:uiPriority w:val="99"/>
    <w:semiHidden/>
    <w:rsid w:val="001548CD"/>
    <w:rPr>
      <w:rFonts w:ascii="Arial" w:eastAsia="Times New Roman" w:hAnsi="Arial" w:cs="Times New Roman"/>
      <w:b/>
      <w:bCs/>
      <w:sz w:val="20"/>
      <w:szCs w:val="20"/>
    </w:rPr>
  </w:style>
  <w:style w:type="paragraph" w:customStyle="1" w:styleId="SubSectionText">
    <w:name w:val="SubSection_Text"/>
    <w:basedOn w:val="Normal"/>
    <w:rsid w:val="00107528"/>
    <w:pPr>
      <w:tabs>
        <w:tab w:val="num" w:pos="1417"/>
      </w:tabs>
      <w:spacing w:after="140"/>
      <w:ind w:left="1417" w:hanging="567"/>
    </w:pPr>
    <w:rPr>
      <w:rFonts w:cs="Arial"/>
      <w:bCs/>
      <w:sz w:val="22"/>
      <w:szCs w:val="26"/>
      <w:lang w:eastAsia="en-AU"/>
    </w:rPr>
  </w:style>
  <w:style w:type="character" w:customStyle="1" w:styleId="ParagraphChar">
    <w:name w:val="# Paragraph Char"/>
    <w:basedOn w:val="DefaultParagraphFont"/>
    <w:link w:val="Paragraph"/>
    <w:locked/>
    <w:rsid w:val="006F3BFD"/>
  </w:style>
  <w:style w:type="paragraph" w:customStyle="1" w:styleId="Paragraph">
    <w:name w:val="# Paragraph"/>
    <w:basedOn w:val="Normal"/>
    <w:link w:val="ParagraphChar"/>
    <w:qFormat/>
    <w:rsid w:val="006F3BFD"/>
    <w:pPr>
      <w:spacing w:before="0" w:after="200" w:line="276" w:lineRule="auto"/>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2B51E9"/>
    <w:rPr>
      <w:color w:val="0000FF" w:themeColor="hyperlink"/>
      <w:u w:val="single"/>
    </w:rPr>
  </w:style>
  <w:style w:type="paragraph" w:styleId="Revision">
    <w:name w:val="Revision"/>
    <w:hidden/>
    <w:uiPriority w:val="99"/>
    <w:semiHidden/>
    <w:rsid w:val="0007731A"/>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916003">
      <w:bodyDiv w:val="1"/>
      <w:marLeft w:val="0"/>
      <w:marRight w:val="0"/>
      <w:marTop w:val="0"/>
      <w:marBottom w:val="0"/>
      <w:divBdr>
        <w:top w:val="none" w:sz="0" w:space="0" w:color="auto"/>
        <w:left w:val="none" w:sz="0" w:space="0" w:color="auto"/>
        <w:bottom w:val="none" w:sz="0" w:space="0" w:color="auto"/>
        <w:right w:val="none" w:sz="0" w:space="0" w:color="auto"/>
      </w:divBdr>
    </w:div>
    <w:div w:id="1366760000">
      <w:bodyDiv w:val="1"/>
      <w:marLeft w:val="0"/>
      <w:marRight w:val="0"/>
      <w:marTop w:val="0"/>
      <w:marBottom w:val="0"/>
      <w:divBdr>
        <w:top w:val="none" w:sz="0" w:space="0" w:color="auto"/>
        <w:left w:val="none" w:sz="0" w:space="0" w:color="auto"/>
        <w:bottom w:val="none" w:sz="0" w:space="0" w:color="auto"/>
        <w:right w:val="none" w:sz="0" w:space="0" w:color="auto"/>
      </w:divBdr>
    </w:div>
    <w:div w:id="1433353359">
      <w:bodyDiv w:val="1"/>
      <w:marLeft w:val="0"/>
      <w:marRight w:val="0"/>
      <w:marTop w:val="0"/>
      <w:marBottom w:val="0"/>
      <w:divBdr>
        <w:top w:val="none" w:sz="0" w:space="0" w:color="auto"/>
        <w:left w:val="none" w:sz="0" w:space="0" w:color="auto"/>
        <w:bottom w:val="none" w:sz="0" w:space="0" w:color="auto"/>
        <w:right w:val="none" w:sz="0" w:space="0" w:color="auto"/>
      </w:divBdr>
      <w:divsChild>
        <w:div w:id="204224425">
          <w:marLeft w:val="0"/>
          <w:marRight w:val="0"/>
          <w:marTop w:val="0"/>
          <w:marBottom w:val="0"/>
          <w:divBdr>
            <w:top w:val="none" w:sz="0" w:space="0" w:color="auto"/>
            <w:left w:val="none" w:sz="0" w:space="0" w:color="auto"/>
            <w:bottom w:val="none" w:sz="0" w:space="0" w:color="auto"/>
            <w:right w:val="none" w:sz="0" w:space="0" w:color="auto"/>
          </w:divBdr>
          <w:divsChild>
            <w:div w:id="706880171">
              <w:marLeft w:val="0"/>
              <w:marRight w:val="0"/>
              <w:marTop w:val="0"/>
              <w:marBottom w:val="0"/>
              <w:divBdr>
                <w:top w:val="none" w:sz="0" w:space="0" w:color="auto"/>
                <w:left w:val="none" w:sz="0" w:space="0" w:color="auto"/>
                <w:bottom w:val="none" w:sz="0" w:space="0" w:color="auto"/>
                <w:right w:val="none" w:sz="0" w:space="0" w:color="auto"/>
              </w:divBdr>
              <w:divsChild>
                <w:div w:id="521477994">
                  <w:marLeft w:val="0"/>
                  <w:marRight w:val="0"/>
                  <w:marTop w:val="0"/>
                  <w:marBottom w:val="0"/>
                  <w:divBdr>
                    <w:top w:val="none" w:sz="0" w:space="0" w:color="auto"/>
                    <w:left w:val="none" w:sz="0" w:space="0" w:color="auto"/>
                    <w:bottom w:val="none" w:sz="0" w:space="0" w:color="auto"/>
                    <w:right w:val="none" w:sz="0" w:space="0" w:color="auto"/>
                  </w:divBdr>
                  <w:divsChild>
                    <w:div w:id="77294153">
                      <w:marLeft w:val="0"/>
                      <w:marRight w:val="0"/>
                      <w:marTop w:val="0"/>
                      <w:marBottom w:val="0"/>
                      <w:divBdr>
                        <w:top w:val="none" w:sz="0" w:space="0" w:color="auto"/>
                        <w:left w:val="none" w:sz="0" w:space="0" w:color="auto"/>
                        <w:bottom w:val="none" w:sz="0" w:space="0" w:color="auto"/>
                        <w:right w:val="none" w:sz="0" w:space="0" w:color="auto"/>
                      </w:divBdr>
                      <w:divsChild>
                        <w:div w:id="7021811">
                          <w:marLeft w:val="0"/>
                          <w:marRight w:val="0"/>
                          <w:marTop w:val="0"/>
                          <w:marBottom w:val="0"/>
                          <w:divBdr>
                            <w:top w:val="none" w:sz="0" w:space="0" w:color="auto"/>
                            <w:left w:val="none" w:sz="0" w:space="0" w:color="auto"/>
                            <w:bottom w:val="none" w:sz="0" w:space="0" w:color="auto"/>
                            <w:right w:val="none" w:sz="0" w:space="0" w:color="auto"/>
                          </w:divBdr>
                          <w:divsChild>
                            <w:div w:id="101726842">
                              <w:marLeft w:val="0"/>
                              <w:marRight w:val="0"/>
                              <w:marTop w:val="0"/>
                              <w:marBottom w:val="0"/>
                              <w:divBdr>
                                <w:top w:val="none" w:sz="0" w:space="0" w:color="auto"/>
                                <w:left w:val="none" w:sz="0" w:space="0" w:color="auto"/>
                                <w:bottom w:val="none" w:sz="0" w:space="0" w:color="auto"/>
                                <w:right w:val="none" w:sz="0" w:space="0" w:color="auto"/>
                              </w:divBdr>
                              <w:divsChild>
                                <w:div w:id="503251151">
                                  <w:marLeft w:val="0"/>
                                  <w:marRight w:val="0"/>
                                  <w:marTop w:val="0"/>
                                  <w:marBottom w:val="0"/>
                                  <w:divBdr>
                                    <w:top w:val="none" w:sz="0" w:space="0" w:color="auto"/>
                                    <w:left w:val="none" w:sz="0" w:space="0" w:color="auto"/>
                                    <w:bottom w:val="none" w:sz="0" w:space="0" w:color="auto"/>
                                    <w:right w:val="none" w:sz="0" w:space="0" w:color="auto"/>
                                  </w:divBdr>
                                  <w:divsChild>
                                    <w:div w:id="331878752">
                                      <w:marLeft w:val="0"/>
                                      <w:marRight w:val="0"/>
                                      <w:marTop w:val="0"/>
                                      <w:marBottom w:val="0"/>
                                      <w:divBdr>
                                        <w:top w:val="none" w:sz="0" w:space="0" w:color="auto"/>
                                        <w:left w:val="none" w:sz="0" w:space="0" w:color="auto"/>
                                        <w:bottom w:val="none" w:sz="0" w:space="0" w:color="auto"/>
                                        <w:right w:val="none" w:sz="0" w:space="0" w:color="auto"/>
                                      </w:divBdr>
                                      <w:divsChild>
                                        <w:div w:id="1242058271">
                                          <w:marLeft w:val="0"/>
                                          <w:marRight w:val="0"/>
                                          <w:marTop w:val="0"/>
                                          <w:marBottom w:val="0"/>
                                          <w:divBdr>
                                            <w:top w:val="none" w:sz="0" w:space="0" w:color="auto"/>
                                            <w:left w:val="none" w:sz="0" w:space="0" w:color="auto"/>
                                            <w:bottom w:val="none" w:sz="0" w:space="0" w:color="auto"/>
                                            <w:right w:val="none" w:sz="0" w:space="0" w:color="auto"/>
                                          </w:divBdr>
                                          <w:divsChild>
                                            <w:div w:id="1724870956">
                                              <w:marLeft w:val="0"/>
                                              <w:marRight w:val="0"/>
                                              <w:marTop w:val="0"/>
                                              <w:marBottom w:val="0"/>
                                              <w:divBdr>
                                                <w:top w:val="none" w:sz="0" w:space="0" w:color="auto"/>
                                                <w:left w:val="none" w:sz="0" w:space="0" w:color="auto"/>
                                                <w:bottom w:val="none" w:sz="0" w:space="0" w:color="auto"/>
                                                <w:right w:val="none" w:sz="0" w:space="0" w:color="auto"/>
                                              </w:divBdr>
                                              <w:divsChild>
                                                <w:div w:id="1296714770">
                                                  <w:marLeft w:val="0"/>
                                                  <w:marRight w:val="0"/>
                                                  <w:marTop w:val="0"/>
                                                  <w:marBottom w:val="0"/>
                                                  <w:divBdr>
                                                    <w:top w:val="none" w:sz="0" w:space="0" w:color="auto"/>
                                                    <w:left w:val="none" w:sz="0" w:space="0" w:color="auto"/>
                                                    <w:bottom w:val="none" w:sz="0" w:space="0" w:color="auto"/>
                                                    <w:right w:val="none" w:sz="0" w:space="0" w:color="auto"/>
                                                  </w:divBdr>
                                                  <w:divsChild>
                                                    <w:div w:id="1990089746">
                                                      <w:marLeft w:val="0"/>
                                                      <w:marRight w:val="0"/>
                                                      <w:marTop w:val="0"/>
                                                      <w:marBottom w:val="0"/>
                                                      <w:divBdr>
                                                        <w:top w:val="none" w:sz="0" w:space="0" w:color="auto"/>
                                                        <w:left w:val="none" w:sz="0" w:space="0" w:color="auto"/>
                                                        <w:bottom w:val="none" w:sz="0" w:space="0" w:color="auto"/>
                                                        <w:right w:val="none" w:sz="0" w:space="0" w:color="auto"/>
                                                      </w:divBdr>
                                                      <w:divsChild>
                                                        <w:div w:id="48439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0396184">
      <w:bodyDiv w:val="1"/>
      <w:marLeft w:val="0"/>
      <w:marRight w:val="0"/>
      <w:marTop w:val="0"/>
      <w:marBottom w:val="0"/>
      <w:divBdr>
        <w:top w:val="none" w:sz="0" w:space="0" w:color="auto"/>
        <w:left w:val="none" w:sz="0" w:space="0" w:color="auto"/>
        <w:bottom w:val="none" w:sz="0" w:space="0" w:color="auto"/>
        <w:right w:val="none" w:sz="0" w:space="0" w:color="auto"/>
      </w:divBdr>
    </w:div>
    <w:div w:id="212002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8AB94-8EA3-419C-A3F4-3D8D147AE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86A28950.dotm</Template>
  <TotalTime>0</TotalTime>
  <Pages>7</Pages>
  <Words>2660</Words>
  <Characters>15167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Mellissa Fage</dc:creator>
  <cp:lastModifiedBy>GARCIA,Wendy</cp:lastModifiedBy>
  <cp:revision>2</cp:revision>
  <cp:lastPrinted>2018-04-29T22:54:00Z</cp:lastPrinted>
  <dcterms:created xsi:type="dcterms:W3CDTF">2018-06-13T05:16:00Z</dcterms:created>
  <dcterms:modified xsi:type="dcterms:W3CDTF">2018-06-13T05:16:00Z</dcterms:modified>
</cp:coreProperties>
</file>