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7CB1F" w14:textId="1E34DF75" w:rsidR="002E568B" w:rsidRDefault="002E568B" w:rsidP="00A43858">
      <w:pPr>
        <w:pStyle w:val="Title"/>
        <w:rPr>
          <w:szCs w:val="24"/>
        </w:rPr>
      </w:pPr>
      <w:bookmarkStart w:id="0" w:name="_GoBack"/>
      <w:bookmarkEnd w:id="0"/>
      <w:r w:rsidRPr="00BA306B">
        <w:rPr>
          <w:szCs w:val="24"/>
        </w:rPr>
        <w:t xml:space="preserve">EXPLANATORY </w:t>
      </w:r>
      <w:r w:rsidR="007D424B">
        <w:rPr>
          <w:szCs w:val="24"/>
        </w:rPr>
        <w:t>STATEMENT</w:t>
      </w:r>
    </w:p>
    <w:p w14:paraId="11484885" w14:textId="77777777" w:rsidR="004B1EFD" w:rsidRPr="00BA306B" w:rsidRDefault="004B1EFD" w:rsidP="00A43858">
      <w:pPr>
        <w:pStyle w:val="Title"/>
        <w:rPr>
          <w:szCs w:val="24"/>
        </w:rPr>
      </w:pPr>
    </w:p>
    <w:p w14:paraId="4EF84E4B" w14:textId="1793C121" w:rsidR="003E33C4" w:rsidRDefault="007B086B" w:rsidP="00B338DE">
      <w:pPr>
        <w:tabs>
          <w:tab w:val="left" w:pos="1134"/>
        </w:tabs>
        <w:jc w:val="center"/>
        <w:rPr>
          <w:i/>
          <w:szCs w:val="24"/>
        </w:rPr>
      </w:pPr>
      <w:r w:rsidRPr="00BA306B">
        <w:rPr>
          <w:i/>
          <w:szCs w:val="24"/>
        </w:rPr>
        <w:t>Therapeutic Goods (Charges) Act 1989</w:t>
      </w:r>
    </w:p>
    <w:p w14:paraId="27BC9CBA" w14:textId="77777777" w:rsidR="007D424B" w:rsidRDefault="007D424B" w:rsidP="00B338DE">
      <w:pPr>
        <w:jc w:val="center"/>
        <w:rPr>
          <w:i/>
          <w:szCs w:val="24"/>
        </w:rPr>
      </w:pPr>
    </w:p>
    <w:p w14:paraId="0A0DBEF2" w14:textId="77777777" w:rsidR="002E568B" w:rsidRPr="00BA306B" w:rsidRDefault="002E568B" w:rsidP="00B338DE">
      <w:pPr>
        <w:jc w:val="center"/>
        <w:rPr>
          <w:i/>
          <w:szCs w:val="24"/>
        </w:rPr>
      </w:pPr>
      <w:r w:rsidRPr="00BA306B">
        <w:rPr>
          <w:i/>
          <w:szCs w:val="24"/>
        </w:rPr>
        <w:t>Therapeutic Goods (Charges</w:t>
      </w:r>
      <w:r w:rsidR="00802B83">
        <w:rPr>
          <w:i/>
          <w:szCs w:val="24"/>
        </w:rPr>
        <w:t>)</w:t>
      </w:r>
      <w:r w:rsidRPr="00BA306B">
        <w:rPr>
          <w:i/>
          <w:szCs w:val="24"/>
        </w:rPr>
        <w:t xml:space="preserve"> Regulation</w:t>
      </w:r>
      <w:r w:rsidR="00020E96">
        <w:rPr>
          <w:i/>
          <w:szCs w:val="24"/>
        </w:rPr>
        <w:t>s</w:t>
      </w:r>
      <w:r w:rsidRPr="00BA306B">
        <w:rPr>
          <w:i/>
          <w:szCs w:val="24"/>
        </w:rPr>
        <w:t xml:space="preserve"> </w:t>
      </w:r>
      <w:r>
        <w:rPr>
          <w:i/>
          <w:szCs w:val="24"/>
        </w:rPr>
        <w:t>201</w:t>
      </w:r>
      <w:r w:rsidR="00684E91">
        <w:rPr>
          <w:i/>
          <w:szCs w:val="24"/>
        </w:rPr>
        <w:t>8</w:t>
      </w:r>
    </w:p>
    <w:p w14:paraId="4C62F825" w14:textId="77777777" w:rsidR="002E568B" w:rsidRPr="00704057" w:rsidRDefault="002E568B" w:rsidP="00A43858">
      <w:pPr>
        <w:jc w:val="center"/>
        <w:rPr>
          <w:szCs w:val="24"/>
          <w:highlight w:val="yellow"/>
        </w:rPr>
      </w:pPr>
    </w:p>
    <w:p w14:paraId="0BD6800E" w14:textId="77777777" w:rsidR="00CD7CD9" w:rsidRPr="003856A4" w:rsidRDefault="00ED3AE4" w:rsidP="00CD7CD9">
      <w:pPr>
        <w:rPr>
          <w:szCs w:val="24"/>
        </w:rPr>
      </w:pPr>
      <w:r>
        <w:rPr>
          <w:szCs w:val="24"/>
        </w:rPr>
        <w:t>T</w:t>
      </w:r>
      <w:r w:rsidR="00CD7CD9" w:rsidRPr="003856A4">
        <w:rPr>
          <w:szCs w:val="24"/>
        </w:rPr>
        <w:t xml:space="preserve">he </w:t>
      </w:r>
      <w:r w:rsidR="00CD7CD9" w:rsidRPr="003856A4">
        <w:rPr>
          <w:i/>
          <w:szCs w:val="24"/>
        </w:rPr>
        <w:t>Therapeutic Goods (Charges) Act 1989</w:t>
      </w:r>
      <w:r w:rsidR="00CD7CD9" w:rsidRPr="003856A4">
        <w:rPr>
          <w:szCs w:val="24"/>
        </w:rPr>
        <w:t xml:space="preserve"> (the Act) impos</w:t>
      </w:r>
      <w:r w:rsidR="00CD7CD9">
        <w:rPr>
          <w:szCs w:val="24"/>
        </w:rPr>
        <w:t xml:space="preserve">es </w:t>
      </w:r>
      <w:r w:rsidR="00CD7CD9" w:rsidRPr="003856A4">
        <w:rPr>
          <w:szCs w:val="24"/>
        </w:rPr>
        <w:t>annual charge</w:t>
      </w:r>
      <w:r w:rsidR="00CD7CD9">
        <w:rPr>
          <w:szCs w:val="24"/>
        </w:rPr>
        <w:t>s</w:t>
      </w:r>
      <w:r w:rsidR="00CD7CD9" w:rsidRPr="003856A4">
        <w:rPr>
          <w:szCs w:val="24"/>
        </w:rPr>
        <w:t xml:space="preserve"> on the registration, listing and inclusion of therapeutic goods in the Australian Register of Therapeutic Goods (the Register), and on the licensing of manufacturers of therapeutic goods. The </w:t>
      </w:r>
      <w:r>
        <w:rPr>
          <w:szCs w:val="24"/>
        </w:rPr>
        <w:t>T</w:t>
      </w:r>
      <w:r w:rsidR="00980228">
        <w:rPr>
          <w:szCs w:val="24"/>
        </w:rPr>
        <w:t xml:space="preserve">herapeutic Goods Administration (TGA), which is part of the Department of Health, </w:t>
      </w:r>
      <w:r w:rsidR="00CD7CD9" w:rsidRPr="003856A4">
        <w:rPr>
          <w:szCs w:val="24"/>
        </w:rPr>
        <w:t>is responsible for administering the Act.</w:t>
      </w:r>
    </w:p>
    <w:p w14:paraId="3EFB600B" w14:textId="77777777" w:rsidR="00CD7CD9" w:rsidRPr="003856A4" w:rsidRDefault="00CD7CD9" w:rsidP="00CD7CD9">
      <w:pPr>
        <w:rPr>
          <w:szCs w:val="24"/>
        </w:rPr>
      </w:pPr>
    </w:p>
    <w:p w14:paraId="4CA0605C" w14:textId="1A64C337" w:rsidR="00706ABD" w:rsidRDefault="00706ABD" w:rsidP="00706ABD">
      <w:pPr>
        <w:rPr>
          <w:szCs w:val="24"/>
        </w:rPr>
      </w:pPr>
      <w:r w:rsidRPr="003856A4">
        <w:rPr>
          <w:szCs w:val="24"/>
        </w:rPr>
        <w:t xml:space="preserve">Subsection 5(1) of the Act provides that the Governor-General may make regulations, not inconsistent with the Act, prescribing the amounts of charges. </w:t>
      </w:r>
      <w:r>
        <w:rPr>
          <w:szCs w:val="24"/>
        </w:rPr>
        <w:t>S</w:t>
      </w:r>
      <w:r w:rsidRPr="003856A4">
        <w:rPr>
          <w:szCs w:val="24"/>
        </w:rPr>
        <w:t xml:space="preserve">ubsection 5(2) of the </w:t>
      </w:r>
      <w:r>
        <w:rPr>
          <w:szCs w:val="24"/>
        </w:rPr>
        <w:t>Act provides in part that the regulations may</w:t>
      </w:r>
      <w:r w:rsidRPr="003856A4">
        <w:rPr>
          <w:szCs w:val="24"/>
        </w:rPr>
        <w:t xml:space="preserve"> prescribe different charges</w:t>
      </w:r>
      <w:r>
        <w:rPr>
          <w:szCs w:val="24"/>
        </w:rPr>
        <w:t xml:space="preserve"> in relation to:</w:t>
      </w:r>
      <w:r w:rsidRPr="003856A4">
        <w:rPr>
          <w:szCs w:val="24"/>
        </w:rPr>
        <w:t xml:space="preserve"> different classes of goods</w:t>
      </w:r>
      <w:r>
        <w:rPr>
          <w:szCs w:val="24"/>
        </w:rPr>
        <w:t xml:space="preserve"> (including medical devices);</w:t>
      </w:r>
      <w:r w:rsidRPr="003856A4">
        <w:rPr>
          <w:szCs w:val="24"/>
        </w:rPr>
        <w:t xml:space="preserve"> or, in the case of annual licensing charges, for different steps in the manufacture of therapeutic goods.</w:t>
      </w:r>
    </w:p>
    <w:p w14:paraId="3F9D8582" w14:textId="77777777" w:rsidR="00706ABD" w:rsidRDefault="00706ABD" w:rsidP="00CD7CD9">
      <w:pPr>
        <w:rPr>
          <w:szCs w:val="24"/>
        </w:rPr>
      </w:pPr>
    </w:p>
    <w:p w14:paraId="3CA67C33" w14:textId="5A9C453D" w:rsidR="00CD7CD9" w:rsidRPr="003856A4" w:rsidRDefault="00CD7CD9" w:rsidP="00CD7CD9">
      <w:pPr>
        <w:rPr>
          <w:szCs w:val="24"/>
        </w:rPr>
      </w:pPr>
      <w:r w:rsidRPr="003856A4">
        <w:rPr>
          <w:szCs w:val="24"/>
        </w:rPr>
        <w:t>Section 4 of the Act provides that annual charges of such amounts as are prescribed are payable in respect of therapeutic go</w:t>
      </w:r>
      <w:r w:rsidR="00376B26">
        <w:rPr>
          <w:szCs w:val="24"/>
        </w:rPr>
        <w:t>ods o</w:t>
      </w:r>
      <w:r w:rsidRPr="003856A4">
        <w:rPr>
          <w:szCs w:val="24"/>
        </w:rPr>
        <w:t xml:space="preserve">n the Register, as well as in respect of </w:t>
      </w:r>
      <w:r w:rsidR="00575D61">
        <w:rPr>
          <w:szCs w:val="24"/>
        </w:rPr>
        <w:t xml:space="preserve">manufacturing </w:t>
      </w:r>
      <w:r w:rsidRPr="003856A4">
        <w:rPr>
          <w:szCs w:val="24"/>
        </w:rPr>
        <w:t>licences</w:t>
      </w:r>
      <w:r w:rsidR="009B3848">
        <w:rPr>
          <w:szCs w:val="24"/>
        </w:rPr>
        <w:t>,</w:t>
      </w:r>
      <w:r w:rsidRPr="003856A4">
        <w:rPr>
          <w:szCs w:val="24"/>
        </w:rPr>
        <w:t xml:space="preserve"> that are in force at any</w:t>
      </w:r>
      <w:r w:rsidR="00ED3AE4">
        <w:rPr>
          <w:szCs w:val="24"/>
        </w:rPr>
        <w:t xml:space="preserve"> time within a financial year. In addition, u</w:t>
      </w:r>
      <w:r w:rsidRPr="003856A4">
        <w:rPr>
          <w:szCs w:val="24"/>
        </w:rPr>
        <w:t>nder subsection 4(1A) of the Act, where one or more therapeutic goods are “grouped” and each of the “grouped” therapeutic goods is covered by a single regis</w:t>
      </w:r>
      <w:r w:rsidR="00EF6410">
        <w:rPr>
          <w:szCs w:val="24"/>
        </w:rPr>
        <w:t xml:space="preserve">tration </w:t>
      </w:r>
      <w:r w:rsidR="0088376B">
        <w:rPr>
          <w:szCs w:val="24"/>
        </w:rPr>
        <w:t xml:space="preserve">or listing </w:t>
      </w:r>
      <w:r w:rsidR="00EF6410">
        <w:rPr>
          <w:szCs w:val="24"/>
        </w:rPr>
        <w:t xml:space="preserve">number, </w:t>
      </w:r>
      <w:r w:rsidRPr="003856A4">
        <w:rPr>
          <w:szCs w:val="24"/>
        </w:rPr>
        <w:t xml:space="preserve">a single annual charge as </w:t>
      </w:r>
      <w:r w:rsidR="00EF6410">
        <w:rPr>
          <w:szCs w:val="24"/>
        </w:rPr>
        <w:t xml:space="preserve">is </w:t>
      </w:r>
      <w:r w:rsidRPr="003856A4">
        <w:rPr>
          <w:szCs w:val="24"/>
        </w:rPr>
        <w:t xml:space="preserve">prescribed will apply for maintaining all the registered </w:t>
      </w:r>
      <w:r w:rsidR="0088376B">
        <w:rPr>
          <w:szCs w:val="24"/>
        </w:rPr>
        <w:t xml:space="preserve">or listed </w:t>
      </w:r>
      <w:r w:rsidRPr="003856A4">
        <w:rPr>
          <w:szCs w:val="24"/>
        </w:rPr>
        <w:t>goods covered under the same group.</w:t>
      </w:r>
    </w:p>
    <w:p w14:paraId="0875AA78" w14:textId="77777777" w:rsidR="00C863BC" w:rsidRDefault="00C863BC" w:rsidP="00575D61">
      <w:pPr>
        <w:rPr>
          <w:szCs w:val="24"/>
        </w:rPr>
      </w:pPr>
    </w:p>
    <w:p w14:paraId="2519853A" w14:textId="2B0C3A37" w:rsidR="00706ABD" w:rsidRDefault="00A43858" w:rsidP="000854E9">
      <w:pPr>
        <w:rPr>
          <w:szCs w:val="24"/>
        </w:rPr>
      </w:pPr>
      <w:r>
        <w:rPr>
          <w:szCs w:val="24"/>
        </w:rPr>
        <w:t xml:space="preserve">The </w:t>
      </w:r>
      <w:r w:rsidRPr="00DE2571">
        <w:rPr>
          <w:i/>
          <w:szCs w:val="24"/>
        </w:rPr>
        <w:t>Therapeutic Goods (Charges) Regulations 1990</w:t>
      </w:r>
      <w:r>
        <w:rPr>
          <w:szCs w:val="24"/>
        </w:rPr>
        <w:t xml:space="preserve"> (the Charges Regulations) </w:t>
      </w:r>
      <w:r w:rsidR="00706ABD">
        <w:rPr>
          <w:szCs w:val="24"/>
        </w:rPr>
        <w:t>are due to</w:t>
      </w:r>
      <w:r>
        <w:rPr>
          <w:szCs w:val="24"/>
        </w:rPr>
        <w:t xml:space="preserve"> sunset on 1 October 2018 pursuant to the </w:t>
      </w:r>
      <w:r w:rsidRPr="00DE2571">
        <w:rPr>
          <w:i/>
          <w:szCs w:val="24"/>
        </w:rPr>
        <w:t>Legislation Act 2003</w:t>
      </w:r>
      <w:r>
        <w:rPr>
          <w:szCs w:val="24"/>
        </w:rPr>
        <w:t xml:space="preserve">. </w:t>
      </w:r>
      <w:r w:rsidR="004A2ED7">
        <w:rPr>
          <w:szCs w:val="24"/>
        </w:rPr>
        <w:t xml:space="preserve">The purpose of the </w:t>
      </w:r>
      <w:r w:rsidR="00EE7CFE" w:rsidRPr="00BA306B">
        <w:rPr>
          <w:i/>
          <w:szCs w:val="24"/>
        </w:rPr>
        <w:t>Therapeutic Goods (Charges</w:t>
      </w:r>
      <w:r w:rsidR="00EE7CFE">
        <w:rPr>
          <w:i/>
          <w:szCs w:val="24"/>
        </w:rPr>
        <w:t>)</w:t>
      </w:r>
      <w:r w:rsidR="00EE7CFE" w:rsidRPr="00BA306B">
        <w:rPr>
          <w:i/>
          <w:szCs w:val="24"/>
        </w:rPr>
        <w:t xml:space="preserve"> Regulation</w:t>
      </w:r>
      <w:r w:rsidR="00020E96">
        <w:rPr>
          <w:i/>
          <w:szCs w:val="24"/>
        </w:rPr>
        <w:t>s</w:t>
      </w:r>
      <w:r w:rsidR="00EE7CFE" w:rsidRPr="00BA306B">
        <w:rPr>
          <w:i/>
          <w:szCs w:val="24"/>
        </w:rPr>
        <w:t xml:space="preserve"> </w:t>
      </w:r>
      <w:r w:rsidR="00EE7CFE" w:rsidRPr="002D64B4">
        <w:rPr>
          <w:i/>
          <w:szCs w:val="24"/>
        </w:rPr>
        <w:t>201</w:t>
      </w:r>
      <w:r w:rsidR="00684E91" w:rsidRPr="002D64B4">
        <w:rPr>
          <w:i/>
          <w:szCs w:val="24"/>
        </w:rPr>
        <w:t>8</w:t>
      </w:r>
      <w:r w:rsidR="00EE7CFE">
        <w:rPr>
          <w:szCs w:val="24"/>
        </w:rPr>
        <w:t xml:space="preserve"> (the </w:t>
      </w:r>
      <w:r w:rsidR="004A2ED7">
        <w:rPr>
          <w:szCs w:val="24"/>
        </w:rPr>
        <w:t>Regulation</w:t>
      </w:r>
      <w:r w:rsidR="000A4B49">
        <w:rPr>
          <w:szCs w:val="24"/>
        </w:rPr>
        <w:t>s</w:t>
      </w:r>
      <w:r w:rsidR="00EE7CFE">
        <w:rPr>
          <w:szCs w:val="24"/>
        </w:rPr>
        <w:t>)</w:t>
      </w:r>
      <w:r w:rsidR="00706ABD">
        <w:rPr>
          <w:szCs w:val="24"/>
        </w:rPr>
        <w:t xml:space="preserve"> </w:t>
      </w:r>
      <w:r w:rsidR="00C326C3">
        <w:rPr>
          <w:szCs w:val="24"/>
        </w:rPr>
        <w:t>is</w:t>
      </w:r>
      <w:r>
        <w:rPr>
          <w:szCs w:val="24"/>
        </w:rPr>
        <w:t xml:space="preserve"> to </w:t>
      </w:r>
      <w:r w:rsidR="00DE2571">
        <w:rPr>
          <w:szCs w:val="24"/>
        </w:rPr>
        <w:t xml:space="preserve">repeal and </w:t>
      </w:r>
      <w:r>
        <w:rPr>
          <w:szCs w:val="24"/>
        </w:rPr>
        <w:t xml:space="preserve">replace the Charges Regulations </w:t>
      </w:r>
      <w:r w:rsidR="0088376B">
        <w:rPr>
          <w:szCs w:val="24"/>
        </w:rPr>
        <w:t>before this date</w:t>
      </w:r>
      <w:r w:rsidR="00706ABD">
        <w:rPr>
          <w:szCs w:val="24"/>
        </w:rPr>
        <w:t xml:space="preserve">. </w:t>
      </w:r>
    </w:p>
    <w:p w14:paraId="5F18CE6C" w14:textId="77777777" w:rsidR="00706ABD" w:rsidRDefault="00706ABD" w:rsidP="000854E9">
      <w:pPr>
        <w:rPr>
          <w:szCs w:val="24"/>
        </w:rPr>
      </w:pPr>
    </w:p>
    <w:p w14:paraId="78DA2AA6" w14:textId="22A87924" w:rsidR="0088376B" w:rsidRDefault="00706ABD" w:rsidP="0088376B">
      <w:pPr>
        <w:rPr>
          <w:szCs w:val="24"/>
        </w:rPr>
      </w:pPr>
      <w:r>
        <w:rPr>
          <w:szCs w:val="24"/>
        </w:rPr>
        <w:t>The Regulations</w:t>
      </w:r>
      <w:r w:rsidR="0088376B">
        <w:rPr>
          <w:szCs w:val="24"/>
        </w:rPr>
        <w:t xml:space="preserve"> incorporate measures </w:t>
      </w:r>
      <w:r w:rsidR="004A2ED7">
        <w:rPr>
          <w:szCs w:val="24"/>
        </w:rPr>
        <w:t>to</w:t>
      </w:r>
      <w:r w:rsidR="000854E9">
        <w:rPr>
          <w:szCs w:val="24"/>
        </w:rPr>
        <w:t xml:space="preserve"> </w:t>
      </w:r>
      <w:r w:rsidR="004A2ED7" w:rsidRPr="000854E9">
        <w:rPr>
          <w:szCs w:val="24"/>
        </w:rPr>
        <w:t>inc</w:t>
      </w:r>
      <w:r w:rsidR="000854E9">
        <w:rPr>
          <w:szCs w:val="24"/>
        </w:rPr>
        <w:t xml:space="preserve">rease annual charges </w:t>
      </w:r>
      <w:r w:rsidR="0088376B">
        <w:rPr>
          <w:szCs w:val="24"/>
        </w:rPr>
        <w:t xml:space="preserve">for most therapeutic goods and manufacturing licences </w:t>
      </w:r>
      <w:r w:rsidR="000854E9">
        <w:rPr>
          <w:szCs w:val="24"/>
        </w:rPr>
        <w:t xml:space="preserve">by </w:t>
      </w:r>
      <w:r w:rsidR="00F33B23">
        <w:rPr>
          <w:szCs w:val="24"/>
        </w:rPr>
        <w:t>1</w:t>
      </w:r>
      <w:r w:rsidR="000854E9">
        <w:rPr>
          <w:szCs w:val="24"/>
        </w:rPr>
        <w:t>.</w:t>
      </w:r>
      <w:r w:rsidR="00684E91">
        <w:rPr>
          <w:szCs w:val="24"/>
        </w:rPr>
        <w:t>9</w:t>
      </w:r>
      <w:r w:rsidR="00684E91" w:rsidRPr="000854E9">
        <w:rPr>
          <w:szCs w:val="24"/>
        </w:rPr>
        <w:t xml:space="preserve"> </w:t>
      </w:r>
      <w:r w:rsidR="004A2ED7" w:rsidRPr="000854E9">
        <w:rPr>
          <w:szCs w:val="24"/>
        </w:rPr>
        <w:t xml:space="preserve">per </w:t>
      </w:r>
      <w:r w:rsidR="000854E9">
        <w:rPr>
          <w:szCs w:val="24"/>
        </w:rPr>
        <w:t xml:space="preserve">cent for the financial year </w:t>
      </w:r>
      <w:r w:rsidR="00684E91">
        <w:rPr>
          <w:szCs w:val="24"/>
        </w:rPr>
        <w:t>2018</w:t>
      </w:r>
      <w:r w:rsidR="000854E9">
        <w:rPr>
          <w:szCs w:val="24"/>
        </w:rPr>
        <w:t>-</w:t>
      </w:r>
      <w:r w:rsidR="00684E91">
        <w:rPr>
          <w:szCs w:val="24"/>
        </w:rPr>
        <w:t>19</w:t>
      </w:r>
      <w:r w:rsidR="0088376B">
        <w:rPr>
          <w:szCs w:val="24"/>
        </w:rPr>
        <w:t>,</w:t>
      </w:r>
      <w:r w:rsidR="00280D0F">
        <w:t xml:space="preserve"> from 1 July </w:t>
      </w:r>
      <w:r w:rsidR="00DE2571">
        <w:t>2018</w:t>
      </w:r>
      <w:r w:rsidR="000854E9">
        <w:rPr>
          <w:szCs w:val="24"/>
        </w:rPr>
        <w:t>.</w:t>
      </w:r>
      <w:r>
        <w:rPr>
          <w:szCs w:val="24"/>
        </w:rPr>
        <w:t xml:space="preserve"> A</w:t>
      </w:r>
      <w:r w:rsidR="0088376B">
        <w:rPr>
          <w:szCs w:val="24"/>
        </w:rPr>
        <w:t xml:space="preserve"> small number of other changes</w:t>
      </w:r>
      <w:r>
        <w:rPr>
          <w:szCs w:val="24"/>
        </w:rPr>
        <w:t xml:space="preserve"> </w:t>
      </w:r>
      <w:r w:rsidR="00C326C3">
        <w:rPr>
          <w:szCs w:val="24"/>
        </w:rPr>
        <w:t xml:space="preserve">are </w:t>
      </w:r>
      <w:r>
        <w:rPr>
          <w:szCs w:val="24"/>
        </w:rPr>
        <w:t>also</w:t>
      </w:r>
      <w:r w:rsidR="00C326C3">
        <w:rPr>
          <w:szCs w:val="24"/>
        </w:rPr>
        <w:t xml:space="preserve"> </w:t>
      </w:r>
      <w:r>
        <w:rPr>
          <w:szCs w:val="24"/>
        </w:rPr>
        <w:t xml:space="preserve">included. These </w:t>
      </w:r>
      <w:r w:rsidR="00C326C3">
        <w:rPr>
          <w:szCs w:val="24"/>
        </w:rPr>
        <w:t xml:space="preserve">are </w:t>
      </w:r>
      <w:r>
        <w:rPr>
          <w:szCs w:val="24"/>
        </w:rPr>
        <w:t>to:</w:t>
      </w:r>
    </w:p>
    <w:p w14:paraId="64A32880" w14:textId="77777777" w:rsidR="0088376B" w:rsidRDefault="0088376B" w:rsidP="00B43E6A">
      <w:pPr>
        <w:pStyle w:val="ListParagraph"/>
        <w:numPr>
          <w:ilvl w:val="0"/>
          <w:numId w:val="14"/>
        </w:numPr>
        <w:ind w:left="567" w:hanging="567"/>
        <w:rPr>
          <w:szCs w:val="24"/>
        </w:rPr>
      </w:pPr>
      <w:r>
        <w:rPr>
          <w:szCs w:val="24"/>
        </w:rPr>
        <w:t>increase the annual charge for listed complementary medicines</w:t>
      </w:r>
      <w:r w:rsidR="00803B36">
        <w:rPr>
          <w:szCs w:val="24"/>
        </w:rPr>
        <w:t xml:space="preserve"> by $80</w:t>
      </w:r>
      <w:r w:rsidR="00B43E6A">
        <w:rPr>
          <w:szCs w:val="24"/>
        </w:rPr>
        <w:t>, to reflect a greater allocation of post-market monitoring resources for these products</w:t>
      </w:r>
      <w:r>
        <w:rPr>
          <w:szCs w:val="24"/>
        </w:rPr>
        <w:t xml:space="preserve">; </w:t>
      </w:r>
    </w:p>
    <w:p w14:paraId="62559CA0" w14:textId="77777777" w:rsidR="0088376B" w:rsidRDefault="0088376B" w:rsidP="00B43E6A">
      <w:pPr>
        <w:pStyle w:val="ListParagraph"/>
        <w:numPr>
          <w:ilvl w:val="0"/>
          <w:numId w:val="14"/>
        </w:numPr>
        <w:ind w:left="567" w:hanging="567"/>
        <w:rPr>
          <w:szCs w:val="24"/>
        </w:rPr>
      </w:pPr>
      <w:r>
        <w:rPr>
          <w:szCs w:val="24"/>
        </w:rPr>
        <w:t xml:space="preserve">reduce annual </w:t>
      </w:r>
      <w:r w:rsidR="00D11CD6">
        <w:rPr>
          <w:szCs w:val="24"/>
        </w:rPr>
        <w:t>licenc</w:t>
      </w:r>
      <w:r w:rsidR="000E16C0">
        <w:rPr>
          <w:szCs w:val="24"/>
        </w:rPr>
        <w:t xml:space="preserve">e </w:t>
      </w:r>
      <w:r>
        <w:rPr>
          <w:szCs w:val="24"/>
        </w:rPr>
        <w:t>charges for manufactur</w:t>
      </w:r>
      <w:r w:rsidR="000E16C0">
        <w:rPr>
          <w:szCs w:val="24"/>
        </w:rPr>
        <w:t xml:space="preserve">ers of medicines and their active ingredients, </w:t>
      </w:r>
      <w:r w:rsidR="00EA71B0">
        <w:rPr>
          <w:szCs w:val="24"/>
        </w:rPr>
        <w:t xml:space="preserve">following a recent review of the costs relating to the regulation </w:t>
      </w:r>
      <w:r w:rsidR="00B43E6A">
        <w:rPr>
          <w:szCs w:val="24"/>
        </w:rPr>
        <w:t xml:space="preserve">of </w:t>
      </w:r>
      <w:r w:rsidR="00EA71B0">
        <w:rPr>
          <w:szCs w:val="24"/>
        </w:rPr>
        <w:t xml:space="preserve">therapeutic goods </w:t>
      </w:r>
      <w:r w:rsidR="00B43E6A">
        <w:rPr>
          <w:szCs w:val="24"/>
        </w:rPr>
        <w:t>manufacturers</w:t>
      </w:r>
      <w:r>
        <w:rPr>
          <w:szCs w:val="24"/>
        </w:rPr>
        <w:t>; and</w:t>
      </w:r>
    </w:p>
    <w:p w14:paraId="09669612" w14:textId="77777777" w:rsidR="0088376B" w:rsidRPr="00684E91" w:rsidRDefault="0088376B" w:rsidP="00B43E6A">
      <w:pPr>
        <w:pStyle w:val="ListParagraph"/>
        <w:numPr>
          <w:ilvl w:val="0"/>
          <w:numId w:val="14"/>
        </w:numPr>
        <w:ind w:left="567" w:hanging="567"/>
        <w:rPr>
          <w:szCs w:val="24"/>
        </w:rPr>
      </w:pPr>
      <w:r>
        <w:rPr>
          <w:szCs w:val="24"/>
        </w:rPr>
        <w:t>introduce annual charge</w:t>
      </w:r>
      <w:r w:rsidR="00803B36">
        <w:rPr>
          <w:szCs w:val="24"/>
        </w:rPr>
        <w:t xml:space="preserve"> amounts</w:t>
      </w:r>
      <w:r>
        <w:rPr>
          <w:szCs w:val="24"/>
        </w:rPr>
        <w:t xml:space="preserve"> for provisionally registered medicines</w:t>
      </w:r>
      <w:r w:rsidR="00803B36">
        <w:rPr>
          <w:szCs w:val="24"/>
        </w:rPr>
        <w:t xml:space="preserve"> (these are a new category of promising new prescription medicines, introduced by the </w:t>
      </w:r>
      <w:r w:rsidR="00803B36" w:rsidRPr="00803B36">
        <w:rPr>
          <w:i/>
          <w:szCs w:val="24"/>
        </w:rPr>
        <w:t>Therapeutic Goods Amendment (2017 Measures No.1) Act 2018</w:t>
      </w:r>
      <w:r w:rsidR="00803B36">
        <w:rPr>
          <w:szCs w:val="24"/>
        </w:rPr>
        <w:t>)</w:t>
      </w:r>
      <w:r>
        <w:rPr>
          <w:szCs w:val="24"/>
        </w:rPr>
        <w:t xml:space="preserve">. </w:t>
      </w:r>
    </w:p>
    <w:p w14:paraId="3F97F240" w14:textId="77777777" w:rsidR="0088376B" w:rsidRPr="00B43E6A" w:rsidRDefault="0088376B" w:rsidP="000854E9">
      <w:pPr>
        <w:rPr>
          <w:szCs w:val="24"/>
        </w:rPr>
      </w:pPr>
    </w:p>
    <w:p w14:paraId="4335668E" w14:textId="343C2EFA" w:rsidR="0072588E" w:rsidRDefault="0072588E" w:rsidP="00EA3BFF">
      <w:pPr>
        <w:rPr>
          <w:szCs w:val="24"/>
        </w:rPr>
      </w:pPr>
      <w:r>
        <w:rPr>
          <w:szCs w:val="24"/>
        </w:rPr>
        <w:t xml:space="preserve">The </w:t>
      </w:r>
      <w:r w:rsidR="00624609">
        <w:rPr>
          <w:szCs w:val="24"/>
        </w:rPr>
        <w:t>1</w:t>
      </w:r>
      <w:r w:rsidR="00EA3BFF">
        <w:rPr>
          <w:szCs w:val="24"/>
        </w:rPr>
        <w:t>.</w:t>
      </w:r>
      <w:r w:rsidR="00684E91">
        <w:rPr>
          <w:szCs w:val="24"/>
        </w:rPr>
        <w:t>9</w:t>
      </w:r>
      <w:r w:rsidR="00EA3BFF">
        <w:rPr>
          <w:szCs w:val="24"/>
        </w:rPr>
        <w:t xml:space="preserve"> per cent </w:t>
      </w:r>
      <w:r>
        <w:rPr>
          <w:szCs w:val="24"/>
        </w:rPr>
        <w:t xml:space="preserve">figure for the </w:t>
      </w:r>
      <w:r w:rsidR="00EA3BFF">
        <w:rPr>
          <w:szCs w:val="24"/>
        </w:rPr>
        <w:t xml:space="preserve">increase is based on </w:t>
      </w:r>
      <w:r>
        <w:rPr>
          <w:szCs w:val="24"/>
        </w:rPr>
        <w:t xml:space="preserve">an </w:t>
      </w:r>
      <w:r w:rsidR="00EA3BFF">
        <w:rPr>
          <w:szCs w:val="24"/>
        </w:rPr>
        <w:t xml:space="preserve">indexation </w:t>
      </w:r>
      <w:r>
        <w:rPr>
          <w:szCs w:val="24"/>
        </w:rPr>
        <w:t xml:space="preserve">formula </w:t>
      </w:r>
      <w:r w:rsidR="00EA3BFF">
        <w:rPr>
          <w:szCs w:val="24"/>
        </w:rPr>
        <w:t xml:space="preserve">used to calculate adjustments to TGA fees and charges in </w:t>
      </w:r>
      <w:r>
        <w:rPr>
          <w:szCs w:val="24"/>
        </w:rPr>
        <w:t xml:space="preserve">most previous years, and is </w:t>
      </w:r>
      <w:r w:rsidR="00EA3BFF">
        <w:rPr>
          <w:szCs w:val="24"/>
        </w:rPr>
        <w:t xml:space="preserve">based on the </w:t>
      </w:r>
      <w:r>
        <w:rPr>
          <w:szCs w:val="24"/>
        </w:rPr>
        <w:t xml:space="preserve">Australian Bureau of Statistics’ </w:t>
      </w:r>
      <w:r w:rsidR="00EA3BFF">
        <w:rPr>
          <w:szCs w:val="24"/>
        </w:rPr>
        <w:t xml:space="preserve">Wage Price Index (50 per cent) </w:t>
      </w:r>
      <w:r w:rsidR="005E7B97">
        <w:rPr>
          <w:szCs w:val="24"/>
        </w:rPr>
        <w:t xml:space="preserve">(in this case, for the year to September </w:t>
      </w:r>
      <w:r w:rsidR="00684E91">
        <w:rPr>
          <w:szCs w:val="24"/>
        </w:rPr>
        <w:t>2017</w:t>
      </w:r>
      <w:r w:rsidR="005E7B97">
        <w:rPr>
          <w:szCs w:val="24"/>
        </w:rPr>
        <w:t xml:space="preserve">) </w:t>
      </w:r>
      <w:r w:rsidR="00EA3BFF">
        <w:rPr>
          <w:szCs w:val="24"/>
        </w:rPr>
        <w:t>and</w:t>
      </w:r>
      <w:r w:rsidR="005E7B97">
        <w:rPr>
          <w:szCs w:val="24"/>
        </w:rPr>
        <w:t xml:space="preserve"> </w:t>
      </w:r>
      <w:r w:rsidR="00EA3BFF">
        <w:rPr>
          <w:szCs w:val="24"/>
        </w:rPr>
        <w:t>Cons</w:t>
      </w:r>
      <w:r>
        <w:rPr>
          <w:szCs w:val="24"/>
        </w:rPr>
        <w:t>umer Price Index (50 per cent)</w:t>
      </w:r>
      <w:r w:rsidR="005E7B97">
        <w:rPr>
          <w:szCs w:val="24"/>
        </w:rPr>
        <w:t xml:space="preserve"> (for the </w:t>
      </w:r>
      <w:r w:rsidR="00803B36">
        <w:rPr>
          <w:szCs w:val="24"/>
        </w:rPr>
        <w:t>same period</w:t>
      </w:r>
      <w:r w:rsidR="005E7B97">
        <w:rPr>
          <w:szCs w:val="24"/>
        </w:rPr>
        <w:t>)</w:t>
      </w:r>
      <w:r w:rsidR="00EA3BFF">
        <w:rPr>
          <w:szCs w:val="24"/>
        </w:rPr>
        <w:t>.</w:t>
      </w:r>
      <w:r>
        <w:rPr>
          <w:szCs w:val="24"/>
        </w:rPr>
        <w:t xml:space="preserve">  </w:t>
      </w:r>
    </w:p>
    <w:p w14:paraId="72AC1F3D" w14:textId="77777777" w:rsidR="0072588E" w:rsidRDefault="0072588E" w:rsidP="00EA3BFF">
      <w:pPr>
        <w:rPr>
          <w:szCs w:val="24"/>
        </w:rPr>
      </w:pPr>
    </w:p>
    <w:p w14:paraId="031064AD" w14:textId="4F3176EC" w:rsidR="00EA3BFF" w:rsidRPr="00C6778C" w:rsidRDefault="0072588E" w:rsidP="002E199E">
      <w:pPr>
        <w:rPr>
          <w:szCs w:val="24"/>
        </w:rPr>
      </w:pPr>
      <w:r>
        <w:rPr>
          <w:szCs w:val="24"/>
        </w:rPr>
        <w:t>This</w:t>
      </w:r>
      <w:r w:rsidR="00EA3BFF">
        <w:rPr>
          <w:szCs w:val="24"/>
        </w:rPr>
        <w:t xml:space="preserve"> increase </w:t>
      </w:r>
      <w:r w:rsidR="00991380">
        <w:rPr>
          <w:szCs w:val="24"/>
        </w:rPr>
        <w:t xml:space="preserve">is in line with </w:t>
      </w:r>
      <w:r w:rsidR="00EA3BFF">
        <w:rPr>
          <w:szCs w:val="24"/>
        </w:rPr>
        <w:t>the TGA</w:t>
      </w:r>
      <w:r w:rsidR="00991380">
        <w:rPr>
          <w:szCs w:val="24"/>
        </w:rPr>
        <w:t xml:space="preserve">’s cost recovery model. </w:t>
      </w:r>
      <w:r w:rsidR="00451E1F" w:rsidRPr="00C6778C">
        <w:rPr>
          <w:szCs w:val="24"/>
        </w:rPr>
        <w:t xml:space="preserve">In applying the increase, the </w:t>
      </w:r>
      <w:r w:rsidR="00451E1F">
        <w:rPr>
          <w:szCs w:val="24"/>
        </w:rPr>
        <w:t>following rounding policy has been applied</w:t>
      </w:r>
      <w:r w:rsidR="00451E1F" w:rsidRPr="00C6778C">
        <w:rPr>
          <w:szCs w:val="24"/>
        </w:rPr>
        <w:t>:</w:t>
      </w:r>
    </w:p>
    <w:p w14:paraId="26F2FDEB" w14:textId="77777777" w:rsidR="00451E1F" w:rsidRDefault="00451E1F" w:rsidP="002E199E">
      <w:pPr>
        <w:pStyle w:val="ListParagraph"/>
        <w:widowControl w:val="0"/>
        <w:numPr>
          <w:ilvl w:val="0"/>
          <w:numId w:val="5"/>
        </w:numPr>
        <w:adjustRightInd w:val="0"/>
        <w:ind w:left="567" w:hanging="567"/>
        <w:contextualSpacing w:val="0"/>
        <w:textAlignment w:val="baseline"/>
      </w:pPr>
      <w:r>
        <w:lastRenderedPageBreak/>
        <w:t>for charge items that are less than $10,000 - to the nearest $</w:t>
      </w:r>
      <w:r w:rsidR="005C56C2">
        <w:t>10</w:t>
      </w:r>
      <w:r w:rsidR="00780860">
        <w:t xml:space="preserve"> with a minimum increase of $10</w:t>
      </w:r>
      <w:r>
        <w:t>; and</w:t>
      </w:r>
    </w:p>
    <w:p w14:paraId="5303D546" w14:textId="77777777" w:rsidR="00451E1F" w:rsidRPr="003F7635" w:rsidRDefault="00451E1F" w:rsidP="00451E1F">
      <w:pPr>
        <w:pStyle w:val="ListParagraph"/>
        <w:widowControl w:val="0"/>
        <w:numPr>
          <w:ilvl w:val="0"/>
          <w:numId w:val="5"/>
        </w:numPr>
        <w:adjustRightInd w:val="0"/>
        <w:ind w:left="567" w:hanging="567"/>
        <w:textAlignment w:val="baseline"/>
      </w:pPr>
      <w:r>
        <w:t xml:space="preserve">for charge items that are greater than or equal to $10,000 - to the nearest $100. </w:t>
      </w:r>
    </w:p>
    <w:p w14:paraId="5519B20C" w14:textId="77777777" w:rsidR="00684E91" w:rsidRDefault="00684E91" w:rsidP="00D27D4C">
      <w:pPr>
        <w:rPr>
          <w:szCs w:val="24"/>
        </w:rPr>
      </w:pPr>
    </w:p>
    <w:p w14:paraId="726C8B15" w14:textId="175F263E" w:rsidR="00C326C3" w:rsidRPr="003856A4" w:rsidRDefault="00C326C3" w:rsidP="00C326C3">
      <w:pPr>
        <w:rPr>
          <w:szCs w:val="24"/>
        </w:rPr>
      </w:pPr>
      <w:r>
        <w:rPr>
          <w:szCs w:val="24"/>
        </w:rPr>
        <w:t>D</w:t>
      </w:r>
      <w:r w:rsidRPr="003856A4">
        <w:rPr>
          <w:szCs w:val="24"/>
        </w:rPr>
        <w:t xml:space="preserve">etails of the </w:t>
      </w:r>
      <w:r>
        <w:rPr>
          <w:szCs w:val="24"/>
        </w:rPr>
        <w:t>R</w:t>
      </w:r>
      <w:r w:rsidRPr="003856A4">
        <w:rPr>
          <w:szCs w:val="24"/>
        </w:rPr>
        <w:t>egulation</w:t>
      </w:r>
      <w:r>
        <w:rPr>
          <w:szCs w:val="24"/>
        </w:rPr>
        <w:t>s</w:t>
      </w:r>
      <w:r w:rsidRPr="003856A4">
        <w:rPr>
          <w:szCs w:val="24"/>
        </w:rPr>
        <w:t xml:space="preserve"> are set out in the </w:t>
      </w:r>
      <w:r w:rsidRPr="003856A4">
        <w:rPr>
          <w:szCs w:val="24"/>
          <w:u w:val="single"/>
        </w:rPr>
        <w:t>Attachment</w:t>
      </w:r>
      <w:r w:rsidRPr="003856A4">
        <w:rPr>
          <w:szCs w:val="24"/>
        </w:rPr>
        <w:t>.</w:t>
      </w:r>
    </w:p>
    <w:p w14:paraId="49208D01" w14:textId="77777777" w:rsidR="00C326C3" w:rsidRPr="002747DD" w:rsidRDefault="00C326C3" w:rsidP="00C326C3">
      <w:pPr>
        <w:rPr>
          <w:szCs w:val="24"/>
        </w:rPr>
      </w:pPr>
    </w:p>
    <w:p w14:paraId="00CE3A41" w14:textId="384AE673" w:rsidR="00C326C3" w:rsidRPr="003856A4" w:rsidRDefault="00C326C3" w:rsidP="00C326C3">
      <w:pPr>
        <w:rPr>
          <w:szCs w:val="24"/>
        </w:rPr>
      </w:pPr>
      <w:r>
        <w:rPr>
          <w:szCs w:val="24"/>
        </w:rPr>
        <w:t xml:space="preserve">The Act specifies no </w:t>
      </w:r>
      <w:r w:rsidRPr="003856A4">
        <w:rPr>
          <w:szCs w:val="24"/>
        </w:rPr>
        <w:t>conditions that</w:t>
      </w:r>
      <w:r>
        <w:rPr>
          <w:szCs w:val="24"/>
        </w:rPr>
        <w:t xml:space="preserve"> </w:t>
      </w:r>
      <w:r w:rsidRPr="003856A4">
        <w:rPr>
          <w:szCs w:val="24"/>
        </w:rPr>
        <w:t xml:space="preserve">need to be </w:t>
      </w:r>
      <w:r>
        <w:rPr>
          <w:szCs w:val="24"/>
        </w:rPr>
        <w:t>satisfied</w:t>
      </w:r>
      <w:r w:rsidRPr="003856A4">
        <w:rPr>
          <w:szCs w:val="24"/>
        </w:rPr>
        <w:t xml:space="preserve"> before the power to make </w:t>
      </w:r>
      <w:r>
        <w:rPr>
          <w:szCs w:val="24"/>
        </w:rPr>
        <w:t>the R</w:t>
      </w:r>
      <w:r w:rsidRPr="003856A4">
        <w:rPr>
          <w:szCs w:val="24"/>
        </w:rPr>
        <w:t>egulation</w:t>
      </w:r>
      <w:r>
        <w:rPr>
          <w:szCs w:val="24"/>
        </w:rPr>
        <w:t>s</w:t>
      </w:r>
      <w:r w:rsidRPr="003856A4">
        <w:rPr>
          <w:szCs w:val="24"/>
        </w:rPr>
        <w:t xml:space="preserve"> may be exercised.</w:t>
      </w:r>
    </w:p>
    <w:p w14:paraId="029D8FC2" w14:textId="77777777" w:rsidR="00C326C3" w:rsidRPr="003856A4" w:rsidRDefault="00C326C3" w:rsidP="00C326C3">
      <w:pPr>
        <w:rPr>
          <w:szCs w:val="24"/>
        </w:rPr>
      </w:pPr>
    </w:p>
    <w:p w14:paraId="71A0A52B" w14:textId="0442BC48" w:rsidR="00C326C3" w:rsidRPr="003856A4" w:rsidRDefault="00C326C3" w:rsidP="00C326C3">
      <w:pPr>
        <w:rPr>
          <w:szCs w:val="24"/>
        </w:rPr>
      </w:pPr>
      <w:r w:rsidRPr="003856A4">
        <w:rPr>
          <w:szCs w:val="24"/>
        </w:rPr>
        <w:t xml:space="preserve">The </w:t>
      </w:r>
      <w:r>
        <w:rPr>
          <w:szCs w:val="24"/>
        </w:rPr>
        <w:t>R</w:t>
      </w:r>
      <w:r w:rsidRPr="003856A4">
        <w:rPr>
          <w:szCs w:val="24"/>
        </w:rPr>
        <w:t>egulation</w:t>
      </w:r>
      <w:r>
        <w:rPr>
          <w:szCs w:val="24"/>
        </w:rPr>
        <w:t>s</w:t>
      </w:r>
      <w:r w:rsidRPr="003856A4">
        <w:rPr>
          <w:szCs w:val="24"/>
        </w:rPr>
        <w:t xml:space="preserve"> </w:t>
      </w:r>
      <w:r w:rsidR="00E45416">
        <w:rPr>
          <w:szCs w:val="24"/>
        </w:rPr>
        <w:t>are</w:t>
      </w:r>
      <w:r>
        <w:rPr>
          <w:szCs w:val="24"/>
        </w:rPr>
        <w:t xml:space="preserve"> </w:t>
      </w:r>
      <w:r w:rsidRPr="003856A4">
        <w:rPr>
          <w:szCs w:val="24"/>
        </w:rPr>
        <w:t xml:space="preserve">a legislative instrument for the purposes of the </w:t>
      </w:r>
      <w:r>
        <w:rPr>
          <w:i/>
          <w:szCs w:val="24"/>
        </w:rPr>
        <w:t xml:space="preserve">Legislation </w:t>
      </w:r>
      <w:r w:rsidRPr="003856A4">
        <w:rPr>
          <w:i/>
          <w:szCs w:val="24"/>
        </w:rPr>
        <w:t>Act 2003</w:t>
      </w:r>
      <w:r w:rsidRPr="003856A4">
        <w:rPr>
          <w:szCs w:val="24"/>
        </w:rPr>
        <w:t>.</w:t>
      </w:r>
    </w:p>
    <w:p w14:paraId="3AED67F4" w14:textId="77777777" w:rsidR="00C326C3" w:rsidRPr="003856A4" w:rsidRDefault="00C326C3" w:rsidP="00C326C3">
      <w:pPr>
        <w:rPr>
          <w:szCs w:val="24"/>
        </w:rPr>
      </w:pPr>
    </w:p>
    <w:p w14:paraId="40B9DA6D" w14:textId="247DEAC5" w:rsidR="00C326C3" w:rsidRDefault="00C326C3" w:rsidP="00C326C3">
      <w:pPr>
        <w:rPr>
          <w:szCs w:val="24"/>
        </w:rPr>
      </w:pPr>
      <w:r w:rsidRPr="003856A4">
        <w:rPr>
          <w:szCs w:val="24"/>
        </w:rPr>
        <w:t xml:space="preserve">The </w:t>
      </w:r>
      <w:r>
        <w:rPr>
          <w:szCs w:val="24"/>
        </w:rPr>
        <w:t>R</w:t>
      </w:r>
      <w:r w:rsidRPr="003856A4">
        <w:rPr>
          <w:szCs w:val="24"/>
        </w:rPr>
        <w:t>egulation</w:t>
      </w:r>
      <w:r>
        <w:rPr>
          <w:szCs w:val="24"/>
        </w:rPr>
        <w:t>s</w:t>
      </w:r>
      <w:r w:rsidRPr="003856A4">
        <w:rPr>
          <w:szCs w:val="24"/>
        </w:rPr>
        <w:t xml:space="preserve"> </w:t>
      </w:r>
      <w:r>
        <w:rPr>
          <w:szCs w:val="24"/>
        </w:rPr>
        <w:t xml:space="preserve">principally </w:t>
      </w:r>
      <w:r w:rsidRPr="003856A4">
        <w:rPr>
          <w:szCs w:val="24"/>
        </w:rPr>
        <w:t>commence</w:t>
      </w:r>
      <w:r>
        <w:rPr>
          <w:szCs w:val="24"/>
        </w:rPr>
        <w:t xml:space="preserve"> on 1 July 2018 (sections 1 to 4 commence the day after it is registered on the Federal Register of Legislation, with the new charges commencing </w:t>
      </w:r>
      <w:r w:rsidRPr="003856A4">
        <w:rPr>
          <w:szCs w:val="24"/>
        </w:rPr>
        <w:t>1 July 201</w:t>
      </w:r>
      <w:r>
        <w:rPr>
          <w:szCs w:val="24"/>
        </w:rPr>
        <w:t>8)</w:t>
      </w:r>
      <w:r w:rsidRPr="003856A4">
        <w:rPr>
          <w:szCs w:val="24"/>
        </w:rPr>
        <w:t>.</w:t>
      </w:r>
    </w:p>
    <w:p w14:paraId="3AB95131" w14:textId="77777777" w:rsidR="00C326C3" w:rsidRDefault="00C326C3" w:rsidP="00D27D4C">
      <w:pPr>
        <w:rPr>
          <w:szCs w:val="24"/>
        </w:rPr>
      </w:pPr>
    </w:p>
    <w:p w14:paraId="1F7B47FC" w14:textId="3036DB5A" w:rsidR="00C326C3" w:rsidRPr="00B338DE" w:rsidRDefault="00C326C3" w:rsidP="00D27D4C">
      <w:pPr>
        <w:rPr>
          <w:b/>
          <w:szCs w:val="24"/>
        </w:rPr>
      </w:pPr>
      <w:r w:rsidRPr="00B338DE">
        <w:rPr>
          <w:b/>
          <w:szCs w:val="24"/>
        </w:rPr>
        <w:t xml:space="preserve">Consultation </w:t>
      </w:r>
    </w:p>
    <w:p w14:paraId="57854F0F" w14:textId="77777777" w:rsidR="00C326C3" w:rsidRDefault="00C326C3" w:rsidP="00D27D4C">
      <w:pPr>
        <w:rPr>
          <w:szCs w:val="24"/>
        </w:rPr>
      </w:pPr>
    </w:p>
    <w:p w14:paraId="55D06B79" w14:textId="77777777" w:rsidR="001431DE" w:rsidRPr="000A02A1" w:rsidRDefault="009A23EC" w:rsidP="001431DE">
      <w:pPr>
        <w:rPr>
          <w:szCs w:val="24"/>
        </w:rPr>
      </w:pPr>
      <w:r>
        <w:rPr>
          <w:szCs w:val="24"/>
        </w:rPr>
        <w:t xml:space="preserve">Preliminary consultation on </w:t>
      </w:r>
      <w:r w:rsidR="0032774F">
        <w:rPr>
          <w:szCs w:val="24"/>
        </w:rPr>
        <w:t xml:space="preserve">possible </w:t>
      </w:r>
      <w:r w:rsidR="00803B36" w:rsidRPr="00B350FF">
        <w:rPr>
          <w:szCs w:val="24"/>
        </w:rPr>
        <w:t xml:space="preserve">changes to </w:t>
      </w:r>
      <w:r>
        <w:rPr>
          <w:szCs w:val="24"/>
        </w:rPr>
        <w:t xml:space="preserve">increase </w:t>
      </w:r>
      <w:r w:rsidR="00B90FA6">
        <w:rPr>
          <w:szCs w:val="24"/>
        </w:rPr>
        <w:t>annual</w:t>
      </w:r>
      <w:r w:rsidR="00803B36" w:rsidRPr="00B350FF">
        <w:rPr>
          <w:szCs w:val="24"/>
        </w:rPr>
        <w:t xml:space="preserve"> charges for 2018-19 </w:t>
      </w:r>
      <w:r w:rsidR="00803B36" w:rsidRPr="00E8773D">
        <w:rPr>
          <w:szCs w:val="24"/>
        </w:rPr>
        <w:t>w</w:t>
      </w:r>
      <w:r>
        <w:rPr>
          <w:szCs w:val="24"/>
        </w:rPr>
        <w:t xml:space="preserve">as undertaken </w:t>
      </w:r>
      <w:r w:rsidR="00803B36" w:rsidRPr="00E8773D">
        <w:rPr>
          <w:szCs w:val="24"/>
        </w:rPr>
        <w:t xml:space="preserve">at bilateral meetings with industry representative bodies </w:t>
      </w:r>
      <w:r w:rsidR="00D37053">
        <w:rPr>
          <w:szCs w:val="24"/>
        </w:rPr>
        <w:t>(</w:t>
      </w:r>
      <w:r w:rsidR="00D37053" w:rsidRPr="00E8773D">
        <w:rPr>
          <w:szCs w:val="24"/>
        </w:rPr>
        <w:t>Medicines Australia, the Generic and Biosimilar Medicines Association, AusBiotech, the Medical Technology Association of Australia, IVD Australia, the Australian Dental Industry Association</w:t>
      </w:r>
      <w:r w:rsidR="00D11CD6">
        <w:rPr>
          <w:szCs w:val="24"/>
        </w:rPr>
        <w:t xml:space="preserve"> (ADIA)</w:t>
      </w:r>
      <w:r w:rsidR="00D37053" w:rsidRPr="00E8773D">
        <w:rPr>
          <w:szCs w:val="24"/>
        </w:rPr>
        <w:t>, the Australian Self-Medical Industry, Complementary Medicines Australia and Accord Australasia</w:t>
      </w:r>
      <w:r w:rsidR="00D37053">
        <w:rPr>
          <w:szCs w:val="24"/>
        </w:rPr>
        <w:t xml:space="preserve">) </w:t>
      </w:r>
      <w:r w:rsidR="00803B36" w:rsidRPr="00E8773D">
        <w:rPr>
          <w:szCs w:val="24"/>
        </w:rPr>
        <w:t>in December 2017</w:t>
      </w:r>
      <w:r w:rsidR="0032774F">
        <w:rPr>
          <w:szCs w:val="24"/>
        </w:rPr>
        <w:t xml:space="preserve">. </w:t>
      </w:r>
      <w:r w:rsidR="001431DE" w:rsidRPr="000A02A1">
        <w:rPr>
          <w:szCs w:val="24"/>
        </w:rPr>
        <w:t>Furth</w:t>
      </w:r>
      <w:r w:rsidR="001431DE">
        <w:rPr>
          <w:szCs w:val="24"/>
        </w:rPr>
        <w:t>er consultation on the proposal</w:t>
      </w:r>
      <w:r w:rsidR="001431DE" w:rsidRPr="000A02A1">
        <w:rPr>
          <w:szCs w:val="24"/>
        </w:rPr>
        <w:t xml:space="preserve"> to increas</w:t>
      </w:r>
      <w:r w:rsidR="00B90FA6">
        <w:rPr>
          <w:szCs w:val="24"/>
        </w:rPr>
        <w:t>e most</w:t>
      </w:r>
      <w:r w:rsidR="001431DE">
        <w:rPr>
          <w:szCs w:val="24"/>
        </w:rPr>
        <w:t xml:space="preserve"> charges by 1.9 per cent, </w:t>
      </w:r>
      <w:r w:rsidR="001431DE" w:rsidRPr="000A02A1">
        <w:rPr>
          <w:szCs w:val="24"/>
        </w:rPr>
        <w:t>increase the charge for listed complementary medicines by $80 and introduce charges for provisionally registered prescription medicines</w:t>
      </w:r>
      <w:r w:rsidR="001431DE">
        <w:rPr>
          <w:szCs w:val="24"/>
        </w:rPr>
        <w:t>,</w:t>
      </w:r>
      <w:r w:rsidR="001431DE" w:rsidRPr="000A02A1">
        <w:rPr>
          <w:szCs w:val="24"/>
        </w:rPr>
        <w:t xml:space="preserve"> from 1 July 2018</w:t>
      </w:r>
      <w:r w:rsidR="00D37053">
        <w:rPr>
          <w:szCs w:val="24"/>
        </w:rPr>
        <w:t>,</w:t>
      </w:r>
      <w:r w:rsidR="001431DE" w:rsidRPr="000A02A1">
        <w:rPr>
          <w:szCs w:val="24"/>
        </w:rPr>
        <w:t xml:space="preserve"> was undertaken at bilateral meetings with</w:t>
      </w:r>
      <w:r w:rsidR="001431DE">
        <w:rPr>
          <w:szCs w:val="24"/>
        </w:rPr>
        <w:t xml:space="preserve"> the same </w:t>
      </w:r>
      <w:r w:rsidR="001431DE" w:rsidRPr="000A02A1">
        <w:rPr>
          <w:szCs w:val="24"/>
        </w:rPr>
        <w:t xml:space="preserve">bodies in February 2018. </w:t>
      </w:r>
      <w:r w:rsidR="001431DE">
        <w:rPr>
          <w:szCs w:val="24"/>
        </w:rPr>
        <w:t>The</w:t>
      </w:r>
      <w:r w:rsidR="001431DE" w:rsidRPr="000A02A1">
        <w:rPr>
          <w:szCs w:val="24"/>
        </w:rPr>
        <w:t xml:space="preserve"> bodies did</w:t>
      </w:r>
      <w:r w:rsidR="001431DE">
        <w:rPr>
          <w:szCs w:val="24"/>
        </w:rPr>
        <w:t xml:space="preserve"> not</w:t>
      </w:r>
      <w:r w:rsidR="001431DE" w:rsidRPr="000A02A1">
        <w:rPr>
          <w:szCs w:val="24"/>
        </w:rPr>
        <w:t xml:space="preserve"> object to the proposals.</w:t>
      </w:r>
    </w:p>
    <w:p w14:paraId="37B7D720" w14:textId="77777777" w:rsidR="00803B36" w:rsidRPr="00A43858" w:rsidRDefault="00803B36" w:rsidP="00803B36">
      <w:pPr>
        <w:rPr>
          <w:szCs w:val="24"/>
        </w:rPr>
      </w:pPr>
    </w:p>
    <w:p w14:paraId="22C4BC1F" w14:textId="6D239092" w:rsidR="00803B36" w:rsidRPr="000A02A1" w:rsidRDefault="00803B36" w:rsidP="00803B36">
      <w:pPr>
        <w:rPr>
          <w:szCs w:val="24"/>
        </w:rPr>
      </w:pPr>
      <w:r w:rsidRPr="000A02A1">
        <w:rPr>
          <w:szCs w:val="24"/>
        </w:rPr>
        <w:t xml:space="preserve">A consultation paper </w:t>
      </w:r>
      <w:r w:rsidR="0051176E">
        <w:rPr>
          <w:szCs w:val="24"/>
        </w:rPr>
        <w:t xml:space="preserve">on </w:t>
      </w:r>
      <w:r w:rsidR="00D37053">
        <w:rPr>
          <w:szCs w:val="24"/>
        </w:rPr>
        <w:t xml:space="preserve">proposed changes to </w:t>
      </w:r>
      <w:r w:rsidR="00B90FA6">
        <w:rPr>
          <w:szCs w:val="24"/>
        </w:rPr>
        <w:t xml:space="preserve">annual </w:t>
      </w:r>
      <w:r w:rsidR="00D37053">
        <w:rPr>
          <w:szCs w:val="24"/>
        </w:rPr>
        <w:t xml:space="preserve">charges </w:t>
      </w:r>
      <w:r w:rsidR="0051176E">
        <w:rPr>
          <w:szCs w:val="24"/>
        </w:rPr>
        <w:t xml:space="preserve">(and fees) </w:t>
      </w:r>
      <w:r w:rsidR="00D37053">
        <w:rPr>
          <w:szCs w:val="24"/>
        </w:rPr>
        <w:t>for manufacturing licences (</w:t>
      </w:r>
      <w:r w:rsidRPr="000A02A1">
        <w:rPr>
          <w:szCs w:val="24"/>
        </w:rPr>
        <w:t>‘</w:t>
      </w:r>
      <w:r w:rsidRPr="000B7607">
        <w:rPr>
          <w:i/>
          <w:szCs w:val="24"/>
        </w:rPr>
        <w:t>Review of GMP Fees &amp; Charges</w:t>
      </w:r>
      <w:r w:rsidRPr="000A02A1">
        <w:rPr>
          <w:szCs w:val="24"/>
        </w:rPr>
        <w:t>’</w:t>
      </w:r>
      <w:r w:rsidR="00D37053">
        <w:rPr>
          <w:szCs w:val="24"/>
        </w:rPr>
        <w:t>)</w:t>
      </w:r>
      <w:r w:rsidRPr="000A02A1">
        <w:rPr>
          <w:szCs w:val="24"/>
        </w:rPr>
        <w:t xml:space="preserve"> was released on the TGA</w:t>
      </w:r>
      <w:r w:rsidR="0032774F">
        <w:rPr>
          <w:szCs w:val="24"/>
        </w:rPr>
        <w:t>’s</w:t>
      </w:r>
      <w:r w:rsidRPr="000A02A1">
        <w:rPr>
          <w:szCs w:val="24"/>
        </w:rPr>
        <w:t xml:space="preserve"> website</w:t>
      </w:r>
      <w:r w:rsidR="00991380">
        <w:rPr>
          <w:szCs w:val="24"/>
        </w:rPr>
        <w:t xml:space="preserve"> </w:t>
      </w:r>
      <w:r w:rsidRPr="000A02A1">
        <w:rPr>
          <w:szCs w:val="24"/>
        </w:rPr>
        <w:t>on 9</w:t>
      </w:r>
      <w:r w:rsidR="00991380">
        <w:rPr>
          <w:szCs w:val="24"/>
        </w:rPr>
        <w:t> </w:t>
      </w:r>
      <w:r w:rsidRPr="000A02A1">
        <w:rPr>
          <w:szCs w:val="24"/>
        </w:rPr>
        <w:t>February 2018</w:t>
      </w:r>
      <w:r w:rsidR="0032774F">
        <w:rPr>
          <w:szCs w:val="24"/>
        </w:rPr>
        <w:t xml:space="preserve">, </w:t>
      </w:r>
      <w:r w:rsidR="00D37053">
        <w:rPr>
          <w:szCs w:val="24"/>
        </w:rPr>
        <w:t xml:space="preserve">and closed on 5 March 2018. </w:t>
      </w:r>
      <w:r w:rsidR="00B90FA6">
        <w:rPr>
          <w:szCs w:val="24"/>
        </w:rPr>
        <w:t>A</w:t>
      </w:r>
      <w:r w:rsidRPr="000A02A1">
        <w:rPr>
          <w:szCs w:val="24"/>
        </w:rPr>
        <w:t xml:space="preserve"> number of ‘roadshows’ </w:t>
      </w:r>
      <w:r w:rsidR="00696BF8">
        <w:rPr>
          <w:szCs w:val="24"/>
        </w:rPr>
        <w:t xml:space="preserve">were </w:t>
      </w:r>
      <w:r w:rsidR="00991380">
        <w:rPr>
          <w:szCs w:val="24"/>
        </w:rPr>
        <w:t xml:space="preserve">also </w:t>
      </w:r>
      <w:r w:rsidR="00696BF8">
        <w:rPr>
          <w:szCs w:val="24"/>
        </w:rPr>
        <w:t xml:space="preserve">held </w:t>
      </w:r>
      <w:r w:rsidRPr="000A02A1">
        <w:rPr>
          <w:szCs w:val="24"/>
        </w:rPr>
        <w:t>in</w:t>
      </w:r>
      <w:r w:rsidR="00B90FA6">
        <w:rPr>
          <w:szCs w:val="24"/>
        </w:rPr>
        <w:t xml:space="preserve"> February 2018 in</w:t>
      </w:r>
      <w:r w:rsidRPr="000A02A1">
        <w:rPr>
          <w:szCs w:val="24"/>
        </w:rPr>
        <w:t xml:space="preserve"> Sydney, Melbourne and Brisbane</w:t>
      </w:r>
      <w:r w:rsidR="00696BF8">
        <w:rPr>
          <w:szCs w:val="24"/>
        </w:rPr>
        <w:t>,</w:t>
      </w:r>
      <w:r w:rsidRPr="000A02A1">
        <w:rPr>
          <w:szCs w:val="24"/>
        </w:rPr>
        <w:t xml:space="preserve"> enabl</w:t>
      </w:r>
      <w:r w:rsidR="00696BF8">
        <w:rPr>
          <w:szCs w:val="24"/>
        </w:rPr>
        <w:t>ing</w:t>
      </w:r>
      <w:r w:rsidRPr="000A02A1">
        <w:rPr>
          <w:szCs w:val="24"/>
        </w:rPr>
        <w:t xml:space="preserve"> industry body representatives, </w:t>
      </w:r>
      <w:r w:rsidR="0032774F">
        <w:rPr>
          <w:szCs w:val="24"/>
        </w:rPr>
        <w:t xml:space="preserve">sponsors and </w:t>
      </w:r>
      <w:r w:rsidRPr="000A02A1">
        <w:rPr>
          <w:szCs w:val="24"/>
        </w:rPr>
        <w:t>manufacture</w:t>
      </w:r>
      <w:r w:rsidR="0032774F">
        <w:rPr>
          <w:szCs w:val="24"/>
        </w:rPr>
        <w:t>r</w:t>
      </w:r>
      <w:r w:rsidRPr="000A02A1">
        <w:rPr>
          <w:szCs w:val="24"/>
        </w:rPr>
        <w:t xml:space="preserve">s to provide direct feedback. </w:t>
      </w:r>
      <w:r w:rsidR="00696BF8">
        <w:rPr>
          <w:szCs w:val="24"/>
        </w:rPr>
        <w:t>F</w:t>
      </w:r>
      <w:r w:rsidRPr="000A02A1">
        <w:rPr>
          <w:szCs w:val="24"/>
        </w:rPr>
        <w:t xml:space="preserve">ollow-up discussions were </w:t>
      </w:r>
      <w:r w:rsidR="00696BF8">
        <w:rPr>
          <w:szCs w:val="24"/>
        </w:rPr>
        <w:t>held</w:t>
      </w:r>
      <w:r w:rsidRPr="000A02A1">
        <w:rPr>
          <w:szCs w:val="24"/>
        </w:rPr>
        <w:t xml:space="preserve"> with some industry bodies</w:t>
      </w:r>
      <w:r w:rsidR="003603B7">
        <w:rPr>
          <w:szCs w:val="24"/>
        </w:rPr>
        <w:t xml:space="preserve"> after 5 March 2018, and</w:t>
      </w:r>
      <w:r w:rsidRPr="000A02A1">
        <w:rPr>
          <w:szCs w:val="24"/>
        </w:rPr>
        <w:t xml:space="preserve"> the proposed </w:t>
      </w:r>
      <w:r w:rsidR="003603B7">
        <w:rPr>
          <w:szCs w:val="24"/>
        </w:rPr>
        <w:t>changes</w:t>
      </w:r>
      <w:r w:rsidRPr="000A02A1">
        <w:rPr>
          <w:szCs w:val="24"/>
        </w:rPr>
        <w:t xml:space="preserve"> were discussed at the TGA Industry Working Group on G</w:t>
      </w:r>
      <w:r w:rsidR="00991380">
        <w:rPr>
          <w:szCs w:val="24"/>
        </w:rPr>
        <w:t xml:space="preserve">ood </w:t>
      </w:r>
      <w:r w:rsidRPr="000A02A1">
        <w:rPr>
          <w:szCs w:val="24"/>
        </w:rPr>
        <w:t>M</w:t>
      </w:r>
      <w:r w:rsidR="00991380">
        <w:rPr>
          <w:szCs w:val="24"/>
        </w:rPr>
        <w:t xml:space="preserve">anufacturing </w:t>
      </w:r>
      <w:r w:rsidRPr="000A02A1">
        <w:rPr>
          <w:szCs w:val="24"/>
        </w:rPr>
        <w:t>P</w:t>
      </w:r>
      <w:r w:rsidR="00991380">
        <w:rPr>
          <w:szCs w:val="24"/>
        </w:rPr>
        <w:t xml:space="preserve">ractice </w:t>
      </w:r>
      <w:r w:rsidRPr="000A02A1">
        <w:rPr>
          <w:szCs w:val="24"/>
        </w:rPr>
        <w:t>(TIWGG) meeting on 15</w:t>
      </w:r>
      <w:r w:rsidR="00991380">
        <w:rPr>
          <w:szCs w:val="24"/>
        </w:rPr>
        <w:t> </w:t>
      </w:r>
      <w:r w:rsidRPr="000A02A1">
        <w:rPr>
          <w:szCs w:val="24"/>
        </w:rPr>
        <w:t xml:space="preserve">March 2018. </w:t>
      </w:r>
      <w:r w:rsidR="00D11CD6">
        <w:rPr>
          <w:szCs w:val="24"/>
        </w:rPr>
        <w:t xml:space="preserve">No objections were raised in relation to the proposed changes to </w:t>
      </w:r>
      <w:r w:rsidR="009928A8">
        <w:rPr>
          <w:szCs w:val="24"/>
        </w:rPr>
        <w:t xml:space="preserve">annual charges for manufacturing </w:t>
      </w:r>
      <w:r w:rsidR="00D11CD6">
        <w:rPr>
          <w:szCs w:val="24"/>
        </w:rPr>
        <w:t>licence</w:t>
      </w:r>
      <w:r w:rsidR="009928A8">
        <w:rPr>
          <w:szCs w:val="24"/>
        </w:rPr>
        <w:t>s</w:t>
      </w:r>
      <w:r w:rsidR="00D11CD6">
        <w:rPr>
          <w:szCs w:val="24"/>
        </w:rPr>
        <w:t>.</w:t>
      </w:r>
    </w:p>
    <w:p w14:paraId="7071AE67" w14:textId="77777777" w:rsidR="00803B36" w:rsidRPr="000A02A1" w:rsidRDefault="00803B36" w:rsidP="00803B36">
      <w:pPr>
        <w:rPr>
          <w:szCs w:val="24"/>
        </w:rPr>
      </w:pPr>
    </w:p>
    <w:p w14:paraId="731C635C" w14:textId="77777777" w:rsidR="00C616A1" w:rsidRDefault="00C616A1" w:rsidP="003856A4">
      <w:pPr>
        <w:rPr>
          <w:szCs w:val="24"/>
        </w:rPr>
      </w:pPr>
    </w:p>
    <w:p w14:paraId="1F1402F3" w14:textId="77777777" w:rsidR="00B350FF" w:rsidRPr="003856A4" w:rsidRDefault="00B350FF" w:rsidP="003856A4">
      <w:pPr>
        <w:rPr>
          <w:szCs w:val="24"/>
        </w:rPr>
      </w:pPr>
    </w:p>
    <w:p w14:paraId="5DC1E012" w14:textId="77777777" w:rsidR="002E568B" w:rsidRPr="003856A4" w:rsidRDefault="002E568B" w:rsidP="00646264">
      <w:pPr>
        <w:ind w:left="5670" w:hanging="1134"/>
        <w:rPr>
          <w:szCs w:val="24"/>
        </w:rPr>
      </w:pPr>
      <w:r w:rsidRPr="003856A4">
        <w:rPr>
          <w:szCs w:val="24"/>
          <w:u w:val="single"/>
        </w:rPr>
        <w:t>Authority:</w:t>
      </w:r>
      <w:r w:rsidRPr="003856A4">
        <w:rPr>
          <w:szCs w:val="24"/>
        </w:rPr>
        <w:t xml:space="preserve"> </w:t>
      </w:r>
      <w:r w:rsidRPr="003856A4">
        <w:rPr>
          <w:szCs w:val="24"/>
        </w:rPr>
        <w:tab/>
        <w:t xml:space="preserve">Subsection 5(1) of the </w:t>
      </w:r>
    </w:p>
    <w:p w14:paraId="71BDEA6D" w14:textId="77777777" w:rsidR="00991380" w:rsidRDefault="002E568B" w:rsidP="003856A4">
      <w:pPr>
        <w:ind w:left="5670"/>
        <w:rPr>
          <w:i/>
          <w:szCs w:val="24"/>
        </w:rPr>
      </w:pPr>
      <w:r w:rsidRPr="003856A4">
        <w:rPr>
          <w:i/>
          <w:szCs w:val="24"/>
        </w:rPr>
        <w:t xml:space="preserve">Therapeutic Goods (Charges) </w:t>
      </w:r>
    </w:p>
    <w:p w14:paraId="1DD75A46" w14:textId="11495264" w:rsidR="002E568B" w:rsidRPr="00BA167E" w:rsidRDefault="002E568B" w:rsidP="003856A4">
      <w:pPr>
        <w:ind w:left="5670"/>
        <w:rPr>
          <w:szCs w:val="24"/>
        </w:rPr>
      </w:pPr>
      <w:r w:rsidRPr="003856A4">
        <w:rPr>
          <w:i/>
          <w:szCs w:val="24"/>
        </w:rPr>
        <w:t>Act 1989</w:t>
      </w:r>
    </w:p>
    <w:p w14:paraId="69AF00E0" w14:textId="77777777" w:rsidR="002E568B" w:rsidRPr="00AC42A1" w:rsidRDefault="002E568B" w:rsidP="00E93A0F">
      <w:pPr>
        <w:ind w:left="6237" w:firstLine="3"/>
        <w:jc w:val="right"/>
        <w:rPr>
          <w:b/>
          <w:szCs w:val="24"/>
          <w:u w:val="single"/>
        </w:rPr>
      </w:pPr>
      <w:r w:rsidRPr="003856A4">
        <w:rPr>
          <w:color w:val="FF0000"/>
          <w:szCs w:val="24"/>
          <w:u w:val="single"/>
        </w:rPr>
        <w:br w:type="page"/>
      </w:r>
      <w:r w:rsidRPr="00AC42A1">
        <w:rPr>
          <w:b/>
          <w:szCs w:val="24"/>
          <w:u w:val="single"/>
        </w:rPr>
        <w:lastRenderedPageBreak/>
        <w:t>ATTACHMENT</w:t>
      </w:r>
    </w:p>
    <w:p w14:paraId="79C17C38" w14:textId="77777777" w:rsidR="002E568B" w:rsidRPr="00684780" w:rsidRDefault="002E568B" w:rsidP="003856A4">
      <w:pPr>
        <w:ind w:firstLine="3"/>
        <w:rPr>
          <w:b/>
          <w:szCs w:val="24"/>
        </w:rPr>
      </w:pPr>
    </w:p>
    <w:p w14:paraId="0EC7714C" w14:textId="754DEF0E" w:rsidR="002E568B" w:rsidRPr="00B34411" w:rsidRDefault="002E568B" w:rsidP="003856A4">
      <w:pPr>
        <w:ind w:firstLine="3"/>
        <w:rPr>
          <w:b/>
          <w:caps/>
          <w:szCs w:val="24"/>
          <w:u w:val="single"/>
        </w:rPr>
      </w:pPr>
      <w:r w:rsidRPr="00B34411">
        <w:rPr>
          <w:b/>
          <w:szCs w:val="24"/>
          <w:u w:val="single"/>
        </w:rPr>
        <w:t xml:space="preserve">Details of the </w:t>
      </w:r>
      <w:r w:rsidRPr="00B34411">
        <w:rPr>
          <w:b/>
          <w:i/>
          <w:szCs w:val="24"/>
          <w:u w:val="single"/>
        </w:rPr>
        <w:t>Therapeutic Goods (Ch</w:t>
      </w:r>
      <w:r w:rsidR="00BA167E" w:rsidRPr="00B34411">
        <w:rPr>
          <w:b/>
          <w:i/>
          <w:szCs w:val="24"/>
          <w:u w:val="single"/>
        </w:rPr>
        <w:t>arges) Regulation</w:t>
      </w:r>
      <w:r w:rsidR="00022A12">
        <w:rPr>
          <w:b/>
          <w:i/>
          <w:szCs w:val="24"/>
          <w:u w:val="single"/>
        </w:rPr>
        <w:t>s</w:t>
      </w:r>
      <w:r w:rsidR="00BA167E" w:rsidRPr="00B34411">
        <w:rPr>
          <w:b/>
          <w:i/>
          <w:szCs w:val="24"/>
          <w:u w:val="single"/>
        </w:rPr>
        <w:t xml:space="preserve"> 201</w:t>
      </w:r>
      <w:r w:rsidR="001448A1">
        <w:rPr>
          <w:b/>
          <w:i/>
          <w:szCs w:val="24"/>
          <w:u w:val="single"/>
        </w:rPr>
        <w:t>8</w:t>
      </w:r>
      <w:r w:rsidR="00BA167E" w:rsidRPr="00B34411">
        <w:rPr>
          <w:szCs w:val="24"/>
          <w:u w:val="single"/>
        </w:rPr>
        <w:t xml:space="preserve"> </w:t>
      </w:r>
    </w:p>
    <w:p w14:paraId="14523B51" w14:textId="77777777" w:rsidR="002E568B" w:rsidRPr="00684780" w:rsidRDefault="002E568B" w:rsidP="003856A4">
      <w:pPr>
        <w:ind w:firstLine="3"/>
        <w:rPr>
          <w:b/>
          <w:szCs w:val="24"/>
          <w:highlight w:val="yellow"/>
        </w:rPr>
      </w:pPr>
    </w:p>
    <w:p w14:paraId="31BA4993" w14:textId="77777777" w:rsidR="002E568B" w:rsidRPr="00684780" w:rsidRDefault="00E4199F" w:rsidP="003856A4">
      <w:pPr>
        <w:ind w:firstLine="3"/>
        <w:rPr>
          <w:szCs w:val="24"/>
        </w:rPr>
      </w:pPr>
      <w:r>
        <w:rPr>
          <w:szCs w:val="24"/>
          <w:u w:val="single"/>
        </w:rPr>
        <w:t>Section</w:t>
      </w:r>
      <w:r w:rsidR="002E568B" w:rsidRPr="00684780">
        <w:rPr>
          <w:szCs w:val="24"/>
          <w:u w:val="single"/>
        </w:rPr>
        <w:t xml:space="preserve"> 1 – Name</w:t>
      </w:r>
    </w:p>
    <w:p w14:paraId="52A55A41" w14:textId="49D8E47F" w:rsidR="002E568B" w:rsidRPr="007D68BC" w:rsidRDefault="002E568B" w:rsidP="003856A4">
      <w:pPr>
        <w:ind w:firstLine="3"/>
        <w:rPr>
          <w:szCs w:val="24"/>
        </w:rPr>
      </w:pPr>
      <w:r w:rsidRPr="00684780">
        <w:rPr>
          <w:szCs w:val="24"/>
        </w:rPr>
        <w:t xml:space="preserve">This </w:t>
      </w:r>
      <w:r w:rsidR="00E4199F">
        <w:rPr>
          <w:szCs w:val="24"/>
        </w:rPr>
        <w:t>section</w:t>
      </w:r>
      <w:r w:rsidR="00B34411">
        <w:rPr>
          <w:szCs w:val="24"/>
        </w:rPr>
        <w:t xml:space="preserve"> provide</w:t>
      </w:r>
      <w:r w:rsidR="00C326C3">
        <w:rPr>
          <w:szCs w:val="24"/>
        </w:rPr>
        <w:t>s</w:t>
      </w:r>
      <w:r w:rsidR="00B34411">
        <w:rPr>
          <w:szCs w:val="24"/>
        </w:rPr>
        <w:t xml:space="preserve"> that the title of the</w:t>
      </w:r>
      <w:r w:rsidRPr="00684780">
        <w:rPr>
          <w:szCs w:val="24"/>
        </w:rPr>
        <w:t xml:space="preserve"> </w:t>
      </w:r>
      <w:r w:rsidR="00B34411">
        <w:rPr>
          <w:szCs w:val="24"/>
        </w:rPr>
        <w:t>Regulation</w:t>
      </w:r>
      <w:r w:rsidR="00022A12">
        <w:rPr>
          <w:szCs w:val="24"/>
        </w:rPr>
        <w:t>s</w:t>
      </w:r>
      <w:r w:rsidR="00B34411">
        <w:rPr>
          <w:szCs w:val="24"/>
        </w:rPr>
        <w:t xml:space="preserve"> is</w:t>
      </w:r>
      <w:r w:rsidRPr="00684780">
        <w:rPr>
          <w:szCs w:val="24"/>
        </w:rPr>
        <w:t xml:space="preserve"> the </w:t>
      </w:r>
      <w:r w:rsidRPr="00684780">
        <w:rPr>
          <w:i/>
          <w:szCs w:val="24"/>
        </w:rPr>
        <w:t>Therapeutic Goods</w:t>
      </w:r>
      <w:r w:rsidR="00B34411">
        <w:rPr>
          <w:i/>
          <w:szCs w:val="24"/>
        </w:rPr>
        <w:t xml:space="preserve"> </w:t>
      </w:r>
      <w:r w:rsidRPr="00684780">
        <w:rPr>
          <w:i/>
          <w:szCs w:val="24"/>
        </w:rPr>
        <w:t xml:space="preserve">(Charges) </w:t>
      </w:r>
      <w:r w:rsidR="0072588E">
        <w:rPr>
          <w:i/>
          <w:szCs w:val="24"/>
        </w:rPr>
        <w:t>Regulation</w:t>
      </w:r>
      <w:r w:rsidR="00022A12">
        <w:rPr>
          <w:i/>
          <w:szCs w:val="24"/>
        </w:rPr>
        <w:t>s</w:t>
      </w:r>
      <w:r w:rsidR="0072588E">
        <w:rPr>
          <w:i/>
          <w:szCs w:val="24"/>
        </w:rPr>
        <w:t xml:space="preserve"> </w:t>
      </w:r>
      <w:r w:rsidR="007018F2">
        <w:rPr>
          <w:i/>
          <w:szCs w:val="24"/>
        </w:rPr>
        <w:t>2018</w:t>
      </w:r>
      <w:r w:rsidR="00802B83" w:rsidRPr="007D68BC">
        <w:rPr>
          <w:szCs w:val="24"/>
        </w:rPr>
        <w:t xml:space="preserve">. </w:t>
      </w:r>
    </w:p>
    <w:p w14:paraId="2C843EE4" w14:textId="77777777" w:rsidR="002E568B" w:rsidRPr="00154185" w:rsidRDefault="002E568B" w:rsidP="003856A4">
      <w:pPr>
        <w:ind w:firstLine="3"/>
        <w:rPr>
          <w:szCs w:val="24"/>
        </w:rPr>
      </w:pPr>
    </w:p>
    <w:p w14:paraId="686D6B0C" w14:textId="77777777" w:rsidR="002E568B" w:rsidRPr="00684780" w:rsidRDefault="00E4199F" w:rsidP="003856A4">
      <w:pPr>
        <w:ind w:firstLine="3"/>
        <w:rPr>
          <w:b/>
          <w:szCs w:val="24"/>
        </w:rPr>
      </w:pPr>
      <w:r>
        <w:rPr>
          <w:szCs w:val="24"/>
          <w:u w:val="single"/>
        </w:rPr>
        <w:t>Section</w:t>
      </w:r>
      <w:r w:rsidR="002E568B" w:rsidRPr="00684780">
        <w:rPr>
          <w:szCs w:val="24"/>
          <w:u w:val="single"/>
        </w:rPr>
        <w:t xml:space="preserve"> 2</w:t>
      </w:r>
      <w:r w:rsidR="002E568B">
        <w:rPr>
          <w:szCs w:val="24"/>
          <w:u w:val="single"/>
        </w:rPr>
        <w:t xml:space="preserve"> – Co</w:t>
      </w:r>
      <w:r w:rsidR="002E568B" w:rsidRPr="00684780">
        <w:rPr>
          <w:szCs w:val="24"/>
          <w:u w:val="single"/>
        </w:rPr>
        <w:t>mmencement</w:t>
      </w:r>
    </w:p>
    <w:p w14:paraId="48B08A5E" w14:textId="20C2B215" w:rsidR="002E568B" w:rsidRPr="00684780" w:rsidRDefault="002E568B" w:rsidP="003856A4">
      <w:pPr>
        <w:ind w:firstLine="3"/>
        <w:rPr>
          <w:szCs w:val="24"/>
        </w:rPr>
      </w:pPr>
      <w:r w:rsidRPr="00684780">
        <w:rPr>
          <w:szCs w:val="24"/>
        </w:rPr>
        <w:t xml:space="preserve">This </w:t>
      </w:r>
      <w:r w:rsidR="00E4199F">
        <w:rPr>
          <w:szCs w:val="24"/>
        </w:rPr>
        <w:t>section</w:t>
      </w:r>
      <w:r w:rsidRPr="00684780">
        <w:rPr>
          <w:szCs w:val="24"/>
        </w:rPr>
        <w:t xml:space="preserve"> provide</w:t>
      </w:r>
      <w:r w:rsidR="00C326C3">
        <w:rPr>
          <w:szCs w:val="24"/>
        </w:rPr>
        <w:t>s</w:t>
      </w:r>
      <w:r w:rsidRPr="00684780">
        <w:rPr>
          <w:szCs w:val="24"/>
        </w:rPr>
        <w:t xml:space="preserve"> </w:t>
      </w:r>
      <w:r w:rsidR="00D11CD6" w:rsidRPr="00684780">
        <w:rPr>
          <w:szCs w:val="24"/>
        </w:rPr>
        <w:t>for</w:t>
      </w:r>
      <w:r w:rsidR="00D11CD6">
        <w:rPr>
          <w:szCs w:val="24"/>
        </w:rPr>
        <w:t xml:space="preserve"> sections 1 to 4 of </w:t>
      </w:r>
      <w:r w:rsidRPr="00684780">
        <w:rPr>
          <w:szCs w:val="24"/>
        </w:rPr>
        <w:t xml:space="preserve">the </w:t>
      </w:r>
      <w:r w:rsidR="00B34411">
        <w:rPr>
          <w:szCs w:val="24"/>
        </w:rPr>
        <w:t>R</w:t>
      </w:r>
      <w:r w:rsidRPr="00684780">
        <w:rPr>
          <w:szCs w:val="24"/>
        </w:rPr>
        <w:t>egulation</w:t>
      </w:r>
      <w:r w:rsidR="00022A12">
        <w:rPr>
          <w:szCs w:val="24"/>
        </w:rPr>
        <w:t>s</w:t>
      </w:r>
      <w:r w:rsidRPr="00684780">
        <w:rPr>
          <w:szCs w:val="24"/>
        </w:rPr>
        <w:t xml:space="preserve"> to commence </w:t>
      </w:r>
      <w:r w:rsidR="007018F2">
        <w:rPr>
          <w:szCs w:val="24"/>
        </w:rPr>
        <w:t xml:space="preserve">the day after </w:t>
      </w:r>
      <w:r w:rsidR="00D11CD6">
        <w:rPr>
          <w:szCs w:val="24"/>
        </w:rPr>
        <w:t xml:space="preserve">the Regulations are </w:t>
      </w:r>
      <w:r w:rsidR="007018F2">
        <w:rPr>
          <w:szCs w:val="24"/>
        </w:rPr>
        <w:t>regist</w:t>
      </w:r>
      <w:r w:rsidR="00D11CD6">
        <w:rPr>
          <w:szCs w:val="24"/>
        </w:rPr>
        <w:t>ered on the Federal Register of Legislation,</w:t>
      </w:r>
      <w:r w:rsidR="007018F2">
        <w:rPr>
          <w:szCs w:val="24"/>
        </w:rPr>
        <w:t xml:space="preserve"> and </w:t>
      </w:r>
      <w:r w:rsidR="007D68BC">
        <w:rPr>
          <w:szCs w:val="24"/>
        </w:rPr>
        <w:t xml:space="preserve">for </w:t>
      </w:r>
      <w:r w:rsidR="006535B6">
        <w:rPr>
          <w:szCs w:val="24"/>
        </w:rPr>
        <w:t>sections 5 and 6, Part 2, and Schedule 1 of the Regulations</w:t>
      </w:r>
      <w:r w:rsidR="007D68BC">
        <w:rPr>
          <w:szCs w:val="24"/>
        </w:rPr>
        <w:t xml:space="preserve"> </w:t>
      </w:r>
      <w:r w:rsidR="007018F2">
        <w:rPr>
          <w:szCs w:val="24"/>
        </w:rPr>
        <w:t xml:space="preserve">to commence </w:t>
      </w:r>
      <w:r w:rsidRPr="00684780">
        <w:rPr>
          <w:szCs w:val="24"/>
        </w:rPr>
        <w:t>on 1 July 201</w:t>
      </w:r>
      <w:r w:rsidR="007D68BC">
        <w:rPr>
          <w:szCs w:val="24"/>
        </w:rPr>
        <w:t>8</w:t>
      </w:r>
      <w:r w:rsidRPr="00684780">
        <w:rPr>
          <w:szCs w:val="24"/>
        </w:rPr>
        <w:t>.</w:t>
      </w:r>
    </w:p>
    <w:p w14:paraId="37B91E47" w14:textId="77777777" w:rsidR="002E568B" w:rsidRPr="00154185" w:rsidRDefault="002E568B" w:rsidP="003856A4">
      <w:pPr>
        <w:ind w:firstLine="3"/>
        <w:rPr>
          <w:szCs w:val="24"/>
        </w:rPr>
      </w:pPr>
    </w:p>
    <w:p w14:paraId="53CB535F" w14:textId="77777777" w:rsidR="00922B98" w:rsidRDefault="00E4199F" w:rsidP="003856A4">
      <w:pPr>
        <w:ind w:firstLine="3"/>
        <w:rPr>
          <w:szCs w:val="24"/>
          <w:u w:val="single"/>
        </w:rPr>
      </w:pPr>
      <w:r>
        <w:rPr>
          <w:szCs w:val="24"/>
          <w:u w:val="single"/>
        </w:rPr>
        <w:t>Section</w:t>
      </w:r>
      <w:r w:rsidR="002E568B" w:rsidRPr="00684780">
        <w:rPr>
          <w:szCs w:val="24"/>
          <w:u w:val="single"/>
        </w:rPr>
        <w:t xml:space="preserve"> 3 – </w:t>
      </w:r>
      <w:r w:rsidR="00922B98">
        <w:rPr>
          <w:szCs w:val="24"/>
          <w:u w:val="single"/>
        </w:rPr>
        <w:t xml:space="preserve">Authority </w:t>
      </w:r>
    </w:p>
    <w:p w14:paraId="3A4A4B96" w14:textId="68369037" w:rsidR="00900C44" w:rsidRPr="00900C44" w:rsidRDefault="00C326E4" w:rsidP="003856A4">
      <w:pPr>
        <w:ind w:firstLine="3"/>
        <w:rPr>
          <w:szCs w:val="24"/>
        </w:rPr>
      </w:pPr>
      <w:r>
        <w:rPr>
          <w:szCs w:val="24"/>
        </w:rPr>
        <w:t xml:space="preserve">This </w:t>
      </w:r>
      <w:r w:rsidR="00E4199F">
        <w:rPr>
          <w:szCs w:val="24"/>
        </w:rPr>
        <w:t>section</w:t>
      </w:r>
      <w:r w:rsidR="00B34411">
        <w:rPr>
          <w:szCs w:val="24"/>
        </w:rPr>
        <w:t xml:space="preserve"> provide</w:t>
      </w:r>
      <w:r w:rsidR="00C326C3">
        <w:rPr>
          <w:szCs w:val="24"/>
        </w:rPr>
        <w:t>s</w:t>
      </w:r>
      <w:r w:rsidR="00B34411">
        <w:rPr>
          <w:szCs w:val="24"/>
        </w:rPr>
        <w:t xml:space="preserve"> that the R</w:t>
      </w:r>
      <w:r>
        <w:rPr>
          <w:szCs w:val="24"/>
        </w:rPr>
        <w:t>egulation</w:t>
      </w:r>
      <w:r w:rsidR="003B0699">
        <w:rPr>
          <w:szCs w:val="24"/>
        </w:rPr>
        <w:t>s</w:t>
      </w:r>
      <w:r>
        <w:rPr>
          <w:szCs w:val="24"/>
        </w:rPr>
        <w:t xml:space="preserve"> </w:t>
      </w:r>
      <w:r w:rsidR="003B0699">
        <w:rPr>
          <w:szCs w:val="24"/>
        </w:rPr>
        <w:t xml:space="preserve">are </w:t>
      </w:r>
      <w:r>
        <w:rPr>
          <w:szCs w:val="24"/>
        </w:rPr>
        <w:t>made</w:t>
      </w:r>
      <w:r w:rsidR="00574D01">
        <w:rPr>
          <w:szCs w:val="24"/>
        </w:rPr>
        <w:t xml:space="preserve"> under the </w:t>
      </w:r>
      <w:r w:rsidRPr="00C326E4">
        <w:rPr>
          <w:i/>
          <w:szCs w:val="24"/>
        </w:rPr>
        <w:t>Therapeutic Goods (Charges) Act 1989</w:t>
      </w:r>
      <w:r>
        <w:rPr>
          <w:szCs w:val="24"/>
        </w:rPr>
        <w:t>.</w:t>
      </w:r>
    </w:p>
    <w:p w14:paraId="4F429ECB" w14:textId="77777777" w:rsidR="00900C44" w:rsidRDefault="00900C44" w:rsidP="003856A4">
      <w:pPr>
        <w:ind w:firstLine="3"/>
        <w:rPr>
          <w:szCs w:val="24"/>
          <w:u w:val="single"/>
        </w:rPr>
      </w:pPr>
    </w:p>
    <w:p w14:paraId="49D2C1C3" w14:textId="77777777" w:rsidR="00922B98" w:rsidRDefault="00E4199F" w:rsidP="003856A4">
      <w:pPr>
        <w:pStyle w:val="Heading1"/>
        <w:rPr>
          <w:b w:val="0"/>
          <w:szCs w:val="24"/>
          <w:u w:val="single"/>
        </w:rPr>
      </w:pPr>
      <w:r>
        <w:rPr>
          <w:b w:val="0"/>
          <w:szCs w:val="24"/>
          <w:u w:val="single"/>
        </w:rPr>
        <w:t>Section</w:t>
      </w:r>
      <w:r w:rsidR="00922B98">
        <w:rPr>
          <w:b w:val="0"/>
          <w:szCs w:val="24"/>
          <w:u w:val="single"/>
        </w:rPr>
        <w:t xml:space="preserve"> 4 – Schedule</w:t>
      </w:r>
      <w:r w:rsidR="003B0699">
        <w:rPr>
          <w:b w:val="0"/>
          <w:szCs w:val="24"/>
          <w:u w:val="single"/>
        </w:rPr>
        <w:t>s</w:t>
      </w:r>
    </w:p>
    <w:p w14:paraId="356044E2" w14:textId="10477DDA" w:rsidR="00941170" w:rsidRDefault="00C326E4" w:rsidP="003856A4">
      <w:pPr>
        <w:pStyle w:val="Heading1"/>
        <w:rPr>
          <w:b w:val="0"/>
          <w:szCs w:val="24"/>
        </w:rPr>
      </w:pPr>
      <w:r>
        <w:rPr>
          <w:b w:val="0"/>
          <w:szCs w:val="24"/>
        </w:rPr>
        <w:t>This</w:t>
      </w:r>
      <w:r w:rsidR="00C26B06">
        <w:rPr>
          <w:b w:val="0"/>
          <w:szCs w:val="24"/>
        </w:rPr>
        <w:t xml:space="preserve"> </w:t>
      </w:r>
      <w:r w:rsidR="00E4199F">
        <w:rPr>
          <w:b w:val="0"/>
          <w:szCs w:val="24"/>
        </w:rPr>
        <w:t>section</w:t>
      </w:r>
      <w:r>
        <w:rPr>
          <w:b w:val="0"/>
          <w:szCs w:val="24"/>
        </w:rPr>
        <w:t xml:space="preserve"> </w:t>
      </w:r>
      <w:r w:rsidR="000B380F">
        <w:rPr>
          <w:b w:val="0"/>
          <w:szCs w:val="24"/>
        </w:rPr>
        <w:t>provide</w:t>
      </w:r>
      <w:r w:rsidR="00C326C3">
        <w:rPr>
          <w:b w:val="0"/>
          <w:szCs w:val="24"/>
        </w:rPr>
        <w:t>s</w:t>
      </w:r>
      <w:r w:rsidR="000B380F">
        <w:rPr>
          <w:b w:val="0"/>
          <w:szCs w:val="24"/>
        </w:rPr>
        <w:t xml:space="preserve"> that</w:t>
      </w:r>
      <w:r w:rsidR="00D30DEE">
        <w:rPr>
          <w:b w:val="0"/>
          <w:szCs w:val="24"/>
        </w:rPr>
        <w:t xml:space="preserve"> each instrument </w:t>
      </w:r>
      <w:r w:rsidR="00B34411">
        <w:rPr>
          <w:b w:val="0"/>
          <w:szCs w:val="24"/>
        </w:rPr>
        <w:t xml:space="preserve">that is </w:t>
      </w:r>
      <w:r w:rsidR="00D30DEE">
        <w:rPr>
          <w:b w:val="0"/>
          <w:szCs w:val="24"/>
        </w:rPr>
        <w:t xml:space="preserve">specified in </w:t>
      </w:r>
      <w:r w:rsidR="00802B83">
        <w:rPr>
          <w:b w:val="0"/>
          <w:szCs w:val="24"/>
        </w:rPr>
        <w:t xml:space="preserve">a </w:t>
      </w:r>
      <w:r w:rsidR="00B34411">
        <w:rPr>
          <w:b w:val="0"/>
          <w:szCs w:val="24"/>
        </w:rPr>
        <w:t>Schedule to the R</w:t>
      </w:r>
      <w:r w:rsidR="000B380F">
        <w:rPr>
          <w:b w:val="0"/>
          <w:szCs w:val="24"/>
        </w:rPr>
        <w:t>egulation</w:t>
      </w:r>
      <w:r w:rsidR="003B0699">
        <w:rPr>
          <w:b w:val="0"/>
          <w:szCs w:val="24"/>
        </w:rPr>
        <w:t>s</w:t>
      </w:r>
      <w:r w:rsidR="000B380F">
        <w:rPr>
          <w:b w:val="0"/>
          <w:szCs w:val="24"/>
        </w:rPr>
        <w:t xml:space="preserve"> is amended </w:t>
      </w:r>
      <w:r w:rsidR="00B34411">
        <w:rPr>
          <w:b w:val="0"/>
          <w:szCs w:val="24"/>
        </w:rPr>
        <w:t>or repealed as set out in the applicable items in the Schedule concerned, and any other item in a Schedu</w:t>
      </w:r>
      <w:r w:rsidR="00714D86">
        <w:rPr>
          <w:b w:val="0"/>
          <w:szCs w:val="24"/>
        </w:rPr>
        <w:t>le to the Regulation</w:t>
      </w:r>
      <w:r w:rsidR="003B0699">
        <w:rPr>
          <w:b w:val="0"/>
          <w:szCs w:val="24"/>
        </w:rPr>
        <w:t>s</w:t>
      </w:r>
      <w:r w:rsidR="00714D86">
        <w:rPr>
          <w:b w:val="0"/>
          <w:szCs w:val="24"/>
        </w:rPr>
        <w:t xml:space="preserve"> has effect according to its terms</w:t>
      </w:r>
      <w:r w:rsidR="00B34411">
        <w:rPr>
          <w:b w:val="0"/>
          <w:szCs w:val="24"/>
        </w:rPr>
        <w:t>.</w:t>
      </w:r>
      <w:r w:rsidR="002C74DB">
        <w:rPr>
          <w:b w:val="0"/>
          <w:szCs w:val="24"/>
        </w:rPr>
        <w:t xml:space="preserve"> </w:t>
      </w:r>
    </w:p>
    <w:p w14:paraId="493F7349" w14:textId="77777777" w:rsidR="000B380F" w:rsidRDefault="000B380F" w:rsidP="000B380F"/>
    <w:p w14:paraId="2236818D" w14:textId="77777777" w:rsidR="002C74DB" w:rsidRPr="00C26B06" w:rsidRDefault="00E4199F" w:rsidP="002C74DB">
      <w:pPr>
        <w:pStyle w:val="Heading1"/>
        <w:rPr>
          <w:b w:val="0"/>
          <w:szCs w:val="24"/>
          <w:u w:val="single"/>
        </w:rPr>
      </w:pPr>
      <w:r>
        <w:rPr>
          <w:b w:val="0"/>
          <w:szCs w:val="24"/>
          <w:u w:val="single"/>
        </w:rPr>
        <w:t>Section</w:t>
      </w:r>
      <w:r w:rsidR="002C74DB" w:rsidRPr="002C74DB">
        <w:rPr>
          <w:b w:val="0"/>
          <w:szCs w:val="24"/>
          <w:u w:val="single"/>
        </w:rPr>
        <w:t xml:space="preserve"> </w:t>
      </w:r>
      <w:r w:rsidR="002C74DB" w:rsidRPr="00C26B06">
        <w:rPr>
          <w:b w:val="0"/>
          <w:szCs w:val="24"/>
          <w:u w:val="single"/>
        </w:rPr>
        <w:t>5 – Definitions</w:t>
      </w:r>
    </w:p>
    <w:p w14:paraId="2014C362" w14:textId="555CE5A0" w:rsidR="002C74DB" w:rsidRDefault="002C74DB" w:rsidP="002C74DB">
      <w:pPr>
        <w:pStyle w:val="Heading1"/>
        <w:rPr>
          <w:b w:val="0"/>
          <w:szCs w:val="24"/>
        </w:rPr>
      </w:pPr>
      <w:r>
        <w:rPr>
          <w:b w:val="0"/>
          <w:szCs w:val="24"/>
        </w:rPr>
        <w:t xml:space="preserve">This </w:t>
      </w:r>
      <w:r w:rsidR="00E4199F">
        <w:rPr>
          <w:b w:val="0"/>
          <w:szCs w:val="24"/>
        </w:rPr>
        <w:t>section</w:t>
      </w:r>
      <w:r>
        <w:rPr>
          <w:b w:val="0"/>
          <w:szCs w:val="24"/>
        </w:rPr>
        <w:t xml:space="preserve"> </w:t>
      </w:r>
      <w:r w:rsidR="00C26B06">
        <w:rPr>
          <w:b w:val="0"/>
          <w:szCs w:val="24"/>
        </w:rPr>
        <w:t>outline</w:t>
      </w:r>
      <w:r w:rsidR="00C326C3">
        <w:rPr>
          <w:b w:val="0"/>
          <w:szCs w:val="24"/>
        </w:rPr>
        <w:t>s</w:t>
      </w:r>
      <w:r>
        <w:rPr>
          <w:b w:val="0"/>
          <w:szCs w:val="24"/>
        </w:rPr>
        <w:t xml:space="preserve"> the definitions that apply to the Regulations</w:t>
      </w:r>
      <w:r w:rsidR="00D11CD6">
        <w:rPr>
          <w:b w:val="0"/>
          <w:szCs w:val="24"/>
        </w:rPr>
        <w:t xml:space="preserve"> – in particular, a number of terms referred to in the Regulations (e.g. ‘biological’, ‘current Poisons Standard’ and ‘grouped therapeutic goods’) have the same meaning as in the </w:t>
      </w:r>
      <w:r w:rsidR="00D11CD6" w:rsidRPr="000B7607">
        <w:rPr>
          <w:b w:val="0"/>
          <w:i/>
          <w:szCs w:val="24"/>
        </w:rPr>
        <w:t>Therapeutic Goods Act 1989</w:t>
      </w:r>
      <w:r w:rsidR="00D11CD6">
        <w:rPr>
          <w:b w:val="0"/>
          <w:szCs w:val="24"/>
        </w:rPr>
        <w:t xml:space="preserve">, and ‘biologic’ </w:t>
      </w:r>
      <w:r w:rsidR="00C326C3">
        <w:rPr>
          <w:b w:val="0"/>
          <w:szCs w:val="24"/>
        </w:rPr>
        <w:t>has</w:t>
      </w:r>
      <w:r w:rsidR="00D11CD6">
        <w:rPr>
          <w:b w:val="0"/>
          <w:szCs w:val="24"/>
        </w:rPr>
        <w:t xml:space="preserve"> the same meaning as in the </w:t>
      </w:r>
      <w:r w:rsidR="00D11CD6" w:rsidRPr="000B7607">
        <w:rPr>
          <w:b w:val="0"/>
          <w:i/>
          <w:szCs w:val="24"/>
        </w:rPr>
        <w:t>Therapeutic Goods (Charges) Regulations 1990</w:t>
      </w:r>
      <w:r w:rsidR="00D11CD6">
        <w:rPr>
          <w:b w:val="0"/>
          <w:szCs w:val="24"/>
        </w:rPr>
        <w:t xml:space="preserve"> (principally, this term refers to a prescription medicine with an active ingredient of biological origin)</w:t>
      </w:r>
      <w:r>
        <w:rPr>
          <w:b w:val="0"/>
          <w:szCs w:val="24"/>
        </w:rPr>
        <w:t xml:space="preserve">. </w:t>
      </w:r>
    </w:p>
    <w:p w14:paraId="5798532D" w14:textId="77777777" w:rsidR="002C74DB" w:rsidRDefault="002C74DB" w:rsidP="000B380F"/>
    <w:p w14:paraId="09BBD79E" w14:textId="77777777" w:rsidR="002C74DB" w:rsidRDefault="00E4199F" w:rsidP="002C74DB">
      <w:pPr>
        <w:pStyle w:val="Heading1"/>
        <w:rPr>
          <w:b w:val="0"/>
          <w:szCs w:val="24"/>
          <w:u w:val="single"/>
        </w:rPr>
      </w:pPr>
      <w:r>
        <w:rPr>
          <w:b w:val="0"/>
          <w:szCs w:val="24"/>
          <w:u w:val="single"/>
        </w:rPr>
        <w:t>Section</w:t>
      </w:r>
      <w:r w:rsidR="002C74DB">
        <w:rPr>
          <w:b w:val="0"/>
          <w:szCs w:val="24"/>
          <w:u w:val="single"/>
        </w:rPr>
        <w:t xml:space="preserve"> 6 – Classes of medical devices and biologicals</w:t>
      </w:r>
    </w:p>
    <w:p w14:paraId="064B7BF4" w14:textId="67E220E9" w:rsidR="002C74DB" w:rsidRDefault="002C74DB" w:rsidP="002C74DB">
      <w:pPr>
        <w:pStyle w:val="Heading1"/>
        <w:rPr>
          <w:b w:val="0"/>
          <w:szCs w:val="24"/>
        </w:rPr>
      </w:pPr>
      <w:r>
        <w:rPr>
          <w:b w:val="0"/>
          <w:szCs w:val="24"/>
        </w:rPr>
        <w:t xml:space="preserve">This </w:t>
      </w:r>
      <w:r w:rsidR="00E4199F">
        <w:rPr>
          <w:b w:val="0"/>
          <w:szCs w:val="24"/>
        </w:rPr>
        <w:t>section</w:t>
      </w:r>
      <w:r>
        <w:rPr>
          <w:b w:val="0"/>
          <w:szCs w:val="24"/>
        </w:rPr>
        <w:t xml:space="preserve"> </w:t>
      </w:r>
      <w:r w:rsidR="00C26B06">
        <w:rPr>
          <w:b w:val="0"/>
          <w:szCs w:val="24"/>
        </w:rPr>
        <w:t>expla</w:t>
      </w:r>
      <w:r w:rsidR="00D11CD6">
        <w:rPr>
          <w:b w:val="0"/>
          <w:szCs w:val="24"/>
        </w:rPr>
        <w:t>in</w:t>
      </w:r>
      <w:r w:rsidR="00C326C3">
        <w:rPr>
          <w:b w:val="0"/>
          <w:szCs w:val="24"/>
        </w:rPr>
        <w:t>s</w:t>
      </w:r>
      <w:r w:rsidR="00D11CD6">
        <w:rPr>
          <w:b w:val="0"/>
          <w:szCs w:val="24"/>
        </w:rPr>
        <w:t xml:space="preserve"> that a </w:t>
      </w:r>
      <w:r w:rsidR="00C26B06">
        <w:rPr>
          <w:b w:val="0"/>
          <w:szCs w:val="24"/>
        </w:rPr>
        <w:t>reference to a medical device</w:t>
      </w:r>
      <w:r w:rsidR="00F96D87">
        <w:rPr>
          <w:b w:val="0"/>
          <w:szCs w:val="24"/>
        </w:rPr>
        <w:t xml:space="preserve"> of a particular class</w:t>
      </w:r>
      <w:r w:rsidR="00C26B06">
        <w:rPr>
          <w:b w:val="0"/>
          <w:szCs w:val="24"/>
        </w:rPr>
        <w:t xml:space="preserve"> </w:t>
      </w:r>
      <w:r w:rsidR="00D11CD6">
        <w:rPr>
          <w:b w:val="0"/>
          <w:szCs w:val="24"/>
        </w:rPr>
        <w:t xml:space="preserve">is a reference to a medical device classified as that class under Division 3.1 of the </w:t>
      </w:r>
      <w:r w:rsidR="00D11CD6" w:rsidRPr="000B7607">
        <w:rPr>
          <w:b w:val="0"/>
          <w:i/>
          <w:szCs w:val="24"/>
        </w:rPr>
        <w:t>Therapeutic Goods (Medical Devices) Regulations 2002</w:t>
      </w:r>
      <w:r w:rsidR="00D11CD6">
        <w:rPr>
          <w:b w:val="0"/>
          <w:szCs w:val="24"/>
        </w:rPr>
        <w:t xml:space="preserve">, and a reference to a </w:t>
      </w:r>
      <w:r w:rsidR="00C26B06">
        <w:rPr>
          <w:b w:val="0"/>
          <w:szCs w:val="24"/>
        </w:rPr>
        <w:t>biological of a particular class is a reference to</w:t>
      </w:r>
      <w:r w:rsidR="00D11CD6">
        <w:rPr>
          <w:b w:val="0"/>
          <w:szCs w:val="24"/>
        </w:rPr>
        <w:t xml:space="preserve"> a biological of that class within the meaning of the </w:t>
      </w:r>
      <w:r w:rsidR="00D11CD6" w:rsidRPr="000B7607">
        <w:rPr>
          <w:b w:val="0"/>
          <w:i/>
          <w:szCs w:val="24"/>
        </w:rPr>
        <w:t>Therapeutic Goods Regulations 1990</w:t>
      </w:r>
      <w:r w:rsidR="00D11CD6">
        <w:rPr>
          <w:b w:val="0"/>
          <w:szCs w:val="24"/>
        </w:rPr>
        <w:t>.</w:t>
      </w:r>
      <w:r w:rsidR="00C26B06">
        <w:rPr>
          <w:b w:val="0"/>
          <w:szCs w:val="24"/>
        </w:rPr>
        <w:t xml:space="preserve"> </w:t>
      </w:r>
    </w:p>
    <w:p w14:paraId="18DEF1EC" w14:textId="77777777" w:rsidR="002C74DB" w:rsidRDefault="002C74DB" w:rsidP="000B380F"/>
    <w:p w14:paraId="3BF399A4" w14:textId="77777777" w:rsidR="006535B6" w:rsidRDefault="006535B6" w:rsidP="00C26B06">
      <w:pPr>
        <w:pStyle w:val="Heading1"/>
        <w:rPr>
          <w:b w:val="0"/>
          <w:szCs w:val="24"/>
          <w:u w:val="single"/>
        </w:rPr>
      </w:pPr>
      <w:r>
        <w:rPr>
          <w:b w:val="0"/>
          <w:szCs w:val="24"/>
          <w:u w:val="single"/>
        </w:rPr>
        <w:t>Part 2 – Charges</w:t>
      </w:r>
    </w:p>
    <w:p w14:paraId="0B59F72E" w14:textId="77777777" w:rsidR="006535B6" w:rsidRDefault="006535B6" w:rsidP="00C26B06">
      <w:pPr>
        <w:pStyle w:val="Heading1"/>
        <w:rPr>
          <w:b w:val="0"/>
          <w:szCs w:val="24"/>
          <w:u w:val="single"/>
        </w:rPr>
      </w:pPr>
    </w:p>
    <w:p w14:paraId="156C67F2" w14:textId="77777777" w:rsidR="00C26B06" w:rsidRDefault="00E4199F" w:rsidP="00C26B06">
      <w:pPr>
        <w:pStyle w:val="Heading1"/>
        <w:rPr>
          <w:b w:val="0"/>
          <w:szCs w:val="24"/>
          <w:u w:val="single"/>
        </w:rPr>
      </w:pPr>
      <w:r>
        <w:rPr>
          <w:b w:val="0"/>
          <w:szCs w:val="24"/>
          <w:u w:val="single"/>
        </w:rPr>
        <w:t>Section</w:t>
      </w:r>
      <w:r w:rsidR="00C26B06">
        <w:rPr>
          <w:b w:val="0"/>
          <w:szCs w:val="24"/>
          <w:u w:val="single"/>
        </w:rPr>
        <w:t xml:space="preserve"> 7 – Annual charges for biologics and some other goods</w:t>
      </w:r>
    </w:p>
    <w:p w14:paraId="7ADC6648" w14:textId="6B3E280E" w:rsidR="00C26B06" w:rsidRDefault="00C26B06" w:rsidP="00C26B06">
      <w:pPr>
        <w:pStyle w:val="Heading1"/>
        <w:rPr>
          <w:b w:val="0"/>
          <w:szCs w:val="24"/>
        </w:rPr>
      </w:pPr>
      <w:r>
        <w:rPr>
          <w:b w:val="0"/>
          <w:szCs w:val="24"/>
        </w:rPr>
        <w:t xml:space="preserve">This </w:t>
      </w:r>
      <w:r w:rsidR="00E4199F">
        <w:rPr>
          <w:b w:val="0"/>
          <w:szCs w:val="24"/>
        </w:rPr>
        <w:t>section</w:t>
      </w:r>
      <w:r>
        <w:rPr>
          <w:b w:val="0"/>
          <w:szCs w:val="24"/>
        </w:rPr>
        <w:t xml:space="preserve"> </w:t>
      </w:r>
      <w:r w:rsidR="006535B6">
        <w:rPr>
          <w:b w:val="0"/>
          <w:szCs w:val="24"/>
        </w:rPr>
        <w:t>set</w:t>
      </w:r>
      <w:r w:rsidR="00C326C3">
        <w:rPr>
          <w:b w:val="0"/>
          <w:szCs w:val="24"/>
        </w:rPr>
        <w:t>s</w:t>
      </w:r>
      <w:r w:rsidR="006535B6">
        <w:rPr>
          <w:b w:val="0"/>
          <w:szCs w:val="24"/>
        </w:rPr>
        <w:t xml:space="preserve"> out applicable </w:t>
      </w:r>
      <w:r>
        <w:rPr>
          <w:b w:val="0"/>
          <w:szCs w:val="24"/>
        </w:rPr>
        <w:t xml:space="preserve">annual charges </w:t>
      </w:r>
      <w:r w:rsidR="00F96D87">
        <w:rPr>
          <w:b w:val="0"/>
          <w:szCs w:val="24"/>
        </w:rPr>
        <w:t xml:space="preserve">for </w:t>
      </w:r>
      <w:r w:rsidR="006535B6">
        <w:rPr>
          <w:b w:val="0"/>
          <w:szCs w:val="24"/>
        </w:rPr>
        <w:t>therapeutic goods that are registered and listed in the Australian Register of Therapeutic Goods (the Register) other than (principally) when such goods are grouped (subsection 7(1))</w:t>
      </w:r>
      <w:r w:rsidR="00EC579B">
        <w:rPr>
          <w:b w:val="0"/>
          <w:szCs w:val="24"/>
        </w:rPr>
        <w:t xml:space="preserve">, </w:t>
      </w:r>
      <w:r w:rsidR="006535B6">
        <w:rPr>
          <w:b w:val="0"/>
          <w:szCs w:val="24"/>
        </w:rPr>
        <w:t xml:space="preserve">registered and listed </w:t>
      </w:r>
      <w:r w:rsidR="00EC579B">
        <w:rPr>
          <w:b w:val="0"/>
          <w:szCs w:val="24"/>
        </w:rPr>
        <w:t>grouped therapeutic goods</w:t>
      </w:r>
      <w:r w:rsidR="006535B6">
        <w:rPr>
          <w:b w:val="0"/>
          <w:szCs w:val="24"/>
        </w:rPr>
        <w:t xml:space="preserve"> (subsection 7(2))</w:t>
      </w:r>
      <w:r w:rsidR="00EC579B">
        <w:rPr>
          <w:b w:val="0"/>
          <w:szCs w:val="24"/>
        </w:rPr>
        <w:t>, biologicals</w:t>
      </w:r>
      <w:r w:rsidR="006535B6">
        <w:rPr>
          <w:b w:val="0"/>
          <w:szCs w:val="24"/>
        </w:rPr>
        <w:t xml:space="preserve"> (subsection 7(3)) and</w:t>
      </w:r>
      <w:r w:rsidR="00EC579B">
        <w:rPr>
          <w:b w:val="0"/>
          <w:szCs w:val="24"/>
        </w:rPr>
        <w:t xml:space="preserve"> medical devices</w:t>
      </w:r>
      <w:r w:rsidR="006535B6">
        <w:rPr>
          <w:b w:val="0"/>
          <w:szCs w:val="24"/>
        </w:rPr>
        <w:t xml:space="preserve"> (subsection 7(4))</w:t>
      </w:r>
      <w:r w:rsidR="00EC579B">
        <w:rPr>
          <w:b w:val="0"/>
          <w:szCs w:val="24"/>
        </w:rPr>
        <w:t xml:space="preserve"> and licences</w:t>
      </w:r>
      <w:r w:rsidR="006535B6">
        <w:rPr>
          <w:b w:val="0"/>
          <w:szCs w:val="24"/>
        </w:rPr>
        <w:t xml:space="preserve"> (subsection 7(5))</w:t>
      </w:r>
      <w:r w:rsidR="00EC579B">
        <w:rPr>
          <w:b w:val="0"/>
          <w:szCs w:val="24"/>
        </w:rPr>
        <w:t>. The charges are generally payable whe</w:t>
      </w:r>
      <w:r w:rsidR="006535B6">
        <w:rPr>
          <w:b w:val="0"/>
          <w:szCs w:val="24"/>
        </w:rPr>
        <w:t xml:space="preserve">n a product is entered in the Register, or when a manufacturing licence is in force, </w:t>
      </w:r>
      <w:r w:rsidR="00EC579B">
        <w:rPr>
          <w:b w:val="0"/>
          <w:szCs w:val="24"/>
        </w:rPr>
        <w:t xml:space="preserve">at any time during </w:t>
      </w:r>
      <w:r w:rsidR="006535B6">
        <w:rPr>
          <w:b w:val="0"/>
          <w:szCs w:val="24"/>
        </w:rPr>
        <w:t>a financial</w:t>
      </w:r>
      <w:r w:rsidR="00EC579B">
        <w:rPr>
          <w:b w:val="0"/>
          <w:szCs w:val="24"/>
        </w:rPr>
        <w:t xml:space="preserve"> year. In some circumsta</w:t>
      </w:r>
      <w:r w:rsidR="00F96D87">
        <w:rPr>
          <w:b w:val="0"/>
          <w:szCs w:val="24"/>
        </w:rPr>
        <w:t>nces where more than one charge</w:t>
      </w:r>
      <w:r w:rsidR="00EC579B">
        <w:rPr>
          <w:b w:val="0"/>
          <w:szCs w:val="24"/>
        </w:rPr>
        <w:t xml:space="preserve"> appl</w:t>
      </w:r>
      <w:r w:rsidR="00C326C3">
        <w:rPr>
          <w:b w:val="0"/>
          <w:szCs w:val="24"/>
        </w:rPr>
        <w:t>ies</w:t>
      </w:r>
      <w:r w:rsidR="00EC579B">
        <w:rPr>
          <w:b w:val="0"/>
          <w:szCs w:val="24"/>
        </w:rPr>
        <w:t xml:space="preserve">, only the highest applicable charge applies. </w:t>
      </w:r>
    </w:p>
    <w:p w14:paraId="744CE146" w14:textId="77777777" w:rsidR="00F96D87" w:rsidRDefault="00F96D87" w:rsidP="00F96D87"/>
    <w:p w14:paraId="446B23DB" w14:textId="4A938A0F" w:rsidR="00F96D87" w:rsidRPr="00F96D87" w:rsidRDefault="00315EA3" w:rsidP="00F96D87">
      <w:proofErr w:type="spellStart"/>
      <w:r>
        <w:lastRenderedPageBreak/>
        <w:t>Subregulation</w:t>
      </w:r>
      <w:proofErr w:type="spellEnd"/>
      <w:r w:rsidR="00F96D87">
        <w:t xml:space="preserve"> 7(5) outline</w:t>
      </w:r>
      <w:r w:rsidR="00C326C3">
        <w:t>s</w:t>
      </w:r>
      <w:r w:rsidR="00F96D87">
        <w:t xml:space="preserve"> the charges for licences. Each licence will incur one charge regardless of the number of steps in the manufacture of the therapeutic goods</w:t>
      </w:r>
      <w:r w:rsidR="006535B6">
        <w:t xml:space="preserve"> to which the licence relates</w:t>
      </w:r>
      <w:r w:rsidR="00F96D87">
        <w:t xml:space="preserve">. The fee outlined in paragraph 7(5)(a) is payable, unless another paragraph applies. </w:t>
      </w:r>
    </w:p>
    <w:p w14:paraId="5D4B51E9" w14:textId="77777777" w:rsidR="00C26B06" w:rsidRDefault="00C26B06" w:rsidP="000B380F"/>
    <w:p w14:paraId="2D92512E" w14:textId="77777777" w:rsidR="00EC579B" w:rsidRDefault="00E4199F" w:rsidP="00EC579B">
      <w:pPr>
        <w:pStyle w:val="Heading1"/>
        <w:rPr>
          <w:b w:val="0"/>
          <w:szCs w:val="24"/>
          <w:u w:val="single"/>
        </w:rPr>
      </w:pPr>
      <w:r>
        <w:rPr>
          <w:b w:val="0"/>
          <w:szCs w:val="24"/>
          <w:u w:val="single"/>
        </w:rPr>
        <w:t>Section</w:t>
      </w:r>
      <w:r w:rsidR="00EC579B">
        <w:rPr>
          <w:b w:val="0"/>
          <w:szCs w:val="24"/>
          <w:u w:val="single"/>
        </w:rPr>
        <w:t xml:space="preserve"> 8 – Annual charges for goods that are no biologics </w:t>
      </w:r>
    </w:p>
    <w:p w14:paraId="61411D03" w14:textId="20C677BE" w:rsidR="00AC4263" w:rsidRDefault="00EC579B" w:rsidP="00EC579B">
      <w:pPr>
        <w:pStyle w:val="Heading1"/>
        <w:rPr>
          <w:b w:val="0"/>
          <w:szCs w:val="24"/>
        </w:rPr>
      </w:pPr>
      <w:r>
        <w:rPr>
          <w:b w:val="0"/>
          <w:szCs w:val="24"/>
        </w:rPr>
        <w:t xml:space="preserve">This </w:t>
      </w:r>
      <w:r w:rsidR="00E4199F">
        <w:rPr>
          <w:b w:val="0"/>
          <w:szCs w:val="24"/>
        </w:rPr>
        <w:t>section</w:t>
      </w:r>
      <w:r>
        <w:rPr>
          <w:b w:val="0"/>
          <w:szCs w:val="24"/>
        </w:rPr>
        <w:t xml:space="preserve"> </w:t>
      </w:r>
      <w:r w:rsidR="00AC4263">
        <w:rPr>
          <w:b w:val="0"/>
          <w:szCs w:val="24"/>
        </w:rPr>
        <w:t>set</w:t>
      </w:r>
      <w:r w:rsidR="00C326C3">
        <w:rPr>
          <w:b w:val="0"/>
          <w:szCs w:val="24"/>
        </w:rPr>
        <w:t>s</w:t>
      </w:r>
      <w:r w:rsidR="00AC4263">
        <w:rPr>
          <w:b w:val="0"/>
          <w:szCs w:val="24"/>
        </w:rPr>
        <w:t xml:space="preserve"> out applicable </w:t>
      </w:r>
      <w:r>
        <w:rPr>
          <w:b w:val="0"/>
          <w:szCs w:val="24"/>
        </w:rPr>
        <w:t xml:space="preserve">annual charges for </w:t>
      </w:r>
      <w:r w:rsidR="00AC4263">
        <w:rPr>
          <w:b w:val="0"/>
          <w:szCs w:val="24"/>
        </w:rPr>
        <w:t>prescription medicines</w:t>
      </w:r>
      <w:r>
        <w:rPr>
          <w:b w:val="0"/>
          <w:szCs w:val="24"/>
        </w:rPr>
        <w:t xml:space="preserve"> that are not biologics</w:t>
      </w:r>
      <w:r w:rsidR="00AC4263">
        <w:rPr>
          <w:b w:val="0"/>
          <w:szCs w:val="24"/>
        </w:rPr>
        <w:t xml:space="preserve"> – i.e. prescription medicines with an active ingredient that is not of biological origin (principally, these are chemically based prescription medicines). </w:t>
      </w:r>
      <w:r w:rsidR="003E55FB">
        <w:rPr>
          <w:b w:val="0"/>
          <w:szCs w:val="24"/>
        </w:rPr>
        <w:t xml:space="preserve">The amount </w:t>
      </w:r>
      <w:proofErr w:type="gramStart"/>
      <w:r w:rsidR="003E55FB">
        <w:rPr>
          <w:b w:val="0"/>
          <w:szCs w:val="24"/>
        </w:rPr>
        <w:t xml:space="preserve">payable </w:t>
      </w:r>
      <w:r w:rsidR="00C326C3">
        <w:rPr>
          <w:b w:val="0"/>
          <w:szCs w:val="24"/>
        </w:rPr>
        <w:t xml:space="preserve"> </w:t>
      </w:r>
      <w:r w:rsidR="003E55FB">
        <w:rPr>
          <w:b w:val="0"/>
          <w:szCs w:val="24"/>
        </w:rPr>
        <w:t>depend</w:t>
      </w:r>
      <w:r w:rsidR="00C326C3">
        <w:rPr>
          <w:b w:val="0"/>
          <w:szCs w:val="24"/>
        </w:rPr>
        <w:t>s</w:t>
      </w:r>
      <w:proofErr w:type="gramEnd"/>
      <w:r w:rsidR="003E55FB">
        <w:rPr>
          <w:b w:val="0"/>
          <w:szCs w:val="24"/>
        </w:rPr>
        <w:t xml:space="preserve"> on whether the conditions outlined in </w:t>
      </w:r>
      <w:r w:rsidR="00AC4263">
        <w:rPr>
          <w:b w:val="0"/>
          <w:szCs w:val="24"/>
        </w:rPr>
        <w:t xml:space="preserve">subsections 8(2) – (10) </w:t>
      </w:r>
      <w:r w:rsidR="003E55FB">
        <w:rPr>
          <w:b w:val="0"/>
          <w:szCs w:val="24"/>
        </w:rPr>
        <w:t xml:space="preserve">apply. </w:t>
      </w:r>
    </w:p>
    <w:p w14:paraId="1A02EAFD" w14:textId="77777777" w:rsidR="00AC4263" w:rsidRDefault="00AC4263" w:rsidP="00EC579B">
      <w:pPr>
        <w:pStyle w:val="Heading1"/>
        <w:rPr>
          <w:b w:val="0"/>
          <w:szCs w:val="24"/>
        </w:rPr>
      </w:pPr>
    </w:p>
    <w:p w14:paraId="7CFD98CA" w14:textId="179270E3" w:rsidR="00EC579B" w:rsidRDefault="00AC4263" w:rsidP="00EC579B">
      <w:pPr>
        <w:pStyle w:val="Heading1"/>
        <w:rPr>
          <w:b w:val="0"/>
          <w:szCs w:val="24"/>
        </w:rPr>
      </w:pPr>
      <w:r>
        <w:rPr>
          <w:b w:val="0"/>
          <w:szCs w:val="24"/>
        </w:rPr>
        <w:t xml:space="preserve">A higher annual charge (specified in paragraph 8(2)(a)) </w:t>
      </w:r>
      <w:r w:rsidR="00C326C3">
        <w:rPr>
          <w:b w:val="0"/>
          <w:szCs w:val="24"/>
        </w:rPr>
        <w:t>is</w:t>
      </w:r>
      <w:r>
        <w:rPr>
          <w:b w:val="0"/>
          <w:szCs w:val="24"/>
        </w:rPr>
        <w:t xml:space="preserve"> payable in the circumstances outlined in subsections 8(3) – (10), which reflect</w:t>
      </w:r>
      <w:r w:rsidR="00C326C3">
        <w:rPr>
          <w:b w:val="0"/>
          <w:szCs w:val="24"/>
        </w:rPr>
        <w:t>s</w:t>
      </w:r>
      <w:r>
        <w:rPr>
          <w:b w:val="0"/>
          <w:szCs w:val="24"/>
        </w:rPr>
        <w:t xml:space="preserve"> the need for the TGA to commit greater resources to the post-market monitoring of these types of medicines (e.g. those containing thalidomide – paragraph 8(3)(a) refers). A lower annual charge (specified in paragraph 8(2</w:t>
      </w:r>
      <w:proofErr w:type="gramStart"/>
      <w:r>
        <w:rPr>
          <w:b w:val="0"/>
          <w:szCs w:val="24"/>
        </w:rPr>
        <w:t>)(</w:t>
      </w:r>
      <w:proofErr w:type="gramEnd"/>
      <w:r>
        <w:rPr>
          <w:b w:val="0"/>
          <w:szCs w:val="24"/>
        </w:rPr>
        <w:t xml:space="preserve">b)) </w:t>
      </w:r>
      <w:r w:rsidR="00C326C3">
        <w:rPr>
          <w:b w:val="0"/>
          <w:szCs w:val="24"/>
        </w:rPr>
        <w:t>is</w:t>
      </w:r>
      <w:r>
        <w:rPr>
          <w:b w:val="0"/>
          <w:szCs w:val="24"/>
        </w:rPr>
        <w:t xml:space="preserve"> payable if none of the circumstances in subsections 8(3) – (10) apply. </w:t>
      </w:r>
    </w:p>
    <w:p w14:paraId="27DB7605" w14:textId="77777777" w:rsidR="003E55FB" w:rsidRDefault="003E55FB" w:rsidP="000B380F"/>
    <w:p w14:paraId="294B6261" w14:textId="77777777" w:rsidR="003E55FB" w:rsidRDefault="00E4199F" w:rsidP="003E55FB">
      <w:pPr>
        <w:pStyle w:val="Heading1"/>
        <w:rPr>
          <w:b w:val="0"/>
          <w:szCs w:val="24"/>
          <w:u w:val="single"/>
        </w:rPr>
      </w:pPr>
      <w:r>
        <w:rPr>
          <w:b w:val="0"/>
          <w:szCs w:val="24"/>
          <w:u w:val="single"/>
        </w:rPr>
        <w:t>Section</w:t>
      </w:r>
      <w:r w:rsidR="003E55FB">
        <w:rPr>
          <w:b w:val="0"/>
          <w:szCs w:val="24"/>
          <w:u w:val="single"/>
        </w:rPr>
        <w:t xml:space="preserve"> 9 – Annual charges for provisionally registered medicines </w:t>
      </w:r>
    </w:p>
    <w:p w14:paraId="4C09DE6E" w14:textId="68017B7F" w:rsidR="00F96D87" w:rsidRDefault="003E55FB" w:rsidP="003E55FB">
      <w:pPr>
        <w:pStyle w:val="Heading1"/>
        <w:rPr>
          <w:b w:val="0"/>
          <w:szCs w:val="24"/>
        </w:rPr>
      </w:pPr>
      <w:r>
        <w:rPr>
          <w:b w:val="0"/>
          <w:szCs w:val="24"/>
        </w:rPr>
        <w:t xml:space="preserve">This </w:t>
      </w:r>
      <w:r w:rsidR="00E4199F">
        <w:rPr>
          <w:b w:val="0"/>
          <w:szCs w:val="24"/>
        </w:rPr>
        <w:t>section</w:t>
      </w:r>
      <w:r>
        <w:rPr>
          <w:b w:val="0"/>
          <w:szCs w:val="24"/>
        </w:rPr>
        <w:t xml:space="preserve"> provide</w:t>
      </w:r>
      <w:r w:rsidR="00C326C3">
        <w:rPr>
          <w:b w:val="0"/>
          <w:szCs w:val="24"/>
        </w:rPr>
        <w:t>s</w:t>
      </w:r>
      <w:r>
        <w:rPr>
          <w:b w:val="0"/>
          <w:szCs w:val="24"/>
        </w:rPr>
        <w:t xml:space="preserve"> for the annual charges for provisionally registered medicines where the provisional registration of a medicine is in force at any time during the charge year. </w:t>
      </w:r>
    </w:p>
    <w:p w14:paraId="31A70ED5" w14:textId="38450B8F" w:rsidR="003E55FB" w:rsidRDefault="00315EA3" w:rsidP="000B7607">
      <w:pPr>
        <w:pStyle w:val="Heading1"/>
        <w:ind w:firstLine="0"/>
        <w:rPr>
          <w:b w:val="0"/>
          <w:szCs w:val="24"/>
        </w:rPr>
      </w:pPr>
      <w:proofErr w:type="spellStart"/>
      <w:r>
        <w:rPr>
          <w:b w:val="0"/>
          <w:szCs w:val="24"/>
        </w:rPr>
        <w:t>Subregulation</w:t>
      </w:r>
      <w:proofErr w:type="spellEnd"/>
      <w:r w:rsidR="00F96D87">
        <w:rPr>
          <w:b w:val="0"/>
          <w:szCs w:val="24"/>
        </w:rPr>
        <w:t xml:space="preserve"> 9(2) </w:t>
      </w:r>
      <w:r w:rsidR="00C326C3">
        <w:rPr>
          <w:b w:val="0"/>
          <w:szCs w:val="24"/>
        </w:rPr>
        <w:t xml:space="preserve">has </w:t>
      </w:r>
      <w:r w:rsidR="00AC4263">
        <w:rPr>
          <w:b w:val="0"/>
          <w:szCs w:val="24"/>
        </w:rPr>
        <w:t xml:space="preserve">the effect </w:t>
      </w:r>
      <w:r w:rsidR="00F96D87">
        <w:rPr>
          <w:b w:val="0"/>
          <w:szCs w:val="24"/>
        </w:rPr>
        <w:t>that if</w:t>
      </w:r>
      <w:r w:rsidR="000A02A1">
        <w:rPr>
          <w:b w:val="0"/>
          <w:szCs w:val="24"/>
        </w:rPr>
        <w:t xml:space="preserve"> a provisionally registered medicine is registered later in the same charge y</w:t>
      </w:r>
      <w:r w:rsidR="00F96D87">
        <w:rPr>
          <w:b w:val="0"/>
          <w:szCs w:val="24"/>
        </w:rPr>
        <w:t>ear, the annual charges for the</w:t>
      </w:r>
      <w:r w:rsidR="000A02A1">
        <w:rPr>
          <w:b w:val="0"/>
          <w:szCs w:val="24"/>
        </w:rPr>
        <w:t xml:space="preserve"> registration </w:t>
      </w:r>
      <w:r w:rsidR="00F96D87">
        <w:rPr>
          <w:b w:val="0"/>
          <w:szCs w:val="24"/>
        </w:rPr>
        <w:t xml:space="preserve">of the medicine </w:t>
      </w:r>
      <w:r w:rsidR="000A02A1">
        <w:rPr>
          <w:b w:val="0"/>
          <w:szCs w:val="24"/>
        </w:rPr>
        <w:t xml:space="preserve">do not apply. </w:t>
      </w:r>
    </w:p>
    <w:p w14:paraId="70F0D84B" w14:textId="77777777" w:rsidR="003E55FB" w:rsidRDefault="003E55FB" w:rsidP="000B380F"/>
    <w:p w14:paraId="62A6AA0F" w14:textId="77777777" w:rsidR="000B380F" w:rsidRDefault="00D30DEE" w:rsidP="000B380F">
      <w:pPr>
        <w:rPr>
          <w:u w:val="single"/>
        </w:rPr>
      </w:pPr>
      <w:r w:rsidRPr="00D30DEE">
        <w:rPr>
          <w:u w:val="single"/>
        </w:rPr>
        <w:t>Schedule 1 –</w:t>
      </w:r>
      <w:r>
        <w:rPr>
          <w:u w:val="single"/>
        </w:rPr>
        <w:t xml:space="preserve"> </w:t>
      </w:r>
      <w:r w:rsidR="000A02A1">
        <w:rPr>
          <w:u w:val="single"/>
        </w:rPr>
        <w:t>Repeals</w:t>
      </w:r>
    </w:p>
    <w:p w14:paraId="2ED6E22F" w14:textId="77777777" w:rsidR="00683C0D" w:rsidRPr="00D30DEE" w:rsidRDefault="00683C0D" w:rsidP="000B380F">
      <w:pPr>
        <w:rPr>
          <w:u w:val="single"/>
        </w:rPr>
      </w:pPr>
    </w:p>
    <w:p w14:paraId="04AFEBA9" w14:textId="77777777" w:rsidR="00683C0D" w:rsidRDefault="00683C0D" w:rsidP="00084325">
      <w:r w:rsidRPr="00AD72DB">
        <w:rPr>
          <w:b/>
          <w:i/>
        </w:rPr>
        <w:t xml:space="preserve">Therapeutic Goods </w:t>
      </w:r>
      <w:r>
        <w:rPr>
          <w:b/>
          <w:i/>
        </w:rPr>
        <w:t>(Charges) Regulations 1990</w:t>
      </w:r>
    </w:p>
    <w:p w14:paraId="6BF069EA" w14:textId="77777777" w:rsidR="00683C0D" w:rsidRDefault="00683C0D" w:rsidP="00084325"/>
    <w:p w14:paraId="011C26B4" w14:textId="77777777" w:rsidR="0077263E" w:rsidRDefault="00B34411" w:rsidP="00084325">
      <w:pPr>
        <w:rPr>
          <w:b/>
        </w:rPr>
      </w:pPr>
      <w:r>
        <w:rPr>
          <w:b/>
        </w:rPr>
        <w:t>I</w:t>
      </w:r>
      <w:r w:rsidR="00D30DEE" w:rsidRPr="00084325">
        <w:rPr>
          <w:b/>
        </w:rPr>
        <w:t xml:space="preserve">tem 1 </w:t>
      </w:r>
      <w:r w:rsidR="0048068F">
        <w:rPr>
          <w:b/>
        </w:rPr>
        <w:t>–</w:t>
      </w:r>
      <w:r w:rsidR="00BB7B51">
        <w:rPr>
          <w:b/>
        </w:rPr>
        <w:t xml:space="preserve"> </w:t>
      </w:r>
      <w:r w:rsidR="000A02A1">
        <w:rPr>
          <w:b/>
        </w:rPr>
        <w:t>The whole of the instrument</w:t>
      </w:r>
    </w:p>
    <w:p w14:paraId="30058210" w14:textId="4BD9503B" w:rsidR="002215C0" w:rsidRDefault="00683C0D" w:rsidP="00084325">
      <w:r w:rsidRPr="00967DE7">
        <w:t>Item</w:t>
      </w:r>
      <w:r>
        <w:t xml:space="preserve"> 1</w:t>
      </w:r>
      <w:r w:rsidR="003C3D95">
        <w:t xml:space="preserve"> provide</w:t>
      </w:r>
      <w:r w:rsidR="00C326C3">
        <w:t>s</w:t>
      </w:r>
      <w:r w:rsidR="000A02A1">
        <w:t xml:space="preserve"> for the repeal of the </w:t>
      </w:r>
      <w:r w:rsidR="000A02A1" w:rsidRPr="000A02A1">
        <w:rPr>
          <w:i/>
        </w:rPr>
        <w:t>Therapeutic Goods (Charges) Regulations 1990</w:t>
      </w:r>
      <w:r w:rsidR="000A02A1">
        <w:t xml:space="preserve"> which would, otherwise, be subject to the sunsetting (i.e. automatic repeal) provisions of the </w:t>
      </w:r>
      <w:r w:rsidR="00F96D87" w:rsidRPr="006A3766">
        <w:rPr>
          <w:i/>
        </w:rPr>
        <w:t>L</w:t>
      </w:r>
      <w:r w:rsidR="000A02A1" w:rsidRPr="006A3766">
        <w:rPr>
          <w:i/>
        </w:rPr>
        <w:t>e</w:t>
      </w:r>
      <w:r w:rsidR="000A02A1" w:rsidRPr="000A02A1">
        <w:rPr>
          <w:i/>
        </w:rPr>
        <w:t>gislation Act 2003</w:t>
      </w:r>
      <w:r w:rsidR="000A02A1">
        <w:t xml:space="preserve"> on 1 October 2018. The</w:t>
      </w:r>
      <w:r w:rsidR="006A3766">
        <w:t xml:space="preserve"> R</w:t>
      </w:r>
      <w:r w:rsidR="000A02A1">
        <w:t xml:space="preserve">egulations effectively replace the </w:t>
      </w:r>
      <w:r w:rsidR="006A3766">
        <w:t>Charges Regulations</w:t>
      </w:r>
      <w:r w:rsidR="000A02A1">
        <w:t xml:space="preserve">. </w:t>
      </w:r>
    </w:p>
    <w:p w14:paraId="5C7D112F" w14:textId="45092266" w:rsidR="00E45416" w:rsidRDefault="00E45416">
      <w:r>
        <w:br w:type="page"/>
      </w:r>
    </w:p>
    <w:p w14:paraId="05A25B1D" w14:textId="77777777" w:rsidR="00C326C3" w:rsidRDefault="00C326C3">
      <w:pPr>
        <w:jc w:val="center"/>
        <w:rPr>
          <w:b/>
          <w:sz w:val="28"/>
          <w:szCs w:val="28"/>
        </w:rPr>
      </w:pPr>
      <w:r>
        <w:rPr>
          <w:b/>
          <w:sz w:val="28"/>
          <w:szCs w:val="28"/>
        </w:rPr>
        <w:lastRenderedPageBreak/>
        <w:t>Statement of Compatibility with Human Rights</w:t>
      </w:r>
    </w:p>
    <w:p w14:paraId="408E0B34" w14:textId="77777777" w:rsidR="00C326C3" w:rsidRDefault="00C326C3" w:rsidP="00C326C3">
      <w:pPr>
        <w:rPr>
          <w:szCs w:val="24"/>
        </w:rPr>
      </w:pPr>
    </w:p>
    <w:p w14:paraId="24508F0D" w14:textId="77777777" w:rsidR="00C326C3" w:rsidRDefault="00C326C3" w:rsidP="00C326C3">
      <w:pPr>
        <w:rPr>
          <w:szCs w:val="24"/>
        </w:rPr>
      </w:pPr>
      <w:r>
        <w:rPr>
          <w:szCs w:val="24"/>
        </w:rPr>
        <w:t xml:space="preserve">Prepared in accordance with Part 3 of the </w:t>
      </w:r>
      <w:r>
        <w:rPr>
          <w:i/>
          <w:szCs w:val="24"/>
        </w:rPr>
        <w:t>Human Rights (Parliamentary Scrutiny) Act 2011</w:t>
      </w:r>
    </w:p>
    <w:p w14:paraId="418CB24D" w14:textId="77777777" w:rsidR="00C326C3" w:rsidRDefault="00C326C3" w:rsidP="00C326C3">
      <w:pPr>
        <w:rPr>
          <w:b/>
          <w:szCs w:val="24"/>
        </w:rPr>
      </w:pPr>
    </w:p>
    <w:p w14:paraId="4DA0FFE0" w14:textId="77777777" w:rsidR="00C326C3" w:rsidRDefault="00C326C3" w:rsidP="00C326C3">
      <w:pPr>
        <w:jc w:val="center"/>
        <w:rPr>
          <w:b/>
          <w:szCs w:val="24"/>
        </w:rPr>
      </w:pPr>
      <w:r>
        <w:rPr>
          <w:b/>
          <w:szCs w:val="24"/>
        </w:rPr>
        <w:t>Therapeutic Goods (Charges) Regulations 2018</w:t>
      </w:r>
    </w:p>
    <w:p w14:paraId="34850E4A" w14:textId="77777777" w:rsidR="00C326C3" w:rsidRDefault="00C326C3" w:rsidP="00C326C3">
      <w:pPr>
        <w:rPr>
          <w:szCs w:val="24"/>
        </w:rPr>
      </w:pPr>
    </w:p>
    <w:p w14:paraId="6F820585" w14:textId="77777777" w:rsidR="00C326C3" w:rsidRDefault="00C326C3" w:rsidP="00C326C3">
      <w:pPr>
        <w:rPr>
          <w:b/>
          <w:szCs w:val="24"/>
        </w:rPr>
      </w:pPr>
      <w:r>
        <w:rPr>
          <w:szCs w:val="24"/>
        </w:rPr>
        <w:t xml:space="preserve">The </w:t>
      </w:r>
      <w:r>
        <w:rPr>
          <w:i/>
          <w:szCs w:val="24"/>
        </w:rPr>
        <w:t>Therapeutic Goods (Charges) Regulations 2018</w:t>
      </w:r>
      <w:r>
        <w:rPr>
          <w:szCs w:val="24"/>
        </w:rPr>
        <w:t xml:space="preserve"> (the Regulations) are compatible with the human rights and freedoms recognised or declared in the international instruments listed in section 3 of the </w:t>
      </w:r>
      <w:r>
        <w:rPr>
          <w:i/>
          <w:szCs w:val="24"/>
        </w:rPr>
        <w:t>Human Rights (Parliamentary Scrutiny) Act 2011</w:t>
      </w:r>
      <w:r>
        <w:rPr>
          <w:szCs w:val="24"/>
        </w:rPr>
        <w:t>.</w:t>
      </w:r>
    </w:p>
    <w:p w14:paraId="6A1ABAF2" w14:textId="77777777" w:rsidR="00C326C3" w:rsidRDefault="00C326C3" w:rsidP="00C326C3">
      <w:pPr>
        <w:rPr>
          <w:szCs w:val="24"/>
        </w:rPr>
      </w:pPr>
    </w:p>
    <w:p w14:paraId="1E82CAE1" w14:textId="77777777" w:rsidR="00C326C3" w:rsidRDefault="00C326C3" w:rsidP="00C326C3">
      <w:pPr>
        <w:rPr>
          <w:b/>
          <w:szCs w:val="24"/>
        </w:rPr>
      </w:pPr>
      <w:r>
        <w:rPr>
          <w:b/>
          <w:szCs w:val="24"/>
        </w:rPr>
        <w:t>Overview of the Legislative Instrument</w:t>
      </w:r>
    </w:p>
    <w:p w14:paraId="1AADE1F9" w14:textId="77777777" w:rsidR="00C326C3" w:rsidRDefault="00C326C3" w:rsidP="00C326C3">
      <w:pPr>
        <w:rPr>
          <w:szCs w:val="24"/>
        </w:rPr>
      </w:pPr>
      <w:r>
        <w:rPr>
          <w:szCs w:val="24"/>
        </w:rPr>
        <w:t xml:space="preserve">The </w:t>
      </w:r>
      <w:r w:rsidRPr="00DE2571">
        <w:rPr>
          <w:i/>
          <w:szCs w:val="24"/>
        </w:rPr>
        <w:t>Therapeutic Goods (Charges) Regulations 1990</w:t>
      </w:r>
      <w:r>
        <w:rPr>
          <w:szCs w:val="24"/>
        </w:rPr>
        <w:t xml:space="preserve"> (the Charges Regulations) is due to sunset on 1 October 2018 pursuant to the </w:t>
      </w:r>
      <w:r w:rsidRPr="00DE2571">
        <w:rPr>
          <w:i/>
          <w:szCs w:val="24"/>
        </w:rPr>
        <w:t>Legislation Act 2003</w:t>
      </w:r>
      <w:r>
        <w:rPr>
          <w:szCs w:val="24"/>
        </w:rPr>
        <w:t xml:space="preserve">. The purpose of the </w:t>
      </w:r>
      <w:r w:rsidRPr="00BA306B">
        <w:rPr>
          <w:i/>
          <w:szCs w:val="24"/>
        </w:rPr>
        <w:t>Therapeutic Goods (Charges</w:t>
      </w:r>
      <w:r>
        <w:rPr>
          <w:i/>
          <w:szCs w:val="24"/>
        </w:rPr>
        <w:t>)</w:t>
      </w:r>
      <w:r w:rsidRPr="00BA306B">
        <w:rPr>
          <w:i/>
          <w:szCs w:val="24"/>
        </w:rPr>
        <w:t xml:space="preserve"> Regulation</w:t>
      </w:r>
      <w:r>
        <w:rPr>
          <w:i/>
          <w:szCs w:val="24"/>
        </w:rPr>
        <w:t>s</w:t>
      </w:r>
      <w:r w:rsidRPr="00BA306B">
        <w:rPr>
          <w:i/>
          <w:szCs w:val="24"/>
        </w:rPr>
        <w:t xml:space="preserve"> </w:t>
      </w:r>
      <w:r w:rsidRPr="002D64B4">
        <w:rPr>
          <w:i/>
          <w:szCs w:val="24"/>
        </w:rPr>
        <w:t>2018</w:t>
      </w:r>
      <w:r>
        <w:rPr>
          <w:szCs w:val="24"/>
        </w:rPr>
        <w:t xml:space="preserve"> (the Regulations) is to repeal and replace the Charges Regulations before this date and, in so doing, to also incorporate measures to </w:t>
      </w:r>
      <w:r w:rsidRPr="000854E9">
        <w:rPr>
          <w:szCs w:val="24"/>
        </w:rPr>
        <w:t>inc</w:t>
      </w:r>
      <w:r>
        <w:rPr>
          <w:szCs w:val="24"/>
        </w:rPr>
        <w:t>rease annual charges for most therapeutic goods and manufacturing licences by 1.9</w:t>
      </w:r>
      <w:r w:rsidRPr="000854E9">
        <w:rPr>
          <w:szCs w:val="24"/>
        </w:rPr>
        <w:t xml:space="preserve"> per </w:t>
      </w:r>
      <w:r>
        <w:rPr>
          <w:szCs w:val="24"/>
        </w:rPr>
        <w:t>cent for the financial year 2018-19,</w:t>
      </w:r>
      <w:r>
        <w:t xml:space="preserve"> from 1 July 2018</w:t>
      </w:r>
      <w:r>
        <w:rPr>
          <w:szCs w:val="24"/>
        </w:rPr>
        <w:t>.</w:t>
      </w:r>
    </w:p>
    <w:p w14:paraId="1BC2C4D5" w14:textId="77777777" w:rsidR="00C326C3" w:rsidRDefault="00C326C3" w:rsidP="00C326C3">
      <w:pPr>
        <w:rPr>
          <w:szCs w:val="24"/>
        </w:rPr>
      </w:pPr>
    </w:p>
    <w:p w14:paraId="1A05DBC6" w14:textId="77777777" w:rsidR="00C326C3" w:rsidRDefault="00C326C3" w:rsidP="00C326C3">
      <w:pPr>
        <w:rPr>
          <w:i/>
          <w:szCs w:val="24"/>
        </w:rPr>
      </w:pPr>
      <w:r>
        <w:rPr>
          <w:szCs w:val="24"/>
        </w:rPr>
        <w:t xml:space="preserve">The 1.9 per cent figure is based on a formula used to calculate adjustments to TGA fees and charges in most previous years, and is based on the Australian Bureau of Statistics’ Wage Price Index (50 per cent) (in this case, for the year to September 2017) and Consumer Price Index (50 per cent)) (for the same period). This increase is designed to ensure that the TGA is able to continue to recover its costs of administering the </w:t>
      </w:r>
      <w:r w:rsidRPr="00D74719">
        <w:rPr>
          <w:i/>
          <w:szCs w:val="24"/>
        </w:rPr>
        <w:t>Therapeutic Goods Act 1989</w:t>
      </w:r>
      <w:r>
        <w:rPr>
          <w:i/>
          <w:szCs w:val="24"/>
        </w:rPr>
        <w:t>.</w:t>
      </w:r>
    </w:p>
    <w:p w14:paraId="6DCCFDD7" w14:textId="77777777" w:rsidR="00C326C3" w:rsidRDefault="00C326C3" w:rsidP="00C326C3">
      <w:pPr>
        <w:rPr>
          <w:i/>
          <w:szCs w:val="24"/>
        </w:rPr>
      </w:pPr>
    </w:p>
    <w:p w14:paraId="6C3302CF" w14:textId="77777777" w:rsidR="00C326C3" w:rsidRPr="00E0209E" w:rsidRDefault="00C326C3" w:rsidP="00C326C3">
      <w:pPr>
        <w:rPr>
          <w:szCs w:val="24"/>
        </w:rPr>
      </w:pPr>
      <w:r>
        <w:rPr>
          <w:szCs w:val="24"/>
        </w:rPr>
        <w:t>The Regulations also:</w:t>
      </w:r>
    </w:p>
    <w:p w14:paraId="7BFFBA01" w14:textId="77777777" w:rsidR="00C326C3" w:rsidRDefault="00C326C3" w:rsidP="00C326C3">
      <w:pPr>
        <w:pStyle w:val="ListParagraph"/>
        <w:numPr>
          <w:ilvl w:val="0"/>
          <w:numId w:val="14"/>
        </w:numPr>
        <w:ind w:left="567" w:hanging="567"/>
        <w:rPr>
          <w:szCs w:val="24"/>
        </w:rPr>
      </w:pPr>
      <w:r>
        <w:rPr>
          <w:szCs w:val="24"/>
        </w:rPr>
        <w:t xml:space="preserve">increase the annual charge for listed complementary medicines by $80, to reflect a greater allocation of post-market monitoring resources for these products; </w:t>
      </w:r>
    </w:p>
    <w:p w14:paraId="1C8FAD7B" w14:textId="77777777" w:rsidR="00C326C3" w:rsidRDefault="00C326C3" w:rsidP="00C326C3">
      <w:pPr>
        <w:pStyle w:val="ListParagraph"/>
        <w:numPr>
          <w:ilvl w:val="0"/>
          <w:numId w:val="14"/>
        </w:numPr>
        <w:ind w:left="567" w:hanging="567"/>
        <w:rPr>
          <w:szCs w:val="24"/>
        </w:rPr>
      </w:pPr>
      <w:r>
        <w:rPr>
          <w:szCs w:val="24"/>
        </w:rPr>
        <w:t>reduce annual licence charges for manufacturers of medicines and their active ingredients, following a recent review of the costs relating to the regulation of therapeutic goods manufacturers; and</w:t>
      </w:r>
    </w:p>
    <w:p w14:paraId="4EFEF790" w14:textId="77777777" w:rsidR="00C326C3" w:rsidRPr="00684E91" w:rsidRDefault="00C326C3" w:rsidP="00C326C3">
      <w:pPr>
        <w:pStyle w:val="ListParagraph"/>
        <w:numPr>
          <w:ilvl w:val="0"/>
          <w:numId w:val="14"/>
        </w:numPr>
        <w:ind w:left="567" w:hanging="567"/>
        <w:rPr>
          <w:szCs w:val="24"/>
        </w:rPr>
      </w:pPr>
      <w:r>
        <w:rPr>
          <w:szCs w:val="24"/>
        </w:rPr>
        <w:t xml:space="preserve">introduce annual charge amounts for provisionally registered medicines (these are a new category of promising new prescription medicines, introduced by the </w:t>
      </w:r>
      <w:r w:rsidRPr="00803B36">
        <w:rPr>
          <w:i/>
          <w:szCs w:val="24"/>
        </w:rPr>
        <w:t>Therapeutic Goods Amendment (2017 Measures No.1) Act 2018</w:t>
      </w:r>
      <w:r>
        <w:rPr>
          <w:szCs w:val="24"/>
        </w:rPr>
        <w:t xml:space="preserve">). </w:t>
      </w:r>
    </w:p>
    <w:p w14:paraId="266C2BC7" w14:textId="77777777" w:rsidR="00C326C3" w:rsidRDefault="00C326C3" w:rsidP="00C326C3">
      <w:pPr>
        <w:rPr>
          <w:szCs w:val="24"/>
        </w:rPr>
      </w:pPr>
    </w:p>
    <w:p w14:paraId="1ED82A51" w14:textId="77777777" w:rsidR="00C326C3" w:rsidRDefault="00C326C3" w:rsidP="00C326C3">
      <w:pPr>
        <w:rPr>
          <w:szCs w:val="24"/>
        </w:rPr>
      </w:pPr>
    </w:p>
    <w:p w14:paraId="65DC21AB" w14:textId="77777777" w:rsidR="00C326C3" w:rsidRDefault="00C326C3" w:rsidP="00C326C3">
      <w:pPr>
        <w:rPr>
          <w:b/>
          <w:szCs w:val="24"/>
        </w:rPr>
      </w:pPr>
      <w:r>
        <w:rPr>
          <w:b/>
          <w:szCs w:val="24"/>
        </w:rPr>
        <w:t>Human rights implications</w:t>
      </w:r>
    </w:p>
    <w:p w14:paraId="49047875" w14:textId="70465F8B" w:rsidR="00C326C3" w:rsidRDefault="00C326C3" w:rsidP="00C326C3">
      <w:pPr>
        <w:rPr>
          <w:szCs w:val="24"/>
        </w:rPr>
      </w:pPr>
      <w:r>
        <w:rPr>
          <w:szCs w:val="24"/>
        </w:rPr>
        <w:t xml:space="preserve">As the Regulations do not introduce any changes </w:t>
      </w:r>
      <w:r w:rsidR="00E45416">
        <w:rPr>
          <w:szCs w:val="24"/>
        </w:rPr>
        <w:t xml:space="preserve">compared </w:t>
      </w:r>
      <w:r>
        <w:rPr>
          <w:szCs w:val="24"/>
        </w:rPr>
        <w:t>to the Charges Regulations other than to implement the changes outlined above, it does not engage any of the applicable rights or freedoms.</w:t>
      </w:r>
    </w:p>
    <w:p w14:paraId="4B8E0A74" w14:textId="77777777" w:rsidR="00C326C3" w:rsidRDefault="00C326C3" w:rsidP="00C326C3">
      <w:pPr>
        <w:rPr>
          <w:b/>
          <w:szCs w:val="24"/>
        </w:rPr>
      </w:pPr>
    </w:p>
    <w:p w14:paraId="2333D7D6" w14:textId="77777777" w:rsidR="00C326C3" w:rsidRDefault="00C326C3" w:rsidP="00C326C3">
      <w:pPr>
        <w:rPr>
          <w:b/>
          <w:szCs w:val="24"/>
        </w:rPr>
      </w:pPr>
      <w:r>
        <w:rPr>
          <w:b/>
          <w:szCs w:val="24"/>
        </w:rPr>
        <w:t>Conclusion</w:t>
      </w:r>
    </w:p>
    <w:p w14:paraId="16EC0277" w14:textId="77777777" w:rsidR="00C326C3" w:rsidRDefault="00C326C3" w:rsidP="00C326C3">
      <w:pPr>
        <w:rPr>
          <w:szCs w:val="24"/>
        </w:rPr>
      </w:pPr>
      <w:r>
        <w:rPr>
          <w:szCs w:val="24"/>
        </w:rPr>
        <w:t>This legislative instrument is compatible with human rights as it does not raise any human rights issues.</w:t>
      </w:r>
    </w:p>
    <w:p w14:paraId="77273AE9" w14:textId="77777777" w:rsidR="00C326C3" w:rsidRDefault="00C326C3" w:rsidP="00C326C3">
      <w:pPr>
        <w:rPr>
          <w:szCs w:val="24"/>
        </w:rPr>
      </w:pPr>
    </w:p>
    <w:p w14:paraId="370BF8E0" w14:textId="77777777" w:rsidR="00C326C3" w:rsidRPr="007D16AC" w:rsidRDefault="00C326C3" w:rsidP="00C326C3">
      <w:pPr>
        <w:jc w:val="center"/>
        <w:rPr>
          <w:szCs w:val="24"/>
        </w:rPr>
      </w:pPr>
      <w:r>
        <w:rPr>
          <w:b/>
          <w:szCs w:val="24"/>
        </w:rPr>
        <w:t>Greg Hunt, Minister for Health</w:t>
      </w:r>
    </w:p>
    <w:p w14:paraId="29C7B252" w14:textId="77777777" w:rsidR="00C326C3" w:rsidRPr="00991380" w:rsidRDefault="00C326C3"/>
    <w:p w14:paraId="537FF7A7" w14:textId="77777777" w:rsidR="00991380" w:rsidRDefault="00991380" w:rsidP="00991380"/>
    <w:p w14:paraId="6F4C95E3" w14:textId="77777777" w:rsidR="00A47D9B" w:rsidRPr="00991380" w:rsidRDefault="00A47D9B" w:rsidP="0098671E">
      <w:pPr>
        <w:jc w:val="right"/>
      </w:pPr>
    </w:p>
    <w:sectPr w:rsidR="00A47D9B" w:rsidRPr="00991380" w:rsidSect="0098671E">
      <w:footerReference w:type="default" r:id="rId9"/>
      <w:pgSz w:w="11906" w:h="16838" w:code="9"/>
      <w:pgMar w:top="1440" w:right="1440" w:bottom="1440" w:left="1440"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0BC3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AA38F" w14:textId="77777777" w:rsidR="00B2455C" w:rsidRDefault="00B2455C" w:rsidP="00A2299B">
      <w:r>
        <w:separator/>
      </w:r>
    </w:p>
  </w:endnote>
  <w:endnote w:type="continuationSeparator" w:id="0">
    <w:p w14:paraId="5E01D4C7" w14:textId="77777777" w:rsidR="00B2455C" w:rsidRDefault="00B2455C" w:rsidP="00A2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625903"/>
      <w:docPartObj>
        <w:docPartGallery w:val="Page Numbers (Bottom of Page)"/>
        <w:docPartUnique/>
      </w:docPartObj>
    </w:sdtPr>
    <w:sdtEndPr>
      <w:rPr>
        <w:noProof/>
      </w:rPr>
    </w:sdtEndPr>
    <w:sdtContent>
      <w:p w14:paraId="09AA394A" w14:textId="77777777" w:rsidR="00991380" w:rsidRDefault="00991380">
        <w:pPr>
          <w:pStyle w:val="Footer"/>
          <w:jc w:val="center"/>
        </w:pPr>
        <w:r>
          <w:fldChar w:fldCharType="begin"/>
        </w:r>
        <w:r>
          <w:instrText xml:space="preserve"> PAGE   \* MERGEFORMAT </w:instrText>
        </w:r>
        <w:r>
          <w:fldChar w:fldCharType="separate"/>
        </w:r>
        <w:r w:rsidR="004A26E1">
          <w:rPr>
            <w:noProof/>
          </w:rPr>
          <w:t>5</w:t>
        </w:r>
        <w:r>
          <w:rPr>
            <w:noProof/>
          </w:rPr>
          <w:fldChar w:fldCharType="end"/>
        </w:r>
      </w:p>
    </w:sdtContent>
  </w:sdt>
  <w:p w14:paraId="62647DC9" w14:textId="77777777" w:rsidR="00991380" w:rsidRDefault="009913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17570" w14:textId="77777777" w:rsidR="00B2455C" w:rsidRDefault="00B2455C" w:rsidP="00A2299B">
      <w:r>
        <w:separator/>
      </w:r>
    </w:p>
  </w:footnote>
  <w:footnote w:type="continuationSeparator" w:id="0">
    <w:p w14:paraId="41768366" w14:textId="77777777" w:rsidR="00B2455C" w:rsidRDefault="00B2455C" w:rsidP="00A229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D6209"/>
    <w:multiLevelType w:val="hybridMultilevel"/>
    <w:tmpl w:val="9E08065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nsid w:val="1FB47989"/>
    <w:multiLevelType w:val="hybridMultilevel"/>
    <w:tmpl w:val="7EB8F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F6B4530"/>
    <w:multiLevelType w:val="hybridMultilevel"/>
    <w:tmpl w:val="AD2A9B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01B2C08"/>
    <w:multiLevelType w:val="hybridMultilevel"/>
    <w:tmpl w:val="F97827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31CE7BD9"/>
    <w:multiLevelType w:val="hybridMultilevel"/>
    <w:tmpl w:val="028E453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385E1D24"/>
    <w:multiLevelType w:val="multilevel"/>
    <w:tmpl w:val="42D8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AB3B8E"/>
    <w:multiLevelType w:val="hybridMultilevel"/>
    <w:tmpl w:val="CB76E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06C0C6E"/>
    <w:multiLevelType w:val="hybridMultilevel"/>
    <w:tmpl w:val="35B83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135319C"/>
    <w:multiLevelType w:val="hybridMultilevel"/>
    <w:tmpl w:val="92A682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6280D4A"/>
    <w:multiLevelType w:val="hybridMultilevel"/>
    <w:tmpl w:val="E16A1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AB7677F"/>
    <w:multiLevelType w:val="hybridMultilevel"/>
    <w:tmpl w:val="672A228E"/>
    <w:lvl w:ilvl="0" w:tplc="2C80B504">
      <w:start w:val="1"/>
      <w:numFmt w:val="lowerLetter"/>
      <w:lvlText w:val="(%1)"/>
      <w:lvlJc w:val="left"/>
      <w:pPr>
        <w:ind w:left="765" w:hanging="360"/>
      </w:pPr>
      <w:rPr>
        <w:rFonts w:ascii="Times New Roman" w:eastAsia="Times New Roman" w:hAnsi="Times New Roman" w:cs="Times New Roman"/>
      </w:rPr>
    </w:lvl>
    <w:lvl w:ilvl="1" w:tplc="0C090019" w:tentative="1">
      <w:start w:val="1"/>
      <w:numFmt w:val="lowerLetter"/>
      <w:lvlText w:val="%2."/>
      <w:lvlJc w:val="left"/>
      <w:pPr>
        <w:ind w:left="1485" w:hanging="360"/>
      </w:pPr>
      <w:rPr>
        <w:rFonts w:cs="Times New Roman"/>
      </w:rPr>
    </w:lvl>
    <w:lvl w:ilvl="2" w:tplc="0C09001B" w:tentative="1">
      <w:start w:val="1"/>
      <w:numFmt w:val="lowerRoman"/>
      <w:lvlText w:val="%3."/>
      <w:lvlJc w:val="right"/>
      <w:pPr>
        <w:ind w:left="2205" w:hanging="180"/>
      </w:pPr>
      <w:rPr>
        <w:rFonts w:cs="Times New Roman"/>
      </w:rPr>
    </w:lvl>
    <w:lvl w:ilvl="3" w:tplc="0C09000F" w:tentative="1">
      <w:start w:val="1"/>
      <w:numFmt w:val="decimal"/>
      <w:lvlText w:val="%4."/>
      <w:lvlJc w:val="left"/>
      <w:pPr>
        <w:ind w:left="2925" w:hanging="360"/>
      </w:pPr>
      <w:rPr>
        <w:rFonts w:cs="Times New Roman"/>
      </w:rPr>
    </w:lvl>
    <w:lvl w:ilvl="4" w:tplc="0C090019" w:tentative="1">
      <w:start w:val="1"/>
      <w:numFmt w:val="lowerLetter"/>
      <w:lvlText w:val="%5."/>
      <w:lvlJc w:val="left"/>
      <w:pPr>
        <w:ind w:left="3645" w:hanging="360"/>
      </w:pPr>
      <w:rPr>
        <w:rFonts w:cs="Times New Roman"/>
      </w:rPr>
    </w:lvl>
    <w:lvl w:ilvl="5" w:tplc="0C09001B" w:tentative="1">
      <w:start w:val="1"/>
      <w:numFmt w:val="lowerRoman"/>
      <w:lvlText w:val="%6."/>
      <w:lvlJc w:val="right"/>
      <w:pPr>
        <w:ind w:left="4365" w:hanging="180"/>
      </w:pPr>
      <w:rPr>
        <w:rFonts w:cs="Times New Roman"/>
      </w:rPr>
    </w:lvl>
    <w:lvl w:ilvl="6" w:tplc="0C09000F" w:tentative="1">
      <w:start w:val="1"/>
      <w:numFmt w:val="decimal"/>
      <w:lvlText w:val="%7."/>
      <w:lvlJc w:val="left"/>
      <w:pPr>
        <w:ind w:left="5085" w:hanging="360"/>
      </w:pPr>
      <w:rPr>
        <w:rFonts w:cs="Times New Roman"/>
      </w:rPr>
    </w:lvl>
    <w:lvl w:ilvl="7" w:tplc="0C090019" w:tentative="1">
      <w:start w:val="1"/>
      <w:numFmt w:val="lowerLetter"/>
      <w:lvlText w:val="%8."/>
      <w:lvlJc w:val="left"/>
      <w:pPr>
        <w:ind w:left="5805" w:hanging="360"/>
      </w:pPr>
      <w:rPr>
        <w:rFonts w:cs="Times New Roman"/>
      </w:rPr>
    </w:lvl>
    <w:lvl w:ilvl="8" w:tplc="0C09001B" w:tentative="1">
      <w:start w:val="1"/>
      <w:numFmt w:val="lowerRoman"/>
      <w:lvlText w:val="%9."/>
      <w:lvlJc w:val="right"/>
      <w:pPr>
        <w:ind w:left="6525" w:hanging="180"/>
      </w:pPr>
      <w:rPr>
        <w:rFonts w:cs="Times New Roman"/>
      </w:rPr>
    </w:lvl>
  </w:abstractNum>
  <w:abstractNum w:abstractNumId="11">
    <w:nsid w:val="6B445B6E"/>
    <w:multiLevelType w:val="hybridMultilevel"/>
    <w:tmpl w:val="98A2029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0734AF8"/>
    <w:multiLevelType w:val="hybridMultilevel"/>
    <w:tmpl w:val="BA08687C"/>
    <w:lvl w:ilvl="0" w:tplc="0C090001">
      <w:start w:val="1"/>
      <w:numFmt w:val="bullet"/>
      <w:lvlText w:val=""/>
      <w:lvlJc w:val="left"/>
      <w:pPr>
        <w:ind w:left="765" w:hanging="360"/>
      </w:pPr>
      <w:rPr>
        <w:rFonts w:ascii="Symbol" w:hAnsi="Symbol" w:hint="default"/>
      </w:rPr>
    </w:lvl>
    <w:lvl w:ilvl="1" w:tplc="0C090019" w:tentative="1">
      <w:start w:val="1"/>
      <w:numFmt w:val="lowerLetter"/>
      <w:lvlText w:val="%2."/>
      <w:lvlJc w:val="left"/>
      <w:pPr>
        <w:ind w:left="1485" w:hanging="360"/>
      </w:pPr>
      <w:rPr>
        <w:rFonts w:cs="Times New Roman"/>
      </w:rPr>
    </w:lvl>
    <w:lvl w:ilvl="2" w:tplc="0C09001B" w:tentative="1">
      <w:start w:val="1"/>
      <w:numFmt w:val="lowerRoman"/>
      <w:lvlText w:val="%3."/>
      <w:lvlJc w:val="right"/>
      <w:pPr>
        <w:ind w:left="2205" w:hanging="180"/>
      </w:pPr>
      <w:rPr>
        <w:rFonts w:cs="Times New Roman"/>
      </w:rPr>
    </w:lvl>
    <w:lvl w:ilvl="3" w:tplc="0C09000F" w:tentative="1">
      <w:start w:val="1"/>
      <w:numFmt w:val="decimal"/>
      <w:lvlText w:val="%4."/>
      <w:lvlJc w:val="left"/>
      <w:pPr>
        <w:ind w:left="2925" w:hanging="360"/>
      </w:pPr>
      <w:rPr>
        <w:rFonts w:cs="Times New Roman"/>
      </w:rPr>
    </w:lvl>
    <w:lvl w:ilvl="4" w:tplc="0C090019" w:tentative="1">
      <w:start w:val="1"/>
      <w:numFmt w:val="lowerLetter"/>
      <w:lvlText w:val="%5."/>
      <w:lvlJc w:val="left"/>
      <w:pPr>
        <w:ind w:left="3645" w:hanging="360"/>
      </w:pPr>
      <w:rPr>
        <w:rFonts w:cs="Times New Roman"/>
      </w:rPr>
    </w:lvl>
    <w:lvl w:ilvl="5" w:tplc="0C09001B" w:tentative="1">
      <w:start w:val="1"/>
      <w:numFmt w:val="lowerRoman"/>
      <w:lvlText w:val="%6."/>
      <w:lvlJc w:val="right"/>
      <w:pPr>
        <w:ind w:left="4365" w:hanging="180"/>
      </w:pPr>
      <w:rPr>
        <w:rFonts w:cs="Times New Roman"/>
      </w:rPr>
    </w:lvl>
    <w:lvl w:ilvl="6" w:tplc="0C09000F" w:tentative="1">
      <w:start w:val="1"/>
      <w:numFmt w:val="decimal"/>
      <w:lvlText w:val="%7."/>
      <w:lvlJc w:val="left"/>
      <w:pPr>
        <w:ind w:left="5085" w:hanging="360"/>
      </w:pPr>
      <w:rPr>
        <w:rFonts w:cs="Times New Roman"/>
      </w:rPr>
    </w:lvl>
    <w:lvl w:ilvl="7" w:tplc="0C090019" w:tentative="1">
      <w:start w:val="1"/>
      <w:numFmt w:val="lowerLetter"/>
      <w:lvlText w:val="%8."/>
      <w:lvlJc w:val="left"/>
      <w:pPr>
        <w:ind w:left="5805" w:hanging="360"/>
      </w:pPr>
      <w:rPr>
        <w:rFonts w:cs="Times New Roman"/>
      </w:rPr>
    </w:lvl>
    <w:lvl w:ilvl="8" w:tplc="0C09001B" w:tentative="1">
      <w:start w:val="1"/>
      <w:numFmt w:val="lowerRoman"/>
      <w:lvlText w:val="%9."/>
      <w:lvlJc w:val="right"/>
      <w:pPr>
        <w:ind w:left="6525" w:hanging="180"/>
      </w:pPr>
      <w:rPr>
        <w:rFonts w:cs="Times New Roman"/>
      </w:rPr>
    </w:lvl>
  </w:abstractNum>
  <w:abstractNum w:abstractNumId="13">
    <w:nsid w:val="712C6ED5"/>
    <w:multiLevelType w:val="hybridMultilevel"/>
    <w:tmpl w:val="6994B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5"/>
  </w:num>
  <w:num w:numId="4">
    <w:abstractNumId w:val="7"/>
  </w:num>
  <w:num w:numId="5">
    <w:abstractNumId w:val="12"/>
  </w:num>
  <w:num w:numId="6">
    <w:abstractNumId w:val="1"/>
  </w:num>
  <w:num w:numId="7">
    <w:abstractNumId w:val="2"/>
  </w:num>
  <w:num w:numId="8">
    <w:abstractNumId w:val="3"/>
  </w:num>
  <w:num w:numId="9">
    <w:abstractNumId w:val="6"/>
  </w:num>
  <w:num w:numId="10">
    <w:abstractNumId w:val="9"/>
  </w:num>
  <w:num w:numId="11">
    <w:abstractNumId w:val="13"/>
  </w:num>
  <w:num w:numId="12">
    <w:abstractNumId w:val="8"/>
  </w:num>
  <w:num w:numId="13">
    <w:abstractNumId w:val="1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omson, Rowena">
    <w15:presenceInfo w15:providerId="None" w15:userId="Thomson, Row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A4"/>
    <w:rsid w:val="00001091"/>
    <w:rsid w:val="00006EED"/>
    <w:rsid w:val="0001421B"/>
    <w:rsid w:val="00016AB0"/>
    <w:rsid w:val="00020E96"/>
    <w:rsid w:val="00022A12"/>
    <w:rsid w:val="00025FF0"/>
    <w:rsid w:val="00027757"/>
    <w:rsid w:val="00030D81"/>
    <w:rsid w:val="00034254"/>
    <w:rsid w:val="00035E27"/>
    <w:rsid w:val="00036251"/>
    <w:rsid w:val="00041D0B"/>
    <w:rsid w:val="0004282E"/>
    <w:rsid w:val="00042A84"/>
    <w:rsid w:val="00051C02"/>
    <w:rsid w:val="00051CE8"/>
    <w:rsid w:val="00057527"/>
    <w:rsid w:val="00061854"/>
    <w:rsid w:val="00072DA1"/>
    <w:rsid w:val="000734F6"/>
    <w:rsid w:val="0007636B"/>
    <w:rsid w:val="00080088"/>
    <w:rsid w:val="00083309"/>
    <w:rsid w:val="00084325"/>
    <w:rsid w:val="0008436F"/>
    <w:rsid w:val="000854E9"/>
    <w:rsid w:val="00095AC7"/>
    <w:rsid w:val="00096F11"/>
    <w:rsid w:val="000A02A1"/>
    <w:rsid w:val="000A4B49"/>
    <w:rsid w:val="000A7148"/>
    <w:rsid w:val="000B1535"/>
    <w:rsid w:val="000B380F"/>
    <w:rsid w:val="000B3C18"/>
    <w:rsid w:val="000B5C93"/>
    <w:rsid w:val="000B6643"/>
    <w:rsid w:val="000B75D3"/>
    <w:rsid w:val="000B7607"/>
    <w:rsid w:val="000C6B8D"/>
    <w:rsid w:val="000D046B"/>
    <w:rsid w:val="000D5BFD"/>
    <w:rsid w:val="000E16C0"/>
    <w:rsid w:val="000E4581"/>
    <w:rsid w:val="001007CD"/>
    <w:rsid w:val="00103DB8"/>
    <w:rsid w:val="00107BC7"/>
    <w:rsid w:val="001163EC"/>
    <w:rsid w:val="00117C9D"/>
    <w:rsid w:val="0012141E"/>
    <w:rsid w:val="00127D76"/>
    <w:rsid w:val="001431DE"/>
    <w:rsid w:val="001448A1"/>
    <w:rsid w:val="00153A0A"/>
    <w:rsid w:val="00154185"/>
    <w:rsid w:val="00156491"/>
    <w:rsid w:val="00162C7C"/>
    <w:rsid w:val="0016321A"/>
    <w:rsid w:val="00163597"/>
    <w:rsid w:val="001766E6"/>
    <w:rsid w:val="00184D0B"/>
    <w:rsid w:val="00185234"/>
    <w:rsid w:val="00194102"/>
    <w:rsid w:val="00196CD4"/>
    <w:rsid w:val="00197CC0"/>
    <w:rsid w:val="001A4B09"/>
    <w:rsid w:val="001B38E8"/>
    <w:rsid w:val="001C5822"/>
    <w:rsid w:val="001D2E82"/>
    <w:rsid w:val="001E5D95"/>
    <w:rsid w:val="001F0783"/>
    <w:rsid w:val="001F39A3"/>
    <w:rsid w:val="00202085"/>
    <w:rsid w:val="00204B3E"/>
    <w:rsid w:val="00216ED0"/>
    <w:rsid w:val="002215C0"/>
    <w:rsid w:val="00221737"/>
    <w:rsid w:val="00227FD8"/>
    <w:rsid w:val="00230DE1"/>
    <w:rsid w:val="00235126"/>
    <w:rsid w:val="00241672"/>
    <w:rsid w:val="0024495C"/>
    <w:rsid w:val="00247FA8"/>
    <w:rsid w:val="00260FD5"/>
    <w:rsid w:val="00270C51"/>
    <w:rsid w:val="002747DD"/>
    <w:rsid w:val="00275B3E"/>
    <w:rsid w:val="0027681F"/>
    <w:rsid w:val="00280D0F"/>
    <w:rsid w:val="00283A2F"/>
    <w:rsid w:val="00295A1D"/>
    <w:rsid w:val="00297937"/>
    <w:rsid w:val="002A0D6C"/>
    <w:rsid w:val="002A351A"/>
    <w:rsid w:val="002C1A9B"/>
    <w:rsid w:val="002C2A34"/>
    <w:rsid w:val="002C4298"/>
    <w:rsid w:val="002C5C61"/>
    <w:rsid w:val="002C74DB"/>
    <w:rsid w:val="002D24BB"/>
    <w:rsid w:val="002D5938"/>
    <w:rsid w:val="002D64B4"/>
    <w:rsid w:val="002E0B8C"/>
    <w:rsid w:val="002E199E"/>
    <w:rsid w:val="002E568B"/>
    <w:rsid w:val="002F2512"/>
    <w:rsid w:val="002F3E9E"/>
    <w:rsid w:val="002F413F"/>
    <w:rsid w:val="00305F61"/>
    <w:rsid w:val="0031303D"/>
    <w:rsid w:val="00314CEC"/>
    <w:rsid w:val="00314ED3"/>
    <w:rsid w:val="00315EA3"/>
    <w:rsid w:val="0032089B"/>
    <w:rsid w:val="0032141A"/>
    <w:rsid w:val="0032168C"/>
    <w:rsid w:val="00322D3A"/>
    <w:rsid w:val="00323171"/>
    <w:rsid w:val="003261E6"/>
    <w:rsid w:val="00326F4A"/>
    <w:rsid w:val="0032774F"/>
    <w:rsid w:val="0033433B"/>
    <w:rsid w:val="0033580D"/>
    <w:rsid w:val="00337CDA"/>
    <w:rsid w:val="003411ED"/>
    <w:rsid w:val="003603B7"/>
    <w:rsid w:val="003662B3"/>
    <w:rsid w:val="00376B26"/>
    <w:rsid w:val="00380326"/>
    <w:rsid w:val="00381280"/>
    <w:rsid w:val="003856A4"/>
    <w:rsid w:val="0039169F"/>
    <w:rsid w:val="00392C09"/>
    <w:rsid w:val="003936E1"/>
    <w:rsid w:val="003A26DD"/>
    <w:rsid w:val="003A4BB8"/>
    <w:rsid w:val="003A5C6B"/>
    <w:rsid w:val="003B0699"/>
    <w:rsid w:val="003C3D95"/>
    <w:rsid w:val="003D3F2F"/>
    <w:rsid w:val="003E33C4"/>
    <w:rsid w:val="003E55FB"/>
    <w:rsid w:val="003F61B9"/>
    <w:rsid w:val="003F61CC"/>
    <w:rsid w:val="003F7635"/>
    <w:rsid w:val="004157BC"/>
    <w:rsid w:val="0041758D"/>
    <w:rsid w:val="004214FB"/>
    <w:rsid w:val="0042269B"/>
    <w:rsid w:val="0042497B"/>
    <w:rsid w:val="00434D72"/>
    <w:rsid w:val="0044252B"/>
    <w:rsid w:val="00442C44"/>
    <w:rsid w:val="00444898"/>
    <w:rsid w:val="00451E1F"/>
    <w:rsid w:val="004545DC"/>
    <w:rsid w:val="00462276"/>
    <w:rsid w:val="00462C24"/>
    <w:rsid w:val="00470A7B"/>
    <w:rsid w:val="004728EB"/>
    <w:rsid w:val="0048068F"/>
    <w:rsid w:val="0048522A"/>
    <w:rsid w:val="004906E3"/>
    <w:rsid w:val="00491B8A"/>
    <w:rsid w:val="004947F7"/>
    <w:rsid w:val="004A26E1"/>
    <w:rsid w:val="004A2ED7"/>
    <w:rsid w:val="004B1A78"/>
    <w:rsid w:val="004B1EFD"/>
    <w:rsid w:val="004C03A4"/>
    <w:rsid w:val="004D2AEF"/>
    <w:rsid w:val="004D7038"/>
    <w:rsid w:val="004E0A87"/>
    <w:rsid w:val="004E2513"/>
    <w:rsid w:val="004E4456"/>
    <w:rsid w:val="004E7D96"/>
    <w:rsid w:val="004F11D2"/>
    <w:rsid w:val="004F49DB"/>
    <w:rsid w:val="004F7A6C"/>
    <w:rsid w:val="00500F1D"/>
    <w:rsid w:val="00506C06"/>
    <w:rsid w:val="00507967"/>
    <w:rsid w:val="0051176E"/>
    <w:rsid w:val="00512983"/>
    <w:rsid w:val="00515857"/>
    <w:rsid w:val="00517846"/>
    <w:rsid w:val="005309EA"/>
    <w:rsid w:val="005329D6"/>
    <w:rsid w:val="00542F8E"/>
    <w:rsid w:val="00565A39"/>
    <w:rsid w:val="00574D01"/>
    <w:rsid w:val="00575363"/>
    <w:rsid w:val="00575D61"/>
    <w:rsid w:val="00592F93"/>
    <w:rsid w:val="0059381E"/>
    <w:rsid w:val="005A0AF9"/>
    <w:rsid w:val="005A4FA2"/>
    <w:rsid w:val="005B72FD"/>
    <w:rsid w:val="005C1FA3"/>
    <w:rsid w:val="005C3A1D"/>
    <w:rsid w:val="005C56C2"/>
    <w:rsid w:val="005C68EB"/>
    <w:rsid w:val="005D14E1"/>
    <w:rsid w:val="005E7B97"/>
    <w:rsid w:val="005F305B"/>
    <w:rsid w:val="005F3B1E"/>
    <w:rsid w:val="00600CB8"/>
    <w:rsid w:val="00623AC5"/>
    <w:rsid w:val="00623B27"/>
    <w:rsid w:val="0062448D"/>
    <w:rsid w:val="00624609"/>
    <w:rsid w:val="00624716"/>
    <w:rsid w:val="006311D3"/>
    <w:rsid w:val="00634DF1"/>
    <w:rsid w:val="00641252"/>
    <w:rsid w:val="00642FD4"/>
    <w:rsid w:val="00643564"/>
    <w:rsid w:val="00645B7F"/>
    <w:rsid w:val="00646264"/>
    <w:rsid w:val="006510CB"/>
    <w:rsid w:val="006535B6"/>
    <w:rsid w:val="00655A97"/>
    <w:rsid w:val="00657403"/>
    <w:rsid w:val="00664FF5"/>
    <w:rsid w:val="006668C3"/>
    <w:rsid w:val="00671C55"/>
    <w:rsid w:val="0067242A"/>
    <w:rsid w:val="006740D4"/>
    <w:rsid w:val="00675505"/>
    <w:rsid w:val="00680A6E"/>
    <w:rsid w:val="00682316"/>
    <w:rsid w:val="00683C0D"/>
    <w:rsid w:val="00684780"/>
    <w:rsid w:val="00684E91"/>
    <w:rsid w:val="00686072"/>
    <w:rsid w:val="00696BF8"/>
    <w:rsid w:val="006A3766"/>
    <w:rsid w:val="006A397D"/>
    <w:rsid w:val="006A57AE"/>
    <w:rsid w:val="006A7534"/>
    <w:rsid w:val="006B07BF"/>
    <w:rsid w:val="006C13C1"/>
    <w:rsid w:val="006D16AD"/>
    <w:rsid w:val="006D22C0"/>
    <w:rsid w:val="006D2BD7"/>
    <w:rsid w:val="006D75A9"/>
    <w:rsid w:val="006E0AA8"/>
    <w:rsid w:val="006E2878"/>
    <w:rsid w:val="006E4C3D"/>
    <w:rsid w:val="006F575B"/>
    <w:rsid w:val="007018F2"/>
    <w:rsid w:val="00704057"/>
    <w:rsid w:val="00706ABD"/>
    <w:rsid w:val="00713DD8"/>
    <w:rsid w:val="007140A6"/>
    <w:rsid w:val="007146E9"/>
    <w:rsid w:val="00714D86"/>
    <w:rsid w:val="0072242C"/>
    <w:rsid w:val="0072588E"/>
    <w:rsid w:val="00730734"/>
    <w:rsid w:val="00733108"/>
    <w:rsid w:val="00737DF8"/>
    <w:rsid w:val="00743A70"/>
    <w:rsid w:val="00747579"/>
    <w:rsid w:val="00752098"/>
    <w:rsid w:val="00763436"/>
    <w:rsid w:val="0077263E"/>
    <w:rsid w:val="007761E4"/>
    <w:rsid w:val="00780860"/>
    <w:rsid w:val="00780FCF"/>
    <w:rsid w:val="007837EB"/>
    <w:rsid w:val="00790526"/>
    <w:rsid w:val="007940A5"/>
    <w:rsid w:val="00795062"/>
    <w:rsid w:val="00796DB0"/>
    <w:rsid w:val="007A1A21"/>
    <w:rsid w:val="007A2D51"/>
    <w:rsid w:val="007A7623"/>
    <w:rsid w:val="007B086B"/>
    <w:rsid w:val="007B0D40"/>
    <w:rsid w:val="007B6541"/>
    <w:rsid w:val="007B6FE8"/>
    <w:rsid w:val="007C08F3"/>
    <w:rsid w:val="007C0E54"/>
    <w:rsid w:val="007C210C"/>
    <w:rsid w:val="007C3174"/>
    <w:rsid w:val="007D424B"/>
    <w:rsid w:val="007D68BC"/>
    <w:rsid w:val="007F51A0"/>
    <w:rsid w:val="00800C44"/>
    <w:rsid w:val="00802B83"/>
    <w:rsid w:val="00803B36"/>
    <w:rsid w:val="00810717"/>
    <w:rsid w:val="008134B6"/>
    <w:rsid w:val="00831EF9"/>
    <w:rsid w:val="00842912"/>
    <w:rsid w:val="0084641C"/>
    <w:rsid w:val="0085040E"/>
    <w:rsid w:val="00850F73"/>
    <w:rsid w:val="00852AF3"/>
    <w:rsid w:val="008531F9"/>
    <w:rsid w:val="0088376B"/>
    <w:rsid w:val="008842F1"/>
    <w:rsid w:val="0088720A"/>
    <w:rsid w:val="0089192E"/>
    <w:rsid w:val="00891E2E"/>
    <w:rsid w:val="008A0AD6"/>
    <w:rsid w:val="008A0FDA"/>
    <w:rsid w:val="008A4B48"/>
    <w:rsid w:val="008A7DFC"/>
    <w:rsid w:val="008B1642"/>
    <w:rsid w:val="008B32B7"/>
    <w:rsid w:val="008C7363"/>
    <w:rsid w:val="008D2BE1"/>
    <w:rsid w:val="008D78BC"/>
    <w:rsid w:val="008E30B6"/>
    <w:rsid w:val="008E7167"/>
    <w:rsid w:val="00900C44"/>
    <w:rsid w:val="00901A68"/>
    <w:rsid w:val="0090593D"/>
    <w:rsid w:val="009067A7"/>
    <w:rsid w:val="009161C8"/>
    <w:rsid w:val="00920D23"/>
    <w:rsid w:val="00922B98"/>
    <w:rsid w:val="00924968"/>
    <w:rsid w:val="0093638A"/>
    <w:rsid w:val="00941170"/>
    <w:rsid w:val="00945A69"/>
    <w:rsid w:val="00951650"/>
    <w:rsid w:val="00954163"/>
    <w:rsid w:val="00955B3E"/>
    <w:rsid w:val="00956B5A"/>
    <w:rsid w:val="00961C3E"/>
    <w:rsid w:val="00961F07"/>
    <w:rsid w:val="00963BE5"/>
    <w:rsid w:val="00965C19"/>
    <w:rsid w:val="00967DE7"/>
    <w:rsid w:val="00980228"/>
    <w:rsid w:val="0098671E"/>
    <w:rsid w:val="00991380"/>
    <w:rsid w:val="009928A8"/>
    <w:rsid w:val="00996541"/>
    <w:rsid w:val="009A23EC"/>
    <w:rsid w:val="009B3848"/>
    <w:rsid w:val="009B70C0"/>
    <w:rsid w:val="009C010D"/>
    <w:rsid w:val="009C3E35"/>
    <w:rsid w:val="009C416B"/>
    <w:rsid w:val="009D0F95"/>
    <w:rsid w:val="009E0F1E"/>
    <w:rsid w:val="009F0F57"/>
    <w:rsid w:val="009F26C4"/>
    <w:rsid w:val="00A148E9"/>
    <w:rsid w:val="00A2096C"/>
    <w:rsid w:val="00A2299B"/>
    <w:rsid w:val="00A22CDC"/>
    <w:rsid w:val="00A251B0"/>
    <w:rsid w:val="00A34D1C"/>
    <w:rsid w:val="00A354CA"/>
    <w:rsid w:val="00A43858"/>
    <w:rsid w:val="00A47D9B"/>
    <w:rsid w:val="00A7143D"/>
    <w:rsid w:val="00A75822"/>
    <w:rsid w:val="00A81397"/>
    <w:rsid w:val="00A83D33"/>
    <w:rsid w:val="00A85600"/>
    <w:rsid w:val="00A8610F"/>
    <w:rsid w:val="00A8653F"/>
    <w:rsid w:val="00A91AE5"/>
    <w:rsid w:val="00A93C4E"/>
    <w:rsid w:val="00A954E4"/>
    <w:rsid w:val="00A96C1C"/>
    <w:rsid w:val="00AA3401"/>
    <w:rsid w:val="00AA4029"/>
    <w:rsid w:val="00AB195A"/>
    <w:rsid w:val="00AB56AD"/>
    <w:rsid w:val="00AC11C8"/>
    <w:rsid w:val="00AC4263"/>
    <w:rsid w:val="00AC42A1"/>
    <w:rsid w:val="00AD14E2"/>
    <w:rsid w:val="00AD390C"/>
    <w:rsid w:val="00AD4F3B"/>
    <w:rsid w:val="00AD7222"/>
    <w:rsid w:val="00AD7FD9"/>
    <w:rsid w:val="00AE5795"/>
    <w:rsid w:val="00AF14FF"/>
    <w:rsid w:val="00B0417C"/>
    <w:rsid w:val="00B12B73"/>
    <w:rsid w:val="00B13045"/>
    <w:rsid w:val="00B13E8E"/>
    <w:rsid w:val="00B15BAC"/>
    <w:rsid w:val="00B163A7"/>
    <w:rsid w:val="00B24498"/>
    <w:rsid w:val="00B2455C"/>
    <w:rsid w:val="00B25BA1"/>
    <w:rsid w:val="00B25E6A"/>
    <w:rsid w:val="00B338DE"/>
    <w:rsid w:val="00B34411"/>
    <w:rsid w:val="00B350FF"/>
    <w:rsid w:val="00B35A6C"/>
    <w:rsid w:val="00B42634"/>
    <w:rsid w:val="00B43D28"/>
    <w:rsid w:val="00B43E6A"/>
    <w:rsid w:val="00B446E4"/>
    <w:rsid w:val="00B4622C"/>
    <w:rsid w:val="00B46646"/>
    <w:rsid w:val="00B47CC5"/>
    <w:rsid w:val="00B50B81"/>
    <w:rsid w:val="00B50EB2"/>
    <w:rsid w:val="00B56BA6"/>
    <w:rsid w:val="00B57B0A"/>
    <w:rsid w:val="00B70663"/>
    <w:rsid w:val="00B77AB9"/>
    <w:rsid w:val="00B82E41"/>
    <w:rsid w:val="00B878D3"/>
    <w:rsid w:val="00B90FA6"/>
    <w:rsid w:val="00B93A28"/>
    <w:rsid w:val="00B97F7D"/>
    <w:rsid w:val="00BA08DD"/>
    <w:rsid w:val="00BA167E"/>
    <w:rsid w:val="00BA1715"/>
    <w:rsid w:val="00BA306B"/>
    <w:rsid w:val="00BA6970"/>
    <w:rsid w:val="00BB7B51"/>
    <w:rsid w:val="00BC3C90"/>
    <w:rsid w:val="00BC499A"/>
    <w:rsid w:val="00BC68D2"/>
    <w:rsid w:val="00BE4ABA"/>
    <w:rsid w:val="00BF2BFE"/>
    <w:rsid w:val="00BF41B6"/>
    <w:rsid w:val="00BF6DCC"/>
    <w:rsid w:val="00BF6E56"/>
    <w:rsid w:val="00C001FC"/>
    <w:rsid w:val="00C168DB"/>
    <w:rsid w:val="00C20D4C"/>
    <w:rsid w:val="00C26B06"/>
    <w:rsid w:val="00C3139C"/>
    <w:rsid w:val="00C326C3"/>
    <w:rsid w:val="00C326E4"/>
    <w:rsid w:val="00C44B5B"/>
    <w:rsid w:val="00C47D97"/>
    <w:rsid w:val="00C513B4"/>
    <w:rsid w:val="00C57FA9"/>
    <w:rsid w:val="00C616A1"/>
    <w:rsid w:val="00C61C10"/>
    <w:rsid w:val="00C67319"/>
    <w:rsid w:val="00C6778C"/>
    <w:rsid w:val="00C72ED0"/>
    <w:rsid w:val="00C73432"/>
    <w:rsid w:val="00C75178"/>
    <w:rsid w:val="00C80C87"/>
    <w:rsid w:val="00C81E54"/>
    <w:rsid w:val="00C82782"/>
    <w:rsid w:val="00C83867"/>
    <w:rsid w:val="00C863BC"/>
    <w:rsid w:val="00C873FA"/>
    <w:rsid w:val="00C90901"/>
    <w:rsid w:val="00C93586"/>
    <w:rsid w:val="00C96E92"/>
    <w:rsid w:val="00C97781"/>
    <w:rsid w:val="00CA1B88"/>
    <w:rsid w:val="00CA2337"/>
    <w:rsid w:val="00CA5993"/>
    <w:rsid w:val="00CA63E5"/>
    <w:rsid w:val="00CA7D07"/>
    <w:rsid w:val="00CB7620"/>
    <w:rsid w:val="00CC7B5B"/>
    <w:rsid w:val="00CD6FDC"/>
    <w:rsid w:val="00CD7CD9"/>
    <w:rsid w:val="00CE3034"/>
    <w:rsid w:val="00CF71DD"/>
    <w:rsid w:val="00D11CD6"/>
    <w:rsid w:val="00D15347"/>
    <w:rsid w:val="00D17848"/>
    <w:rsid w:val="00D2672A"/>
    <w:rsid w:val="00D27D4C"/>
    <w:rsid w:val="00D30DEE"/>
    <w:rsid w:val="00D32EA9"/>
    <w:rsid w:val="00D36BB2"/>
    <w:rsid w:val="00D37053"/>
    <w:rsid w:val="00D4024D"/>
    <w:rsid w:val="00D408E3"/>
    <w:rsid w:val="00D443FC"/>
    <w:rsid w:val="00D4730B"/>
    <w:rsid w:val="00D54EDE"/>
    <w:rsid w:val="00D6356B"/>
    <w:rsid w:val="00D66A30"/>
    <w:rsid w:val="00D74719"/>
    <w:rsid w:val="00D84927"/>
    <w:rsid w:val="00D86EC1"/>
    <w:rsid w:val="00D9238E"/>
    <w:rsid w:val="00DA2792"/>
    <w:rsid w:val="00DA7E05"/>
    <w:rsid w:val="00DB4931"/>
    <w:rsid w:val="00DB6F99"/>
    <w:rsid w:val="00DC53E7"/>
    <w:rsid w:val="00DC7474"/>
    <w:rsid w:val="00DD0F6E"/>
    <w:rsid w:val="00DD2DC2"/>
    <w:rsid w:val="00DD5EB3"/>
    <w:rsid w:val="00DE1949"/>
    <w:rsid w:val="00DE2571"/>
    <w:rsid w:val="00DE2D23"/>
    <w:rsid w:val="00E2429C"/>
    <w:rsid w:val="00E2509F"/>
    <w:rsid w:val="00E35A94"/>
    <w:rsid w:val="00E36BFE"/>
    <w:rsid w:val="00E3700D"/>
    <w:rsid w:val="00E409DC"/>
    <w:rsid w:val="00E415A9"/>
    <w:rsid w:val="00E4199F"/>
    <w:rsid w:val="00E41F02"/>
    <w:rsid w:val="00E45416"/>
    <w:rsid w:val="00E6022A"/>
    <w:rsid w:val="00E60488"/>
    <w:rsid w:val="00E6405D"/>
    <w:rsid w:val="00E81EAD"/>
    <w:rsid w:val="00E82F11"/>
    <w:rsid w:val="00E85D3B"/>
    <w:rsid w:val="00E861CC"/>
    <w:rsid w:val="00E8773D"/>
    <w:rsid w:val="00E90EC6"/>
    <w:rsid w:val="00E93A0F"/>
    <w:rsid w:val="00EA1D03"/>
    <w:rsid w:val="00EA3BFF"/>
    <w:rsid w:val="00EA71B0"/>
    <w:rsid w:val="00EB2323"/>
    <w:rsid w:val="00EB25DE"/>
    <w:rsid w:val="00EB441B"/>
    <w:rsid w:val="00EB45AA"/>
    <w:rsid w:val="00EB66C8"/>
    <w:rsid w:val="00EB6F85"/>
    <w:rsid w:val="00EC0460"/>
    <w:rsid w:val="00EC579B"/>
    <w:rsid w:val="00EC5E3C"/>
    <w:rsid w:val="00EC6980"/>
    <w:rsid w:val="00EC6BC2"/>
    <w:rsid w:val="00ED19AA"/>
    <w:rsid w:val="00ED3AE4"/>
    <w:rsid w:val="00EE7CFE"/>
    <w:rsid w:val="00EF1F76"/>
    <w:rsid w:val="00EF6410"/>
    <w:rsid w:val="00F02405"/>
    <w:rsid w:val="00F14E91"/>
    <w:rsid w:val="00F209CE"/>
    <w:rsid w:val="00F235B3"/>
    <w:rsid w:val="00F25B4C"/>
    <w:rsid w:val="00F33B23"/>
    <w:rsid w:val="00F35DC6"/>
    <w:rsid w:val="00F42A9C"/>
    <w:rsid w:val="00F4417E"/>
    <w:rsid w:val="00F52483"/>
    <w:rsid w:val="00F52CBD"/>
    <w:rsid w:val="00F53C1D"/>
    <w:rsid w:val="00F57A4A"/>
    <w:rsid w:val="00F61134"/>
    <w:rsid w:val="00F61524"/>
    <w:rsid w:val="00F650A3"/>
    <w:rsid w:val="00F66E67"/>
    <w:rsid w:val="00F67D92"/>
    <w:rsid w:val="00F903DD"/>
    <w:rsid w:val="00F920FB"/>
    <w:rsid w:val="00F93BB8"/>
    <w:rsid w:val="00F96D87"/>
    <w:rsid w:val="00FA422A"/>
    <w:rsid w:val="00FA6381"/>
    <w:rsid w:val="00FA7030"/>
    <w:rsid w:val="00FB1315"/>
    <w:rsid w:val="00FB7657"/>
    <w:rsid w:val="00FD263F"/>
    <w:rsid w:val="00FD466C"/>
    <w:rsid w:val="00FD7B79"/>
    <w:rsid w:val="00FE13A9"/>
    <w:rsid w:val="00FF1F1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04B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6A4"/>
    <w:rPr>
      <w:rFonts w:ascii="Times New Roman" w:eastAsia="Times New Roman" w:hAnsi="Times New Roman"/>
      <w:sz w:val="24"/>
      <w:szCs w:val="20"/>
      <w:lang w:val="en-AU" w:eastAsia="en-AU"/>
    </w:rPr>
  </w:style>
  <w:style w:type="paragraph" w:styleId="Heading1">
    <w:name w:val="heading 1"/>
    <w:basedOn w:val="Normal"/>
    <w:next w:val="Normal"/>
    <w:link w:val="Heading1Char"/>
    <w:uiPriority w:val="99"/>
    <w:qFormat/>
    <w:rsid w:val="003856A4"/>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56A4"/>
    <w:rPr>
      <w:rFonts w:ascii="Times New Roman" w:hAnsi="Times New Roman" w:cs="Times New Roman"/>
      <w:b/>
      <w:sz w:val="20"/>
      <w:szCs w:val="20"/>
      <w:lang w:eastAsia="en-AU"/>
    </w:rPr>
  </w:style>
  <w:style w:type="paragraph" w:styleId="Title">
    <w:name w:val="Title"/>
    <w:basedOn w:val="Normal"/>
    <w:link w:val="TitleChar"/>
    <w:uiPriority w:val="99"/>
    <w:qFormat/>
    <w:rsid w:val="003856A4"/>
    <w:pPr>
      <w:jc w:val="center"/>
    </w:pPr>
    <w:rPr>
      <w:b/>
      <w:u w:val="single"/>
    </w:rPr>
  </w:style>
  <w:style w:type="character" w:customStyle="1" w:styleId="TitleChar">
    <w:name w:val="Title Char"/>
    <w:basedOn w:val="DefaultParagraphFont"/>
    <w:link w:val="Title"/>
    <w:uiPriority w:val="99"/>
    <w:locked/>
    <w:rsid w:val="003856A4"/>
    <w:rPr>
      <w:rFonts w:ascii="Times New Roman" w:hAnsi="Times New Roman" w:cs="Times New Roman"/>
      <w:b/>
      <w:sz w:val="20"/>
      <w:szCs w:val="20"/>
      <w:u w:val="single"/>
      <w:lang w:eastAsia="en-AU"/>
    </w:rPr>
  </w:style>
  <w:style w:type="character" w:styleId="CommentReference">
    <w:name w:val="annotation reference"/>
    <w:basedOn w:val="DefaultParagraphFont"/>
    <w:uiPriority w:val="99"/>
    <w:semiHidden/>
    <w:rsid w:val="003856A4"/>
    <w:rPr>
      <w:rFonts w:cs="Times New Roman"/>
      <w:sz w:val="16"/>
    </w:rPr>
  </w:style>
  <w:style w:type="paragraph" w:styleId="CommentText">
    <w:name w:val="annotation text"/>
    <w:basedOn w:val="Normal"/>
    <w:link w:val="CommentTextChar"/>
    <w:uiPriority w:val="99"/>
    <w:semiHidden/>
    <w:rsid w:val="003856A4"/>
    <w:rPr>
      <w:sz w:val="20"/>
    </w:rPr>
  </w:style>
  <w:style w:type="character" w:customStyle="1" w:styleId="CommentTextChar">
    <w:name w:val="Comment Text Char"/>
    <w:basedOn w:val="DefaultParagraphFont"/>
    <w:link w:val="CommentText"/>
    <w:uiPriority w:val="99"/>
    <w:semiHidden/>
    <w:locked/>
    <w:rsid w:val="003856A4"/>
    <w:rPr>
      <w:rFonts w:ascii="Times New Roman" w:hAnsi="Times New Roman" w:cs="Times New Roman"/>
      <w:sz w:val="20"/>
      <w:szCs w:val="20"/>
      <w:lang w:eastAsia="en-AU"/>
    </w:rPr>
  </w:style>
  <w:style w:type="paragraph" w:styleId="BodyText2">
    <w:name w:val="Body Text 2"/>
    <w:basedOn w:val="Normal"/>
    <w:link w:val="BodyText2Char"/>
    <w:uiPriority w:val="99"/>
    <w:rsid w:val="003856A4"/>
    <w:rPr>
      <w:color w:val="0000FF"/>
    </w:rPr>
  </w:style>
  <w:style w:type="character" w:customStyle="1" w:styleId="BodyText2Char">
    <w:name w:val="Body Text 2 Char"/>
    <w:basedOn w:val="DefaultParagraphFont"/>
    <w:link w:val="BodyText2"/>
    <w:uiPriority w:val="99"/>
    <w:locked/>
    <w:rsid w:val="003856A4"/>
    <w:rPr>
      <w:rFonts w:ascii="Times New Roman" w:hAnsi="Times New Roman" w:cs="Times New Roman"/>
      <w:color w:val="0000FF"/>
      <w:sz w:val="20"/>
      <w:szCs w:val="20"/>
      <w:lang w:eastAsia="en-AU"/>
    </w:rPr>
  </w:style>
  <w:style w:type="paragraph" w:styleId="BalloonText">
    <w:name w:val="Balloon Text"/>
    <w:basedOn w:val="Normal"/>
    <w:link w:val="BalloonTextChar"/>
    <w:uiPriority w:val="99"/>
    <w:semiHidden/>
    <w:rsid w:val="003856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56A4"/>
    <w:rPr>
      <w:rFonts w:ascii="Tahoma" w:hAnsi="Tahoma" w:cs="Tahoma"/>
      <w:sz w:val="16"/>
      <w:szCs w:val="16"/>
      <w:lang w:eastAsia="en-AU"/>
    </w:rPr>
  </w:style>
  <w:style w:type="paragraph" w:styleId="CommentSubject">
    <w:name w:val="annotation subject"/>
    <w:basedOn w:val="CommentText"/>
    <w:next w:val="CommentText"/>
    <w:link w:val="CommentSubjectChar"/>
    <w:uiPriority w:val="99"/>
    <w:semiHidden/>
    <w:rsid w:val="002F3E9E"/>
    <w:rPr>
      <w:b/>
      <w:bCs/>
    </w:rPr>
  </w:style>
  <w:style w:type="character" w:customStyle="1" w:styleId="CommentSubjectChar">
    <w:name w:val="Comment Subject Char"/>
    <w:basedOn w:val="CommentTextChar"/>
    <w:link w:val="CommentSubject"/>
    <w:uiPriority w:val="99"/>
    <w:semiHidden/>
    <w:locked/>
    <w:rsid w:val="002F3E9E"/>
    <w:rPr>
      <w:rFonts w:ascii="Times New Roman" w:hAnsi="Times New Roman" w:cs="Times New Roman"/>
      <w:b/>
      <w:bCs/>
      <w:sz w:val="20"/>
      <w:szCs w:val="20"/>
      <w:lang w:eastAsia="en-AU"/>
    </w:rPr>
  </w:style>
  <w:style w:type="paragraph" w:styleId="Header">
    <w:name w:val="header"/>
    <w:basedOn w:val="Normal"/>
    <w:link w:val="HeaderChar"/>
    <w:uiPriority w:val="99"/>
    <w:rsid w:val="00A2299B"/>
    <w:pPr>
      <w:tabs>
        <w:tab w:val="center" w:pos="4513"/>
        <w:tab w:val="right" w:pos="9026"/>
      </w:tabs>
    </w:pPr>
  </w:style>
  <w:style w:type="character" w:customStyle="1" w:styleId="HeaderChar">
    <w:name w:val="Header Char"/>
    <w:basedOn w:val="DefaultParagraphFont"/>
    <w:link w:val="Header"/>
    <w:uiPriority w:val="99"/>
    <w:locked/>
    <w:rsid w:val="00A2299B"/>
    <w:rPr>
      <w:rFonts w:ascii="Times New Roman" w:hAnsi="Times New Roman" w:cs="Times New Roman"/>
      <w:sz w:val="20"/>
      <w:szCs w:val="20"/>
      <w:lang w:eastAsia="en-AU"/>
    </w:rPr>
  </w:style>
  <w:style w:type="paragraph" w:styleId="Footer">
    <w:name w:val="footer"/>
    <w:basedOn w:val="Normal"/>
    <w:link w:val="FooterChar"/>
    <w:uiPriority w:val="99"/>
    <w:rsid w:val="00A2299B"/>
    <w:pPr>
      <w:tabs>
        <w:tab w:val="center" w:pos="4513"/>
        <w:tab w:val="right" w:pos="9026"/>
      </w:tabs>
    </w:pPr>
  </w:style>
  <w:style w:type="character" w:customStyle="1" w:styleId="FooterChar">
    <w:name w:val="Footer Char"/>
    <w:basedOn w:val="DefaultParagraphFont"/>
    <w:link w:val="Footer"/>
    <w:uiPriority w:val="99"/>
    <w:locked/>
    <w:rsid w:val="00A2299B"/>
    <w:rPr>
      <w:rFonts w:ascii="Times New Roman" w:hAnsi="Times New Roman" w:cs="Times New Roman"/>
      <w:sz w:val="20"/>
      <w:szCs w:val="20"/>
      <w:lang w:eastAsia="en-AU"/>
    </w:rPr>
  </w:style>
  <w:style w:type="character" w:styleId="Hyperlink">
    <w:name w:val="Hyperlink"/>
    <w:basedOn w:val="DefaultParagraphFont"/>
    <w:uiPriority w:val="99"/>
    <w:semiHidden/>
    <w:rsid w:val="008A0AD6"/>
    <w:rPr>
      <w:rFonts w:cs="Times New Roman"/>
      <w:color w:val="0000FF"/>
      <w:u w:val="single"/>
    </w:rPr>
  </w:style>
  <w:style w:type="paragraph" w:styleId="ListParagraph">
    <w:name w:val="List Paragraph"/>
    <w:basedOn w:val="Normal"/>
    <w:uiPriority w:val="34"/>
    <w:qFormat/>
    <w:rsid w:val="00EF1F76"/>
    <w:pPr>
      <w:ind w:left="720"/>
      <w:contextualSpacing/>
    </w:pPr>
  </w:style>
  <w:style w:type="paragraph" w:styleId="NormalWeb">
    <w:name w:val="Normal (Web)"/>
    <w:basedOn w:val="Normal"/>
    <w:uiPriority w:val="99"/>
    <w:semiHidden/>
    <w:unhideWhenUsed/>
    <w:rsid w:val="0042497B"/>
    <w:pPr>
      <w:spacing w:before="240" w:after="240"/>
    </w:pPr>
    <w:rPr>
      <w:szCs w:val="24"/>
    </w:rPr>
  </w:style>
  <w:style w:type="character" w:styleId="FollowedHyperlink">
    <w:name w:val="FollowedHyperlink"/>
    <w:basedOn w:val="DefaultParagraphFont"/>
    <w:uiPriority w:val="99"/>
    <w:semiHidden/>
    <w:unhideWhenUsed/>
    <w:rsid w:val="00680A6E"/>
    <w:rPr>
      <w:color w:val="800080" w:themeColor="followedHyperlink"/>
      <w:u w:val="single"/>
    </w:rPr>
  </w:style>
  <w:style w:type="paragraph" w:customStyle="1" w:styleId="paragraph">
    <w:name w:val="paragraph"/>
    <w:aliases w:val="a"/>
    <w:basedOn w:val="Normal"/>
    <w:rsid w:val="00B56BA6"/>
    <w:pPr>
      <w:tabs>
        <w:tab w:val="right" w:pos="1531"/>
      </w:tabs>
      <w:spacing w:before="40"/>
      <w:ind w:left="1644" w:hanging="1644"/>
    </w:pPr>
    <w:rPr>
      <w:sz w:val="22"/>
    </w:rPr>
  </w:style>
  <w:style w:type="paragraph" w:styleId="Revision">
    <w:name w:val="Revision"/>
    <w:hidden/>
    <w:uiPriority w:val="99"/>
    <w:semiHidden/>
    <w:rsid w:val="00DA2792"/>
    <w:rPr>
      <w:rFonts w:ascii="Times New Roman" w:eastAsia="Times New Roman" w:hAnsi="Times New Roman"/>
      <w:sz w:val="24"/>
      <w:szCs w:val="20"/>
      <w:lang w:val="en-AU" w:eastAsia="en-AU"/>
    </w:rPr>
  </w:style>
  <w:style w:type="paragraph" w:styleId="FootnoteText">
    <w:name w:val="footnote text"/>
    <w:basedOn w:val="Normal"/>
    <w:link w:val="FootnoteTextChar"/>
    <w:uiPriority w:val="99"/>
    <w:semiHidden/>
    <w:unhideWhenUsed/>
    <w:rsid w:val="003603B7"/>
    <w:rPr>
      <w:sz w:val="20"/>
    </w:rPr>
  </w:style>
  <w:style w:type="character" w:customStyle="1" w:styleId="FootnoteTextChar">
    <w:name w:val="Footnote Text Char"/>
    <w:basedOn w:val="DefaultParagraphFont"/>
    <w:link w:val="FootnoteText"/>
    <w:uiPriority w:val="99"/>
    <w:semiHidden/>
    <w:rsid w:val="003603B7"/>
    <w:rPr>
      <w:rFonts w:ascii="Times New Roman" w:eastAsia="Times New Roman" w:hAnsi="Times New Roman"/>
      <w:sz w:val="20"/>
      <w:szCs w:val="20"/>
      <w:lang w:val="en-AU" w:eastAsia="en-AU"/>
    </w:rPr>
  </w:style>
  <w:style w:type="character" w:styleId="FootnoteReference">
    <w:name w:val="footnote reference"/>
    <w:basedOn w:val="DefaultParagraphFont"/>
    <w:uiPriority w:val="99"/>
    <w:semiHidden/>
    <w:unhideWhenUsed/>
    <w:rsid w:val="003603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6A4"/>
    <w:rPr>
      <w:rFonts w:ascii="Times New Roman" w:eastAsia="Times New Roman" w:hAnsi="Times New Roman"/>
      <w:sz w:val="24"/>
      <w:szCs w:val="20"/>
      <w:lang w:val="en-AU" w:eastAsia="en-AU"/>
    </w:rPr>
  </w:style>
  <w:style w:type="paragraph" w:styleId="Heading1">
    <w:name w:val="heading 1"/>
    <w:basedOn w:val="Normal"/>
    <w:next w:val="Normal"/>
    <w:link w:val="Heading1Char"/>
    <w:uiPriority w:val="99"/>
    <w:qFormat/>
    <w:rsid w:val="003856A4"/>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56A4"/>
    <w:rPr>
      <w:rFonts w:ascii="Times New Roman" w:hAnsi="Times New Roman" w:cs="Times New Roman"/>
      <w:b/>
      <w:sz w:val="20"/>
      <w:szCs w:val="20"/>
      <w:lang w:eastAsia="en-AU"/>
    </w:rPr>
  </w:style>
  <w:style w:type="paragraph" w:styleId="Title">
    <w:name w:val="Title"/>
    <w:basedOn w:val="Normal"/>
    <w:link w:val="TitleChar"/>
    <w:uiPriority w:val="99"/>
    <w:qFormat/>
    <w:rsid w:val="003856A4"/>
    <w:pPr>
      <w:jc w:val="center"/>
    </w:pPr>
    <w:rPr>
      <w:b/>
      <w:u w:val="single"/>
    </w:rPr>
  </w:style>
  <w:style w:type="character" w:customStyle="1" w:styleId="TitleChar">
    <w:name w:val="Title Char"/>
    <w:basedOn w:val="DefaultParagraphFont"/>
    <w:link w:val="Title"/>
    <w:uiPriority w:val="99"/>
    <w:locked/>
    <w:rsid w:val="003856A4"/>
    <w:rPr>
      <w:rFonts w:ascii="Times New Roman" w:hAnsi="Times New Roman" w:cs="Times New Roman"/>
      <w:b/>
      <w:sz w:val="20"/>
      <w:szCs w:val="20"/>
      <w:u w:val="single"/>
      <w:lang w:eastAsia="en-AU"/>
    </w:rPr>
  </w:style>
  <w:style w:type="character" w:styleId="CommentReference">
    <w:name w:val="annotation reference"/>
    <w:basedOn w:val="DefaultParagraphFont"/>
    <w:uiPriority w:val="99"/>
    <w:semiHidden/>
    <w:rsid w:val="003856A4"/>
    <w:rPr>
      <w:rFonts w:cs="Times New Roman"/>
      <w:sz w:val="16"/>
    </w:rPr>
  </w:style>
  <w:style w:type="paragraph" w:styleId="CommentText">
    <w:name w:val="annotation text"/>
    <w:basedOn w:val="Normal"/>
    <w:link w:val="CommentTextChar"/>
    <w:uiPriority w:val="99"/>
    <w:semiHidden/>
    <w:rsid w:val="003856A4"/>
    <w:rPr>
      <w:sz w:val="20"/>
    </w:rPr>
  </w:style>
  <w:style w:type="character" w:customStyle="1" w:styleId="CommentTextChar">
    <w:name w:val="Comment Text Char"/>
    <w:basedOn w:val="DefaultParagraphFont"/>
    <w:link w:val="CommentText"/>
    <w:uiPriority w:val="99"/>
    <w:semiHidden/>
    <w:locked/>
    <w:rsid w:val="003856A4"/>
    <w:rPr>
      <w:rFonts w:ascii="Times New Roman" w:hAnsi="Times New Roman" w:cs="Times New Roman"/>
      <w:sz w:val="20"/>
      <w:szCs w:val="20"/>
      <w:lang w:eastAsia="en-AU"/>
    </w:rPr>
  </w:style>
  <w:style w:type="paragraph" w:styleId="BodyText2">
    <w:name w:val="Body Text 2"/>
    <w:basedOn w:val="Normal"/>
    <w:link w:val="BodyText2Char"/>
    <w:uiPriority w:val="99"/>
    <w:rsid w:val="003856A4"/>
    <w:rPr>
      <w:color w:val="0000FF"/>
    </w:rPr>
  </w:style>
  <w:style w:type="character" w:customStyle="1" w:styleId="BodyText2Char">
    <w:name w:val="Body Text 2 Char"/>
    <w:basedOn w:val="DefaultParagraphFont"/>
    <w:link w:val="BodyText2"/>
    <w:uiPriority w:val="99"/>
    <w:locked/>
    <w:rsid w:val="003856A4"/>
    <w:rPr>
      <w:rFonts w:ascii="Times New Roman" w:hAnsi="Times New Roman" w:cs="Times New Roman"/>
      <w:color w:val="0000FF"/>
      <w:sz w:val="20"/>
      <w:szCs w:val="20"/>
      <w:lang w:eastAsia="en-AU"/>
    </w:rPr>
  </w:style>
  <w:style w:type="paragraph" w:styleId="BalloonText">
    <w:name w:val="Balloon Text"/>
    <w:basedOn w:val="Normal"/>
    <w:link w:val="BalloonTextChar"/>
    <w:uiPriority w:val="99"/>
    <w:semiHidden/>
    <w:rsid w:val="003856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56A4"/>
    <w:rPr>
      <w:rFonts w:ascii="Tahoma" w:hAnsi="Tahoma" w:cs="Tahoma"/>
      <w:sz w:val="16"/>
      <w:szCs w:val="16"/>
      <w:lang w:eastAsia="en-AU"/>
    </w:rPr>
  </w:style>
  <w:style w:type="paragraph" w:styleId="CommentSubject">
    <w:name w:val="annotation subject"/>
    <w:basedOn w:val="CommentText"/>
    <w:next w:val="CommentText"/>
    <w:link w:val="CommentSubjectChar"/>
    <w:uiPriority w:val="99"/>
    <w:semiHidden/>
    <w:rsid w:val="002F3E9E"/>
    <w:rPr>
      <w:b/>
      <w:bCs/>
    </w:rPr>
  </w:style>
  <w:style w:type="character" w:customStyle="1" w:styleId="CommentSubjectChar">
    <w:name w:val="Comment Subject Char"/>
    <w:basedOn w:val="CommentTextChar"/>
    <w:link w:val="CommentSubject"/>
    <w:uiPriority w:val="99"/>
    <w:semiHidden/>
    <w:locked/>
    <w:rsid w:val="002F3E9E"/>
    <w:rPr>
      <w:rFonts w:ascii="Times New Roman" w:hAnsi="Times New Roman" w:cs="Times New Roman"/>
      <w:b/>
      <w:bCs/>
      <w:sz w:val="20"/>
      <w:szCs w:val="20"/>
      <w:lang w:eastAsia="en-AU"/>
    </w:rPr>
  </w:style>
  <w:style w:type="paragraph" w:styleId="Header">
    <w:name w:val="header"/>
    <w:basedOn w:val="Normal"/>
    <w:link w:val="HeaderChar"/>
    <w:uiPriority w:val="99"/>
    <w:rsid w:val="00A2299B"/>
    <w:pPr>
      <w:tabs>
        <w:tab w:val="center" w:pos="4513"/>
        <w:tab w:val="right" w:pos="9026"/>
      </w:tabs>
    </w:pPr>
  </w:style>
  <w:style w:type="character" w:customStyle="1" w:styleId="HeaderChar">
    <w:name w:val="Header Char"/>
    <w:basedOn w:val="DefaultParagraphFont"/>
    <w:link w:val="Header"/>
    <w:uiPriority w:val="99"/>
    <w:locked/>
    <w:rsid w:val="00A2299B"/>
    <w:rPr>
      <w:rFonts w:ascii="Times New Roman" w:hAnsi="Times New Roman" w:cs="Times New Roman"/>
      <w:sz w:val="20"/>
      <w:szCs w:val="20"/>
      <w:lang w:eastAsia="en-AU"/>
    </w:rPr>
  </w:style>
  <w:style w:type="paragraph" w:styleId="Footer">
    <w:name w:val="footer"/>
    <w:basedOn w:val="Normal"/>
    <w:link w:val="FooterChar"/>
    <w:uiPriority w:val="99"/>
    <w:rsid w:val="00A2299B"/>
    <w:pPr>
      <w:tabs>
        <w:tab w:val="center" w:pos="4513"/>
        <w:tab w:val="right" w:pos="9026"/>
      </w:tabs>
    </w:pPr>
  </w:style>
  <w:style w:type="character" w:customStyle="1" w:styleId="FooterChar">
    <w:name w:val="Footer Char"/>
    <w:basedOn w:val="DefaultParagraphFont"/>
    <w:link w:val="Footer"/>
    <w:uiPriority w:val="99"/>
    <w:locked/>
    <w:rsid w:val="00A2299B"/>
    <w:rPr>
      <w:rFonts w:ascii="Times New Roman" w:hAnsi="Times New Roman" w:cs="Times New Roman"/>
      <w:sz w:val="20"/>
      <w:szCs w:val="20"/>
      <w:lang w:eastAsia="en-AU"/>
    </w:rPr>
  </w:style>
  <w:style w:type="character" w:styleId="Hyperlink">
    <w:name w:val="Hyperlink"/>
    <w:basedOn w:val="DefaultParagraphFont"/>
    <w:uiPriority w:val="99"/>
    <w:semiHidden/>
    <w:rsid w:val="008A0AD6"/>
    <w:rPr>
      <w:rFonts w:cs="Times New Roman"/>
      <w:color w:val="0000FF"/>
      <w:u w:val="single"/>
    </w:rPr>
  </w:style>
  <w:style w:type="paragraph" w:styleId="ListParagraph">
    <w:name w:val="List Paragraph"/>
    <w:basedOn w:val="Normal"/>
    <w:uiPriority w:val="34"/>
    <w:qFormat/>
    <w:rsid w:val="00EF1F76"/>
    <w:pPr>
      <w:ind w:left="720"/>
      <w:contextualSpacing/>
    </w:pPr>
  </w:style>
  <w:style w:type="paragraph" w:styleId="NormalWeb">
    <w:name w:val="Normal (Web)"/>
    <w:basedOn w:val="Normal"/>
    <w:uiPriority w:val="99"/>
    <w:semiHidden/>
    <w:unhideWhenUsed/>
    <w:rsid w:val="0042497B"/>
    <w:pPr>
      <w:spacing w:before="240" w:after="240"/>
    </w:pPr>
    <w:rPr>
      <w:szCs w:val="24"/>
    </w:rPr>
  </w:style>
  <w:style w:type="character" w:styleId="FollowedHyperlink">
    <w:name w:val="FollowedHyperlink"/>
    <w:basedOn w:val="DefaultParagraphFont"/>
    <w:uiPriority w:val="99"/>
    <w:semiHidden/>
    <w:unhideWhenUsed/>
    <w:rsid w:val="00680A6E"/>
    <w:rPr>
      <w:color w:val="800080" w:themeColor="followedHyperlink"/>
      <w:u w:val="single"/>
    </w:rPr>
  </w:style>
  <w:style w:type="paragraph" w:customStyle="1" w:styleId="paragraph">
    <w:name w:val="paragraph"/>
    <w:aliases w:val="a"/>
    <w:basedOn w:val="Normal"/>
    <w:rsid w:val="00B56BA6"/>
    <w:pPr>
      <w:tabs>
        <w:tab w:val="right" w:pos="1531"/>
      </w:tabs>
      <w:spacing w:before="40"/>
      <w:ind w:left="1644" w:hanging="1644"/>
    </w:pPr>
    <w:rPr>
      <w:sz w:val="22"/>
    </w:rPr>
  </w:style>
  <w:style w:type="paragraph" w:styleId="Revision">
    <w:name w:val="Revision"/>
    <w:hidden/>
    <w:uiPriority w:val="99"/>
    <w:semiHidden/>
    <w:rsid w:val="00DA2792"/>
    <w:rPr>
      <w:rFonts w:ascii="Times New Roman" w:eastAsia="Times New Roman" w:hAnsi="Times New Roman"/>
      <w:sz w:val="24"/>
      <w:szCs w:val="20"/>
      <w:lang w:val="en-AU" w:eastAsia="en-AU"/>
    </w:rPr>
  </w:style>
  <w:style w:type="paragraph" w:styleId="FootnoteText">
    <w:name w:val="footnote text"/>
    <w:basedOn w:val="Normal"/>
    <w:link w:val="FootnoteTextChar"/>
    <w:uiPriority w:val="99"/>
    <w:semiHidden/>
    <w:unhideWhenUsed/>
    <w:rsid w:val="003603B7"/>
    <w:rPr>
      <w:sz w:val="20"/>
    </w:rPr>
  </w:style>
  <w:style w:type="character" w:customStyle="1" w:styleId="FootnoteTextChar">
    <w:name w:val="Footnote Text Char"/>
    <w:basedOn w:val="DefaultParagraphFont"/>
    <w:link w:val="FootnoteText"/>
    <w:uiPriority w:val="99"/>
    <w:semiHidden/>
    <w:rsid w:val="003603B7"/>
    <w:rPr>
      <w:rFonts w:ascii="Times New Roman" w:eastAsia="Times New Roman" w:hAnsi="Times New Roman"/>
      <w:sz w:val="20"/>
      <w:szCs w:val="20"/>
      <w:lang w:val="en-AU" w:eastAsia="en-AU"/>
    </w:rPr>
  </w:style>
  <w:style w:type="character" w:styleId="FootnoteReference">
    <w:name w:val="footnote reference"/>
    <w:basedOn w:val="DefaultParagraphFont"/>
    <w:uiPriority w:val="99"/>
    <w:semiHidden/>
    <w:unhideWhenUsed/>
    <w:rsid w:val="003603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973195">
      <w:bodyDiv w:val="1"/>
      <w:marLeft w:val="0"/>
      <w:marRight w:val="0"/>
      <w:marTop w:val="0"/>
      <w:marBottom w:val="0"/>
      <w:divBdr>
        <w:top w:val="none" w:sz="0" w:space="0" w:color="auto"/>
        <w:left w:val="none" w:sz="0" w:space="0" w:color="auto"/>
        <w:bottom w:val="none" w:sz="0" w:space="0" w:color="auto"/>
        <w:right w:val="none" w:sz="0" w:space="0" w:color="auto"/>
      </w:divBdr>
    </w:div>
    <w:div w:id="559706639">
      <w:bodyDiv w:val="1"/>
      <w:marLeft w:val="0"/>
      <w:marRight w:val="0"/>
      <w:marTop w:val="0"/>
      <w:marBottom w:val="0"/>
      <w:divBdr>
        <w:top w:val="none" w:sz="0" w:space="0" w:color="auto"/>
        <w:left w:val="none" w:sz="0" w:space="0" w:color="auto"/>
        <w:bottom w:val="none" w:sz="0" w:space="0" w:color="auto"/>
        <w:right w:val="none" w:sz="0" w:space="0" w:color="auto"/>
      </w:divBdr>
      <w:divsChild>
        <w:div w:id="1949923287">
          <w:marLeft w:val="0"/>
          <w:marRight w:val="0"/>
          <w:marTop w:val="0"/>
          <w:marBottom w:val="0"/>
          <w:divBdr>
            <w:top w:val="none" w:sz="0" w:space="0" w:color="auto"/>
            <w:left w:val="none" w:sz="0" w:space="0" w:color="auto"/>
            <w:bottom w:val="none" w:sz="0" w:space="0" w:color="auto"/>
            <w:right w:val="none" w:sz="0" w:space="0" w:color="auto"/>
          </w:divBdr>
          <w:divsChild>
            <w:div w:id="1443301570">
              <w:marLeft w:val="0"/>
              <w:marRight w:val="0"/>
              <w:marTop w:val="0"/>
              <w:marBottom w:val="0"/>
              <w:divBdr>
                <w:top w:val="none" w:sz="0" w:space="0" w:color="auto"/>
                <w:left w:val="none" w:sz="0" w:space="0" w:color="auto"/>
                <w:bottom w:val="none" w:sz="0" w:space="0" w:color="auto"/>
                <w:right w:val="none" w:sz="0" w:space="0" w:color="auto"/>
              </w:divBdr>
              <w:divsChild>
                <w:div w:id="1302491883">
                  <w:marLeft w:val="0"/>
                  <w:marRight w:val="0"/>
                  <w:marTop w:val="0"/>
                  <w:marBottom w:val="0"/>
                  <w:divBdr>
                    <w:top w:val="none" w:sz="0" w:space="0" w:color="auto"/>
                    <w:left w:val="none" w:sz="0" w:space="0" w:color="auto"/>
                    <w:bottom w:val="none" w:sz="0" w:space="0" w:color="auto"/>
                    <w:right w:val="none" w:sz="0" w:space="0" w:color="auto"/>
                  </w:divBdr>
                  <w:divsChild>
                    <w:div w:id="1155217137">
                      <w:marLeft w:val="0"/>
                      <w:marRight w:val="0"/>
                      <w:marTop w:val="0"/>
                      <w:marBottom w:val="0"/>
                      <w:divBdr>
                        <w:top w:val="none" w:sz="0" w:space="0" w:color="auto"/>
                        <w:left w:val="none" w:sz="0" w:space="0" w:color="auto"/>
                        <w:bottom w:val="none" w:sz="0" w:space="0" w:color="auto"/>
                        <w:right w:val="none" w:sz="0" w:space="0" w:color="auto"/>
                      </w:divBdr>
                      <w:divsChild>
                        <w:div w:id="1782534792">
                          <w:marLeft w:val="0"/>
                          <w:marRight w:val="0"/>
                          <w:marTop w:val="0"/>
                          <w:marBottom w:val="0"/>
                          <w:divBdr>
                            <w:top w:val="none" w:sz="0" w:space="0" w:color="auto"/>
                            <w:left w:val="none" w:sz="0" w:space="0" w:color="auto"/>
                            <w:bottom w:val="none" w:sz="0" w:space="0" w:color="auto"/>
                            <w:right w:val="none" w:sz="0" w:space="0" w:color="auto"/>
                          </w:divBdr>
                          <w:divsChild>
                            <w:div w:id="750271041">
                              <w:marLeft w:val="0"/>
                              <w:marRight w:val="0"/>
                              <w:marTop w:val="0"/>
                              <w:marBottom w:val="0"/>
                              <w:divBdr>
                                <w:top w:val="none" w:sz="0" w:space="0" w:color="auto"/>
                                <w:left w:val="none" w:sz="0" w:space="0" w:color="auto"/>
                                <w:bottom w:val="none" w:sz="0" w:space="0" w:color="auto"/>
                                <w:right w:val="none" w:sz="0" w:space="0" w:color="auto"/>
                              </w:divBdr>
                              <w:divsChild>
                                <w:div w:id="102117454">
                                  <w:marLeft w:val="0"/>
                                  <w:marRight w:val="0"/>
                                  <w:marTop w:val="0"/>
                                  <w:marBottom w:val="0"/>
                                  <w:divBdr>
                                    <w:top w:val="none" w:sz="0" w:space="0" w:color="auto"/>
                                    <w:left w:val="none" w:sz="0" w:space="0" w:color="auto"/>
                                    <w:bottom w:val="none" w:sz="0" w:space="0" w:color="auto"/>
                                    <w:right w:val="none" w:sz="0" w:space="0" w:color="auto"/>
                                  </w:divBdr>
                                  <w:divsChild>
                                    <w:div w:id="1880121087">
                                      <w:marLeft w:val="0"/>
                                      <w:marRight w:val="0"/>
                                      <w:marTop w:val="0"/>
                                      <w:marBottom w:val="0"/>
                                      <w:divBdr>
                                        <w:top w:val="none" w:sz="0" w:space="0" w:color="auto"/>
                                        <w:left w:val="none" w:sz="0" w:space="0" w:color="auto"/>
                                        <w:bottom w:val="none" w:sz="0" w:space="0" w:color="auto"/>
                                        <w:right w:val="none" w:sz="0" w:space="0" w:color="auto"/>
                                      </w:divBdr>
                                      <w:divsChild>
                                        <w:div w:id="115063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077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6558F-4EDB-4A1E-B378-663ACC7D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1842</Words>
  <Characters>10500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TGA</Company>
  <LinksUpToDate>false</LinksUpToDate>
  <CharactersWithSpaces>12318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banchj</dc:creator>
  <cp:lastModifiedBy>NADINE, Tamara</cp:lastModifiedBy>
  <cp:revision>2</cp:revision>
  <cp:lastPrinted>2018-05-14T03:18:00Z</cp:lastPrinted>
  <dcterms:created xsi:type="dcterms:W3CDTF">2018-06-08T01:27:00Z</dcterms:created>
  <dcterms:modified xsi:type="dcterms:W3CDTF">2018-06-08T01:27:00Z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