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D8587" w14:textId="77777777" w:rsidR="00F109D4" w:rsidRPr="00BF3C87" w:rsidRDefault="00F109D4" w:rsidP="00647BB7">
      <w:pPr>
        <w:pStyle w:val="Heading1"/>
        <w:spacing w:after="360"/>
        <w:rPr>
          <w:rFonts w:ascii="Times New Roman" w:hAnsi="Times New Roman"/>
        </w:rPr>
      </w:pPr>
      <w:r w:rsidRPr="00BF3C87">
        <w:rPr>
          <w:rFonts w:ascii="Times New Roman" w:hAnsi="Times New Roman"/>
        </w:rPr>
        <w:t>EXPLANATORY STATEMENT</w:t>
      </w:r>
    </w:p>
    <w:p w14:paraId="12386AFB" w14:textId="18D76BFD" w:rsidR="007662C7" w:rsidRPr="006F1677" w:rsidRDefault="00F109D4" w:rsidP="003E1CE3">
      <w:pPr>
        <w:pStyle w:val="Heading2"/>
        <w:jc w:val="center"/>
      </w:pPr>
      <w:r w:rsidRPr="00BF3C87">
        <w:t xml:space="preserve">Issued by authority of the </w:t>
      </w:r>
      <w:r w:rsidR="00F07246" w:rsidRPr="00BF3C87">
        <w:t>Assistant Minister to the Treasurer</w:t>
      </w:r>
    </w:p>
    <w:p w14:paraId="196CD7FB" w14:textId="77777777" w:rsidR="00D90FD3" w:rsidRPr="00FC6132" w:rsidRDefault="00D90FD3" w:rsidP="00D90FD3">
      <w:pPr>
        <w:tabs>
          <w:tab w:val="left" w:pos="1134"/>
          <w:tab w:val="left" w:pos="1701"/>
          <w:tab w:val="right" w:pos="9072"/>
        </w:tabs>
        <w:ind w:right="91"/>
        <w:jc w:val="center"/>
        <w:rPr>
          <w:i/>
        </w:rPr>
      </w:pPr>
      <w:r w:rsidRPr="00FC6132">
        <w:rPr>
          <w:i/>
        </w:rPr>
        <w:t>Competition and Consumer Act 2010</w:t>
      </w:r>
    </w:p>
    <w:p w14:paraId="326B16CE" w14:textId="1C0D9A1C" w:rsidR="00D90FD3" w:rsidRPr="00FC6132" w:rsidRDefault="00D90FD3" w:rsidP="00B32438">
      <w:pPr>
        <w:tabs>
          <w:tab w:val="left" w:pos="1134"/>
          <w:tab w:val="left" w:pos="1701"/>
        </w:tabs>
        <w:ind w:right="-188"/>
        <w:jc w:val="center"/>
        <w:rPr>
          <w:i/>
        </w:rPr>
      </w:pPr>
      <w:r w:rsidRPr="00FC6132">
        <w:rPr>
          <w:i/>
        </w:rPr>
        <w:t>Competition and Consumer Amendment (Australian C</w:t>
      </w:r>
      <w:r w:rsidR="00B32438" w:rsidRPr="00FC6132">
        <w:rPr>
          <w:i/>
        </w:rPr>
        <w:t>onsumer Law Review) Regulations </w:t>
      </w:r>
      <w:r w:rsidRPr="00FC6132">
        <w:rPr>
          <w:i/>
        </w:rPr>
        <w:t>2018</w:t>
      </w:r>
    </w:p>
    <w:p w14:paraId="521FEA00" w14:textId="77777777" w:rsidR="00B32438" w:rsidRPr="00BF3C87" w:rsidRDefault="00B32438" w:rsidP="00FC6132">
      <w:pPr>
        <w:spacing w:before="0" w:after="240"/>
        <w:rPr>
          <w:szCs w:val="24"/>
        </w:rPr>
      </w:pPr>
      <w:r w:rsidRPr="00BF3C87">
        <w:t xml:space="preserve">The </w:t>
      </w:r>
      <w:r w:rsidRPr="00BF3C87">
        <w:rPr>
          <w:i/>
        </w:rPr>
        <w:t>Competition and Consumer Act 2010</w:t>
      </w:r>
      <w:r w:rsidRPr="006F1677">
        <w:t xml:space="preserve"> (the Act) </w:t>
      </w:r>
      <w:r w:rsidRPr="006F1677">
        <w:rPr>
          <w:bCs/>
          <w:szCs w:val="24"/>
          <w:shd w:val="clear" w:color="auto" w:fill="FFFFFF"/>
        </w:rPr>
        <w:t>relates to competition, fair trading and consumer protection.</w:t>
      </w:r>
    </w:p>
    <w:p w14:paraId="51569F4C" w14:textId="25EB4C62" w:rsidR="00D90FD3" w:rsidRPr="00FC6132" w:rsidRDefault="00D90FD3" w:rsidP="00FC6132">
      <w:pPr>
        <w:spacing w:before="0" w:after="240"/>
      </w:pPr>
      <w:r w:rsidRPr="00FC6132">
        <w:t xml:space="preserve">Section 172 of the Act provides that the Governor-General may make regulations prescribing matters required or permitted by the Act to be prescribed, or necessary or convenient to be prescribed for carrying out or giving effect to the Act. </w:t>
      </w:r>
    </w:p>
    <w:p w14:paraId="5F765129" w14:textId="445774A3" w:rsidR="00D53A0E" w:rsidRDefault="00D53A0E" w:rsidP="00FC6132">
      <w:pPr>
        <w:spacing w:before="0" w:after="240"/>
      </w:pPr>
      <w:r w:rsidRPr="005970B8">
        <w:rPr>
          <w:lang w:val="en-US"/>
        </w:rPr>
        <w:t xml:space="preserve">Consumer Affairs Australian and New Zealand (CAANZ) provided consumer affairs ministers, through the Legislative and Governance Forum on Consumer Affairs (CAF), with the </w:t>
      </w:r>
      <w:r w:rsidRPr="005970B8">
        <w:rPr>
          <w:i/>
          <w:lang w:val="en-US"/>
        </w:rPr>
        <w:t xml:space="preserve">Australian Consumer Law Review </w:t>
      </w:r>
      <w:r w:rsidRPr="005970B8">
        <w:rPr>
          <w:i/>
        </w:rPr>
        <w:t xml:space="preserve">– </w:t>
      </w:r>
      <w:r w:rsidRPr="005970B8">
        <w:rPr>
          <w:i/>
          <w:lang w:val="en-US"/>
        </w:rPr>
        <w:t>Final Report</w:t>
      </w:r>
      <w:r w:rsidRPr="005970B8">
        <w:rPr>
          <w:lang w:val="en-US"/>
        </w:rPr>
        <w:t xml:space="preserve"> in March 2017 (the ACL Review). </w:t>
      </w:r>
      <w:r w:rsidR="003C7E98" w:rsidRPr="004968B4">
        <w:t>The intent of the review was to assess the effectiveness of the Australian Consumer Law (ACL) provisions, including the ACL’s flexibility to respond to new and emerging issues and the extent to which the national consumer policy framework had met the objectives set by the Council of Australian Governments.</w:t>
      </w:r>
    </w:p>
    <w:p w14:paraId="67CCC04D" w14:textId="38C84EA9" w:rsidR="003C7E98" w:rsidRDefault="003C7E98" w:rsidP="00FC6132">
      <w:pPr>
        <w:spacing w:before="0" w:after="240"/>
      </w:pPr>
      <w:r w:rsidRPr="007C1B8F">
        <w:t xml:space="preserve">On 31 August 2017, </w:t>
      </w:r>
      <w:r>
        <w:t>CAF</w:t>
      </w:r>
      <w:r w:rsidRPr="007C1B8F">
        <w:t xml:space="preserve"> agreed to the </w:t>
      </w:r>
      <w:r w:rsidR="000B3C7D">
        <w:t xml:space="preserve">proposals in the </w:t>
      </w:r>
      <w:r w:rsidR="000B3C7D" w:rsidRPr="008601BA">
        <w:t>ACL Review</w:t>
      </w:r>
      <w:r w:rsidRPr="007C1B8F">
        <w:t xml:space="preserve">. </w:t>
      </w:r>
      <w:r w:rsidR="00D90FD3" w:rsidRPr="00FC6132">
        <w:t xml:space="preserve">The </w:t>
      </w:r>
      <w:r w:rsidR="00D90FD3" w:rsidRPr="00FC6132">
        <w:rPr>
          <w:i/>
        </w:rPr>
        <w:t>Competition and Consumer Amendment (Australian Consumer Law Review) Regulations 2018</w:t>
      </w:r>
      <w:r w:rsidR="00D90FD3" w:rsidRPr="00FC6132">
        <w:t xml:space="preserve"> (the Regulations) amend the </w:t>
      </w:r>
      <w:r w:rsidR="00D90FD3" w:rsidRPr="00FC6132">
        <w:rPr>
          <w:i/>
        </w:rPr>
        <w:t>Competition and Consumer Regulations 2010</w:t>
      </w:r>
      <w:r w:rsidR="00D90FD3" w:rsidRPr="00FC6132">
        <w:t xml:space="preserve"> (</w:t>
      </w:r>
      <w:r w:rsidR="00EB4649" w:rsidRPr="00FC6132">
        <w:t xml:space="preserve">CC </w:t>
      </w:r>
      <w:r w:rsidR="00D90FD3" w:rsidRPr="00FC6132">
        <w:t xml:space="preserve">Regulations) to give effect to two </w:t>
      </w:r>
      <w:r w:rsidR="000B3C7D">
        <w:t xml:space="preserve">of those </w:t>
      </w:r>
      <w:r w:rsidR="00D90FD3" w:rsidRPr="00FC6132">
        <w:t>proposals</w:t>
      </w:r>
      <w:r w:rsidR="00D53A0E">
        <w:t>:</w:t>
      </w:r>
    </w:p>
    <w:p w14:paraId="20ECCEE6" w14:textId="77777777" w:rsidR="003C7E98" w:rsidRPr="005970B8" w:rsidRDefault="003C7E98" w:rsidP="00FC6132">
      <w:pPr>
        <w:pStyle w:val="Bullet"/>
        <w:spacing w:before="0" w:after="240"/>
      </w:pPr>
      <w:r w:rsidRPr="00EA4415">
        <w:t>clarify that disclosure requirements for unsolicited consumer agreements do not apply to certain exempt agreements; and</w:t>
      </w:r>
    </w:p>
    <w:p w14:paraId="032A04E0" w14:textId="37CA1EC7" w:rsidR="00D90FD3" w:rsidRPr="00FC6132" w:rsidRDefault="003C7E98" w:rsidP="00FC6132">
      <w:pPr>
        <w:pStyle w:val="Bullet"/>
        <w:spacing w:before="0" w:after="240"/>
      </w:pPr>
      <w:proofErr w:type="gramStart"/>
      <w:r>
        <w:t>c</w:t>
      </w:r>
      <w:r w:rsidRPr="00EA4415">
        <w:t>larify</w:t>
      </w:r>
      <w:proofErr w:type="gramEnd"/>
      <w:r w:rsidRPr="00EA4415">
        <w:t xml:space="preserve"> the mandatory text requirements for warranties against defects by developing text specific to services and services bundled with goods.</w:t>
      </w:r>
      <w:r w:rsidR="00D90FD3" w:rsidRPr="00FC6132">
        <w:t xml:space="preserve"> </w:t>
      </w:r>
    </w:p>
    <w:p w14:paraId="2FD30691" w14:textId="15D4F246" w:rsidR="00394531" w:rsidRPr="00FC6132" w:rsidRDefault="0089340D" w:rsidP="00FC6132">
      <w:pPr>
        <w:spacing w:before="0" w:after="240"/>
      </w:pPr>
      <w:r w:rsidRPr="00FC6132">
        <w:t>D</w:t>
      </w:r>
      <w:r w:rsidR="00394531" w:rsidRPr="00FC6132">
        <w:t>raft</w:t>
      </w:r>
      <w:r w:rsidRPr="00FC6132">
        <w:t xml:space="preserve"> </w:t>
      </w:r>
      <w:r w:rsidR="00394531" w:rsidRPr="00FC6132">
        <w:t xml:space="preserve">Regulations were released for public consultation from </w:t>
      </w:r>
      <w:r w:rsidR="001B1388" w:rsidRPr="00FC6132">
        <w:t>31</w:t>
      </w:r>
      <w:r w:rsidRPr="00FC6132">
        <w:t> </w:t>
      </w:r>
      <w:r w:rsidR="001B1388" w:rsidRPr="00FC6132">
        <w:t xml:space="preserve">January 2018 </w:t>
      </w:r>
      <w:r w:rsidR="00394531" w:rsidRPr="00FC6132">
        <w:t>to 28 February</w:t>
      </w:r>
      <w:r w:rsidR="001B1388" w:rsidRPr="00FC6132">
        <w:t> 2018</w:t>
      </w:r>
      <w:r w:rsidR="00394531" w:rsidRPr="00FC6132">
        <w:t xml:space="preserve">. </w:t>
      </w:r>
      <w:r w:rsidR="008F7B0B" w:rsidRPr="00FC6132">
        <w:t xml:space="preserve">Four submissions addressing the Regulations were received. </w:t>
      </w:r>
      <w:r w:rsidR="00394531" w:rsidRPr="00FC6132">
        <w:t xml:space="preserve">Direct consultation with </w:t>
      </w:r>
      <w:r w:rsidR="001B1388" w:rsidRPr="00FC6132">
        <w:t xml:space="preserve">the relevant </w:t>
      </w:r>
      <w:r w:rsidR="00394531" w:rsidRPr="00FC6132">
        <w:t xml:space="preserve">state and territory </w:t>
      </w:r>
      <w:r w:rsidR="001B1388" w:rsidRPr="00FC6132">
        <w:t>bodies</w:t>
      </w:r>
      <w:r w:rsidR="009E14A9" w:rsidRPr="00FC6132">
        <w:t xml:space="preserve">, </w:t>
      </w:r>
      <w:r w:rsidR="00AD0693" w:rsidRPr="00FC6132">
        <w:t>Australian Competition and Consumer Commission</w:t>
      </w:r>
      <w:r w:rsidR="009E14A9" w:rsidRPr="00FC6132">
        <w:t xml:space="preserve"> and </w:t>
      </w:r>
      <w:r w:rsidR="00AD0693" w:rsidRPr="00FC6132">
        <w:t>the Austral</w:t>
      </w:r>
      <w:r w:rsidR="00E364CA" w:rsidRPr="00FC6132">
        <w:t>ian Securities and Investments C</w:t>
      </w:r>
      <w:r w:rsidR="00AD0693" w:rsidRPr="00FC6132">
        <w:t>ommission</w:t>
      </w:r>
      <w:r w:rsidRPr="00FC6132">
        <w:t xml:space="preserve"> </w:t>
      </w:r>
      <w:r w:rsidR="00394531" w:rsidRPr="00FC6132">
        <w:t xml:space="preserve">took place </w:t>
      </w:r>
      <w:r w:rsidR="001B1388" w:rsidRPr="00FC6132">
        <w:t xml:space="preserve">at the same time. </w:t>
      </w:r>
      <w:r w:rsidR="00394531" w:rsidRPr="00FC6132">
        <w:t xml:space="preserve"> </w:t>
      </w:r>
    </w:p>
    <w:p w14:paraId="2478D17F" w14:textId="47EFA2AE" w:rsidR="00A42535" w:rsidRPr="006F1677" w:rsidRDefault="00A42535" w:rsidP="00FC6132">
      <w:pPr>
        <w:keepNext/>
        <w:spacing w:before="0" w:after="240"/>
        <w:rPr>
          <w:szCs w:val="24"/>
        </w:rPr>
      </w:pPr>
      <w:r w:rsidRPr="00BF3C87">
        <w:rPr>
          <w:szCs w:val="24"/>
        </w:rPr>
        <w:t xml:space="preserve">Details of the Regulations are set out in </w:t>
      </w:r>
      <w:r w:rsidRPr="00BF3C87">
        <w:rPr>
          <w:szCs w:val="24"/>
          <w:u w:val="single"/>
        </w:rPr>
        <w:t>Attachment</w:t>
      </w:r>
      <w:r w:rsidR="00394531" w:rsidRPr="006F1677">
        <w:rPr>
          <w:szCs w:val="24"/>
          <w:u w:val="single"/>
        </w:rPr>
        <w:t xml:space="preserve"> A</w:t>
      </w:r>
      <w:r w:rsidRPr="006F1677">
        <w:rPr>
          <w:szCs w:val="24"/>
        </w:rPr>
        <w:t>.</w:t>
      </w:r>
    </w:p>
    <w:p w14:paraId="38AFFA3C" w14:textId="6CDC69D5" w:rsidR="00394531" w:rsidRPr="00FC6132" w:rsidRDefault="00394531" w:rsidP="00FC6132">
      <w:pPr>
        <w:keepNext/>
        <w:spacing w:before="0" w:after="240"/>
        <w:rPr>
          <w:szCs w:val="24"/>
          <w:lang w:val="en-US"/>
        </w:rPr>
      </w:pPr>
      <w:r w:rsidRPr="006F1677">
        <w:t xml:space="preserve">The Statement of Compatibility is set out in </w:t>
      </w:r>
      <w:r w:rsidRPr="006F1677">
        <w:rPr>
          <w:u w:val="single"/>
        </w:rPr>
        <w:t>Attachment B</w:t>
      </w:r>
      <w:r w:rsidRPr="006F1677">
        <w:t>.</w:t>
      </w:r>
    </w:p>
    <w:p w14:paraId="4A09AAA3" w14:textId="4672F799" w:rsidR="00A42535" w:rsidRPr="00BF3C87" w:rsidRDefault="00A42535" w:rsidP="00FC6132">
      <w:pPr>
        <w:shd w:val="clear" w:color="auto" w:fill="FFFFFF"/>
        <w:spacing w:before="0" w:after="240"/>
        <w:rPr>
          <w:szCs w:val="24"/>
          <w:lang w:val="en-US"/>
        </w:rPr>
      </w:pPr>
      <w:r w:rsidRPr="00FC6132">
        <w:rPr>
          <w:szCs w:val="24"/>
        </w:rPr>
        <w:t xml:space="preserve">The Act specifies no conditions that need to be satisfied before the power to make the Regulations may be exercised. </w:t>
      </w:r>
    </w:p>
    <w:p w14:paraId="6FE3FD36" w14:textId="4F40CBD8" w:rsidR="00A42535" w:rsidRPr="00FC6132" w:rsidRDefault="00A42535" w:rsidP="00FC6132">
      <w:pPr>
        <w:spacing w:before="0" w:after="240"/>
        <w:ind w:right="-766"/>
      </w:pPr>
      <w:r w:rsidRPr="00FC6132">
        <w:t>The</w:t>
      </w:r>
      <w:r w:rsidR="0045530A" w:rsidRPr="00FC6132">
        <w:t xml:space="preserve"> </w:t>
      </w:r>
      <w:r w:rsidR="003567FB" w:rsidRPr="00FC6132">
        <w:t>Regulations</w:t>
      </w:r>
      <w:r w:rsidRPr="00FC6132">
        <w:t xml:space="preserve"> </w:t>
      </w:r>
      <w:r w:rsidR="003567FB" w:rsidRPr="00FC6132">
        <w:t xml:space="preserve">are </w:t>
      </w:r>
      <w:r w:rsidRPr="00FC6132">
        <w:t xml:space="preserve">a legislative instrument for the purposes of the </w:t>
      </w:r>
      <w:r w:rsidR="003567FB" w:rsidRPr="00FC6132">
        <w:rPr>
          <w:i/>
        </w:rPr>
        <w:t>Legislation Act </w:t>
      </w:r>
      <w:r w:rsidRPr="00FC6132">
        <w:rPr>
          <w:i/>
        </w:rPr>
        <w:t>2003</w:t>
      </w:r>
      <w:r w:rsidRPr="00FC6132">
        <w:t xml:space="preserve">. </w:t>
      </w:r>
    </w:p>
    <w:p w14:paraId="46EAB55D" w14:textId="4E1977C2" w:rsidR="00267A62" w:rsidRPr="00FC6132" w:rsidRDefault="00A42535" w:rsidP="001A39AE">
      <w:pPr>
        <w:spacing w:before="0" w:after="240"/>
        <w:jc w:val="right"/>
        <w:rPr>
          <w:b/>
          <w:u w:val="single"/>
        </w:rPr>
      </w:pPr>
      <w:r w:rsidRPr="00FC6132">
        <w:t>The Reg</w:t>
      </w:r>
      <w:r w:rsidR="003567FB" w:rsidRPr="00FC6132">
        <w:t>ulations</w:t>
      </w:r>
      <w:r w:rsidRPr="00FC6132">
        <w:t xml:space="preserve"> commence on the day after </w:t>
      </w:r>
      <w:r w:rsidR="00AD0693" w:rsidRPr="00FC6132">
        <w:t>it is</w:t>
      </w:r>
      <w:r w:rsidRPr="00FC6132">
        <w:t xml:space="preserve"> registered on the Federal Register of Legislation.</w:t>
      </w:r>
      <w:r w:rsidR="00917A7C" w:rsidRPr="00FC6132">
        <w:rPr>
          <w:u w:val="single"/>
        </w:rPr>
        <w:br w:type="page"/>
      </w:r>
      <w:r w:rsidR="001A39AE">
        <w:rPr>
          <w:b/>
          <w:u w:val="single"/>
        </w:rPr>
        <w:lastRenderedPageBreak/>
        <w:t>Attachment</w:t>
      </w:r>
      <w:r w:rsidR="00394531" w:rsidRPr="00FC6132">
        <w:rPr>
          <w:b/>
          <w:u w:val="single"/>
        </w:rPr>
        <w:t xml:space="preserve"> A</w:t>
      </w:r>
    </w:p>
    <w:p w14:paraId="353C8B39" w14:textId="77777777" w:rsidR="00267A62" w:rsidRPr="00FC6132" w:rsidRDefault="00267A62" w:rsidP="00267A62">
      <w:pPr>
        <w:rPr>
          <w:u w:val="single"/>
        </w:rPr>
      </w:pPr>
      <w:r w:rsidRPr="00FC6132">
        <w:rPr>
          <w:u w:val="single"/>
        </w:rPr>
        <w:t>Section 1 — Name</w:t>
      </w:r>
    </w:p>
    <w:p w14:paraId="6EB5ECC2" w14:textId="06ED0DD2" w:rsidR="00267A62" w:rsidRPr="00FC6132" w:rsidRDefault="00267A62" w:rsidP="00267A62">
      <w:pPr>
        <w:rPr>
          <w:i/>
        </w:rPr>
      </w:pPr>
      <w:r w:rsidRPr="00FC6132">
        <w:t xml:space="preserve">This section provides that the title of the </w:t>
      </w:r>
      <w:r w:rsidR="00AD0693" w:rsidRPr="00FC6132">
        <w:t>Regulations</w:t>
      </w:r>
      <w:r w:rsidR="0045530A" w:rsidRPr="00FC6132">
        <w:t xml:space="preserve"> </w:t>
      </w:r>
      <w:r w:rsidRPr="00FC6132">
        <w:t xml:space="preserve">is </w:t>
      </w:r>
      <w:r w:rsidR="0045530A" w:rsidRPr="00FC6132">
        <w:t xml:space="preserve">the </w:t>
      </w:r>
      <w:r w:rsidRPr="00FC6132">
        <w:rPr>
          <w:i/>
        </w:rPr>
        <w:t>Competition and Consumer Amendment (Australian Consumer Law Review) Regulations 2018</w:t>
      </w:r>
      <w:r w:rsidR="00DB2CF2" w:rsidRPr="00FC6132">
        <w:rPr>
          <w:i/>
        </w:rPr>
        <w:t>.</w:t>
      </w:r>
    </w:p>
    <w:p w14:paraId="5448D3A0" w14:textId="77777777" w:rsidR="00267A62" w:rsidRPr="00FC6132" w:rsidRDefault="00267A62" w:rsidP="00267A62">
      <w:pPr>
        <w:rPr>
          <w:u w:val="single"/>
        </w:rPr>
      </w:pPr>
      <w:r w:rsidRPr="00FC6132">
        <w:rPr>
          <w:u w:val="single"/>
        </w:rPr>
        <w:t>Section 2 — Commencement</w:t>
      </w:r>
    </w:p>
    <w:p w14:paraId="08EB726D" w14:textId="37F2E816" w:rsidR="00267A62" w:rsidRPr="00FC6132" w:rsidRDefault="00267A62" w:rsidP="00267A62">
      <w:r w:rsidRPr="00FC6132">
        <w:t xml:space="preserve">The Regulations commence on the day after being registered on the Federal Register of Legislation. </w:t>
      </w:r>
    </w:p>
    <w:p w14:paraId="4B917625" w14:textId="77777777" w:rsidR="00267A62" w:rsidRPr="00FC6132" w:rsidRDefault="00267A62" w:rsidP="00267A62">
      <w:pPr>
        <w:rPr>
          <w:u w:val="single"/>
        </w:rPr>
      </w:pPr>
      <w:r w:rsidRPr="00FC6132">
        <w:rPr>
          <w:u w:val="single"/>
        </w:rPr>
        <w:t>Section 3 — Authority</w:t>
      </w:r>
    </w:p>
    <w:p w14:paraId="266E4C46" w14:textId="6AB306C3" w:rsidR="00267A62" w:rsidRPr="00FC6132" w:rsidRDefault="00267A62" w:rsidP="00FC6132">
      <w:pPr>
        <w:ind w:right="-472"/>
      </w:pPr>
      <w:r w:rsidRPr="00FC6132">
        <w:t xml:space="preserve">This section </w:t>
      </w:r>
      <w:r w:rsidR="004307C2" w:rsidRPr="00FC6132">
        <w:t>provides</w:t>
      </w:r>
      <w:r w:rsidRPr="00FC6132">
        <w:t xml:space="preserve"> that the Regulations are made under the </w:t>
      </w:r>
      <w:r w:rsidRPr="00FC6132">
        <w:rPr>
          <w:i/>
        </w:rPr>
        <w:t xml:space="preserve">Competition and Consumer </w:t>
      </w:r>
      <w:r w:rsidR="00B32438" w:rsidRPr="00FC6132">
        <w:rPr>
          <w:i/>
        </w:rPr>
        <w:t>Act </w:t>
      </w:r>
      <w:r w:rsidRPr="00FC6132">
        <w:rPr>
          <w:i/>
        </w:rPr>
        <w:t>2010</w:t>
      </w:r>
      <w:r w:rsidRPr="00FC6132">
        <w:t xml:space="preserve">. </w:t>
      </w:r>
    </w:p>
    <w:p w14:paraId="7070E34E" w14:textId="77777777" w:rsidR="00267A62" w:rsidRPr="00FC6132" w:rsidRDefault="00267A62" w:rsidP="00267A62">
      <w:pPr>
        <w:rPr>
          <w:u w:val="single"/>
        </w:rPr>
      </w:pPr>
      <w:r w:rsidRPr="00FC6132">
        <w:rPr>
          <w:u w:val="single"/>
        </w:rPr>
        <w:t>Section 4 — Schedules</w:t>
      </w:r>
    </w:p>
    <w:p w14:paraId="35CD2B49" w14:textId="202A3A58" w:rsidR="00267A62" w:rsidRPr="00FC6132" w:rsidRDefault="00267A62" w:rsidP="00267A62">
      <w:r w:rsidRPr="00FC6132">
        <w:t xml:space="preserve">This section </w:t>
      </w:r>
      <w:r w:rsidR="0045530A" w:rsidRPr="00FC6132">
        <w:t>is</w:t>
      </w:r>
      <w:r w:rsidRPr="00FC6132">
        <w:t xml:space="preserve"> a technical provision to give operational effect to the amendments contained in the Schedules. </w:t>
      </w:r>
    </w:p>
    <w:p w14:paraId="45D308A1" w14:textId="7C721ABC" w:rsidR="00267A62" w:rsidRPr="00FC6132" w:rsidRDefault="00267A62" w:rsidP="00C7792C">
      <w:pPr>
        <w:spacing w:after="0"/>
        <w:rPr>
          <w:b/>
        </w:rPr>
      </w:pPr>
      <w:r w:rsidRPr="00FC6132">
        <w:rPr>
          <w:b/>
        </w:rPr>
        <w:t xml:space="preserve">Schedule 1 — </w:t>
      </w:r>
      <w:r w:rsidRPr="00FC6132">
        <w:rPr>
          <w:rStyle w:val="CharAmPartText"/>
          <w:b/>
        </w:rPr>
        <w:t>Unsolicited consumer agreements (technical amendment C</w:t>
      </w:r>
      <w:r w:rsidR="00D92350" w:rsidRPr="00FC6132">
        <w:rPr>
          <w:rStyle w:val="CharAmPartText"/>
          <w:b/>
        </w:rPr>
        <w:t xml:space="preserve"> in the ACL Review Final Report</w:t>
      </w:r>
      <w:r w:rsidRPr="00FC6132">
        <w:rPr>
          <w:rStyle w:val="CharAmPartText"/>
          <w:b/>
        </w:rPr>
        <w:t xml:space="preserve">) </w:t>
      </w:r>
    </w:p>
    <w:p w14:paraId="4BFEE553" w14:textId="72B61FBA" w:rsidR="00267A62" w:rsidRPr="00FC6132" w:rsidRDefault="0045530A" w:rsidP="00267A62">
      <w:pPr>
        <w:rPr>
          <w:u w:val="single"/>
        </w:rPr>
      </w:pPr>
      <w:r w:rsidRPr="00FC6132">
        <w:rPr>
          <w:u w:val="single"/>
        </w:rPr>
        <w:t xml:space="preserve">Items 1 and 2 - </w:t>
      </w:r>
      <w:r w:rsidR="00267A62" w:rsidRPr="00FC6132">
        <w:rPr>
          <w:u w:val="single"/>
        </w:rPr>
        <w:t>Regulation 83</w:t>
      </w:r>
    </w:p>
    <w:p w14:paraId="77150470" w14:textId="1222B8DA" w:rsidR="0045530A" w:rsidRPr="00FC6132" w:rsidRDefault="0045530A" w:rsidP="0045530A">
      <w:r w:rsidRPr="00FC6132">
        <w:t xml:space="preserve">Section 86 of Schedule 2 to the Act, which is the Australian Consumer Law (ACL), prohibits the supply of goods or services under an unsolicited consumer agreement, or accepting or requiring payment for those goods or services for 10 business days. This is known as the </w:t>
      </w:r>
      <w:r w:rsidR="00B32438" w:rsidRPr="00FC6132">
        <w:t>“</w:t>
      </w:r>
      <w:r w:rsidRPr="00FC6132">
        <w:t>cooling off period</w:t>
      </w:r>
      <w:r w:rsidR="00B32438" w:rsidRPr="00FC6132">
        <w:t>”</w:t>
      </w:r>
      <w:r w:rsidRPr="00FC6132">
        <w:t xml:space="preserve">. </w:t>
      </w:r>
    </w:p>
    <w:p w14:paraId="7C5831CC" w14:textId="77777777" w:rsidR="0045530A" w:rsidRPr="00FC6132" w:rsidRDefault="0045530A" w:rsidP="0045530A">
      <w:r w:rsidRPr="00FC6132">
        <w:t xml:space="preserve">Section 76 of the ACL requires the disclosure of cooling off rights to consumers. </w:t>
      </w:r>
    </w:p>
    <w:p w14:paraId="6D873829" w14:textId="77777777" w:rsidR="00B32438" w:rsidRPr="00FC6132" w:rsidRDefault="00B32438" w:rsidP="00B32438">
      <w:r w:rsidRPr="00BF3C87">
        <w:t xml:space="preserve">Currently, the </w:t>
      </w:r>
      <w:r w:rsidRPr="006F1677">
        <w:t xml:space="preserve">effect of existing section 76 of the ACL and </w:t>
      </w:r>
      <w:r w:rsidRPr="00D53A0E">
        <w:t>regulation</w:t>
      </w:r>
      <w:r w:rsidRPr="003C7E98">
        <w:t xml:space="preserve"> 83 in the </w:t>
      </w:r>
      <w:r w:rsidRPr="003C7E98">
        <w:rPr>
          <w:i/>
        </w:rPr>
        <w:t>Competition and Consumer Regulations 2010</w:t>
      </w:r>
      <w:r w:rsidRPr="003C7E98">
        <w:t xml:space="preserve"> (the CC Regulations) is that </w:t>
      </w:r>
      <w:r w:rsidRPr="000B3C7D">
        <w:t xml:space="preserve">dealers must advise a consumer of their right to a </w:t>
      </w:r>
      <w:r w:rsidRPr="00FC6132">
        <w:t xml:space="preserve">cooling off period as provided by section 86 of the ACL. </w:t>
      </w:r>
    </w:p>
    <w:p w14:paraId="4D9BF784" w14:textId="77777777" w:rsidR="0045530A" w:rsidRPr="00FC6132" w:rsidRDefault="0045530A" w:rsidP="0045530A">
      <w:r w:rsidRPr="00FC6132">
        <w:t>However, the following supplies are exempted from the requirement to provide a cooling off period:</w:t>
      </w:r>
    </w:p>
    <w:p w14:paraId="73735273" w14:textId="77777777" w:rsidR="0045530A" w:rsidRPr="00BF3C87" w:rsidRDefault="0045530A" w:rsidP="0045530A">
      <w:pPr>
        <w:pStyle w:val="Bullet"/>
      </w:pPr>
      <w:r w:rsidRPr="00BF3C87">
        <w:t xml:space="preserve">certain supplies of electricity or gas services (regulation 89); </w:t>
      </w:r>
    </w:p>
    <w:p w14:paraId="2A2EFB44" w14:textId="16195C52" w:rsidR="0045530A" w:rsidRPr="003C7E98" w:rsidRDefault="0045530A" w:rsidP="0045530A">
      <w:pPr>
        <w:pStyle w:val="Bullet"/>
      </w:pPr>
      <w:r w:rsidRPr="00D53A0E">
        <w:t>g</w:t>
      </w:r>
      <w:r w:rsidRPr="003C7E98">
        <w:t xml:space="preserve">oods or services under an emergency repair contract (regulation 88); and </w:t>
      </w:r>
    </w:p>
    <w:p w14:paraId="676A3259" w14:textId="77777777" w:rsidR="0045530A" w:rsidRPr="003C7E98" w:rsidRDefault="0045530A" w:rsidP="0045530A">
      <w:pPr>
        <w:pStyle w:val="Bullet"/>
      </w:pPr>
      <w:proofErr w:type="gramStart"/>
      <w:r w:rsidRPr="003C7E98">
        <w:t>the</w:t>
      </w:r>
      <w:proofErr w:type="gramEnd"/>
      <w:r w:rsidRPr="003C7E98">
        <w:t xml:space="preserve"> supply of goods to a consumer under an unsolicited consumer agreement that is $500 or less (regulation 95).</w:t>
      </w:r>
    </w:p>
    <w:p w14:paraId="0CB07D05" w14:textId="5EB0D155" w:rsidR="00267A62" w:rsidRPr="00FC6132" w:rsidRDefault="00267A62" w:rsidP="00267A62">
      <w:r w:rsidRPr="00FC6132">
        <w:t xml:space="preserve">Items 1 and 2 amend </w:t>
      </w:r>
      <w:r w:rsidR="00D0220B" w:rsidRPr="00FC6132">
        <w:t>regulation</w:t>
      </w:r>
      <w:r w:rsidR="00DB2CF2" w:rsidRPr="00FC6132">
        <w:t xml:space="preserve"> </w:t>
      </w:r>
      <w:r w:rsidRPr="00FC6132">
        <w:t xml:space="preserve">83 </w:t>
      </w:r>
      <w:r w:rsidR="000B36AB" w:rsidRPr="00FC6132">
        <w:t xml:space="preserve">to </w:t>
      </w:r>
      <w:r w:rsidRPr="00FC6132">
        <w:t xml:space="preserve">remove the requirement for suppliers of services exempt from the cooling off period to disclose cooling off rights to </w:t>
      </w:r>
      <w:r w:rsidR="00B32438" w:rsidRPr="00FC6132">
        <w:t xml:space="preserve">those </w:t>
      </w:r>
      <w:r w:rsidRPr="00FC6132">
        <w:t xml:space="preserve">consumers. </w:t>
      </w:r>
    </w:p>
    <w:p w14:paraId="4D661672" w14:textId="1FAC7427" w:rsidR="00876CEB" w:rsidRPr="00BF3C87" w:rsidRDefault="0045530A" w:rsidP="00060F4D">
      <w:r w:rsidRPr="00FC6132">
        <w:t>New</w:t>
      </w:r>
      <w:r w:rsidR="00D42689" w:rsidRPr="00FC6132">
        <w:t xml:space="preserve"> </w:t>
      </w:r>
      <w:proofErr w:type="spellStart"/>
      <w:r w:rsidR="009E3D14" w:rsidRPr="00FC6132">
        <w:t>sub</w:t>
      </w:r>
      <w:r w:rsidR="00060F4D" w:rsidRPr="00FC6132">
        <w:t>regulation</w:t>
      </w:r>
      <w:proofErr w:type="spellEnd"/>
      <w:r w:rsidR="00060F4D" w:rsidRPr="00FC6132">
        <w:t xml:space="preserve"> 83</w:t>
      </w:r>
      <w:r w:rsidR="009E3D14" w:rsidRPr="00FC6132">
        <w:t>(2)</w:t>
      </w:r>
      <w:r w:rsidR="00060F4D" w:rsidRPr="00FC6132">
        <w:t xml:space="preserve"> means that</w:t>
      </w:r>
      <w:r w:rsidR="00267A62" w:rsidRPr="00FC6132">
        <w:t xml:space="preserve"> suppliers of services that </w:t>
      </w:r>
      <w:r w:rsidR="00D42689" w:rsidRPr="00FC6132">
        <w:t>are not</w:t>
      </w:r>
      <w:r w:rsidR="00DD41A5" w:rsidRPr="00FC6132">
        <w:t xml:space="preserve"> require</w:t>
      </w:r>
      <w:r w:rsidR="00D42689" w:rsidRPr="00FC6132">
        <w:t>d to provide</w:t>
      </w:r>
      <w:r w:rsidR="00DD41A5" w:rsidRPr="00FC6132">
        <w:t xml:space="preserve"> a cooling off period</w:t>
      </w:r>
      <w:r w:rsidR="00267A62" w:rsidRPr="00FC6132">
        <w:t xml:space="preserve"> </w:t>
      </w:r>
      <w:r w:rsidRPr="00FC6132">
        <w:t>for</w:t>
      </w:r>
      <w:r w:rsidR="00D42689" w:rsidRPr="00FC6132">
        <w:t xml:space="preserve"> an unsolicited consumer agreement </w:t>
      </w:r>
      <w:r w:rsidR="00DD41A5" w:rsidRPr="00FC6132">
        <w:t>are no</w:t>
      </w:r>
      <w:r w:rsidR="00267A62" w:rsidRPr="00FC6132">
        <w:t xml:space="preserve"> longer required </w:t>
      </w:r>
      <w:proofErr w:type="gramStart"/>
      <w:r w:rsidR="00267A62" w:rsidRPr="00FC6132">
        <w:t>to disclose</w:t>
      </w:r>
      <w:proofErr w:type="gramEnd"/>
      <w:r w:rsidR="00267A62" w:rsidRPr="00FC6132">
        <w:t xml:space="preserve"> cooling off rights</w:t>
      </w:r>
      <w:r w:rsidR="00AD1D71" w:rsidRPr="00FC6132">
        <w:t xml:space="preserve"> to consumers</w:t>
      </w:r>
      <w:r w:rsidRPr="00FC6132">
        <w:t xml:space="preserve">. </w:t>
      </w:r>
    </w:p>
    <w:p w14:paraId="5F9BA11A" w14:textId="31977530" w:rsidR="00267A62" w:rsidRPr="00FC6132" w:rsidRDefault="0045530A" w:rsidP="00B07FDB">
      <w:pPr>
        <w:keepNext/>
        <w:keepLines/>
        <w:rPr>
          <w:u w:val="single"/>
        </w:rPr>
      </w:pPr>
      <w:r w:rsidRPr="00FC6132">
        <w:rPr>
          <w:u w:val="single"/>
        </w:rPr>
        <w:lastRenderedPageBreak/>
        <w:t xml:space="preserve">Item 3 - </w:t>
      </w:r>
      <w:r w:rsidR="00267A62" w:rsidRPr="00FC6132">
        <w:rPr>
          <w:u w:val="single"/>
        </w:rPr>
        <w:t xml:space="preserve">Application provision </w:t>
      </w:r>
    </w:p>
    <w:p w14:paraId="7080487F" w14:textId="2BDF67DE" w:rsidR="00267A62" w:rsidRPr="00FC6132" w:rsidRDefault="00267A62" w:rsidP="00B07FDB">
      <w:pPr>
        <w:keepNext/>
        <w:keepLines/>
      </w:pPr>
      <w:r w:rsidRPr="00FC6132">
        <w:t>Item 3 inserts</w:t>
      </w:r>
      <w:r w:rsidR="0045530A" w:rsidRPr="00FC6132">
        <w:t xml:space="preserve"> a new application provision in</w:t>
      </w:r>
      <w:r w:rsidR="009E3D14" w:rsidRPr="00FC6132">
        <w:t>to</w:t>
      </w:r>
      <w:r w:rsidRPr="00FC6132">
        <w:t xml:space="preserve"> Part 8 of the </w:t>
      </w:r>
      <w:r w:rsidR="00DB2CF2" w:rsidRPr="00FC6132">
        <w:t xml:space="preserve">CC </w:t>
      </w:r>
      <w:r w:rsidRPr="00FC6132">
        <w:t>Regulations. The amendments apply in relation to agreements entered into on or after commencement of the</w:t>
      </w:r>
      <w:r w:rsidR="0089340D" w:rsidRPr="00FC6132">
        <w:t xml:space="preserve"> </w:t>
      </w:r>
      <w:r w:rsidRPr="00FC6132">
        <w:t xml:space="preserve">Regulations.  </w:t>
      </w:r>
    </w:p>
    <w:p w14:paraId="046A191D" w14:textId="49D90A46" w:rsidR="00267A62" w:rsidRPr="00FC6132" w:rsidRDefault="00267A62" w:rsidP="0074089E">
      <w:pPr>
        <w:keepNext/>
        <w:rPr>
          <w:b/>
        </w:rPr>
      </w:pPr>
      <w:r w:rsidRPr="00FC6132">
        <w:rPr>
          <w:b/>
        </w:rPr>
        <w:t>Schedule 2 — Warranties against defects (proposal 4</w:t>
      </w:r>
      <w:r w:rsidR="00D92350" w:rsidRPr="00FC6132">
        <w:rPr>
          <w:b/>
        </w:rPr>
        <w:t xml:space="preserve"> </w:t>
      </w:r>
      <w:r w:rsidR="00D92350" w:rsidRPr="00FC6132">
        <w:rPr>
          <w:rStyle w:val="CharAmPartText"/>
          <w:b/>
        </w:rPr>
        <w:t>in the ACL Review Final Report</w:t>
      </w:r>
      <w:r w:rsidRPr="00FC6132">
        <w:rPr>
          <w:b/>
        </w:rPr>
        <w:t>)</w:t>
      </w:r>
    </w:p>
    <w:p w14:paraId="75523371" w14:textId="356C3C57" w:rsidR="00267A62" w:rsidRPr="00FC6132" w:rsidRDefault="009B0D94" w:rsidP="0074089E">
      <w:pPr>
        <w:keepNext/>
        <w:rPr>
          <w:u w:val="single"/>
        </w:rPr>
      </w:pPr>
      <w:r w:rsidRPr="00FC6132">
        <w:rPr>
          <w:u w:val="single"/>
        </w:rPr>
        <w:t xml:space="preserve">Item 1 to 4 - </w:t>
      </w:r>
      <w:r w:rsidR="00267A62" w:rsidRPr="00FC6132">
        <w:rPr>
          <w:u w:val="single"/>
        </w:rPr>
        <w:t>Regulation 90</w:t>
      </w:r>
    </w:p>
    <w:p w14:paraId="3C10E260" w14:textId="0F673EEC" w:rsidR="009B0D94" w:rsidRPr="00FC6132" w:rsidRDefault="009B0D94" w:rsidP="009B0D94">
      <w:r w:rsidRPr="00FC6132">
        <w:t xml:space="preserve">Subsection 102(1) of the ACL allows the regulations to prescribe requirements for warranties against defects. One requirement relates to the inclusion of a mandatory statement with all warranty documentation. </w:t>
      </w:r>
      <w:proofErr w:type="spellStart"/>
      <w:r w:rsidRPr="00FC6132">
        <w:t>Subregulation</w:t>
      </w:r>
      <w:proofErr w:type="spellEnd"/>
      <w:r w:rsidRPr="00FC6132">
        <w:t xml:space="preserve"> 90(2) of the CC Regulations prescribes that text. However, it currently only references goods and does not cover services or services bundled with goods. </w:t>
      </w:r>
    </w:p>
    <w:p w14:paraId="6D8C61F2" w14:textId="405B8DAF" w:rsidR="00267A62" w:rsidRPr="00FC6132" w:rsidRDefault="00267A62" w:rsidP="0074089E">
      <w:pPr>
        <w:keepNext/>
      </w:pPr>
      <w:r w:rsidRPr="00FC6132">
        <w:t>Item</w:t>
      </w:r>
      <w:r w:rsidR="00310005" w:rsidRPr="00FC6132">
        <w:t>s</w:t>
      </w:r>
      <w:r w:rsidRPr="00FC6132">
        <w:t xml:space="preserve"> 1</w:t>
      </w:r>
      <w:r w:rsidR="00310005" w:rsidRPr="00FC6132">
        <w:t xml:space="preserve"> to 4</w:t>
      </w:r>
      <w:r w:rsidRPr="00FC6132">
        <w:t xml:space="preserve"> amend </w:t>
      </w:r>
      <w:r w:rsidR="00D0220B" w:rsidRPr="00FC6132">
        <w:t>regulation</w:t>
      </w:r>
      <w:r w:rsidRPr="00FC6132">
        <w:t xml:space="preserve"> 90 </w:t>
      </w:r>
      <w:r w:rsidR="00DB2CF2" w:rsidRPr="00FC6132">
        <w:t xml:space="preserve">in the CC Regulations </w:t>
      </w:r>
      <w:r w:rsidRPr="00FC6132">
        <w:t>to update the prescribed mandatory text for warranties against defects</w:t>
      </w:r>
      <w:r w:rsidR="00753C1B" w:rsidRPr="00FC6132">
        <w:t xml:space="preserve">. The revised text takes </w:t>
      </w:r>
      <w:r w:rsidRPr="00FC6132">
        <w:t xml:space="preserve">into account the differences between the supply of goods, the supply of services, and the </w:t>
      </w:r>
      <w:r w:rsidR="00BF3C87" w:rsidRPr="00FC6132">
        <w:t xml:space="preserve">bundled </w:t>
      </w:r>
      <w:r w:rsidRPr="00FC6132">
        <w:t>supply of goods and services.</w:t>
      </w:r>
    </w:p>
    <w:p w14:paraId="2F66162B" w14:textId="13574A51" w:rsidR="009B0D94" w:rsidRPr="00FC6132" w:rsidRDefault="009B0D94" w:rsidP="009B0D94">
      <w:r w:rsidRPr="00FC6132">
        <w:t>Item 1 repeals and replaces existing paragraph 90(1</w:t>
      </w:r>
      <w:proofErr w:type="gramStart"/>
      <w:r w:rsidRPr="00FC6132">
        <w:t>)(</w:t>
      </w:r>
      <w:proofErr w:type="gramEnd"/>
      <w:r w:rsidRPr="00FC6132">
        <w:t xml:space="preserve">c) of the CC Regulations to direct the reader to the relevant new mandatory text. </w:t>
      </w:r>
    </w:p>
    <w:p w14:paraId="3D33CCED" w14:textId="77777777" w:rsidR="009B0D94" w:rsidRPr="00FC6132" w:rsidRDefault="00267A62" w:rsidP="009B0D94">
      <w:r w:rsidRPr="00FC6132">
        <w:t>Item</w:t>
      </w:r>
      <w:r w:rsidR="00876CEB" w:rsidRPr="00FC6132">
        <w:t xml:space="preserve"> </w:t>
      </w:r>
      <w:r w:rsidRPr="00FC6132">
        <w:t xml:space="preserve">4 </w:t>
      </w:r>
      <w:r w:rsidR="0027090B" w:rsidRPr="00FC6132">
        <w:t>prescribe</w:t>
      </w:r>
      <w:r w:rsidR="00876CEB" w:rsidRPr="00FC6132">
        <w:t>s</w:t>
      </w:r>
      <w:r w:rsidR="0027090B" w:rsidRPr="00FC6132">
        <w:t xml:space="preserve"> the new</w:t>
      </w:r>
      <w:r w:rsidRPr="00FC6132">
        <w:t xml:space="preserve"> mandatory text for the supply of services and the supply of goods and services. </w:t>
      </w:r>
      <w:r w:rsidR="009B0D94" w:rsidRPr="00FC6132">
        <w:t xml:space="preserve">The prescribed mandatory text for the supply of goods in </w:t>
      </w:r>
      <w:proofErr w:type="spellStart"/>
      <w:r w:rsidR="009B0D94" w:rsidRPr="00FC6132">
        <w:t>subregulation</w:t>
      </w:r>
      <w:proofErr w:type="spellEnd"/>
      <w:r w:rsidR="009B0D94" w:rsidRPr="00FC6132">
        <w:t xml:space="preserve"> 90(2) is unchanged. </w:t>
      </w:r>
    </w:p>
    <w:p w14:paraId="593DFAAE" w14:textId="6C93D259" w:rsidR="00876CEB" w:rsidRPr="00FC6132" w:rsidRDefault="00AE18EB" w:rsidP="00267A62">
      <w:r w:rsidRPr="00FC6132">
        <w:t xml:space="preserve">Item 2 inserts an exemption </w:t>
      </w:r>
      <w:r w:rsidR="00876CEB" w:rsidRPr="00FC6132">
        <w:t xml:space="preserve">from </w:t>
      </w:r>
      <w:r w:rsidR="004225E5" w:rsidRPr="00FC6132">
        <w:t>providing the mandatory text</w:t>
      </w:r>
      <w:r w:rsidR="00876CEB" w:rsidRPr="00FC6132">
        <w:t xml:space="preserve"> </w:t>
      </w:r>
      <w:r w:rsidR="00124670" w:rsidRPr="00FC6132">
        <w:t xml:space="preserve">where the services are </w:t>
      </w:r>
      <w:r w:rsidR="001B2CAA" w:rsidRPr="00FC6132">
        <w:t>those</w:t>
      </w:r>
      <w:r w:rsidR="00124670" w:rsidRPr="00FC6132">
        <w:t xml:space="preserve"> described in</w:t>
      </w:r>
      <w:r w:rsidR="00876CEB" w:rsidRPr="00FC6132">
        <w:t>:</w:t>
      </w:r>
    </w:p>
    <w:p w14:paraId="603CE0F3" w14:textId="0E1D1E35" w:rsidR="00876CEB" w:rsidRPr="003C7E98" w:rsidRDefault="00124670" w:rsidP="00B07FDB">
      <w:pPr>
        <w:pStyle w:val="Bullet"/>
      </w:pPr>
      <w:r w:rsidRPr="00BF3C87">
        <w:t>section 63 of the ACL</w:t>
      </w:r>
      <w:r w:rsidR="004225E5" w:rsidRPr="006F1677">
        <w:t xml:space="preserve"> – </w:t>
      </w:r>
      <w:r w:rsidR="003E7CBC" w:rsidRPr="00D53A0E">
        <w:t xml:space="preserve">services supplied under a contract in relation to transport or storage of goods </w:t>
      </w:r>
      <w:r w:rsidR="00F961DA" w:rsidRPr="003C7E98">
        <w:t>related to a consignee’s business</w:t>
      </w:r>
      <w:r w:rsidR="003E7CBC" w:rsidRPr="003C7E98">
        <w:t xml:space="preserve"> or</w:t>
      </w:r>
      <w:r w:rsidR="008E758A" w:rsidRPr="003C7E98">
        <w:t xml:space="preserve"> a contract of</w:t>
      </w:r>
      <w:r w:rsidR="003E7CBC" w:rsidRPr="003C7E98">
        <w:t xml:space="preserve"> insurance</w:t>
      </w:r>
      <w:r w:rsidR="00876CEB" w:rsidRPr="003C7E98">
        <w:t xml:space="preserve">; </w:t>
      </w:r>
      <w:r w:rsidR="00DB46E9" w:rsidRPr="003C7E98">
        <w:t xml:space="preserve">or </w:t>
      </w:r>
    </w:p>
    <w:p w14:paraId="34954E39" w14:textId="77777777" w:rsidR="009B0D94" w:rsidRPr="00FC6132" w:rsidRDefault="00124670" w:rsidP="009B0D94">
      <w:pPr>
        <w:pStyle w:val="Bullet"/>
      </w:pPr>
      <w:proofErr w:type="gramStart"/>
      <w:r w:rsidRPr="00FC6132">
        <w:t>section</w:t>
      </w:r>
      <w:proofErr w:type="gramEnd"/>
      <w:r w:rsidRPr="00FC6132">
        <w:t> 65 of the ACL</w:t>
      </w:r>
      <w:r w:rsidR="00876CEB" w:rsidRPr="00FC6132">
        <w:t xml:space="preserve"> – </w:t>
      </w:r>
      <w:r w:rsidR="003E7CBC" w:rsidRPr="00FC6132">
        <w:t xml:space="preserve">the supply of gas, electricity or </w:t>
      </w:r>
      <w:r w:rsidR="008E758A" w:rsidRPr="00FC6132">
        <w:t xml:space="preserve">a </w:t>
      </w:r>
      <w:r w:rsidR="003E7CBC" w:rsidRPr="00FC6132">
        <w:t>telecommunications service</w:t>
      </w:r>
      <w:r w:rsidR="008E758A" w:rsidRPr="00FC6132">
        <w:t>,</w:t>
      </w:r>
      <w:r w:rsidR="003E7CBC" w:rsidRPr="00FC6132">
        <w:t xml:space="preserve"> or</w:t>
      </w:r>
      <w:r w:rsidR="008E758A" w:rsidRPr="00FC6132">
        <w:t xml:space="preserve"> of</w:t>
      </w:r>
      <w:r w:rsidR="003E7CBC" w:rsidRPr="00FC6132">
        <w:t xml:space="preserve"> a kind specified in the regulations.</w:t>
      </w:r>
      <w:r w:rsidR="009B0D94" w:rsidRPr="00FC6132">
        <w:t xml:space="preserve"> </w:t>
      </w:r>
    </w:p>
    <w:p w14:paraId="71016073" w14:textId="5EE6B85F" w:rsidR="009B0D94" w:rsidRPr="00FC6132" w:rsidRDefault="009B0D94" w:rsidP="009B0D94">
      <w:r w:rsidRPr="00FC6132">
        <w:t xml:space="preserve">Item 3 makes related changes to cross referencing. </w:t>
      </w:r>
    </w:p>
    <w:p w14:paraId="2F76A7BD" w14:textId="20EE06F9" w:rsidR="00267A62" w:rsidRPr="00FC6132" w:rsidRDefault="009B0D94" w:rsidP="00267A62">
      <w:pPr>
        <w:rPr>
          <w:u w:val="single"/>
        </w:rPr>
      </w:pPr>
      <w:r w:rsidRPr="00FC6132">
        <w:rPr>
          <w:u w:val="single"/>
        </w:rPr>
        <w:t xml:space="preserve">Item 5 - </w:t>
      </w:r>
      <w:r w:rsidR="00267A62" w:rsidRPr="00FC6132">
        <w:rPr>
          <w:u w:val="single"/>
        </w:rPr>
        <w:t xml:space="preserve">Application provision </w:t>
      </w:r>
    </w:p>
    <w:p w14:paraId="760DD21A" w14:textId="0C6B81BC" w:rsidR="00267A62" w:rsidRPr="00FC6132" w:rsidRDefault="00267A62" w:rsidP="00267A62">
      <w:r w:rsidRPr="00FC6132">
        <w:t>Item 5 inserts</w:t>
      </w:r>
      <w:r w:rsidR="009B0D94" w:rsidRPr="00FC6132">
        <w:t xml:space="preserve"> a new application provision in</w:t>
      </w:r>
      <w:r w:rsidR="009E3D14" w:rsidRPr="00FC6132">
        <w:t>to</w:t>
      </w:r>
      <w:r w:rsidRPr="00FC6132">
        <w:t xml:space="preserve"> Part 8 of the </w:t>
      </w:r>
      <w:r w:rsidR="00D0220B" w:rsidRPr="00FC6132">
        <w:t>CC </w:t>
      </w:r>
      <w:r w:rsidRPr="00FC6132">
        <w:t>Regulations. The amendments apply in relation to warranties agains</w:t>
      </w:r>
      <w:r w:rsidR="009B0D94" w:rsidRPr="00FC6132">
        <w:t>t defects issued on or after 12 </w:t>
      </w:r>
      <w:r w:rsidRPr="00FC6132">
        <w:t xml:space="preserve">months from commencement of the Regulations.  </w:t>
      </w:r>
    </w:p>
    <w:p w14:paraId="0B42247D" w14:textId="7C4ED74C" w:rsidR="00267A62" w:rsidRPr="00FC6132" w:rsidRDefault="0027090B" w:rsidP="00267A62">
      <w:pPr>
        <w:rPr>
          <w:szCs w:val="24"/>
        </w:rPr>
      </w:pPr>
      <w:r w:rsidRPr="00FC6132">
        <w:rPr>
          <w:szCs w:val="24"/>
        </w:rPr>
        <w:t xml:space="preserve">The 12 month timeframe gives suppliers time to update their existing warranty information. </w:t>
      </w:r>
    </w:p>
    <w:p w14:paraId="037E7840" w14:textId="3F71C930" w:rsidR="001B1388" w:rsidRDefault="001B1388">
      <w:pPr>
        <w:spacing w:before="0" w:after="0"/>
      </w:pPr>
      <w:r>
        <w:br w:type="page"/>
      </w:r>
    </w:p>
    <w:p w14:paraId="0B4009C3" w14:textId="6BFFA002" w:rsidR="009143A0" w:rsidRDefault="001B1388" w:rsidP="001B1388">
      <w:pPr>
        <w:jc w:val="right"/>
        <w:rPr>
          <w:b/>
          <w:color w:val="000000"/>
          <w:u w:val="single"/>
        </w:rPr>
      </w:pPr>
      <w:r w:rsidRPr="001B1388">
        <w:rPr>
          <w:b/>
          <w:color w:val="000000"/>
          <w:u w:val="single"/>
        </w:rPr>
        <w:lastRenderedPageBreak/>
        <w:t>Atta</w:t>
      </w:r>
      <w:bookmarkStart w:id="0" w:name="_GoBack"/>
      <w:bookmarkEnd w:id="0"/>
      <w:r w:rsidRPr="001B1388">
        <w:rPr>
          <w:b/>
          <w:color w:val="000000"/>
          <w:u w:val="single"/>
        </w:rPr>
        <w:t>chment B</w:t>
      </w:r>
    </w:p>
    <w:p w14:paraId="20D0E278" w14:textId="77777777" w:rsidR="00DB46E9" w:rsidRDefault="00DB46E9" w:rsidP="00FC6132">
      <w:pPr>
        <w:pStyle w:val="Heading3"/>
        <w:spacing w:before="0" w:after="240"/>
        <w:jc w:val="center"/>
      </w:pPr>
      <w:r>
        <w:t>Statement of Compatibility with Human Rights</w:t>
      </w:r>
    </w:p>
    <w:p w14:paraId="088CE65F" w14:textId="77777777" w:rsidR="00DB46E9" w:rsidRPr="00E4438C" w:rsidRDefault="00DB46E9" w:rsidP="00FC6132">
      <w:pPr>
        <w:spacing w:before="0" w:after="240"/>
        <w:jc w:val="center"/>
        <w:rPr>
          <w:i/>
        </w:rPr>
      </w:pPr>
      <w:r w:rsidRPr="00E4438C">
        <w:rPr>
          <w:i/>
        </w:rPr>
        <w:t>Prepared in accordance with Part</w:t>
      </w:r>
      <w:r>
        <w:rPr>
          <w:i/>
        </w:rPr>
        <w:t> </w:t>
      </w:r>
      <w:r w:rsidRPr="00E4438C">
        <w:rPr>
          <w:i/>
        </w:rPr>
        <w:t>3 of the Human Rights (Parliamentary Scrutiny) Act</w:t>
      </w:r>
      <w:r>
        <w:rPr>
          <w:i/>
        </w:rPr>
        <w:t> </w:t>
      </w:r>
      <w:r w:rsidRPr="00E4438C">
        <w:rPr>
          <w:i/>
        </w:rPr>
        <w:t>2011</w:t>
      </w:r>
    </w:p>
    <w:p w14:paraId="206E76A6" w14:textId="0199C3FF" w:rsidR="00DB46E9" w:rsidRPr="00DB46E9" w:rsidRDefault="00DB46E9" w:rsidP="00FC6132">
      <w:pPr>
        <w:spacing w:before="0" w:after="240"/>
        <w:jc w:val="center"/>
        <w:rPr>
          <w:b/>
          <w:i/>
        </w:rPr>
      </w:pPr>
      <w:r w:rsidRPr="0089340D">
        <w:rPr>
          <w:b/>
          <w:i/>
          <w:color w:val="000000"/>
        </w:rPr>
        <w:t xml:space="preserve">Competition and Consumer Amendment (Australian Consumer Law Review) </w:t>
      </w:r>
      <w:r w:rsidR="00BF3C87" w:rsidRPr="0089340D">
        <w:rPr>
          <w:b/>
          <w:i/>
          <w:color w:val="000000"/>
        </w:rPr>
        <w:t>Regulations</w:t>
      </w:r>
      <w:r w:rsidR="00BF3C87">
        <w:rPr>
          <w:b/>
          <w:i/>
          <w:color w:val="000000"/>
        </w:rPr>
        <w:t> </w:t>
      </w:r>
      <w:r w:rsidRPr="0089340D">
        <w:rPr>
          <w:b/>
          <w:i/>
          <w:color w:val="000000"/>
        </w:rPr>
        <w:t>2018</w:t>
      </w:r>
    </w:p>
    <w:p w14:paraId="48CA7141" w14:textId="77777777" w:rsidR="00DB46E9" w:rsidRDefault="00DB46E9" w:rsidP="00FC6132">
      <w:pPr>
        <w:spacing w:before="0" w:after="240"/>
      </w:pPr>
      <w:r>
        <w:t xml:space="preserve">This Legislative Instrument is compatible with the human rights and freedoms recognised or declared in the international instruments listed in section 3 of the </w:t>
      </w:r>
      <w:r w:rsidRPr="00E4438C">
        <w:rPr>
          <w:i/>
        </w:rPr>
        <w:t>Human Rights (Parliamentary Scrutiny) Act</w:t>
      </w:r>
      <w:r>
        <w:rPr>
          <w:i/>
        </w:rPr>
        <w:t> </w:t>
      </w:r>
      <w:r w:rsidRPr="00E4438C">
        <w:rPr>
          <w:i/>
        </w:rPr>
        <w:t>2011</w:t>
      </w:r>
      <w:r>
        <w:t>.</w:t>
      </w:r>
    </w:p>
    <w:p w14:paraId="1967B83C" w14:textId="77777777" w:rsidR="00DB46E9" w:rsidRDefault="00DB46E9" w:rsidP="00FC6132">
      <w:pPr>
        <w:pStyle w:val="Heading4"/>
        <w:spacing w:before="0" w:after="240"/>
      </w:pPr>
      <w:r>
        <w:t xml:space="preserve">Overview of the </w:t>
      </w:r>
      <w:r w:rsidRPr="00E4438C">
        <w:t>Legislative</w:t>
      </w:r>
      <w:r>
        <w:t xml:space="preserve"> Instrument</w:t>
      </w:r>
    </w:p>
    <w:p w14:paraId="1600C7AD" w14:textId="5F460B7E" w:rsidR="00DB46E9" w:rsidRDefault="00DB46E9" w:rsidP="00FC6132">
      <w:pPr>
        <w:spacing w:before="0" w:after="240"/>
        <w:rPr>
          <w:color w:val="000000"/>
        </w:rPr>
      </w:pPr>
      <w:r>
        <w:rPr>
          <w:color w:val="000000"/>
        </w:rPr>
        <w:t xml:space="preserve">The Regulations give effect to two proposals included in the </w:t>
      </w:r>
      <w:r w:rsidRPr="00EB4649">
        <w:rPr>
          <w:i/>
          <w:color w:val="000000"/>
        </w:rPr>
        <w:t>Australian Consumer Law Review – Final Report</w:t>
      </w:r>
      <w:r>
        <w:rPr>
          <w:color w:val="000000"/>
        </w:rPr>
        <w:t xml:space="preserve">. </w:t>
      </w:r>
    </w:p>
    <w:p w14:paraId="6791494F" w14:textId="668F1680" w:rsidR="00DB46E9" w:rsidRDefault="00DB46E9" w:rsidP="00FC6132">
      <w:pPr>
        <w:spacing w:before="0" w:after="240"/>
        <w:rPr>
          <w:color w:val="000000"/>
        </w:rPr>
      </w:pPr>
      <w:r>
        <w:rPr>
          <w:color w:val="000000"/>
        </w:rPr>
        <w:t xml:space="preserve">The Regulations prescribe alternative mandatory text to be included in warranty documents for the supply of services and services bundled with goods and include exemptions </w:t>
      </w:r>
      <w:r w:rsidRPr="009625D9">
        <w:rPr>
          <w:color w:val="000000"/>
        </w:rPr>
        <w:t>when the text is not required when the warranty will not apply</w:t>
      </w:r>
      <w:r>
        <w:rPr>
          <w:color w:val="000000"/>
        </w:rPr>
        <w:t xml:space="preserve">. </w:t>
      </w:r>
    </w:p>
    <w:p w14:paraId="36F8FB5C" w14:textId="4AF0445D" w:rsidR="00DB46E9" w:rsidRDefault="00DB46E9" w:rsidP="00FC6132">
      <w:pPr>
        <w:spacing w:before="0" w:after="240"/>
        <w:rPr>
          <w:color w:val="000000"/>
        </w:rPr>
      </w:pPr>
      <w:r>
        <w:rPr>
          <w:color w:val="000000"/>
        </w:rPr>
        <w:t>The</w:t>
      </w:r>
      <w:r w:rsidR="0089340D" w:rsidRPr="0089340D">
        <w:t xml:space="preserve"> </w:t>
      </w:r>
      <w:r w:rsidR="00D0220B">
        <w:rPr>
          <w:color w:val="000000"/>
        </w:rPr>
        <w:t>R</w:t>
      </w:r>
      <w:r>
        <w:rPr>
          <w:color w:val="000000"/>
        </w:rPr>
        <w:t xml:space="preserve">egulations also remove the requirement for suppliers of services to </w:t>
      </w:r>
      <w:r w:rsidRPr="009625D9">
        <w:rPr>
          <w:color w:val="000000"/>
        </w:rPr>
        <w:t>disclose cooling off rights to consumers</w:t>
      </w:r>
      <w:r>
        <w:rPr>
          <w:color w:val="000000"/>
        </w:rPr>
        <w:t xml:space="preserve"> where these rights do not apply to those services. </w:t>
      </w:r>
    </w:p>
    <w:p w14:paraId="2A3A805A" w14:textId="77777777" w:rsidR="00DB46E9" w:rsidRDefault="00DB46E9" w:rsidP="00FC6132">
      <w:pPr>
        <w:pStyle w:val="Heading4"/>
        <w:spacing w:before="0" w:after="240"/>
      </w:pPr>
      <w:r>
        <w:t>Human rights implications</w:t>
      </w:r>
    </w:p>
    <w:p w14:paraId="294B2941" w14:textId="7E7B7A06" w:rsidR="00DB46E9" w:rsidRDefault="00DB46E9" w:rsidP="00FC6132">
      <w:pPr>
        <w:spacing w:before="0" w:after="240"/>
      </w:pPr>
      <w:r>
        <w:t xml:space="preserve">The Regulations do not engage any of the applicable rights or freedoms. </w:t>
      </w:r>
    </w:p>
    <w:p w14:paraId="40FC4DDA" w14:textId="77777777" w:rsidR="00DB46E9" w:rsidRDefault="00DB46E9" w:rsidP="00FC6132">
      <w:pPr>
        <w:pStyle w:val="Heading4"/>
        <w:spacing w:before="0" w:after="240"/>
      </w:pPr>
      <w:r>
        <w:t>Conclusion</w:t>
      </w:r>
    </w:p>
    <w:p w14:paraId="62121D6C" w14:textId="323CA5C6" w:rsidR="001B1388" w:rsidRPr="001B1388" w:rsidRDefault="00DB46E9" w:rsidP="00FC6132">
      <w:pPr>
        <w:spacing w:before="0" w:after="240"/>
        <w:rPr>
          <w:b/>
          <w:color w:val="000000"/>
          <w:u w:val="single"/>
        </w:rPr>
      </w:pPr>
      <w:r>
        <w:t>This Legislative Instrument is compatible with human rights as it does not raise any human rights issues.</w:t>
      </w:r>
    </w:p>
    <w:sectPr w:rsidR="001B1388" w:rsidRPr="001B1388" w:rsidSect="00B32438">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443C5" w14:textId="77777777" w:rsidR="004027D7" w:rsidRDefault="004027D7" w:rsidP="00954679">
      <w:pPr>
        <w:spacing w:before="0" w:after="0"/>
      </w:pPr>
      <w:r>
        <w:separator/>
      </w:r>
    </w:p>
  </w:endnote>
  <w:endnote w:type="continuationSeparator" w:id="0">
    <w:p w14:paraId="145C410F" w14:textId="77777777" w:rsidR="004027D7" w:rsidRDefault="004027D7" w:rsidP="00954679">
      <w:pPr>
        <w:spacing w:before="0" w:after="0"/>
      </w:pPr>
      <w:r>
        <w:continuationSeparator/>
      </w:r>
    </w:p>
  </w:endnote>
  <w:endnote w:type="continuationNotice" w:id="1">
    <w:p w14:paraId="40E4B287" w14:textId="77777777" w:rsidR="004027D7" w:rsidRDefault="004027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854513E" w14:textId="77777777" w:rsidR="0041357C" w:rsidRDefault="0041357C"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A52F6">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A52F6">
              <w:rPr>
                <w:bCs/>
                <w:noProof/>
              </w:rPr>
              <w:t>4</w:t>
            </w:r>
            <w:r w:rsidRPr="00954679">
              <w:rPr>
                <w:bCs/>
                <w:szCs w:val="24"/>
              </w:rPr>
              <w:fldChar w:fldCharType="end"/>
            </w:r>
          </w:p>
        </w:sdtContent>
      </w:sdt>
    </w:sdtContent>
  </w:sdt>
  <w:p w14:paraId="55BDC0DE" w14:textId="77777777" w:rsidR="0041357C" w:rsidRDefault="00413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7EF35" w14:textId="77777777" w:rsidR="004027D7" w:rsidRDefault="004027D7" w:rsidP="00954679">
      <w:pPr>
        <w:spacing w:before="0" w:after="0"/>
      </w:pPr>
      <w:r>
        <w:separator/>
      </w:r>
    </w:p>
  </w:footnote>
  <w:footnote w:type="continuationSeparator" w:id="0">
    <w:p w14:paraId="516D85AC" w14:textId="77777777" w:rsidR="004027D7" w:rsidRDefault="004027D7" w:rsidP="00954679">
      <w:pPr>
        <w:spacing w:before="0" w:after="0"/>
      </w:pPr>
      <w:r>
        <w:continuationSeparator/>
      </w:r>
    </w:p>
  </w:footnote>
  <w:footnote w:type="continuationNotice" w:id="1">
    <w:p w14:paraId="3A79FE88" w14:textId="77777777" w:rsidR="004027D7" w:rsidRDefault="004027D7">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C42710D"/>
    <w:multiLevelType w:val="hybridMultilevel"/>
    <w:tmpl w:val="B37EA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7A43C0B"/>
    <w:multiLevelType w:val="multilevel"/>
    <w:tmpl w:val="2CC61BFC"/>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1"/>
  </w:num>
  <w:num w:numId="2">
    <w:abstractNumId w:val="3"/>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46"/>
    <w:rsid w:val="00016EA2"/>
    <w:rsid w:val="00060F4D"/>
    <w:rsid w:val="00077E99"/>
    <w:rsid w:val="00095211"/>
    <w:rsid w:val="000B36AB"/>
    <w:rsid w:val="000B3C7D"/>
    <w:rsid w:val="000B40FF"/>
    <w:rsid w:val="000C10DF"/>
    <w:rsid w:val="000F4D91"/>
    <w:rsid w:val="00113B45"/>
    <w:rsid w:val="00124670"/>
    <w:rsid w:val="001A39AE"/>
    <w:rsid w:val="001B1388"/>
    <w:rsid w:val="001B2CAA"/>
    <w:rsid w:val="001E6A74"/>
    <w:rsid w:val="001F41D0"/>
    <w:rsid w:val="00220F16"/>
    <w:rsid w:val="0023496D"/>
    <w:rsid w:val="0024259F"/>
    <w:rsid w:val="00254C5B"/>
    <w:rsid w:val="00267A62"/>
    <w:rsid w:val="0027090B"/>
    <w:rsid w:val="00290991"/>
    <w:rsid w:val="00310005"/>
    <w:rsid w:val="003342CD"/>
    <w:rsid w:val="00335042"/>
    <w:rsid w:val="00354E4F"/>
    <w:rsid w:val="003567FB"/>
    <w:rsid w:val="00362B70"/>
    <w:rsid w:val="00392BBA"/>
    <w:rsid w:val="00394531"/>
    <w:rsid w:val="003954FD"/>
    <w:rsid w:val="003A4496"/>
    <w:rsid w:val="003C5537"/>
    <w:rsid w:val="003C7E98"/>
    <w:rsid w:val="003E1CE3"/>
    <w:rsid w:val="003E7CBC"/>
    <w:rsid w:val="004027D7"/>
    <w:rsid w:val="0041357C"/>
    <w:rsid w:val="004225E5"/>
    <w:rsid w:val="004307C2"/>
    <w:rsid w:val="0043627A"/>
    <w:rsid w:val="0045530A"/>
    <w:rsid w:val="00462095"/>
    <w:rsid w:val="00487701"/>
    <w:rsid w:val="004A3628"/>
    <w:rsid w:val="004B3C0F"/>
    <w:rsid w:val="004C05E4"/>
    <w:rsid w:val="004E39E1"/>
    <w:rsid w:val="00503E44"/>
    <w:rsid w:val="00515283"/>
    <w:rsid w:val="00533926"/>
    <w:rsid w:val="0055675D"/>
    <w:rsid w:val="00566E8F"/>
    <w:rsid w:val="005833BE"/>
    <w:rsid w:val="005D7D5A"/>
    <w:rsid w:val="005E4BAC"/>
    <w:rsid w:val="0060130D"/>
    <w:rsid w:val="0064129F"/>
    <w:rsid w:val="00647BB7"/>
    <w:rsid w:val="00683B47"/>
    <w:rsid w:val="006A0786"/>
    <w:rsid w:val="006F1677"/>
    <w:rsid w:val="006F5B5E"/>
    <w:rsid w:val="00722D17"/>
    <w:rsid w:val="00736F61"/>
    <w:rsid w:val="0074089E"/>
    <w:rsid w:val="00753C1B"/>
    <w:rsid w:val="007662C7"/>
    <w:rsid w:val="00776306"/>
    <w:rsid w:val="0079528D"/>
    <w:rsid w:val="007B1F10"/>
    <w:rsid w:val="007E018D"/>
    <w:rsid w:val="007F1B71"/>
    <w:rsid w:val="00807E7D"/>
    <w:rsid w:val="00831675"/>
    <w:rsid w:val="00876CEB"/>
    <w:rsid w:val="0088467C"/>
    <w:rsid w:val="0089340D"/>
    <w:rsid w:val="00894579"/>
    <w:rsid w:val="008A5B67"/>
    <w:rsid w:val="008D16F7"/>
    <w:rsid w:val="008E1A69"/>
    <w:rsid w:val="008E68EE"/>
    <w:rsid w:val="008E758A"/>
    <w:rsid w:val="008F6A6F"/>
    <w:rsid w:val="008F7B0B"/>
    <w:rsid w:val="009143A0"/>
    <w:rsid w:val="00917A7C"/>
    <w:rsid w:val="00954679"/>
    <w:rsid w:val="009625D9"/>
    <w:rsid w:val="009B0D94"/>
    <w:rsid w:val="009E14A9"/>
    <w:rsid w:val="009E2F86"/>
    <w:rsid w:val="009E3D14"/>
    <w:rsid w:val="00A12209"/>
    <w:rsid w:val="00A15C68"/>
    <w:rsid w:val="00A36DF3"/>
    <w:rsid w:val="00A42535"/>
    <w:rsid w:val="00A532DD"/>
    <w:rsid w:val="00A6519C"/>
    <w:rsid w:val="00A80BCF"/>
    <w:rsid w:val="00A8369C"/>
    <w:rsid w:val="00AA1689"/>
    <w:rsid w:val="00AC1D15"/>
    <w:rsid w:val="00AC79D1"/>
    <w:rsid w:val="00AD0693"/>
    <w:rsid w:val="00AD1D71"/>
    <w:rsid w:val="00AE18EB"/>
    <w:rsid w:val="00AF3A89"/>
    <w:rsid w:val="00B07B0C"/>
    <w:rsid w:val="00B07FDB"/>
    <w:rsid w:val="00B246F9"/>
    <w:rsid w:val="00B25563"/>
    <w:rsid w:val="00B26D48"/>
    <w:rsid w:val="00B32438"/>
    <w:rsid w:val="00B42EE1"/>
    <w:rsid w:val="00B92478"/>
    <w:rsid w:val="00BD61A2"/>
    <w:rsid w:val="00BE484D"/>
    <w:rsid w:val="00BF3C87"/>
    <w:rsid w:val="00C37E05"/>
    <w:rsid w:val="00C55D29"/>
    <w:rsid w:val="00C7792C"/>
    <w:rsid w:val="00CA0BE9"/>
    <w:rsid w:val="00CA138D"/>
    <w:rsid w:val="00CA18A0"/>
    <w:rsid w:val="00CA52F6"/>
    <w:rsid w:val="00CC7641"/>
    <w:rsid w:val="00CE012D"/>
    <w:rsid w:val="00D0220B"/>
    <w:rsid w:val="00D13794"/>
    <w:rsid w:val="00D24052"/>
    <w:rsid w:val="00D31575"/>
    <w:rsid w:val="00D34626"/>
    <w:rsid w:val="00D4257A"/>
    <w:rsid w:val="00D42689"/>
    <w:rsid w:val="00D53A0E"/>
    <w:rsid w:val="00D62665"/>
    <w:rsid w:val="00D90FD3"/>
    <w:rsid w:val="00D92350"/>
    <w:rsid w:val="00DB2CF2"/>
    <w:rsid w:val="00DB46E9"/>
    <w:rsid w:val="00DC0CDE"/>
    <w:rsid w:val="00DC4D72"/>
    <w:rsid w:val="00DD41A5"/>
    <w:rsid w:val="00E0624D"/>
    <w:rsid w:val="00E16758"/>
    <w:rsid w:val="00E364CA"/>
    <w:rsid w:val="00E4438C"/>
    <w:rsid w:val="00E457F3"/>
    <w:rsid w:val="00E809B6"/>
    <w:rsid w:val="00EB4649"/>
    <w:rsid w:val="00EB7E71"/>
    <w:rsid w:val="00F07246"/>
    <w:rsid w:val="00F109D4"/>
    <w:rsid w:val="00F47585"/>
    <w:rsid w:val="00F961DA"/>
    <w:rsid w:val="00FA6EF4"/>
    <w:rsid w:val="00FC6132"/>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6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customStyle="1" w:styleId="CharAmPartText">
    <w:name w:val="CharAmPartText"/>
    <w:basedOn w:val="DefaultParagraphFont"/>
    <w:uiPriority w:val="1"/>
    <w:qFormat/>
    <w:rsid w:val="00267A62"/>
  </w:style>
  <w:style w:type="paragraph" w:styleId="FootnoteText">
    <w:name w:val="footnote text"/>
    <w:basedOn w:val="Normal"/>
    <w:link w:val="FootnoteTextChar"/>
    <w:unhideWhenUsed/>
    <w:rsid w:val="00DB46E9"/>
    <w:pPr>
      <w:spacing w:before="0" w:after="0"/>
    </w:pPr>
    <w:rPr>
      <w:sz w:val="20"/>
    </w:rPr>
  </w:style>
  <w:style w:type="character" w:customStyle="1" w:styleId="FootnoteTextChar">
    <w:name w:val="Footnote Text Char"/>
    <w:basedOn w:val="DefaultParagraphFont"/>
    <w:link w:val="FootnoteText"/>
    <w:rsid w:val="00DB46E9"/>
  </w:style>
  <w:style w:type="character" w:styleId="FootnoteReference">
    <w:name w:val="footnote reference"/>
    <w:basedOn w:val="DefaultParagraphFont"/>
    <w:unhideWhenUsed/>
    <w:rsid w:val="00DB46E9"/>
    <w:rPr>
      <w:vertAlign w:val="superscript"/>
    </w:rPr>
  </w:style>
  <w:style w:type="character" w:customStyle="1" w:styleId="base-text-paragraphChar">
    <w:name w:val="base-text-paragraph Char"/>
    <w:basedOn w:val="DefaultParagraphFont"/>
    <w:link w:val="base-text-paragraph"/>
    <w:rsid w:val="00DB46E9"/>
    <w:rPr>
      <w:sz w:val="24"/>
    </w:rPr>
  </w:style>
  <w:style w:type="paragraph" w:styleId="ListParagraph">
    <w:name w:val="List Paragraph"/>
    <w:basedOn w:val="Normal"/>
    <w:uiPriority w:val="34"/>
    <w:qFormat/>
    <w:rsid w:val="003C7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customStyle="1" w:styleId="CharAmPartText">
    <w:name w:val="CharAmPartText"/>
    <w:basedOn w:val="DefaultParagraphFont"/>
    <w:uiPriority w:val="1"/>
    <w:qFormat/>
    <w:rsid w:val="00267A62"/>
  </w:style>
  <w:style w:type="paragraph" w:styleId="FootnoteText">
    <w:name w:val="footnote text"/>
    <w:basedOn w:val="Normal"/>
    <w:link w:val="FootnoteTextChar"/>
    <w:unhideWhenUsed/>
    <w:rsid w:val="00DB46E9"/>
    <w:pPr>
      <w:spacing w:before="0" w:after="0"/>
    </w:pPr>
    <w:rPr>
      <w:sz w:val="20"/>
    </w:rPr>
  </w:style>
  <w:style w:type="character" w:customStyle="1" w:styleId="FootnoteTextChar">
    <w:name w:val="Footnote Text Char"/>
    <w:basedOn w:val="DefaultParagraphFont"/>
    <w:link w:val="FootnoteText"/>
    <w:rsid w:val="00DB46E9"/>
  </w:style>
  <w:style w:type="character" w:styleId="FootnoteReference">
    <w:name w:val="footnote reference"/>
    <w:basedOn w:val="DefaultParagraphFont"/>
    <w:unhideWhenUsed/>
    <w:rsid w:val="00DB46E9"/>
    <w:rPr>
      <w:vertAlign w:val="superscript"/>
    </w:rPr>
  </w:style>
  <w:style w:type="character" w:customStyle="1" w:styleId="base-text-paragraphChar">
    <w:name w:val="base-text-paragraph Char"/>
    <w:basedOn w:val="DefaultParagraphFont"/>
    <w:link w:val="base-text-paragraph"/>
    <w:rsid w:val="00DB46E9"/>
    <w:rPr>
      <w:sz w:val="24"/>
    </w:rPr>
  </w:style>
  <w:style w:type="paragraph" w:styleId="ListParagraph">
    <w:name w:val="List Paragraph"/>
    <w:basedOn w:val="Normal"/>
    <w:uiPriority w:val="34"/>
    <w:qFormat/>
    <w:rsid w:val="003C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1665550426">
      <w:bodyDiv w:val="1"/>
      <w:marLeft w:val="0"/>
      <w:marRight w:val="0"/>
      <w:marTop w:val="0"/>
      <w:marBottom w:val="0"/>
      <w:divBdr>
        <w:top w:val="none" w:sz="0" w:space="0" w:color="auto"/>
        <w:left w:val="none" w:sz="0" w:space="0" w:color="auto"/>
        <w:bottom w:val="none" w:sz="0" w:space="0" w:color="auto"/>
        <w:right w:val="none" w:sz="0" w:space="0" w:color="auto"/>
      </w:divBdr>
    </w:div>
    <w:div w:id="1815639798">
      <w:bodyDiv w:val="1"/>
      <w:marLeft w:val="0"/>
      <w:marRight w:val="0"/>
      <w:marTop w:val="0"/>
      <w:marBottom w:val="0"/>
      <w:divBdr>
        <w:top w:val="none" w:sz="0" w:space="0" w:color="auto"/>
        <w:left w:val="none" w:sz="0" w:space="0" w:color="auto"/>
        <w:bottom w:val="none" w:sz="0" w:space="0" w:color="auto"/>
        <w:right w:val="none" w:sz="0" w:space="0" w:color="auto"/>
      </w:divBdr>
    </w:div>
    <w:div w:id="1936283196">
      <w:bodyDiv w:val="1"/>
      <w:marLeft w:val="0"/>
      <w:marRight w:val="0"/>
      <w:marTop w:val="0"/>
      <w:marBottom w:val="0"/>
      <w:divBdr>
        <w:top w:val="none" w:sz="0" w:space="0" w:color="auto"/>
        <w:left w:val="none" w:sz="0" w:space="0" w:color="auto"/>
        <w:bottom w:val="none" w:sz="0" w:space="0" w:color="auto"/>
        <w:right w:val="none" w:sz="0" w:space="0" w:color="auto"/>
      </w:divBdr>
    </w:div>
    <w:div w:id="19550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24</Value>
    </TaxCatchAll>
    <_dlc_DocId xmlns="9f7bc583-7cbe-45b9-a2bd-8bbb6543b37e">2018RG-111-8888</_dlc_DocId>
    <_dlc_DocIdUrl xmlns="9f7bc583-7cbe-45b9-a2bd-8bbb6543b37e">
      <Url>http://tweb/sites/rg/ldp/lmu/_layouts/15/DocIdRedir.aspx?ID=2018RG-111-8888</Url>
      <Description>2018RG-111-8888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1652" ma:contentTypeDescription=" " ma:contentTypeScope="" ma:versionID="90525eee888b6bb677e5b5fbfc0d938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dcmitype/"/>
    <ds:schemaRef ds:uri="http://purl.org/dc/elements/1.1/"/>
    <ds:schemaRef ds:uri="http://schemas.microsoft.com/sharepoint/v3"/>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schemas.microsoft.com/sharepoint/v4"/>
    <ds:schemaRef ds:uri="9f7bc583-7cbe-45b9-a2bd-8bbb6543b37e"/>
    <ds:schemaRef ds:uri="http://schemas.microsoft.com/office/2006/metadata/properties"/>
  </ds:schemaRefs>
</ds:datastoreItem>
</file>

<file path=customXml/itemProps3.xml><?xml version="1.0" encoding="utf-8"?>
<ds:datastoreItem xmlns:ds="http://schemas.openxmlformats.org/officeDocument/2006/customXml" ds:itemID="{8C26DCCD-9210-48D3-8EB3-EF92D9EAC1BF}"/>
</file>

<file path=customXml/itemProps4.xml><?xml version="1.0" encoding="utf-8"?>
<ds:datastoreItem xmlns:ds="http://schemas.openxmlformats.org/officeDocument/2006/customXml" ds:itemID="{18C9E0F2-CBB0-46BA-BA3C-D899F3B91B9E}">
  <ds:schemaRefs>
    <ds:schemaRef ds:uri="office.server.policy"/>
  </ds:schemaRefs>
</ds:datastoreItem>
</file>

<file path=customXml/itemProps5.xml><?xml version="1.0" encoding="utf-8"?>
<ds:datastoreItem xmlns:ds="http://schemas.openxmlformats.org/officeDocument/2006/customXml" ds:itemID="{A27BC987-9E1D-42E9-A970-26DC10436800}">
  <ds:schemaRefs>
    <ds:schemaRef ds:uri="http://schemas.microsoft.com/sharepoint/events"/>
  </ds:schemaRefs>
</ds:datastoreItem>
</file>

<file path=customXml/itemProps6.xml><?xml version="1.0" encoding="utf-8"?>
<ds:datastoreItem xmlns:ds="http://schemas.openxmlformats.org/officeDocument/2006/customXml" ds:itemID="{7B5BAC10-DB62-4493-BB66-5D56F8EC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310</TotalTime>
  <Pages>4</Pages>
  <Words>1210</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Kuang, Eveline</dc:creator>
  <cp:lastModifiedBy>Osborne, Lea</cp:lastModifiedBy>
  <cp:revision>21</cp:revision>
  <cp:lastPrinted>2018-05-17T02:18:00Z</cp:lastPrinted>
  <dcterms:created xsi:type="dcterms:W3CDTF">2018-05-04T03:16:00Z</dcterms:created>
  <dcterms:modified xsi:type="dcterms:W3CDTF">2018-05-17T02:19:00Z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1726928443</vt:i4>
  </property>
  <property fmtid="{D5CDD505-2E9C-101B-9397-08002B2CF9AE}" pid="3" name="_NewReviewCycle">
    <vt:lpwstr/>
  </property>
  <property fmtid="{D5CDD505-2E9C-101B-9397-08002B2CF9AE}" pid="4" name="_EmailSubject">
    <vt:lpwstr>finals - Competition and Consumer Amendment (Australian Consumer Law Reform) Regulations 2018 [SEC=PROTECTED, DLM=Sensitive]</vt:lpwstr>
  </property>
  <property fmtid="{D5CDD505-2E9C-101B-9397-08002B2CF9AE}" pid="5" name="_AuthorEmail">
    <vt:lpwstr>Ruth.Fields@treasury.gov.au</vt:lpwstr>
  </property>
  <property fmtid="{D5CDD505-2E9C-101B-9397-08002B2CF9AE}" pid="6" name="_AuthorEmailDisplayName">
    <vt:lpwstr>Fields, Ruth</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d0a227a5-9b47-4fed-b399-c362ba139268</vt:lpwstr>
  </property>
  <property fmtid="{D5CDD505-2E9C-101B-9397-08002B2CF9AE}" pid="10" name="_PreviousAdHocReviewCycleID">
    <vt:i4>254406769</vt:i4>
  </property>
  <property fmtid="{D5CDD505-2E9C-101B-9397-08002B2CF9AE}" pid="11" name="RecordPoint_WorkflowType">
    <vt:lpwstr>ActiveSubmitStub</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ActiveItemUniqueId">
    <vt:lpwstr>{d0a227a5-9b47-4fed-b399-c362ba139268}</vt:lpwstr>
  </property>
  <property fmtid="{D5CDD505-2E9C-101B-9397-08002B2CF9AE}" pid="16" name="RecordPoint_RecordNumberSubmitted">
    <vt:lpwstr>R0001696051</vt:lpwstr>
  </property>
  <property fmtid="{D5CDD505-2E9C-101B-9397-08002B2CF9AE}" pid="17" name="RecordPoint_SubmissionCompleted">
    <vt:lpwstr>2018-05-17T13:21:25.7359013+10:00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