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B5837" w14:textId="77777777" w:rsidR="00F109D4" w:rsidRPr="00863DF0" w:rsidRDefault="00F109D4" w:rsidP="00647BB7">
      <w:pPr>
        <w:pStyle w:val="Heading1"/>
        <w:spacing w:after="360"/>
        <w:rPr>
          <w:rFonts w:ascii="Times New Roman" w:hAnsi="Times New Roman"/>
        </w:rPr>
      </w:pPr>
      <w:bookmarkStart w:id="0" w:name="_GoBack"/>
      <w:bookmarkEnd w:id="0"/>
      <w:r w:rsidRPr="00863DF0">
        <w:rPr>
          <w:rFonts w:ascii="Times New Roman" w:hAnsi="Times New Roman"/>
        </w:rPr>
        <w:t>EXPLANATORY STATEMENT</w:t>
      </w:r>
    </w:p>
    <w:p w14:paraId="61242027" w14:textId="4B5C982E" w:rsidR="007662C7" w:rsidRPr="003E1CE3" w:rsidRDefault="00F109D4" w:rsidP="003E1CE3">
      <w:pPr>
        <w:pStyle w:val="Heading2"/>
        <w:jc w:val="center"/>
      </w:pPr>
      <w:r w:rsidRPr="00503E44">
        <w:t xml:space="preserve">Issued by authority of the </w:t>
      </w:r>
      <w:r w:rsidR="00090CCB">
        <w:t>Minister for</w:t>
      </w:r>
      <w:r w:rsidR="004D349D">
        <w:t xml:space="preserve"> Revenue and Financial Services</w:t>
      </w:r>
      <w:r w:rsidR="006F6323">
        <w:t xml:space="preserve">, </w:t>
      </w:r>
    </w:p>
    <w:p w14:paraId="41F260D8" w14:textId="6B29BC45" w:rsidR="00F109D4" w:rsidRPr="00503E44" w:rsidRDefault="00B560BF" w:rsidP="00135B2E">
      <w:pPr>
        <w:spacing w:before="240" w:after="240"/>
        <w:jc w:val="center"/>
        <w:rPr>
          <w:i/>
        </w:rPr>
      </w:pPr>
      <w:r>
        <w:rPr>
          <w:i/>
        </w:rPr>
        <w:t>Financial Sector (Collection of Data) Act 2001</w:t>
      </w:r>
    </w:p>
    <w:p w14:paraId="0A7A0ECC" w14:textId="405E0D2A" w:rsidR="00F109D4" w:rsidRPr="00503E44" w:rsidRDefault="00B560BF" w:rsidP="00AA1689">
      <w:pPr>
        <w:tabs>
          <w:tab w:val="left" w:pos="1418"/>
        </w:tabs>
        <w:spacing w:before="0" w:after="240"/>
        <w:jc w:val="center"/>
        <w:rPr>
          <w:i/>
        </w:rPr>
      </w:pPr>
      <w:r>
        <w:rPr>
          <w:i/>
        </w:rPr>
        <w:t>Financial Sector (Collection of Data) Regulations 2018</w:t>
      </w:r>
    </w:p>
    <w:p w14:paraId="079650CD" w14:textId="4A0497CD" w:rsidR="00F109D4" w:rsidRDefault="00C55D29" w:rsidP="00D04428">
      <w:pPr>
        <w:spacing w:before="0" w:after="240"/>
      </w:pPr>
      <w:r w:rsidRPr="00503E44">
        <w:t xml:space="preserve">Section </w:t>
      </w:r>
      <w:r w:rsidR="00B560BF">
        <w:t>30</w:t>
      </w:r>
      <w:r w:rsidR="005E4BAC">
        <w:t xml:space="preserve"> </w:t>
      </w:r>
      <w:r w:rsidR="00F109D4" w:rsidRPr="00503E44">
        <w:t xml:space="preserve">of the </w:t>
      </w:r>
      <w:r w:rsidR="00B560BF" w:rsidRPr="00B560BF">
        <w:rPr>
          <w:i/>
        </w:rPr>
        <w:t>Financial Sector (Collection of Data) Act 2001</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33A89F20" w14:textId="12EDAAC7" w:rsidR="00A0136C" w:rsidRDefault="00B560BF" w:rsidP="00D04428">
      <w:pPr>
        <w:spacing w:before="0" w:after="240"/>
      </w:pPr>
      <w:r>
        <w:t xml:space="preserve">The purpose of the </w:t>
      </w:r>
      <w:r w:rsidRPr="00B560BF">
        <w:rPr>
          <w:i/>
        </w:rPr>
        <w:t>Financial Sector (Collection of Data) Regulations 2018</w:t>
      </w:r>
      <w:r>
        <w:rPr>
          <w:i/>
        </w:rPr>
        <w:t xml:space="preserve"> </w:t>
      </w:r>
      <w:r>
        <w:t xml:space="preserve">(the Regulations) is to </w:t>
      </w:r>
      <w:r w:rsidRPr="00FE098D">
        <w:t>remake</w:t>
      </w:r>
      <w:r w:rsidR="00E25D31" w:rsidRPr="00FE098D">
        <w:t xml:space="preserve"> </w:t>
      </w:r>
      <w:r>
        <w:t xml:space="preserve">the </w:t>
      </w:r>
      <w:r w:rsidRPr="00B560BF">
        <w:rPr>
          <w:i/>
        </w:rPr>
        <w:t>Financial Sector (Collection of Data) Regulations 2008</w:t>
      </w:r>
      <w:r>
        <w:rPr>
          <w:i/>
        </w:rPr>
        <w:t xml:space="preserve"> </w:t>
      </w:r>
      <w:r>
        <w:t xml:space="preserve">prior to their ‘sunsetting’. </w:t>
      </w:r>
      <w:r w:rsidRPr="00E0375A">
        <w:t xml:space="preserve">The </w:t>
      </w:r>
      <w:r w:rsidRPr="00DC20AE">
        <w:rPr>
          <w:i/>
        </w:rPr>
        <w:t>Legislation Act 2003</w:t>
      </w:r>
      <w:r>
        <w:t xml:space="preserve"> </w:t>
      </w:r>
      <w:r w:rsidRPr="00E0375A">
        <w:t xml:space="preserve">provides that all legislative instruments, other than exempt instruments, </w:t>
      </w:r>
      <w:r>
        <w:t>are automatically repealed on or after their tenth anniversary of their registration.</w:t>
      </w:r>
      <w:r w:rsidR="005D348C">
        <w:t xml:space="preserve"> The </w:t>
      </w:r>
      <w:r w:rsidR="005D348C" w:rsidRPr="00B560BF">
        <w:rPr>
          <w:i/>
        </w:rPr>
        <w:t>Financial Sector (Collection of Data) Regulations 2008</w:t>
      </w:r>
      <w:r w:rsidR="005D348C">
        <w:rPr>
          <w:i/>
        </w:rPr>
        <w:t xml:space="preserve"> </w:t>
      </w:r>
      <w:r w:rsidR="005D348C">
        <w:t xml:space="preserve">will be automatically repealed on </w:t>
      </w:r>
      <w:r w:rsidR="007E5441">
        <w:t>1 October </w:t>
      </w:r>
      <w:r w:rsidR="005D348C">
        <w:t>2018.</w:t>
      </w:r>
      <w:r w:rsidR="005D348C">
        <w:rPr>
          <w:i/>
        </w:rPr>
        <w:t xml:space="preserve"> </w:t>
      </w:r>
      <w:r>
        <w:t>Legislative instruments generally cease to have effect after</w:t>
      </w:r>
      <w:r w:rsidR="000C6A23">
        <w:t xml:space="preserve"> 10 years</w:t>
      </w:r>
      <w:r>
        <w:t xml:space="preserve"> unless further legislative action is taken to extend their operation, such as remaking the instrument. </w:t>
      </w:r>
    </w:p>
    <w:p w14:paraId="4BDC61E6" w14:textId="2FF5C387" w:rsidR="00C93203" w:rsidRDefault="00B560BF" w:rsidP="00D04428">
      <w:pPr>
        <w:spacing w:before="0" w:after="240"/>
        <w:ind w:right="-483"/>
      </w:pPr>
      <w:r w:rsidRPr="00DC20AE">
        <w:t>The Regulation</w:t>
      </w:r>
      <w:r w:rsidR="00FE689E">
        <w:t>s</w:t>
      </w:r>
      <w:r w:rsidRPr="00DC20AE">
        <w:t xml:space="preserve"> r</w:t>
      </w:r>
      <w:r w:rsidR="00FE689E">
        <w:t xml:space="preserve">emake </w:t>
      </w:r>
      <w:r w:rsidRPr="00DC20AE">
        <w:t xml:space="preserve">the </w:t>
      </w:r>
      <w:r w:rsidRPr="00B560BF">
        <w:rPr>
          <w:i/>
        </w:rPr>
        <w:t>Financial Sector (Collection of Data) Regulations 2008</w:t>
      </w:r>
      <w:r w:rsidR="00863DF0">
        <w:t xml:space="preserve"> by updating </w:t>
      </w:r>
      <w:r w:rsidR="00B96E9A">
        <w:t xml:space="preserve">the language and restructuring provisions to align with current drafting practices. </w:t>
      </w:r>
    </w:p>
    <w:p w14:paraId="64DD041B" w14:textId="71DE1AFA" w:rsidR="00681C6B" w:rsidRDefault="00B560BF" w:rsidP="00D04428">
      <w:pPr>
        <w:spacing w:before="0" w:after="240"/>
      </w:pPr>
      <w:r w:rsidRPr="00B96E9A">
        <w:t>These changes do not change the substantive meaning or operation of the provisions.</w:t>
      </w:r>
    </w:p>
    <w:p w14:paraId="19932C73" w14:textId="1A8CC7D8" w:rsidR="00681C6B" w:rsidRPr="00EB1B56" w:rsidRDefault="00681C6B" w:rsidP="00D04428">
      <w:pPr>
        <w:spacing w:before="0" w:after="240"/>
      </w:pPr>
      <w:r w:rsidRPr="00EB1B56">
        <w:t xml:space="preserve">Details of the Regulations are set out in the </w:t>
      </w:r>
      <w:r w:rsidRPr="00EB1B56">
        <w:rPr>
          <w:u w:val="single"/>
        </w:rPr>
        <w:t>Attachment.</w:t>
      </w:r>
      <w:r w:rsidRPr="00EB1B56">
        <w:t xml:space="preserve"> </w:t>
      </w:r>
    </w:p>
    <w:p w14:paraId="6DC5A8AB" w14:textId="1E6FD345" w:rsidR="00B560BF" w:rsidRDefault="00B560BF" w:rsidP="00D04428">
      <w:pPr>
        <w:pStyle w:val="Bullet"/>
        <w:numPr>
          <w:ilvl w:val="0"/>
          <w:numId w:val="0"/>
        </w:numPr>
        <w:spacing w:before="0" w:after="240"/>
      </w:pPr>
      <w:r w:rsidRPr="00DC20AE">
        <w:t>The Act does not specify any conditions that need to be met before the power to make the Regulation</w:t>
      </w:r>
      <w:r w:rsidR="004219A4">
        <w:t>s</w:t>
      </w:r>
      <w:r w:rsidRPr="00DC20AE">
        <w:t xml:space="preserve"> may be exercised.</w:t>
      </w:r>
    </w:p>
    <w:p w14:paraId="62C99830" w14:textId="3A03178E" w:rsidR="00252F21" w:rsidRPr="00135B2E" w:rsidRDefault="00252F21" w:rsidP="00D04428">
      <w:pPr>
        <w:spacing w:before="0" w:after="240"/>
      </w:pPr>
      <w:r w:rsidRPr="00135B2E">
        <w:t xml:space="preserve">An exposure draft of the Regulations and accompanying explanatory material were released for public consultation from </w:t>
      </w:r>
      <w:r w:rsidR="006D4AED" w:rsidRPr="00135B2E">
        <w:t>26</w:t>
      </w:r>
      <w:r w:rsidRPr="00135B2E">
        <w:t xml:space="preserve"> </w:t>
      </w:r>
      <w:r w:rsidR="006D4AED" w:rsidRPr="00135B2E">
        <w:t>March</w:t>
      </w:r>
      <w:r w:rsidRPr="00135B2E">
        <w:t xml:space="preserve"> 2018 to </w:t>
      </w:r>
      <w:r w:rsidR="006D4AED" w:rsidRPr="00135B2E">
        <w:t>16</w:t>
      </w:r>
      <w:r w:rsidRPr="00135B2E">
        <w:t xml:space="preserve"> April 2018.</w:t>
      </w:r>
      <w:r w:rsidR="007D07B3" w:rsidRPr="00135B2E">
        <w:t xml:space="preserve"> </w:t>
      </w:r>
      <w:r w:rsidR="006D4AED" w:rsidRPr="00135B2E">
        <w:t>No</w:t>
      </w:r>
      <w:r w:rsidR="007D07B3" w:rsidRPr="00135B2E">
        <w:t xml:space="preserve"> submissions were received during the consultation process. </w:t>
      </w:r>
    </w:p>
    <w:p w14:paraId="3BA2B94C" w14:textId="0CBC9D25" w:rsidR="00F20684" w:rsidRPr="00135B2E" w:rsidRDefault="00B560BF" w:rsidP="00D04428">
      <w:pPr>
        <w:spacing w:before="0" w:after="240"/>
        <w:ind w:right="-199"/>
      </w:pPr>
      <w:r w:rsidRPr="00135B2E">
        <w:t>The Regulation</w:t>
      </w:r>
      <w:r w:rsidR="004219A4" w:rsidRPr="00135B2E">
        <w:t>s</w:t>
      </w:r>
      <w:r w:rsidRPr="00135B2E">
        <w:t xml:space="preserve"> is a legislative instrument for the purposes of the </w:t>
      </w:r>
      <w:r w:rsidR="00D04428" w:rsidRPr="00135B2E">
        <w:rPr>
          <w:i/>
        </w:rPr>
        <w:t>Legislation Act </w:t>
      </w:r>
      <w:r w:rsidRPr="00135B2E">
        <w:rPr>
          <w:i/>
        </w:rPr>
        <w:t>2003</w:t>
      </w:r>
      <w:r w:rsidRPr="00135B2E">
        <w:t>.</w:t>
      </w:r>
    </w:p>
    <w:p w14:paraId="755AB855" w14:textId="55BF3F2E" w:rsidR="000A5057" w:rsidRPr="00135B2E" w:rsidRDefault="00B560BF" w:rsidP="00D04428">
      <w:pPr>
        <w:spacing w:before="0" w:after="240"/>
      </w:pPr>
      <w:r w:rsidRPr="00135B2E">
        <w:t>The Regulation</w:t>
      </w:r>
      <w:r w:rsidR="004219A4" w:rsidRPr="00135B2E">
        <w:t>s</w:t>
      </w:r>
      <w:r w:rsidRPr="00135B2E">
        <w:t xml:space="preserve"> </w:t>
      </w:r>
      <w:r w:rsidR="004219A4" w:rsidRPr="00135B2E">
        <w:t>commence on</w:t>
      </w:r>
      <w:r w:rsidRPr="00135B2E">
        <w:t xml:space="preserve"> </w:t>
      </w:r>
      <w:r w:rsidR="000A5057" w:rsidRPr="00135B2E">
        <w:t xml:space="preserve">1 October 2018. </w:t>
      </w:r>
    </w:p>
    <w:p w14:paraId="3B908253" w14:textId="369C7BA7" w:rsidR="00D04428" w:rsidRDefault="007D07B3">
      <w:pPr>
        <w:spacing w:before="0" w:after="0"/>
        <w:rPr>
          <w:kern w:val="28"/>
        </w:rPr>
      </w:pPr>
      <w:r w:rsidRPr="002D73AC">
        <w:rPr>
          <w:color w:val="000000"/>
          <w:szCs w:val="24"/>
        </w:rPr>
        <w:t>The Office of Best Practice Regulation</w:t>
      </w:r>
      <w:r w:rsidRPr="002D73AC">
        <w:rPr>
          <w:color w:val="000000" w:themeColor="text1"/>
          <w:szCs w:val="24"/>
        </w:rPr>
        <w:t xml:space="preserve"> consider the Regulations</w:t>
      </w:r>
      <w:r w:rsidR="002D73AC" w:rsidRPr="002D73AC">
        <w:rPr>
          <w:color w:val="000000" w:themeColor="text1"/>
          <w:szCs w:val="24"/>
        </w:rPr>
        <w:t xml:space="preserve"> to be minor and machinery in nature</w:t>
      </w:r>
      <w:r w:rsidRPr="002D73AC">
        <w:rPr>
          <w:color w:val="000000" w:themeColor="text1"/>
          <w:szCs w:val="24"/>
        </w:rPr>
        <w:t xml:space="preserve"> and</w:t>
      </w:r>
      <w:r w:rsidRPr="002D73AC">
        <w:rPr>
          <w:color w:val="000000"/>
          <w:szCs w:val="24"/>
        </w:rPr>
        <w:t xml:space="preserve"> has certified that the remaking of the Regulations do not require a Regulatory Impact Statement (OBPR  ID  </w:t>
      </w:r>
      <w:r w:rsidR="00135B2E" w:rsidRPr="002D73AC">
        <w:rPr>
          <w:bCs/>
        </w:rPr>
        <w:t>23768</w:t>
      </w:r>
      <w:r w:rsidRPr="002D73AC">
        <w:rPr>
          <w:color w:val="000000"/>
          <w:szCs w:val="24"/>
        </w:rPr>
        <w:t>).</w:t>
      </w:r>
      <w:r>
        <w:rPr>
          <w:color w:val="000000"/>
          <w:szCs w:val="24"/>
        </w:rPr>
        <w:t xml:space="preserve"> </w:t>
      </w:r>
      <w:r w:rsidR="00D04428">
        <w:rPr>
          <w:b/>
        </w:rPr>
        <w:br w:type="page"/>
      </w:r>
    </w:p>
    <w:p w14:paraId="1074B5FB" w14:textId="77777777" w:rsidR="007D07B3" w:rsidRPr="00135B2E" w:rsidRDefault="007D07B3" w:rsidP="00D04428">
      <w:pPr>
        <w:pStyle w:val="Heading3"/>
        <w:spacing w:before="0" w:after="240"/>
        <w:jc w:val="center"/>
        <w:rPr>
          <w:szCs w:val="24"/>
        </w:rPr>
      </w:pPr>
      <w:r w:rsidRPr="00135B2E">
        <w:rPr>
          <w:szCs w:val="24"/>
        </w:rPr>
        <w:lastRenderedPageBreak/>
        <w:t>Statement of Compatibility with Human Rights</w:t>
      </w:r>
    </w:p>
    <w:p w14:paraId="687606CB" w14:textId="77777777" w:rsidR="007D07B3" w:rsidRPr="00135B2E" w:rsidRDefault="007D07B3" w:rsidP="00D04428">
      <w:pPr>
        <w:spacing w:before="0" w:after="240"/>
        <w:jc w:val="center"/>
        <w:rPr>
          <w:i/>
          <w:szCs w:val="24"/>
        </w:rPr>
      </w:pPr>
      <w:r w:rsidRPr="00135B2E">
        <w:rPr>
          <w:i/>
          <w:szCs w:val="24"/>
        </w:rPr>
        <w:t>Prepared in accordance with Part 3 of the Human Rights (Parliamentary Scrutiny) Act 2011</w:t>
      </w:r>
    </w:p>
    <w:p w14:paraId="12EF84D2" w14:textId="474C0B0E" w:rsidR="007D07B3" w:rsidRPr="00135B2E" w:rsidRDefault="007D07B3" w:rsidP="00D04428">
      <w:pPr>
        <w:spacing w:before="0" w:after="240"/>
        <w:jc w:val="center"/>
        <w:rPr>
          <w:szCs w:val="24"/>
        </w:rPr>
      </w:pPr>
      <w:r w:rsidRPr="00135B2E">
        <w:rPr>
          <w:i/>
          <w:szCs w:val="24"/>
        </w:rPr>
        <w:t>Financial Sector (Collection of Data) Regulations 2018</w:t>
      </w:r>
    </w:p>
    <w:p w14:paraId="09C7356C" w14:textId="77777777" w:rsidR="007D07B3" w:rsidRPr="00135B2E" w:rsidRDefault="007D07B3" w:rsidP="00D04428">
      <w:pPr>
        <w:spacing w:before="0" w:after="240"/>
        <w:rPr>
          <w:szCs w:val="24"/>
        </w:rPr>
      </w:pPr>
      <w:r w:rsidRPr="00135B2E">
        <w:rPr>
          <w:szCs w:val="24"/>
        </w:rPr>
        <w:t xml:space="preserve">This Legislative Instrument is compatible with the human rights and freedoms recognised or declared in the international instruments listed in section 3 of the </w:t>
      </w:r>
      <w:r w:rsidRPr="00135B2E">
        <w:rPr>
          <w:i/>
          <w:szCs w:val="24"/>
        </w:rPr>
        <w:t>Human Rights (Parliamentary Scrutiny) Act 2011</w:t>
      </w:r>
      <w:r w:rsidRPr="00135B2E">
        <w:rPr>
          <w:szCs w:val="24"/>
        </w:rPr>
        <w:t>.</w:t>
      </w:r>
    </w:p>
    <w:p w14:paraId="3A592E80" w14:textId="203C99FA" w:rsidR="007D07B3" w:rsidRPr="00135B2E" w:rsidRDefault="007D07B3" w:rsidP="00D04428">
      <w:pPr>
        <w:pStyle w:val="Heading4"/>
        <w:spacing w:before="0" w:after="240"/>
        <w:rPr>
          <w:szCs w:val="24"/>
        </w:rPr>
      </w:pPr>
      <w:r w:rsidRPr="00135B2E">
        <w:rPr>
          <w:szCs w:val="24"/>
        </w:rPr>
        <w:t xml:space="preserve">Overview of the </w:t>
      </w:r>
      <w:r w:rsidR="00FA10AE" w:rsidRPr="00135B2E">
        <w:rPr>
          <w:i/>
          <w:szCs w:val="24"/>
        </w:rPr>
        <w:t>Financial Sector (Collection of Data)</w:t>
      </w:r>
      <w:r w:rsidRPr="00135B2E">
        <w:rPr>
          <w:i/>
          <w:szCs w:val="24"/>
        </w:rPr>
        <w:t xml:space="preserve"> Regulations 2018</w:t>
      </w:r>
    </w:p>
    <w:p w14:paraId="3CB1D56B" w14:textId="0B562D73" w:rsidR="007D07B3" w:rsidRPr="00135B2E" w:rsidRDefault="007D07B3" w:rsidP="00D04428">
      <w:pPr>
        <w:spacing w:before="0" w:after="240"/>
        <w:rPr>
          <w:szCs w:val="24"/>
        </w:rPr>
      </w:pPr>
      <w:r w:rsidRPr="00135B2E">
        <w:rPr>
          <w:szCs w:val="24"/>
        </w:rPr>
        <w:t xml:space="preserve">The Regulations remake the </w:t>
      </w:r>
      <w:r w:rsidRPr="00135B2E">
        <w:rPr>
          <w:i/>
          <w:szCs w:val="24"/>
        </w:rPr>
        <w:t>Financial Sector (Collection of Data) Regulations 20</w:t>
      </w:r>
      <w:r w:rsidR="00FA10AE">
        <w:rPr>
          <w:i/>
          <w:szCs w:val="24"/>
        </w:rPr>
        <w:t>0</w:t>
      </w:r>
      <w:r w:rsidRPr="00135B2E">
        <w:rPr>
          <w:i/>
          <w:szCs w:val="24"/>
        </w:rPr>
        <w:t xml:space="preserve">8 </w:t>
      </w:r>
      <w:r w:rsidRPr="00135B2E">
        <w:rPr>
          <w:szCs w:val="24"/>
        </w:rPr>
        <w:t xml:space="preserve">by updating the language and restructuring provisions to align with current drafting practices. </w:t>
      </w:r>
    </w:p>
    <w:p w14:paraId="0D554F1A" w14:textId="77777777" w:rsidR="007D07B3" w:rsidRPr="00135B2E" w:rsidRDefault="007D07B3" w:rsidP="00D04428">
      <w:pPr>
        <w:spacing w:before="0" w:after="240"/>
        <w:rPr>
          <w:szCs w:val="24"/>
        </w:rPr>
      </w:pPr>
      <w:r w:rsidRPr="00135B2E">
        <w:rPr>
          <w:szCs w:val="24"/>
          <w:lang w:val="en-US"/>
        </w:rPr>
        <w:t xml:space="preserve">These changes are not intended to change the current operation of the equivalent provisions.  </w:t>
      </w:r>
    </w:p>
    <w:p w14:paraId="1CC85B22" w14:textId="77777777" w:rsidR="007D07B3" w:rsidRPr="00135B2E" w:rsidRDefault="007D07B3" w:rsidP="00D04428">
      <w:pPr>
        <w:spacing w:before="0" w:after="240"/>
        <w:rPr>
          <w:szCs w:val="24"/>
        </w:rPr>
      </w:pPr>
      <w:r w:rsidRPr="00135B2E">
        <w:rPr>
          <w:b/>
          <w:szCs w:val="24"/>
        </w:rPr>
        <w:t>Human rights implications</w:t>
      </w:r>
    </w:p>
    <w:p w14:paraId="4D5CF427" w14:textId="77777777" w:rsidR="007D07B3" w:rsidRPr="00135B2E" w:rsidRDefault="007D07B3" w:rsidP="00D04428">
      <w:pPr>
        <w:spacing w:before="0" w:after="240"/>
        <w:rPr>
          <w:szCs w:val="24"/>
        </w:rPr>
      </w:pPr>
      <w:r w:rsidRPr="00135B2E">
        <w:rPr>
          <w:szCs w:val="24"/>
        </w:rPr>
        <w:t>This Legislative Instrument does not engage any of the applicable rights or freedoms.</w:t>
      </w:r>
    </w:p>
    <w:p w14:paraId="020F5CFB" w14:textId="77777777" w:rsidR="007D07B3" w:rsidRPr="00135B2E" w:rsidRDefault="007D07B3" w:rsidP="00D04428">
      <w:pPr>
        <w:pStyle w:val="Heading4"/>
        <w:spacing w:before="0" w:after="240"/>
        <w:rPr>
          <w:szCs w:val="24"/>
        </w:rPr>
      </w:pPr>
      <w:r w:rsidRPr="00135B2E">
        <w:rPr>
          <w:szCs w:val="24"/>
        </w:rPr>
        <w:t>Conclusion</w:t>
      </w:r>
    </w:p>
    <w:p w14:paraId="2E9199F7" w14:textId="7D778E05" w:rsidR="002021FB" w:rsidRDefault="007D07B3" w:rsidP="00D04428">
      <w:pPr>
        <w:spacing w:before="0" w:after="240"/>
        <w:rPr>
          <w:szCs w:val="24"/>
        </w:rPr>
      </w:pPr>
      <w:r w:rsidRPr="00135B2E">
        <w:rPr>
          <w:szCs w:val="24"/>
        </w:rPr>
        <w:t>This Legislative Instrument is compatible with human rights as it does not raise any human rights issues.</w:t>
      </w:r>
    </w:p>
    <w:p w14:paraId="56FB3044" w14:textId="77777777" w:rsidR="00EE3C48" w:rsidRDefault="00EE3C48" w:rsidP="00EE3C48">
      <w:pPr>
        <w:spacing w:before="240"/>
        <w:rPr>
          <w:szCs w:val="24"/>
        </w:rPr>
      </w:pPr>
    </w:p>
    <w:p w14:paraId="7D1DBDC2" w14:textId="77777777" w:rsidR="00A0136C" w:rsidRDefault="00A0136C">
      <w:pPr>
        <w:spacing w:before="0" w:after="0"/>
        <w:rPr>
          <w:b/>
        </w:rPr>
      </w:pPr>
      <w:r>
        <w:rPr>
          <w:b/>
        </w:rPr>
        <w:br w:type="page"/>
      </w:r>
    </w:p>
    <w:p w14:paraId="19D92C1D" w14:textId="656F625F" w:rsidR="00256BF8" w:rsidRPr="007C7E56" w:rsidRDefault="00256BF8" w:rsidP="00256BF8">
      <w:pPr>
        <w:tabs>
          <w:tab w:val="left" w:pos="2835"/>
        </w:tabs>
        <w:spacing w:before="240"/>
        <w:ind w:right="91"/>
        <w:jc w:val="right"/>
        <w:rPr>
          <w:b/>
        </w:rPr>
      </w:pPr>
      <w:r>
        <w:rPr>
          <w:b/>
        </w:rPr>
        <w:lastRenderedPageBreak/>
        <w:t>ATTACHMENT</w:t>
      </w:r>
    </w:p>
    <w:p w14:paraId="3B7E07B6" w14:textId="77777777" w:rsidR="00256BF8" w:rsidRPr="007C7E56" w:rsidRDefault="00256BF8" w:rsidP="00D04428">
      <w:pPr>
        <w:tabs>
          <w:tab w:val="left" w:pos="2835"/>
        </w:tabs>
        <w:spacing w:before="0" w:after="240"/>
        <w:ind w:right="91"/>
        <w:rPr>
          <w:b/>
          <w:u w:val="single"/>
        </w:rPr>
      </w:pPr>
      <w:r w:rsidRPr="007C7E56">
        <w:rPr>
          <w:b/>
          <w:u w:val="single"/>
        </w:rPr>
        <w:t xml:space="preserve">Details of the </w:t>
      </w:r>
      <w:r w:rsidRPr="007C7E56">
        <w:rPr>
          <w:b/>
          <w:i/>
          <w:u w:val="single"/>
        </w:rPr>
        <w:t xml:space="preserve">Financial Sector (Collection of Data) Regulations 2018 </w:t>
      </w:r>
    </w:p>
    <w:p w14:paraId="67D666AA" w14:textId="68F68A96" w:rsidR="00256BF8" w:rsidRPr="00863DF0" w:rsidRDefault="00256BF8" w:rsidP="00D04428">
      <w:pPr>
        <w:tabs>
          <w:tab w:val="left" w:pos="2835"/>
        </w:tabs>
        <w:spacing w:before="0" w:after="240"/>
        <w:ind w:right="-341"/>
        <w:rPr>
          <w:u w:val="single"/>
        </w:rPr>
      </w:pPr>
      <w:r w:rsidRPr="00863DF0">
        <w:rPr>
          <w:u w:val="single"/>
        </w:rPr>
        <w:t>Section 1</w:t>
      </w:r>
      <w:r w:rsidR="00863DF0" w:rsidRPr="00863DF0">
        <w:rPr>
          <w:u w:val="single"/>
        </w:rPr>
        <w:t>- Name of proposed Regulations</w:t>
      </w:r>
    </w:p>
    <w:p w14:paraId="272D7AED" w14:textId="74EDD667" w:rsidR="00256BF8" w:rsidRPr="007C7E56" w:rsidRDefault="00256BF8" w:rsidP="00D04428">
      <w:pPr>
        <w:tabs>
          <w:tab w:val="left" w:pos="2835"/>
        </w:tabs>
        <w:spacing w:before="0" w:after="240"/>
        <w:ind w:right="-341"/>
      </w:pPr>
      <w:r>
        <w:t xml:space="preserve">This section provides that the title of the Regulations is the </w:t>
      </w:r>
      <w:r w:rsidRPr="007C7E56">
        <w:rPr>
          <w:i/>
        </w:rPr>
        <w:t>Financial Sector (Collection of Data) Regulations 2018</w:t>
      </w:r>
      <w:r>
        <w:t xml:space="preserve">. </w:t>
      </w:r>
    </w:p>
    <w:p w14:paraId="16D1908B" w14:textId="2550CF5A" w:rsidR="00256BF8" w:rsidRPr="00863DF0" w:rsidRDefault="00256BF8" w:rsidP="00D04428">
      <w:pPr>
        <w:tabs>
          <w:tab w:val="left" w:pos="2835"/>
        </w:tabs>
        <w:spacing w:before="0" w:after="240"/>
        <w:ind w:right="-341"/>
        <w:rPr>
          <w:u w:val="single"/>
        </w:rPr>
      </w:pPr>
      <w:r w:rsidRPr="00863DF0">
        <w:rPr>
          <w:u w:val="single"/>
        </w:rPr>
        <w:t>Section 2</w:t>
      </w:r>
      <w:r w:rsidR="00863DF0" w:rsidRPr="00863DF0">
        <w:rPr>
          <w:u w:val="single"/>
        </w:rPr>
        <w:t xml:space="preserve"> - Commencement</w:t>
      </w:r>
    </w:p>
    <w:p w14:paraId="00A2F20D" w14:textId="3104F87D" w:rsidR="00256BF8" w:rsidRPr="007C7E56" w:rsidRDefault="00256BF8" w:rsidP="00D04428">
      <w:pPr>
        <w:tabs>
          <w:tab w:val="left" w:pos="2835"/>
        </w:tabs>
        <w:spacing w:before="0" w:after="240"/>
        <w:ind w:right="-341"/>
      </w:pPr>
      <w:r>
        <w:t xml:space="preserve">This section provides that the Regulations commence on 1 October 2018. </w:t>
      </w:r>
    </w:p>
    <w:p w14:paraId="062C9021" w14:textId="7481917D" w:rsidR="00256BF8" w:rsidRPr="00863DF0" w:rsidRDefault="00256BF8" w:rsidP="00D04428">
      <w:pPr>
        <w:tabs>
          <w:tab w:val="left" w:pos="2835"/>
        </w:tabs>
        <w:spacing w:before="0" w:after="240"/>
        <w:ind w:right="-341"/>
        <w:rPr>
          <w:u w:val="single"/>
        </w:rPr>
      </w:pPr>
      <w:r w:rsidRPr="00863DF0">
        <w:rPr>
          <w:u w:val="single"/>
        </w:rPr>
        <w:t>Section 3</w:t>
      </w:r>
      <w:r w:rsidR="00863DF0" w:rsidRPr="00863DF0">
        <w:rPr>
          <w:u w:val="single"/>
        </w:rPr>
        <w:t xml:space="preserve"> - Authority</w:t>
      </w:r>
    </w:p>
    <w:p w14:paraId="76A1E654" w14:textId="078F7C7C" w:rsidR="00256BF8" w:rsidRPr="007C7E56" w:rsidRDefault="00256BF8" w:rsidP="00D04428">
      <w:pPr>
        <w:tabs>
          <w:tab w:val="left" w:pos="2835"/>
        </w:tabs>
        <w:spacing w:before="0" w:after="240"/>
        <w:ind w:right="-341"/>
      </w:pPr>
      <w:r>
        <w:t xml:space="preserve">This section provides that the Regulations are made under the </w:t>
      </w:r>
      <w:r w:rsidRPr="00256BF8">
        <w:rPr>
          <w:i/>
        </w:rPr>
        <w:t>Financial Sector (Collection of Data) Act 2001</w:t>
      </w:r>
      <w:r>
        <w:t xml:space="preserve"> (the Act). </w:t>
      </w:r>
    </w:p>
    <w:p w14:paraId="3C0E0D87" w14:textId="0717FA78" w:rsidR="00256BF8" w:rsidRPr="00863DF0" w:rsidRDefault="00256BF8" w:rsidP="00D04428">
      <w:pPr>
        <w:tabs>
          <w:tab w:val="left" w:pos="2835"/>
        </w:tabs>
        <w:spacing w:before="0" w:after="240"/>
        <w:ind w:right="-341"/>
        <w:rPr>
          <w:u w:val="single"/>
        </w:rPr>
      </w:pPr>
      <w:r w:rsidRPr="00863DF0">
        <w:rPr>
          <w:u w:val="single"/>
        </w:rPr>
        <w:t>Section 4</w:t>
      </w:r>
      <w:r w:rsidR="00863DF0" w:rsidRPr="00863DF0">
        <w:rPr>
          <w:u w:val="single"/>
        </w:rPr>
        <w:t>- Schedule</w:t>
      </w:r>
    </w:p>
    <w:p w14:paraId="2871B337" w14:textId="6D7C7F05" w:rsidR="00850667" w:rsidRDefault="00850667" w:rsidP="00D04428">
      <w:pPr>
        <w:spacing w:before="0" w:after="240"/>
        <w:ind w:right="-341"/>
      </w:pPr>
      <w:r>
        <w:t>This section provides that each instrument that is specified in a Schedule to the Regulations is amended or repealed as set out in the applicable items in the Sc</w:t>
      </w:r>
      <w:r w:rsidR="00863DF0">
        <w:t>hedule concerned, and any other </w:t>
      </w:r>
      <w:r>
        <w:t>items in a Schedule to this instrument ha</w:t>
      </w:r>
      <w:r w:rsidR="001C408B">
        <w:t>s effect according to its terms.</w:t>
      </w:r>
      <w:r>
        <w:t xml:space="preserve"> </w:t>
      </w:r>
    </w:p>
    <w:p w14:paraId="2EB512F3" w14:textId="069E4316" w:rsidR="00CB0BB8" w:rsidRPr="0056204F" w:rsidRDefault="00CB0BB8" w:rsidP="00D04428">
      <w:pPr>
        <w:tabs>
          <w:tab w:val="left" w:pos="2835"/>
        </w:tabs>
        <w:spacing w:before="0" w:after="240"/>
        <w:ind w:right="-341"/>
        <w:rPr>
          <w:u w:val="single"/>
        </w:rPr>
      </w:pPr>
      <w:r w:rsidRPr="0056204F">
        <w:rPr>
          <w:u w:val="single"/>
        </w:rPr>
        <w:t>Section</w:t>
      </w:r>
      <w:r w:rsidR="00650F33" w:rsidRPr="0056204F">
        <w:rPr>
          <w:u w:val="single"/>
        </w:rPr>
        <w:t>s</w:t>
      </w:r>
      <w:r w:rsidRPr="0056204F">
        <w:rPr>
          <w:u w:val="single"/>
        </w:rPr>
        <w:t xml:space="preserve"> 5</w:t>
      </w:r>
      <w:r w:rsidR="00650F33" w:rsidRPr="0056204F">
        <w:rPr>
          <w:u w:val="single"/>
        </w:rPr>
        <w:t xml:space="preserve"> </w:t>
      </w:r>
      <w:r w:rsidR="00863DF0" w:rsidRPr="0056204F">
        <w:rPr>
          <w:u w:val="single"/>
        </w:rPr>
        <w:t xml:space="preserve">to </w:t>
      </w:r>
      <w:r w:rsidR="006C7893" w:rsidRPr="0056204F">
        <w:rPr>
          <w:u w:val="single"/>
        </w:rPr>
        <w:t>7</w:t>
      </w:r>
      <w:r w:rsidR="001C408B" w:rsidRPr="0056204F">
        <w:rPr>
          <w:u w:val="single"/>
        </w:rPr>
        <w:t xml:space="preserve"> </w:t>
      </w:r>
      <w:r w:rsidR="00863DF0" w:rsidRPr="0056204F">
        <w:rPr>
          <w:u w:val="single"/>
        </w:rPr>
        <w:t>of Schedule 1</w:t>
      </w:r>
    </w:p>
    <w:p w14:paraId="721F167B" w14:textId="2304C5CB" w:rsidR="006C7893" w:rsidRPr="001C408B" w:rsidRDefault="00650F33" w:rsidP="00D04428">
      <w:pPr>
        <w:keepNext/>
        <w:keepLines/>
        <w:shd w:val="clear" w:color="auto" w:fill="FFFFFF"/>
        <w:spacing w:before="0" w:after="240"/>
        <w:ind w:right="-341"/>
        <w:rPr>
          <w:szCs w:val="24"/>
          <w:lang w:val="en-US"/>
        </w:rPr>
      </w:pPr>
      <w:r>
        <w:t>These</w:t>
      </w:r>
      <w:r w:rsidR="00850667">
        <w:t xml:space="preserve"> section</w:t>
      </w:r>
      <w:r>
        <w:t>s</w:t>
      </w:r>
      <w:r w:rsidR="00850667">
        <w:t xml:space="preserve"> replicate the corresponding provisions in the </w:t>
      </w:r>
      <w:r w:rsidR="003E4919" w:rsidRPr="00B560BF">
        <w:rPr>
          <w:i/>
        </w:rPr>
        <w:t>Financial Sector (Collection of Data) Regulations 2008</w:t>
      </w:r>
      <w:r w:rsidR="003E4919">
        <w:t xml:space="preserve"> </w:t>
      </w:r>
      <w:r w:rsidR="00850667">
        <w:t xml:space="preserve">(please refer to the Finding Table </w:t>
      </w:r>
      <w:r w:rsidR="00850667" w:rsidRPr="00135B2E">
        <w:t xml:space="preserve">at </w:t>
      </w:r>
      <w:r w:rsidR="005E4BFB" w:rsidRPr="00135B2E">
        <w:t>page</w:t>
      </w:r>
      <w:r w:rsidR="004E6A3D" w:rsidRPr="00135B2E">
        <w:t xml:space="preserve"> 4</w:t>
      </w:r>
      <w:r>
        <w:t xml:space="preserve">), </w:t>
      </w:r>
      <w:r w:rsidR="00863DF0">
        <w:t>with some minor wording </w:t>
      </w:r>
      <w:r w:rsidR="00C57EEE">
        <w:t xml:space="preserve">changes to reflect </w:t>
      </w:r>
      <w:r w:rsidR="006B545D">
        <w:t>current</w:t>
      </w:r>
      <w:r>
        <w:t xml:space="preserve"> drafting practice</w:t>
      </w:r>
      <w:r w:rsidR="004E6A3D">
        <w:t>s</w:t>
      </w:r>
      <w:r>
        <w:t xml:space="preserve">. </w:t>
      </w:r>
      <w:r w:rsidR="00FB54F0">
        <w:t xml:space="preserve"> </w:t>
      </w:r>
      <w:r w:rsidR="006B545D">
        <w:t>In addition, the</w:t>
      </w:r>
      <w:r w:rsidR="006C7893">
        <w:t xml:space="preserve"> language</w:t>
      </w:r>
      <w:r w:rsidR="006B545D">
        <w:t xml:space="preserve"> in section 7</w:t>
      </w:r>
      <w:r w:rsidR="00863DF0">
        <w:t xml:space="preserve"> has </w:t>
      </w:r>
      <w:r w:rsidR="006C7893">
        <w:t>been updated to refer to ‘authorities’ rather than ‘agencies’ to</w:t>
      </w:r>
      <w:r w:rsidR="00863DF0">
        <w:rPr>
          <w:lang w:val="en-US"/>
        </w:rPr>
        <w:t xml:space="preserve"> ensure consistency with the </w:t>
      </w:r>
      <w:r w:rsidR="006C7893" w:rsidRPr="001C408B">
        <w:rPr>
          <w:lang w:val="en-US"/>
        </w:rPr>
        <w:t xml:space="preserve">Act.  </w:t>
      </w:r>
    </w:p>
    <w:p w14:paraId="292FB013" w14:textId="02A1A8E9" w:rsidR="002021FB" w:rsidRPr="0056204F" w:rsidRDefault="002021FB" w:rsidP="00D04428">
      <w:pPr>
        <w:tabs>
          <w:tab w:val="left" w:pos="2835"/>
        </w:tabs>
        <w:spacing w:before="0" w:after="240"/>
        <w:ind w:right="-341"/>
        <w:rPr>
          <w:u w:val="single"/>
        </w:rPr>
      </w:pPr>
      <w:r w:rsidRPr="0056204F">
        <w:rPr>
          <w:u w:val="single"/>
        </w:rPr>
        <w:t xml:space="preserve">Schedule 1 – Repeals </w:t>
      </w:r>
    </w:p>
    <w:p w14:paraId="42885B96" w14:textId="4F7DAB92" w:rsidR="003E4919" w:rsidRPr="00135E2C" w:rsidRDefault="003E4919" w:rsidP="00D04428">
      <w:pPr>
        <w:shd w:val="clear" w:color="auto" w:fill="FFFFFF"/>
        <w:spacing w:before="0" w:after="240"/>
        <w:ind w:right="-341"/>
        <w:rPr>
          <w:szCs w:val="24"/>
          <w:lang w:val="en-US"/>
        </w:rPr>
      </w:pPr>
      <w:r>
        <w:rPr>
          <w:bCs/>
          <w:szCs w:val="24"/>
        </w:rPr>
        <w:t xml:space="preserve">This schedule provides for the repeal of the </w:t>
      </w:r>
      <w:r w:rsidRPr="00B560BF">
        <w:rPr>
          <w:i/>
        </w:rPr>
        <w:t>Financial Sector (Collection of Data) Regulations 2008</w:t>
      </w:r>
      <w:r>
        <w:rPr>
          <w:i/>
        </w:rPr>
        <w:t xml:space="preserve"> </w:t>
      </w:r>
      <w:r>
        <w:rPr>
          <w:bCs/>
          <w:szCs w:val="24"/>
        </w:rPr>
        <w:t>as the instrument is</w:t>
      </w:r>
      <w:r w:rsidRPr="006C54FF">
        <w:rPr>
          <w:bCs/>
          <w:szCs w:val="24"/>
        </w:rPr>
        <w:t xml:space="preserve"> due to sunset on 1 </w:t>
      </w:r>
      <w:r>
        <w:rPr>
          <w:bCs/>
          <w:szCs w:val="24"/>
        </w:rPr>
        <w:t xml:space="preserve">October </w:t>
      </w:r>
      <w:r w:rsidRPr="006C54FF">
        <w:rPr>
          <w:bCs/>
          <w:szCs w:val="24"/>
        </w:rPr>
        <w:t>201</w:t>
      </w:r>
      <w:r>
        <w:rPr>
          <w:bCs/>
          <w:szCs w:val="24"/>
        </w:rPr>
        <w:t>8</w:t>
      </w:r>
      <w:r w:rsidRPr="006C54FF">
        <w:rPr>
          <w:bCs/>
          <w:szCs w:val="24"/>
        </w:rPr>
        <w:t xml:space="preserve"> and </w:t>
      </w:r>
      <w:r>
        <w:rPr>
          <w:bCs/>
          <w:szCs w:val="24"/>
        </w:rPr>
        <w:t>is</w:t>
      </w:r>
      <w:r w:rsidRPr="006C54FF">
        <w:rPr>
          <w:bCs/>
          <w:szCs w:val="24"/>
        </w:rPr>
        <w:t xml:space="preserve"> being remade by the Regulation</w:t>
      </w:r>
      <w:r>
        <w:rPr>
          <w:bCs/>
          <w:szCs w:val="24"/>
        </w:rPr>
        <w:t>s</w:t>
      </w:r>
      <w:r w:rsidRPr="006C54FF">
        <w:rPr>
          <w:bCs/>
          <w:szCs w:val="24"/>
        </w:rPr>
        <w:t>.</w:t>
      </w:r>
    </w:p>
    <w:p w14:paraId="38C38448" w14:textId="34F0F284" w:rsidR="00A0136C" w:rsidRDefault="003E4919" w:rsidP="00D04428">
      <w:pPr>
        <w:spacing w:before="0" w:after="0"/>
        <w:ind w:right="-341"/>
        <w:rPr>
          <w:b/>
          <w:u w:val="single"/>
        </w:rPr>
      </w:pPr>
      <w:r>
        <w:rPr>
          <w:szCs w:val="24"/>
          <w:lang w:val="en-US"/>
        </w:rPr>
        <w:t xml:space="preserve">Under section 7 of the </w:t>
      </w:r>
      <w:r w:rsidRPr="00CA5DE5">
        <w:rPr>
          <w:i/>
          <w:szCs w:val="24"/>
          <w:lang w:val="en-US"/>
        </w:rPr>
        <w:t>Acts Interpretation Act 1901</w:t>
      </w:r>
      <w:r>
        <w:rPr>
          <w:szCs w:val="24"/>
          <w:lang w:val="en-US"/>
        </w:rPr>
        <w:t xml:space="preserve">, as applied to legislative instruments by subsection 13(1) of the </w:t>
      </w:r>
      <w:r w:rsidRPr="00CA5DE5">
        <w:rPr>
          <w:i/>
          <w:szCs w:val="24"/>
          <w:lang w:val="en-US"/>
        </w:rPr>
        <w:t>Legislation Act 2003</w:t>
      </w:r>
      <w:r>
        <w:rPr>
          <w:szCs w:val="24"/>
          <w:lang w:val="en-US"/>
        </w:rPr>
        <w:t xml:space="preserve">, the repeal of the </w:t>
      </w:r>
      <w:r w:rsidRPr="00B560BF">
        <w:rPr>
          <w:i/>
        </w:rPr>
        <w:t>Financial Sector (Collection of Data) Regulations 2008</w:t>
      </w:r>
      <w:r>
        <w:rPr>
          <w:i/>
        </w:rPr>
        <w:t xml:space="preserve"> </w:t>
      </w:r>
      <w:r>
        <w:rPr>
          <w:szCs w:val="24"/>
          <w:lang w:val="en-US"/>
        </w:rPr>
        <w:t xml:space="preserve">does not affect its previous operation. </w:t>
      </w:r>
      <w:r w:rsidR="00A0136C">
        <w:rPr>
          <w:b/>
          <w:u w:val="single"/>
        </w:rPr>
        <w:br w:type="page"/>
      </w:r>
    </w:p>
    <w:p w14:paraId="6B173305" w14:textId="2EEC4298" w:rsidR="00256BF8" w:rsidRDefault="00256BF8" w:rsidP="00256BF8">
      <w:pPr>
        <w:tabs>
          <w:tab w:val="left" w:pos="2835"/>
        </w:tabs>
        <w:spacing w:before="240"/>
        <w:ind w:right="91"/>
        <w:rPr>
          <w:b/>
          <w:u w:val="single"/>
        </w:rPr>
      </w:pPr>
      <w:r w:rsidRPr="00017A1C">
        <w:rPr>
          <w:b/>
          <w:u w:val="single"/>
        </w:rPr>
        <w:lastRenderedPageBreak/>
        <w:t xml:space="preserve">Finding Table </w:t>
      </w:r>
    </w:p>
    <w:p w14:paraId="3A39D5B5" w14:textId="458ACF6D" w:rsidR="00256BF8" w:rsidRDefault="00256BF8" w:rsidP="00877847">
      <w:pPr>
        <w:tabs>
          <w:tab w:val="left" w:pos="2835"/>
        </w:tabs>
        <w:spacing w:before="0" w:after="240"/>
        <w:ind w:right="91"/>
      </w:pPr>
      <w:r>
        <w:t>As a result of some of the changes described above, it bec</w:t>
      </w:r>
      <w:r w:rsidR="00A47590">
        <w:t>a</w:t>
      </w:r>
      <w:r>
        <w:t xml:space="preserve">me necessary to renumber provisions of the Regulations. </w:t>
      </w:r>
      <w:r w:rsidR="003D5C05">
        <w:t>The</w:t>
      </w:r>
      <w:r>
        <w:t xml:space="preserve"> finding table assist</w:t>
      </w:r>
      <w:r w:rsidR="003D5C05">
        <w:t>s</w:t>
      </w:r>
      <w:r>
        <w:t xml:space="preserve"> in identifying which provision in the Regulations</w:t>
      </w:r>
      <w:r w:rsidR="00681C6B">
        <w:t xml:space="preserve"> </w:t>
      </w:r>
      <w:r>
        <w:t>correspond</w:t>
      </w:r>
      <w:r w:rsidR="00681C6B">
        <w:t>s</w:t>
      </w:r>
      <w:r>
        <w:t xml:space="preserve"> to a provision in the old law that has been </w:t>
      </w:r>
      <w:r w:rsidR="00CA5A89">
        <w:t xml:space="preserve">renumbered. </w:t>
      </w:r>
      <w:r>
        <w:t xml:space="preserve"> </w:t>
      </w:r>
    </w:p>
    <w:tbl>
      <w:tblPr>
        <w:tblStyle w:val="TableGrid"/>
        <w:tblW w:w="0" w:type="auto"/>
        <w:tblInd w:w="250" w:type="dxa"/>
        <w:tblLook w:val="04A0" w:firstRow="1" w:lastRow="0" w:firstColumn="1" w:lastColumn="0" w:noHBand="0" w:noVBand="1"/>
      </w:tblPr>
      <w:tblGrid>
        <w:gridCol w:w="4011"/>
        <w:gridCol w:w="4261"/>
      </w:tblGrid>
      <w:tr w:rsidR="00256BF8" w:rsidRPr="000D3C05" w14:paraId="73A0A9B7" w14:textId="77777777" w:rsidTr="00877847">
        <w:tc>
          <w:tcPr>
            <w:tcW w:w="4011" w:type="dxa"/>
          </w:tcPr>
          <w:p w14:paraId="57C85832" w14:textId="77777777" w:rsidR="00256BF8" w:rsidRPr="000D3C05" w:rsidRDefault="00256BF8" w:rsidP="00877847">
            <w:pPr>
              <w:rPr>
                <w:b/>
                <w:i/>
                <w:iCs/>
                <w:szCs w:val="24"/>
              </w:rPr>
            </w:pPr>
            <w:r w:rsidRPr="000D3C05">
              <w:rPr>
                <w:b/>
                <w:i/>
                <w:iCs/>
                <w:szCs w:val="24"/>
              </w:rPr>
              <w:t>Old law</w:t>
            </w:r>
          </w:p>
        </w:tc>
        <w:tc>
          <w:tcPr>
            <w:tcW w:w="4261" w:type="dxa"/>
          </w:tcPr>
          <w:p w14:paraId="3BEC4F08" w14:textId="77777777" w:rsidR="00256BF8" w:rsidRPr="000D3C05" w:rsidRDefault="00256BF8" w:rsidP="00877847">
            <w:pPr>
              <w:rPr>
                <w:b/>
                <w:i/>
                <w:iCs/>
                <w:szCs w:val="24"/>
              </w:rPr>
            </w:pPr>
            <w:r w:rsidRPr="000D3C05">
              <w:rPr>
                <w:b/>
                <w:i/>
                <w:iCs/>
                <w:szCs w:val="24"/>
              </w:rPr>
              <w:t>New Law</w:t>
            </w:r>
          </w:p>
        </w:tc>
      </w:tr>
      <w:tr w:rsidR="00256BF8" w:rsidRPr="000D3C05" w14:paraId="62E716CA" w14:textId="77777777" w:rsidTr="00877847">
        <w:tc>
          <w:tcPr>
            <w:tcW w:w="4011" w:type="dxa"/>
          </w:tcPr>
          <w:p w14:paraId="759BBA14" w14:textId="77777777" w:rsidR="00256BF8" w:rsidRPr="000D3C05" w:rsidRDefault="00256BF8" w:rsidP="00877847">
            <w:pPr>
              <w:rPr>
                <w:i/>
                <w:iCs/>
                <w:szCs w:val="24"/>
              </w:rPr>
            </w:pPr>
            <w:r w:rsidRPr="00017A1C">
              <w:rPr>
                <w:i/>
              </w:rPr>
              <w:t>Financial Sector (Collection of Data) Regulations 2008</w:t>
            </w:r>
          </w:p>
        </w:tc>
        <w:tc>
          <w:tcPr>
            <w:tcW w:w="4261" w:type="dxa"/>
          </w:tcPr>
          <w:p w14:paraId="723E80FB" w14:textId="77777777" w:rsidR="00256BF8" w:rsidRPr="000D3C05" w:rsidRDefault="00256BF8" w:rsidP="00877847">
            <w:pPr>
              <w:rPr>
                <w:i/>
                <w:iCs/>
                <w:szCs w:val="24"/>
              </w:rPr>
            </w:pPr>
            <w:r w:rsidRPr="00017A1C">
              <w:rPr>
                <w:i/>
              </w:rPr>
              <w:t>Financial Sector (Collection of Data) Regulations 2018</w:t>
            </w:r>
          </w:p>
        </w:tc>
      </w:tr>
      <w:tr w:rsidR="00256BF8" w14:paraId="7C49FE94" w14:textId="77777777" w:rsidTr="00877847">
        <w:tc>
          <w:tcPr>
            <w:tcW w:w="4011" w:type="dxa"/>
          </w:tcPr>
          <w:p w14:paraId="56623C17" w14:textId="77777777" w:rsidR="00256BF8" w:rsidRDefault="00256BF8" w:rsidP="00877847">
            <w:pPr>
              <w:rPr>
                <w:iCs/>
                <w:szCs w:val="24"/>
              </w:rPr>
            </w:pPr>
            <w:r>
              <w:rPr>
                <w:iCs/>
                <w:szCs w:val="24"/>
              </w:rPr>
              <w:t>1</w:t>
            </w:r>
          </w:p>
        </w:tc>
        <w:tc>
          <w:tcPr>
            <w:tcW w:w="4261" w:type="dxa"/>
          </w:tcPr>
          <w:p w14:paraId="11A8301A" w14:textId="599A0A9B" w:rsidR="00256BF8" w:rsidRDefault="00850667" w:rsidP="00877847">
            <w:pPr>
              <w:rPr>
                <w:iCs/>
                <w:szCs w:val="24"/>
              </w:rPr>
            </w:pPr>
            <w:r>
              <w:rPr>
                <w:iCs/>
                <w:szCs w:val="24"/>
              </w:rPr>
              <w:t>1</w:t>
            </w:r>
          </w:p>
        </w:tc>
      </w:tr>
      <w:tr w:rsidR="00850667" w14:paraId="459CC205" w14:textId="77777777" w:rsidTr="00877847">
        <w:tc>
          <w:tcPr>
            <w:tcW w:w="4011" w:type="dxa"/>
          </w:tcPr>
          <w:p w14:paraId="04EECC1A" w14:textId="45231D7F" w:rsidR="00850667" w:rsidRDefault="00850667" w:rsidP="00877847">
            <w:r>
              <w:t>No equivalent</w:t>
            </w:r>
          </w:p>
        </w:tc>
        <w:tc>
          <w:tcPr>
            <w:tcW w:w="4261" w:type="dxa"/>
          </w:tcPr>
          <w:p w14:paraId="5818AC74" w14:textId="38CA825E" w:rsidR="00850667" w:rsidRDefault="00850667" w:rsidP="00877847">
            <w:pPr>
              <w:rPr>
                <w:iCs/>
                <w:szCs w:val="24"/>
              </w:rPr>
            </w:pPr>
            <w:r>
              <w:rPr>
                <w:iCs/>
                <w:szCs w:val="24"/>
              </w:rPr>
              <w:t>2</w:t>
            </w:r>
          </w:p>
        </w:tc>
      </w:tr>
      <w:tr w:rsidR="00850667" w14:paraId="43CBE6AC" w14:textId="77777777" w:rsidTr="00877847">
        <w:tc>
          <w:tcPr>
            <w:tcW w:w="4011" w:type="dxa"/>
          </w:tcPr>
          <w:p w14:paraId="29CC1887" w14:textId="742F8028" w:rsidR="00850667" w:rsidRDefault="00850667" w:rsidP="00877847">
            <w:r>
              <w:t>No equivalent</w:t>
            </w:r>
          </w:p>
        </w:tc>
        <w:tc>
          <w:tcPr>
            <w:tcW w:w="4261" w:type="dxa"/>
          </w:tcPr>
          <w:p w14:paraId="15D5BD4D" w14:textId="4BF824F8" w:rsidR="00850667" w:rsidRDefault="00850667" w:rsidP="00877847">
            <w:pPr>
              <w:rPr>
                <w:iCs/>
                <w:szCs w:val="24"/>
              </w:rPr>
            </w:pPr>
            <w:r>
              <w:rPr>
                <w:iCs/>
                <w:szCs w:val="24"/>
              </w:rPr>
              <w:t>3</w:t>
            </w:r>
          </w:p>
        </w:tc>
      </w:tr>
      <w:tr w:rsidR="00850667" w14:paraId="53E08475" w14:textId="77777777" w:rsidTr="00877847">
        <w:tc>
          <w:tcPr>
            <w:tcW w:w="4011" w:type="dxa"/>
          </w:tcPr>
          <w:p w14:paraId="005D3B11" w14:textId="5D54693A" w:rsidR="00850667" w:rsidRDefault="00850667" w:rsidP="00877847">
            <w:r>
              <w:t>No equivalent</w:t>
            </w:r>
          </w:p>
        </w:tc>
        <w:tc>
          <w:tcPr>
            <w:tcW w:w="4261" w:type="dxa"/>
          </w:tcPr>
          <w:p w14:paraId="13AFA1D8" w14:textId="09AF0940" w:rsidR="00850667" w:rsidRDefault="00850667" w:rsidP="00877847">
            <w:pPr>
              <w:rPr>
                <w:iCs/>
                <w:szCs w:val="24"/>
              </w:rPr>
            </w:pPr>
            <w:r>
              <w:rPr>
                <w:iCs/>
                <w:szCs w:val="24"/>
              </w:rPr>
              <w:t>4</w:t>
            </w:r>
          </w:p>
        </w:tc>
      </w:tr>
      <w:tr w:rsidR="00256BF8" w14:paraId="3DF88C3A" w14:textId="77777777" w:rsidTr="00877847">
        <w:tc>
          <w:tcPr>
            <w:tcW w:w="4011" w:type="dxa"/>
          </w:tcPr>
          <w:p w14:paraId="3DB86941" w14:textId="77777777" w:rsidR="00256BF8" w:rsidRDefault="00256BF8" w:rsidP="00877847">
            <w:pPr>
              <w:rPr>
                <w:iCs/>
                <w:szCs w:val="24"/>
              </w:rPr>
            </w:pPr>
            <w:r>
              <w:t>3</w:t>
            </w:r>
          </w:p>
        </w:tc>
        <w:tc>
          <w:tcPr>
            <w:tcW w:w="4261" w:type="dxa"/>
          </w:tcPr>
          <w:p w14:paraId="66AAB542" w14:textId="5E39DFC3" w:rsidR="00256BF8" w:rsidRDefault="00850667" w:rsidP="00877847">
            <w:pPr>
              <w:rPr>
                <w:iCs/>
                <w:szCs w:val="24"/>
              </w:rPr>
            </w:pPr>
            <w:r>
              <w:rPr>
                <w:iCs/>
                <w:szCs w:val="24"/>
              </w:rPr>
              <w:t>5</w:t>
            </w:r>
          </w:p>
        </w:tc>
      </w:tr>
      <w:tr w:rsidR="00256BF8" w14:paraId="4FBA11FB" w14:textId="77777777" w:rsidTr="00877847">
        <w:tc>
          <w:tcPr>
            <w:tcW w:w="4011" w:type="dxa"/>
          </w:tcPr>
          <w:p w14:paraId="03287274" w14:textId="77777777" w:rsidR="00256BF8" w:rsidRDefault="00256BF8" w:rsidP="00877847">
            <w:pPr>
              <w:rPr>
                <w:iCs/>
                <w:szCs w:val="24"/>
              </w:rPr>
            </w:pPr>
            <w:r>
              <w:t>4</w:t>
            </w:r>
          </w:p>
        </w:tc>
        <w:tc>
          <w:tcPr>
            <w:tcW w:w="4261" w:type="dxa"/>
          </w:tcPr>
          <w:p w14:paraId="41BB7667" w14:textId="2EE61F26" w:rsidR="00256BF8" w:rsidRDefault="00CB0BB8" w:rsidP="00877847">
            <w:pPr>
              <w:rPr>
                <w:iCs/>
                <w:szCs w:val="24"/>
              </w:rPr>
            </w:pPr>
            <w:r>
              <w:rPr>
                <w:iCs/>
                <w:szCs w:val="24"/>
              </w:rPr>
              <w:t>6</w:t>
            </w:r>
          </w:p>
        </w:tc>
      </w:tr>
      <w:tr w:rsidR="00256BF8" w14:paraId="5CA992BC" w14:textId="77777777" w:rsidTr="00877847">
        <w:tc>
          <w:tcPr>
            <w:tcW w:w="4011" w:type="dxa"/>
          </w:tcPr>
          <w:p w14:paraId="30509C62" w14:textId="77777777" w:rsidR="00256BF8" w:rsidRDefault="00256BF8" w:rsidP="00877847">
            <w:pPr>
              <w:rPr>
                <w:iCs/>
                <w:szCs w:val="24"/>
              </w:rPr>
            </w:pPr>
            <w:r>
              <w:rPr>
                <w:iCs/>
                <w:szCs w:val="24"/>
              </w:rPr>
              <w:t>5</w:t>
            </w:r>
          </w:p>
        </w:tc>
        <w:tc>
          <w:tcPr>
            <w:tcW w:w="4261" w:type="dxa"/>
          </w:tcPr>
          <w:p w14:paraId="1F8C190C" w14:textId="41B46934" w:rsidR="00256BF8" w:rsidRDefault="00CB0BB8" w:rsidP="00877847">
            <w:pPr>
              <w:rPr>
                <w:iCs/>
                <w:szCs w:val="24"/>
              </w:rPr>
            </w:pPr>
            <w:r>
              <w:rPr>
                <w:iCs/>
                <w:szCs w:val="24"/>
              </w:rPr>
              <w:t>7</w:t>
            </w:r>
          </w:p>
        </w:tc>
      </w:tr>
    </w:tbl>
    <w:p w14:paraId="33A774E7" w14:textId="77777777" w:rsidR="00256BF8" w:rsidRDefault="00256BF8" w:rsidP="00647BB7">
      <w:pPr>
        <w:spacing w:before="240"/>
      </w:pPr>
    </w:p>
    <w:p w14:paraId="1F1505FC" w14:textId="77777777" w:rsidR="00256BF8" w:rsidRDefault="00256BF8" w:rsidP="00647BB7">
      <w:pPr>
        <w:spacing w:before="240"/>
      </w:pPr>
    </w:p>
    <w:sectPr w:rsidR="00256BF8" w:rsidSect="00D04428">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9EF40A" w14:textId="77777777" w:rsidR="00F139AD" w:rsidRDefault="00F139AD" w:rsidP="00954679">
      <w:pPr>
        <w:spacing w:before="0" w:after="0"/>
      </w:pPr>
      <w:r>
        <w:separator/>
      </w:r>
    </w:p>
  </w:endnote>
  <w:endnote w:type="continuationSeparator" w:id="0">
    <w:p w14:paraId="208B9301" w14:textId="77777777" w:rsidR="00F139AD" w:rsidRDefault="00F139AD" w:rsidP="00954679">
      <w:pPr>
        <w:spacing w:before="0" w:after="0"/>
      </w:pPr>
      <w:r>
        <w:continuationSeparator/>
      </w:r>
    </w:p>
  </w:endnote>
  <w:endnote w:type="continuationNotice" w:id="1">
    <w:p w14:paraId="207583E3" w14:textId="77777777" w:rsidR="00F139AD" w:rsidRDefault="00F139A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E442463" w14:textId="77777777" w:rsidR="00F139AD" w:rsidRDefault="00F139AD"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A86405">
              <w:rPr>
                <w:bCs/>
                <w:noProof/>
              </w:rPr>
              <w:t>1</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A86405">
              <w:rPr>
                <w:bCs/>
                <w:noProof/>
              </w:rPr>
              <w:t>4</w:t>
            </w:r>
            <w:r w:rsidRPr="00954679">
              <w:rPr>
                <w:bCs/>
                <w:szCs w:val="24"/>
              </w:rPr>
              <w:fldChar w:fldCharType="end"/>
            </w:r>
          </w:p>
        </w:sdtContent>
      </w:sdt>
    </w:sdtContent>
  </w:sdt>
  <w:p w14:paraId="3734B019" w14:textId="77777777" w:rsidR="00F139AD" w:rsidRDefault="00F139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66BF97" w14:textId="77777777" w:rsidR="00F139AD" w:rsidRDefault="00F139AD" w:rsidP="00954679">
      <w:pPr>
        <w:spacing w:before="0" w:after="0"/>
      </w:pPr>
      <w:r>
        <w:separator/>
      </w:r>
    </w:p>
  </w:footnote>
  <w:footnote w:type="continuationSeparator" w:id="0">
    <w:p w14:paraId="70A5408D" w14:textId="77777777" w:rsidR="00F139AD" w:rsidRDefault="00F139AD" w:rsidP="00954679">
      <w:pPr>
        <w:spacing w:before="0" w:after="0"/>
      </w:pPr>
      <w:r>
        <w:continuationSeparator/>
      </w:r>
    </w:p>
  </w:footnote>
  <w:footnote w:type="continuationNotice" w:id="1">
    <w:p w14:paraId="3909888A" w14:textId="77777777" w:rsidR="00F139AD" w:rsidRDefault="00F139AD">
      <w:pPr>
        <w:spacing w:before="0"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16"/>
    <w:rsid w:val="00016EA2"/>
    <w:rsid w:val="00090CCB"/>
    <w:rsid w:val="00095211"/>
    <w:rsid w:val="000A5057"/>
    <w:rsid w:val="000C10DF"/>
    <w:rsid w:val="000C6A23"/>
    <w:rsid w:val="00113B45"/>
    <w:rsid w:val="001334BF"/>
    <w:rsid w:val="00135B2E"/>
    <w:rsid w:val="00153B86"/>
    <w:rsid w:val="00160E21"/>
    <w:rsid w:val="0019628B"/>
    <w:rsid w:val="001976A7"/>
    <w:rsid w:val="001B6B82"/>
    <w:rsid w:val="001C408B"/>
    <w:rsid w:val="001E6A74"/>
    <w:rsid w:val="001F41D0"/>
    <w:rsid w:val="002021FB"/>
    <w:rsid w:val="0021399F"/>
    <w:rsid w:val="00220F16"/>
    <w:rsid w:val="00242783"/>
    <w:rsid w:val="00252F21"/>
    <w:rsid w:val="00254C5B"/>
    <w:rsid w:val="00256BF8"/>
    <w:rsid w:val="002649EE"/>
    <w:rsid w:val="002D73AC"/>
    <w:rsid w:val="003342CD"/>
    <w:rsid w:val="00335042"/>
    <w:rsid w:val="003508E8"/>
    <w:rsid w:val="00354D3B"/>
    <w:rsid w:val="00362B70"/>
    <w:rsid w:val="00392BBA"/>
    <w:rsid w:val="003954FD"/>
    <w:rsid w:val="003C4916"/>
    <w:rsid w:val="003D5C05"/>
    <w:rsid w:val="003E1CE3"/>
    <w:rsid w:val="003E4919"/>
    <w:rsid w:val="00407AB0"/>
    <w:rsid w:val="00411E7E"/>
    <w:rsid w:val="004219A4"/>
    <w:rsid w:val="004412DA"/>
    <w:rsid w:val="00441A63"/>
    <w:rsid w:val="004550A1"/>
    <w:rsid w:val="00462095"/>
    <w:rsid w:val="004B3C0F"/>
    <w:rsid w:val="004C05E4"/>
    <w:rsid w:val="004D349D"/>
    <w:rsid w:val="004E39E1"/>
    <w:rsid w:val="004E6A3D"/>
    <w:rsid w:val="00503E44"/>
    <w:rsid w:val="00506841"/>
    <w:rsid w:val="00515283"/>
    <w:rsid w:val="00533926"/>
    <w:rsid w:val="0055675D"/>
    <w:rsid w:val="0056204F"/>
    <w:rsid w:val="00566E8F"/>
    <w:rsid w:val="005833BE"/>
    <w:rsid w:val="005D348C"/>
    <w:rsid w:val="005D7D5A"/>
    <w:rsid w:val="005E4BAC"/>
    <w:rsid w:val="005E4BFB"/>
    <w:rsid w:val="0060130D"/>
    <w:rsid w:val="0064129F"/>
    <w:rsid w:val="00647BB7"/>
    <w:rsid w:val="00650F33"/>
    <w:rsid w:val="00660886"/>
    <w:rsid w:val="00681C6B"/>
    <w:rsid w:val="006868D7"/>
    <w:rsid w:val="006A0786"/>
    <w:rsid w:val="006B545D"/>
    <w:rsid w:val="006C7893"/>
    <w:rsid w:val="006D4AED"/>
    <w:rsid w:val="006F6323"/>
    <w:rsid w:val="00736F61"/>
    <w:rsid w:val="007662C7"/>
    <w:rsid w:val="00776306"/>
    <w:rsid w:val="00790465"/>
    <w:rsid w:val="007B1F10"/>
    <w:rsid w:val="007D07B3"/>
    <w:rsid w:val="007E018D"/>
    <w:rsid w:val="007E5441"/>
    <w:rsid w:val="007F1B71"/>
    <w:rsid w:val="00807E7D"/>
    <w:rsid w:val="00831675"/>
    <w:rsid w:val="00850667"/>
    <w:rsid w:val="00863DF0"/>
    <w:rsid w:val="00877847"/>
    <w:rsid w:val="0088467C"/>
    <w:rsid w:val="00894579"/>
    <w:rsid w:val="008A5B67"/>
    <w:rsid w:val="008D16F7"/>
    <w:rsid w:val="009143A0"/>
    <w:rsid w:val="00954679"/>
    <w:rsid w:val="009863ED"/>
    <w:rsid w:val="009E2F86"/>
    <w:rsid w:val="009F3EDC"/>
    <w:rsid w:val="009F7AA7"/>
    <w:rsid w:val="00A0136C"/>
    <w:rsid w:val="00A12209"/>
    <w:rsid w:val="00A36DF3"/>
    <w:rsid w:val="00A47590"/>
    <w:rsid w:val="00A532DD"/>
    <w:rsid w:val="00A80BCF"/>
    <w:rsid w:val="00A8369C"/>
    <w:rsid w:val="00A86405"/>
    <w:rsid w:val="00AA1689"/>
    <w:rsid w:val="00AC1D15"/>
    <w:rsid w:val="00B07B0C"/>
    <w:rsid w:val="00B25563"/>
    <w:rsid w:val="00B26D48"/>
    <w:rsid w:val="00B42EE1"/>
    <w:rsid w:val="00B560BF"/>
    <w:rsid w:val="00B74708"/>
    <w:rsid w:val="00B77ECF"/>
    <w:rsid w:val="00B90F30"/>
    <w:rsid w:val="00B92478"/>
    <w:rsid w:val="00B96E9A"/>
    <w:rsid w:val="00BB1EE0"/>
    <w:rsid w:val="00BD32C6"/>
    <w:rsid w:val="00BD61A2"/>
    <w:rsid w:val="00BE484D"/>
    <w:rsid w:val="00C37E05"/>
    <w:rsid w:val="00C55D29"/>
    <w:rsid w:val="00C57EEE"/>
    <w:rsid w:val="00C93203"/>
    <w:rsid w:val="00CA0BE9"/>
    <w:rsid w:val="00CA138D"/>
    <w:rsid w:val="00CA5A89"/>
    <w:rsid w:val="00CB0BB8"/>
    <w:rsid w:val="00CC182D"/>
    <w:rsid w:val="00CC7641"/>
    <w:rsid w:val="00CD1367"/>
    <w:rsid w:val="00CD6D09"/>
    <w:rsid w:val="00D04428"/>
    <w:rsid w:val="00D1341C"/>
    <w:rsid w:val="00D13794"/>
    <w:rsid w:val="00D22747"/>
    <w:rsid w:val="00D24052"/>
    <w:rsid w:val="00D31575"/>
    <w:rsid w:val="00D34626"/>
    <w:rsid w:val="00D4257A"/>
    <w:rsid w:val="00D62665"/>
    <w:rsid w:val="00D8119B"/>
    <w:rsid w:val="00DC0CDE"/>
    <w:rsid w:val="00DC4D72"/>
    <w:rsid w:val="00DD203D"/>
    <w:rsid w:val="00DF2EF2"/>
    <w:rsid w:val="00DF364F"/>
    <w:rsid w:val="00E0624D"/>
    <w:rsid w:val="00E2508A"/>
    <w:rsid w:val="00E25D31"/>
    <w:rsid w:val="00E359B1"/>
    <w:rsid w:val="00E37841"/>
    <w:rsid w:val="00E43586"/>
    <w:rsid w:val="00E4438C"/>
    <w:rsid w:val="00E457F3"/>
    <w:rsid w:val="00E679AB"/>
    <w:rsid w:val="00EB1B56"/>
    <w:rsid w:val="00EB7E71"/>
    <w:rsid w:val="00EE3C48"/>
    <w:rsid w:val="00EF509D"/>
    <w:rsid w:val="00F109D4"/>
    <w:rsid w:val="00F139AD"/>
    <w:rsid w:val="00F20684"/>
    <w:rsid w:val="00F47585"/>
    <w:rsid w:val="00F939C2"/>
    <w:rsid w:val="00FA10AE"/>
    <w:rsid w:val="00FB54F0"/>
    <w:rsid w:val="00FE04E4"/>
    <w:rsid w:val="00FE098D"/>
    <w:rsid w:val="00FE689E"/>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2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25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7D07B3"/>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link w:val="Heading4Char"/>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25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7D07B3"/>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9f7bc583-7cbe-45b9-a2bd-8bbb6543b37e">
      <Value>11</Value>
    </TaxCatchAll>
    <_dlc_DocId xmlns="9f7bc583-7cbe-45b9-a2bd-8bbb6543b37e">2018RG-111-8792</_dlc_DocId>
    <_dlc_DocIdUrl xmlns="9f7bc583-7cbe-45b9-a2bd-8bbb6543b37e">
      <Url>http://tweb/sites/rg/ldp/lmu/_layouts/15/DocIdRedir.aspx?ID=2018RG-111-8792</Url>
      <Description>2018RG-111-8792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11652" ma:contentTypeDescription=" " ma:contentTypeScope="" ma:versionID="90525eee888b6bb677e5b5fbfc0d9385">
  <xsd:schema xmlns:xsd="http://www.w3.org/2001/XMLSchema" xmlns:xs="http://www.w3.org/2001/XMLSchema" xmlns:p="http://schemas.microsoft.com/office/2006/metadata/properties" xmlns:ns1="http://schemas.microsoft.com/sharepoint/v3" xmlns:ns2="9f7bc583-7cbe-45b9-a2bd-8bbb6543b37e" xmlns:ns4="http://schemas.microsoft.com/sharepoint/v4" targetNamespace="http://schemas.microsoft.com/office/2006/metadata/properties" ma:root="true" ma:fieldsID="32f1aaaa33c51780a447a63930c25cc4" ns1:_="" ns2:_="" ns4:_="">
    <xsd:import namespace="http://schemas.microsoft.com/sharepoint/v3"/>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46278533-3486-40E5-9013-DD26FD164D39}">
  <ds:schemaRefs>
    <ds:schemaRef ds:uri="http://schemas.microsoft.com/office/2006/documentManagement/types"/>
    <ds:schemaRef ds:uri="http://purl.org/dc/elements/1.1/"/>
    <ds:schemaRef ds:uri="9f7bc583-7cbe-45b9-a2bd-8bbb6543b37e"/>
    <ds:schemaRef ds:uri="http://www.w3.org/XML/1998/namespace"/>
    <ds:schemaRef ds:uri="http://purl.org/dc/terms/"/>
    <ds:schemaRef ds:uri="http://schemas.microsoft.com/sharepoint/v3"/>
    <ds:schemaRef ds:uri="http://schemas.microsoft.com/office/infopath/2007/PartnerControls"/>
    <ds:schemaRef ds:uri="http://schemas.microsoft.com/sharepoint/v4"/>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28651FB1-ECA1-4FEA-AD39-C17EE37AE180}"/>
</file>

<file path=customXml/itemProps4.xml><?xml version="1.0" encoding="utf-8"?>
<ds:datastoreItem xmlns:ds="http://schemas.openxmlformats.org/officeDocument/2006/customXml" ds:itemID="{F3EF7872-93C1-4A23-8D44-C4F973C482AD}">
  <ds:schemaRefs>
    <ds:schemaRef ds:uri="http://schemas.microsoft.com/sharepoint/events"/>
  </ds:schemaRefs>
</ds:datastoreItem>
</file>

<file path=customXml/itemProps5.xml><?xml version="1.0" encoding="utf-8"?>
<ds:datastoreItem xmlns:ds="http://schemas.openxmlformats.org/officeDocument/2006/customXml" ds:itemID="{191F7D04-31C6-46D4-828E-6D79024A6B53}">
  <ds:schemaRefs>
    <ds:schemaRef ds:uri="office.server.policy"/>
  </ds:schemaRefs>
</ds:datastoreItem>
</file>

<file path=customXml/itemProps6.xml><?xml version="1.0" encoding="utf-8"?>
<ds:datastoreItem xmlns:ds="http://schemas.openxmlformats.org/officeDocument/2006/customXml" ds:itemID="{A4B670EB-6E72-47D3-A877-E5CEBF0AF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383</TotalTime>
  <Pages>4</Pages>
  <Words>803</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ATO</Company>
  <LinksUpToDate>false</LinksUpToDate>
  <CharactersWithSpaces>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Luu, Anh</dc:creator>
  <cp:lastModifiedBy>Osborne, Lea</cp:lastModifiedBy>
  <cp:revision>68</cp:revision>
  <cp:lastPrinted>2018-05-16T04:05:00Z</cp:lastPrinted>
  <dcterms:created xsi:type="dcterms:W3CDTF">2017-11-05T22:03:00Z</dcterms:created>
  <dcterms:modified xsi:type="dcterms:W3CDTF">2018-05-16T04:05:00Z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-1846748633</vt:i4>
  </property>
  <property fmtid="{D5CDD505-2E9C-101B-9397-08002B2CF9AE}" pid="3" name="_NewReviewCycle">
    <vt:lpwstr/>
  </property>
  <property fmtid="{D5CDD505-2E9C-101B-9397-08002B2CF9AE}" pid="4" name="_EmailSubject">
    <vt:lpwstr>Financial Sector (Collection of Data) Regulation 2018 [DLM=Sensitive]</vt:lpwstr>
  </property>
  <property fmtid="{D5CDD505-2E9C-101B-9397-08002B2CF9AE}" pid="5" name="_AuthorEmail">
    <vt:lpwstr>Anh.Luu@TREASURY.GOV.AU</vt:lpwstr>
  </property>
  <property fmtid="{D5CDD505-2E9C-101B-9397-08002B2CF9AE}" pid="6" name="_AuthorEmailDisplayName">
    <vt:lpwstr>Luu, Anh</vt:lpwstr>
  </property>
  <property fmtid="{D5CDD505-2E9C-101B-9397-08002B2CF9AE}" pid="7" name="ContentTypeId">
    <vt:lpwstr>0x01010036BB8DE7EC542E42A8B2E98CC20CB69700D5C18F41BA18FB44827A222ACD6776F5</vt:lpwstr>
  </property>
  <property fmtid="{D5CDD505-2E9C-101B-9397-08002B2CF9AE}" pid="8" name="TSYRecordClass">
    <vt:lpwstr>11;#TSY RA-9237 - Destroy 5 years after action completed|9f1a030e-81bf-44c5-98eb-4d5d869a40d5</vt:lpwstr>
  </property>
  <property fmtid="{D5CDD505-2E9C-101B-9397-08002B2CF9AE}" pid="9" name="_dlc_DocIdItemGuid">
    <vt:lpwstr>fd709ffb-9486-4d74-be42-376a72175c7c</vt:lpwstr>
  </property>
  <property fmtid="{D5CDD505-2E9C-101B-9397-08002B2CF9AE}" pid="10" name="_PreviousAdHocReviewCycleID">
    <vt:i4>-1008111552</vt:i4>
  </property>
  <property fmtid="{D5CDD505-2E9C-101B-9397-08002B2CF9AE}" pid="11" name="RecordPoint_WorkflowType">
    <vt:lpwstr>ActiveSubmitStub</vt:lpwstr>
  </property>
  <property fmtid="{D5CDD505-2E9C-101B-9397-08002B2CF9AE}" pid="12" name="RecordPoint_ActiveItemUniqueId">
    <vt:lpwstr>{fd709ffb-9486-4d74-be42-376a72175c7c}</vt:lpwstr>
  </property>
  <property fmtid="{D5CDD505-2E9C-101B-9397-08002B2CF9AE}" pid="13" name="RecordPoint_ActiveItemWebId">
    <vt:lpwstr>{2602612e-a30f-4de0-b9eb-e01e73dc8005}</vt:lpwstr>
  </property>
  <property fmtid="{D5CDD505-2E9C-101B-9397-08002B2CF9AE}" pid="14" name="RecordPoint_ActiveItemSiteId">
    <vt:lpwstr>{5b52b9a5-e5b2-4521-8814-a1e24ca2869d}</vt:lpwstr>
  </property>
  <property fmtid="{D5CDD505-2E9C-101B-9397-08002B2CF9AE}" pid="15" name="RecordPoint_ActiveItemListId">
    <vt:lpwstr>{1a010be9-83b3-4740-abb7-452f2d1120fe}</vt:lpwstr>
  </property>
  <property fmtid="{D5CDD505-2E9C-101B-9397-08002B2CF9AE}" pid="16" name="RecordPoint_RecordNumberSubmitted">
    <vt:lpwstr>R0001682485</vt:lpwstr>
  </property>
  <property fmtid="{D5CDD505-2E9C-101B-9397-08002B2CF9AE}" pid="17" name="RecordPoint_SubmissionCompleted">
    <vt:lpwstr>2018-05-16T14:18:14.9352176+10:00</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ies>
</file>